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37559">
      <w:pPr>
        <w:rPr>
          <w:rFonts w:hint="eastAsia" w:ascii="仿宋_GB2312" w:eastAsia="仿宋_GB2312"/>
          <w:sz w:val="32"/>
        </w:rPr>
      </w:pPr>
    </w:p>
    <w:p w14:paraId="5D5764AB">
      <w:pPr>
        <w:spacing w:line="600" w:lineRule="exact"/>
        <w:rPr>
          <w:rFonts w:hint="eastAsia" w:ascii="仿宋_GB2312" w:eastAsia="仿宋_GB2312"/>
          <w:sz w:val="32"/>
        </w:rPr>
      </w:pPr>
    </w:p>
    <w:p w14:paraId="5F432630">
      <w:pPr>
        <w:spacing w:line="300" w:lineRule="auto"/>
        <w:rPr>
          <w:rFonts w:hint="eastAsia"/>
        </w:rPr>
      </w:pPr>
    </w:p>
    <w:p w14:paraId="71C698BD">
      <w:pPr>
        <w:pStyle w:val="7"/>
        <w:spacing w:line="720" w:lineRule="exact"/>
        <w:ind w:left="206" w:leftChars="100" w:right="206" w:rightChars="100"/>
        <w:jc w:val="center"/>
        <w:rPr>
          <w:rFonts w:hint="eastAsia" w:ascii="方正小标宋简体" w:hAnsi="华文中宋" w:eastAsia="方正小标宋简体" w:cs="宋体"/>
          <w:w w:val="90"/>
          <w:sz w:val="44"/>
          <w:szCs w:val="44"/>
        </w:rPr>
      </w:pPr>
    </w:p>
    <w:p w14:paraId="602D812A">
      <w:pPr>
        <w:pStyle w:val="7"/>
        <w:spacing w:line="300" w:lineRule="exact"/>
        <w:ind w:left="412" w:leftChars="200" w:right="412" w:rightChars="200"/>
        <w:rPr>
          <w:rFonts w:hint="eastAsia" w:ascii="方正小标宋简体" w:hAnsi="华文中宋" w:eastAsia="方正小标宋简体" w:cs="宋体"/>
          <w:sz w:val="44"/>
          <w:szCs w:val="44"/>
        </w:rPr>
      </w:pPr>
    </w:p>
    <w:p w14:paraId="49347FE8">
      <w:pPr>
        <w:pStyle w:val="7"/>
        <w:spacing w:line="600" w:lineRule="exact"/>
        <w:ind w:left="412" w:leftChars="200" w:right="412" w:rightChars="200"/>
        <w:rPr>
          <w:rFonts w:hint="eastAsia" w:ascii="仿宋_GB2312" w:hAnsi="仿宋" w:eastAsia="仿宋_GB2312" w:cs="宋体"/>
          <w:sz w:val="32"/>
          <w:szCs w:val="32"/>
        </w:rPr>
      </w:pPr>
    </w:p>
    <w:p w14:paraId="683BDFC0">
      <w:pPr>
        <w:pStyle w:val="7"/>
        <w:keepNext w:val="0"/>
        <w:keepLines w:val="0"/>
        <w:pageBreakBefore w:val="0"/>
        <w:widowControl w:val="0"/>
        <w:kinsoku/>
        <w:wordWrap/>
        <w:overflowPunct/>
        <w:topLinePunct w:val="0"/>
        <w:autoSpaceDE/>
        <w:autoSpaceDN/>
        <w:bidi w:val="0"/>
        <w:adjustRightInd/>
        <w:snapToGrid/>
        <w:spacing w:line="400" w:lineRule="exact"/>
        <w:ind w:left="412" w:leftChars="200" w:right="412" w:rightChars="200"/>
        <w:textAlignment w:val="auto"/>
        <w:rPr>
          <w:rFonts w:hint="eastAsia" w:ascii="仿宋_GB2312" w:hAnsi="宋体" w:eastAsia="仿宋_GB2312" w:cs="宋体"/>
          <w:sz w:val="32"/>
          <w:szCs w:val="32"/>
        </w:rPr>
      </w:pPr>
    </w:p>
    <w:p w14:paraId="338395E7">
      <w:pPr>
        <w:pStyle w:val="7"/>
        <w:spacing w:line="600" w:lineRule="exact"/>
        <w:ind w:left="412" w:leftChars="200" w:right="412" w:rightChars="200"/>
        <w:jc w:val="center"/>
        <w:rPr>
          <w:rFonts w:hint="eastAsia" w:ascii="仿宋_GB2312" w:hAnsi="宋体" w:eastAsia="仿宋_GB2312" w:cs="宋体"/>
          <w:sz w:val="32"/>
          <w:szCs w:val="32"/>
        </w:rPr>
      </w:pPr>
      <w:bookmarkStart w:id="0" w:name="fawenjiguandaizi"/>
      <w:bookmarkEnd w:id="0"/>
      <w:bookmarkStart w:id="1" w:name="文号"/>
      <w:r>
        <w:rPr>
          <w:rFonts w:hint="default" w:ascii="仿宋_GB2312" w:hAnsi="宋体" w:eastAsia="仿宋_GB2312" w:cs="宋体"/>
          <w:sz w:val="32"/>
          <w:szCs w:val="32"/>
        </w:rPr>
        <w:t>鄂建办</w:t>
      </w:r>
      <w:r>
        <w:rPr>
          <w:rFonts w:hint="eastAsia" w:ascii="仿宋_GB2312" w:hAnsi="宋体" w:eastAsia="仿宋_GB2312" w:cs="宋体"/>
          <w:sz w:val="32"/>
          <w:szCs w:val="32"/>
        </w:rPr>
        <w:t>〔</w:t>
      </w:r>
      <w:bookmarkStart w:id="2" w:name="nianfen"/>
      <w:bookmarkEnd w:id="2"/>
      <w:r>
        <w:rPr>
          <w:rFonts w:hint="default" w:ascii="仿宋_GB2312" w:hAnsi="宋体" w:eastAsia="仿宋_GB2312" w:cs="宋体"/>
          <w:sz w:val="32"/>
          <w:szCs w:val="32"/>
        </w:rPr>
        <w:t>2024</w:t>
      </w:r>
      <w:r>
        <w:rPr>
          <w:rFonts w:ascii="仿宋_GB2312" w:hAnsi="宋体" w:eastAsia="仿宋_GB2312" w:cs="宋体"/>
          <w:sz w:val="32"/>
          <w:szCs w:val="32"/>
        </w:rPr>
        <w:t>〕</w:t>
      </w:r>
      <w:bookmarkStart w:id="3" w:name="fawenshunxuhao"/>
      <w:bookmarkEnd w:id="3"/>
      <w:r>
        <w:rPr>
          <w:rFonts w:ascii="仿宋_GB2312" w:hAnsi="宋体" w:eastAsia="仿宋_GB2312" w:cs="宋体"/>
          <w:sz w:val="32"/>
          <w:szCs w:val="32"/>
        </w:rPr>
        <w:t>3号</w:t>
      </w:r>
      <w:bookmarkEnd w:id="1"/>
    </w:p>
    <w:p w14:paraId="7E97E61D">
      <w:pPr>
        <w:pStyle w:val="7"/>
        <w:spacing w:line="600" w:lineRule="exact"/>
        <w:ind w:left="412" w:leftChars="200" w:right="412" w:rightChars="200"/>
        <w:rPr>
          <w:rFonts w:hint="eastAsia" w:ascii="仿宋_GB2312" w:hAnsi="宋体" w:eastAsia="仿宋_GB2312" w:cs="宋体"/>
          <w:sz w:val="32"/>
          <w:szCs w:val="32"/>
        </w:rPr>
      </w:pPr>
    </w:p>
    <w:p w14:paraId="45699FEF">
      <w:pPr>
        <w:pStyle w:val="7"/>
        <w:keepNext w:val="0"/>
        <w:keepLines w:val="0"/>
        <w:pageBreakBefore w:val="0"/>
        <w:widowControl w:val="0"/>
        <w:kinsoku/>
        <w:wordWrap/>
        <w:overflowPunct/>
        <w:topLinePunct w:val="0"/>
        <w:autoSpaceDE/>
        <w:autoSpaceDN/>
        <w:bidi w:val="0"/>
        <w:adjustRightInd/>
        <w:snapToGrid/>
        <w:spacing w:line="400" w:lineRule="exact"/>
        <w:ind w:left="412" w:leftChars="200" w:right="412" w:rightChars="200"/>
        <w:textAlignment w:val="auto"/>
        <w:rPr>
          <w:rFonts w:hint="eastAsia" w:ascii="仿宋_GB2312" w:hAnsi="宋体" w:eastAsia="仿宋_GB2312" w:cs="宋体"/>
          <w:sz w:val="32"/>
          <w:szCs w:val="32"/>
        </w:rPr>
      </w:pPr>
      <w:bookmarkStart w:id="6" w:name="_GoBack"/>
      <w:bookmarkEnd w:id="6"/>
    </w:p>
    <w:p w14:paraId="4B0C2249">
      <w:pPr>
        <w:keepNext w:val="0"/>
        <w:keepLines w:val="0"/>
        <w:pageBreakBefore w:val="0"/>
        <w:widowControl/>
        <w:kinsoku/>
        <w:wordWrap/>
        <w:overflowPunct/>
        <w:topLinePunct w:val="0"/>
        <w:autoSpaceDE/>
        <w:autoSpaceDN/>
        <w:bidi w:val="0"/>
        <w:adjustRightInd/>
        <w:snapToGrid w:val="0"/>
        <w:spacing w:line="720" w:lineRule="exact"/>
        <w:ind w:firstLine="0" w:firstLineChars="0"/>
        <w:jc w:val="center"/>
        <w:textAlignment w:val="auto"/>
        <w:rPr>
          <w:rFonts w:hint="eastAsia" w:ascii="方正小标宋_GBK" w:hAnsi="方正小标宋_GBK" w:eastAsia="方正小标宋_GBK" w:cs="方正小标宋_GBK"/>
          <w:sz w:val="44"/>
          <w:szCs w:val="44"/>
        </w:rPr>
      </w:pPr>
      <w:bookmarkStart w:id="4" w:name="zhengwen"/>
      <w:bookmarkEnd w:id="4"/>
      <w:r>
        <w:rPr>
          <w:rFonts w:hint="eastAsia" w:ascii="方正小标宋_GBK" w:hAnsi="方正小标宋_GBK" w:eastAsia="方正小标宋_GBK" w:cs="方正小标宋_GBK"/>
          <w:sz w:val="44"/>
          <w:szCs w:val="44"/>
        </w:rPr>
        <w:t>关于印发《培育和发展住建领域</w:t>
      </w:r>
      <w:r>
        <w:rPr>
          <w:rFonts w:hint="eastAsia" w:ascii="方正小标宋_GBK" w:hAnsi="方正小标宋_GBK" w:eastAsia="方正小标宋_GBK" w:cs="方正小标宋_GBK"/>
          <w:sz w:val="44"/>
          <w:szCs w:val="44"/>
        </w:rPr>
        <w:br w:type="textWrapping"/>
      </w:r>
      <w:r>
        <w:rPr>
          <w:rFonts w:hint="eastAsia" w:ascii="方正小标宋_GBK" w:hAnsi="方正小标宋_GBK" w:eastAsia="方正小标宋_GBK" w:cs="方正小标宋_GBK"/>
          <w:sz w:val="44"/>
          <w:szCs w:val="44"/>
        </w:rPr>
        <w:t>新质生产力实施方案》的通知</w:t>
      </w:r>
    </w:p>
    <w:p w14:paraId="11890A03">
      <w:pPr>
        <w:keepNext w:val="0"/>
        <w:keepLines w:val="0"/>
        <w:pageBreakBefore w:val="0"/>
        <w:widowControl w:val="0"/>
        <w:kinsoku/>
        <w:wordWrap/>
        <w:overflowPunct/>
        <w:topLinePunct w:val="0"/>
        <w:autoSpaceDE/>
        <w:autoSpaceDN/>
        <w:bidi w:val="0"/>
        <w:adjustRightInd/>
        <w:snapToGrid/>
        <w:spacing w:line="600" w:lineRule="exact"/>
        <w:ind w:right="0" w:rightChars="0" w:firstLine="632" w:firstLineChars="200"/>
        <w:jc w:val="both"/>
        <w:textAlignment w:val="auto"/>
        <w:rPr>
          <w:rFonts w:hint="eastAsia" w:ascii="楷体" w:hAnsi="楷体" w:eastAsia="楷体" w:cs="仿宋"/>
          <w:b/>
          <w:bCs/>
          <w:color w:val="000000" w:themeColor="text1"/>
          <w:sz w:val="32"/>
          <w:szCs w:val="32"/>
          <w14:textFill>
            <w14:solidFill>
              <w14:schemeClr w14:val="tx1"/>
            </w14:solidFill>
          </w14:textFill>
        </w:rPr>
      </w:pPr>
    </w:p>
    <w:p w14:paraId="7A5D85B8">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市、州、直管市、神农架林区自然资源和城乡建设局、住房和城市更新局、城管委（局）、公积金中心，武汉市园林局、水务局，宜昌市林业和园林局，鄂州市水利和湖泊局，仙桃市住房保障中心、林业事业发展中心，天门市住房保障中心，厅机关各处室、厅直各单位：</w:t>
      </w:r>
    </w:p>
    <w:p w14:paraId="1710BB81">
      <w:pPr>
        <w:keepNext w:val="0"/>
        <w:keepLines w:val="0"/>
        <w:pageBreakBefore w:val="0"/>
        <w:widowControl w:val="0"/>
        <w:kinsoku/>
        <w:wordWrap/>
        <w:overflowPunct/>
        <w:topLinePunct w:val="0"/>
        <w:autoSpaceDE/>
        <w:autoSpaceDN/>
        <w:bidi w:val="0"/>
        <w:adjustRightInd/>
        <w:snapToGrid/>
        <w:spacing w:line="600" w:lineRule="exact"/>
        <w:ind w:right="0" w:rightChars="0" w:firstLine="632"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为贯彻落实党的二十届三中全会以及习近平总书记关于发展新质生产力的重要论述精神，抢抓新一轮科技革命和产业变革机遇，加快培育和发展住建领域新质生产力，推动湖北住建事业高质量发展，我厅制定了《培育和发展住建领域新质生产力实施方案》，现印发给你们，请结合实际，认真贯彻落实。</w:t>
      </w:r>
    </w:p>
    <w:p w14:paraId="453018DA">
      <w:pPr>
        <w:keepNext w:val="0"/>
        <w:keepLines w:val="0"/>
        <w:pageBreakBefore w:val="0"/>
        <w:widowControl w:val="0"/>
        <w:kinsoku/>
        <w:wordWrap/>
        <w:overflowPunct/>
        <w:topLinePunct w:val="0"/>
        <w:autoSpaceDE/>
        <w:autoSpaceDN/>
        <w:bidi w:val="0"/>
        <w:adjustRightInd/>
        <w:snapToGrid/>
        <w:spacing w:line="600" w:lineRule="exact"/>
        <w:ind w:right="0" w:rightChars="0" w:firstLine="632"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13A00D12">
      <w:pPr>
        <w:keepNext w:val="0"/>
        <w:keepLines w:val="0"/>
        <w:pageBreakBefore w:val="0"/>
        <w:widowControl w:val="0"/>
        <w:kinsoku/>
        <w:wordWrap/>
        <w:overflowPunct/>
        <w:topLinePunct w:val="0"/>
        <w:autoSpaceDE/>
        <w:autoSpaceDN/>
        <w:bidi w:val="0"/>
        <w:adjustRightInd/>
        <w:snapToGrid/>
        <w:spacing w:line="600" w:lineRule="exact"/>
        <w:ind w:right="0" w:rightChars="0" w:firstLine="632" w:firstLineChars="200"/>
        <w:jc w:val="both"/>
        <w:textAlignment w:val="auto"/>
        <w:rPr>
          <w:rFonts w:hint="eastAsia" w:hAnsi="仿宋" w:cs="仿宋"/>
          <w:color w:val="000000" w:themeColor="text1"/>
          <w:sz w:val="32"/>
          <w:szCs w:val="32"/>
          <w14:textFill>
            <w14:solidFill>
              <w14:schemeClr w14:val="tx1"/>
            </w14:solidFill>
          </w14:textFill>
        </w:rPr>
      </w:pPr>
    </w:p>
    <w:p w14:paraId="6DF03692">
      <w:pPr>
        <w:keepNext w:val="0"/>
        <w:keepLines w:val="0"/>
        <w:pageBreakBefore w:val="0"/>
        <w:widowControl w:val="0"/>
        <w:kinsoku/>
        <w:wordWrap/>
        <w:overflowPunct/>
        <w:topLinePunct w:val="0"/>
        <w:autoSpaceDE/>
        <w:autoSpaceDN/>
        <w:bidi w:val="0"/>
        <w:adjustRightInd/>
        <w:snapToGrid/>
        <w:spacing w:line="600" w:lineRule="exact"/>
        <w:ind w:right="0" w:rightChars="0" w:firstLine="3792" w:firstLineChars="1200"/>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湖北省住房和城乡建设厅</w:t>
      </w:r>
      <w:r>
        <w:rPr>
          <w:rFonts w:hint="eastAsia" w:ascii="仿宋_GB2312" w:hAnsi="仿宋_GB2312" w:eastAsia="仿宋_GB2312" w:cs="仿宋_GB2312"/>
          <w:color w:val="000000" w:themeColor="text1"/>
          <w:sz w:val="32"/>
          <w:szCs w:val="32"/>
          <w:lang w:eastAsia="zh-CN"/>
          <w14:textFill>
            <w14:solidFill>
              <w14:schemeClr w14:val="tx1"/>
            </w14:solidFill>
          </w14:textFill>
        </w:rPr>
        <w:t>办公室</w:t>
      </w:r>
    </w:p>
    <w:p w14:paraId="57122CFC">
      <w:pPr>
        <w:keepNext w:val="0"/>
        <w:keepLines w:val="0"/>
        <w:pageBreakBefore w:val="0"/>
        <w:widowControl w:val="0"/>
        <w:kinsoku/>
        <w:wordWrap/>
        <w:overflowPunct/>
        <w:topLinePunct w:val="0"/>
        <w:autoSpaceDE/>
        <w:autoSpaceDN/>
        <w:bidi w:val="0"/>
        <w:adjustRightInd/>
        <w:snapToGrid/>
        <w:spacing w:line="600" w:lineRule="exact"/>
        <w:ind w:right="0" w:rightChars="0" w:firstLine="4740" w:firstLineChars="15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2024年</w:t>
      </w:r>
      <w:r>
        <w:rPr>
          <w:rFonts w:hint="default" w:ascii="仿宋_GB2312" w:hAnsi="仿宋_GB2312" w:eastAsia="仿宋_GB2312" w:cs="仿宋_GB2312"/>
          <w:color w:val="000000" w:themeColor="text1"/>
          <w:sz w:val="32"/>
          <w:szCs w:val="32"/>
          <w14:textFill>
            <w14:solidFill>
              <w14:schemeClr w14:val="tx1"/>
            </w14:solidFill>
          </w14:textFill>
        </w:rPr>
        <w:t>10</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default" w:ascii="仿宋_GB2312" w:hAnsi="仿宋_GB2312" w:eastAsia="仿宋_GB2312" w:cs="仿宋_GB2312"/>
          <w:color w:val="000000" w:themeColor="text1"/>
          <w:sz w:val="32"/>
          <w:szCs w:val="32"/>
          <w14:textFill>
            <w14:solidFill>
              <w14:schemeClr w14:val="tx1"/>
            </w14:solidFill>
          </w14:textFill>
        </w:rPr>
        <w:t>8</w:t>
      </w:r>
      <w:r>
        <w:rPr>
          <w:rFonts w:hint="eastAsia" w:ascii="仿宋_GB2312" w:hAnsi="仿宋_GB2312" w:eastAsia="仿宋_GB2312" w:cs="仿宋_GB2312"/>
          <w:color w:val="000000" w:themeColor="text1"/>
          <w:sz w:val="32"/>
          <w:szCs w:val="32"/>
          <w14:textFill>
            <w14:solidFill>
              <w14:schemeClr w14:val="tx1"/>
            </w14:solidFill>
          </w14:textFill>
        </w:rPr>
        <w:t>日</w:t>
      </w:r>
    </w:p>
    <w:p w14:paraId="7B7163DA">
      <w:pPr>
        <w:keepNext w:val="0"/>
        <w:keepLines w:val="0"/>
        <w:pageBreakBefore w:val="0"/>
        <w:widowControl w:val="0"/>
        <w:kinsoku/>
        <w:wordWrap/>
        <w:overflowPunct/>
        <w:topLinePunct w:val="0"/>
        <w:autoSpaceDE/>
        <w:autoSpaceDN/>
        <w:bidi w:val="0"/>
        <w:adjustRightInd/>
        <w:snapToGrid/>
        <w:spacing w:line="600" w:lineRule="exact"/>
        <w:ind w:right="0" w:rightChars="0" w:firstLine="632" w:firstLineChars="200"/>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（此件公开发布）</w:t>
      </w:r>
    </w:p>
    <w:p w14:paraId="1C1FF9B5">
      <w:pPr>
        <w:spacing w:line="600" w:lineRule="exact"/>
        <w:ind w:firstLine="0" w:firstLineChars="0"/>
        <w:rPr>
          <w:rFonts w:hint="eastAsia" w:ascii="黑体" w:hAnsi="黑体" w:eastAsia="黑体" w:cs="方正小标宋简体"/>
          <w:szCs w:val="32"/>
        </w:rPr>
      </w:pPr>
    </w:p>
    <w:p w14:paraId="628E9A26">
      <w:pPr>
        <w:spacing w:line="600" w:lineRule="exact"/>
        <w:ind w:firstLine="0" w:firstLineChars="0"/>
        <w:rPr>
          <w:rFonts w:hint="eastAsia" w:ascii="黑体" w:hAnsi="黑体" w:eastAsia="黑体" w:cs="方正小标宋简体"/>
          <w:szCs w:val="32"/>
        </w:rPr>
      </w:pPr>
    </w:p>
    <w:p w14:paraId="52CDD558">
      <w:pP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br w:type="page"/>
      </w:r>
    </w:p>
    <w:p w14:paraId="7B0B014A">
      <w:pPr>
        <w:keepNext w:val="0"/>
        <w:keepLines w:val="0"/>
        <w:pageBreakBefore w:val="0"/>
        <w:widowControl/>
        <w:kinsoku/>
        <w:wordWrap/>
        <w:overflowPunct/>
        <w:topLinePunct w:val="0"/>
        <w:autoSpaceDE/>
        <w:autoSpaceDN/>
        <w:bidi w:val="0"/>
        <w:adjustRightInd/>
        <w:snapToGrid/>
        <w:spacing w:line="720" w:lineRule="exact"/>
        <w:ind w:firstLine="0" w:firstLineChars="0"/>
        <w:jc w:val="center"/>
        <w:textAlignment w:val="auto"/>
        <w:rPr>
          <w:rFonts w:hint="eastAsia" w:ascii="方正小标宋_GBK" w:hAnsi="方正小标宋_GBK" w:eastAsia="方正小标宋_GBK" w:cs="方正小标宋_GBK"/>
          <w:spacing w:val="-20"/>
          <w:sz w:val="44"/>
          <w:szCs w:val="44"/>
        </w:rPr>
      </w:pPr>
      <w:r>
        <w:rPr>
          <w:rFonts w:hint="eastAsia" w:ascii="方正小标宋_GBK" w:hAnsi="方正小标宋_GBK" w:eastAsia="方正小标宋_GBK" w:cs="方正小标宋_GBK"/>
          <w:sz w:val="44"/>
          <w:szCs w:val="44"/>
        </w:rPr>
        <w:t>培育和发展住建领域新质生产力实施方案</w:t>
      </w:r>
    </w:p>
    <w:p w14:paraId="7533208E">
      <w:pPr>
        <w:keepNext w:val="0"/>
        <w:keepLines w:val="0"/>
        <w:pageBreakBefore w:val="0"/>
        <w:widowControl w:val="0"/>
        <w:kinsoku/>
        <w:wordWrap/>
        <w:overflowPunct/>
        <w:topLinePunct w:val="0"/>
        <w:autoSpaceDE/>
        <w:autoSpaceDN/>
        <w:bidi w:val="0"/>
        <w:spacing w:line="600" w:lineRule="exact"/>
        <w:ind w:firstLine="0" w:firstLineChars="0"/>
        <w:jc w:val="both"/>
        <w:textAlignment w:val="auto"/>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pPr>
    </w:p>
    <w:p w14:paraId="5ABA2904">
      <w:pPr>
        <w:keepNext w:val="0"/>
        <w:keepLines w:val="0"/>
        <w:pageBreakBefore w:val="0"/>
        <w:widowControl w:val="0"/>
        <w:kinsoku/>
        <w:wordWrap/>
        <w:overflowPunct/>
        <w:topLinePunct w:val="0"/>
        <w:autoSpaceDE/>
        <w:autoSpaceDN/>
        <w:bidi w:val="0"/>
        <w:spacing w:line="600" w:lineRule="exact"/>
        <w:ind w:firstLine="630"/>
        <w:jc w:val="both"/>
        <w:textAlignment w:val="auto"/>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为贯彻</w:t>
      </w:r>
      <w:r>
        <w:rPr>
          <w:rFonts w:ascii="仿宋_GB2312" w:hAnsi="仿宋_GB2312" w:eastAsia="仿宋_GB2312" w:cs="仿宋_GB2312"/>
          <w:color w:val="000000" w:themeColor="text1"/>
          <w:sz w:val="32"/>
          <w:szCs w:val="32"/>
          <w:highlight w:val="none"/>
          <w:shd w:val="clear" w:color="auto" w:fill="FFFFFF"/>
          <w14:textFill>
            <w14:solidFill>
              <w14:schemeClr w14:val="tx1"/>
            </w14:solidFill>
          </w14:textFill>
        </w:rPr>
        <w:t>落实</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党的二十届三中全会以及习近平总书记关于发展新质生产力的重要论述精神，抢抓新一轮科技革命和产业变革机遇，加快培育和发展住建领域新质生产力，推动湖北</w:t>
      </w:r>
      <w:r>
        <w:rPr>
          <w:rFonts w:ascii="仿宋_GB2312" w:hAnsi="仿宋_GB2312" w:eastAsia="仿宋_GB2312" w:cs="仿宋_GB2312"/>
          <w:color w:val="000000" w:themeColor="text1"/>
          <w:sz w:val="32"/>
          <w:szCs w:val="32"/>
          <w:highlight w:val="none"/>
          <w:shd w:val="clear" w:color="auto" w:fill="FFFFFF"/>
          <w14:textFill>
            <w14:solidFill>
              <w14:schemeClr w14:val="tx1"/>
            </w14:solidFill>
          </w14:textFill>
        </w:rPr>
        <w:t>住建事业</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高质量发展，制定本方案。</w:t>
      </w:r>
    </w:p>
    <w:p w14:paraId="0214858D">
      <w:pPr>
        <w:keepNext w:val="0"/>
        <w:keepLines w:val="0"/>
        <w:pageBreakBefore w:val="0"/>
        <w:widowControl w:val="0"/>
        <w:kinsoku/>
        <w:wordWrap/>
        <w:overflowPunct/>
        <w:topLinePunct w:val="0"/>
        <w:autoSpaceDE/>
        <w:autoSpaceDN/>
        <w:bidi w:val="0"/>
        <w:spacing w:line="600" w:lineRule="exact"/>
        <w:ind w:firstLine="630"/>
        <w:jc w:val="both"/>
        <w:textAlignment w:val="auto"/>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pPr>
      <w:r>
        <w:rPr>
          <w:rFonts w:hint="eastAsia" w:ascii="黑体" w:hAnsi="黑体" w:eastAsia="黑体" w:cs="黑体"/>
          <w:color w:val="000000" w:themeColor="text1"/>
          <w:sz w:val="32"/>
          <w:szCs w:val="32"/>
          <w:highlight w:val="none"/>
          <w:shd w:val="clear" w:color="auto" w:fill="FFFFFF"/>
          <w14:textFill>
            <w14:solidFill>
              <w14:schemeClr w14:val="tx1"/>
            </w14:solidFill>
          </w14:textFill>
        </w:rPr>
        <w:t>一、总体要求</w:t>
      </w:r>
    </w:p>
    <w:p w14:paraId="0DA14EC1">
      <w:pPr>
        <w:keepNext w:val="0"/>
        <w:keepLines w:val="0"/>
        <w:pageBreakBefore w:val="0"/>
        <w:widowControl w:val="0"/>
        <w:kinsoku/>
        <w:wordWrap/>
        <w:overflowPunct/>
        <w:topLinePunct w:val="0"/>
        <w:autoSpaceDE/>
        <w:autoSpaceDN/>
        <w:bidi w:val="0"/>
        <w:spacing w:line="600" w:lineRule="exact"/>
        <w:ind w:firstLine="630"/>
        <w:jc w:val="both"/>
        <w:textAlignment w:val="auto"/>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习近平总书记指出，发展新质生产力是推动高质量发展的内在要求和重要着力点；要以科技创新推动产业创新，特别是以颠覆性技术和前沿技术催生新产业、新模式、新动能，发展新质生产力。住建行业是</w:t>
      </w:r>
      <w:r>
        <w:rPr>
          <w:rFonts w:hint="default" w:ascii="仿宋_GB2312" w:hAnsi="仿宋_GB2312" w:eastAsia="仿宋_GB2312" w:cs="仿宋_GB2312"/>
          <w:color w:val="000000" w:themeColor="text1"/>
          <w:sz w:val="32"/>
          <w:szCs w:val="32"/>
          <w:highlight w:val="none"/>
          <w:shd w:val="clear" w:color="auto" w:fill="FFFFFF"/>
          <w14:textFill>
            <w14:solidFill>
              <w14:schemeClr w14:val="tx1"/>
            </w14:solidFill>
          </w14:textFill>
        </w:rPr>
        <w:t>培育和</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发展新质生产力的重要阵地</w:t>
      </w:r>
      <w:r>
        <w:rPr>
          <w:rFonts w:hint="default" w:ascii="仿宋_GB2312" w:hAnsi="仿宋_GB2312" w:eastAsia="仿宋_GB2312" w:cs="仿宋_GB2312"/>
          <w:color w:val="000000" w:themeColor="text1"/>
          <w:sz w:val="32"/>
          <w:szCs w:val="32"/>
          <w:highlight w:val="none"/>
          <w:shd w:val="clear" w:color="auto" w:fill="FFFFFF"/>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要深刻理解新质生产力的内涵，坚持新发展理念，适应行业发展从“有没有”向“好不好”转变的新要求，因地制宜探索住建领域新质生产力的推进路径，着力在城市建设、建筑业、房地产业等方面，深化科技创新、产业创新、模式创新、机制创新，推进全省住建事业高质量发展。</w:t>
      </w:r>
    </w:p>
    <w:p w14:paraId="47B10DCA">
      <w:pPr>
        <w:keepNext w:val="0"/>
        <w:keepLines w:val="0"/>
        <w:pageBreakBefore w:val="0"/>
        <w:widowControl w:val="0"/>
        <w:kinsoku/>
        <w:wordWrap/>
        <w:overflowPunct/>
        <w:topLinePunct w:val="0"/>
        <w:autoSpaceDE/>
        <w:autoSpaceDN/>
        <w:bidi w:val="0"/>
        <w:spacing w:line="600" w:lineRule="exact"/>
        <w:ind w:firstLine="633"/>
        <w:jc w:val="both"/>
        <w:textAlignment w:val="auto"/>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shd w:val="clear" w:color="auto" w:fill="FFFFFF"/>
          <w14:textFill>
            <w14:solidFill>
              <w14:schemeClr w14:val="tx1"/>
            </w14:solidFill>
          </w14:textFill>
        </w:rPr>
        <w:t>主要目标：</w:t>
      </w:r>
      <w:r>
        <w:rPr>
          <w:rFonts w:hint="eastAsia" w:ascii="仿宋_GB2312" w:hAnsi="仿宋_GB2312" w:eastAsia="仿宋_GB2312" w:cs="仿宋_GB2312"/>
          <w:color w:val="000000" w:themeColor="text1"/>
          <w:sz w:val="32"/>
          <w:szCs w:val="32"/>
          <w:highlight w:val="none"/>
          <w14:textFill>
            <w14:solidFill>
              <w14:schemeClr w14:val="tx1"/>
            </w14:solidFill>
          </w14:textFill>
        </w:rPr>
        <w:t>力争未来五年</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，住建领域新质生产力发展取得明显进展，科技创新水平明显提升</w:t>
      </w:r>
      <w:r>
        <w:rPr>
          <w:rFonts w:hint="eastAsia" w:ascii="仿宋_GB2312" w:hAnsi="仿宋_GB2312" w:eastAsia="仿宋_GB2312" w:cs="仿宋_GB2312"/>
          <w:color w:val="000000" w:themeColor="text1"/>
          <w:sz w:val="32"/>
          <w:szCs w:val="32"/>
          <w:highlight w:val="none"/>
          <w14:textFill>
            <w14:solidFill>
              <w14:schemeClr w14:val="tx1"/>
            </w14:solidFill>
          </w14:textFill>
        </w:rPr>
        <w:t>；智能建造取得突破，重要新建建筑和市政基础设施BIM建模率达到80%以上，装配式建筑占新建建筑面积比例达到60%以上</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。住房科技含量提升，住房供应链平台广泛应用，与数字家庭联动发展</w:t>
      </w:r>
      <w:r>
        <w:rPr>
          <w:rFonts w:hint="default" w:ascii="仿宋_GB2312" w:hAnsi="仿宋_GB2312" w:eastAsia="仿宋_GB2312" w:cs="仿宋_GB2312"/>
          <w:color w:val="000000" w:themeColor="text1"/>
          <w:sz w:val="32"/>
          <w:szCs w:val="32"/>
          <w:highlight w:val="none"/>
          <w:shd w:val="clear" w:color="auto" w:fill="FFFFFF"/>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建成一批高品质智慧小区。新城建工作取得突破，城市信息模型（CIM）平台、城市基础设施生命线安全工程、城市运行管理服务平台实现市（州）全覆盖，城市治理能力和水平有较大提升。</w:t>
      </w:r>
    </w:p>
    <w:p w14:paraId="50A33E96">
      <w:pPr>
        <w:keepNext w:val="0"/>
        <w:keepLines w:val="0"/>
        <w:pageBreakBefore w:val="0"/>
        <w:widowControl w:val="0"/>
        <w:kinsoku/>
        <w:wordWrap/>
        <w:overflowPunct/>
        <w:topLinePunct w:val="0"/>
        <w:autoSpaceDE/>
        <w:autoSpaceDN/>
        <w:bidi w:val="0"/>
        <w:spacing w:line="600" w:lineRule="exact"/>
        <w:ind w:firstLine="630"/>
        <w:jc w:val="both"/>
        <w:textAlignment w:val="auto"/>
        <w:rPr>
          <w:rFonts w:hint="eastAsia" w:ascii="黑体" w:hAnsi="黑体" w:eastAsia="黑体" w:cs="黑体"/>
          <w:color w:val="000000" w:themeColor="text1"/>
          <w:sz w:val="32"/>
          <w:szCs w:val="32"/>
          <w:highlight w:val="none"/>
          <w:shd w:val="clear" w:color="auto" w:fill="FFFFFF"/>
          <w14:textFill>
            <w14:solidFill>
              <w14:schemeClr w14:val="tx1"/>
            </w14:solidFill>
          </w14:textFill>
        </w:rPr>
      </w:pPr>
      <w:r>
        <w:rPr>
          <w:rFonts w:hint="eastAsia" w:ascii="黑体" w:hAnsi="黑体" w:eastAsia="黑体" w:cs="黑体"/>
          <w:color w:val="000000" w:themeColor="text1"/>
          <w:sz w:val="32"/>
          <w:szCs w:val="32"/>
          <w:highlight w:val="none"/>
          <w:shd w:val="clear" w:color="auto" w:fill="FFFFFF"/>
          <w14:textFill>
            <w14:solidFill>
              <w14:schemeClr w14:val="tx1"/>
            </w14:solidFill>
          </w14:textFill>
        </w:rPr>
        <w:t>二、重点任务</w:t>
      </w:r>
    </w:p>
    <w:p w14:paraId="4CB4645B">
      <w:pPr>
        <w:keepNext w:val="0"/>
        <w:keepLines w:val="0"/>
        <w:pageBreakBefore w:val="0"/>
        <w:widowControl w:val="0"/>
        <w:kinsoku/>
        <w:wordWrap/>
        <w:overflowPunct/>
        <w:topLinePunct w:val="0"/>
        <w:autoSpaceDE/>
        <w:autoSpaceDN/>
        <w:bidi w:val="0"/>
        <w:spacing w:line="600" w:lineRule="exact"/>
        <w:ind w:firstLine="630"/>
        <w:jc w:val="both"/>
        <w:textAlignment w:val="auto"/>
        <w:rPr>
          <w:rFonts w:hint="eastAsia" w:ascii="楷体_GB2312" w:hAnsi="楷体_GB2312" w:eastAsia="楷体_GB2312" w:cs="楷体_GB2312"/>
          <w:color w:val="000000" w:themeColor="text1"/>
          <w:sz w:val="32"/>
          <w:szCs w:val="32"/>
          <w:highlight w:val="none"/>
          <w:shd w:val="clear" w:color="auto" w:fill="FFFFFF"/>
          <w14:textFill>
            <w14:solidFill>
              <w14:schemeClr w14:val="tx1"/>
            </w14:solidFill>
          </w14:textFill>
        </w:rPr>
      </w:pPr>
      <w:r>
        <w:rPr>
          <w:rFonts w:hint="eastAsia" w:ascii="楷体_GB2312" w:hAnsi="楷体_GB2312" w:eastAsia="楷体_GB2312" w:cs="楷体_GB2312"/>
          <w:color w:val="000000" w:themeColor="text1"/>
          <w:sz w:val="32"/>
          <w:szCs w:val="32"/>
          <w:highlight w:val="none"/>
          <w:shd w:val="clear" w:color="auto" w:fill="FFFFFF"/>
          <w14:textFill>
            <w14:solidFill>
              <w14:schemeClr w14:val="tx1"/>
            </w14:solidFill>
          </w14:textFill>
        </w:rPr>
        <w:t>（一）建设智慧城市，培育新城建领域新质生产力</w:t>
      </w:r>
    </w:p>
    <w:p w14:paraId="28C6A8CC">
      <w:pPr>
        <w:keepNext w:val="0"/>
        <w:keepLines w:val="0"/>
        <w:pageBreakBefore w:val="0"/>
        <w:widowControl w:val="0"/>
        <w:kinsoku/>
        <w:wordWrap/>
        <w:overflowPunct/>
        <w:topLinePunct w:val="0"/>
        <w:autoSpaceDE/>
        <w:autoSpaceDN/>
        <w:bidi w:val="0"/>
        <w:spacing w:line="600" w:lineRule="exact"/>
        <w:ind w:firstLine="633"/>
        <w:jc w:val="both"/>
        <w:textAlignment w:val="auto"/>
        <w:rPr>
          <w:rFonts w:hint="eastAsia"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14:textFill>
            <w14:solidFill>
              <w14:schemeClr w14:val="tx1"/>
            </w14:solidFill>
          </w14:textFill>
        </w:rPr>
        <w:t>1.打造城市治理数字化底座。</w:t>
      </w:r>
      <w:r>
        <w:rPr>
          <w:rFonts w:hint="eastAsia" w:ascii="仿宋_GB2312" w:eastAsia="仿宋_GB2312"/>
          <w:color w:val="000000" w:themeColor="text1"/>
          <w:sz w:val="32"/>
          <w:szCs w:val="32"/>
          <w:highlight w:val="none"/>
          <w14:textFill>
            <w14:solidFill>
              <w14:schemeClr w14:val="tx1"/>
            </w14:solidFill>
          </w14:textFill>
        </w:rPr>
        <w:t>按照《城市数字公共基础设施建设工作指南》要求，加快推进城市信息模型（CIM）平台省市县全覆盖，完成市县一体化扩面建设，构建省市县三级一体化联动机制，开展应用体系化标准化工作。建立健全数字住建的应用、技术和数据等支撑体系，打造发展新质生产力的公共数字底座。</w:t>
      </w:r>
      <w:r>
        <w:rPr>
          <w:rFonts w:hint="eastAsia" w:ascii="楷体_GB2312" w:hAnsi="楷体_GB2312" w:eastAsia="楷体_GB2312" w:cs="楷体_GB2312"/>
          <w:color w:val="000000" w:themeColor="text1"/>
          <w:sz w:val="32"/>
          <w:szCs w:val="32"/>
          <w:highlight w:val="none"/>
          <w14:textFill>
            <w14:solidFill>
              <w14:schemeClr w14:val="tx1"/>
            </w14:solidFill>
          </w14:textFill>
        </w:rPr>
        <w:t>（牵头单位：标科处，责任单位：城建处、信息中心，市州住建部门）</w:t>
      </w:r>
    </w:p>
    <w:p w14:paraId="407EB0F9">
      <w:pPr>
        <w:keepNext w:val="0"/>
        <w:keepLines w:val="0"/>
        <w:pageBreakBefore w:val="0"/>
        <w:widowControl w:val="0"/>
        <w:kinsoku/>
        <w:wordWrap/>
        <w:overflowPunct/>
        <w:topLinePunct w:val="0"/>
        <w:autoSpaceDE/>
        <w:autoSpaceDN/>
        <w:bidi w:val="0"/>
        <w:spacing w:line="600" w:lineRule="exact"/>
        <w:ind w:firstLine="633"/>
        <w:jc w:val="both"/>
        <w:textAlignment w:val="auto"/>
        <w:rPr>
          <w:rFonts w:hint="eastAsia"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shd w:val="clear" w:color="auto" w:fill="FFFFFF"/>
          <w14:textFill>
            <w14:solidFill>
              <w14:schemeClr w14:val="tx1"/>
            </w14:solidFill>
          </w14:textFill>
        </w:rPr>
        <w:t>2.</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推进城市基础设施生命线安全工程</w:t>
      </w:r>
      <w:r>
        <w:rPr>
          <w:rFonts w:hint="eastAsia" w:ascii="仿宋_GB2312" w:hAnsi="仿宋_GB2312" w:eastAsia="仿宋_GB2312" w:cs="仿宋_GB2312"/>
          <w:b/>
          <w:bCs/>
          <w:color w:val="000000" w:themeColor="text1"/>
          <w:sz w:val="32"/>
          <w:szCs w:val="32"/>
          <w:highlight w:val="none"/>
          <w:shd w:val="clear" w:color="auto" w:fill="FFFFFF"/>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利用现代信息技术，深化对城市燃气、桥梁、隧道、供水、排水等城市基础设施的安全监管，加快推进城市基础设施生命线安全工程建设。2024年底前，市州本级完成监管平台部署和燃气专项建设，2025年底前，市县完成供水、排水、桥梁、隧道等专项建设，进一步拓展其他业务应用场景，到2027年，累计安装城市生命线安全监测物联传感设备25万套，城市安全风险管控能力和隐患排查治理能力显著增强，形成全天候、系统性、现代化的城市运行安全保障体系，助推我省城市安全领域物联网产业蓬勃发展。</w:t>
      </w:r>
      <w:r>
        <w:rPr>
          <w:rFonts w:hint="eastAsia" w:ascii="楷体_GB2312" w:hAnsi="楷体_GB2312" w:eastAsia="楷体_GB2312" w:cs="楷体_GB2312"/>
          <w:color w:val="000000" w:themeColor="text1"/>
          <w:sz w:val="32"/>
          <w:szCs w:val="32"/>
          <w:highlight w:val="none"/>
          <w14:textFill>
            <w14:solidFill>
              <w14:schemeClr w14:val="tx1"/>
            </w14:solidFill>
          </w14:textFill>
        </w:rPr>
        <w:t>（牵头单位：城建处，责任单位：信息中心，市州住建部门）</w:t>
      </w:r>
    </w:p>
    <w:p w14:paraId="79CA8743">
      <w:pPr>
        <w:keepNext w:val="0"/>
        <w:keepLines w:val="0"/>
        <w:pageBreakBefore w:val="0"/>
        <w:widowControl w:val="0"/>
        <w:kinsoku/>
        <w:wordWrap/>
        <w:overflowPunct/>
        <w:topLinePunct w:val="0"/>
        <w:autoSpaceDE/>
        <w:autoSpaceDN/>
        <w:bidi w:val="0"/>
        <w:spacing w:line="600" w:lineRule="exact"/>
        <w:ind w:firstLine="633"/>
        <w:jc w:val="both"/>
        <w:textAlignment w:val="auto"/>
        <w:rPr>
          <w:rFonts w:hint="eastAsia"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t>3.开展智能网联汽车“车路云一体化”应用试点。</w:t>
      </w:r>
      <w:r>
        <w:rPr>
          <w:rFonts w:hint="eastAsia" w:ascii="仿宋_GB2312" w:hAnsi="仿宋_GB2312" w:eastAsia="仿宋_GB2312" w:cs="仿宋_GB2312"/>
          <w:color w:val="000000" w:themeColor="text1"/>
          <w:sz w:val="32"/>
          <w:szCs w:val="32"/>
          <w:highlight w:val="none"/>
          <w14:textFill>
            <w14:solidFill>
              <w14:schemeClr w14:val="tx1"/>
            </w14:solidFill>
          </w14:textFill>
        </w:rPr>
        <w:t>加快建设智能网联汽车配套基础设施，提升智能化路侧基础设施与云控基础平台覆盖率，带动提升车载终端搭载率，为全国规模化应用推广奠定基础。结合智慧城市建设，因地制宜开展多场景规模化应用试点。积极探索“车路云一体化”系统在智慧环卫、城市交通等领域的商业化应用场景，形成互融共生、分工合作、利益共享的新型商业模式。</w:t>
      </w:r>
      <w:r>
        <w:rPr>
          <w:rFonts w:hint="eastAsia" w:ascii="楷体_GB2312" w:hAnsi="楷体_GB2312" w:eastAsia="楷体_GB2312" w:cs="楷体_GB2312"/>
          <w:color w:val="000000" w:themeColor="text1"/>
          <w:sz w:val="32"/>
          <w:szCs w:val="32"/>
          <w:highlight w:val="none"/>
          <w14:textFill>
            <w14:solidFill>
              <w14:schemeClr w14:val="tx1"/>
            </w14:solidFill>
          </w14:textFill>
        </w:rPr>
        <w:t>（牵头单位：城建处，责任单位：城管处、信息中心，市州住建部门）</w:t>
      </w:r>
    </w:p>
    <w:p w14:paraId="335C4D41">
      <w:pPr>
        <w:keepNext w:val="0"/>
        <w:keepLines w:val="0"/>
        <w:pageBreakBefore w:val="0"/>
        <w:widowControl w:val="0"/>
        <w:kinsoku/>
        <w:wordWrap/>
        <w:overflowPunct/>
        <w:topLinePunct w:val="0"/>
        <w:autoSpaceDE/>
        <w:autoSpaceDN/>
        <w:bidi w:val="0"/>
        <w:spacing w:line="600" w:lineRule="exact"/>
        <w:ind w:firstLine="633"/>
        <w:jc w:val="both"/>
        <w:textAlignment w:val="auto"/>
        <w:rPr>
          <w:rFonts w:hint="eastAsia"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shd w:val="clear" w:color="auto" w:fill="FFFFFF"/>
          <w14:textFill>
            <w14:solidFill>
              <w14:schemeClr w14:val="tx1"/>
            </w14:solidFill>
          </w14:textFill>
        </w:rPr>
        <w:t>4.</w:t>
      </w:r>
      <w:r>
        <w:rPr>
          <w:rFonts w:hint="eastAsia" w:ascii="仿宋_GB2312" w:eastAsia="仿宋_GB2312"/>
          <w:b/>
          <w:bCs/>
          <w:color w:val="000000" w:themeColor="text1"/>
          <w:sz w:val="32"/>
          <w:szCs w:val="32"/>
          <w:highlight w:val="none"/>
          <w14:textFill>
            <w14:solidFill>
              <w14:schemeClr w14:val="tx1"/>
            </w14:solidFill>
          </w14:textFill>
        </w:rPr>
        <w:t>提升城市治理智能化水平</w:t>
      </w:r>
      <w:r>
        <w:rPr>
          <w:rFonts w:hint="eastAsia" w:ascii="仿宋_GB2312" w:hAnsi="仿宋_GB2312" w:eastAsia="仿宋_GB2312" w:cs="仿宋_GB2312"/>
          <w:b/>
          <w:bCs/>
          <w:color w:val="000000" w:themeColor="text1"/>
          <w:sz w:val="32"/>
          <w:szCs w:val="32"/>
          <w:highlight w:val="none"/>
          <w:shd w:val="clear" w:color="auto" w:fill="FFFFFF"/>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建立集感知、分析、服务、指挥、监察等为一体的城市运行管理服务平台，提升城市科学化、精细化、智能化管理水平。支持环卫、市政、园林企业加强新技术新设备的应用和研发，加强与人工智能、信息技术、大数据、遥感等领域的深度融合。制定智慧环卫、市政、园林相关行业标准，促进行业规范化发展。鼓励环卫、市政、园林与科技、文创、科普相结合的新业态，促进城市管理向公共服务载体转变。</w:t>
      </w:r>
      <w:r>
        <w:rPr>
          <w:rFonts w:hint="eastAsia" w:ascii="楷体_GB2312" w:hAnsi="楷体_GB2312" w:eastAsia="楷体_GB2312" w:cs="楷体_GB2312"/>
          <w:color w:val="000000" w:themeColor="text1"/>
          <w:sz w:val="32"/>
          <w:szCs w:val="32"/>
          <w:highlight w:val="none"/>
          <w14:textFill>
            <w14:solidFill>
              <w14:schemeClr w14:val="tx1"/>
            </w14:solidFill>
          </w14:textFill>
        </w:rPr>
        <w:t>（牵头单位：城管处，责任单位：城建处、标科处、信息中心，市州住建部门）</w:t>
      </w:r>
    </w:p>
    <w:p w14:paraId="746A8392">
      <w:pPr>
        <w:keepNext w:val="0"/>
        <w:keepLines w:val="0"/>
        <w:pageBreakBefore w:val="0"/>
        <w:widowControl w:val="0"/>
        <w:kinsoku/>
        <w:wordWrap/>
        <w:overflowPunct/>
        <w:topLinePunct w:val="0"/>
        <w:autoSpaceDE/>
        <w:autoSpaceDN/>
        <w:bidi w:val="0"/>
        <w:spacing w:line="600" w:lineRule="exact"/>
        <w:ind w:firstLine="630"/>
        <w:jc w:val="both"/>
        <w:textAlignment w:val="auto"/>
        <w:rPr>
          <w:rFonts w:hint="eastAsia" w:ascii="楷体_GB2312" w:hAnsi="楷体_GB2312" w:eastAsia="楷体_GB2312" w:cs="楷体_GB2312"/>
          <w:color w:val="000000" w:themeColor="text1"/>
          <w:sz w:val="32"/>
          <w:szCs w:val="32"/>
          <w:highlight w:val="none"/>
          <w:shd w:val="clear" w:color="auto" w:fill="FFFFFF"/>
          <w14:textFill>
            <w14:solidFill>
              <w14:schemeClr w14:val="tx1"/>
            </w14:solidFill>
          </w14:textFill>
        </w:rPr>
      </w:pPr>
      <w:r>
        <w:rPr>
          <w:rFonts w:hint="eastAsia" w:ascii="楷体_GB2312" w:hAnsi="楷体_GB2312" w:eastAsia="楷体_GB2312" w:cs="楷体_GB2312"/>
          <w:color w:val="000000" w:themeColor="text1"/>
          <w:sz w:val="32"/>
          <w:szCs w:val="32"/>
          <w:highlight w:val="none"/>
          <w:shd w:val="clear" w:color="auto" w:fill="FFFFFF"/>
          <w14:textFill>
            <w14:solidFill>
              <w14:schemeClr w14:val="tx1"/>
            </w14:solidFill>
          </w14:textFill>
        </w:rPr>
        <w:t>（二）推进智能建造，培育建筑业新质生产力</w:t>
      </w:r>
    </w:p>
    <w:p w14:paraId="67D330B5">
      <w:pPr>
        <w:keepNext w:val="0"/>
        <w:keepLines w:val="0"/>
        <w:pageBreakBefore w:val="0"/>
        <w:widowControl w:val="0"/>
        <w:kinsoku/>
        <w:wordWrap/>
        <w:overflowPunct/>
        <w:topLinePunct w:val="0"/>
        <w:autoSpaceDE/>
        <w:autoSpaceDN/>
        <w:bidi w:val="0"/>
        <w:adjustRightInd w:val="0"/>
        <w:snapToGrid w:val="0"/>
        <w:spacing w:line="600" w:lineRule="exact"/>
        <w:ind w:firstLine="633"/>
        <w:jc w:val="both"/>
        <w:textAlignment w:val="auto"/>
        <w:rPr>
          <w:rFonts w:hint="eastAsia"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5.大力发展BIM正向设计。</w:t>
      </w:r>
      <w:r>
        <w:rPr>
          <w:rFonts w:hint="eastAsia" w:ascii="仿宋_GB2312" w:eastAsia="仿宋_GB2312"/>
          <w:bCs/>
          <w:color w:val="000000" w:themeColor="text1"/>
          <w:sz w:val="32"/>
          <w:szCs w:val="32"/>
          <w:highlight w:val="none"/>
          <w14:textFill>
            <w14:solidFill>
              <w14:schemeClr w14:val="tx1"/>
            </w14:solidFill>
          </w14:textFill>
        </w:rPr>
        <w:t>加快推进智能建造BIM云平台建设，</w:t>
      </w:r>
      <w:r>
        <w:rPr>
          <w:rFonts w:ascii="仿宋_GB2312" w:eastAsia="仿宋_GB2312"/>
          <w:bCs/>
          <w:color w:val="000000" w:themeColor="text1"/>
          <w:sz w:val="32"/>
          <w:szCs w:val="32"/>
          <w:highlight w:val="none"/>
          <w14:textFill>
            <w14:solidFill>
              <w14:schemeClr w14:val="tx1"/>
            </w14:solidFill>
          </w14:textFill>
        </w:rPr>
        <w:t>联合发改、经信、自然资源、数据局等部门印发实施《关于推进建筑信息模型（BIM）技术全流程应用的指导意见</w:t>
      </w:r>
      <w:r>
        <w:rPr>
          <w:rFonts w:ascii="仿宋_GB2312" w:eastAsia="仿宋_GB2312"/>
          <w:color w:val="000000" w:themeColor="text1"/>
          <w:sz w:val="32"/>
          <w:szCs w:val="32"/>
          <w:highlight w:val="none"/>
          <w14:textFill>
            <w14:solidFill>
              <w14:schemeClr w14:val="tx1"/>
            </w14:solidFill>
          </w14:textFill>
        </w:rPr>
        <w:t>》，为建设领域BIM技术</w:t>
      </w:r>
      <w:r>
        <w:rPr>
          <w:rFonts w:hint="eastAsia" w:ascii="仿宋_GB2312" w:eastAsia="仿宋_GB2312"/>
          <w:color w:val="000000" w:themeColor="text1"/>
          <w:sz w:val="32"/>
          <w:szCs w:val="32"/>
          <w:highlight w:val="none"/>
          <w14:textFill>
            <w14:solidFill>
              <w14:schemeClr w14:val="tx1"/>
            </w14:solidFill>
          </w14:textFill>
        </w:rPr>
        <w:t>应用</w:t>
      </w:r>
      <w:r>
        <w:rPr>
          <w:rFonts w:ascii="仿宋_GB2312" w:eastAsia="仿宋_GB2312"/>
          <w:color w:val="000000" w:themeColor="text1"/>
          <w:sz w:val="32"/>
          <w:szCs w:val="32"/>
          <w:highlight w:val="none"/>
          <w14:textFill>
            <w14:solidFill>
              <w14:schemeClr w14:val="tx1"/>
            </w14:solidFill>
          </w14:textFill>
        </w:rPr>
        <w:t>提供软硬件和政策支撑。</w:t>
      </w:r>
      <w:r>
        <w:rPr>
          <w:rFonts w:hint="eastAsia" w:ascii="仿宋_GB2312" w:eastAsia="仿宋_GB2312"/>
          <w:color w:val="000000" w:themeColor="text1"/>
          <w:sz w:val="32"/>
          <w:szCs w:val="32"/>
          <w:highlight w:val="none"/>
          <w14:textFill>
            <w14:solidFill>
              <w14:schemeClr w14:val="tx1"/>
            </w14:solidFill>
          </w14:textFill>
        </w:rPr>
        <w:t>积极构建和丰富BIM云平台及BIM技术应用生态，推动BIM技术在规划设计、方案设计、结构体系设计与优化、构部件（节点）深化设计和施工图设计等全过程深化应用，实现基于BIM的设计优化、工程算量、施工过程溯源管理及竣工档案数字化交付。</w:t>
      </w:r>
      <w:r>
        <w:rPr>
          <w:rFonts w:hint="eastAsia" w:ascii="楷体_GB2312" w:hAnsi="楷体_GB2312" w:eastAsia="楷体_GB2312" w:cs="楷体_GB2312"/>
          <w:color w:val="000000" w:themeColor="text1"/>
          <w:sz w:val="32"/>
          <w:szCs w:val="32"/>
          <w:highlight w:val="none"/>
          <w14:textFill>
            <w14:solidFill>
              <w14:schemeClr w14:val="tx1"/>
            </w14:solidFill>
          </w14:textFill>
        </w:rPr>
        <w:t>（牵头单位：市场处，责任单位：质安处、标科处、建筑事业中心、质安总站、信息中心，市州住建部门）</w:t>
      </w:r>
    </w:p>
    <w:p w14:paraId="2B590A1D">
      <w:pPr>
        <w:keepNext w:val="0"/>
        <w:keepLines w:val="0"/>
        <w:pageBreakBefore w:val="0"/>
        <w:widowControl w:val="0"/>
        <w:kinsoku/>
        <w:wordWrap/>
        <w:overflowPunct/>
        <w:topLinePunct w:val="0"/>
        <w:autoSpaceDE/>
        <w:autoSpaceDN/>
        <w:bidi w:val="0"/>
        <w:adjustRightInd w:val="0"/>
        <w:snapToGrid w:val="0"/>
        <w:spacing w:line="600" w:lineRule="exact"/>
        <w:ind w:firstLine="633"/>
        <w:jc w:val="both"/>
        <w:textAlignment w:val="auto"/>
        <w:rPr>
          <w:rFonts w:hint="eastAsia"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6.积极推进数字化驱动生产。</w:t>
      </w:r>
      <w:r>
        <w:rPr>
          <w:rFonts w:hint="eastAsia" w:ascii="仿宋_GB2312" w:eastAsia="仿宋_GB2312"/>
          <w:bCs/>
          <w:color w:val="000000" w:themeColor="text1"/>
          <w:sz w:val="32"/>
          <w:szCs w:val="32"/>
          <w:highlight w:val="none"/>
          <w14:textFill>
            <w14:solidFill>
              <w14:schemeClr w14:val="tx1"/>
            </w14:solidFill>
          </w14:textFill>
        </w:rPr>
        <w:t>通过BIM正向设计和智能建造BIM云平台应用，大力提高建造过程的数字化水平，促进企业级管理平台的建设和发展，实现数据驱动产线协同生产。建立三维数字化构件产品库，推广应用《湖北省装配式预制混凝土建筑标准化构件部品库》《湖北省装配式混凝土结构住宅主要构件尺寸指南》。加快智能生产设备、生产工艺研发，通过产学研联合创新，推进制造技术突破和部品部件生产、仓储、运输等工艺工法创新。推进生产信息化管理，基于数据驱动生产，建立贯穿设计、采购、生产、仓储物流等全生产链条的智能工厂生产供应链管理系统，</w:t>
      </w:r>
      <w:r>
        <w:rPr>
          <w:rFonts w:hint="eastAsia" w:ascii="仿宋_GB2312" w:eastAsia="仿宋_GB2312"/>
          <w:color w:val="000000" w:themeColor="text1"/>
          <w:sz w:val="32"/>
          <w:szCs w:val="32"/>
          <w:highlight w:val="none"/>
          <w14:textFill>
            <w14:solidFill>
              <w14:schemeClr w14:val="tx1"/>
            </w14:solidFill>
          </w14:textFill>
        </w:rPr>
        <w:t>通过数字孪生技术在构件出厂前完成数字化预拼装，</w:t>
      </w:r>
      <w:r>
        <w:rPr>
          <w:rFonts w:hint="eastAsia" w:ascii="仿宋_GB2312" w:eastAsia="仿宋_GB2312"/>
          <w:bCs/>
          <w:color w:val="000000" w:themeColor="text1"/>
          <w:sz w:val="32"/>
          <w:szCs w:val="32"/>
          <w:highlight w:val="none"/>
          <w14:textFill>
            <w14:solidFill>
              <w14:schemeClr w14:val="tx1"/>
            </w14:solidFill>
          </w14:textFill>
        </w:rPr>
        <w:t>全面提升生产管理的高效性、准确性</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楷体_GB2312" w:hAnsi="楷体_GB2312" w:eastAsia="楷体_GB2312" w:cs="楷体_GB2312"/>
          <w:color w:val="000000" w:themeColor="text1"/>
          <w:sz w:val="32"/>
          <w:szCs w:val="32"/>
          <w:highlight w:val="none"/>
          <w14:textFill>
            <w14:solidFill>
              <w14:schemeClr w14:val="tx1"/>
            </w14:solidFill>
          </w14:textFill>
        </w:rPr>
        <w:t>（牵头单位：市场处，责任单位：质安处、标科处、建筑事业中心、信息中心，市州住建部门）</w:t>
      </w:r>
    </w:p>
    <w:p w14:paraId="6AF35C07">
      <w:pPr>
        <w:keepNext w:val="0"/>
        <w:keepLines w:val="0"/>
        <w:pageBreakBefore w:val="0"/>
        <w:widowControl w:val="0"/>
        <w:kinsoku/>
        <w:wordWrap/>
        <w:overflowPunct/>
        <w:topLinePunct w:val="0"/>
        <w:autoSpaceDE/>
        <w:autoSpaceDN/>
        <w:bidi w:val="0"/>
        <w:adjustRightInd w:val="0"/>
        <w:snapToGrid w:val="0"/>
        <w:spacing w:line="600" w:lineRule="exact"/>
        <w:ind w:firstLine="633"/>
        <w:jc w:val="both"/>
        <w:textAlignment w:val="auto"/>
        <w:rPr>
          <w:rFonts w:hint="eastAsia"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7.全力推动数字化智能化施工。</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鼓励支持企业研发应用智能施工装备，积极培育和发展智能建造“机器人”（装备）租赁市场。推进“BIM平台上的装配式+机器人”建造模式，大力发展BIM技术和装配式建筑，推广应用建筑机器人、智能施工电梯、5G无人塔吊、轻型造楼机等智能建造装备。大力发展服务于智能建造的工程组织方式，推行工程全过程咨询、工程总承包和建筑师负责制。</w:t>
      </w:r>
      <w:r>
        <w:rPr>
          <w:rFonts w:hint="eastAsia" w:ascii="仿宋_GB2312" w:eastAsia="仿宋_GB2312"/>
          <w:bCs/>
          <w:color w:val="000000" w:themeColor="text1"/>
          <w:sz w:val="32"/>
          <w:szCs w:val="32"/>
          <w:highlight w:val="none"/>
          <w14:textFill>
            <w14:solidFill>
              <w14:schemeClr w14:val="tx1"/>
            </w14:solidFill>
          </w14:textFill>
        </w:rPr>
        <w:t>加快“楚智建”平台的建设和应用，推进施工管理可视化、智慧化、可追溯，提高施工管理效率和决策水平。</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落实《智能建造评价标准》，推进智能建造城市试点和项目试点扩面提质。</w:t>
      </w:r>
      <w:r>
        <w:rPr>
          <w:rFonts w:hint="eastAsia" w:ascii="楷体_GB2312" w:hAnsi="楷体_GB2312" w:eastAsia="楷体_GB2312" w:cs="楷体_GB2312"/>
          <w:color w:val="000000" w:themeColor="text1"/>
          <w:sz w:val="32"/>
          <w:szCs w:val="32"/>
          <w:highlight w:val="none"/>
          <w14:textFill>
            <w14:solidFill>
              <w14:schemeClr w14:val="tx1"/>
            </w14:solidFill>
          </w14:textFill>
        </w:rPr>
        <w:t>（牵头单位：市场处，责任单位：质安处、标科处、房产处、建筑事业中心、质安总站、信息中心，市州住建部门）</w:t>
      </w:r>
    </w:p>
    <w:p w14:paraId="0D307700">
      <w:pPr>
        <w:keepNext w:val="0"/>
        <w:keepLines w:val="0"/>
        <w:pageBreakBefore w:val="0"/>
        <w:widowControl w:val="0"/>
        <w:kinsoku/>
        <w:wordWrap/>
        <w:overflowPunct/>
        <w:topLinePunct w:val="0"/>
        <w:autoSpaceDE/>
        <w:autoSpaceDN/>
        <w:bidi w:val="0"/>
        <w:adjustRightInd w:val="0"/>
        <w:snapToGrid w:val="0"/>
        <w:spacing w:line="600" w:lineRule="exact"/>
        <w:ind w:firstLine="633"/>
        <w:jc w:val="both"/>
        <w:textAlignment w:val="auto"/>
        <w:rPr>
          <w:rFonts w:hint="eastAsia"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8.</w:t>
      </w:r>
      <w:r>
        <w:rPr>
          <w:rFonts w:hint="eastAsia" w:ascii="仿宋_GB2312" w:hAnsi="仿宋_GB2312" w:eastAsia="仿宋_GB2312" w:cs="仿宋_GB2312"/>
          <w:b/>
          <w:color w:val="000000" w:themeColor="text1"/>
          <w:sz w:val="32"/>
          <w:szCs w:val="32"/>
          <w:highlight w:val="none"/>
          <w14:textFill>
            <w14:solidFill>
              <w14:schemeClr w14:val="tx1"/>
            </w14:solidFill>
          </w14:textFill>
        </w:rPr>
        <w:t>大力培育智能建造产业生态。</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树立全生命周期理念，积极发展智慧运维，实现设计、制造、施工和运维各阶段的无缝对接和高效协同。</w:t>
      </w:r>
      <w:r>
        <w:rPr>
          <w:rFonts w:hint="eastAsia" w:ascii="仿宋_GB2312" w:eastAsia="仿宋_GB2312"/>
          <w:bCs/>
          <w:color w:val="000000" w:themeColor="text1"/>
          <w:sz w:val="32"/>
          <w:szCs w:val="32"/>
          <w:highlight w:val="none"/>
          <w14:textFill>
            <w14:solidFill>
              <w14:schemeClr w14:val="tx1"/>
            </w14:solidFill>
          </w14:textFill>
        </w:rPr>
        <w:t>聚焦“好房子”“五好”标准，推动基于BIM的竣工验收管理，完善数字化成果交付、审查和存档管理体系，实现数字化建造信息共享，推进与城市信息模型（CIM）平台的融通联动。搭建“天地商金”四网协同、开放共享、高效联通的智能建造供应链平台，促进高水平供需平衡。充分发挥省智能建造产业协作联盟作用，培育一批企业相对集中、特色优势明显、配套结构合理、集成效益突出的产业集群，逐步形成产业链完整齐全、供应链稳固畅通、创新链深度融合的产业发展格局</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楷体_GB2312" w:hAnsi="楷体_GB2312" w:eastAsia="楷体_GB2312" w:cs="楷体_GB2312"/>
          <w:color w:val="000000" w:themeColor="text1"/>
          <w:sz w:val="32"/>
          <w:szCs w:val="32"/>
          <w:highlight w:val="none"/>
          <w14:textFill>
            <w14:solidFill>
              <w14:schemeClr w14:val="tx1"/>
            </w14:solidFill>
          </w14:textFill>
        </w:rPr>
        <w:t>（牵头单位：市场处，责任单位：质安处、房产处、标科处、建筑事业中心、质安总站、信息中心，市州住建部门）</w:t>
      </w:r>
    </w:p>
    <w:p w14:paraId="312352B7">
      <w:pPr>
        <w:keepNext w:val="0"/>
        <w:keepLines w:val="0"/>
        <w:pageBreakBefore w:val="0"/>
        <w:widowControl w:val="0"/>
        <w:kinsoku/>
        <w:wordWrap/>
        <w:overflowPunct/>
        <w:topLinePunct w:val="0"/>
        <w:autoSpaceDE/>
        <w:autoSpaceDN/>
        <w:bidi w:val="0"/>
        <w:spacing w:line="600" w:lineRule="exact"/>
        <w:ind w:firstLine="633"/>
        <w:jc w:val="both"/>
        <w:textAlignment w:val="auto"/>
        <w:rPr>
          <w:rFonts w:hint="eastAsia"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t>9.推动绿色建材高质量发展。</w:t>
      </w:r>
      <w:r>
        <w:rPr>
          <w:rFonts w:hint="eastAsia" w:ascii="仿宋_GB2312" w:hAnsi="仿宋_GB2312" w:eastAsia="仿宋_GB2312" w:cs="仿宋_GB2312"/>
          <w:color w:val="000000" w:themeColor="text1"/>
          <w:sz w:val="32"/>
          <w:szCs w:val="32"/>
          <w:highlight w:val="none"/>
          <w14:textFill>
            <w14:solidFill>
              <w14:schemeClr w14:val="tx1"/>
            </w14:solidFill>
          </w14:textFill>
        </w:rPr>
        <w:t>大力推广应用绿色建材，开展绿色建材应用示范</w:t>
      </w:r>
      <w:r>
        <w:rPr>
          <w:rFonts w:hint="eastAsia" w:ascii="仿宋_GB2312" w:eastAsia="仿宋_GB2312"/>
          <w:bCs/>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搭建绿色建材供应链平台，引导供应链上下游企业加入平台，逐步扩大入库建材品类，构建绿色建材-绿色建筑-建筑垃圾资源化利用全生命周期工作闭环，推动绿色建材产业高质量发展。完善绿色建材采信数据库功能，扩大应用城市范围，做到全省覆盖。推动绿色建材应用要求贯穿规划、设计、图审、施工、验收、监管各阶段，积极融入智能建造供应链。2024年累计上线企业不少于</w:t>
      </w:r>
      <w:r>
        <w:rPr>
          <w:rFonts w:hint="default" w:ascii="仿宋_GB2312" w:hAnsi="仿宋_GB2312" w:eastAsia="仿宋_GB2312" w:cs="仿宋_GB2312"/>
          <w:color w:val="000000" w:themeColor="text1"/>
          <w:sz w:val="32"/>
          <w:szCs w:val="32"/>
          <w:highlight w:val="none"/>
          <w14:textFill>
            <w14:solidFill>
              <w14:schemeClr w14:val="tx1"/>
            </w14:solidFill>
          </w14:textFill>
        </w:rPr>
        <w:t>800</w:t>
      </w:r>
      <w:r>
        <w:rPr>
          <w:rFonts w:hint="eastAsia" w:ascii="仿宋_GB2312" w:hAnsi="仿宋_GB2312" w:eastAsia="仿宋_GB2312" w:cs="仿宋_GB2312"/>
          <w:color w:val="000000" w:themeColor="text1"/>
          <w:sz w:val="32"/>
          <w:szCs w:val="32"/>
          <w:highlight w:val="none"/>
          <w14:textFill>
            <w14:solidFill>
              <w14:schemeClr w14:val="tx1"/>
            </w14:solidFill>
          </w14:textFill>
        </w:rPr>
        <w:t>家，上线绿色建材产品不少于</w:t>
      </w:r>
      <w:r>
        <w:rPr>
          <w:rFonts w:hint="default" w:ascii="仿宋_GB2312" w:hAnsi="仿宋_GB2312" w:eastAsia="仿宋_GB2312" w:cs="仿宋_GB2312"/>
          <w:color w:val="000000" w:themeColor="text1"/>
          <w:sz w:val="32"/>
          <w:szCs w:val="32"/>
          <w:highlight w:val="none"/>
          <w14:textFill>
            <w14:solidFill>
              <w14:schemeClr w14:val="tx1"/>
            </w14:solidFill>
          </w14:textFill>
        </w:rPr>
        <w:t>1000</w:t>
      </w:r>
      <w:r>
        <w:rPr>
          <w:rFonts w:hint="eastAsia" w:ascii="仿宋_GB2312" w:hAnsi="仿宋_GB2312" w:eastAsia="仿宋_GB2312" w:cs="仿宋_GB2312"/>
          <w:color w:val="000000" w:themeColor="text1"/>
          <w:sz w:val="32"/>
          <w:szCs w:val="32"/>
          <w:highlight w:val="none"/>
          <w14:textFill>
            <w14:solidFill>
              <w14:schemeClr w14:val="tx1"/>
            </w14:solidFill>
          </w14:textFill>
        </w:rPr>
        <w:t>种。全省绿色建材年营业收入达到500亿元。</w:t>
      </w:r>
      <w:r>
        <w:rPr>
          <w:rFonts w:hint="eastAsia" w:ascii="楷体_GB2312" w:hAnsi="楷体_GB2312" w:eastAsia="楷体_GB2312" w:cs="楷体_GB2312"/>
          <w:color w:val="000000" w:themeColor="text1"/>
          <w:sz w:val="32"/>
          <w:szCs w:val="32"/>
          <w:highlight w:val="none"/>
          <w14:textFill>
            <w14:solidFill>
              <w14:schemeClr w14:val="tx1"/>
            </w14:solidFill>
          </w14:textFill>
        </w:rPr>
        <w:t>（牵头单位：标科处，责任单位：市场处、质安处、城管处、建筑事业中心、科技节能办，市州住建部门）</w:t>
      </w:r>
    </w:p>
    <w:p w14:paraId="14A56087">
      <w:pPr>
        <w:keepNext w:val="0"/>
        <w:keepLines w:val="0"/>
        <w:pageBreakBefore w:val="0"/>
        <w:widowControl w:val="0"/>
        <w:kinsoku/>
        <w:wordWrap/>
        <w:overflowPunct/>
        <w:topLinePunct w:val="0"/>
        <w:autoSpaceDE/>
        <w:autoSpaceDN/>
        <w:bidi w:val="0"/>
        <w:spacing w:line="600" w:lineRule="exact"/>
        <w:ind w:firstLine="630"/>
        <w:jc w:val="both"/>
        <w:textAlignment w:val="auto"/>
        <w:rPr>
          <w:rFonts w:hint="eastAsia" w:ascii="楷体_GB2312" w:hAnsi="楷体_GB2312" w:eastAsia="楷体_GB2312" w:cs="楷体_GB2312"/>
          <w:color w:val="000000" w:themeColor="text1"/>
          <w:sz w:val="32"/>
          <w:szCs w:val="32"/>
          <w:highlight w:val="none"/>
          <w:shd w:val="clear" w:color="auto" w:fill="FFFFFF"/>
          <w14:textFill>
            <w14:solidFill>
              <w14:schemeClr w14:val="tx1"/>
            </w14:solidFill>
          </w14:textFill>
        </w:rPr>
      </w:pPr>
      <w:r>
        <w:rPr>
          <w:rFonts w:hint="eastAsia" w:ascii="楷体_GB2312" w:hAnsi="楷体_GB2312" w:eastAsia="楷体_GB2312" w:cs="楷体_GB2312"/>
          <w:color w:val="000000" w:themeColor="text1"/>
          <w:sz w:val="32"/>
          <w:szCs w:val="32"/>
          <w:highlight w:val="none"/>
          <w:shd w:val="clear" w:color="auto" w:fill="FFFFFF"/>
          <w14:textFill>
            <w14:solidFill>
              <w14:schemeClr w14:val="tx1"/>
            </w14:solidFill>
          </w14:textFill>
        </w:rPr>
        <w:t>（三）聚焦智慧生活，培育房地产业新质生产力</w:t>
      </w:r>
    </w:p>
    <w:p w14:paraId="225C08AE">
      <w:pPr>
        <w:keepNext w:val="0"/>
        <w:keepLines w:val="0"/>
        <w:pageBreakBefore w:val="0"/>
        <w:widowControl w:val="0"/>
        <w:kinsoku/>
        <w:wordWrap/>
        <w:overflowPunct/>
        <w:topLinePunct w:val="0"/>
        <w:autoSpaceDE/>
        <w:autoSpaceDN/>
        <w:bidi w:val="0"/>
        <w:spacing w:line="600" w:lineRule="exact"/>
        <w:ind w:firstLine="633"/>
        <w:jc w:val="both"/>
        <w:textAlignment w:val="auto"/>
        <w:rPr>
          <w:rFonts w:hint="eastAsia" w:ascii="楷体_GB2312" w:hAnsi="楷体_GB2312" w:eastAsia="楷体_GB2312" w:cs="楷体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shd w:val="clear" w:color="auto" w:fill="FFFFFF"/>
          <w14:textFill>
            <w14:solidFill>
              <w14:schemeClr w14:val="tx1"/>
            </w14:solidFill>
          </w14:textFill>
        </w:rPr>
        <w:t>10.完善住房供应链体系。</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积极探索构建房地产发展新模式，</w:t>
      </w:r>
      <w:r>
        <w:rPr>
          <w:rFonts w:hint="eastAsia" w:ascii="仿宋_GB2312" w:eastAsia="仿宋_GB2312"/>
          <w:color w:val="000000" w:themeColor="text1"/>
          <w:sz w:val="32"/>
          <w:szCs w:val="32"/>
          <w:highlight w:val="none"/>
          <w14:textFill>
            <w14:solidFill>
              <w14:schemeClr w14:val="tx1"/>
            </w14:solidFill>
          </w14:textFill>
        </w:rPr>
        <w:t>加快全省住房供应链平台建设，推动市州住房供应链平台高效运营，实现住房需求归集、供应交易、配套服务等信息互联互通。聚集居民、政府、开发商、金融机构等多方主体的供需两端信息，集成金融服务、建设服务、生活服务，为居民提供多层次、个性化的住房服务场景，为企业推送精准适配的住房需求，提升住房服务上下游产业价值链。2027年前推动至少1000家企业、1000个楼盘上链交易。</w:t>
      </w:r>
      <w:r>
        <w:rPr>
          <w:rFonts w:hint="eastAsia" w:ascii="楷体_GB2312" w:hAnsi="楷体_GB2312" w:eastAsia="楷体_GB2312" w:cs="楷体_GB2312"/>
          <w:color w:val="000000" w:themeColor="text1"/>
          <w:sz w:val="32"/>
          <w:szCs w:val="32"/>
          <w:highlight w:val="none"/>
          <w14:textFill>
            <w14:solidFill>
              <w14:schemeClr w14:val="tx1"/>
            </w14:solidFill>
          </w14:textFill>
        </w:rPr>
        <w:t>（牵头单位：住保处，责任单位：房产处、住保中心，市州住建部门）</w:t>
      </w:r>
    </w:p>
    <w:p w14:paraId="2BD4D49E">
      <w:pPr>
        <w:keepNext w:val="0"/>
        <w:keepLines w:val="0"/>
        <w:pageBreakBefore w:val="0"/>
        <w:widowControl w:val="0"/>
        <w:kinsoku/>
        <w:wordWrap/>
        <w:overflowPunct/>
        <w:topLinePunct w:val="0"/>
        <w:autoSpaceDE/>
        <w:autoSpaceDN/>
        <w:bidi w:val="0"/>
        <w:spacing w:line="600" w:lineRule="exact"/>
        <w:ind w:firstLine="633"/>
        <w:jc w:val="both"/>
        <w:textAlignment w:val="auto"/>
        <w:rPr>
          <w:rFonts w:hint="eastAsia"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shd w:val="clear" w:color="auto" w:fill="FFFFFF"/>
          <w14:textFill>
            <w14:solidFill>
              <w14:schemeClr w14:val="tx1"/>
            </w14:solidFill>
          </w14:textFill>
        </w:rPr>
        <w:t>11.推进智慧小区建设。</w:t>
      </w:r>
      <w:r>
        <w:rPr>
          <w:rFonts w:hint="eastAsia" w:ascii="仿宋_GB2312" w:hAnsi="仿宋_GB2312" w:eastAsia="仿宋_GB2312" w:cs="仿宋_GB2312"/>
          <w:color w:val="000000" w:themeColor="text1"/>
          <w:sz w:val="32"/>
          <w:szCs w:val="32"/>
          <w:highlight w:val="none"/>
          <w14:textFill>
            <w14:solidFill>
              <w14:schemeClr w14:val="tx1"/>
            </w14:solidFill>
          </w14:textFill>
        </w:rPr>
        <w:t>加强数据互通、平台对接，推进智慧小区试点项目建设，加快智慧通行、智慧安防、智慧物业、智慧节能、智慧生活五大类36项场景建设，2024年底前评估发布不少于20个智慧小区试点项目，今后每年发布10个智慧小区示范项目，加快探索可复制、可推广的智慧小区建设模式，发布一套智慧小区建设系列标准，建成一批绿色、智慧、舒适、愉悦的智慧小区。</w:t>
      </w:r>
      <w:r>
        <w:rPr>
          <w:rFonts w:hint="eastAsia" w:ascii="楷体_GB2312" w:hAnsi="楷体_GB2312" w:eastAsia="楷体_GB2312" w:cs="楷体_GB2312"/>
          <w:color w:val="000000" w:themeColor="text1"/>
          <w:sz w:val="32"/>
          <w:szCs w:val="32"/>
          <w:highlight w:val="none"/>
          <w14:textFill>
            <w14:solidFill>
              <w14:schemeClr w14:val="tx1"/>
            </w14:solidFill>
          </w14:textFill>
        </w:rPr>
        <w:t>（牵头单位：科技节能办，责任单位：标科处、房产处、城建处，市州住建部门）</w:t>
      </w:r>
    </w:p>
    <w:p w14:paraId="70CC896C">
      <w:pPr>
        <w:keepNext w:val="0"/>
        <w:keepLines w:val="0"/>
        <w:pageBreakBefore w:val="0"/>
        <w:widowControl w:val="0"/>
        <w:kinsoku/>
        <w:wordWrap/>
        <w:overflowPunct/>
        <w:topLinePunct w:val="0"/>
        <w:autoSpaceDE/>
        <w:autoSpaceDN/>
        <w:bidi w:val="0"/>
        <w:spacing w:line="600" w:lineRule="exact"/>
        <w:ind w:firstLine="633"/>
        <w:jc w:val="both"/>
        <w:textAlignment w:val="auto"/>
        <w:rPr>
          <w:rFonts w:hint="eastAsia"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shd w:val="clear" w:color="auto" w:fill="FFFFFF"/>
          <w14:textFill>
            <w14:solidFill>
              <w14:schemeClr w14:val="tx1"/>
            </w14:solidFill>
          </w14:textFill>
        </w:rPr>
        <w:t>12.</w:t>
      </w:r>
      <w:r>
        <w:rPr>
          <w:rFonts w:ascii="仿宋_GB2312" w:hAnsi="仿宋_GB2312" w:eastAsia="仿宋_GB2312" w:cs="仿宋_GB2312"/>
          <w:b/>
          <w:bCs/>
          <w:color w:val="000000" w:themeColor="text1"/>
          <w:sz w:val="32"/>
          <w:szCs w:val="32"/>
          <w:highlight w:val="none"/>
          <w:shd w:val="clear" w:color="auto" w:fill="FFFFFF"/>
          <w14:textFill>
            <w14:solidFill>
              <w14:schemeClr w14:val="tx1"/>
            </w14:solidFill>
          </w14:textFill>
        </w:rPr>
        <w:t>引导</w:t>
      </w:r>
      <w:r>
        <w:rPr>
          <w:rFonts w:hint="eastAsia" w:ascii="仿宋_GB2312" w:hAnsi="仿宋_GB2312" w:eastAsia="仿宋_GB2312" w:cs="仿宋_GB2312"/>
          <w:b/>
          <w:bCs/>
          <w:color w:val="000000" w:themeColor="text1"/>
          <w:sz w:val="32"/>
          <w:szCs w:val="32"/>
          <w:highlight w:val="none"/>
          <w:shd w:val="clear" w:color="auto" w:fill="FFFFFF"/>
          <w14:textFill>
            <w14:solidFill>
              <w14:schemeClr w14:val="tx1"/>
            </w14:solidFill>
          </w14:textFill>
        </w:rPr>
        <w:t>数字家庭建设。</w:t>
      </w:r>
      <w:r>
        <w:rPr>
          <w:rFonts w:hint="eastAsia" w:ascii="仿宋_GB2312" w:hAnsi="仿宋_GB2312" w:eastAsia="仿宋_GB2312" w:cs="仿宋_GB2312"/>
          <w:color w:val="000000" w:themeColor="text1"/>
          <w:sz w:val="32"/>
          <w:szCs w:val="32"/>
          <w:highlight w:val="none"/>
          <w14:textFill>
            <w14:solidFill>
              <w14:schemeClr w14:val="tx1"/>
            </w14:solidFill>
          </w14:textFill>
        </w:rPr>
        <w:t>加强数字家庭技术研究，推进数字家庭智能化应用接入。开发“楚慧家”智能家居中控网关产品，搭建智能家居基础平台，发布智能家居建设指引，开展“楚慧家”智能家居试点，促进数字家庭产业发展和智能家居产品推广应用。到2025年底，新建全装修住宅和社区配套设施全面具备通信连接能力，拥有必要的智能产品；既有住宅和社区配套设施拥有一定的智能产品，数字化改造初见成效；初步形成房地产开发、产品研发生产、运营服务等有序发展的数字家庭产业生态；逐步完善健康、教育、娱乐、医疗、健身、智慧广电及其他数字家庭生活服务系统。</w:t>
      </w:r>
      <w:r>
        <w:rPr>
          <w:rFonts w:hint="eastAsia" w:ascii="楷体_GB2312" w:hAnsi="楷体_GB2312" w:eastAsia="楷体_GB2312" w:cs="楷体_GB2312"/>
          <w:color w:val="000000" w:themeColor="text1"/>
          <w:sz w:val="32"/>
          <w:szCs w:val="32"/>
          <w:highlight w:val="none"/>
          <w14:textFill>
            <w14:solidFill>
              <w14:schemeClr w14:val="tx1"/>
            </w14:solidFill>
          </w14:textFill>
        </w:rPr>
        <w:t>（牵头单位：科技节能办，责任单位：标科处、房产处、信息中心，市州住建部门）</w:t>
      </w:r>
    </w:p>
    <w:p w14:paraId="5AA03E9E">
      <w:pPr>
        <w:keepNext w:val="0"/>
        <w:keepLines w:val="0"/>
        <w:pageBreakBefore w:val="0"/>
        <w:widowControl w:val="0"/>
        <w:kinsoku/>
        <w:wordWrap/>
        <w:overflowPunct/>
        <w:topLinePunct w:val="0"/>
        <w:autoSpaceDE/>
        <w:autoSpaceDN/>
        <w:bidi w:val="0"/>
        <w:spacing w:line="600" w:lineRule="exact"/>
        <w:ind w:firstLine="630"/>
        <w:jc w:val="both"/>
        <w:textAlignment w:val="auto"/>
        <w:rPr>
          <w:rFonts w:hint="eastAsia" w:ascii="黑体" w:hAnsi="黑体" w:eastAsia="黑体" w:cs="黑体"/>
          <w:color w:val="000000" w:themeColor="text1"/>
          <w:sz w:val="32"/>
          <w:szCs w:val="32"/>
          <w:highlight w:val="none"/>
          <w:shd w:val="clear" w:color="auto" w:fill="FFFFFF"/>
          <w14:textFill>
            <w14:solidFill>
              <w14:schemeClr w14:val="tx1"/>
            </w14:solidFill>
          </w14:textFill>
        </w:rPr>
      </w:pPr>
      <w:r>
        <w:rPr>
          <w:rFonts w:hint="eastAsia" w:ascii="黑体" w:hAnsi="黑体" w:eastAsia="黑体" w:cs="黑体"/>
          <w:color w:val="000000" w:themeColor="text1"/>
          <w:sz w:val="32"/>
          <w:szCs w:val="32"/>
          <w:highlight w:val="none"/>
          <w:shd w:val="clear" w:color="auto" w:fill="FFFFFF"/>
          <w14:textFill>
            <w14:solidFill>
              <w14:schemeClr w14:val="tx1"/>
            </w14:solidFill>
          </w14:textFill>
        </w:rPr>
        <w:t>三、保障措施</w:t>
      </w:r>
    </w:p>
    <w:p w14:paraId="0042EABC">
      <w:pPr>
        <w:keepNext w:val="0"/>
        <w:keepLines w:val="0"/>
        <w:pageBreakBefore w:val="0"/>
        <w:widowControl w:val="0"/>
        <w:kinsoku/>
        <w:wordWrap/>
        <w:overflowPunct/>
        <w:topLinePunct w:val="0"/>
        <w:autoSpaceDE/>
        <w:autoSpaceDN/>
        <w:bidi w:val="0"/>
        <w:spacing w:line="600" w:lineRule="exact"/>
        <w:ind w:firstLine="630"/>
        <w:jc w:val="both"/>
        <w:textAlignment w:val="auto"/>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pPr>
      <w:r>
        <w:rPr>
          <w:rFonts w:hint="eastAsia" w:ascii="楷体_GB2312" w:hAnsi="楷体_GB2312" w:eastAsia="楷体_GB2312" w:cs="楷体_GB2312"/>
          <w:color w:val="000000" w:themeColor="text1"/>
          <w:sz w:val="32"/>
          <w:szCs w:val="32"/>
          <w:highlight w:val="none"/>
          <w:shd w:val="clear" w:color="auto" w:fill="FFFFFF"/>
          <w14:textFill>
            <w14:solidFill>
              <w14:schemeClr w14:val="tx1"/>
            </w14:solidFill>
          </w14:textFill>
        </w:rPr>
        <w:t>（一）加强组织领导</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。省住建厅成立培育和发展新质生产力领导小组，由厅主要领导担任组长，下设</w:t>
      </w:r>
      <w:r>
        <w:rPr>
          <w:rFonts w:hint="default" w:ascii="仿宋_GB2312" w:hAnsi="仿宋_GB2312" w:eastAsia="仿宋_GB2312" w:cs="仿宋_GB2312"/>
          <w:color w:val="000000" w:themeColor="text1"/>
          <w:sz w:val="32"/>
          <w:szCs w:val="32"/>
          <w:highlight w:val="none"/>
          <w:shd w:val="clear" w:color="auto" w:fill="FFFFFF"/>
          <w14:textFill>
            <w14:solidFill>
              <w14:schemeClr w14:val="tx1"/>
            </w14:solidFill>
          </w14:textFill>
        </w:rPr>
        <w:t>办公室</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w:t>
      </w:r>
      <w:r>
        <w:rPr>
          <w:rFonts w:hint="default" w:ascii="仿宋_GB2312" w:hAnsi="仿宋_GB2312" w:eastAsia="仿宋_GB2312" w:cs="仿宋_GB2312"/>
          <w:color w:val="000000" w:themeColor="text1"/>
          <w:sz w:val="32"/>
          <w:szCs w:val="32"/>
          <w:highlight w:val="none"/>
          <w:shd w:val="clear" w:color="auto" w:fill="FFFFFF"/>
          <w14:textFill>
            <w14:solidFill>
              <w14:schemeClr w14:val="tx1"/>
            </w14:solidFill>
          </w14:textFill>
        </w:rPr>
        <w:t>办公室设在标科处，</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主要研究解决全局性、长远性的重大问题和跨区域、跨部门的重大事项；构建省市联动的协同机制，推动资源整合和重大项目建设；建立新质生产力培育重点任务清单，分年度实施推进并开展评估。各市州住建部门要根据本方案，制定本地发展新质生产力的工作计划，建立协同推进工作机制，确保任务目标如期实现。</w:t>
      </w:r>
    </w:p>
    <w:p w14:paraId="6805DC38">
      <w:pPr>
        <w:keepNext w:val="0"/>
        <w:keepLines w:val="0"/>
        <w:pageBreakBefore w:val="0"/>
        <w:widowControl w:val="0"/>
        <w:kinsoku/>
        <w:wordWrap/>
        <w:overflowPunct/>
        <w:topLinePunct w:val="0"/>
        <w:autoSpaceDE/>
        <w:autoSpaceDN/>
        <w:bidi w:val="0"/>
        <w:spacing w:line="600" w:lineRule="exact"/>
        <w:ind w:firstLine="630"/>
        <w:jc w:val="both"/>
        <w:textAlignment w:val="auto"/>
        <w:rPr>
          <w:rFonts w:hint="eastAsia" w:ascii="楷体_GB2312" w:hAnsi="楷体_GB2312" w:eastAsia="楷体_GB2312" w:cs="楷体_GB2312"/>
          <w:color w:val="000000" w:themeColor="text1"/>
          <w:sz w:val="32"/>
          <w:szCs w:val="32"/>
          <w:highlight w:val="none"/>
          <w:shd w:val="clear" w:color="auto" w:fill="FFFFFF"/>
          <w14:textFill>
            <w14:solidFill>
              <w14:schemeClr w14:val="tx1"/>
            </w14:solidFill>
          </w14:textFill>
        </w:rPr>
      </w:pPr>
      <w:r>
        <w:rPr>
          <w:rFonts w:hint="eastAsia" w:ascii="楷体_GB2312" w:hAnsi="楷体_GB2312" w:eastAsia="楷体_GB2312" w:cs="楷体_GB2312"/>
          <w:color w:val="000000" w:themeColor="text1"/>
          <w:sz w:val="32"/>
          <w:szCs w:val="32"/>
          <w:highlight w:val="none"/>
          <w:shd w:val="clear" w:color="auto" w:fill="FFFFFF"/>
          <w14:textFill>
            <w14:solidFill>
              <w14:schemeClr w14:val="tx1"/>
            </w14:solidFill>
          </w14:textFill>
        </w:rPr>
        <w:t>（二）深化科技创新。</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强化科技创新对住建行业发展的支撑与引领作用，围绕新城建、建筑业、房地产等板块，培育科技创新平台和重点实验室，</w:t>
      </w:r>
      <w:r>
        <w:rPr>
          <w:rFonts w:hint="eastAsia" w:ascii="仿宋_GB2312" w:hAnsi="仿宋_GB2312" w:eastAsia="仿宋_GB2312" w:cs="仿宋_GB2312"/>
          <w:color w:val="000000" w:themeColor="text1"/>
          <w:sz w:val="32"/>
          <w:szCs w:val="32"/>
          <w:highlight w:val="none"/>
          <w14:textFill>
            <w14:solidFill>
              <w14:schemeClr w14:val="tx1"/>
            </w14:solidFill>
          </w14:textFill>
        </w:rPr>
        <w:t>开展智能建造关键技术、重大装备和基础软件系统研发和应用，</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重点科技项目揭榜挂帅和集中攻关。支持相关企业申报高新技术企业和专精特新企业，建立科技创新计划项目库，用新技术改造提升传统产业，不断壮大科技创新力量，加快科技创新成果应用转化，为新质生产力发展提供支撑。</w:t>
      </w:r>
    </w:p>
    <w:p w14:paraId="06320F55">
      <w:pPr>
        <w:keepNext w:val="0"/>
        <w:keepLines w:val="0"/>
        <w:pageBreakBefore w:val="0"/>
        <w:widowControl w:val="0"/>
        <w:kinsoku/>
        <w:wordWrap/>
        <w:overflowPunct/>
        <w:topLinePunct w:val="0"/>
        <w:autoSpaceDE/>
        <w:autoSpaceDN/>
        <w:bidi w:val="0"/>
        <w:spacing w:line="600" w:lineRule="exact"/>
        <w:ind w:firstLine="630"/>
        <w:jc w:val="both"/>
        <w:textAlignment w:val="auto"/>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pPr>
      <w:r>
        <w:rPr>
          <w:rFonts w:hint="eastAsia" w:ascii="楷体_GB2312" w:hAnsi="楷体_GB2312" w:eastAsia="楷体_GB2312" w:cs="楷体_GB2312"/>
          <w:color w:val="000000" w:themeColor="text1"/>
          <w:sz w:val="32"/>
          <w:szCs w:val="32"/>
          <w:highlight w:val="none"/>
          <w:shd w:val="clear" w:color="auto" w:fill="FFFFFF"/>
          <w14:textFill>
            <w14:solidFill>
              <w14:schemeClr w14:val="tx1"/>
            </w14:solidFill>
          </w14:textFill>
        </w:rPr>
        <w:t>（三）强化标准引领。</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加强科技与标准的联动，及时将各地科技创新成果和探索经验转化为标准指引。围绕重点任务，制定完善新质生产力相关技术标准、管理标准和服务标准，构建完善的标准体系。建立标准指引编制、宣贯、实施、评估闭环机制，推动标准实施和应用，建立健全监督机制，确保标准的有效实施。支持重点企业牵头制定行业标准、团体标准并推广应用。</w:t>
      </w:r>
    </w:p>
    <w:p w14:paraId="77DF487A">
      <w:pPr>
        <w:keepNext w:val="0"/>
        <w:keepLines w:val="0"/>
        <w:pageBreakBefore w:val="0"/>
        <w:widowControl w:val="0"/>
        <w:kinsoku/>
        <w:wordWrap/>
        <w:overflowPunct/>
        <w:topLinePunct w:val="0"/>
        <w:autoSpaceDE/>
        <w:autoSpaceDN/>
        <w:bidi w:val="0"/>
        <w:spacing w:line="600" w:lineRule="exact"/>
        <w:ind w:firstLine="630"/>
        <w:jc w:val="both"/>
        <w:textAlignment w:val="auto"/>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pPr>
      <w:r>
        <w:rPr>
          <w:rFonts w:hint="eastAsia" w:ascii="楷体_GB2312" w:hAnsi="楷体_GB2312" w:eastAsia="楷体_GB2312" w:cs="楷体_GB2312"/>
          <w:color w:val="000000" w:themeColor="text1"/>
          <w:sz w:val="32"/>
          <w:szCs w:val="32"/>
          <w:highlight w:val="none"/>
          <w:shd w:val="clear" w:color="auto" w:fill="FFFFFF"/>
          <w14:textFill>
            <w14:solidFill>
              <w14:schemeClr w14:val="tx1"/>
            </w14:solidFill>
          </w14:textFill>
        </w:rPr>
        <w:t>（四）注重人才培养。</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各地住建部门要围绕发展新质生产力，梳理本行业专业人才需求，深化住建部门人才制度改革，激发人才创新创造活力。加大专业人才引进力度，建立人才信息库，推动人才资源共享和优势互补。依托高校、职业技术学院、继续教育学院等，</w:t>
      </w:r>
      <w:r>
        <w:rPr>
          <w:rFonts w:hint="eastAsia" w:ascii="仿宋_GB2312" w:hAnsi="仿宋_GB2312" w:eastAsia="仿宋_GB2312" w:cs="仿宋_GB2312"/>
          <w:color w:val="000000" w:themeColor="text1"/>
          <w:sz w:val="32"/>
          <w:szCs w:val="32"/>
          <w:highlight w:val="none"/>
          <w14:textFill>
            <w14:solidFill>
              <w14:schemeClr w14:val="tx1"/>
            </w14:solidFill>
          </w14:textFill>
        </w:rPr>
        <w:t>建立住建领域人才联合培养机制，支持建设产教融合实训基地，</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加强复合型人才资源开发与培养。开展住建系统从业人员数字技能培训，为新质生产力发展提供有力的人才支撑。</w:t>
      </w:r>
    </w:p>
    <w:p w14:paraId="32B775B1">
      <w:pPr>
        <w:keepNext w:val="0"/>
        <w:keepLines w:val="0"/>
        <w:pageBreakBefore w:val="0"/>
        <w:widowControl w:val="0"/>
        <w:kinsoku/>
        <w:wordWrap/>
        <w:overflowPunct/>
        <w:topLinePunct w:val="0"/>
        <w:autoSpaceDE/>
        <w:autoSpaceDN/>
        <w:bidi w:val="0"/>
        <w:spacing w:line="600" w:lineRule="exact"/>
        <w:ind w:firstLine="630"/>
        <w:jc w:val="both"/>
        <w:textAlignment w:val="auto"/>
        <w:rPr>
          <w:rFonts w:hint="eastAsia" w:hAnsi="仿宋" w:cs="仿宋"/>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shd w:val="clear" w:color="auto" w:fill="FFFFFF"/>
          <w14:textFill>
            <w14:solidFill>
              <w14:schemeClr w14:val="tx1"/>
            </w14:solidFill>
          </w14:textFill>
        </w:rPr>
        <w:t>（五）加强政策支撑。</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积极争取财政资金支持，优化财政资金使用，在部门预算和引导资金分配中加大对培育新质生产力重点任务的支持力度。开展智能建造项目评价，</w:t>
      </w:r>
      <w:r>
        <w:rPr>
          <w:rFonts w:hint="eastAsia" w:ascii="仿宋_GB2312" w:eastAsia="仿宋_GB2312"/>
          <w:color w:val="000000" w:themeColor="text1"/>
          <w:sz w:val="32"/>
          <w:szCs w:val="32"/>
          <w:highlight w:val="none"/>
          <w14:textFill>
            <w14:solidFill>
              <w14:schemeClr w14:val="tx1"/>
            </w14:solidFill>
          </w14:textFill>
        </w:rPr>
        <w:t>评级项目在招投标时给予项目实施企业适当加分。将装配式建筑作为湖北省建设优质工程（“楚天杯”奖）及高品质住宅等示范工程评选的必要条件。</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运用市场化思维，加大政银企合作力度，积极争取科技创新、产业创新、智慧城市等方面的金融政策以及国债资金支持。引导金融机构加强对住建领域新质生产力重点项目的支持</w:t>
      </w:r>
      <w:r>
        <w:rPr>
          <w:rFonts w:hint="eastAsia" w:ascii="Times New Roman" w:hAnsi="Times New Roman" w:eastAsia="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鼓励社会资金投入，为新质生产力的发展注入有力动能。</w:t>
      </w:r>
    </w:p>
    <w:p w14:paraId="348C47AA">
      <w:pPr>
        <w:spacing w:line="600" w:lineRule="exact"/>
        <w:ind w:firstLine="585" w:firstLineChars="185"/>
        <w:rPr>
          <w:rFonts w:hint="eastAsia" w:ascii="仿宋_GB2312" w:eastAsia="仿宋_GB2312"/>
          <w:sz w:val="32"/>
          <w:szCs w:val="32"/>
        </w:rPr>
      </w:pPr>
    </w:p>
    <w:p w14:paraId="30564041">
      <w:pPr>
        <w:spacing w:line="600" w:lineRule="exact"/>
        <w:rPr>
          <w:rFonts w:ascii="仿宋_GB2312" w:hAnsi="仿宋_GB2312" w:eastAsia="仿宋_GB2312" w:cs="仿宋_GB2312"/>
          <w:sz w:val="32"/>
          <w:szCs w:val="32"/>
        </w:rPr>
      </w:pPr>
    </w:p>
    <w:p w14:paraId="79B56481">
      <w:pPr>
        <w:spacing w:line="600" w:lineRule="exact"/>
        <w:rPr>
          <w:rFonts w:ascii="仿宋_GB2312" w:hAnsi="仿宋_GB2312" w:eastAsia="仿宋_GB2312" w:cs="仿宋_GB2312"/>
          <w:sz w:val="32"/>
          <w:szCs w:val="32"/>
        </w:rPr>
      </w:pPr>
    </w:p>
    <w:p w14:paraId="34127A5C">
      <w:pPr>
        <w:spacing w:line="600" w:lineRule="exact"/>
        <w:ind w:right="640"/>
        <w:jc w:val="center"/>
        <w:rPr>
          <w:rFonts w:hint="eastAsia" w:ascii="仿宋_GB2312" w:hAnsi="仿宋" w:eastAsia="仿宋_GB2312" w:cs="仿宋"/>
          <w:bCs/>
          <w:sz w:val="32"/>
          <w:szCs w:val="32"/>
        </w:rPr>
      </w:pPr>
      <w:r>
        <w:rPr>
          <w:rFonts w:hint="eastAsia" w:ascii="仿宋_GB2312" w:hAnsi="仿宋_GB2312" w:eastAsia="仿宋_GB2312" w:cs="仿宋_GB2312"/>
          <w:sz w:val="32"/>
          <w:szCs w:val="32"/>
        </w:rPr>
        <w:t xml:space="preserve">        </w:t>
      </w:r>
      <w:bookmarkStart w:id="5" w:name="chengwenriqi"/>
      <w:bookmarkEnd w:id="5"/>
    </w:p>
    <w:p w14:paraId="48A85585">
      <w:pPr>
        <w:spacing w:line="600" w:lineRule="exact"/>
        <w:jc w:val="center"/>
        <w:rPr>
          <w:rFonts w:hint="eastAsia" w:ascii="华文中宋" w:hAnsi="华文中宋" w:eastAsia="华文中宋" w:cs="华文中宋"/>
          <w:b/>
          <w:bCs/>
          <w:sz w:val="44"/>
          <w:szCs w:val="44"/>
        </w:rPr>
      </w:pPr>
    </w:p>
    <w:p w14:paraId="1B76DC5D">
      <w:pPr>
        <w:keepNext w:val="0"/>
        <w:keepLines w:val="0"/>
        <w:pageBreakBefore w:val="0"/>
        <w:widowControl/>
        <w:kinsoku/>
        <w:overflowPunct/>
        <w:topLinePunct w:val="0"/>
        <w:autoSpaceDE/>
        <w:autoSpaceDN/>
        <w:bidi w:val="0"/>
        <w:adjustRightInd/>
        <w:snapToGrid/>
        <w:spacing w:line="600" w:lineRule="exact"/>
        <w:jc w:val="left"/>
        <w:textAlignment w:val="auto"/>
        <w:rPr>
          <w:rFonts w:hint="eastAsia" w:ascii="仿宋_GB2312" w:eastAsia="仿宋_GB2312"/>
          <w:sz w:val="28"/>
          <w:szCs w:val="28"/>
        </w:rPr>
        <w:sectPr>
          <w:footerReference r:id="rId5" w:type="default"/>
          <w:pgSz w:w="11906" w:h="16838"/>
          <w:pgMar w:top="2098" w:right="1474" w:bottom="1985" w:left="1588" w:header="851" w:footer="1417" w:gutter="0"/>
          <w:pgNumType w:fmt="decimal"/>
          <w:cols w:space="720" w:num="1"/>
          <w:docGrid w:type="linesAndChars" w:linePitch="579" w:charSpace="-1024"/>
        </w:sectPr>
      </w:pPr>
    </w:p>
    <w:tbl>
      <w:tblPr>
        <w:tblStyle w:val="16"/>
        <w:tblpPr w:leftFromText="180" w:rightFromText="180" w:vertAnchor="text" w:horzAnchor="page" w:tblpX="1676" w:tblpY="11357"/>
        <w:tblW w:w="8800" w:type="dxa"/>
        <w:jc w:val="center"/>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4400"/>
        <w:gridCol w:w="4400"/>
      </w:tblGrid>
      <w:tr w14:paraId="6718C16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11" w:hRule="atLeast"/>
          <w:jc w:val="center"/>
        </w:trPr>
        <w:tc>
          <w:tcPr>
            <w:tcW w:w="4400" w:type="dxa"/>
            <w:noWrap w:val="0"/>
            <w:vAlign w:val="top"/>
          </w:tcPr>
          <w:p w14:paraId="201B2B44">
            <w:pPr>
              <w:keepNext w:val="0"/>
              <w:keepLines w:val="0"/>
              <w:pageBreakBefore w:val="0"/>
              <w:widowControl/>
              <w:kinsoku/>
              <w:overflowPunct/>
              <w:topLinePunct w:val="0"/>
              <w:autoSpaceDE/>
              <w:autoSpaceDN/>
              <w:bidi w:val="0"/>
              <w:adjustRightInd/>
              <w:snapToGrid/>
              <w:spacing w:line="600" w:lineRule="exact"/>
              <w:jc w:val="left"/>
              <w:textAlignment w:val="auto"/>
              <w:rPr>
                <w:rFonts w:hint="eastAsia" w:ascii="仿宋_GB2312" w:eastAsia="仿宋_GB2312"/>
                <w:sz w:val="28"/>
                <w:szCs w:val="28"/>
              </w:rPr>
            </w:pPr>
            <w:r>
              <w:rPr>
                <w:rFonts w:hint="eastAsia" w:ascii="仿宋_GB2312" w:eastAsia="仿宋_GB2312"/>
                <w:sz w:val="28"/>
                <w:szCs w:val="28"/>
              </w:rPr>
              <w:t>抄送：厅领导</w:t>
            </w:r>
          </w:p>
        </w:tc>
        <w:tc>
          <w:tcPr>
            <w:tcW w:w="4400" w:type="dxa"/>
            <w:noWrap w:val="0"/>
            <w:vAlign w:val="top"/>
          </w:tcPr>
          <w:p w14:paraId="0730DF02">
            <w:pPr>
              <w:keepNext w:val="0"/>
              <w:keepLines w:val="0"/>
              <w:pageBreakBefore w:val="0"/>
              <w:widowControl/>
              <w:kinsoku/>
              <w:wordWrap w:val="0"/>
              <w:overflowPunct/>
              <w:topLinePunct w:val="0"/>
              <w:autoSpaceDE/>
              <w:autoSpaceDN/>
              <w:bidi w:val="0"/>
              <w:adjustRightInd/>
              <w:snapToGrid/>
              <w:spacing w:line="600" w:lineRule="exact"/>
              <w:jc w:val="right"/>
              <w:textAlignment w:val="auto"/>
              <w:rPr>
                <w:rFonts w:hint="eastAsia" w:ascii="仿宋_GB2312" w:eastAsia="仿宋_GB2312"/>
                <w:sz w:val="28"/>
                <w:szCs w:val="28"/>
              </w:rPr>
            </w:pPr>
          </w:p>
        </w:tc>
      </w:tr>
      <w:tr w14:paraId="5DA2307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20" w:hRule="atLeast"/>
          <w:jc w:val="center"/>
        </w:trPr>
        <w:tc>
          <w:tcPr>
            <w:tcW w:w="4400" w:type="dxa"/>
            <w:noWrap w:val="0"/>
            <w:vAlign w:val="top"/>
          </w:tcPr>
          <w:p w14:paraId="208D0649">
            <w:pPr>
              <w:keepNext w:val="0"/>
              <w:keepLines w:val="0"/>
              <w:pageBreakBefore w:val="0"/>
              <w:widowControl/>
              <w:kinsoku/>
              <w:overflowPunct/>
              <w:topLinePunct w:val="0"/>
              <w:autoSpaceDE/>
              <w:autoSpaceDN/>
              <w:bidi w:val="0"/>
              <w:adjustRightInd/>
              <w:snapToGrid/>
              <w:spacing w:line="600" w:lineRule="exact"/>
              <w:jc w:val="left"/>
              <w:textAlignment w:val="auto"/>
              <w:rPr>
                <w:rFonts w:hint="eastAsia" w:ascii="仿宋_GB2312" w:eastAsia="仿宋_GB2312"/>
                <w:sz w:val="28"/>
                <w:szCs w:val="28"/>
              </w:rPr>
            </w:pPr>
            <w:r>
              <w:rPr>
                <w:rFonts w:hint="eastAsia" w:ascii="仿宋_GB2312" w:eastAsia="仿宋_GB2312"/>
                <w:sz w:val="28"/>
                <w:szCs w:val="28"/>
              </w:rPr>
              <w:t>湖北省住房和城乡建设厅办公室</w:t>
            </w:r>
          </w:p>
        </w:tc>
        <w:tc>
          <w:tcPr>
            <w:tcW w:w="4400" w:type="dxa"/>
            <w:noWrap w:val="0"/>
            <w:vAlign w:val="top"/>
          </w:tcPr>
          <w:p w14:paraId="1BAD557C">
            <w:pPr>
              <w:keepNext w:val="0"/>
              <w:keepLines w:val="0"/>
              <w:pageBreakBefore w:val="0"/>
              <w:widowControl/>
              <w:kinsoku/>
              <w:wordWrap w:val="0"/>
              <w:overflowPunct/>
              <w:topLinePunct w:val="0"/>
              <w:autoSpaceDE/>
              <w:autoSpaceDN/>
              <w:bidi w:val="0"/>
              <w:adjustRightInd/>
              <w:snapToGrid/>
              <w:spacing w:line="600" w:lineRule="exact"/>
              <w:jc w:val="right"/>
              <w:textAlignment w:val="auto"/>
              <w:rPr>
                <w:rFonts w:hint="eastAsia" w:ascii="仿宋_GB2312" w:eastAsia="仿宋_GB2312"/>
                <w:sz w:val="28"/>
                <w:szCs w:val="28"/>
              </w:rPr>
            </w:pPr>
            <w:r>
              <w:rPr>
                <w:rFonts w:hint="eastAsia" w:ascii="仿宋_GB2312" w:eastAsia="仿宋_GB2312"/>
                <w:sz w:val="28"/>
                <w:szCs w:val="28"/>
              </w:rPr>
              <w:t xml:space="preserve">    202</w:t>
            </w:r>
            <w:r>
              <w:rPr>
                <w:rFonts w:hint="eastAsia" w:ascii="仿宋_GB2312" w:eastAsia="仿宋_GB2312"/>
                <w:sz w:val="28"/>
                <w:szCs w:val="28"/>
                <w:lang w:val="en-US" w:eastAsia="zh-CN"/>
              </w:rPr>
              <w:t>4</w:t>
            </w:r>
            <w:r>
              <w:rPr>
                <w:rFonts w:hint="eastAsia" w:ascii="仿宋_GB2312" w:eastAsia="仿宋_GB2312"/>
                <w:sz w:val="28"/>
                <w:szCs w:val="28"/>
              </w:rPr>
              <w:t>年</w:t>
            </w:r>
            <w:r>
              <w:rPr>
                <w:rFonts w:hint="eastAsia" w:ascii="仿宋_GB2312" w:eastAsia="仿宋_GB2312"/>
                <w:sz w:val="28"/>
                <w:szCs w:val="28"/>
                <w:lang w:val="en-US" w:eastAsia="zh-CN"/>
              </w:rPr>
              <w:t>10</w:t>
            </w:r>
            <w:r>
              <w:rPr>
                <w:rFonts w:hint="eastAsia" w:ascii="仿宋_GB2312" w:eastAsia="仿宋_GB2312"/>
                <w:sz w:val="28"/>
                <w:szCs w:val="28"/>
              </w:rPr>
              <w:t>月</w:t>
            </w:r>
            <w:r>
              <w:rPr>
                <w:rFonts w:hint="eastAsia" w:ascii="仿宋_GB2312" w:eastAsia="仿宋_GB2312"/>
                <w:sz w:val="28"/>
                <w:szCs w:val="28"/>
                <w:lang w:val="en-US" w:eastAsia="zh-CN"/>
              </w:rPr>
              <w:t>8</w:t>
            </w:r>
            <w:r>
              <w:rPr>
                <w:rFonts w:hint="eastAsia" w:ascii="仿宋_GB2312" w:eastAsia="仿宋_GB2312"/>
                <w:sz w:val="28"/>
                <w:szCs w:val="28"/>
              </w:rPr>
              <w:t xml:space="preserve">日印发 </w:t>
            </w:r>
          </w:p>
        </w:tc>
      </w:tr>
    </w:tbl>
    <w:p w14:paraId="5028D612">
      <w:pPr>
        <w:spacing w:line="600" w:lineRule="exact"/>
      </w:pPr>
    </w:p>
    <w:sectPr>
      <w:footerReference r:id="rId6" w:type="default"/>
      <w:pgSz w:w="11906" w:h="16838"/>
      <w:pgMar w:top="2098" w:right="1474" w:bottom="1985" w:left="1588" w:header="851" w:footer="1417" w:gutter="0"/>
      <w:pgNumType w:fmt="decimal"/>
      <w:cols w:space="720" w:num="1"/>
      <w:docGrid w:type="linesAndChars" w:linePitch="579"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7031F">
    <w:pPr>
      <w:pStyle w:val="10"/>
      <w:ind w:right="360" w:firstLine="36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BC9F85">
                          <w:pPr>
                            <w:pStyle w:val="1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0BC9F85">
                    <w:pPr>
                      <w:pStyle w:val="1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B2E94">
    <w:pPr>
      <w:pStyle w:val="10"/>
      <w:ind w:right="360" w:firstLine="360"/>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7B60E1"/>
    <w:multiLevelType w:val="multilevel"/>
    <w:tmpl w:val="117B60E1"/>
    <w:lvl w:ilvl="0" w:tentative="0">
      <w:start w:val="1"/>
      <w:numFmt w:val="chineseCountingThousand"/>
      <w:pStyle w:val="2"/>
      <w:lvlText w:val="%1、"/>
      <w:lvlJc w:val="left"/>
      <w:pPr>
        <w:ind w:left="0" w:firstLine="0"/>
      </w:pPr>
      <w:rPr>
        <w:rFonts w:hint="eastAsia"/>
      </w:rPr>
    </w:lvl>
    <w:lvl w:ilvl="1" w:tentative="0">
      <w:start w:val="1"/>
      <w:numFmt w:val="chineseCountingThousand"/>
      <w:pStyle w:val="3"/>
      <w:lvlText w:val="（%2）"/>
      <w:lvlJc w:val="left"/>
      <w:pPr>
        <w:ind w:left="0" w:firstLine="0"/>
      </w:pPr>
      <w:rPr>
        <w:rFonts w:hint="eastAsia"/>
      </w:rPr>
    </w:lvl>
    <w:lvl w:ilvl="2" w:tentative="0">
      <w:start w:val="1"/>
      <w:numFmt w:val="decimal"/>
      <w:pStyle w:val="4"/>
      <w:lvlText w:val="%3."/>
      <w:lvlJc w:val="left"/>
      <w:pPr>
        <w:ind w:left="0" w:firstLine="0"/>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66675416"/>
    <w:multiLevelType w:val="multilevel"/>
    <w:tmpl w:val="66675416"/>
    <w:lvl w:ilvl="0" w:tentative="0">
      <w:start w:val="1"/>
      <w:numFmt w:val="chineseCountingThousand"/>
      <w:pStyle w:val="6"/>
      <w:lvlText w:val="（%1）"/>
      <w:lvlJc w:val="left"/>
      <w:pPr>
        <w:ind w:left="320" w:hanging="420"/>
      </w:pPr>
      <w:rPr>
        <w:rFonts w:hint="eastAsia"/>
      </w:rPr>
    </w:lvl>
    <w:lvl w:ilvl="1" w:tentative="0">
      <w:start w:val="1"/>
      <w:numFmt w:val="lowerLetter"/>
      <w:lvlText w:val="%2)"/>
      <w:lvlJc w:val="left"/>
      <w:pPr>
        <w:ind w:left="740" w:hanging="420"/>
      </w:pPr>
    </w:lvl>
    <w:lvl w:ilvl="2" w:tentative="0">
      <w:start w:val="1"/>
      <w:numFmt w:val="lowerRoman"/>
      <w:lvlText w:val="%3."/>
      <w:lvlJc w:val="right"/>
      <w:pPr>
        <w:ind w:left="1160" w:hanging="420"/>
      </w:pPr>
    </w:lvl>
    <w:lvl w:ilvl="3" w:tentative="0">
      <w:start w:val="1"/>
      <w:numFmt w:val="decimal"/>
      <w:lvlText w:val="%4."/>
      <w:lvlJc w:val="left"/>
      <w:pPr>
        <w:ind w:left="1580" w:hanging="420"/>
      </w:pPr>
    </w:lvl>
    <w:lvl w:ilvl="4" w:tentative="0">
      <w:start w:val="1"/>
      <w:numFmt w:val="lowerLetter"/>
      <w:lvlText w:val="%5)"/>
      <w:lvlJc w:val="left"/>
      <w:pPr>
        <w:ind w:left="2000" w:hanging="420"/>
      </w:pPr>
    </w:lvl>
    <w:lvl w:ilvl="5" w:tentative="0">
      <w:start w:val="1"/>
      <w:numFmt w:val="lowerRoman"/>
      <w:lvlText w:val="%6."/>
      <w:lvlJc w:val="right"/>
      <w:pPr>
        <w:ind w:left="2420" w:hanging="420"/>
      </w:pPr>
    </w:lvl>
    <w:lvl w:ilvl="6" w:tentative="0">
      <w:start w:val="1"/>
      <w:numFmt w:val="decimal"/>
      <w:lvlText w:val="%7."/>
      <w:lvlJc w:val="left"/>
      <w:pPr>
        <w:ind w:left="2840" w:hanging="420"/>
      </w:pPr>
    </w:lvl>
    <w:lvl w:ilvl="7" w:tentative="0">
      <w:start w:val="1"/>
      <w:numFmt w:val="lowerLetter"/>
      <w:lvlText w:val="%8)"/>
      <w:lvlJc w:val="left"/>
      <w:pPr>
        <w:ind w:left="3260" w:hanging="420"/>
      </w:pPr>
    </w:lvl>
    <w:lvl w:ilvl="8" w:tentative="0">
      <w:start w:val="1"/>
      <w:numFmt w:val="lowerRoman"/>
      <w:lvlText w:val="%9."/>
      <w:lvlJc w:val="right"/>
      <w:pPr>
        <w:ind w:left="3680" w:hanging="420"/>
      </w:pPr>
    </w:lvl>
  </w:abstractNum>
  <w:abstractNum w:abstractNumId="2">
    <w:nsid w:val="716451AE"/>
    <w:multiLevelType w:val="multilevel"/>
    <w:tmpl w:val="716451AE"/>
    <w:lvl w:ilvl="0" w:tentative="0">
      <w:start w:val="1"/>
      <w:numFmt w:val="chineseCountingThousand"/>
      <w:pStyle w:val="12"/>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7"/>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zNmUyYmYxMzY0OWYzNzQ1Y2E3OGZiNzU0OTU1M2EifQ=="/>
  </w:docVars>
  <w:rsids>
    <w:rsidRoot w:val="00FF3D50"/>
    <w:rsid w:val="00002AFE"/>
    <w:rsid w:val="0000348F"/>
    <w:rsid w:val="0001426F"/>
    <w:rsid w:val="00026F10"/>
    <w:rsid w:val="00063B2E"/>
    <w:rsid w:val="00072090"/>
    <w:rsid w:val="00082193"/>
    <w:rsid w:val="0008468B"/>
    <w:rsid w:val="000A7846"/>
    <w:rsid w:val="000B3F41"/>
    <w:rsid w:val="000F0514"/>
    <w:rsid w:val="000F67BE"/>
    <w:rsid w:val="000F6E97"/>
    <w:rsid w:val="00102C9D"/>
    <w:rsid w:val="00107FE7"/>
    <w:rsid w:val="0012382C"/>
    <w:rsid w:val="001302C4"/>
    <w:rsid w:val="00144752"/>
    <w:rsid w:val="00147C4C"/>
    <w:rsid w:val="00164768"/>
    <w:rsid w:val="001833F4"/>
    <w:rsid w:val="001A2AB9"/>
    <w:rsid w:val="001C18B5"/>
    <w:rsid w:val="001D1FF0"/>
    <w:rsid w:val="001D4578"/>
    <w:rsid w:val="001E1251"/>
    <w:rsid w:val="001E1709"/>
    <w:rsid w:val="001E480C"/>
    <w:rsid w:val="0020028B"/>
    <w:rsid w:val="00200365"/>
    <w:rsid w:val="002015F9"/>
    <w:rsid w:val="00206F5C"/>
    <w:rsid w:val="00214BEB"/>
    <w:rsid w:val="0022250E"/>
    <w:rsid w:val="0022509C"/>
    <w:rsid w:val="0022744F"/>
    <w:rsid w:val="0023303A"/>
    <w:rsid w:val="002411FB"/>
    <w:rsid w:val="0025136B"/>
    <w:rsid w:val="00261D4B"/>
    <w:rsid w:val="00265EB1"/>
    <w:rsid w:val="00270797"/>
    <w:rsid w:val="00282DDB"/>
    <w:rsid w:val="002832AE"/>
    <w:rsid w:val="00284F80"/>
    <w:rsid w:val="002A3F63"/>
    <w:rsid w:val="002B1FA7"/>
    <w:rsid w:val="002B44CB"/>
    <w:rsid w:val="002B588F"/>
    <w:rsid w:val="002D1484"/>
    <w:rsid w:val="002D46D5"/>
    <w:rsid w:val="002D7D65"/>
    <w:rsid w:val="002E445B"/>
    <w:rsid w:val="0030645B"/>
    <w:rsid w:val="00311CFD"/>
    <w:rsid w:val="00323856"/>
    <w:rsid w:val="00345058"/>
    <w:rsid w:val="00347F84"/>
    <w:rsid w:val="00350267"/>
    <w:rsid w:val="003508C8"/>
    <w:rsid w:val="00365E50"/>
    <w:rsid w:val="003664A8"/>
    <w:rsid w:val="003A285F"/>
    <w:rsid w:val="003A3822"/>
    <w:rsid w:val="003C0B43"/>
    <w:rsid w:val="003C172A"/>
    <w:rsid w:val="003C1AA7"/>
    <w:rsid w:val="003D0E71"/>
    <w:rsid w:val="003D4C46"/>
    <w:rsid w:val="003D7094"/>
    <w:rsid w:val="003F12E9"/>
    <w:rsid w:val="003F291D"/>
    <w:rsid w:val="00400F33"/>
    <w:rsid w:val="00401D28"/>
    <w:rsid w:val="004107A4"/>
    <w:rsid w:val="004154D8"/>
    <w:rsid w:val="004215A9"/>
    <w:rsid w:val="0043476D"/>
    <w:rsid w:val="00435839"/>
    <w:rsid w:val="00441449"/>
    <w:rsid w:val="0044177B"/>
    <w:rsid w:val="004503A1"/>
    <w:rsid w:val="0045061E"/>
    <w:rsid w:val="00460E97"/>
    <w:rsid w:val="00463F01"/>
    <w:rsid w:val="00476686"/>
    <w:rsid w:val="0049380E"/>
    <w:rsid w:val="0049659E"/>
    <w:rsid w:val="004A76AE"/>
    <w:rsid w:val="004D4279"/>
    <w:rsid w:val="004E1781"/>
    <w:rsid w:val="004E2A4E"/>
    <w:rsid w:val="004E2ACE"/>
    <w:rsid w:val="004E6907"/>
    <w:rsid w:val="004F4A9F"/>
    <w:rsid w:val="004F6F72"/>
    <w:rsid w:val="0050146C"/>
    <w:rsid w:val="00506AD7"/>
    <w:rsid w:val="005108B8"/>
    <w:rsid w:val="00512FC3"/>
    <w:rsid w:val="00517BFF"/>
    <w:rsid w:val="00521359"/>
    <w:rsid w:val="005215F4"/>
    <w:rsid w:val="0053469E"/>
    <w:rsid w:val="00541370"/>
    <w:rsid w:val="00545DBD"/>
    <w:rsid w:val="00545E3D"/>
    <w:rsid w:val="00546AE3"/>
    <w:rsid w:val="00550708"/>
    <w:rsid w:val="00573A5D"/>
    <w:rsid w:val="005844DB"/>
    <w:rsid w:val="00595295"/>
    <w:rsid w:val="0059715C"/>
    <w:rsid w:val="005A0DCD"/>
    <w:rsid w:val="005A209D"/>
    <w:rsid w:val="005B2144"/>
    <w:rsid w:val="005C29E2"/>
    <w:rsid w:val="005C7EC3"/>
    <w:rsid w:val="005D56C3"/>
    <w:rsid w:val="005D705A"/>
    <w:rsid w:val="00636D03"/>
    <w:rsid w:val="00637DBC"/>
    <w:rsid w:val="00640D89"/>
    <w:rsid w:val="00641852"/>
    <w:rsid w:val="00655013"/>
    <w:rsid w:val="00663C00"/>
    <w:rsid w:val="006831CC"/>
    <w:rsid w:val="00690611"/>
    <w:rsid w:val="006A1C32"/>
    <w:rsid w:val="006A3622"/>
    <w:rsid w:val="006C1B9F"/>
    <w:rsid w:val="006C2D44"/>
    <w:rsid w:val="006E6496"/>
    <w:rsid w:val="006F33B6"/>
    <w:rsid w:val="006F5D6C"/>
    <w:rsid w:val="00711A22"/>
    <w:rsid w:val="00713FDE"/>
    <w:rsid w:val="00721EA3"/>
    <w:rsid w:val="00731D83"/>
    <w:rsid w:val="00736DA0"/>
    <w:rsid w:val="00737713"/>
    <w:rsid w:val="00737C6A"/>
    <w:rsid w:val="0074657C"/>
    <w:rsid w:val="00763B8F"/>
    <w:rsid w:val="007640BA"/>
    <w:rsid w:val="00773B41"/>
    <w:rsid w:val="00794923"/>
    <w:rsid w:val="00795C75"/>
    <w:rsid w:val="007A74C7"/>
    <w:rsid w:val="007A754E"/>
    <w:rsid w:val="007B0D8F"/>
    <w:rsid w:val="007D4128"/>
    <w:rsid w:val="007D4EB3"/>
    <w:rsid w:val="007D6032"/>
    <w:rsid w:val="007E03F7"/>
    <w:rsid w:val="007E253F"/>
    <w:rsid w:val="007E3BDD"/>
    <w:rsid w:val="007F51BD"/>
    <w:rsid w:val="007F563B"/>
    <w:rsid w:val="0081090B"/>
    <w:rsid w:val="00820425"/>
    <w:rsid w:val="00831E4A"/>
    <w:rsid w:val="00832DE9"/>
    <w:rsid w:val="00841BA1"/>
    <w:rsid w:val="008543D3"/>
    <w:rsid w:val="00854503"/>
    <w:rsid w:val="0086337B"/>
    <w:rsid w:val="008663F2"/>
    <w:rsid w:val="00867B2D"/>
    <w:rsid w:val="008714D5"/>
    <w:rsid w:val="00872FB5"/>
    <w:rsid w:val="00892329"/>
    <w:rsid w:val="008A59EE"/>
    <w:rsid w:val="008A6804"/>
    <w:rsid w:val="008B083F"/>
    <w:rsid w:val="008B528E"/>
    <w:rsid w:val="008B7848"/>
    <w:rsid w:val="008C30C1"/>
    <w:rsid w:val="008D7873"/>
    <w:rsid w:val="00903FF5"/>
    <w:rsid w:val="0090590B"/>
    <w:rsid w:val="00910523"/>
    <w:rsid w:val="009237D6"/>
    <w:rsid w:val="00931D13"/>
    <w:rsid w:val="00952CCC"/>
    <w:rsid w:val="00956275"/>
    <w:rsid w:val="00957E11"/>
    <w:rsid w:val="00960FCB"/>
    <w:rsid w:val="0096422B"/>
    <w:rsid w:val="0098669A"/>
    <w:rsid w:val="009873C8"/>
    <w:rsid w:val="009A27C1"/>
    <w:rsid w:val="009A32C7"/>
    <w:rsid w:val="009B7787"/>
    <w:rsid w:val="009C03F2"/>
    <w:rsid w:val="009C33F4"/>
    <w:rsid w:val="009D0D6A"/>
    <w:rsid w:val="009D1169"/>
    <w:rsid w:val="009D2024"/>
    <w:rsid w:val="009E029F"/>
    <w:rsid w:val="00A1157A"/>
    <w:rsid w:val="00A22E2A"/>
    <w:rsid w:val="00A22F3D"/>
    <w:rsid w:val="00A24361"/>
    <w:rsid w:val="00A37DB0"/>
    <w:rsid w:val="00A509B1"/>
    <w:rsid w:val="00A53216"/>
    <w:rsid w:val="00A618E0"/>
    <w:rsid w:val="00A65160"/>
    <w:rsid w:val="00A67395"/>
    <w:rsid w:val="00A91EB5"/>
    <w:rsid w:val="00A95215"/>
    <w:rsid w:val="00AA24D6"/>
    <w:rsid w:val="00AC07A1"/>
    <w:rsid w:val="00AE5A49"/>
    <w:rsid w:val="00AF05A9"/>
    <w:rsid w:val="00AF0D7C"/>
    <w:rsid w:val="00B0341C"/>
    <w:rsid w:val="00B23A1B"/>
    <w:rsid w:val="00B27FB0"/>
    <w:rsid w:val="00B44A2B"/>
    <w:rsid w:val="00B52A2F"/>
    <w:rsid w:val="00B6081C"/>
    <w:rsid w:val="00B7155C"/>
    <w:rsid w:val="00B823B7"/>
    <w:rsid w:val="00B90DE9"/>
    <w:rsid w:val="00B94DF5"/>
    <w:rsid w:val="00B95108"/>
    <w:rsid w:val="00B973BC"/>
    <w:rsid w:val="00BB09CC"/>
    <w:rsid w:val="00BB5226"/>
    <w:rsid w:val="00BC22E4"/>
    <w:rsid w:val="00BC2307"/>
    <w:rsid w:val="00BC24D1"/>
    <w:rsid w:val="00BD1214"/>
    <w:rsid w:val="00BD4450"/>
    <w:rsid w:val="00BE2068"/>
    <w:rsid w:val="00BE3430"/>
    <w:rsid w:val="00C0615D"/>
    <w:rsid w:val="00C124FC"/>
    <w:rsid w:val="00C13671"/>
    <w:rsid w:val="00C20445"/>
    <w:rsid w:val="00C26A91"/>
    <w:rsid w:val="00C26C10"/>
    <w:rsid w:val="00C32585"/>
    <w:rsid w:val="00C45734"/>
    <w:rsid w:val="00C66D26"/>
    <w:rsid w:val="00C713CD"/>
    <w:rsid w:val="00C74248"/>
    <w:rsid w:val="00C86EE0"/>
    <w:rsid w:val="00C96C9D"/>
    <w:rsid w:val="00CA1EAF"/>
    <w:rsid w:val="00CB0E46"/>
    <w:rsid w:val="00CB1F5B"/>
    <w:rsid w:val="00CD0528"/>
    <w:rsid w:val="00CD1835"/>
    <w:rsid w:val="00CD1CDD"/>
    <w:rsid w:val="00CE23EA"/>
    <w:rsid w:val="00CE2A8C"/>
    <w:rsid w:val="00CE2C31"/>
    <w:rsid w:val="00CE495F"/>
    <w:rsid w:val="00CF26C6"/>
    <w:rsid w:val="00D00ECB"/>
    <w:rsid w:val="00D10DB1"/>
    <w:rsid w:val="00D149A1"/>
    <w:rsid w:val="00D20B59"/>
    <w:rsid w:val="00D26D62"/>
    <w:rsid w:val="00D37B72"/>
    <w:rsid w:val="00D44398"/>
    <w:rsid w:val="00D47269"/>
    <w:rsid w:val="00D55AC5"/>
    <w:rsid w:val="00D6605E"/>
    <w:rsid w:val="00D87C7B"/>
    <w:rsid w:val="00D87EAF"/>
    <w:rsid w:val="00D94CC3"/>
    <w:rsid w:val="00DA299E"/>
    <w:rsid w:val="00DB2266"/>
    <w:rsid w:val="00DB2A15"/>
    <w:rsid w:val="00DB2CD8"/>
    <w:rsid w:val="00DB40F2"/>
    <w:rsid w:val="00DB4180"/>
    <w:rsid w:val="00DB6D8F"/>
    <w:rsid w:val="00DC160B"/>
    <w:rsid w:val="00DC3EE4"/>
    <w:rsid w:val="00DD3CA4"/>
    <w:rsid w:val="00DD79D4"/>
    <w:rsid w:val="00DF1094"/>
    <w:rsid w:val="00E075B7"/>
    <w:rsid w:val="00E07B0F"/>
    <w:rsid w:val="00E117AC"/>
    <w:rsid w:val="00E141C3"/>
    <w:rsid w:val="00E32813"/>
    <w:rsid w:val="00E37767"/>
    <w:rsid w:val="00E451FB"/>
    <w:rsid w:val="00E53976"/>
    <w:rsid w:val="00E55A33"/>
    <w:rsid w:val="00E6380F"/>
    <w:rsid w:val="00E74D2E"/>
    <w:rsid w:val="00E770B5"/>
    <w:rsid w:val="00E80844"/>
    <w:rsid w:val="00E82E5D"/>
    <w:rsid w:val="00E87E54"/>
    <w:rsid w:val="00E91492"/>
    <w:rsid w:val="00E95171"/>
    <w:rsid w:val="00E95F64"/>
    <w:rsid w:val="00EA2524"/>
    <w:rsid w:val="00EB5086"/>
    <w:rsid w:val="00EC66E9"/>
    <w:rsid w:val="00EF50C4"/>
    <w:rsid w:val="00F027E6"/>
    <w:rsid w:val="00F064F0"/>
    <w:rsid w:val="00F16CDC"/>
    <w:rsid w:val="00F238E1"/>
    <w:rsid w:val="00F244A6"/>
    <w:rsid w:val="00F667B8"/>
    <w:rsid w:val="00F76CEF"/>
    <w:rsid w:val="00F97885"/>
    <w:rsid w:val="00FA4C6F"/>
    <w:rsid w:val="00FB517A"/>
    <w:rsid w:val="00FC09B2"/>
    <w:rsid w:val="00FC11AF"/>
    <w:rsid w:val="00FC7824"/>
    <w:rsid w:val="00FD4019"/>
    <w:rsid w:val="00FF32CF"/>
    <w:rsid w:val="00FF3D50"/>
    <w:rsid w:val="0A4A6B61"/>
    <w:rsid w:val="0B305815"/>
    <w:rsid w:val="0BC15494"/>
    <w:rsid w:val="0E037AE4"/>
    <w:rsid w:val="121520EE"/>
    <w:rsid w:val="15157C12"/>
    <w:rsid w:val="242B30C1"/>
    <w:rsid w:val="2ADE204B"/>
    <w:rsid w:val="2AF93308"/>
    <w:rsid w:val="2BCE6E45"/>
    <w:rsid w:val="2BD26CE3"/>
    <w:rsid w:val="302C563F"/>
    <w:rsid w:val="399F076F"/>
    <w:rsid w:val="3AC40836"/>
    <w:rsid w:val="3E5C57C4"/>
    <w:rsid w:val="3F9F268C"/>
    <w:rsid w:val="400A7EF3"/>
    <w:rsid w:val="4FF63EBB"/>
    <w:rsid w:val="500977AD"/>
    <w:rsid w:val="501F05B9"/>
    <w:rsid w:val="5A77449B"/>
    <w:rsid w:val="5D7D07FF"/>
    <w:rsid w:val="68CA1C98"/>
    <w:rsid w:val="6A7761AB"/>
    <w:rsid w:val="6AF138B8"/>
    <w:rsid w:val="6DDED802"/>
    <w:rsid w:val="6DFF0CF7"/>
    <w:rsid w:val="6E2F4BE4"/>
    <w:rsid w:val="6FF525D3"/>
    <w:rsid w:val="711F537F"/>
    <w:rsid w:val="75DD1537"/>
    <w:rsid w:val="77BE141D"/>
    <w:rsid w:val="79F82B8E"/>
    <w:rsid w:val="7BE7E201"/>
    <w:rsid w:val="7D7F9CDB"/>
    <w:rsid w:val="7DFF73B3"/>
    <w:rsid w:val="7EBD8276"/>
    <w:rsid w:val="7ED64217"/>
    <w:rsid w:val="7F7357CD"/>
    <w:rsid w:val="7FBF691C"/>
    <w:rsid w:val="7FFCFD03"/>
    <w:rsid w:val="7FFFBCEE"/>
    <w:rsid w:val="89578B4F"/>
    <w:rsid w:val="8FCEFA8D"/>
    <w:rsid w:val="9BDFC4B6"/>
    <w:rsid w:val="9BFBB00F"/>
    <w:rsid w:val="9FEE12C6"/>
    <w:rsid w:val="AFD8D34F"/>
    <w:rsid w:val="B3EFD8AB"/>
    <w:rsid w:val="BEBB4315"/>
    <w:rsid w:val="CFD68B75"/>
    <w:rsid w:val="D5690378"/>
    <w:rsid w:val="D9F49991"/>
    <w:rsid w:val="DCBB5A13"/>
    <w:rsid w:val="EEF62703"/>
    <w:rsid w:val="EFB79AA0"/>
    <w:rsid w:val="EFEF46FA"/>
    <w:rsid w:val="FAFB6F53"/>
    <w:rsid w:val="FD0F2896"/>
    <w:rsid w:val="FDD49CB4"/>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57" w:lineRule="atLeast"/>
      <w:jc w:val="both"/>
    </w:pPr>
    <w:rPr>
      <w:rFonts w:ascii="Times New Roman" w:hAnsi="Times New Roman" w:eastAsia="宋体" w:cs="Times New Roman"/>
      <w:color w:val="000000"/>
      <w:sz w:val="21"/>
      <w:szCs w:val="22"/>
      <w:lang w:val="en-US" w:eastAsia="zh-CN" w:bidi="ar-SA"/>
    </w:rPr>
  </w:style>
  <w:style w:type="paragraph" w:styleId="2">
    <w:name w:val="heading 1"/>
    <w:next w:val="1"/>
    <w:link w:val="28"/>
    <w:qFormat/>
    <w:uiPriority w:val="9"/>
    <w:pPr>
      <w:numPr>
        <w:ilvl w:val="0"/>
        <w:numId w:val="1"/>
      </w:numPr>
      <w:ind w:firstLine="200" w:firstLineChars="200"/>
      <w:jc w:val="both"/>
      <w:outlineLvl w:val="0"/>
    </w:pPr>
    <w:rPr>
      <w:rFonts w:ascii="Calibri" w:hAnsi="Calibri" w:eastAsia="黑体" w:cs="Times New Roman"/>
      <w:b/>
      <w:bCs/>
      <w:kern w:val="44"/>
      <w:sz w:val="32"/>
      <w:szCs w:val="44"/>
      <w:lang w:val="en-US" w:eastAsia="zh-CN" w:bidi="ar-SA"/>
    </w:rPr>
  </w:style>
  <w:style w:type="paragraph" w:styleId="3">
    <w:name w:val="heading 2"/>
    <w:next w:val="1"/>
    <w:link w:val="29"/>
    <w:qFormat/>
    <w:uiPriority w:val="9"/>
    <w:pPr>
      <w:numPr>
        <w:ilvl w:val="1"/>
        <w:numId w:val="1"/>
      </w:numPr>
      <w:ind w:firstLine="200" w:firstLineChars="200"/>
      <w:jc w:val="both"/>
      <w:outlineLvl w:val="1"/>
    </w:pPr>
    <w:rPr>
      <w:rFonts w:ascii="Cambria" w:hAnsi="Cambria" w:eastAsia="楷体" w:cs="Times New Roman"/>
      <w:bCs/>
      <w:kern w:val="2"/>
      <w:sz w:val="32"/>
      <w:szCs w:val="32"/>
      <w:lang w:val="en-US" w:eastAsia="zh-CN" w:bidi="ar-SA"/>
    </w:rPr>
  </w:style>
  <w:style w:type="paragraph" w:styleId="4">
    <w:name w:val="heading 3"/>
    <w:next w:val="1"/>
    <w:link w:val="30"/>
    <w:qFormat/>
    <w:uiPriority w:val="9"/>
    <w:pPr>
      <w:numPr>
        <w:ilvl w:val="2"/>
        <w:numId w:val="1"/>
      </w:numPr>
      <w:ind w:firstLine="200" w:firstLineChars="200"/>
      <w:outlineLvl w:val="2"/>
    </w:pPr>
    <w:rPr>
      <w:rFonts w:ascii="Calibri" w:hAnsi="Calibri" w:eastAsia="仿宋" w:cs="Times New Roman"/>
      <w:bCs/>
      <w:kern w:val="2"/>
      <w:sz w:val="32"/>
      <w:szCs w:val="32"/>
      <w:lang w:val="en-US" w:eastAsia="zh-CN" w:bidi="ar-SA"/>
    </w:rPr>
  </w:style>
  <w:style w:type="character" w:default="1" w:styleId="18">
    <w:name w:val="Default Paragraph Font"/>
    <w:link w:val="19"/>
    <w:unhideWhenUsed/>
    <w:qFormat/>
    <w:uiPriority w:val="1"/>
    <w:rPr>
      <w:rFonts w:ascii="Times New Roman" w:eastAsia="宋体"/>
      <w:sz w:val="21"/>
      <w:szCs w:val="21"/>
    </w:rPr>
  </w:style>
  <w:style w:type="table" w:default="1" w:styleId="16">
    <w:name w:val="Normal Table"/>
    <w:unhideWhenUsed/>
    <w:qFormat/>
    <w:uiPriority w:val="99"/>
    <w:tblPr>
      <w:tblCellMar>
        <w:top w:w="0" w:type="dxa"/>
        <w:left w:w="108" w:type="dxa"/>
        <w:bottom w:w="0" w:type="dxa"/>
        <w:right w:w="108" w:type="dxa"/>
      </w:tblCellMar>
    </w:tblPr>
  </w:style>
  <w:style w:type="paragraph" w:styleId="5">
    <w:name w:val="annotation text"/>
    <w:basedOn w:val="1"/>
    <w:link w:val="31"/>
    <w:qFormat/>
    <w:uiPriority w:val="0"/>
    <w:pPr>
      <w:widowControl/>
      <w:spacing w:line="240" w:lineRule="auto"/>
      <w:ind w:firstLine="640" w:firstLineChars="200"/>
      <w:jc w:val="left"/>
    </w:pPr>
    <w:rPr>
      <w:rFonts w:ascii="仿宋" w:hAnsi="Calibri" w:eastAsia="仿宋" w:cs="Times New Roman"/>
      <w:kern w:val="2"/>
      <w:sz w:val="32"/>
      <w:szCs w:val="21"/>
    </w:rPr>
  </w:style>
  <w:style w:type="paragraph" w:styleId="6">
    <w:name w:val="List 2"/>
    <w:unhideWhenUsed/>
    <w:qFormat/>
    <w:uiPriority w:val="99"/>
    <w:pPr>
      <w:numPr>
        <w:ilvl w:val="0"/>
        <w:numId w:val="2"/>
      </w:numPr>
      <w:ind w:left="0" w:firstLine="200" w:firstLineChars="200"/>
    </w:pPr>
    <w:rPr>
      <w:rFonts w:ascii="Calibri" w:hAnsi="Calibri" w:eastAsia="仿宋" w:cs="Times New Roman"/>
      <w:kern w:val="2"/>
      <w:sz w:val="32"/>
      <w:szCs w:val="21"/>
      <w:lang w:val="en-US" w:eastAsia="zh-CN" w:bidi="ar-SA"/>
    </w:rPr>
  </w:style>
  <w:style w:type="paragraph" w:styleId="7">
    <w:name w:val="Plain Text"/>
    <w:basedOn w:val="1"/>
    <w:link w:val="24"/>
    <w:qFormat/>
    <w:uiPriority w:val="0"/>
    <w:pPr>
      <w:widowControl w:val="0"/>
      <w:spacing w:line="240" w:lineRule="auto"/>
    </w:pPr>
    <w:rPr>
      <w:rFonts w:ascii="宋体" w:hAnsi="Courier New" w:cs="Courier New"/>
      <w:color w:val="auto"/>
      <w:kern w:val="2"/>
      <w:szCs w:val="21"/>
    </w:rPr>
  </w:style>
  <w:style w:type="paragraph" w:styleId="8">
    <w:name w:val="Date"/>
    <w:basedOn w:val="1"/>
    <w:next w:val="1"/>
    <w:link w:val="32"/>
    <w:unhideWhenUsed/>
    <w:qFormat/>
    <w:uiPriority w:val="99"/>
    <w:pPr>
      <w:widowControl/>
      <w:spacing w:line="240" w:lineRule="auto"/>
      <w:ind w:left="100" w:leftChars="2500" w:firstLine="640" w:firstLineChars="200"/>
    </w:pPr>
    <w:rPr>
      <w:rFonts w:ascii="仿宋" w:hAnsi="Calibri" w:eastAsia="仿宋" w:cs="Times New Roman"/>
      <w:kern w:val="2"/>
      <w:sz w:val="32"/>
      <w:szCs w:val="21"/>
    </w:rPr>
  </w:style>
  <w:style w:type="paragraph" w:styleId="9">
    <w:name w:val="Balloon Text"/>
    <w:basedOn w:val="1"/>
    <w:link w:val="25"/>
    <w:qFormat/>
    <w:uiPriority w:val="0"/>
    <w:pPr>
      <w:spacing w:line="240" w:lineRule="auto"/>
    </w:pPr>
    <w:rPr>
      <w:sz w:val="18"/>
      <w:szCs w:val="18"/>
    </w:rPr>
  </w:style>
  <w:style w:type="paragraph" w:styleId="10">
    <w:name w:val="footer"/>
    <w:basedOn w:val="1"/>
    <w:link w:val="33"/>
    <w:unhideWhenUsed/>
    <w:qFormat/>
    <w:uiPriority w:val="99"/>
    <w:pPr>
      <w:tabs>
        <w:tab w:val="center" w:pos="4153"/>
        <w:tab w:val="right" w:pos="8306"/>
      </w:tabs>
      <w:snapToGrid w:val="0"/>
      <w:jc w:val="left"/>
    </w:pPr>
    <w:rPr>
      <w:sz w:val="18"/>
    </w:rPr>
  </w:style>
  <w:style w:type="paragraph" w:styleId="11">
    <w:name w:val="header"/>
    <w:basedOn w:val="1"/>
    <w:link w:val="34"/>
    <w:unhideWhenUsed/>
    <w:qFormat/>
    <w:uiPriority w:val="99"/>
    <w:pPr>
      <w:tabs>
        <w:tab w:val="center" w:pos="4153"/>
        <w:tab w:val="right" w:pos="8306"/>
      </w:tabs>
      <w:snapToGrid w:val="0"/>
      <w:spacing w:line="240" w:lineRule="atLeast"/>
      <w:jc w:val="center"/>
    </w:pPr>
    <w:rPr>
      <w:sz w:val="18"/>
      <w:szCs w:val="18"/>
    </w:rPr>
  </w:style>
  <w:style w:type="paragraph" w:styleId="12">
    <w:name w:val="List"/>
    <w:unhideWhenUsed/>
    <w:qFormat/>
    <w:uiPriority w:val="99"/>
    <w:pPr>
      <w:numPr>
        <w:ilvl w:val="0"/>
        <w:numId w:val="3"/>
      </w:numPr>
      <w:ind w:left="0" w:firstLine="200" w:firstLineChars="200"/>
      <w:contextualSpacing/>
    </w:pPr>
    <w:rPr>
      <w:rFonts w:ascii="Calibri" w:hAnsi="Calibri" w:eastAsia="仿宋" w:cs="Times New Roman"/>
      <w:b/>
      <w:kern w:val="2"/>
      <w:sz w:val="32"/>
      <w:szCs w:val="21"/>
      <w:lang w:val="en-US" w:eastAsia="zh-CN" w:bidi="ar-SA"/>
    </w:rPr>
  </w:style>
  <w:style w:type="paragraph" w:styleId="13">
    <w:name w:val="footnote text"/>
    <w:basedOn w:val="1"/>
    <w:link w:val="35"/>
    <w:qFormat/>
    <w:uiPriority w:val="0"/>
    <w:pPr>
      <w:widowControl/>
      <w:snapToGrid w:val="0"/>
      <w:spacing w:line="240" w:lineRule="auto"/>
      <w:ind w:firstLine="640" w:firstLineChars="200"/>
      <w:jc w:val="left"/>
    </w:pPr>
    <w:rPr>
      <w:rFonts w:ascii="仿宋" w:hAnsi="Calibri" w:eastAsia="仿宋" w:cs="Times New Roman"/>
      <w:kern w:val="2"/>
      <w:sz w:val="18"/>
      <w:szCs w:val="18"/>
    </w:rPr>
  </w:style>
  <w:style w:type="paragraph" w:styleId="14">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eastAsia="宋体" w:cs="宋体"/>
      <w:kern w:val="0"/>
      <w:sz w:val="24"/>
      <w:szCs w:val="24"/>
    </w:rPr>
  </w:style>
  <w:style w:type="paragraph" w:styleId="15">
    <w:name w:val="annotation subject"/>
    <w:basedOn w:val="5"/>
    <w:next w:val="5"/>
    <w:link w:val="36"/>
    <w:qFormat/>
    <w:uiPriority w:val="0"/>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 Char Char1 Char"/>
    <w:basedOn w:val="1"/>
    <w:link w:val="18"/>
    <w:qFormat/>
    <w:uiPriority w:val="0"/>
    <w:rPr>
      <w:rFonts w:ascii="Times New Roman" w:eastAsia="宋体"/>
      <w:sz w:val="21"/>
      <w:szCs w:val="21"/>
    </w:rPr>
  </w:style>
  <w:style w:type="character" w:styleId="20">
    <w:name w:val="Strong"/>
    <w:qFormat/>
    <w:uiPriority w:val="22"/>
    <w:rPr>
      <w:rFonts w:ascii="Calibri" w:hAnsi="Calibri" w:eastAsia="宋体" w:cs="Times New Roman"/>
      <w:b/>
      <w:bCs/>
    </w:rPr>
  </w:style>
  <w:style w:type="character" w:styleId="21">
    <w:name w:val="page number"/>
    <w:qFormat/>
    <w:uiPriority w:val="0"/>
  </w:style>
  <w:style w:type="character" w:styleId="22">
    <w:name w:val="annotation reference"/>
    <w:basedOn w:val="18"/>
    <w:qFormat/>
    <w:uiPriority w:val="0"/>
    <w:rPr>
      <w:rFonts w:ascii="Calibri" w:hAnsi="Calibri" w:eastAsia="宋体" w:cs="Times New Roman"/>
      <w:sz w:val="21"/>
      <w:szCs w:val="21"/>
    </w:rPr>
  </w:style>
  <w:style w:type="character" w:styleId="23">
    <w:name w:val="footnote reference"/>
    <w:basedOn w:val="18"/>
    <w:qFormat/>
    <w:uiPriority w:val="0"/>
    <w:rPr>
      <w:rFonts w:ascii="Calibri" w:hAnsi="Calibri" w:eastAsia="宋体" w:cs="Times New Roman"/>
      <w:sz w:val="20"/>
      <w:szCs w:val="20"/>
      <w:vertAlign w:val="superscript"/>
    </w:rPr>
  </w:style>
  <w:style w:type="character" w:customStyle="1" w:styleId="24">
    <w:name w:val="纯文本 Char"/>
    <w:link w:val="7"/>
    <w:qFormat/>
    <w:uiPriority w:val="0"/>
    <w:rPr>
      <w:rFonts w:ascii="宋体" w:hAnsi="Courier New" w:eastAsia="宋体" w:cs="Courier New"/>
      <w:kern w:val="2"/>
      <w:sz w:val="21"/>
      <w:szCs w:val="21"/>
    </w:rPr>
  </w:style>
  <w:style w:type="character" w:customStyle="1" w:styleId="25">
    <w:name w:val="批注框文本 Char"/>
    <w:link w:val="9"/>
    <w:qFormat/>
    <w:uiPriority w:val="0"/>
    <w:rPr>
      <w:rFonts w:ascii="Times New Roman" w:eastAsia="宋体"/>
      <w:color w:val="000000"/>
      <w:sz w:val="18"/>
      <w:szCs w:val="18"/>
    </w:rPr>
  </w:style>
  <w:style w:type="character" w:customStyle="1" w:styleId="26">
    <w:name w:val="页脚 Char"/>
    <w:link w:val="10"/>
    <w:qFormat/>
    <w:uiPriority w:val="99"/>
    <w:rPr>
      <w:color w:val="000000"/>
      <w:sz w:val="18"/>
      <w:szCs w:val="22"/>
    </w:rPr>
  </w:style>
  <w:style w:type="paragraph" w:customStyle="1" w:styleId="27">
    <w:name w:val="p2"/>
    <w:basedOn w:val="1"/>
    <w:qFormat/>
    <w:uiPriority w:val="0"/>
    <w:pPr>
      <w:spacing w:before="100" w:beforeLines="0" w:beforeAutospacing="1" w:after="100" w:afterLines="0" w:afterAutospacing="1" w:line="320" w:lineRule="atLeast"/>
      <w:jc w:val="left"/>
    </w:pPr>
    <w:rPr>
      <w:rFonts w:ascii="宋体" w:hAnsi="宋体" w:eastAsia="仿宋_GB2312" w:cs="宋体"/>
      <w:sz w:val="18"/>
      <w:szCs w:val="18"/>
      <w:u w:val="none" w:color="auto"/>
    </w:rPr>
  </w:style>
  <w:style w:type="character" w:customStyle="1" w:styleId="28">
    <w:name w:val="标题 1 字符"/>
    <w:link w:val="2"/>
    <w:qFormat/>
    <w:uiPriority w:val="9"/>
    <w:rPr>
      <w:rFonts w:ascii="Calibri" w:hAnsi="Calibri" w:eastAsia="黑体" w:cs="Times New Roman"/>
      <w:b/>
      <w:bCs/>
      <w:kern w:val="44"/>
      <w:sz w:val="32"/>
      <w:szCs w:val="44"/>
      <w:lang w:val="en-US" w:eastAsia="zh-CN" w:bidi="ar-SA"/>
    </w:rPr>
  </w:style>
  <w:style w:type="character" w:customStyle="1" w:styleId="29">
    <w:name w:val="标题 2 字符"/>
    <w:link w:val="3"/>
    <w:qFormat/>
    <w:uiPriority w:val="9"/>
    <w:rPr>
      <w:rFonts w:ascii="Cambria" w:hAnsi="Cambria" w:eastAsia="楷体" w:cs="Times New Roman"/>
      <w:bCs/>
      <w:kern w:val="2"/>
      <w:sz w:val="32"/>
      <w:szCs w:val="32"/>
      <w:lang w:val="en-US" w:eastAsia="zh-CN" w:bidi="ar-SA"/>
    </w:rPr>
  </w:style>
  <w:style w:type="character" w:customStyle="1" w:styleId="30">
    <w:name w:val="标题 3 字符"/>
    <w:link w:val="4"/>
    <w:qFormat/>
    <w:uiPriority w:val="9"/>
    <w:rPr>
      <w:rFonts w:ascii="Calibri" w:hAnsi="Calibri" w:eastAsia="仿宋" w:cs="Times New Roman"/>
      <w:bCs/>
      <w:kern w:val="2"/>
      <w:sz w:val="32"/>
      <w:szCs w:val="32"/>
      <w:lang w:val="en-US" w:eastAsia="zh-CN" w:bidi="ar-SA"/>
    </w:rPr>
  </w:style>
  <w:style w:type="character" w:customStyle="1" w:styleId="31">
    <w:name w:val="批注文字 字符"/>
    <w:basedOn w:val="18"/>
    <w:link w:val="5"/>
    <w:qFormat/>
    <w:uiPriority w:val="0"/>
    <w:rPr>
      <w:rFonts w:ascii="仿宋" w:hAnsi="Calibri" w:eastAsia="仿宋" w:cs="Times New Roman"/>
      <w:sz w:val="32"/>
      <w:szCs w:val="21"/>
    </w:rPr>
  </w:style>
  <w:style w:type="character" w:customStyle="1" w:styleId="32">
    <w:name w:val="日期 字符"/>
    <w:link w:val="8"/>
    <w:semiHidden/>
    <w:qFormat/>
    <w:uiPriority w:val="99"/>
    <w:rPr>
      <w:rFonts w:ascii="仿宋" w:hAnsi="Calibri" w:eastAsia="仿宋" w:cs="Times New Roman"/>
      <w:sz w:val="32"/>
      <w:szCs w:val="21"/>
    </w:rPr>
  </w:style>
  <w:style w:type="character" w:customStyle="1" w:styleId="33">
    <w:name w:val="页脚 字符"/>
    <w:link w:val="10"/>
    <w:qFormat/>
    <w:uiPriority w:val="99"/>
    <w:rPr>
      <w:rFonts w:ascii="Calibri" w:hAnsi="Calibri" w:eastAsia="仿宋" w:cs="Times New Roman"/>
      <w:kern w:val="2"/>
      <w:sz w:val="18"/>
      <w:szCs w:val="18"/>
      <w:lang w:val="en-US" w:eastAsia="zh-CN" w:bidi="ar-SA"/>
    </w:rPr>
  </w:style>
  <w:style w:type="character" w:customStyle="1" w:styleId="34">
    <w:name w:val="页眉 字符"/>
    <w:link w:val="11"/>
    <w:qFormat/>
    <w:uiPriority w:val="99"/>
    <w:rPr>
      <w:rFonts w:ascii="Calibri" w:hAnsi="Calibri" w:eastAsia="宋体" w:cs="Times New Roman"/>
      <w:sz w:val="18"/>
      <w:szCs w:val="18"/>
    </w:rPr>
  </w:style>
  <w:style w:type="character" w:customStyle="1" w:styleId="35">
    <w:name w:val="脚注文本 字符"/>
    <w:basedOn w:val="18"/>
    <w:link w:val="13"/>
    <w:qFormat/>
    <w:uiPriority w:val="0"/>
    <w:rPr>
      <w:rFonts w:ascii="仿宋" w:hAnsi="Calibri" w:eastAsia="仿宋" w:cs="Times New Roman"/>
      <w:sz w:val="18"/>
      <w:szCs w:val="18"/>
    </w:rPr>
  </w:style>
  <w:style w:type="character" w:customStyle="1" w:styleId="36">
    <w:name w:val="批注主题 字符"/>
    <w:basedOn w:val="31"/>
    <w:link w:val="15"/>
    <w:qFormat/>
    <w:uiPriority w:val="0"/>
    <w:rPr>
      <w:b/>
      <w:bCs/>
    </w:rPr>
  </w:style>
  <w:style w:type="paragraph" w:customStyle="1" w:styleId="37">
    <w:name w:val="主送机关"/>
    <w:qFormat/>
    <w:uiPriority w:val="0"/>
    <w:rPr>
      <w:rFonts w:ascii="Calibri" w:hAnsi="Calibri" w:eastAsia="仿宋" w:cs="Times New Roman"/>
      <w:kern w:val="2"/>
      <w:sz w:val="32"/>
      <w:szCs w:val="21"/>
      <w:lang w:val="en-US" w:eastAsia="zh-CN" w:bidi="ar-SA"/>
    </w:rPr>
  </w:style>
  <w:style w:type="paragraph" w:customStyle="1" w:styleId="38">
    <w:name w:val="发文机关"/>
    <w:qFormat/>
    <w:uiPriority w:val="0"/>
    <w:pPr>
      <w:adjustRightInd w:val="0"/>
      <w:snapToGrid w:val="0"/>
      <w:spacing w:after="624" w:afterLines="200"/>
      <w:jc w:val="center"/>
    </w:pPr>
    <w:rPr>
      <w:rFonts w:ascii="Calibri" w:hAnsi="Calibri" w:eastAsia="宋体" w:cs="Times New Roman"/>
      <w:b/>
      <w:color w:val="FF0000"/>
      <w:kern w:val="2"/>
      <w:sz w:val="130"/>
      <w:szCs w:val="130"/>
      <w:lang w:val="en-US" w:eastAsia="zh-CN" w:bidi="ar-SA"/>
    </w:rPr>
  </w:style>
  <w:style w:type="paragraph" w:customStyle="1" w:styleId="39">
    <w:name w:val="正文居中"/>
    <w:qFormat/>
    <w:uiPriority w:val="0"/>
    <w:pPr>
      <w:jc w:val="center"/>
    </w:pPr>
    <w:rPr>
      <w:rFonts w:ascii="Calibri" w:hAnsi="Calibri" w:eastAsia="仿宋" w:cs="Times New Roman"/>
      <w:kern w:val="2"/>
      <w:sz w:val="28"/>
      <w:szCs w:val="21"/>
      <w:lang w:val="en-US" w:eastAsia="zh-CN" w:bidi="ar-SA"/>
    </w:rPr>
  </w:style>
  <w:style w:type="paragraph" w:customStyle="1" w:styleId="40">
    <w:name w:val="成文日期"/>
    <w:qFormat/>
    <w:uiPriority w:val="0"/>
    <w:pPr>
      <w:ind w:right="1280" w:rightChars="400"/>
      <w:jc w:val="right"/>
    </w:pPr>
    <w:rPr>
      <w:rFonts w:ascii="Calibri" w:hAnsi="Calibri" w:eastAsia="仿宋" w:cs="Times New Roman"/>
      <w:kern w:val="2"/>
      <w:sz w:val="32"/>
      <w:szCs w:val="21"/>
      <w:lang w:val="en-US" w:eastAsia="zh-CN" w:bidi="ar-SA"/>
    </w:rPr>
  </w:style>
  <w:style w:type="paragraph" w:customStyle="1" w:styleId="41">
    <w:name w:val="发文字号"/>
    <w:qFormat/>
    <w:uiPriority w:val="0"/>
    <w:pPr>
      <w:pBdr>
        <w:bottom w:val="single" w:color="FF0000" w:sz="18" w:space="0"/>
      </w:pBdr>
      <w:jc w:val="center"/>
    </w:pPr>
    <w:rPr>
      <w:rFonts w:ascii="Calibri" w:hAnsi="Calibri" w:eastAsia="仿宋" w:cs="Times New Roman"/>
      <w:kern w:val="2"/>
      <w:sz w:val="32"/>
      <w:szCs w:val="21"/>
      <w:lang w:val="en-US" w:eastAsia="zh-CN" w:bidi="ar-SA"/>
    </w:rPr>
  </w:style>
  <w:style w:type="paragraph" w:customStyle="1" w:styleId="42">
    <w:name w:val="正文加粗"/>
    <w:qFormat/>
    <w:uiPriority w:val="0"/>
    <w:rPr>
      <w:rFonts w:ascii="Calibri" w:hAnsi="Calibri" w:eastAsia="仿宋" w:cs="Times New Roman"/>
      <w:b/>
      <w:kern w:val="2"/>
      <w:sz w:val="32"/>
      <w:szCs w:val="21"/>
      <w:lang w:val="en-US" w:eastAsia="zh-CN" w:bidi="ar-SA"/>
    </w:rPr>
  </w:style>
  <w:style w:type="paragraph" w:customStyle="1" w:styleId="43">
    <w:name w:val="公文标题"/>
    <w:qFormat/>
    <w:uiPriority w:val="0"/>
    <w:pPr>
      <w:adjustRightInd w:val="0"/>
      <w:snapToGrid w:val="0"/>
      <w:spacing w:before="624" w:beforeLines="200" w:after="624" w:afterLines="200"/>
      <w:jc w:val="center"/>
    </w:pPr>
    <w:rPr>
      <w:rFonts w:ascii="Calibri" w:hAnsi="Calibri" w:eastAsia="宋体" w:cs="Times New Roman"/>
      <w:kern w:val="2"/>
      <w:sz w:val="44"/>
      <w:szCs w:val="21"/>
      <w:lang w:val="en-US" w:eastAsia="zh-CN" w:bidi="ar-SA"/>
    </w:rPr>
  </w:style>
  <w:style w:type="paragraph" w:customStyle="1" w:styleId="44">
    <w:name w:val="发文机关署名"/>
    <w:qFormat/>
    <w:uiPriority w:val="0"/>
    <w:pPr>
      <w:ind w:right="1536" w:rightChars="480"/>
      <w:jc w:val="right"/>
    </w:pPr>
    <w:rPr>
      <w:rFonts w:ascii="Calibri" w:hAnsi="Calibri" w:eastAsia="仿宋" w:cs="Times New Roman"/>
      <w:kern w:val="2"/>
      <w:sz w:val="32"/>
      <w:szCs w:val="21"/>
      <w:lang w:val="en-US" w:eastAsia="zh-CN" w:bidi="ar-SA"/>
    </w:rPr>
  </w:style>
  <w:style w:type="paragraph" w:customStyle="1" w:styleId="45">
    <w:name w:val="附件"/>
    <w:qFormat/>
    <w:uiPriority w:val="0"/>
    <w:pPr>
      <w:pageBreakBefore/>
    </w:pPr>
    <w:rPr>
      <w:rFonts w:ascii="宋体" w:hAnsi="宋体" w:eastAsia="黑体" w:cs="宋体"/>
      <w:bCs/>
      <w:color w:val="000000"/>
      <w:sz w:val="32"/>
      <w:szCs w:val="24"/>
      <w:lang w:val="en-US" w:eastAsia="zh-CN" w:bidi="ar-SA"/>
    </w:rPr>
  </w:style>
  <w:style w:type="paragraph" w:customStyle="1" w:styleId="46">
    <w:name w:val="表格内容"/>
    <w:qFormat/>
    <w:uiPriority w:val="0"/>
    <w:pPr>
      <w:ind w:left="32" w:leftChars="10" w:right="32" w:rightChars="10"/>
      <w:jc w:val="both"/>
    </w:pPr>
    <w:rPr>
      <w:rFonts w:ascii="Calibri" w:hAnsi="Calibri" w:eastAsia="宋体" w:cs="宋体"/>
      <w:lang w:val="en-US" w:eastAsia="zh-CN" w:bidi="ar-SA"/>
    </w:rPr>
  </w:style>
  <w:style w:type="paragraph" w:customStyle="1" w:styleId="47">
    <w:name w:val="表格标题"/>
    <w:qFormat/>
    <w:uiPriority w:val="0"/>
    <w:pPr>
      <w:spacing w:line="432" w:lineRule="atLeast"/>
      <w:jc w:val="center"/>
    </w:pPr>
    <w:rPr>
      <w:rFonts w:ascii="Calibri" w:hAnsi="Calibri" w:eastAsia="宋体" w:cs="宋体"/>
      <w:b/>
      <w:bCs/>
      <w:lang w:val="en-US" w:eastAsia="zh-CN" w:bidi="ar-SA"/>
    </w:rPr>
  </w:style>
  <w:style w:type="paragraph" w:styleId="48">
    <w:name w:val="List Paragraph"/>
    <w:basedOn w:val="1"/>
    <w:qFormat/>
    <w:uiPriority w:val="99"/>
    <w:pPr>
      <w:widowControl/>
      <w:spacing w:line="240" w:lineRule="auto"/>
      <w:ind w:firstLine="420" w:firstLineChars="200"/>
    </w:pPr>
    <w:rPr>
      <w:rFonts w:ascii="仿宋" w:hAnsi="Calibri" w:eastAsia="仿宋" w:cs="Times New Roman"/>
      <w:kern w:val="2"/>
      <w:sz w:val="32"/>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5052</Words>
  <Characters>5155</Characters>
  <Lines>1</Lines>
  <Paragraphs>1</Paragraphs>
  <TotalTime>0</TotalTime>
  <ScaleCrop>false</ScaleCrop>
  <LinksUpToDate>false</LinksUpToDate>
  <CharactersWithSpaces>5168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2022-04-24T18:27:00Z</dcterms:created>
  <dc:creator>123</dc:creator>
  <cp:lastModifiedBy>lenovo</cp:lastModifiedBy>
  <cp:lastPrinted>2021-02-23T16:42:00Z</cp:lastPrinted>
  <dcterms:modified xsi:type="dcterms:W3CDTF">2024-10-29T00:53:02Z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11337CDB25FD44C0B2D7F305C259C08A_13</vt:lpwstr>
  </property>
</Properties>
</file>