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rPr>
          <w:rFonts w:hint="eastAsia"/>
          <w:szCs w:val="32"/>
        </w:rPr>
      </w:pPr>
      <w:bookmarkStart w:id="4" w:name="_GoBack"/>
      <w:bookmarkEnd w:id="4"/>
    </w:p>
    <w:p>
      <w:pPr>
        <w:autoSpaceDE w:val="0"/>
        <w:autoSpaceDN w:val="0"/>
        <w:rPr>
          <w:rFonts w:hint="eastAsia"/>
          <w:szCs w:val="32"/>
        </w:rPr>
      </w:pPr>
    </w:p>
    <w:p>
      <w:pPr>
        <w:autoSpaceDE w:val="0"/>
        <w:autoSpaceDN w:val="0"/>
        <w:rPr>
          <w:rFonts w:hint="eastAsia"/>
          <w:szCs w:val="32"/>
        </w:rPr>
      </w:pPr>
    </w:p>
    <w:p>
      <w:pPr>
        <w:autoSpaceDE w:val="0"/>
        <w:autoSpaceDN w:val="0"/>
        <w:rPr>
          <w:rFonts w:hint="eastAsia"/>
          <w:szCs w:val="32"/>
        </w:rPr>
      </w:pPr>
    </w:p>
    <w:p>
      <w:pPr>
        <w:autoSpaceDE w:val="0"/>
        <w:autoSpaceDN w:val="0"/>
        <w:rPr>
          <w:rFonts w:hint="eastAsia"/>
          <w:szCs w:val="32"/>
        </w:rPr>
      </w:pPr>
      <w:r>
        <w:rPr>
          <w:rFonts w:hint="eastAsia"/>
          <w:szCs w:val="32"/>
        </w:rPr>
        <mc:AlternateContent>
          <mc:Choice Requires="wps">
            <w:drawing>
              <wp:anchor distT="0" distB="0" distL="114300" distR="114300" simplePos="0" relativeHeight="251660288" behindDoc="0" locked="0" layoutInCell="1" allowOverlap="1">
                <wp:simplePos x="0" y="0"/>
                <wp:positionH relativeFrom="page">
                  <wp:posOffset>895350</wp:posOffset>
                </wp:positionH>
                <wp:positionV relativeFrom="margin">
                  <wp:posOffset>-12700</wp:posOffset>
                </wp:positionV>
                <wp:extent cx="5880100" cy="1966595"/>
                <wp:effectExtent l="0" t="0" r="0" b="0"/>
                <wp:wrapNone/>
                <wp:docPr id="5" name="文本框 5" descr="文本框: 红头"/>
                <wp:cNvGraphicFramePr/>
                <a:graphic xmlns:a="http://schemas.openxmlformats.org/drawingml/2006/main">
                  <a:graphicData uri="http://schemas.microsoft.com/office/word/2010/wordprocessingShape">
                    <wps:wsp>
                      <wps:cNvSpPr txBox="true"/>
                      <wps:spPr>
                        <a:xfrm>
                          <a:off x="0" y="0"/>
                          <a:ext cx="5880100" cy="1966595"/>
                        </a:xfrm>
                        <a:prstGeom prst="rect">
                          <a:avLst/>
                        </a:prstGeom>
                        <a:noFill/>
                        <a:ln>
                          <a:noFill/>
                        </a:ln>
                      </wps:spPr>
                      <wps:txbx>
                        <w:txbxContent>
                          <w:p>
                            <w:pPr>
                              <w:spacing w:line="1500" w:lineRule="exact"/>
                              <w:jc w:val="center"/>
                              <w:rPr>
                                <w:rFonts w:hint="eastAsia" w:ascii="华文新魏" w:hAnsi="华文中宋" w:eastAsia="华文新魏"/>
                                <w:color w:val="FF0000"/>
                                <w:spacing w:val="-22"/>
                                <w:w w:val="104"/>
                                <w:sz w:val="72"/>
                                <w:szCs w:val="72"/>
                              </w:rPr>
                            </w:pPr>
                            <w:r>
                              <w:rPr>
                                <w:rFonts w:hint="eastAsia" w:ascii="华文新魏" w:hAnsi="华文中宋" w:eastAsia="华文新魏"/>
                                <w:color w:val="FF0000"/>
                                <w:spacing w:val="-22"/>
                                <w:w w:val="104"/>
                                <w:sz w:val="72"/>
                                <w:szCs w:val="72"/>
                              </w:rPr>
                              <w:t>湖北省住房和城乡建设厅</w:t>
                            </w:r>
                          </w:p>
                          <w:p>
                            <w:pPr>
                              <w:spacing w:line="1500" w:lineRule="exact"/>
                              <w:jc w:val="center"/>
                              <w:rPr>
                                <w:rFonts w:hint="eastAsia" w:ascii="华文新魏" w:hAnsi="Calibri" w:eastAsia="华文新魏"/>
                                <w:color w:val="FF0000"/>
                                <w:spacing w:val="-20"/>
                                <w:w w:val="105"/>
                                <w:sz w:val="72"/>
                                <w:szCs w:val="72"/>
                                <w:lang w:val="en-IE"/>
                              </w:rPr>
                            </w:pPr>
                            <w:r>
                              <w:rPr>
                                <w:rFonts w:hint="eastAsia" w:ascii="华文新魏" w:hAnsi="Calibri" w:eastAsia="华文新魏"/>
                                <w:color w:val="FF0000"/>
                                <w:spacing w:val="-20"/>
                                <w:w w:val="105"/>
                                <w:sz w:val="72"/>
                                <w:szCs w:val="72"/>
                                <w:lang w:val="en-IE"/>
                              </w:rPr>
                              <w:t>行政审批公告</w:t>
                            </w:r>
                          </w:p>
                          <w:p>
                            <w:pPr>
                              <w:ind w:left="320" w:leftChars="100" w:right="422" w:rightChars="132"/>
                              <w:jc w:val="center"/>
                              <w:rPr>
                                <w:rFonts w:hint="eastAsia"/>
                                <w:color w:val="FD441F"/>
                                <w:spacing w:val="-56"/>
                                <w:w w:val="35"/>
                                <w:sz w:val="110"/>
                                <w:szCs w:val="110"/>
                              </w:rPr>
                            </w:pPr>
                          </w:p>
                        </w:txbxContent>
                      </wps:txbx>
                      <wps:bodyPr lIns="0" tIns="0" rIns="72000" bIns="0" upright="true"/>
                    </wps:wsp>
                  </a:graphicData>
                </a:graphic>
              </wp:anchor>
            </w:drawing>
          </mc:Choice>
          <mc:Fallback>
            <w:pict>
              <v:shape id="_x0000_s1026" o:spid="_x0000_s1026" o:spt="202" alt="文本框: 红头" type="#_x0000_t202" style="position:absolute;left:0pt;margin-left:70.5pt;margin-top:-1pt;height:154.85pt;width:463pt;mso-position-horizontal-relative:page;mso-position-vertical-relative:margin;z-index:251660288;mso-width-relative:page;mso-height-relative:page;" filled="f" stroked="f" coordsize="21600,21600" o:gfxdata="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Kt0LnbaAAAACwEAAA8AAAAAAAAAAQAgAAAA&#10;OAAAAGRycy9kb3ducmV2LnhtbFBLAQIUABQAAAAIAIdO4kC1rNw6ugEAAEkDAAAOAAAAAAAAAAEA&#10;IAAAAD8BAABkcnMvZTJvRG9jLnhtbFBLBQYAAAAABgAGAFkBAABrBQAAAAA=&#10;">
                <v:fill on="f" focussize="0,0"/>
                <v:stroke on="f"/>
                <v:imagedata o:title=""/>
                <o:lock v:ext="edit" aspectratio="f"/>
                <v:textbox inset="0mm,0mm,2mm,0mm">
                  <w:txbxContent>
                    <w:p>
                      <w:pPr>
                        <w:spacing w:line="1500" w:lineRule="exact"/>
                        <w:jc w:val="center"/>
                        <w:rPr>
                          <w:rFonts w:hint="eastAsia" w:ascii="华文新魏" w:hAnsi="华文中宋" w:eastAsia="华文新魏"/>
                          <w:color w:val="FF0000"/>
                          <w:spacing w:val="-22"/>
                          <w:w w:val="104"/>
                          <w:sz w:val="72"/>
                          <w:szCs w:val="72"/>
                        </w:rPr>
                      </w:pPr>
                      <w:r>
                        <w:rPr>
                          <w:rFonts w:hint="eastAsia" w:ascii="华文新魏" w:hAnsi="华文中宋" w:eastAsia="华文新魏"/>
                          <w:color w:val="FF0000"/>
                          <w:spacing w:val="-22"/>
                          <w:w w:val="104"/>
                          <w:sz w:val="72"/>
                          <w:szCs w:val="72"/>
                        </w:rPr>
                        <w:t>湖北省住房和城乡建设厅</w:t>
                      </w:r>
                    </w:p>
                    <w:p>
                      <w:pPr>
                        <w:spacing w:line="1500" w:lineRule="exact"/>
                        <w:jc w:val="center"/>
                        <w:rPr>
                          <w:rFonts w:hint="eastAsia" w:ascii="华文新魏" w:hAnsi="Calibri" w:eastAsia="华文新魏"/>
                          <w:color w:val="FF0000"/>
                          <w:spacing w:val="-20"/>
                          <w:w w:val="105"/>
                          <w:sz w:val="72"/>
                          <w:szCs w:val="72"/>
                          <w:lang w:val="en-IE"/>
                        </w:rPr>
                      </w:pPr>
                      <w:r>
                        <w:rPr>
                          <w:rFonts w:hint="eastAsia" w:ascii="华文新魏" w:hAnsi="Calibri" w:eastAsia="华文新魏"/>
                          <w:color w:val="FF0000"/>
                          <w:spacing w:val="-20"/>
                          <w:w w:val="105"/>
                          <w:sz w:val="72"/>
                          <w:szCs w:val="72"/>
                          <w:lang w:val="en-IE"/>
                        </w:rPr>
                        <w:t>行政审批公告</w:t>
                      </w:r>
                    </w:p>
                    <w:p>
                      <w:pPr>
                        <w:ind w:left="320" w:leftChars="100" w:right="422" w:rightChars="132"/>
                        <w:jc w:val="center"/>
                        <w:rPr>
                          <w:rFonts w:hint="eastAsia"/>
                          <w:color w:val="FD441F"/>
                          <w:spacing w:val="-56"/>
                          <w:w w:val="35"/>
                          <w:sz w:val="110"/>
                          <w:szCs w:val="110"/>
                        </w:rPr>
                      </w:pPr>
                    </w:p>
                  </w:txbxContent>
                </v:textbox>
              </v:shape>
            </w:pict>
          </mc:Fallback>
        </mc:AlternateContent>
      </w:r>
    </w:p>
    <w:p>
      <w:pPr>
        <w:autoSpaceDE w:val="0"/>
        <w:autoSpaceDN w:val="0"/>
        <w:rPr>
          <w:rFonts w:hint="eastAsia"/>
          <w:szCs w:val="32"/>
        </w:rPr>
      </w:pPr>
    </w:p>
    <w:p>
      <w:pPr>
        <w:autoSpaceDE w:val="0"/>
        <w:autoSpaceDN w:val="0"/>
        <w:spacing w:line="120" w:lineRule="auto"/>
        <w:ind w:firstLine="2560" w:firstLineChars="800"/>
        <w:jc w:val="both"/>
        <w:rPr>
          <w:rFonts w:hint="eastAsia" w:ascii="仿宋_GB2312"/>
          <w:bCs/>
          <w:sz w:val="32"/>
          <w:szCs w:val="32"/>
        </w:rPr>
      </w:pPr>
      <w:bookmarkStart w:id="0" w:name="fawenjiguandaizi"/>
      <w:r>
        <w:rPr>
          <w:rFonts w:hint="default" w:ascii="仿宋_GB2312" w:hAnsi="仿宋_GB2312" w:eastAsia="仿宋_GB2312" w:cs="仿宋_GB2312"/>
          <w:bCs/>
          <w:sz w:val="32"/>
          <w:szCs w:val="32"/>
        </w:rPr>
        <w:t>鄂建审告</w:t>
      </w:r>
      <w:bookmarkEnd w:id="0"/>
      <w:r>
        <w:rPr>
          <w:rFonts w:hint="eastAsia" w:ascii="仿宋_GB2312" w:hAnsi="仿宋_GB2312" w:eastAsia="仿宋_GB2312" w:cs="仿宋_GB2312"/>
          <w:bCs/>
          <w:sz w:val="32"/>
          <w:szCs w:val="32"/>
        </w:rPr>
        <w:t>〔</w:t>
      </w:r>
      <w:bookmarkStart w:id="1" w:name="nianfen"/>
      <w:r>
        <w:rPr>
          <w:rFonts w:hint="default" w:ascii="仿宋_GB2312" w:hAnsi="仿宋_GB2312" w:eastAsia="仿宋_GB2312" w:cs="仿宋_GB2312"/>
          <w:bCs/>
          <w:sz w:val="32"/>
          <w:szCs w:val="32"/>
        </w:rPr>
        <w:t>2024</w:t>
      </w:r>
      <w:bookmarkEnd w:id="1"/>
      <w:r>
        <w:rPr>
          <w:rFonts w:hint="eastAsia" w:ascii="仿宋_GB2312" w:hAnsi="仿宋_GB2312" w:eastAsia="仿宋_GB2312" w:cs="仿宋_GB2312"/>
          <w:bCs/>
          <w:sz w:val="32"/>
          <w:szCs w:val="32"/>
        </w:rPr>
        <w:t>〕</w:t>
      </w:r>
      <w:bookmarkStart w:id="2" w:name="fawenshunxuhao"/>
      <w:r>
        <w:rPr>
          <w:rFonts w:hint="default" w:ascii="仿宋_GB2312" w:hAnsi="仿宋_GB2312" w:eastAsia="仿宋_GB2312" w:cs="仿宋_GB2312"/>
          <w:bCs/>
          <w:sz w:val="32"/>
          <w:szCs w:val="32"/>
        </w:rPr>
        <w:t>235</w:t>
      </w:r>
      <w:bookmarkEnd w:id="2"/>
      <w:r>
        <w:rPr>
          <w:rFonts w:hint="eastAsia" w:ascii="仿宋_GB2312" w:hAnsi="仿宋_GB2312" w:eastAsia="仿宋_GB2312" w:cs="仿宋_GB2312"/>
          <w:bCs/>
          <w:sz w:val="32"/>
          <w:szCs w:val="32"/>
        </w:rPr>
        <w:t>号</w:t>
      </w:r>
    </w:p>
    <w:p>
      <w:pPr>
        <w:autoSpaceDE w:val="0"/>
        <w:autoSpaceDN w:val="0"/>
        <w:adjustRightInd w:val="0"/>
        <w:spacing w:line="860" w:lineRule="exact"/>
        <w:jc w:val="both"/>
        <w:rPr>
          <w:rFonts w:hint="eastAsia" w:ascii="宋体" w:hAnsi="宋体" w:eastAsia="宋体"/>
          <w:b/>
          <w:bCs/>
          <w:sz w:val="44"/>
          <w:szCs w:val="44"/>
        </w:rPr>
      </w:pPr>
      <w:r>
        <w:rPr>
          <w:rFonts w:hint="eastAsia" w:ascii="公文小标宋简" w:eastAsia="公文小标宋简"/>
          <w:bCs/>
          <w:spacing w:val="-6"/>
          <w:sz w:val="36"/>
          <w:szCs w:val="36"/>
        </w:rPr>
        <mc:AlternateContent>
          <mc:Choice Requires="wps">
            <w:drawing>
              <wp:anchor distT="0" distB="0" distL="114300" distR="114300" simplePos="0" relativeHeight="251659264" behindDoc="0" locked="0" layoutInCell="1" allowOverlap="1">
                <wp:simplePos x="0" y="0"/>
                <wp:positionH relativeFrom="margin">
                  <wp:posOffset>-91440</wp:posOffset>
                </wp:positionH>
                <wp:positionV relativeFrom="page">
                  <wp:posOffset>4155440</wp:posOffset>
                </wp:positionV>
                <wp:extent cx="5760085" cy="0"/>
                <wp:effectExtent l="0" t="7620" r="5715" b="11430"/>
                <wp:wrapNone/>
                <wp:docPr id="6" name="直接连接符 6" descr="红头"/>
                <wp:cNvGraphicFramePr/>
                <a:graphic xmlns:a="http://schemas.openxmlformats.org/drawingml/2006/main">
                  <a:graphicData uri="http://schemas.microsoft.com/office/word/2010/wordprocessingShape">
                    <wps:wsp>
                      <wps:cNvCnPr/>
                      <wps:spPr>
                        <a:xfrm>
                          <a:off x="0" y="0"/>
                          <a:ext cx="5760085" cy="0"/>
                        </a:xfrm>
                        <a:prstGeom prst="line">
                          <a:avLst/>
                        </a:prstGeom>
                        <a:ln w="15875" cap="flat" cmpd="sng">
                          <a:solidFill>
                            <a:srgbClr val="FF0000"/>
                          </a:solidFill>
                          <a:prstDash val="solid"/>
                          <a:headEnd type="none" w="med" len="med"/>
                          <a:tailEnd type="none" w="med" len="med"/>
                        </a:ln>
                      </wps:spPr>
                      <wps:bodyPr upright="true"/>
                    </wps:wsp>
                  </a:graphicData>
                </a:graphic>
              </wp:anchor>
            </w:drawing>
          </mc:Choice>
          <mc:Fallback>
            <w:pict>
              <v:line id="_x0000_s1026" o:spid="_x0000_s1026" o:spt="20" alt="红头" style="position:absolute;left:0pt;margin-left:-7.2pt;margin-top:327.2pt;height:0pt;width:453.55pt;mso-position-horizontal-relative:margin;mso-position-vertical-relative:page;z-index:251659264;mso-width-relative:page;mso-height-relative:page;" filled="f" stroked="t" coordsize="21600,21600" o:gfxdata="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TnqZq2AAAAAsBAAAPAAAAAAAAAAEAIAAAADgAAABkcnMv&#10;ZG93bnJldi54bWxQSwECFAAUAAAACACHTuJAiIxlYO0BAACpAwAADgAAAAAAAAABACAAAAA9AQAA&#10;ZHJzL2Uyb0RvYy54bWxQSwUGAAAAAAYABgBZAQAAnAUAAAAA&#10;">
                <v:fill on="f" focussize="0,0"/>
                <v:stroke weight="1.25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方正小标宋简体" w:eastAsia="方正小标宋简体"/>
          <w:bCs/>
          <w:sz w:val="36"/>
          <w:szCs w:val="36"/>
        </w:rPr>
      </w:pPr>
      <w:bookmarkStart w:id="3" w:name="zhengwen"/>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eastAsia="方正小标宋_GBK"/>
          <w:bCs/>
          <w:sz w:val="44"/>
          <w:szCs w:val="44"/>
        </w:rPr>
      </w:pPr>
      <w:r>
        <w:rPr>
          <w:rFonts w:hint="eastAsia" w:ascii="方正小标宋_GBK" w:eastAsia="方正小标宋_GBK"/>
          <w:bCs/>
          <w:sz w:val="44"/>
          <w:szCs w:val="44"/>
        </w:rPr>
        <w:t>关于核准的建筑业企业资质名单的公告</w:t>
      </w: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ascii="仿宋" w:hAnsi="仿宋" w:eastAsia="仿宋"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根据《中华人民共和国行政许可法》、省厅《关于委托审查建筑业企业资质的通知》（鄂建办〔2018〕25号）及有关建筑业企业资质管理规定，现将委托市（州）住建主管部门审查、我厅核准取得建筑业企业资质的企业名单予以公布。</w:t>
      </w: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请核准企业登陆湖北政务服务网进入湖北省住建厅行政审批平台领取电子证书。</w:t>
      </w: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附件：核准的建筑业企业资质名单</w:t>
      </w: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CN"/>
          <w14:textFill>
            <w14:solidFill>
              <w14:schemeClr w14:val="tx1"/>
            </w14:solidFill>
          </w14:textFill>
        </w:rPr>
        <w:t>（此页无正文）</w:t>
      </w: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20" w:lineRule="exact"/>
        <w:ind w:firstLine="4480" w:firstLineChars="14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湖北省住房和城乡建设厅</w:t>
      </w:r>
    </w:p>
    <w:p>
      <w:pPr>
        <w:keepNext w:val="0"/>
        <w:keepLines w:val="0"/>
        <w:pageBreakBefore w:val="0"/>
        <w:widowControl w:val="0"/>
        <w:kinsoku/>
        <w:wordWrap/>
        <w:overflowPunct/>
        <w:topLinePunct w:val="0"/>
        <w:autoSpaceDE/>
        <w:autoSpaceDN/>
        <w:bidi w:val="0"/>
        <w:adjustRightInd/>
        <w:snapToGrid/>
        <w:spacing w:line="620" w:lineRule="exact"/>
        <w:ind w:firstLine="4960" w:firstLineChars="155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cs="仿宋_GB2312"/>
          <w:color w:val="000000" w:themeColor="text1"/>
          <w:sz w:val="32"/>
          <w:szCs w:val="32"/>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CN"/>
          <w14:textFill>
            <w14:solidFill>
              <w14:schemeClr w14:val="tx1"/>
            </w14:solidFill>
          </w14:textFill>
        </w:rPr>
        <w:t>（此件公开发布）</w:t>
      </w:r>
    </w:p>
    <w:p/>
    <w:p/>
    <w:p/>
    <w:p/>
    <w:p/>
    <w:p>
      <w:pPr>
        <w:rPr>
          <w:rFonts w:hint="eastAsia"/>
        </w:rPr>
      </w:pPr>
    </w:p>
    <w:p>
      <w:pPr>
        <w:rPr>
          <w:rFonts w:hint="eastAsia"/>
        </w:rPr>
      </w:pPr>
    </w:p>
    <w:p/>
    <w:p>
      <w:pPr>
        <w:rPr>
          <w:rFonts w:hint="eastAsia" w:ascii="黑体" w:hAnsi="黑体" w:eastAsia="黑体" w:cs="黑体"/>
          <w:sz w:val="32"/>
          <w:szCs w:val="32"/>
        </w:rPr>
      </w:pPr>
      <w:r>
        <w:rPr>
          <w:rFonts w:hint="eastAsia" w:ascii="黑体" w:hAnsi="黑体" w:eastAsia="黑体" w:cs="黑体"/>
          <w:sz w:val="32"/>
          <w:szCs w:val="32"/>
        </w:rPr>
        <w:br w:type="page"/>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附件</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_GBK" w:hAnsi="方正小标宋_GBK" w:eastAsia="方正小标宋_GBK" w:cs="方正小标宋_GBK"/>
          <w:b w:val="0"/>
          <w:bCs/>
          <w:kern w:val="0"/>
          <w:sz w:val="44"/>
          <w:szCs w:val="44"/>
        </w:rPr>
      </w:pPr>
      <w:r>
        <w:rPr>
          <w:rFonts w:hint="eastAsia" w:ascii="方正小标宋_GBK" w:hAnsi="方正小标宋_GBK" w:eastAsia="方正小标宋_GBK" w:cs="方正小标宋_GBK"/>
          <w:b w:val="0"/>
          <w:bCs/>
          <w:sz w:val="44"/>
          <w:szCs w:val="44"/>
        </w:rPr>
        <w:t>核准的建筑业企业资质名单</w:t>
      </w:r>
    </w:p>
    <w:tbl>
      <w:tblPr>
        <w:tblStyle w:val="4"/>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3104"/>
        <w:gridCol w:w="5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52" w:type="dxa"/>
            <w:tcBorders>
              <w:tl2br w:val="nil"/>
              <w:tr2bl w:val="nil"/>
            </w:tcBorders>
            <w:noWrap/>
            <w:vAlign w:val="center"/>
          </w:tcPr>
          <w:p>
            <w:pPr>
              <w:widowControl/>
              <w:jc w:val="center"/>
              <w:rPr>
                <w:rFonts w:hint="eastAsia" w:ascii="黑体" w:hAnsi="黑体" w:eastAsia="黑体" w:cs="黑体"/>
                <w:b w:val="0"/>
                <w:bCs w:val="0"/>
                <w:kern w:val="0"/>
                <w:sz w:val="24"/>
                <w:szCs w:val="24"/>
                <w:highlight w:val="none"/>
              </w:rPr>
            </w:pPr>
            <w:r>
              <w:rPr>
                <w:rFonts w:hint="eastAsia" w:ascii="黑体" w:hAnsi="黑体" w:eastAsia="黑体" w:cs="黑体"/>
                <w:b w:val="0"/>
                <w:bCs w:val="0"/>
                <w:kern w:val="0"/>
                <w:sz w:val="24"/>
                <w:szCs w:val="24"/>
                <w:highlight w:val="none"/>
              </w:rPr>
              <w:t>序号</w:t>
            </w:r>
          </w:p>
        </w:tc>
        <w:tc>
          <w:tcPr>
            <w:tcW w:w="3104" w:type="dxa"/>
            <w:tcBorders>
              <w:tl2br w:val="nil"/>
              <w:tr2bl w:val="nil"/>
            </w:tcBorders>
            <w:noWrap/>
            <w:vAlign w:val="center"/>
          </w:tcPr>
          <w:p>
            <w:pPr>
              <w:widowControl/>
              <w:jc w:val="center"/>
              <w:rPr>
                <w:rFonts w:hint="eastAsia" w:ascii="黑体" w:hAnsi="黑体" w:eastAsia="黑体" w:cs="黑体"/>
                <w:b w:val="0"/>
                <w:bCs w:val="0"/>
                <w:kern w:val="0"/>
                <w:sz w:val="24"/>
                <w:szCs w:val="24"/>
                <w:highlight w:val="none"/>
              </w:rPr>
            </w:pPr>
            <w:r>
              <w:rPr>
                <w:rFonts w:hint="eastAsia" w:ascii="黑体" w:hAnsi="黑体" w:eastAsia="黑体" w:cs="黑体"/>
                <w:b w:val="0"/>
                <w:bCs w:val="0"/>
                <w:kern w:val="0"/>
                <w:sz w:val="24"/>
                <w:szCs w:val="24"/>
                <w:highlight w:val="none"/>
              </w:rPr>
              <w:t>企业名称</w:t>
            </w:r>
          </w:p>
        </w:tc>
        <w:tc>
          <w:tcPr>
            <w:tcW w:w="5401" w:type="dxa"/>
            <w:tcBorders>
              <w:tl2br w:val="nil"/>
              <w:tr2bl w:val="nil"/>
            </w:tcBorders>
            <w:noWrap/>
            <w:vAlign w:val="center"/>
          </w:tcPr>
          <w:p>
            <w:pPr>
              <w:widowControl/>
              <w:jc w:val="center"/>
              <w:rPr>
                <w:rFonts w:hint="eastAsia" w:ascii="黑体" w:hAnsi="黑体" w:eastAsia="黑体" w:cs="黑体"/>
                <w:b w:val="0"/>
                <w:bCs w:val="0"/>
                <w:kern w:val="0"/>
                <w:sz w:val="24"/>
                <w:szCs w:val="24"/>
                <w:highlight w:val="none"/>
              </w:rPr>
            </w:pPr>
            <w:r>
              <w:rPr>
                <w:rFonts w:hint="eastAsia" w:ascii="黑体" w:hAnsi="黑体" w:eastAsia="黑体" w:cs="黑体"/>
                <w:b w:val="0"/>
                <w:bCs w:val="0"/>
                <w:kern w:val="0"/>
                <w:sz w:val="24"/>
                <w:szCs w:val="24"/>
                <w:highlight w:val="none"/>
              </w:rPr>
              <w:t>核准资质类别及等级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357" w:type="dxa"/>
            <w:gridSpan w:val="3"/>
            <w:tcBorders>
              <w:tl2br w:val="nil"/>
              <w:tr2bl w:val="nil"/>
            </w:tcBorders>
            <w:noWrap/>
            <w:vAlign w:val="bottom"/>
          </w:tcPr>
          <w:p>
            <w:pPr>
              <w:widowControl/>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襄阳市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中筑红昌宏集团有限公司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湖北巨达建设工程有限公司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延续：建筑工程施工总承包贰级、建筑装修装饰工程专业承包贰级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襄阳怀古园林古建工程有限公司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湖北金顶建设工程有限公司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建筑幕墙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湖北联富建筑安装有限责任公司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湖北云卓建设工程有限公司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延续：建筑工程施工总承包贰级、钢结构工程专业承包贰级、地基基础工程专业承包贰级、建筑装修装饰工程专业承包贰级、建筑幕墙工程专业承包贰级、古建筑工程专业承包贰级、环保工程专业承包贰级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襄阳路桥建设集团有限公司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延续：钢结构工程专业承包贰级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湖北鑫万荣劳务有限公司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延续：防水防腐保温工程专业承包贰级、建筑装修装饰工程专业承包贰级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保康县永兴建筑有限责任公司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枣阳市强盛建筑工程有限公司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湖北艺得利建筑安装工程有限责任公司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延续：市政公用工程施工总承包贰级、钢结构工程专业承包贰级、地基基础工程专业承包贰级、建筑装修装饰工程专业承包贰级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中建国信工程建设集团有限公司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电力工程施工总承包贰级、石油化工工程施工总承包贰级、市政公用工程施工总承包贰级、输变电工程专业承包贰级、钢结构工程专业承包贰级、地基基础工程专业承包贰级、起重设备安装工程专业承包贰级、电子与智能化工程专业承包贰级、建筑幕墙工程专业承包贰级、古建筑工程专业承包贰级、城市及道路照明工程专业承包贰级、特种工程（结构补强）专业承包不分等级、特种工程（特种防雷）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湖北世海建筑工程有限公司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延续：市政公用工程施工总承包贰级、钢结构工程专业承包贰级、地基基础工程专业承包贰级、古建筑工程专业承包贰级、城市及道路照明工程专业承包贰级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老河口市望江楼开发建筑有限责任公司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延续：建筑工程施工总承包贰级、市政公用工程施工总承包贰级、钢结构工程专业承包贰级、地基基础工程专业承包贰级、建筑装修装饰工程专业承包贰级、城市及道路照明工程专业承包贰级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湖北盛鸿建设工程有限公司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襄阳宏博四方建筑工程有限公司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延续：电力工程施工总承包贰级、输变电工程专业承包贰级、地基基础工程专业承包贰级、电子与智能化工程专业承包贰级、消防设施工程专业承包贰级、建筑机电安装工程专业承包贰级、环保工程专业承包贰级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湖北飞友建设集团有限公司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电力工程施工总承包贰级、市政公用工程施工总承包贰级、输变电工程专业承包贰级、钢结构工程专业承包贰级、消防设施工程专业承包贰级、防水防腐保温工程专业承包贰级、建筑装修装饰工程专业承包贰级、建筑机电安装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襄阳市攀源建筑防水材料实业有限公司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延续：防水防腐保温工程专业承包贰级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襄阳锦宇建筑安装有限公司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博格华纳新能源（襄阳）有限公司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首次申请：电力工程施工总承包贰级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357" w:type="dxa"/>
            <w:gridSpan w:val="3"/>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宜昌市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湖北求创建筑工程有限公司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首次申请：建筑装修装饰工程专业承包贰级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湖北广耀建设工程有限公司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首次申请：建筑工程施工总承包贰级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湖北集群工程有限公司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首次申请：地基基础工程专业承包贰级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湖北翎肃建筑工程有限公司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增项：防水防腐保温工程专业承包贰级、建筑机电安装工程专业承包贰级、建筑幕墙工程专业承包贰级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357" w:type="dxa"/>
            <w:gridSpan w:val="3"/>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黄石市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湖北汉之风电力建设有限公司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首次申请：电力工程施工总承包贰级、输变电工程专业承包贰级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武汉合壹北斗科技发展有限公司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湖北万邦建设工程有限公司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建筑幕墙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湖北海洪环保设备有限公司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延续：防水防腐保温工程专业承包贰级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29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金泰翔建设集团有限公司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延续：消防设施工程专业承包贰级、建筑装修装饰工程专业承包贰级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湖北鄂正建设工程有限公司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延续：建筑工程施工总承包贰级、钢结构工程专业承包贰级、建筑装修装饰工程专业承包贰级、环保工程专业承包贰级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黄石美佳建筑工程有限公司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湖北一本水利建筑工程有限公司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湖北中康建筑工程有限公司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延续：建筑工程施工总承包贰级、市政公用工程施工总承包贰级、机电工程施工总承包贰级、钢结构工程专业承包贰级、防水防腐保温工程专业承包贰级、建筑装修装饰工程专业承包贰级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大冶市城发市政工程有限公司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湖北秀美园林仿古有限公司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防水防腐保温工程专业承包贰级、建筑装修装饰工程专业承包贰级、建筑幕墙工程专业承包贰级、环保工程专业承包贰级、特种工程（结构补强）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黄石富源建筑安装有限责任公司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延续：建筑工程施工总承包贰级、市政公用工程施工总承包贰级、地基基础工程专业承包贰级、建筑装修装饰工程专业承包贰级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阳新县正恒建设有限公司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延续：建筑工程施工总承包贰级、市政公用工程施工总承包贰级、钢结构工程专业承包贰级、地基基础工程专业承包贰级、防水防腐保温工程专业承包贰级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湖北实冶建工集团有限公司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桥梁工程专业承包贰级、隧道工程专业承包贰级、钢结构工程专业承包贰级、地基基础工程专业承包贰级、电子与智能化工程专业承包贰级、消防设施工程专业承包贰级、古建筑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39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大冶市明祥电力工程有限公司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增项：电力工程施工总承包贰级、地基基础工程专业承包贰级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湖北艺达建筑装饰工程有限公司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湖北省鄂东南基础工程有限公司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延续：市政公用工程施工总承包贰级、地基基础工程专业承包贰级、环保工程专业承包贰级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湖北雅权建筑工程有限公司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输变电工程专业承包贰级、钢结构工程专业承包贰级、地基基础工程专业承包贰级、建筑装修装饰工程专业承包贰级、建筑机电安装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357" w:type="dxa"/>
            <w:gridSpan w:val="3"/>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荆州市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荆州市鑫宏建设工程有限公司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洪湖市中宇建筑工程有限公司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湖北科顺立方科技有限公司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延续：防水防腐保温工程专业承包贰级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湖北巨工建设工程有限公司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荆州市津盛建筑工程公司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湖北城开建筑有限公司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延续：建筑工程施工总承包贰级、市政公用工程施工总承包贰级、钢结构工程专业承包贰级、防水防腐保温工程专业承包贰级、建筑装修装饰工程专业承包贰级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49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湖北雅岭建筑工程有限公司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增项：建筑装修装饰工程专业承包贰级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湖北锐钢建设工程有限公司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延续：建筑工程施工总承包贰级、市政公用工程施工总承包贰级、钢结构工程专业承包贰级、地基基础工程专业承包贰级、建筑装修装饰工程专业承包贰级、古建筑工程专业承包贰级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湖北思源建筑工程有限公司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机电工程施工总承包贰级、钢结构工程专业承包贰级、地基基础工程专业承包贰级、建筑装修装饰工程专业承包贰级、古建筑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湖北驰超电力工程有限公司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增项：电力工程施工总承包贰级、机电工程施工总承包贰级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湖北万世恒市政工程有限公司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延续：建筑工程施工总承包贰级、市政公用工程施工总承包贰级、钢结构工程专业承包贰级、地基基础工程专业承包贰级、建筑装修装饰工程专业承包贰级、建筑幕墙工程专业承包贰级、环保工程专业承包贰级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湖北伟兴建设有限公司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湖北中石建设有限公司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机电工程施工总承包贰级、钢结构工程专业承包贰级、地基基础工程专业承包贰级、消防设施工程专业承包贰级、防水防腐保温工程专业承包贰级、建筑装修装饰工程专业承包贰级、建筑幕墙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湖北翱呈建设工程有限公司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防水防腐保温工程专业承包贰级、建筑装修装饰工程专业承包贰级、古建筑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华奥建设集团有限公司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起重设备安装工程专业承包贰级、消防设施工程专业承包贰级、防水防腐保温工程专业承包贰级、建筑幕墙工程专业承包贰级、古建筑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湖北海联建设工程有限公司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59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湖北关俊装饰装修有限公司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湖北望新机械设备租赁有限公司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延续：起重设备安装工程专业承包贰级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湖北康百建筑工程有限公司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增项：建筑装修装饰工程专业承包贰级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湖北博诚公路工程有限公司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延续：市政公用工程施工总承包贰级、桥梁工程专业承包贰级、城市及道路照明工程专业承包贰级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湖北泽星建筑工程有限公司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延续：防水防腐保温工程专业承包贰级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荆州市翔韵建筑装饰有限公司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湖北银都建设集团有限公司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延续：市政公用工程施工总承包贰级、起重设备安装工程专业承包贰级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松滋艺筑建筑有限公司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首次申请：地基基础工程专业承包贰级、建筑装修装饰工程专业承包贰级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湖北舜安建设工程有限公司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延续：电力工程施工总承包贰级、市政公用工程施工总承包贰级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荆州市聚祥建筑劳务有限公司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首次申请：消防设施工程专业承包贰级、防水防腐保温工程专业承包贰级、建筑机电安装工程专业承包贰级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357" w:type="dxa"/>
            <w:gridSpan w:val="3"/>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荆门市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69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湖北楚宏建设有限公司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电子与智能化工程专业承包贰级、消防设施工程专业承包贰级、防水防腐保温工程专业承包贰级、建筑装修装饰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湖北乐天冶建建设有限公司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重新核定：建筑工程施工总承包贰级、市政公用工程施工总承包贰级、钢结构工程专业承包贰级、地基基础工程专业承包贰级、建筑装修装饰工程专业承包贰级、环保工程专业承包贰级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湖北丽凌建筑工程有限公司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输变电工程专业承包贰级、钢结构工程专业承包贰级、地基基础工程专业承包贰级、消防设施工程专业承包贰级、防水防腐保温工程专业承包贰级、建筑装修装饰工程专业承包贰级、建筑幕墙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湖北荆晨建设工程有限公司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湖北千川百谷建设工程有限公司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湖北超瑞电气科技有限公司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首次申请：电力工程施工总承包贰级、输变电工程专业承包贰级、电子与智能化工程专业承包贰级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湖北首义建设工程有限公司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建筑幕墙工程专业承包贰级、城市及道路照明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357" w:type="dxa"/>
            <w:gridSpan w:val="3"/>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鄂州市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湖北富楚建设工程有限公司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延续：建筑装修装饰工程专业承包贰级、建筑幕墙工程专业承包贰级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鄂州军生建筑安装工程有限公司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湖北迅发建筑安装工程有限责任公司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延续：建筑工程施工总承包贰级、钢结构工程专业承包贰级、建筑装修装饰工程专业承包贰级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79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湖北鹏翔建设工程有限公司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鄂州市裕隆建筑安装工程有限公司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湖北华山建筑工程有限公司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鄂州林祥装饰工程有限公司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湖北一六八建设工程有限公司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延续：建筑工程施工总承包贰级、钢结构工程专业承包贰级、电子与智能化工程专业承包贰级、建筑机电安装工程专业承包贰级、建筑幕墙工程专业承包贰级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湖北腾都建筑劳务有限公司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增项：地基基础工程专业承包贰级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湖北华筑建设有限公司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电力工程施工总承包贰级、市政公用工程施工总承包贰级、机电工程施工总承包贰级、钢结构工程专业承包贰级、地基基础工程专业承包贰级、起重设备安装工程专业承包贰级、消防设施工程专业承包贰级、防水防腐保温工程专业承包贰级、建筑装修装饰工程专业承包贰级、建筑幕墙工程专业承包贰级、古建筑工程专业承包贰级、城市及道路照明工程专业承包贰级、环保工程专业承包贰级、特种工程（建筑物纠偏和平移）专业承包不分等级、特种工程（结构补强）专业承包不分等级、特种工程（特殊设备起重吊装）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鄂州市楚烽建设工程有限公司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湖北福明建设有限公司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延续：建筑工程施工总承包贰级、钢结构工程专业承包贰级、建筑装修装饰工程专业承包贰级、建筑机电安装工程专业承包贰级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湖北晶品建设工程有限公司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延续：建筑工程施工总承包贰级、市政公用工程施工总承包贰级、防水防腐保温工程专业承包贰级、建筑装修装饰工程专业承包贰级、建筑机电安装工程专业承包贰级、环保工程专业承包贰级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89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湖北易隆装饰工程有限公司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湖北林海建筑安装工程有限公司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延续：钢结构工程专业承包贰级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 xml:space="preserve">湖北颂可建设有限公司 </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延续：防水防腐保温工程专业承包贰级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湖北华堂建筑安装工程有限公司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湖北明都建筑工程有限公司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鄂州市天畅市政工程公司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中狻建设发展有限公司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延续：建筑工程施工总承包贰级、市政公用工程施工总承包贰级、钢结构工程专业承包贰级、地基基础工程专业承包贰级、防水防腐保温工程专业承包贰级、建筑装修装饰工程专业承包贰级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华罡基础建设有限公司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建筑幕墙工程专业承包贰级、古建筑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湖北富东建设工程有限公司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钢结构工程专业承包贰级、地基基础工程专业承包贰级、起重设备安装工程专业承包贰级、防水防腐保温工程专业承包贰级、建筑幕墙工程专业承包贰级、古建筑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湖北文宝海建设有限公司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电力工程施工总承包贰级、市政公用工程施工总承包贰级、机电工程施工总承包贰级、钢结构工程专业承包贰级、消防设施工程专业承包贰级、防水防腐保温工程专业承包贰级、建筑装修装饰工程专业承包贰级、建筑机电安装工程专业承包贰级、建筑幕墙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99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湖北远铭建筑工程有限公司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延续：防水防腐保温工程专业承包贰级、建筑装修装饰工程专业承包贰级、建筑幕墙工程专业承包贰级、特种工程（结构补强）专业承包不分等级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湖北木之君铁路工程有限公司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建筑装修装饰工程专业承包贰级、环保工程专业承包贰级、特种工程（建筑物纠偏和平移）专业承包不分等级、特种工程（结构补强）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湖北杰创建设工程有限公司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延续：建筑工程施工总承包贰级、市政公用工程施工总承包贰级、桥梁工程专业承包贰级、地基基础工程专业承包贰级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湖北腾瀚建筑工程有限公司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桥梁工程专业承包贰级、隧道工程专业承包贰级、钢结构工程专业承包贰级、地基基础工程专业承包贰级、起重设备安装工程专业承包贰级、防水防腐保温工程专业承包贰级、建筑装修装饰工程专业承包贰级、古建筑工程专业承包贰级、</w:t>
            </w:r>
            <w:r>
              <w:rPr>
                <w:rFonts w:hint="default" w:ascii="仿宋_GB2312" w:hAnsi="仿宋_GB2312" w:eastAsia="仿宋_GB2312" w:cs="仿宋_GB2312"/>
                <w:i w:val="0"/>
                <w:iCs w:val="0"/>
                <w:color w:val="000000"/>
                <w:kern w:val="2"/>
                <w:sz w:val="24"/>
                <w:szCs w:val="24"/>
                <w:highlight w:val="none"/>
                <w:u w:val="none"/>
                <w:lang w:val="en-US" w:eastAsia="zh-CN" w:bidi="ar-SA"/>
              </w:rPr>
              <w:t>城市及道路照明工程专业</w:t>
            </w:r>
            <w:r>
              <w:rPr>
                <w:rFonts w:hint="default" w:ascii="仿宋_GB2312" w:hAnsi="仿宋_GB2312" w:eastAsia="仿宋_GB2312" w:cs="仿宋_GB2312"/>
                <w:i w:val="0"/>
                <w:iCs w:val="0"/>
                <w:color w:val="000000"/>
                <w:kern w:val="0"/>
                <w:sz w:val="24"/>
                <w:szCs w:val="24"/>
                <w:highlight w:val="none"/>
                <w:u w:val="none"/>
                <w:lang w:val="en-US" w:eastAsia="zh-CN" w:bidi="ar"/>
              </w:rPr>
              <w:t>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357" w:type="dxa"/>
            <w:gridSpan w:val="3"/>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孝感市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湖北华维钢结构有限公司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延续：建筑工程施工总承包贰级、钢结构工程专业承包贰级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湖北恒颂建设工程有限公司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延续：建筑工程施工总承包贰级、防水防腐保温工程专业承包贰级、建筑装修装饰工程专业承包贰级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湖北枫叶企业发展股份有限公司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湖北宣锋建设工程有限公司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湖北云华建设有限公司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湖北凯标建筑工程有限公司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延续：建筑工程施工总承包贰级、市政公用工程施工总承包贰级、地基基础工程专业承包贰级、环保工程专业承包贰级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109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大悟县第一建筑工程有限公司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延续：建筑装修装饰工程专业承包贰级、建筑幕墙工程专业承包贰级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湖北昕源电力设备安装有限公司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增项：地基基础工程专业承包贰级、建筑装修装饰工程专业承包贰级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湖北楚润广厦建设集团有限公司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延续：市政公用工程施工总承包贰级、钢结构工程专业承包贰级、建筑装修装饰工程专业承包贰级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湖北方程建筑工程有限公司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机电工程施工总承包贰级、钢结构工程专业承包贰级、电子与智能化工程专业承包贰级、消防设施工程专业承包贰级、防水防腐保温工程专业承包贰级、建筑装修装饰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湖北中晟建筑工程集团有限公司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延续：建筑工程施工总承包贰级、市政公用工程施工总承包贰级、钢结构工程专业承包贰级、防水防腐保温工程专业承包贰级、建筑装修装饰工程专业承包贰级、建筑机电安装工程专业承包贰级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垠湖建设有限公司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延续：建筑工程施工总承包贰级、钢结构工程专业承包贰级、建筑装修装饰工程专业承包贰级、环保工程专业承包贰级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湖北孝天水利水电建设有限公司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延续：市政公用工程施工总承包贰级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湖北宏联众装配集成房屋有限公司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延续：钢结构工程专业承包贰级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应城市和屹市政建设工程有限公司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湖北华富建筑工程有限公司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119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湖北澜江建设有限公司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湖北广场建设有限公司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延续：市政公用工程施工总承包贰级、钢结构工程专业承包贰级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湖北省晴宇建设工程有限公司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湖北跨越建设有限公司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湖北东宝泰建设集团有限公司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湖北浩远建设工程有限公司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电力工程施工总承包贰级、市政公用工程施工总承包贰级、机电工程施工总承包贰级、钢结构工程专业承包贰级、地基基础工程专业承包贰级、消防设施工程专业承包贰级、防水防腐保温工程专业承包贰级、建筑装修装饰工程专业承包贰级、建筑机电安装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孝感源江建设有限责任公司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电力工程施工总承包贰级、市政公用工程施工总承包贰级、机电工程施工总承包贰级、钢结构工程专业承包贰级、地基基础工程专业承包贰级、起重设备安装工程专业承包贰级、消防设施工程专业承包贰级、防水防腐保温工程专业承包贰级、建筑装修装饰工程专业承包贰级、古建筑工程专业承包贰级、城市及道路照明工程专业承包贰级、环保工程专业承包贰级、特种工程（结构补强）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湖北可为建设工程有限公司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延续：建筑工程施工总承包贰级、市政公用工程施工总承包贰级、机电工程施工总承包贰级、地基基础工程专业承包贰级、建筑装修装饰工程专业承包贰级、环保工程专业承包贰级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357" w:type="dxa"/>
            <w:gridSpan w:val="3"/>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恩施州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兴富建设集团有限公司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延续：建筑工程施工总承包贰级、市政公用工程施工总承包贰级、钢结构工程专业承包贰级、地基基础工程专业承包贰级、建筑装修装饰工程专业承包贰级、古建筑工程专业承包贰级、环保工程专业承包贰级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湖北基石建设工程有限公司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延续：建筑工程施工总承包贰级、市政公用工程施工总承包贰级、机电工程施工总承包贰级、钢结构工程专业承包贰级、防水防腐保温工程专业承包贰级、建筑装修装饰工程专业承包贰级、环保工程专业承包贰级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129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湖北远景工程建设有限责任公司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湖北广竣建设工程有限公司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建筑装修装饰工程专业承包贰级、古建筑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湖北天幕防雷工程有限公司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延续：特种工程（特种防雷）专业承包不分等级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湖北格爱建筑工程有限公司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延续：建筑工程施工总承包贰级、市政公用工程施工总承包贰级、机电工程施工总承包贰级、地基基础工程专业承包贰级、古建筑工程专业承包贰级、环保工程专业承包贰级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恩施今典建设有限公司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湖北凯嘉建筑安装工程有限公司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建筑装修装饰工程专业承包贰级、建筑幕墙工程专业承包贰级、古建筑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湖北省臻品建筑有限公司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宣恩县珠山建筑工程有限公司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恩施茗邦建设工程有限公司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延续：建筑工程施工总承包贰级、钢结构工程专业承包贰级、地基基础工程专业承包贰级、建筑装修装饰工程专业承包贰级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357" w:type="dxa"/>
            <w:gridSpan w:val="3"/>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仙桃市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湖北省仙桃市第一建筑工程有限公司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延续：建筑工程施工总承包贰级、地基基础工程专业承包贰级、建筑装修装饰工程专业承包贰级、古建筑工程专业承包贰级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139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金晟建设集团有限公司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延续：市政公用工程施工总承包贰级、古建筑工程专业承包贰级、环保工程专业承包贰级、模板脚手架专业承包不分等级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湖北宏立建筑工程有限公司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消防设施工程专业承包贰级、防水防腐保温工程专业承包贰级、建筑装修装饰工程专业承包贰级、环保工程专业承包贰级、模板脚手架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湖北宏达建工实业有限公司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延续：预拌混凝土专业承包不分等级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湖北丰硕安装有限公司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延续：建筑工程施工总承包贰级、市政公用工程施工总承包贰级、地基基础工程专业承包贰级、起重设备安装工程专业承包贰级、建筑装修装饰工程专业承包贰级、环保工程专业承包贰级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亚鑫建设集团有限公司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延续：机电工程施工总承包贰级、电子与智能化工程专业承包贰级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湖北龙扬建设工程有限公司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钢结构工程专业承包贰级、地基基础工程专业承包贰级、电子与智能化工程专业承包贰级、消防设施工程专业承包贰级、防水防腐保温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145</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仙桃市时代鲁班装饰有限责任公司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146</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湖北安凯建筑设备工程有限公司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延续：模板脚手架专业承包不分等级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147</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湖北荣宇建设工程有限公司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延续：市政公用工程施工总承包贰级、钢结构工程专业承包贰级、地基基础工程专业承包贰级、建筑装修装饰工程专业承包贰级、环保工程专业承包贰级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148</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湖北拓建建筑机械有限公司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延续：起重设备安装工程专业承包贰级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357" w:type="dxa"/>
            <w:gridSpan w:val="3"/>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潜江市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149</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湖北中民建筑工程有限公司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延续：市政公用工程施工总承包贰级、钢结构工程专业承包贰级、地基基础工程专业承包贰级、建筑幕墙工程专业承包贰级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150</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湖北名企建筑工程有限公司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延续：建筑工程施工总承包贰级、市政公用工程施工总承包贰级、钢结构工程专业承包贰级、地基基础工程专业承包贰级、起重设备安装工程专业承包贰级、建筑装修装饰工程专业承包贰级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151</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潜江市博新环保有限公司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延续：建筑工程施工总承包贰级、防水防腐保温工程专业承包贰级、环保工程专业承包贰级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152</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潜江伟柏石油工程技术服务有限公司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延续：建筑工程施工总承包贰级、石油化工工程施工总承包贰级、钢结构工程专业承包贰级、电子与智能化工程专业承包贰级、环保工程专业承包贰级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153</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湖北河泽水利水电工程有限公司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延续：建筑工程施工总承包贰级、市政公用工程施工总承包贰级、钢结构工程专业承包贰级、地基基础工程专业承包贰级、城市及道路照明工程专业承包贰级、环保工程专业承包贰级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852" w:type="dxa"/>
            <w:tcBorders>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highlight w:val="none"/>
                <w:u w:val="none"/>
                <w:lang w:val="en-US" w:eastAsia="zh-CN" w:bidi="ar-SA"/>
              </w:rPr>
            </w:pPr>
            <w:r>
              <w:rPr>
                <w:rFonts w:hint="eastAsia" w:ascii="仿宋_GB2312" w:hAnsi="仿宋_GB2312" w:eastAsia="仿宋_GB2312" w:cs="仿宋_GB2312"/>
                <w:i w:val="0"/>
                <w:iCs w:val="0"/>
                <w:color w:val="000000"/>
                <w:kern w:val="2"/>
                <w:sz w:val="24"/>
                <w:szCs w:val="24"/>
                <w:highlight w:val="none"/>
                <w:u w:val="none"/>
                <w:lang w:val="en-US" w:eastAsia="zh-CN" w:bidi="ar-SA"/>
              </w:rPr>
              <w:t>154</w:t>
            </w:r>
          </w:p>
        </w:tc>
        <w:tc>
          <w:tcPr>
            <w:tcW w:w="3104"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湖北大邦建筑工程有限公司</w:t>
            </w:r>
          </w:p>
        </w:tc>
        <w:tc>
          <w:tcPr>
            <w:tcW w:w="5401" w:type="dxa"/>
            <w:tcBorders>
              <w:tl2br w:val="nil"/>
              <w:tr2bl w:val="nil"/>
            </w:tcBorders>
            <w:noWrap w:val="0"/>
            <w:vAlign w:val="center"/>
          </w:tcPr>
          <w:p>
            <w:pPr>
              <w:keepNext w:val="0"/>
              <w:keepLines w:val="0"/>
              <w:widowControl/>
              <w:suppressLineNumbers w:val="0"/>
              <w:jc w:val="left"/>
              <w:textAlignment w:val="center"/>
              <w:rPr>
                <w:rFonts w:hint="default" w:ascii="仿宋_GB2312" w:hAnsi="仿宋_GB2312" w:eastAsia="仿宋_GB2312" w:cs="仿宋_GB2312"/>
                <w:i w:val="0"/>
                <w:iCs w:val="0"/>
                <w:color w:val="000000"/>
                <w:kern w:val="0"/>
                <w:sz w:val="24"/>
                <w:szCs w:val="24"/>
                <w:highlight w:val="none"/>
                <w:u w:val="none"/>
                <w:lang w:val="en-US" w:eastAsia="zh-CN" w:bidi="ar"/>
              </w:rPr>
            </w:pPr>
            <w:r>
              <w:rPr>
                <w:rFonts w:hint="default" w:ascii="仿宋_GB2312" w:hAnsi="仿宋_GB2312" w:eastAsia="仿宋_GB2312" w:cs="仿宋_GB2312"/>
                <w:i w:val="0"/>
                <w:iCs w:val="0"/>
                <w:color w:val="000000"/>
                <w:kern w:val="0"/>
                <w:sz w:val="24"/>
                <w:szCs w:val="24"/>
                <w:highlight w:val="none"/>
                <w:u w:val="none"/>
                <w:lang w:val="en-US" w:eastAsia="zh-CN" w:bidi="ar"/>
              </w:rPr>
              <w:t>延续：机电工程施工总承包贰级、钢结构工程专业承包贰级、起重设备安装工程专业承包贰级、模板脚手架专业承包不分等级</w:t>
            </w:r>
          </w:p>
        </w:tc>
      </w:tr>
      <w:bookmarkEnd w:id="3"/>
    </w:tbl>
    <w:p>
      <w:pPr>
        <w:spacing w:line="600" w:lineRule="exact"/>
      </w:pPr>
    </w:p>
    <w:sectPr>
      <w:footerReference r:id="rId3" w:type="default"/>
      <w:pgSz w:w="11906" w:h="16838"/>
      <w:pgMar w:top="2098" w:right="1474" w:bottom="1984" w:left="1587" w:header="851" w:footer="1587"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新魏">
    <w:altName w:val="方正魏碑_GBK"/>
    <w:panose1 w:val="02010800040101010101"/>
    <w:charset w:val="86"/>
    <w:family w:val="auto"/>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公文小标宋简">
    <w:altName w:val="方正小标宋_GBK"/>
    <w:panose1 w:val="0201060901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魏碑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GhpgkvTAAAABQEAAA8AAAAAAAAAAQAgAAAAOAAA&#10;AGRycy9kb3ducmV2LnhtbFBLAQIUABQAAAAIAIdO4kD0G2suvgEAAFwDAAAOAAAAAAAAAAEAIAAA&#10;ADgBAABkcnMvZTJvRG9jLnhtbFBLBQYAAAAABgAGAFkBAABoBQAAAAA=&#10;">
              <v:fill on="f" focussize="0,0"/>
              <v:stroke on="f" weight="1.2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YzI5NjM1YmQ5ZjFhNjA5OTVjZGE2MGIzNjM5Y2MifQ=="/>
  </w:docVars>
  <w:rsids>
    <w:rsidRoot w:val="00F51005"/>
    <w:rsid w:val="00013EEF"/>
    <w:rsid w:val="00032EE8"/>
    <w:rsid w:val="00035384"/>
    <w:rsid w:val="000358F6"/>
    <w:rsid w:val="00040016"/>
    <w:rsid w:val="00041165"/>
    <w:rsid w:val="00046B1C"/>
    <w:rsid w:val="0006498E"/>
    <w:rsid w:val="000723E1"/>
    <w:rsid w:val="00077122"/>
    <w:rsid w:val="00090475"/>
    <w:rsid w:val="00096B90"/>
    <w:rsid w:val="00096FB3"/>
    <w:rsid w:val="000B07EA"/>
    <w:rsid w:val="000B2080"/>
    <w:rsid w:val="000C4F4B"/>
    <w:rsid w:val="000C5CC6"/>
    <w:rsid w:val="000D59EA"/>
    <w:rsid w:val="000E0C95"/>
    <w:rsid w:val="000F193E"/>
    <w:rsid w:val="00103515"/>
    <w:rsid w:val="00121F7B"/>
    <w:rsid w:val="001250FA"/>
    <w:rsid w:val="00133D88"/>
    <w:rsid w:val="00143613"/>
    <w:rsid w:val="001443B6"/>
    <w:rsid w:val="00147A35"/>
    <w:rsid w:val="001604CC"/>
    <w:rsid w:val="00165E83"/>
    <w:rsid w:val="00190D02"/>
    <w:rsid w:val="0019301E"/>
    <w:rsid w:val="001A028E"/>
    <w:rsid w:val="001A47AF"/>
    <w:rsid w:val="001B20BD"/>
    <w:rsid w:val="001B4CAB"/>
    <w:rsid w:val="001D7F95"/>
    <w:rsid w:val="001E45F3"/>
    <w:rsid w:val="001E5710"/>
    <w:rsid w:val="001E6B2A"/>
    <w:rsid w:val="001F1AD3"/>
    <w:rsid w:val="001F3F32"/>
    <w:rsid w:val="001F5F7C"/>
    <w:rsid w:val="00215D6E"/>
    <w:rsid w:val="0022424A"/>
    <w:rsid w:val="00227BEA"/>
    <w:rsid w:val="00230014"/>
    <w:rsid w:val="00230A21"/>
    <w:rsid w:val="00236FC6"/>
    <w:rsid w:val="0024429A"/>
    <w:rsid w:val="002443F6"/>
    <w:rsid w:val="00245062"/>
    <w:rsid w:val="00245D04"/>
    <w:rsid w:val="00247383"/>
    <w:rsid w:val="002552FE"/>
    <w:rsid w:val="00261455"/>
    <w:rsid w:val="002618DE"/>
    <w:rsid w:val="002629C1"/>
    <w:rsid w:val="00267225"/>
    <w:rsid w:val="00271201"/>
    <w:rsid w:val="00272A88"/>
    <w:rsid w:val="00272D14"/>
    <w:rsid w:val="0027325D"/>
    <w:rsid w:val="002737F9"/>
    <w:rsid w:val="002769B0"/>
    <w:rsid w:val="00293198"/>
    <w:rsid w:val="002A0143"/>
    <w:rsid w:val="002A3FE3"/>
    <w:rsid w:val="002B0B2E"/>
    <w:rsid w:val="002C03B4"/>
    <w:rsid w:val="002F00B6"/>
    <w:rsid w:val="002F01DF"/>
    <w:rsid w:val="002F08FD"/>
    <w:rsid w:val="0030013D"/>
    <w:rsid w:val="00326703"/>
    <w:rsid w:val="00326C89"/>
    <w:rsid w:val="00344D8D"/>
    <w:rsid w:val="003543C6"/>
    <w:rsid w:val="00357038"/>
    <w:rsid w:val="003679BD"/>
    <w:rsid w:val="00380B60"/>
    <w:rsid w:val="003829E6"/>
    <w:rsid w:val="00386023"/>
    <w:rsid w:val="0038629C"/>
    <w:rsid w:val="00390267"/>
    <w:rsid w:val="00391089"/>
    <w:rsid w:val="003A4605"/>
    <w:rsid w:val="003A6B7C"/>
    <w:rsid w:val="003D2B20"/>
    <w:rsid w:val="003D5C54"/>
    <w:rsid w:val="003D5F4C"/>
    <w:rsid w:val="003D7BDE"/>
    <w:rsid w:val="003E7335"/>
    <w:rsid w:val="003F2DCA"/>
    <w:rsid w:val="00400602"/>
    <w:rsid w:val="00412B03"/>
    <w:rsid w:val="00420463"/>
    <w:rsid w:val="00421863"/>
    <w:rsid w:val="0043689C"/>
    <w:rsid w:val="004428BD"/>
    <w:rsid w:val="00451D40"/>
    <w:rsid w:val="004543DD"/>
    <w:rsid w:val="004571C0"/>
    <w:rsid w:val="004572E5"/>
    <w:rsid w:val="004628A0"/>
    <w:rsid w:val="00463313"/>
    <w:rsid w:val="004652DC"/>
    <w:rsid w:val="004718FF"/>
    <w:rsid w:val="00473C1F"/>
    <w:rsid w:val="00476C8D"/>
    <w:rsid w:val="00477C1D"/>
    <w:rsid w:val="004913A2"/>
    <w:rsid w:val="004A0EEF"/>
    <w:rsid w:val="004B0430"/>
    <w:rsid w:val="004B0B82"/>
    <w:rsid w:val="004D223D"/>
    <w:rsid w:val="004D258D"/>
    <w:rsid w:val="004E1683"/>
    <w:rsid w:val="004E5727"/>
    <w:rsid w:val="00514F60"/>
    <w:rsid w:val="00543885"/>
    <w:rsid w:val="00546F16"/>
    <w:rsid w:val="005473DB"/>
    <w:rsid w:val="00550220"/>
    <w:rsid w:val="00570FAC"/>
    <w:rsid w:val="00574D2C"/>
    <w:rsid w:val="00585FD9"/>
    <w:rsid w:val="00590A0A"/>
    <w:rsid w:val="00590A65"/>
    <w:rsid w:val="00596BD0"/>
    <w:rsid w:val="005B2444"/>
    <w:rsid w:val="005B5262"/>
    <w:rsid w:val="005B6DBD"/>
    <w:rsid w:val="005D0079"/>
    <w:rsid w:val="005D6770"/>
    <w:rsid w:val="005E2B8F"/>
    <w:rsid w:val="005E7C18"/>
    <w:rsid w:val="005F2DFE"/>
    <w:rsid w:val="005F5DFB"/>
    <w:rsid w:val="00606778"/>
    <w:rsid w:val="00606F4E"/>
    <w:rsid w:val="00616550"/>
    <w:rsid w:val="00647D72"/>
    <w:rsid w:val="00661526"/>
    <w:rsid w:val="006652E4"/>
    <w:rsid w:val="00687A1B"/>
    <w:rsid w:val="00697A07"/>
    <w:rsid w:val="006A025D"/>
    <w:rsid w:val="006A387D"/>
    <w:rsid w:val="006B4A0F"/>
    <w:rsid w:val="006D347F"/>
    <w:rsid w:val="006D3E53"/>
    <w:rsid w:val="006F0C59"/>
    <w:rsid w:val="006F3430"/>
    <w:rsid w:val="006F7B70"/>
    <w:rsid w:val="007146EF"/>
    <w:rsid w:val="0072063F"/>
    <w:rsid w:val="00722665"/>
    <w:rsid w:val="00731859"/>
    <w:rsid w:val="007346EF"/>
    <w:rsid w:val="007369BE"/>
    <w:rsid w:val="00751333"/>
    <w:rsid w:val="007514E5"/>
    <w:rsid w:val="00762B40"/>
    <w:rsid w:val="0078172C"/>
    <w:rsid w:val="0078278A"/>
    <w:rsid w:val="00782C94"/>
    <w:rsid w:val="007B7A66"/>
    <w:rsid w:val="007C2090"/>
    <w:rsid w:val="007E3FB1"/>
    <w:rsid w:val="007F6E01"/>
    <w:rsid w:val="00841096"/>
    <w:rsid w:val="00841AC4"/>
    <w:rsid w:val="00844B49"/>
    <w:rsid w:val="00855564"/>
    <w:rsid w:val="00856DC5"/>
    <w:rsid w:val="00871652"/>
    <w:rsid w:val="008757DD"/>
    <w:rsid w:val="00875883"/>
    <w:rsid w:val="00894C98"/>
    <w:rsid w:val="008B5ECF"/>
    <w:rsid w:val="008B68C1"/>
    <w:rsid w:val="008E5A3A"/>
    <w:rsid w:val="00921D48"/>
    <w:rsid w:val="0092714E"/>
    <w:rsid w:val="0093313D"/>
    <w:rsid w:val="00935FAB"/>
    <w:rsid w:val="00936C6F"/>
    <w:rsid w:val="00953476"/>
    <w:rsid w:val="00961C16"/>
    <w:rsid w:val="00970CAE"/>
    <w:rsid w:val="00976EE0"/>
    <w:rsid w:val="00986148"/>
    <w:rsid w:val="00991F17"/>
    <w:rsid w:val="009937DA"/>
    <w:rsid w:val="009A6522"/>
    <w:rsid w:val="009D2C2F"/>
    <w:rsid w:val="009D55FF"/>
    <w:rsid w:val="009E288E"/>
    <w:rsid w:val="009F35EB"/>
    <w:rsid w:val="009F58B4"/>
    <w:rsid w:val="00A1137D"/>
    <w:rsid w:val="00A27782"/>
    <w:rsid w:val="00A306A1"/>
    <w:rsid w:val="00A53D0E"/>
    <w:rsid w:val="00A54CF9"/>
    <w:rsid w:val="00A62B36"/>
    <w:rsid w:val="00AA0D27"/>
    <w:rsid w:val="00AA216F"/>
    <w:rsid w:val="00AB1307"/>
    <w:rsid w:val="00AB189C"/>
    <w:rsid w:val="00AB401F"/>
    <w:rsid w:val="00AD3FE2"/>
    <w:rsid w:val="00AD4ECA"/>
    <w:rsid w:val="00AE09F7"/>
    <w:rsid w:val="00AF1BD5"/>
    <w:rsid w:val="00AF7D6F"/>
    <w:rsid w:val="00B0121A"/>
    <w:rsid w:val="00B402FE"/>
    <w:rsid w:val="00B41ED1"/>
    <w:rsid w:val="00B47AE6"/>
    <w:rsid w:val="00B55461"/>
    <w:rsid w:val="00B6212F"/>
    <w:rsid w:val="00B62236"/>
    <w:rsid w:val="00B63C82"/>
    <w:rsid w:val="00B65905"/>
    <w:rsid w:val="00B663BE"/>
    <w:rsid w:val="00B90B11"/>
    <w:rsid w:val="00B95FD1"/>
    <w:rsid w:val="00BB5ADF"/>
    <w:rsid w:val="00BE0A05"/>
    <w:rsid w:val="00BF4DCF"/>
    <w:rsid w:val="00C0228D"/>
    <w:rsid w:val="00C0319A"/>
    <w:rsid w:val="00C0435A"/>
    <w:rsid w:val="00C118CE"/>
    <w:rsid w:val="00C2594F"/>
    <w:rsid w:val="00C26603"/>
    <w:rsid w:val="00C32047"/>
    <w:rsid w:val="00C44515"/>
    <w:rsid w:val="00C529E2"/>
    <w:rsid w:val="00C52B1F"/>
    <w:rsid w:val="00C6005F"/>
    <w:rsid w:val="00C63C8A"/>
    <w:rsid w:val="00C6566E"/>
    <w:rsid w:val="00C77C67"/>
    <w:rsid w:val="00C82763"/>
    <w:rsid w:val="00C853C8"/>
    <w:rsid w:val="00C9095A"/>
    <w:rsid w:val="00C94FBF"/>
    <w:rsid w:val="00C97F81"/>
    <w:rsid w:val="00CA0B69"/>
    <w:rsid w:val="00CA513B"/>
    <w:rsid w:val="00CB28F8"/>
    <w:rsid w:val="00CC2BA7"/>
    <w:rsid w:val="00CC4EA2"/>
    <w:rsid w:val="00CC52FF"/>
    <w:rsid w:val="00CD11BC"/>
    <w:rsid w:val="00CD3F31"/>
    <w:rsid w:val="00CD6075"/>
    <w:rsid w:val="00CD739B"/>
    <w:rsid w:val="00CE0B70"/>
    <w:rsid w:val="00CE4DF7"/>
    <w:rsid w:val="00D1383C"/>
    <w:rsid w:val="00D25D29"/>
    <w:rsid w:val="00D2645A"/>
    <w:rsid w:val="00D265AA"/>
    <w:rsid w:val="00D35AF7"/>
    <w:rsid w:val="00D55C48"/>
    <w:rsid w:val="00D62949"/>
    <w:rsid w:val="00D716E5"/>
    <w:rsid w:val="00D75AAD"/>
    <w:rsid w:val="00D832E4"/>
    <w:rsid w:val="00D847F9"/>
    <w:rsid w:val="00D963D3"/>
    <w:rsid w:val="00DA2B4A"/>
    <w:rsid w:val="00DB1641"/>
    <w:rsid w:val="00DB2BB1"/>
    <w:rsid w:val="00DC1200"/>
    <w:rsid w:val="00DC2EC0"/>
    <w:rsid w:val="00DC7FC4"/>
    <w:rsid w:val="00DD02B6"/>
    <w:rsid w:val="00DD5AE8"/>
    <w:rsid w:val="00DF0724"/>
    <w:rsid w:val="00DF18A0"/>
    <w:rsid w:val="00E034F5"/>
    <w:rsid w:val="00E10A3C"/>
    <w:rsid w:val="00E238BC"/>
    <w:rsid w:val="00E30879"/>
    <w:rsid w:val="00E35E5C"/>
    <w:rsid w:val="00E4237D"/>
    <w:rsid w:val="00E45A82"/>
    <w:rsid w:val="00E75D89"/>
    <w:rsid w:val="00E82095"/>
    <w:rsid w:val="00E847DA"/>
    <w:rsid w:val="00E92BB7"/>
    <w:rsid w:val="00E951B0"/>
    <w:rsid w:val="00EB6AB5"/>
    <w:rsid w:val="00EB7CA1"/>
    <w:rsid w:val="00ED5428"/>
    <w:rsid w:val="00EF05E8"/>
    <w:rsid w:val="00EF6DB3"/>
    <w:rsid w:val="00F028A6"/>
    <w:rsid w:val="00F02B05"/>
    <w:rsid w:val="00F22F9D"/>
    <w:rsid w:val="00F23AC5"/>
    <w:rsid w:val="00F359E2"/>
    <w:rsid w:val="00F36C88"/>
    <w:rsid w:val="00F378CA"/>
    <w:rsid w:val="00F447A2"/>
    <w:rsid w:val="00F51005"/>
    <w:rsid w:val="00F63E06"/>
    <w:rsid w:val="00F674E2"/>
    <w:rsid w:val="00F7581F"/>
    <w:rsid w:val="00F92AF3"/>
    <w:rsid w:val="00F94631"/>
    <w:rsid w:val="00FA4662"/>
    <w:rsid w:val="00FA6B81"/>
    <w:rsid w:val="00FA7DEC"/>
    <w:rsid w:val="00FB29BF"/>
    <w:rsid w:val="00FB58F5"/>
    <w:rsid w:val="00FC1366"/>
    <w:rsid w:val="00FD0934"/>
    <w:rsid w:val="00FE2C7F"/>
    <w:rsid w:val="028B6CDF"/>
    <w:rsid w:val="02D52090"/>
    <w:rsid w:val="032B4848"/>
    <w:rsid w:val="04F82B4C"/>
    <w:rsid w:val="09AA317C"/>
    <w:rsid w:val="0AAD7AD2"/>
    <w:rsid w:val="0BD4272D"/>
    <w:rsid w:val="0F2A16FE"/>
    <w:rsid w:val="10F95593"/>
    <w:rsid w:val="16851A8D"/>
    <w:rsid w:val="18EB5159"/>
    <w:rsid w:val="1AAA3236"/>
    <w:rsid w:val="1B2A7AAB"/>
    <w:rsid w:val="1D04661E"/>
    <w:rsid w:val="1D75039D"/>
    <w:rsid w:val="1D84707B"/>
    <w:rsid w:val="1FBB72C3"/>
    <w:rsid w:val="1FFE530F"/>
    <w:rsid w:val="20872A74"/>
    <w:rsid w:val="217B3B67"/>
    <w:rsid w:val="23A50611"/>
    <w:rsid w:val="28B23164"/>
    <w:rsid w:val="290C4C62"/>
    <w:rsid w:val="290C5EF0"/>
    <w:rsid w:val="2A6D1046"/>
    <w:rsid w:val="2B80316A"/>
    <w:rsid w:val="2C563A7A"/>
    <w:rsid w:val="2D22251C"/>
    <w:rsid w:val="2DCF75C5"/>
    <w:rsid w:val="30892531"/>
    <w:rsid w:val="31E41835"/>
    <w:rsid w:val="31EE3454"/>
    <w:rsid w:val="34657983"/>
    <w:rsid w:val="356C3A84"/>
    <w:rsid w:val="363F2AFC"/>
    <w:rsid w:val="37ED15F9"/>
    <w:rsid w:val="397BCAD4"/>
    <w:rsid w:val="3B95540D"/>
    <w:rsid w:val="3C630270"/>
    <w:rsid w:val="3D24672A"/>
    <w:rsid w:val="3D313A75"/>
    <w:rsid w:val="3F6134F7"/>
    <w:rsid w:val="3FFA4C3C"/>
    <w:rsid w:val="42F94FBD"/>
    <w:rsid w:val="43F836BD"/>
    <w:rsid w:val="44245A5F"/>
    <w:rsid w:val="44544235"/>
    <w:rsid w:val="453713C9"/>
    <w:rsid w:val="45E9362F"/>
    <w:rsid w:val="46DC4B60"/>
    <w:rsid w:val="47070534"/>
    <w:rsid w:val="48417349"/>
    <w:rsid w:val="49C43744"/>
    <w:rsid w:val="506C1F42"/>
    <w:rsid w:val="55660FE4"/>
    <w:rsid w:val="575B8F18"/>
    <w:rsid w:val="597E09E7"/>
    <w:rsid w:val="5CBA123C"/>
    <w:rsid w:val="5EE41733"/>
    <w:rsid w:val="5F040737"/>
    <w:rsid w:val="5FD959DF"/>
    <w:rsid w:val="607F601D"/>
    <w:rsid w:val="60B35E46"/>
    <w:rsid w:val="6293218B"/>
    <w:rsid w:val="634A6AB4"/>
    <w:rsid w:val="64EC4A56"/>
    <w:rsid w:val="66636F9A"/>
    <w:rsid w:val="66C51A03"/>
    <w:rsid w:val="6873457D"/>
    <w:rsid w:val="702C51C0"/>
    <w:rsid w:val="70D416DF"/>
    <w:rsid w:val="78066A22"/>
    <w:rsid w:val="78352207"/>
    <w:rsid w:val="78FF6C6C"/>
    <w:rsid w:val="7A6914B7"/>
    <w:rsid w:val="7AC703CD"/>
    <w:rsid w:val="7BDD7E85"/>
    <w:rsid w:val="7E822A36"/>
    <w:rsid w:val="7FF333F6"/>
    <w:rsid w:val="B7B80384"/>
    <w:rsid w:val="BDFD811F"/>
    <w:rsid w:val="C6FCC64C"/>
    <w:rsid w:val="EFABE88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20"/>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20"/>
    </w:rPr>
  </w:style>
  <w:style w:type="character" w:styleId="6">
    <w:name w:val="page number"/>
    <w:basedOn w:val="5"/>
    <w:semiHidden/>
    <w:unhideWhenUsed/>
    <w:qFormat/>
    <w:uiPriority w:val="99"/>
  </w:style>
  <w:style w:type="character" w:styleId="7">
    <w:name w:val="FollowedHyperlink"/>
    <w:unhideWhenUsed/>
    <w:qFormat/>
    <w:uiPriority w:val="99"/>
    <w:rPr>
      <w:rFonts w:ascii="Times New Roman" w:hAnsi="Times New Roman" w:eastAsia="宋体" w:cs="Times New Roman"/>
      <w:color w:val="800080"/>
      <w:u w:val="single"/>
    </w:rPr>
  </w:style>
  <w:style w:type="character" w:styleId="8">
    <w:name w:val="Hyperlink"/>
    <w:unhideWhenUsed/>
    <w:qFormat/>
    <w:uiPriority w:val="99"/>
    <w:rPr>
      <w:rFonts w:ascii="Times New Roman" w:hAnsi="Times New Roman" w:eastAsia="宋体" w:cs="Times New Roman"/>
      <w:color w:val="0000FF"/>
      <w:u w:val="single"/>
    </w:rPr>
  </w:style>
  <w:style w:type="character" w:customStyle="1" w:styleId="9">
    <w:name w:val="页脚 字符"/>
    <w:link w:val="2"/>
    <w:qFormat/>
    <w:uiPriority w:val="99"/>
    <w:rPr>
      <w:rFonts w:ascii="Times New Roman" w:hAnsi="Times New Roman" w:eastAsia="宋体" w:cs="Times New Roman"/>
      <w:sz w:val="18"/>
      <w:szCs w:val="20"/>
    </w:rPr>
  </w:style>
  <w:style w:type="character" w:customStyle="1" w:styleId="10">
    <w:name w:val="页眉 字符"/>
    <w:link w:val="3"/>
    <w:qFormat/>
    <w:uiPriority w:val="99"/>
    <w:rPr>
      <w:rFonts w:ascii="Times New Roman" w:hAnsi="Times New Roman" w:eastAsia="宋体" w:cs="Times New Roman"/>
      <w:sz w:val="18"/>
      <w:szCs w:val="20"/>
    </w:rPr>
  </w:style>
  <w:style w:type="character" w:customStyle="1" w:styleId="11">
    <w:name w:val="font11"/>
    <w:qFormat/>
    <w:uiPriority w:val="0"/>
    <w:rPr>
      <w:rFonts w:hint="default" w:ascii="Courier New" w:hAnsi="Courier New" w:eastAsia="宋体" w:cs="Courier New"/>
      <w:b/>
      <w:color w:val="000000"/>
      <w:sz w:val="22"/>
      <w:szCs w:val="22"/>
      <w:u w:val="none"/>
    </w:rPr>
  </w:style>
  <w:style w:type="paragraph" w:customStyle="1" w:styleId="12">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Courier New"/>
      <w:kern w:val="0"/>
      <w:sz w:val="24"/>
      <w:szCs w:val="24"/>
    </w:rPr>
  </w:style>
  <w:style w:type="paragraph" w:customStyle="1" w:styleId="1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1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kern w:val="0"/>
      <w:sz w:val="24"/>
      <w:szCs w:val="24"/>
    </w:rPr>
  </w:style>
  <w:style w:type="paragraph" w:customStyle="1" w:styleId="15">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16">
    <w:name w:val="xl6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18">
    <w:name w:val="xl66"/>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19">
    <w:name w:val="xl77"/>
    <w:basedOn w:val="1"/>
    <w:qFormat/>
    <w:uiPriority w:val="0"/>
    <w:pPr>
      <w:widowControl/>
      <w:spacing w:before="100" w:beforeAutospacing="1" w:after="100" w:afterAutospacing="1"/>
      <w:jc w:val="left"/>
      <w:textAlignment w:val="center"/>
    </w:pPr>
    <w:rPr>
      <w:rFonts w:ascii="宋体" w:hAnsi="宋体" w:eastAsia="宋体" w:cs="宋体"/>
      <w:kern w:val="0"/>
      <w:sz w:val="24"/>
      <w:szCs w:val="24"/>
    </w:rPr>
  </w:style>
  <w:style w:type="paragraph" w:customStyle="1" w:styleId="20">
    <w:name w:val="xl64"/>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1">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Courier New"/>
      <w:b/>
      <w:bCs/>
      <w:kern w:val="0"/>
      <w:sz w:val="24"/>
      <w:szCs w:val="24"/>
    </w:rPr>
  </w:style>
  <w:style w:type="paragraph" w:customStyle="1" w:styleId="23">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4">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ourier New" w:hAnsi="Courier New" w:eastAsia="宋体" w:cs="Courier New"/>
      <w:kern w:val="0"/>
      <w:sz w:val="24"/>
      <w:szCs w:val="24"/>
    </w:rPr>
  </w:style>
  <w:style w:type="paragraph" w:customStyle="1" w:styleId="2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ourier New" w:hAnsi="Courier New" w:eastAsia="宋体" w:cs="Courier New"/>
      <w:b/>
      <w:bCs/>
      <w:kern w:val="0"/>
      <w:sz w:val="24"/>
      <w:szCs w:val="24"/>
    </w:rPr>
  </w:style>
  <w:style w:type="paragraph" w:customStyle="1" w:styleId="2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7">
    <w:name w:val="xl65"/>
    <w:basedOn w:val="1"/>
    <w:qFormat/>
    <w:uiPriority w:val="0"/>
    <w:pPr>
      <w:widowControl/>
      <w:spacing w:before="100" w:beforeAutospacing="1" w:after="100" w:afterAutospacing="1"/>
      <w:jc w:val="center"/>
    </w:pPr>
    <w:rPr>
      <w:rFonts w:ascii="宋体" w:hAnsi="宋体" w:eastAsia="宋体" w:cs="宋体"/>
      <w:kern w:val="0"/>
      <w:sz w:val="24"/>
      <w:szCs w:val="24"/>
    </w:rPr>
  </w:style>
  <w:style w:type="character" w:customStyle="1" w:styleId="28">
    <w:name w:val="font51"/>
    <w:qFormat/>
    <w:uiPriority w:val="0"/>
    <w:rPr>
      <w:rFonts w:hint="default" w:ascii="Courier New" w:hAnsi="Courier New" w:eastAsia="宋体" w:cs="Courier New"/>
      <w:b/>
      <w:bCs/>
      <w:color w:val="000000"/>
      <w:sz w:val="20"/>
      <w:szCs w:val="20"/>
      <w:u w:val="none"/>
    </w:rPr>
  </w:style>
  <w:style w:type="character" w:customStyle="1" w:styleId="29">
    <w:name w:val="font31"/>
    <w:qFormat/>
    <w:uiPriority w:val="0"/>
    <w:rPr>
      <w:rFonts w:hint="default" w:ascii="Courier New" w:hAnsi="Courier New" w:eastAsia="宋体" w:cs="Courier New"/>
      <w:color w:val="000000"/>
      <w:sz w:val="20"/>
      <w:szCs w:val="20"/>
      <w:u w:val="none"/>
    </w:rPr>
  </w:style>
  <w:style w:type="character" w:customStyle="1" w:styleId="30">
    <w:name w:val="font21"/>
    <w:qFormat/>
    <w:uiPriority w:val="0"/>
    <w:rPr>
      <w:rFonts w:hint="default" w:ascii="Courier New" w:hAnsi="Courier New" w:eastAsia="宋体" w:cs="Courier New"/>
      <w:color w:val="000000"/>
      <w:sz w:val="20"/>
      <w:szCs w:val="20"/>
      <w:u w:val="none"/>
    </w:rPr>
  </w:style>
  <w:style w:type="paragraph" w:customStyle="1" w:styleId="31">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2">
    <w:name w:val="font01"/>
    <w:basedOn w:val="5"/>
    <w:qFormat/>
    <w:uiPriority w:val="0"/>
    <w:rPr>
      <w:rFonts w:ascii="Arial" w:hAnsi="Arial" w:eastAsia="宋体" w:cs="Arial"/>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13</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2024-04-25T14:22:00Z</dcterms:created>
  <dc:creator>DREAM</dc:creator>
  <cp:lastModifiedBy>user</cp:lastModifiedBy>
  <dcterms:modified xsi:type="dcterms:W3CDTF">2024-07-18T11:08:31Z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5ED8F68D51E848299A348F52DC01E008_11</vt:lpwstr>
  </property>
</Properties>
</file>