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line="240" w:lineRule="auto"/>
              <w:jc w:val="left"/>
              <w:rPr>
                <w:rFonts w:ascii="黑体" w:hAnsi="黑体" w:eastAsia="黑体"/>
                <w:sz w:val="21"/>
                <w:szCs w:val="21"/>
              </w:rPr>
            </w:pPr>
            <w:bookmarkStart w:id="154" w:name="_GoBack"/>
            <w:bookmarkEnd w:id="154"/>
            <w:bookmarkStart w:id="0" w:name="_Hlk201214811"/>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91.060.30</w:t>
            </w:r>
            <w:r>
              <w:rPr>
                <w:rFonts w:ascii="黑体" w:hAnsi="黑体" w:eastAsia="黑体"/>
                <w:sz w:val="21"/>
                <w:szCs w:val="21"/>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P32</w:t>
            </w:r>
            <w:r>
              <w:rPr>
                <w:rFonts w:ascii="黑体" w:hAnsi="黑体" w:eastAsia="黑体"/>
                <w:sz w:val="21"/>
                <w:szCs w:val="21"/>
              </w:rPr>
              <w:fldChar w:fldCharType="end"/>
            </w:r>
          </w:p>
        </w:tc>
      </w:tr>
    </w:tbl>
    <w:tbl>
      <w:tblPr>
        <w:tblStyle w:val="29"/>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51"/>
              <w:framePr w:w="0" w:hRule="auto" w:wrap="auto" w:vAnchor="margin" w:hAnchor="text" w:xAlign="left" w:yAlign="inline"/>
              <w:rPr>
                <w:rFonts w:ascii="宋体" w:hAnsi="宋体"/>
                <w:sz w:val="28"/>
                <w:szCs w:val="28"/>
              </w:rPr>
            </w:pPr>
            <w:bookmarkStart w:id="1" w:name="_Hlk26473981"/>
            <w:bookmarkStart w:id="2" w:name="_Hlk177028696"/>
            <w:bookmarkStart w:id="3" w:name="_Hlk176962389"/>
            <w:bookmarkStart w:id="4" w:name="_Hlk186790279"/>
            <w:r>
              <w:drawing>
                <wp:inline distT="0" distB="0" distL="0" distR="0">
                  <wp:extent cx="796290" cy="397510"/>
                  <wp:effectExtent l="0" t="0" r="3810" b="2540"/>
                  <wp:docPr id="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true"/>
                          </pic:cNvPicPr>
                        </pic:nvPicPr>
                        <pic:blipFill>
                          <a:blip r:embed="rId32" cstate="print">
                            <a:extLst>
                              <a:ext uri="{28A0092B-C50C-407E-A947-70E740481C1C}">
                                <a14:useLocalDpi xmlns:a14="http://schemas.microsoft.com/office/drawing/2010/main" val="false"/>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5" w:name="c1"/>
            <w:r>
              <w:instrText xml:space="preserve"> FORMTEXT </w:instrText>
            </w:r>
            <w:r>
              <w:fldChar w:fldCharType="separate"/>
            </w:r>
            <w:r>
              <w:t>42</w:t>
            </w:r>
            <w:r>
              <w:fldChar w:fldCharType="end"/>
            </w:r>
            <w:bookmarkEnd w:id="5"/>
          </w:p>
        </w:tc>
      </w:tr>
    </w:tbl>
    <w:p>
      <w:pPr>
        <w:pStyle w:val="52"/>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6"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湖北省</w:t>
      </w:r>
      <w:r>
        <w:rPr>
          <w:rFonts w:ascii="黑体" w:eastAsia="黑体"/>
          <w:b w:val="0"/>
          <w:w w:val="100"/>
          <w:sz w:val="48"/>
        </w:rPr>
        <w:fldChar w:fldCharType="end"/>
      </w:r>
      <w:bookmarkEnd w:id="6"/>
      <w:r>
        <w:rPr>
          <w:rFonts w:hint="eastAsia" w:ascii="黑体" w:hAnsi="黑体" w:eastAsia="黑体"/>
          <w:b w:val="0"/>
          <w:bCs w:val="0"/>
          <w:w w:val="100"/>
          <w:sz w:val="48"/>
          <w:szCs w:val="48"/>
        </w:rPr>
        <w:t>地方标准</w:t>
      </w:r>
    </w:p>
    <w:bookmarkEnd w:id="1"/>
    <w:p>
      <w:pPr>
        <w:pStyle w:val="197"/>
        <w:framePr/>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7" w:name="文字1"/>
      <w:r>
        <w:rPr>
          <w:lang w:val="fr-FR"/>
        </w:rPr>
        <w:instrText xml:space="preserve"> FORMTEXT </w:instrText>
      </w:r>
      <w:r>
        <w:fldChar w:fldCharType="separate"/>
      </w:r>
      <w:r>
        <w:t>42</w:t>
      </w:r>
      <w:r>
        <w:rPr>
          <w:lang w:val="fr-FR"/>
        </w:rPr>
        <w:t>/T</w:t>
      </w:r>
      <w:r>
        <w:fldChar w:fldCharType="end"/>
      </w:r>
      <w:bookmarkEnd w:id="7"/>
      <w:r>
        <w:rPr>
          <w:lang w:val="fr-FR"/>
        </w:rPr>
        <w:t xml:space="preserve"> </w:t>
      </w:r>
      <w:r>
        <w:fldChar w:fldCharType="begin">
          <w:ffData>
            <w:name w:val="NSTD_CODE_F"/>
            <w:enabled/>
            <w:calcOnExit w:val="0"/>
            <w:textInput>
              <w:default w:val="XXXX"/>
            </w:textInput>
          </w:ffData>
        </w:fldChar>
      </w:r>
      <w:bookmarkStart w:id="8" w:name="NSTD_CODE_F"/>
      <w:r>
        <w:rPr>
          <w:lang w:val="fr-FR"/>
        </w:rPr>
        <w:instrText xml:space="preserve"> FORMTEXT </w:instrText>
      </w:r>
      <w:r>
        <w:fldChar w:fldCharType="separate"/>
      </w:r>
      <w:r>
        <w:rPr>
          <w:lang w:val="fr-FR"/>
        </w:rPr>
        <w:t>XXXX</w:t>
      </w:r>
      <w:r>
        <w:fldChar w:fldCharType="end"/>
      </w:r>
      <w:bookmarkEnd w:id="8"/>
      <w:r>
        <w:rPr>
          <w:rFonts w:hAnsi="黑体"/>
          <w:lang w:val="fr-FR"/>
        </w:rPr>
        <w:t>—</w:t>
      </w:r>
      <w:r>
        <w:fldChar w:fldCharType="begin">
          <w:ffData>
            <w:name w:val="NSTD_CODE_B"/>
            <w:enabled/>
            <w:calcOnExit w:val="0"/>
            <w:textInput>
              <w:default w:val="XXXX"/>
            </w:textInput>
          </w:ffData>
        </w:fldChar>
      </w:r>
      <w:bookmarkStart w:id="9" w:name="NSTD_CODE_B"/>
      <w:r>
        <w:rPr>
          <w:lang w:val="fr-FR"/>
        </w:rPr>
        <w:instrText xml:space="preserve"> FORMTEXT </w:instrText>
      </w:r>
      <w:r>
        <w:fldChar w:fldCharType="separate"/>
      </w:r>
      <w:r>
        <w:rPr>
          <w:lang w:val="fr-FR"/>
        </w:rPr>
        <w:t>XXXX</w:t>
      </w:r>
      <w:r>
        <w:fldChar w:fldCharType="end"/>
      </w:r>
      <w:bookmarkEnd w:id="9"/>
    </w:p>
    <w:p>
      <w:pPr>
        <w:pStyle w:val="198"/>
        <w:framePr/>
        <w:rPr>
          <w:rFonts w:hAnsi="黑体"/>
        </w:rPr>
      </w:pPr>
      <w:r>
        <w:rPr>
          <w:rFonts w:hAnsi="黑体"/>
        </w:rPr>
        <w:fldChar w:fldCharType="begin">
          <w:ffData>
            <w:name w:val="OSTD_CODE"/>
            <w:enabled/>
            <w:calcOnExit w:val="0"/>
            <w:textInput/>
          </w:ffData>
        </w:fldChar>
      </w:r>
      <w:bookmarkStart w:id="10"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10"/>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ng0mW2AAAAAwB&#10;AAAPAAAAAAAAAAEAIAAAADgAAABkcnMvZG93bnJldi54bWxQSwECFAAUAAAACACHTuJASfTgWswB&#10;AABhAwAADgAAAAAAAAABACAAAAA9AQAAZHJzL2Uyb0RvYy54bWxQSwUGAAAAAAYABgBZAQAAewUA&#10;AAAA&#10;">
                <v:fill on="f" focussize="0,0"/>
                <v:stroke color="#000000" joinstyle="round"/>
                <v:imagedata o:title=""/>
                <o:lock v:ext="edit" aspectratio="f"/>
              </v:line>
            </w:pict>
          </mc:Fallback>
        </mc:AlternateContent>
      </w:r>
    </w:p>
    <w:p>
      <w:pPr>
        <w:pStyle w:val="52"/>
        <w:framePr w:w="9639" w:h="6976" w:hRule="exact" w:hSpace="0" w:vSpace="0" w:hAnchor="page" w:y="6408"/>
        <w:jc w:val="center"/>
        <w:rPr>
          <w:rFonts w:ascii="黑体" w:hAnsi="黑体" w:eastAsia="黑体"/>
          <w:b w:val="0"/>
          <w:bCs w:val="0"/>
          <w:w w:val="100"/>
        </w:rPr>
      </w:pPr>
    </w:p>
    <w:p>
      <w:pPr>
        <w:pStyle w:val="199"/>
        <w:framePr w:h="6974" w:hRule="exact" w:wrap="around" w:x="1419" w:anchorLock="1"/>
      </w:pPr>
      <w:r>
        <w:fldChar w:fldCharType="begin">
          <w:ffData>
            <w:name w:val="CSTD_NAME"/>
            <w:enabled/>
            <w:calcOnExit w:val="0"/>
            <w:textInput>
              <w:default w:val="点击此处添加标准名称"/>
            </w:textInput>
          </w:ffData>
        </w:fldChar>
      </w:r>
      <w:bookmarkStart w:id="11" w:name="CSTD_NAME"/>
      <w:r>
        <w:instrText xml:space="preserve"> FORMTEXT </w:instrText>
      </w:r>
      <w:r>
        <w:fldChar w:fldCharType="separate"/>
      </w:r>
      <w:r>
        <w:t>既有住宅加装电梯技术规程</w:t>
      </w:r>
      <w:r>
        <w:fldChar w:fldCharType="end"/>
      </w:r>
      <w:bookmarkEnd w:id="11"/>
    </w:p>
    <w:p>
      <w:pPr>
        <w:framePr w:w="9639" w:h="6974" w:hRule="exact" w:wrap="around" w:vAnchor="page" w:hAnchor="page" w:x="1419" w:y="6408" w:anchorLock="1"/>
        <w:ind w:left="-1418"/>
      </w:pPr>
    </w:p>
    <w:p>
      <w:pPr>
        <w:pStyle w:val="127"/>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2"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 xml:space="preserve">Technical </w:t>
      </w:r>
      <w:r>
        <w:rPr>
          <w:rFonts w:hint="eastAsia" w:ascii="黑体" w:hAnsi="黑体" w:eastAsia="黑体"/>
          <w:szCs w:val="28"/>
        </w:rPr>
        <w:t>c</w:t>
      </w:r>
      <w:r>
        <w:rPr>
          <w:rFonts w:ascii="黑体" w:hAnsi="黑体" w:eastAsia="黑体"/>
          <w:szCs w:val="28"/>
        </w:rPr>
        <w:t>ode for elevator retrofitting of existing residential buildings</w:t>
      </w:r>
      <w:r>
        <w:rPr>
          <w:rFonts w:ascii="黑体" w:hAnsi="黑体" w:eastAsia="黑体"/>
          <w:szCs w:val="28"/>
        </w:rPr>
        <w:fldChar w:fldCharType="end"/>
      </w:r>
      <w:bookmarkEnd w:id="12"/>
    </w:p>
    <w:p>
      <w:pPr>
        <w:framePr w:w="9639" w:h="6974" w:hRule="exact" w:wrap="around" w:vAnchor="page" w:hAnchor="page" w:x="1419" w:y="6408" w:anchorLock="1"/>
        <w:spacing w:line="760" w:lineRule="exact"/>
        <w:ind w:left="-1418"/>
      </w:pPr>
    </w:p>
    <w:p>
      <w:pPr>
        <w:pStyle w:val="127"/>
        <w:framePr w:w="9639" w:h="6974" w:hRule="exact" w:wrap="around" w:vAnchor="page" w:hAnchor="page" w:x="1419" w:y="6408" w:anchorLock="1"/>
        <w:textAlignment w:val="bottom"/>
        <w:rPr>
          <w:rFonts w:eastAsia="黑体"/>
          <w:szCs w:val="28"/>
        </w:rPr>
      </w:pPr>
    </w:p>
    <w:p>
      <w:pPr>
        <w:pStyle w:val="127"/>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3" w:name="下拉1"/>
      <w:r>
        <w:rPr>
          <w:sz w:val="24"/>
          <w:szCs w:val="28"/>
        </w:rPr>
        <w:instrText xml:space="preserve"> FORMDROPDOWN </w:instrText>
      </w:r>
      <w:r>
        <w:rPr>
          <w:sz w:val="24"/>
          <w:szCs w:val="28"/>
        </w:rPr>
        <w:fldChar w:fldCharType="separate"/>
      </w:r>
      <w:r>
        <w:rPr>
          <w:sz w:val="24"/>
          <w:szCs w:val="28"/>
        </w:rPr>
        <w:fldChar w:fldCharType="end"/>
      </w:r>
      <w:bookmarkEnd w:id="13"/>
    </w:p>
    <w:p>
      <w:pPr>
        <w:pStyle w:val="127"/>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4"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4"/>
    </w:p>
    <w:p>
      <w:pPr>
        <w:pStyle w:val="127"/>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5" w:name="下拉2"/>
      <w:r>
        <w:rPr>
          <w:b/>
          <w:sz w:val="21"/>
          <w:szCs w:val="28"/>
        </w:rPr>
        <w:instrText xml:space="preserve"> FORMDROPDOWN </w:instrText>
      </w:r>
      <w:r>
        <w:rPr>
          <w:b/>
          <w:sz w:val="21"/>
          <w:szCs w:val="28"/>
        </w:rPr>
        <w:fldChar w:fldCharType="separate"/>
      </w:r>
      <w:r>
        <w:rPr>
          <w:b/>
          <w:sz w:val="21"/>
          <w:szCs w:val="28"/>
        </w:rPr>
        <w:fldChar w:fldCharType="end"/>
      </w:r>
      <w:bookmarkEnd w:id="15"/>
    </w:p>
    <w:p>
      <w:pPr>
        <w:pStyle w:val="195"/>
        <w:framePr w:y="14176"/>
      </w:pPr>
      <w:r>
        <w:rPr>
          <w:rFonts w:ascii="黑体"/>
        </w:rPr>
        <w:fldChar w:fldCharType="begin">
          <w:ffData>
            <w:name w:val="PLSH_DATE_Y"/>
            <w:enabled/>
            <w:calcOnExit w:val="0"/>
            <w:textInput>
              <w:default w:val="XXXX"/>
              <w:maxLength w:val="4"/>
            </w:textInput>
          </w:ffData>
        </w:fldChar>
      </w:r>
      <w:bookmarkStart w:id="16"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6"/>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7"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8"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rPr>
          <w:rFonts w:hint="eastAsia"/>
        </w:rPr>
        <w:t>发布</w:t>
      </w:r>
    </w:p>
    <w:p>
      <w:pPr>
        <w:pStyle w:val="196"/>
        <w:framePr w:y="14176"/>
      </w:pPr>
      <w:r>
        <w:rPr>
          <w:rFonts w:ascii="黑体"/>
        </w:rPr>
        <w:fldChar w:fldCharType="begin">
          <w:ffData>
            <w:name w:val="CROT_DATE_Y"/>
            <w:enabled/>
            <w:calcOnExit w:val="0"/>
            <w:textInput>
              <w:default w:val="XXXX"/>
              <w:maxLength w:val="4"/>
            </w:textInput>
          </w:ffData>
        </w:fldChar>
      </w:r>
      <w:bookmarkStart w:id="19"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9"/>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20"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20"/>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21"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21"/>
      <w:r>
        <w:rPr>
          <w:rFonts w:hint="eastAsia"/>
        </w:rPr>
        <w:t>实施</w:t>
      </w:r>
    </w:p>
    <w:tbl>
      <w:tblPr>
        <w:tblStyle w:val="28"/>
        <w:tblW w:w="8472" w:type="dxa"/>
        <w:tblInd w:w="0" w:type="dxa"/>
        <w:tblLayout w:type="fixed"/>
        <w:tblCellMar>
          <w:top w:w="0" w:type="dxa"/>
          <w:left w:w="108" w:type="dxa"/>
          <w:bottom w:w="0" w:type="dxa"/>
          <w:right w:w="108" w:type="dxa"/>
        </w:tblCellMar>
      </w:tblPr>
      <w:tblGrid>
        <w:gridCol w:w="5019"/>
        <w:gridCol w:w="3453"/>
      </w:tblGrid>
      <w:tr>
        <w:tblPrEx>
          <w:tblCellMar>
            <w:top w:w="0" w:type="dxa"/>
            <w:left w:w="108" w:type="dxa"/>
            <w:bottom w:w="0" w:type="dxa"/>
            <w:right w:w="108" w:type="dxa"/>
          </w:tblCellMar>
        </w:tblPrEx>
        <w:tc>
          <w:tcPr>
            <w:tcW w:w="5019" w:type="dxa"/>
          </w:tcPr>
          <w:p>
            <w:pPr>
              <w:framePr w:w="7983" w:h="1141" w:hRule="exact" w:hSpace="181" w:vSpace="181" w:wrap="around" w:vAnchor="page" w:hAnchor="page" w:x="2190" w:y="14926" w:anchorLock="1"/>
              <w:widowControl/>
              <w:spacing w:line="0" w:lineRule="atLeast"/>
              <w:jc w:val="distribute"/>
              <w:rPr>
                <w:rFonts w:ascii="Times New Roman" w:hAnsi="Times New Roman" w:eastAsia="黑体"/>
                <w:w w:val="135"/>
                <w:sz w:val="28"/>
                <w:szCs w:val="16"/>
              </w:rPr>
            </w:pPr>
            <w:bookmarkStart w:id="22" w:name="_Hlk177738303"/>
            <w:r>
              <w:rPr>
                <w:rFonts w:ascii="Times New Roman" w:hAnsi="Times New Roman" w:eastAsia="黑体"/>
                <w:w w:val="135"/>
                <w:sz w:val="28"/>
                <w:szCs w:val="16"/>
              </w:rPr>
              <w:t>湖北省住房和城乡建设厅</w:t>
            </w:r>
          </w:p>
        </w:tc>
        <w:tc>
          <w:tcPr>
            <w:tcW w:w="3453" w:type="dxa"/>
            <w:vMerge w:val="restart"/>
            <w:vAlign w:val="center"/>
          </w:tcPr>
          <w:p>
            <w:pPr>
              <w:framePr w:w="7983" w:h="1141" w:hRule="exact" w:hSpace="181" w:vSpace="181" w:wrap="around" w:vAnchor="page" w:hAnchor="page" w:x="2190" w:y="14926" w:anchorLock="1"/>
              <w:widowControl/>
              <w:spacing w:line="0" w:lineRule="atLeast"/>
              <w:jc w:val="center"/>
              <w:rPr>
                <w:rFonts w:ascii="Times New Roman" w:hAnsi="Times New Roman" w:eastAsia="黑体"/>
                <w:w w:val="135"/>
                <w:sz w:val="36"/>
                <w:szCs w:val="20"/>
              </w:rPr>
            </w:pPr>
            <w:r>
              <w:rPr>
                <w:rFonts w:ascii="Times New Roman" w:hAnsi="Times New Roman" w:eastAsia="黑体"/>
                <w:spacing w:val="85"/>
                <w:position w:val="3"/>
                <w:sz w:val="28"/>
                <w:szCs w:val="28"/>
              </w:rPr>
              <w:t>联合发布</w:t>
            </w:r>
          </w:p>
        </w:tc>
      </w:tr>
      <w:tr>
        <w:tblPrEx>
          <w:tblCellMar>
            <w:top w:w="0" w:type="dxa"/>
            <w:left w:w="108" w:type="dxa"/>
            <w:bottom w:w="0" w:type="dxa"/>
            <w:right w:w="108" w:type="dxa"/>
          </w:tblCellMar>
        </w:tblPrEx>
        <w:tc>
          <w:tcPr>
            <w:tcW w:w="5019" w:type="dxa"/>
          </w:tcPr>
          <w:p>
            <w:pPr>
              <w:framePr w:w="7983" w:h="1141" w:hRule="exact" w:hSpace="181" w:vSpace="181" w:wrap="around" w:vAnchor="page" w:hAnchor="page" w:x="2190" w:y="14926" w:anchorLock="1"/>
              <w:widowControl/>
              <w:spacing w:line="0" w:lineRule="atLeast"/>
              <w:jc w:val="distribute"/>
              <w:rPr>
                <w:rFonts w:ascii="Times New Roman" w:hAnsi="Times New Roman" w:eastAsia="黑体"/>
                <w:w w:val="135"/>
                <w:sz w:val="28"/>
                <w:szCs w:val="16"/>
              </w:rPr>
            </w:pPr>
            <w:r>
              <w:rPr>
                <w:rFonts w:ascii="Times New Roman" w:hAnsi="Times New Roman" w:eastAsia="黑体"/>
                <w:w w:val="135"/>
                <w:sz w:val="28"/>
                <w:szCs w:val="16"/>
              </w:rPr>
              <w:t xml:space="preserve">湖北省市场监督管理局    </w:t>
            </w:r>
          </w:p>
        </w:tc>
        <w:tc>
          <w:tcPr>
            <w:tcW w:w="3453" w:type="dxa"/>
            <w:vMerge w:val="continue"/>
          </w:tcPr>
          <w:p>
            <w:pPr>
              <w:framePr w:w="7983" w:h="1141" w:hRule="exact" w:hSpace="181" w:vSpace="181" w:wrap="around" w:vAnchor="page" w:hAnchor="page" w:x="2190" w:y="14926" w:anchorLock="1"/>
              <w:widowControl/>
              <w:spacing w:line="0" w:lineRule="atLeast"/>
              <w:rPr>
                <w:rFonts w:ascii="Times New Roman" w:hAnsi="Times New Roman" w:eastAsia="黑体"/>
                <w:w w:val="135"/>
                <w:sz w:val="36"/>
                <w:szCs w:val="20"/>
              </w:rPr>
            </w:pPr>
          </w:p>
        </w:tc>
      </w:tr>
      <w:bookmarkEnd w:id="22"/>
    </w:tbl>
    <w:p>
      <w:pPr>
        <w:pStyle w:val="153"/>
        <w:framePr w:w="7983" w:h="1141" w:hRule="exact" w:hSpace="181" w:vSpace="181" w:vAnchor="page" w:hAnchor="page" w:x="2190" w:y="14926"/>
        <w:jc w:val="both"/>
        <w:rPr>
          <w:rFonts w:hAnsi="黑体"/>
        </w:rPr>
      </w:pPr>
    </w:p>
    <w:p>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3360"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3360;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rMxz71wAAAA4BAAAP&#10;AAAAAAAAAAEAIAAAADgAAABkcnMvZG93bnJldi54bWxQSwECFAAUAAAACACHTuJAEc9x0soBAABf&#10;AwAADgAAAAAAAAABACAAAAA8AQAAZHJzL2Uyb0RvYy54bWxQSwUGAAAAAAYABgBZAQAAeAUAAAAA&#10;">
                <v:fill on="f" focussize="0,0"/>
                <v:stroke color="#000000" joinstyle="round"/>
                <v:imagedata o:title=""/>
                <o:lock v:ext="edit" aspectratio="f"/>
                <w10:anchorlock/>
              </v:line>
            </w:pict>
          </mc:Fallback>
        </mc:AlternateContent>
      </w:r>
    </w:p>
    <w:p>
      <w:pPr>
        <w:pStyle w:val="93"/>
        <w:spacing w:after="468"/>
      </w:pPr>
      <w:bookmarkStart w:id="23" w:name="BookMark1"/>
      <w:bookmarkStart w:id="24" w:name="_Toc229559697"/>
      <w:bookmarkStart w:id="25" w:name="_Toc229564697"/>
      <w:bookmarkStart w:id="26" w:name="_Toc177236220"/>
      <w:bookmarkStart w:id="27" w:name="_Toc177236249"/>
      <w:r>
        <w:rPr>
          <w:rFonts w:hint="eastAsia"/>
          <w:spacing w:val="320"/>
        </w:rPr>
        <w:t>目</w:t>
      </w:r>
      <w:r>
        <w:rPr>
          <w:rFonts w:hint="eastAsia"/>
        </w:rPr>
        <w:t>次</w:t>
      </w:r>
    </w:p>
    <w:p>
      <w:pPr>
        <w:pStyle w:val="20"/>
        <w:tabs>
          <w:tab w:val="right" w:leader="dot" w:pos="9344"/>
        </w:tabs>
        <w:rPr>
          <w:rFonts w:asciiTheme="minorHAnsi" w:hAnsiTheme="minorHAnsi" w:eastAsiaTheme="minorEastAsia" w:cstheme="minorBidi"/>
          <w:szCs w:val="22"/>
        </w:rPr>
      </w:pPr>
      <w:r>
        <w:fldChar w:fldCharType="begin"/>
      </w:r>
      <w:r>
        <w:instrText xml:space="preserve"> TOC \o "1-1" \h </w:instrText>
      </w:r>
      <w:r>
        <w:fldChar w:fldCharType="separate"/>
      </w:r>
      <w:r>
        <w:fldChar w:fldCharType="begin"/>
      </w:r>
      <w:r>
        <w:instrText xml:space="preserve"> HYPERLINK \l "_Toc229564744" </w:instrText>
      </w:r>
      <w:r>
        <w:fldChar w:fldCharType="separate"/>
      </w:r>
      <w:r>
        <w:rPr>
          <w:rStyle w:val="34"/>
        </w:rPr>
        <w:t>前言</w:t>
      </w:r>
      <w:r>
        <w:tab/>
      </w:r>
      <w:r>
        <w:fldChar w:fldCharType="begin"/>
      </w:r>
      <w:r>
        <w:instrText xml:space="preserve"> PAGEREF _Toc229564744 \h </w:instrText>
      </w:r>
      <w:r>
        <w:fldChar w:fldCharType="separate"/>
      </w:r>
      <w:r>
        <w:t>II</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"_Toc229564745" </w:instrText>
      </w:r>
      <w:r>
        <w:fldChar w:fldCharType="separate"/>
      </w:r>
      <w:r>
        <w:rPr>
          <w:rStyle w:val="34"/>
        </w:rPr>
        <w:t>1  范围</w:t>
      </w:r>
      <w:r>
        <w:tab/>
      </w:r>
      <w:r>
        <w:fldChar w:fldCharType="begin"/>
      </w:r>
      <w:r>
        <w:instrText xml:space="preserve"> PAGEREF _Toc229564745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"_Toc229564746" </w:instrText>
      </w:r>
      <w:r>
        <w:fldChar w:fldCharType="separate"/>
      </w:r>
      <w:r>
        <w:rPr>
          <w:rStyle w:val="34"/>
        </w:rPr>
        <w:t>2  规范性引用文件</w:t>
      </w:r>
      <w:r>
        <w:tab/>
      </w:r>
      <w:r>
        <w:fldChar w:fldCharType="begin"/>
      </w:r>
      <w:r>
        <w:instrText xml:space="preserve"> PAGEREF _Toc229564746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"_Toc229564747" </w:instrText>
      </w:r>
      <w:r>
        <w:fldChar w:fldCharType="separate"/>
      </w:r>
      <w:r>
        <w:rPr>
          <w:rStyle w:val="34"/>
        </w:rPr>
        <w:t>3  术语和定义</w:t>
      </w:r>
      <w:r>
        <w:tab/>
      </w:r>
      <w:r>
        <w:fldChar w:fldCharType="begin"/>
      </w:r>
      <w:r>
        <w:instrText xml:space="preserve"> PAGEREF _Toc229564747 \h </w:instrText>
      </w:r>
      <w:r>
        <w:fldChar w:fldCharType="separate"/>
      </w:r>
      <w:r>
        <w:t>2</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"_Toc229564748" </w:instrText>
      </w:r>
      <w:r>
        <w:fldChar w:fldCharType="separate"/>
      </w:r>
      <w:r>
        <w:rPr>
          <w:rStyle w:val="34"/>
        </w:rPr>
        <w:t>4  基本规定</w:t>
      </w:r>
      <w:r>
        <w:tab/>
      </w:r>
      <w:r>
        <w:fldChar w:fldCharType="begin"/>
      </w:r>
      <w:r>
        <w:instrText xml:space="preserve"> PAGEREF _Toc229564748 \h </w:instrText>
      </w:r>
      <w:r>
        <w:fldChar w:fldCharType="separate"/>
      </w:r>
      <w:r>
        <w:t>2</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"_Toc229564749" </w:instrText>
      </w:r>
      <w:r>
        <w:fldChar w:fldCharType="separate"/>
      </w:r>
      <w:r>
        <w:rPr>
          <w:rStyle w:val="34"/>
        </w:rPr>
        <w:t>5  评估</w:t>
      </w:r>
      <w:r>
        <w:tab/>
      </w:r>
      <w:r>
        <w:fldChar w:fldCharType="begin"/>
      </w:r>
      <w:r>
        <w:instrText xml:space="preserve"> PAGEREF _Toc229564749 \h </w:instrText>
      </w:r>
      <w:r>
        <w:fldChar w:fldCharType="separate"/>
      </w:r>
      <w:r>
        <w:t>3</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"_Toc229564750" </w:instrText>
      </w:r>
      <w:r>
        <w:fldChar w:fldCharType="separate"/>
      </w:r>
      <w:r>
        <w:rPr>
          <w:rStyle w:val="34"/>
        </w:rPr>
        <w:t>6  设计</w:t>
      </w:r>
      <w:r>
        <w:tab/>
      </w:r>
      <w:r>
        <w:fldChar w:fldCharType="begin"/>
      </w:r>
      <w:r>
        <w:instrText xml:space="preserve"> PAGEREF _Toc229564750 \h </w:instrText>
      </w:r>
      <w:r>
        <w:fldChar w:fldCharType="separate"/>
      </w:r>
      <w:r>
        <w:t>4</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"_Toc229564751" </w:instrText>
      </w:r>
      <w:r>
        <w:fldChar w:fldCharType="separate"/>
      </w:r>
      <w:r>
        <w:rPr>
          <w:rStyle w:val="34"/>
        </w:rPr>
        <w:t>7  施工与验收</w:t>
      </w:r>
      <w:r>
        <w:tab/>
      </w:r>
      <w:r>
        <w:fldChar w:fldCharType="begin"/>
      </w:r>
      <w:r>
        <w:instrText xml:space="preserve"> PAGEREF _Toc229564751 \h </w:instrText>
      </w:r>
      <w:r>
        <w:fldChar w:fldCharType="separate"/>
      </w:r>
      <w:r>
        <w:t>10</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"_Toc229564752" </w:instrText>
      </w:r>
      <w:r>
        <w:fldChar w:fldCharType="separate"/>
      </w:r>
      <w:r>
        <w:rPr>
          <w:rStyle w:val="34"/>
        </w:rPr>
        <w:t>8  使用维护</w:t>
      </w:r>
      <w:r>
        <w:tab/>
      </w:r>
      <w:r>
        <w:fldChar w:fldCharType="begin"/>
      </w:r>
      <w:r>
        <w:instrText xml:space="preserve"> PAGEREF _Toc229564752 \h </w:instrText>
      </w:r>
      <w:r>
        <w:fldChar w:fldCharType="separate"/>
      </w:r>
      <w:r>
        <w:t>13</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"_Toc229564753" </w:instrText>
      </w:r>
      <w:r>
        <w:fldChar w:fldCharType="separate"/>
      </w:r>
      <w:r>
        <w:rPr>
          <w:rStyle w:val="34"/>
        </w:rPr>
        <w:t>9  标准实施及评价</w:t>
      </w:r>
      <w:r>
        <w:tab/>
      </w:r>
      <w:r>
        <w:fldChar w:fldCharType="begin"/>
      </w:r>
      <w:r>
        <w:instrText xml:space="preserve"> PAGEREF _Toc229564753 \h </w:instrText>
      </w:r>
      <w:r>
        <w:fldChar w:fldCharType="separate"/>
      </w:r>
      <w:r>
        <w:t>13</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"_Toc229564754" </w:instrText>
      </w:r>
      <w:r>
        <w:fldChar w:fldCharType="separate"/>
      </w:r>
      <w:r>
        <w:rPr>
          <w:rStyle w:val="34"/>
        </w:rPr>
        <w:t>附录A（资料性）  湖北省地方标准实施信息及意见反馈表</w:t>
      </w:r>
      <w:r>
        <w:tab/>
      </w:r>
      <w:r>
        <w:fldChar w:fldCharType="begin"/>
      </w:r>
      <w:r>
        <w:instrText xml:space="preserve"> PAGEREF _Toc229564754 \h </w:instrText>
      </w:r>
      <w:r>
        <w:fldChar w:fldCharType="separate"/>
      </w:r>
      <w:r>
        <w:t>15</w:t>
      </w:r>
      <w:r>
        <w:fldChar w:fldCharType="end"/>
      </w:r>
      <w:r>
        <w:fldChar w:fldCharType="end"/>
      </w:r>
    </w:p>
    <w:p>
      <w:pPr>
        <w:pStyle w:val="93"/>
        <w:spacing w:after="468"/>
        <w:sectPr>
          <w:headerReference r:id="rId9" w:type="default"/>
          <w:footerReference r:id="rId11" w:type="default"/>
          <w:headerReference r:id="rId10" w:type="even"/>
          <w:foot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3"/>
    <w:p>
      <w:pPr>
        <w:pStyle w:val="91"/>
        <w:spacing w:before="900" w:after="468"/>
      </w:pPr>
      <w:bookmarkStart w:id="28" w:name="_Toc229564744"/>
      <w:bookmarkStart w:id="29" w:name="BookMark2"/>
      <w:r>
        <w:rPr>
          <w:spacing w:val="320"/>
        </w:rPr>
        <w:t>前</w:t>
      </w:r>
      <w:r>
        <w:t>言</w:t>
      </w:r>
      <w:bookmarkEnd w:id="24"/>
      <w:bookmarkEnd w:id="25"/>
      <w:bookmarkEnd w:id="26"/>
      <w:bookmarkEnd w:id="27"/>
      <w:bookmarkEnd w:id="28"/>
    </w:p>
    <w:p>
      <w:pPr>
        <w:pStyle w:val="58"/>
        <w:ind w:firstLine="420"/>
      </w:pPr>
      <w:r>
        <w:rPr>
          <w:rFonts w:hint="eastAsia"/>
        </w:rPr>
        <w:t>本文件按照GB/T 1.1—2020《标准化工作导则  第1部分：标准化文件的结构和起草规则》的规定起草。</w:t>
      </w:r>
    </w:p>
    <w:p>
      <w:pPr>
        <w:pStyle w:val="58"/>
        <w:ind w:firstLine="420"/>
      </w:pPr>
      <w:r>
        <w:rPr>
          <w:rFonts w:hint="eastAsia"/>
        </w:rPr>
        <w:t>请注意本文件的某些内容可能涉及专利。本文件的发布机构不承担识别专利的责任。</w:t>
      </w:r>
    </w:p>
    <w:p>
      <w:pPr>
        <w:pStyle w:val="58"/>
        <w:ind w:firstLine="420"/>
      </w:pPr>
      <w:r>
        <w:rPr>
          <w:rFonts w:hint="eastAsia"/>
        </w:rPr>
        <w:t>本文件由湖北省住房和城乡建设厅提出并归口。</w:t>
      </w:r>
    </w:p>
    <w:p>
      <w:pPr>
        <w:pStyle w:val="58"/>
        <w:ind w:firstLine="420"/>
      </w:pPr>
      <w:r>
        <w:rPr>
          <w:rFonts w:hint="eastAsia"/>
        </w:rPr>
        <w:t>本文件起草单位：湖北省建筑设计院有限公司、湖北中南标科技有限公司、中信建筑设计研究总院有限公司、中建三局工程设计有限公司、武汉市民用建筑设计研究院有限责任公司、湖北工建清江建设发展有限公司、湖北均恒建设有限公司、湖北西奥电梯现代化更新有限公司、武汉理工大学、湖北省特种设备检验检测研究院。</w:t>
      </w:r>
    </w:p>
    <w:p>
      <w:pPr>
        <w:pStyle w:val="58"/>
        <w:ind w:firstLine="420"/>
      </w:pPr>
      <w:r>
        <w:rPr>
          <w:rFonts w:hint="eastAsia"/>
        </w:rPr>
        <w:t>本文件主要起草人：罗永刚、朱飞、张绍辰、肖伟、张海鹏、熊小飞、陈志敏、张静、邓凯、杨俊雷、陈千应、姜陈铭、熊科、吴皋、刘祖均、黄凌燕、李涛、金成格、郑登国、杨帆。</w:t>
      </w:r>
    </w:p>
    <w:p>
      <w:pPr>
        <w:pStyle w:val="58"/>
        <w:ind w:firstLine="420"/>
        <w:sectPr>
          <w:headerReference r:id="rId13" w:type="default"/>
          <w:footerReference r:id="rId15" w:type="default"/>
          <w:headerReference r:id="rId14" w:type="even"/>
          <w:footerReference r:id="rId16" w:type="even"/>
          <w:pgSz w:w="11906" w:h="16838"/>
          <w:pgMar w:top="1928" w:right="1134" w:bottom="1134" w:left="1134" w:header="1418" w:footer="1134" w:gutter="284"/>
          <w:pgNumType w:fmt="upperRoman"/>
          <w:cols w:space="425" w:num="1"/>
          <w:formProt w:val="0"/>
          <w:docGrid w:type="lines" w:linePitch="312" w:charSpace="0"/>
        </w:sectPr>
      </w:pPr>
      <w:r>
        <w:rPr>
          <w:rFonts w:hint="eastAsia"/>
        </w:rPr>
        <w:t>本文件实施应用中的疑问，可咨询湖北省住房和城乡建设厅，联系电话：</w:t>
      </w:r>
      <w:bookmarkStart w:id="30" w:name="OLE_LINK15"/>
      <w:r>
        <w:rPr>
          <w:rFonts w:hint="eastAsia"/>
        </w:rPr>
        <w:t>027-68873088</w:t>
      </w:r>
      <w:bookmarkEnd w:id="30"/>
      <w:r>
        <w:rPr>
          <w:rFonts w:hint="eastAsia"/>
        </w:rPr>
        <w:t>，邮箱：bkc@</w:t>
      </w:r>
      <w:r>
        <w:t>hbszjt.net.cn</w:t>
      </w:r>
      <w:r>
        <w:rPr>
          <w:rFonts w:hint="eastAsia"/>
        </w:rPr>
        <w:t>。对本文件的有关修改意见建议请反馈至湖北省建筑设计院有限公司，电话：027-81361600，邮箱：</w:t>
      </w:r>
      <w:r>
        <w:fldChar w:fldCharType="begin"/>
      </w:r>
      <w:r>
        <w:instrText xml:space="preserve"> HYPERLINK "mailto:16891668@qq.com" </w:instrText>
      </w:r>
      <w:r>
        <w:fldChar w:fldCharType="separate"/>
      </w:r>
      <w:r>
        <w:rPr>
          <w:rStyle w:val="34"/>
          <w:rFonts w:hint="eastAsia"/>
        </w:rPr>
        <w:t>16891668@qq.com</w:t>
      </w:r>
      <w:r>
        <w:rPr>
          <w:rStyle w:val="34"/>
          <w:rFonts w:hint="eastAsia"/>
        </w:rPr>
        <w:fldChar w:fldCharType="end"/>
      </w:r>
      <w:r>
        <w:rPr>
          <w:rFonts w:hint="eastAsia"/>
        </w:rPr>
        <w:t>，或湖北省市场监督管理局，联系电话：0</w:t>
      </w:r>
      <w:r>
        <w:t>27-87710317</w:t>
      </w:r>
      <w:r>
        <w:rPr>
          <w:rFonts w:hint="eastAsia"/>
        </w:rPr>
        <w:t>，邮箱：scjgysq@bubei.gov.cn。</w:t>
      </w:r>
    </w:p>
    <w:bookmarkEnd w:id="29"/>
    <w:p>
      <w:pPr>
        <w:spacing w:line="20" w:lineRule="exact"/>
        <w:jc w:val="center"/>
        <w:rPr>
          <w:rFonts w:ascii="黑体" w:hAnsi="黑体" w:eastAsia="黑体"/>
          <w:sz w:val="32"/>
          <w:szCs w:val="32"/>
        </w:rPr>
      </w:pPr>
      <w:bookmarkStart w:id="31" w:name="BookMark4"/>
    </w:p>
    <w:p>
      <w:pPr>
        <w:spacing w:line="20" w:lineRule="exact"/>
        <w:jc w:val="center"/>
        <w:rPr>
          <w:rFonts w:ascii="黑体" w:hAnsi="黑体" w:eastAsia="黑体"/>
          <w:sz w:val="32"/>
          <w:szCs w:val="32"/>
        </w:rPr>
      </w:pPr>
    </w:p>
    <w:sdt>
      <w:sdtPr>
        <w:tag w:val="NEW_STAND_NAME"/>
        <w:id w:val="595910757"/>
        <w:lock w:val="sdtLocked"/>
        <w:placeholder>
          <w:docPart w:val="7F133E02BA1049EABCED4080B63D31F8"/>
        </w:placeholder>
      </w:sdtPr>
      <w:sdtContent>
        <w:p>
          <w:pPr>
            <w:pStyle w:val="179"/>
            <w:spacing w:before="3" w:beforeLines="1" w:after="686" w:afterLines="220"/>
          </w:pPr>
          <w:bookmarkStart w:id="32" w:name="NEW_STAND_NAME"/>
          <w:r>
            <w:rPr>
              <w:rFonts w:hint="eastAsia"/>
            </w:rPr>
            <w:t>既有住宅加装电梯技术规程</w:t>
          </w:r>
        </w:p>
      </w:sdtContent>
    </w:sdt>
    <w:bookmarkEnd w:id="32"/>
    <w:p>
      <w:pPr>
        <w:pStyle w:val="106"/>
        <w:spacing w:before="312" w:after="312"/>
      </w:pPr>
      <w:bookmarkStart w:id="33" w:name="_Toc177236221"/>
      <w:bookmarkStart w:id="34" w:name="_Toc97191423"/>
      <w:bookmarkStart w:id="35" w:name="_Toc177236250"/>
      <w:bookmarkStart w:id="36" w:name="_Toc24884218"/>
      <w:bookmarkStart w:id="37" w:name="_Toc17233325"/>
      <w:bookmarkStart w:id="38" w:name="_Toc229564745"/>
      <w:bookmarkStart w:id="39" w:name="_Toc26986771"/>
      <w:bookmarkStart w:id="40" w:name="_Toc26718930"/>
      <w:bookmarkStart w:id="41" w:name="_Toc17233333"/>
      <w:bookmarkStart w:id="42" w:name="_Toc24884211"/>
      <w:bookmarkStart w:id="43" w:name="_Toc229559698"/>
      <w:bookmarkStart w:id="44" w:name="_Toc26986530"/>
      <w:bookmarkStart w:id="45" w:name="_Toc26648465"/>
      <w:bookmarkStart w:id="46" w:name="_Toc229564698"/>
      <w:r>
        <w:rPr>
          <w:rFonts w:hint="eastAsia"/>
        </w:rPr>
        <w:t>范围</w:t>
      </w:r>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164"/>
        <w:numPr>
          <w:ilvl w:val="0"/>
          <w:numId w:val="0"/>
        </w:numPr>
        <w:ind w:firstLine="420" w:firstLineChars="200"/>
      </w:pPr>
      <w:bookmarkStart w:id="47" w:name="_Hlk177563603"/>
      <w:bookmarkStart w:id="48" w:name="_Toc17233334"/>
      <w:bookmarkStart w:id="49" w:name="_Toc26648466"/>
      <w:bookmarkStart w:id="50" w:name="_Toc24884212"/>
      <w:bookmarkStart w:id="51" w:name="_Toc17233326"/>
      <w:bookmarkStart w:id="52" w:name="_Toc24884219"/>
      <w:r>
        <w:rPr>
          <w:rFonts w:hint="eastAsia"/>
        </w:rPr>
        <w:t>本文件规定了既有住宅加装电梯工程的术语和定义、基本规定、设计、施工与验收、使用维护。</w:t>
      </w:r>
    </w:p>
    <w:p>
      <w:pPr>
        <w:pStyle w:val="164"/>
        <w:numPr>
          <w:ilvl w:val="0"/>
          <w:numId w:val="0"/>
        </w:numPr>
        <w:ind w:firstLine="420" w:firstLineChars="200"/>
      </w:pPr>
      <w:r>
        <w:rPr>
          <w:rFonts w:hint="eastAsia"/>
        </w:rPr>
        <w:t>本文件适用于</w:t>
      </w:r>
      <w:bookmarkStart w:id="53" w:name="_Hlk177569805"/>
      <w:r>
        <w:rPr>
          <w:rFonts w:hint="eastAsia"/>
        </w:rPr>
        <w:t>既有住宅加装电梯工程设计、施工与验收、使用维护。</w:t>
      </w:r>
      <w:bookmarkEnd w:id="53"/>
    </w:p>
    <w:bookmarkEnd w:id="47"/>
    <w:p>
      <w:pPr>
        <w:pStyle w:val="106"/>
        <w:spacing w:before="312" w:after="312"/>
      </w:pPr>
      <w:bookmarkStart w:id="54" w:name="_Toc177236222"/>
      <w:bookmarkStart w:id="55" w:name="_Toc26986772"/>
      <w:bookmarkStart w:id="56" w:name="_Toc26718931"/>
      <w:bookmarkStart w:id="57" w:name="_Toc229564699"/>
      <w:bookmarkStart w:id="58" w:name="_Toc97191424"/>
      <w:bookmarkStart w:id="59" w:name="_Toc177236251"/>
      <w:bookmarkStart w:id="60" w:name="_Toc229564746"/>
      <w:bookmarkStart w:id="61" w:name="_Toc26986531"/>
      <w:bookmarkStart w:id="62" w:name="_Toc229559699"/>
      <w:r>
        <w:rPr>
          <w:rFonts w:hint="eastAsia"/>
        </w:rPr>
        <w:t>规范性引用文件</w:t>
      </w:r>
      <w:bookmarkEnd w:id="48"/>
      <w:bookmarkEnd w:id="49"/>
      <w:bookmarkEnd w:id="50"/>
      <w:bookmarkEnd w:id="51"/>
      <w:bookmarkEnd w:id="52"/>
      <w:bookmarkEnd w:id="54"/>
      <w:bookmarkEnd w:id="55"/>
      <w:bookmarkEnd w:id="56"/>
      <w:bookmarkEnd w:id="57"/>
      <w:bookmarkEnd w:id="58"/>
      <w:bookmarkEnd w:id="59"/>
      <w:bookmarkEnd w:id="60"/>
      <w:bookmarkEnd w:id="61"/>
      <w:bookmarkEnd w:id="62"/>
    </w:p>
    <w:sdt>
      <w:sdtPr>
        <w:rPr>
          <w:rFonts w:hint="eastAsia"/>
        </w:rPr>
        <w:id w:val="715848253"/>
        <w:placeholder>
          <w:docPart w:val="4B0C0E2186E9492896CCB2216CADF5BE"/>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8"/>
            <w:ind w:firstLine="420"/>
          </w:pPr>
          <w:bookmarkStart w:id="63" w:name="_Hlk177563637"/>
          <w:r>
            <w:rPr>
              <w:rFonts w:hint="eastAsia"/>
            </w:rPr>
            <w:t>下列文件中的内容通过文中的规范性引用而构成本文件必不可少的条款。其中，注日期的引用文件，仅该日期对应的版本适用于本</w:t>
          </w:r>
          <w:bookmarkEnd w:id="63"/>
          <w:r>
            <w:rPr>
              <w:rFonts w:hint="eastAsia"/>
            </w:rPr>
            <w:t>文件；不注日期的引用文件，其最新版本（包括所有的修改单）适用于本文件。</w:t>
          </w:r>
        </w:p>
      </w:sdtContent>
    </w:sdt>
    <w:p>
      <w:pPr>
        <w:pStyle w:val="58"/>
        <w:ind w:firstLine="420"/>
      </w:pPr>
      <w:bookmarkStart w:id="64" w:name="_Toc97191425"/>
      <w:bookmarkStart w:id="65" w:name="_Toc177236252"/>
      <w:bookmarkStart w:id="66" w:name="_Toc177236223"/>
      <w:r>
        <w:t xml:space="preserve">GB/T 7025.1 </w:t>
      </w:r>
      <w:r>
        <w:rPr>
          <w:rFonts w:hint="eastAsia"/>
        </w:rPr>
        <w:t>电梯主参数及轿厢、井道、机房的型式与尺寸 第1部分:Ⅰ、Ⅱ、Ⅲ、Ⅵ类电梯</w:t>
      </w:r>
    </w:p>
    <w:p>
      <w:pPr>
        <w:pStyle w:val="58"/>
        <w:ind w:firstLine="420"/>
      </w:pPr>
      <w:r>
        <w:t xml:space="preserve">GB/T 7588.1 </w:t>
      </w:r>
      <w:r>
        <w:rPr>
          <w:rFonts w:hint="eastAsia"/>
        </w:rPr>
        <w:t>电梯制造与安装安全规范 第1部分：乘客电梯和载货电梯</w:t>
      </w:r>
    </w:p>
    <w:p>
      <w:pPr>
        <w:pStyle w:val="58"/>
        <w:ind w:firstLine="420"/>
      </w:pPr>
      <w:r>
        <w:rPr>
          <w:rFonts w:hint="eastAsia"/>
        </w:rPr>
        <w:t>G</w:t>
      </w:r>
      <w:r>
        <w:t xml:space="preserve">B 18306 </w:t>
      </w:r>
      <w:r>
        <w:rPr>
          <w:rFonts w:hint="eastAsia"/>
        </w:rPr>
        <w:t>中国地震动参数区划图</w:t>
      </w:r>
    </w:p>
    <w:p>
      <w:pPr>
        <w:pStyle w:val="58"/>
        <w:ind w:firstLine="420"/>
      </w:pPr>
      <w:r>
        <w:t xml:space="preserve">GB/T 24476 电梯、自动扶梯和自动人行道物联网的技术规范 </w:t>
      </w:r>
    </w:p>
    <w:p>
      <w:pPr>
        <w:pStyle w:val="58"/>
        <w:ind w:firstLine="420"/>
      </w:pPr>
      <w:r>
        <w:t xml:space="preserve">GB/T 27903 电梯层门耐火试验完整性、隔热性和热通量测定法 </w:t>
      </w:r>
    </w:p>
    <w:p>
      <w:pPr>
        <w:pStyle w:val="58"/>
        <w:ind w:firstLine="420"/>
      </w:pPr>
      <w:r>
        <w:t xml:space="preserve">GB 50009 建筑结构荷载规范 </w:t>
      </w:r>
    </w:p>
    <w:p>
      <w:pPr>
        <w:pStyle w:val="58"/>
        <w:ind w:firstLine="420"/>
      </w:pPr>
      <w:r>
        <w:t>GB</w:t>
      </w:r>
      <w:r>
        <w:rPr>
          <w:rFonts w:hint="eastAsia"/>
        </w:rPr>
        <w:t>/T</w:t>
      </w:r>
      <w:r>
        <w:t xml:space="preserve"> 50010 混凝土结构设计</w:t>
      </w:r>
      <w:r>
        <w:rPr>
          <w:rFonts w:hint="eastAsia"/>
        </w:rPr>
        <w:t>标准</w:t>
      </w:r>
      <w:r>
        <w:t xml:space="preserve"> </w:t>
      </w:r>
    </w:p>
    <w:p>
      <w:pPr>
        <w:pStyle w:val="58"/>
        <w:ind w:firstLine="420"/>
      </w:pPr>
      <w:r>
        <w:t>GB</w:t>
      </w:r>
      <w:r>
        <w:rPr>
          <w:rFonts w:hint="eastAsia"/>
        </w:rPr>
        <w:t>/T</w:t>
      </w:r>
      <w:r>
        <w:t xml:space="preserve"> 50011 建筑抗震设计</w:t>
      </w:r>
      <w:r>
        <w:rPr>
          <w:rFonts w:hint="eastAsia"/>
        </w:rPr>
        <w:t>标准</w:t>
      </w:r>
      <w:r>
        <w:t xml:space="preserve"> </w:t>
      </w:r>
    </w:p>
    <w:p>
      <w:pPr>
        <w:pStyle w:val="58"/>
        <w:ind w:firstLine="420"/>
      </w:pPr>
      <w:r>
        <w:t xml:space="preserve">GB 50016 建筑设计防火规范 </w:t>
      </w:r>
    </w:p>
    <w:p>
      <w:pPr>
        <w:pStyle w:val="58"/>
        <w:ind w:firstLine="420"/>
      </w:pPr>
      <w:r>
        <w:t>GB 50017 钢结构设计标准</w:t>
      </w:r>
    </w:p>
    <w:p>
      <w:pPr>
        <w:pStyle w:val="58"/>
        <w:ind w:firstLine="420"/>
      </w:pPr>
      <w:r>
        <w:rPr>
          <w:rFonts w:hint="eastAsia"/>
        </w:rPr>
        <w:t>G</w:t>
      </w:r>
      <w:r>
        <w:t xml:space="preserve">B 50023 </w:t>
      </w:r>
      <w:r>
        <w:rPr>
          <w:rFonts w:hint="eastAsia"/>
        </w:rPr>
        <w:t>建筑抗震鉴定标准</w:t>
      </w:r>
    </w:p>
    <w:p>
      <w:pPr>
        <w:pStyle w:val="58"/>
        <w:ind w:firstLine="420"/>
      </w:pPr>
      <w:r>
        <w:t xml:space="preserve">GB 50096 住宅设计规范 </w:t>
      </w:r>
    </w:p>
    <w:p>
      <w:pPr>
        <w:pStyle w:val="58"/>
        <w:ind w:firstLine="420"/>
      </w:pPr>
      <w:r>
        <w:t xml:space="preserve">GB 50204 混凝土结构工程施工质量验收规范 </w:t>
      </w:r>
    </w:p>
    <w:p>
      <w:pPr>
        <w:pStyle w:val="58"/>
        <w:ind w:firstLine="420"/>
      </w:pPr>
      <w:r>
        <w:t xml:space="preserve">GB 50205 钢结构工程施工质量验收标准 </w:t>
      </w:r>
    </w:p>
    <w:p>
      <w:pPr>
        <w:pStyle w:val="58"/>
        <w:ind w:firstLine="420"/>
      </w:pPr>
      <w:r>
        <w:rPr>
          <w:rFonts w:hint="eastAsia"/>
        </w:rPr>
        <w:t>G</w:t>
      </w:r>
      <w:r>
        <w:t xml:space="preserve">B 50292 </w:t>
      </w:r>
      <w:r>
        <w:rPr>
          <w:rFonts w:hint="eastAsia"/>
        </w:rPr>
        <w:t>民用建筑可靠性鉴定标准</w:t>
      </w:r>
    </w:p>
    <w:p>
      <w:pPr>
        <w:pStyle w:val="58"/>
        <w:ind w:firstLine="420"/>
      </w:pPr>
      <w:r>
        <w:t xml:space="preserve">GB 50300 建筑工程施工质量验收统一标准 </w:t>
      </w:r>
    </w:p>
    <w:p>
      <w:pPr>
        <w:pStyle w:val="58"/>
        <w:ind w:firstLine="420"/>
      </w:pPr>
      <w:r>
        <w:t xml:space="preserve">GB/T 50344 </w:t>
      </w:r>
      <w:r>
        <w:rPr>
          <w:rFonts w:hint="eastAsia"/>
        </w:rPr>
        <w:t>建筑结构检测技术标准</w:t>
      </w:r>
    </w:p>
    <w:p>
      <w:pPr>
        <w:pStyle w:val="58"/>
        <w:ind w:firstLine="420"/>
      </w:pPr>
      <w:r>
        <w:t xml:space="preserve">GB 50352 民用建筑设计统一标准 </w:t>
      </w:r>
    </w:p>
    <w:p>
      <w:pPr>
        <w:pStyle w:val="58"/>
        <w:ind w:firstLine="420"/>
      </w:pPr>
      <w:r>
        <w:t xml:space="preserve">GB 50550 </w:t>
      </w:r>
      <w:r>
        <w:rPr>
          <w:rFonts w:hint="eastAsia"/>
        </w:rPr>
        <w:t>建筑结构加固工程施工质量验收规范</w:t>
      </w:r>
    </w:p>
    <w:p>
      <w:pPr>
        <w:pStyle w:val="58"/>
        <w:ind w:firstLine="420"/>
      </w:pPr>
      <w:r>
        <w:t xml:space="preserve">GB 50666 混凝土结构工程施工规范 </w:t>
      </w:r>
    </w:p>
    <w:p>
      <w:pPr>
        <w:pStyle w:val="58"/>
        <w:ind w:firstLine="420"/>
      </w:pPr>
      <w:r>
        <w:t xml:space="preserve">GB 50755 钢结构工程施工规范 </w:t>
      </w:r>
    </w:p>
    <w:p>
      <w:pPr>
        <w:pStyle w:val="58"/>
        <w:ind w:firstLine="420"/>
      </w:pPr>
      <w:r>
        <w:t xml:space="preserve">GB 50763 无障碍设计规范 </w:t>
      </w:r>
    </w:p>
    <w:p>
      <w:pPr>
        <w:pStyle w:val="58"/>
        <w:ind w:firstLine="420"/>
      </w:pPr>
      <w:r>
        <w:rPr>
          <w:rFonts w:hint="eastAsia"/>
        </w:rPr>
        <w:t>G</w:t>
      </w:r>
      <w:r>
        <w:t xml:space="preserve">B 51249 </w:t>
      </w:r>
      <w:r>
        <w:rPr>
          <w:rFonts w:hint="eastAsia"/>
        </w:rPr>
        <w:t>建筑钢结构防火技术规范</w:t>
      </w:r>
    </w:p>
    <w:p>
      <w:pPr>
        <w:pStyle w:val="58"/>
        <w:ind w:firstLine="420"/>
      </w:pPr>
      <w:r>
        <w:t xml:space="preserve">GB 51251 建筑防烟排烟系统技术标准 </w:t>
      </w:r>
    </w:p>
    <w:p>
      <w:pPr>
        <w:pStyle w:val="58"/>
        <w:ind w:firstLine="420"/>
      </w:pPr>
      <w:r>
        <w:t>GB 5500</w:t>
      </w:r>
      <w:r>
        <w:rPr>
          <w:rFonts w:hint="eastAsia"/>
        </w:rPr>
        <w:t>1</w:t>
      </w:r>
      <w:r>
        <w:t xml:space="preserve"> 工程</w:t>
      </w:r>
      <w:r>
        <w:rPr>
          <w:rFonts w:hint="eastAsia"/>
        </w:rPr>
        <w:t>结构</w:t>
      </w:r>
      <w:r>
        <w:t xml:space="preserve">通用规范 </w:t>
      </w:r>
    </w:p>
    <w:p>
      <w:pPr>
        <w:pStyle w:val="58"/>
        <w:ind w:firstLine="420"/>
      </w:pPr>
      <w:r>
        <w:t xml:space="preserve">GB 55002 建筑与市政工程抗震通用规范 </w:t>
      </w:r>
    </w:p>
    <w:p>
      <w:pPr>
        <w:pStyle w:val="58"/>
        <w:ind w:firstLine="420"/>
      </w:pPr>
      <w:r>
        <w:t xml:space="preserve">GB 55008 混凝土结构通用规范 </w:t>
      </w:r>
    </w:p>
    <w:p>
      <w:pPr>
        <w:pStyle w:val="58"/>
        <w:ind w:firstLine="420"/>
      </w:pPr>
      <w:r>
        <w:t xml:space="preserve">GB 55019 建筑与市政工程无障碍通用规范 </w:t>
      </w:r>
    </w:p>
    <w:p>
      <w:pPr>
        <w:pStyle w:val="58"/>
        <w:ind w:firstLine="420"/>
      </w:pPr>
      <w:r>
        <w:t xml:space="preserve">GB 55021 </w:t>
      </w:r>
      <w:r>
        <w:rPr>
          <w:rFonts w:hint="eastAsia"/>
        </w:rPr>
        <w:t>既有建筑鉴定与加固通用规范</w:t>
      </w:r>
    </w:p>
    <w:p>
      <w:pPr>
        <w:pStyle w:val="58"/>
        <w:ind w:firstLine="420"/>
      </w:pPr>
      <w:r>
        <w:t xml:space="preserve">GB 55022 </w:t>
      </w:r>
      <w:r>
        <w:rPr>
          <w:rFonts w:hint="eastAsia"/>
        </w:rPr>
        <w:t>既有建筑维护与改造通用规范</w:t>
      </w:r>
    </w:p>
    <w:p>
      <w:pPr>
        <w:pStyle w:val="58"/>
        <w:ind w:firstLine="420"/>
      </w:pPr>
      <w:r>
        <w:rPr>
          <w:rFonts w:hint="eastAsia"/>
        </w:rPr>
        <w:t>GB 55037 建筑防火通用规范</w:t>
      </w:r>
    </w:p>
    <w:p>
      <w:pPr>
        <w:pStyle w:val="58"/>
        <w:ind w:firstLine="420"/>
      </w:pPr>
      <w:r>
        <w:t>GB</w:t>
      </w:r>
      <w:r>
        <w:rPr>
          <w:rFonts w:hint="eastAsia"/>
        </w:rPr>
        <w:t xml:space="preserve"> </w:t>
      </w:r>
      <w:r>
        <w:t>55038</w:t>
      </w:r>
      <w:r>
        <w:rPr>
          <w:rFonts w:hint="eastAsia"/>
        </w:rPr>
        <w:t xml:space="preserve"> </w:t>
      </w:r>
      <w:r>
        <w:t>住宅项目规范</w:t>
      </w:r>
    </w:p>
    <w:p>
      <w:pPr>
        <w:pStyle w:val="58"/>
        <w:ind w:firstLine="420"/>
      </w:pPr>
      <w:r>
        <w:rPr>
          <w:rFonts w:hint="eastAsia"/>
        </w:rPr>
        <w:t>J</w:t>
      </w:r>
      <w:r>
        <w:t xml:space="preserve">GJ 94 </w:t>
      </w:r>
      <w:r>
        <w:rPr>
          <w:rFonts w:hint="eastAsia"/>
        </w:rPr>
        <w:t>建筑桩基技术规范</w:t>
      </w:r>
    </w:p>
    <w:p>
      <w:pPr>
        <w:pStyle w:val="58"/>
        <w:ind w:firstLine="420"/>
      </w:pPr>
      <w:r>
        <w:rPr>
          <w:rFonts w:hint="eastAsia"/>
        </w:rPr>
        <w:t>J</w:t>
      </w:r>
      <w:r>
        <w:t xml:space="preserve">GJ 113 </w:t>
      </w:r>
      <w:r>
        <w:rPr>
          <w:rFonts w:hint="eastAsia"/>
        </w:rPr>
        <w:t>建筑玻璃应用技术规程</w:t>
      </w:r>
    </w:p>
    <w:p>
      <w:pPr>
        <w:pStyle w:val="58"/>
        <w:ind w:firstLine="420"/>
      </w:pPr>
      <w:r>
        <w:rPr>
          <w:rFonts w:hint="eastAsia"/>
        </w:rPr>
        <w:t>J</w:t>
      </w:r>
      <w:r>
        <w:t xml:space="preserve">GJ 138 </w:t>
      </w:r>
      <w:r>
        <w:rPr>
          <w:rFonts w:hint="eastAsia"/>
        </w:rPr>
        <w:t>组合结构设计规范</w:t>
      </w:r>
    </w:p>
    <w:p>
      <w:pPr>
        <w:pStyle w:val="106"/>
        <w:spacing w:before="312" w:after="312"/>
      </w:pPr>
      <w:bookmarkStart w:id="67" w:name="_Toc229564747"/>
      <w:bookmarkStart w:id="68" w:name="_Toc229564700"/>
      <w:bookmarkStart w:id="69" w:name="_Toc229559700"/>
      <w:r>
        <w:rPr>
          <w:rFonts w:hint="eastAsia"/>
          <w:szCs w:val="21"/>
        </w:rPr>
        <w:t>术语和定义</w:t>
      </w:r>
      <w:bookmarkEnd w:id="64"/>
      <w:bookmarkEnd w:id="65"/>
      <w:bookmarkEnd w:id="66"/>
      <w:bookmarkEnd w:id="67"/>
      <w:bookmarkEnd w:id="68"/>
      <w:bookmarkEnd w:id="69"/>
    </w:p>
    <w:sdt>
      <w:sdtPr>
        <w:id w:val="-1909835108"/>
        <w:placeholder>
          <w:docPart w:val="72D4081DFF6C452F8D13F697A87DAA0A"/>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8"/>
            <w:ind w:firstLine="420"/>
          </w:pPr>
          <w:bookmarkStart w:id="70" w:name="_Toc26986532"/>
          <w:bookmarkEnd w:id="70"/>
          <w:r>
            <w:t>下列术语和定义适用于本文件。</w:t>
          </w:r>
        </w:p>
      </w:sdtContent>
    </w:sdt>
    <w:p>
      <w:pPr>
        <w:pStyle w:val="225"/>
        <w:ind w:left="420" w:hanging="420" w:hangingChars="200"/>
        <w:rPr>
          <w:rFonts w:ascii="黑体" w:hAnsi="黑体" w:eastAsia="黑体"/>
        </w:rPr>
      </w:pPr>
      <w:r>
        <w:rPr>
          <w:rFonts w:ascii="黑体" w:hAnsi="黑体" w:eastAsia="黑体"/>
        </w:rPr>
        <w:br w:type="textWrapping"/>
      </w:r>
      <w:r>
        <w:rPr>
          <w:rFonts w:hint="eastAsia" w:ascii="黑体" w:hAnsi="黑体" w:eastAsia="黑体"/>
        </w:rPr>
        <w:t>既有住宅 Existing Residential Buildings</w:t>
      </w:r>
    </w:p>
    <w:p>
      <w:pPr>
        <w:pStyle w:val="58"/>
        <w:ind w:firstLine="420"/>
      </w:pPr>
      <w:r>
        <w:rPr>
          <w:rFonts w:hAnsi="宋体"/>
          <w:szCs w:val="21"/>
        </w:rPr>
        <w:t>已建成并使用且供人居住的建筑物。</w:t>
      </w:r>
    </w:p>
    <w:p>
      <w:pPr>
        <w:pStyle w:val="225"/>
        <w:ind w:left="420" w:hanging="420" w:hangingChars="200"/>
        <w:rPr>
          <w:rFonts w:ascii="黑体" w:hAnsi="黑体" w:eastAsia="黑体"/>
        </w:rPr>
      </w:pPr>
      <w:r>
        <w:rPr>
          <w:rFonts w:ascii="黑体" w:hAnsi="黑体" w:eastAsia="黑体"/>
        </w:rPr>
        <w:br w:type="textWrapping"/>
      </w:r>
      <w:r>
        <w:rPr>
          <w:rFonts w:ascii="黑体" w:hAnsi="黑体" w:eastAsia="黑体"/>
        </w:rPr>
        <w:t>既有住宅加装电梯 Adding elevator of existing residences</w:t>
      </w:r>
    </w:p>
    <w:p>
      <w:pPr>
        <w:pStyle w:val="58"/>
        <w:ind w:firstLine="420"/>
      </w:pPr>
      <w:r>
        <w:rPr>
          <w:rFonts w:hint="eastAsia"/>
        </w:rPr>
        <w:t>在既有住宅新建井道内安装电梯。</w:t>
      </w:r>
    </w:p>
    <w:p>
      <w:pPr>
        <w:pStyle w:val="225"/>
        <w:ind w:left="420" w:hanging="420" w:hangingChars="200"/>
        <w:rPr>
          <w:rFonts w:ascii="黑体" w:hAnsi="黑体" w:eastAsia="黑体"/>
        </w:rPr>
      </w:pPr>
      <w:r>
        <w:rPr>
          <w:rFonts w:ascii="黑体" w:hAnsi="黑体" w:eastAsia="黑体"/>
        </w:rPr>
        <w:br w:type="textWrapping"/>
      </w:r>
      <w:r>
        <w:rPr>
          <w:rFonts w:ascii="黑体" w:hAnsi="黑体" w:eastAsia="黑体"/>
        </w:rPr>
        <w:t>电梯井道 Elevator shaft</w:t>
      </w:r>
    </w:p>
    <w:p>
      <w:pPr>
        <w:pStyle w:val="58"/>
        <w:ind w:firstLine="420"/>
      </w:pPr>
      <w:r>
        <w:t>承台基础、混凝土结构或钢结构框架及围护构件组成的整体，以保证电梯轿厢、对重安全运行所需要的建筑空间。</w:t>
      </w:r>
    </w:p>
    <w:p>
      <w:pPr>
        <w:pStyle w:val="225"/>
        <w:ind w:left="420" w:hanging="420" w:hangingChars="200"/>
        <w:rPr>
          <w:rFonts w:ascii="黑体" w:hAnsi="黑体" w:eastAsia="黑体"/>
        </w:rPr>
      </w:pPr>
      <w:r>
        <w:rPr>
          <w:rFonts w:ascii="黑体" w:hAnsi="黑体" w:eastAsia="黑体"/>
        </w:rPr>
        <w:br w:type="textWrapping"/>
      </w:r>
      <w:r>
        <w:rPr>
          <w:rFonts w:hint="eastAsia" w:ascii="黑体" w:hAnsi="黑体" w:eastAsia="黑体"/>
        </w:rPr>
        <w:t xml:space="preserve">平层入户 </w:t>
      </w:r>
      <w:r>
        <w:rPr>
          <w:rFonts w:ascii="黑体" w:hAnsi="黑体" w:eastAsia="黑体"/>
        </w:rPr>
        <w:t>leveling entrance</w:t>
      </w:r>
    </w:p>
    <w:p>
      <w:pPr>
        <w:pStyle w:val="58"/>
        <w:ind w:firstLine="420"/>
      </w:pPr>
      <w:r>
        <w:rPr>
          <w:rFonts w:hint="eastAsia"/>
        </w:rPr>
        <w:t>加装电梯的停靠层与各层居室楼面标高相同，由各电梯停靠层可以平层进入户内的电梯加装方式。</w:t>
      </w:r>
    </w:p>
    <w:p>
      <w:pPr>
        <w:pStyle w:val="225"/>
        <w:ind w:left="420" w:hanging="420" w:hangingChars="200"/>
        <w:rPr>
          <w:rFonts w:ascii="黑体" w:hAnsi="黑体" w:eastAsia="黑体"/>
        </w:rPr>
      </w:pPr>
      <w:r>
        <w:rPr>
          <w:rFonts w:ascii="黑体" w:hAnsi="黑体" w:eastAsia="黑体"/>
        </w:rPr>
        <w:br w:type="textWrapping"/>
      </w:r>
      <w:r>
        <w:rPr>
          <w:rFonts w:hint="eastAsia" w:ascii="黑体" w:hAnsi="黑体" w:eastAsia="黑体"/>
        </w:rPr>
        <w:t xml:space="preserve">半层入户 </w:t>
      </w:r>
      <w:r>
        <w:rPr>
          <w:rFonts w:ascii="黑体" w:hAnsi="黑体" w:eastAsia="黑体"/>
        </w:rPr>
        <w:t>half-leveling entrance</w:t>
      </w:r>
    </w:p>
    <w:p>
      <w:pPr>
        <w:pStyle w:val="58"/>
        <w:ind w:firstLine="420"/>
      </w:pPr>
      <w:r>
        <w:rPr>
          <w:rFonts w:hint="eastAsia"/>
        </w:rPr>
        <w:t>加装电梯的停靠层与各层居室楼面标高不同，需从各电梯停靠层向上或向下一定数量楼梯踏步才能进入户内的电梯加装方式。</w:t>
      </w:r>
    </w:p>
    <w:p>
      <w:pPr>
        <w:pStyle w:val="225"/>
        <w:ind w:left="462" w:hanging="461" w:hangingChars="200"/>
        <w:rPr>
          <w:rFonts w:ascii="黑体" w:hAnsi="黑体" w:eastAsia="黑体"/>
        </w:rPr>
      </w:pPr>
      <w:r>
        <w:rPr>
          <w:rStyle w:val="31"/>
          <w:rFonts w:ascii="黑体" w:hAnsi="黑体" w:eastAsia="黑体" w:cs="Segoe UI"/>
          <w:sz w:val="23"/>
          <w:szCs w:val="23"/>
          <w:shd w:val="clear" w:color="auto" w:fill="FCFCFC"/>
        </w:rPr>
        <w:br w:type="textWrapping"/>
      </w:r>
      <w:r>
        <w:rPr>
          <w:rFonts w:ascii="黑体" w:hAnsi="黑体" w:eastAsia="黑体"/>
        </w:rPr>
        <w:t>连廊 corridor</w:t>
      </w:r>
      <w:r>
        <w:rPr>
          <w:rFonts w:ascii="黑体" w:hAnsi="黑体" w:eastAsia="黑体"/>
        </w:rPr>
        <w:br w:type="textWrapping"/>
      </w:r>
      <w:r>
        <w:t>电梯门到既有住宅之间加装的连接通道。</w:t>
      </w:r>
    </w:p>
    <w:p>
      <w:pPr>
        <w:pStyle w:val="106"/>
        <w:spacing w:before="312" w:after="312"/>
      </w:pPr>
      <w:bookmarkStart w:id="71" w:name="_Toc229564748"/>
      <w:bookmarkStart w:id="72" w:name="_Toc177236253"/>
      <w:bookmarkStart w:id="73" w:name="_Toc177236224"/>
      <w:bookmarkStart w:id="74" w:name="_Toc229564701"/>
      <w:bookmarkStart w:id="75" w:name="_Toc229559701"/>
      <w:r>
        <w:rPr>
          <w:rFonts w:hint="eastAsia"/>
        </w:rPr>
        <w:t>基本规定</w:t>
      </w:r>
      <w:bookmarkEnd w:id="71"/>
      <w:bookmarkEnd w:id="72"/>
      <w:bookmarkEnd w:id="73"/>
      <w:bookmarkEnd w:id="74"/>
      <w:bookmarkEnd w:id="75"/>
    </w:p>
    <w:bookmarkEnd w:id="2"/>
    <w:bookmarkEnd w:id="3"/>
    <w:p>
      <w:pPr>
        <w:pStyle w:val="164"/>
      </w:pPr>
      <w:r>
        <w:rPr>
          <w:rFonts w:hint="eastAsia"/>
        </w:rPr>
        <w:t>既有住宅加装电梯应遵循安全、耐久、适用、经济、绿色、环保的原则，应便于施工、安装和后续使用维护。</w:t>
      </w:r>
    </w:p>
    <w:p>
      <w:pPr>
        <w:pStyle w:val="164"/>
      </w:pPr>
      <w:r>
        <w:rPr>
          <w:rFonts w:hint="eastAsia"/>
        </w:rPr>
        <w:t>既有住宅加装电梯不得降低原住宅的结构、消防、应急疏散等既有安全条件与标准。</w:t>
      </w:r>
    </w:p>
    <w:p>
      <w:pPr>
        <w:pStyle w:val="164"/>
      </w:pPr>
      <w:r>
        <w:rPr>
          <w:rFonts w:hint="eastAsia"/>
        </w:rPr>
        <w:t>加装电梯前，必须进行可行性评估。评估应涵盖结构安全、消防安全、场地条件、环境及管线影响等内容，其结论应作为设计与施工的重要依据。</w:t>
      </w:r>
    </w:p>
    <w:p>
      <w:pPr>
        <w:pStyle w:val="164"/>
      </w:pPr>
      <w:r>
        <w:rPr>
          <w:rFonts w:hint="eastAsia"/>
        </w:rPr>
        <w:t>既有住宅加装电梯设计前，首先应对与既有建筑有关的结构进行安全评估及分析，并以结构安全评估结论作为设计依据，对存在增设电梯相关安全隐患的既有建筑结构，应采取必要的加固措施，并应满足加装电梯工程的设计要求。</w:t>
      </w:r>
    </w:p>
    <w:p>
      <w:pPr>
        <w:pStyle w:val="164"/>
      </w:pPr>
      <w:r>
        <w:rPr>
          <w:rFonts w:hint="eastAsia"/>
        </w:rPr>
        <w:t>从事既有住宅加装电梯工程的检测鉴定、勘察、设计、施工、监理、电梯安装及维护保养等单位，应具备相应的资质。</w:t>
      </w:r>
    </w:p>
    <w:p>
      <w:pPr>
        <w:pStyle w:val="164"/>
      </w:pPr>
      <w:r>
        <w:rPr>
          <w:rFonts w:hint="eastAsia"/>
        </w:rPr>
        <w:t>加装电梯工程应依法进行报建、报审，施工前应办理质量安全监督、电梯安装告知等手续。工程完成后，评估、设计、施工、验收及维护保养等资料应纳入完整的技术档案并归档保存。</w:t>
      </w:r>
    </w:p>
    <w:p>
      <w:pPr>
        <w:pStyle w:val="164"/>
      </w:pPr>
      <w:r>
        <w:rPr>
          <w:rFonts w:hint="eastAsia"/>
        </w:rPr>
        <w:t>加装电梯新增结构设计工作年限应为5</w:t>
      </w:r>
      <w:r>
        <w:t>0</w:t>
      </w:r>
      <w:r>
        <w:rPr>
          <w:rFonts w:hint="eastAsia"/>
        </w:rPr>
        <w:t>年。</w:t>
      </w:r>
    </w:p>
    <w:p>
      <w:pPr>
        <w:pStyle w:val="164"/>
      </w:pPr>
      <w:r>
        <w:rPr>
          <w:rFonts w:hint="eastAsia"/>
        </w:rPr>
        <w:t>当加装电梯的既有住宅建筑高度超过2</w:t>
      </w:r>
      <w:r>
        <w:t xml:space="preserve">7 </w:t>
      </w:r>
      <w:r>
        <w:rPr>
          <w:rFonts w:hint="eastAsia"/>
        </w:rPr>
        <w:t>m时，应对加装电梯工程的结构安全、消防安全进行专项论证。</w:t>
      </w:r>
    </w:p>
    <w:p>
      <w:pPr>
        <w:pStyle w:val="164"/>
      </w:pPr>
      <w:r>
        <w:rPr>
          <w:rFonts w:hint="eastAsia"/>
        </w:rPr>
        <w:t>鼓励采用装配式、智能化、无障碍等先进适用技术，提升电梯工程的质量、施工效率、运维安全及使用便利性与舒适性。</w:t>
      </w:r>
    </w:p>
    <w:p>
      <w:pPr>
        <w:pStyle w:val="106"/>
        <w:spacing w:before="312" w:after="312"/>
      </w:pPr>
      <w:bookmarkStart w:id="76" w:name="_Toc229559702"/>
      <w:bookmarkStart w:id="77" w:name="_Toc229564749"/>
      <w:bookmarkStart w:id="78" w:name="_Toc229564702"/>
      <w:bookmarkStart w:id="79" w:name="_Toc177236255"/>
      <w:bookmarkStart w:id="80" w:name="_Toc177236228"/>
      <w:r>
        <w:rPr>
          <w:rFonts w:hint="eastAsia"/>
        </w:rPr>
        <w:t>评估</w:t>
      </w:r>
      <w:bookmarkEnd w:id="76"/>
      <w:bookmarkEnd w:id="77"/>
      <w:bookmarkEnd w:id="78"/>
    </w:p>
    <w:p>
      <w:pPr>
        <w:pStyle w:val="107"/>
        <w:spacing w:before="156" w:after="156"/>
      </w:pPr>
      <w:bookmarkStart w:id="81" w:name="_Toc229564703"/>
      <w:r>
        <w:rPr>
          <w:rFonts w:hint="eastAsia"/>
        </w:rPr>
        <w:t>一般规定</w:t>
      </w:r>
      <w:bookmarkEnd w:id="81"/>
    </w:p>
    <w:p>
      <w:pPr>
        <w:pStyle w:val="167"/>
      </w:pPr>
      <w:r>
        <w:rPr>
          <w:rFonts w:hint="eastAsia"/>
        </w:rPr>
        <w:t>既有住宅加装电梯前，应由相关责任单位组织对拟加装电梯的住宅进行现场踏勘和技术评估，确定加装电梯的可行性。</w:t>
      </w:r>
    </w:p>
    <w:p>
      <w:pPr>
        <w:pStyle w:val="167"/>
      </w:pPr>
      <w:r>
        <w:rPr>
          <w:rFonts w:hint="eastAsia"/>
        </w:rPr>
        <w:t>评估宜以住宅单元为基本单位，综合考虑住宅的结构安全、消防安全、场地条件、环境及管线影响等因素。</w:t>
      </w:r>
    </w:p>
    <w:p>
      <w:pPr>
        <w:pStyle w:val="167"/>
      </w:pPr>
      <w:r>
        <w:rPr>
          <w:rFonts w:hint="eastAsia"/>
        </w:rPr>
        <w:t>评估工作应由相关责任单位委托具有相应资质的专业单位承担，并出具评估报告。</w:t>
      </w:r>
    </w:p>
    <w:p>
      <w:pPr>
        <w:pStyle w:val="167"/>
      </w:pPr>
      <w:r>
        <w:rPr>
          <w:rFonts w:hint="eastAsia"/>
        </w:rPr>
        <w:t>评估前应收集下列资料：</w:t>
      </w:r>
    </w:p>
    <w:p>
      <w:pPr>
        <w:pStyle w:val="176"/>
      </w:pPr>
      <w:r>
        <w:rPr>
          <w:rFonts w:hint="eastAsia"/>
        </w:rPr>
        <w:t>既有住宅的原始勘察报告、设计文件、竣工图及历次改造、加固资料；</w:t>
      </w:r>
    </w:p>
    <w:p>
      <w:pPr>
        <w:pStyle w:val="176"/>
      </w:pPr>
      <w:r>
        <w:rPr>
          <w:rFonts w:hint="eastAsia"/>
        </w:rPr>
        <w:t>使用期间的检测、修缮记录；</w:t>
      </w:r>
    </w:p>
    <w:p>
      <w:pPr>
        <w:pStyle w:val="176"/>
      </w:pPr>
      <w:r>
        <w:rPr>
          <w:rFonts w:hint="eastAsia"/>
        </w:rPr>
        <w:t>既有住宅所在区域的周边地形图、管线图等。</w:t>
      </w:r>
    </w:p>
    <w:p>
      <w:pPr>
        <w:pStyle w:val="167"/>
      </w:pPr>
      <w:r>
        <w:rPr>
          <w:rFonts w:hint="eastAsia"/>
        </w:rPr>
        <w:t>当上述应收集的资料不全时，应进行现场测绘、检测和补充勘察。</w:t>
      </w:r>
    </w:p>
    <w:p>
      <w:pPr>
        <w:pStyle w:val="107"/>
        <w:spacing w:before="156" w:after="156"/>
      </w:pPr>
      <w:bookmarkStart w:id="82" w:name="_Toc229564704"/>
      <w:r>
        <w:rPr>
          <w:rFonts w:hint="eastAsia"/>
        </w:rPr>
        <w:t>结构安全评估</w:t>
      </w:r>
      <w:bookmarkEnd w:id="82"/>
    </w:p>
    <w:p>
      <w:pPr>
        <w:pStyle w:val="167"/>
      </w:pPr>
      <w:r>
        <w:rPr>
          <w:rFonts w:hint="eastAsia"/>
        </w:rPr>
        <w:t>结构安全评估应包括下列内容：</w:t>
      </w:r>
    </w:p>
    <w:p>
      <w:pPr>
        <w:pStyle w:val="176"/>
        <w:numPr>
          <w:ilvl w:val="0"/>
          <w:numId w:val="33"/>
        </w:numPr>
      </w:pPr>
      <w:r>
        <w:rPr>
          <w:rFonts w:hint="eastAsia"/>
        </w:rPr>
        <w:t>核查既有住宅的结构形式、基础类型、设计使用年限、抗震设防类别等；</w:t>
      </w:r>
    </w:p>
    <w:p>
      <w:pPr>
        <w:pStyle w:val="176"/>
      </w:pPr>
      <w:r>
        <w:rPr>
          <w:rFonts w:hint="eastAsia"/>
        </w:rPr>
        <w:t>检测加装电梯部位的结构构件（承重墙体、梁柱、基础等）的材料强度、截面尺寸、配筋、损伤情况；</w:t>
      </w:r>
    </w:p>
    <w:p>
      <w:pPr>
        <w:pStyle w:val="176"/>
      </w:pPr>
      <w:r>
        <w:rPr>
          <w:rFonts w:hint="eastAsia"/>
        </w:rPr>
        <w:t>评估加装电梯新增荷载对原结构承载力的影响；</w:t>
      </w:r>
    </w:p>
    <w:p>
      <w:pPr>
        <w:pStyle w:val="176"/>
      </w:pPr>
      <w:r>
        <w:rPr>
          <w:rFonts w:hint="eastAsia"/>
        </w:rPr>
        <w:t>验算新旧结构连接节点的安全性；</w:t>
      </w:r>
    </w:p>
    <w:p>
      <w:pPr>
        <w:pStyle w:val="176"/>
      </w:pPr>
      <w:r>
        <w:rPr>
          <w:rFonts w:hint="eastAsia"/>
        </w:rPr>
        <w:t>对需要局部改造的结构（如墙体开洞）提出加固处理建议；</w:t>
      </w:r>
    </w:p>
    <w:p>
      <w:pPr>
        <w:pStyle w:val="176"/>
      </w:pPr>
      <w:r>
        <w:rPr>
          <w:rFonts w:hint="eastAsia"/>
        </w:rPr>
        <w:t>加装电梯位置地下是否存在影响加装电梯的建、构筑物。</w:t>
      </w:r>
    </w:p>
    <w:p>
      <w:pPr>
        <w:pStyle w:val="167"/>
      </w:pPr>
      <w:r>
        <w:rPr>
          <w:rFonts w:hint="eastAsia"/>
        </w:rPr>
        <w:t>既有住宅结构现状的调查与检测应符合GB/T 50344和GB 50292的规定。</w:t>
      </w:r>
    </w:p>
    <w:p>
      <w:pPr>
        <w:pStyle w:val="167"/>
      </w:pPr>
      <w:r>
        <w:rPr>
          <w:rFonts w:hint="eastAsia"/>
        </w:rPr>
        <w:t>当既有住宅存在下列情况之一时，应进行结构安全性鉴定：</w:t>
      </w:r>
    </w:p>
    <w:p>
      <w:pPr>
        <w:pStyle w:val="176"/>
        <w:numPr>
          <w:ilvl w:val="0"/>
          <w:numId w:val="34"/>
        </w:numPr>
      </w:pPr>
      <w:r>
        <w:rPr>
          <w:rFonts w:hint="eastAsia"/>
        </w:rPr>
        <w:t>地基基础有不均匀沉降，且尚未稳定；</w:t>
      </w:r>
    </w:p>
    <w:p>
      <w:pPr>
        <w:pStyle w:val="176"/>
      </w:pPr>
      <w:r>
        <w:rPr>
          <w:rFonts w:hint="eastAsia"/>
        </w:rPr>
        <w:t>承重构件出现明显裂缝、变形或损坏；</w:t>
      </w:r>
    </w:p>
    <w:p>
      <w:pPr>
        <w:pStyle w:val="176"/>
      </w:pPr>
      <w:r>
        <w:rPr>
          <w:rFonts w:hint="eastAsia"/>
        </w:rPr>
        <w:t>结构抗震措施不符合GB 50023的要求；</w:t>
      </w:r>
    </w:p>
    <w:p>
      <w:pPr>
        <w:pStyle w:val="176"/>
      </w:pPr>
      <w:r>
        <w:rPr>
          <w:rFonts w:hint="eastAsia"/>
        </w:rPr>
        <w:t>设计使用年限超过50年且未进行过抗震加固；</w:t>
      </w:r>
    </w:p>
    <w:p>
      <w:pPr>
        <w:pStyle w:val="176"/>
      </w:pPr>
      <w:r>
        <w:rPr>
          <w:rFonts w:hint="eastAsia"/>
        </w:rPr>
        <w:t>加装电梯需对原结构体系（承重墙体、梁柱）进行改造或开洞的。</w:t>
      </w:r>
    </w:p>
    <w:p>
      <w:pPr>
        <w:pStyle w:val="167"/>
      </w:pPr>
      <w:r>
        <w:rPr>
          <w:rFonts w:hint="eastAsia"/>
        </w:rPr>
        <w:t>当既有住宅无地质勘察资料或资料缺失时，应进行补充勘察，勘察点布置、深度等应符合GB 50021的要求。</w:t>
      </w:r>
    </w:p>
    <w:p>
      <w:pPr>
        <w:pStyle w:val="107"/>
        <w:spacing w:before="156" w:after="156"/>
      </w:pPr>
      <w:bookmarkStart w:id="83" w:name="_Toc229564705"/>
      <w:r>
        <w:rPr>
          <w:rFonts w:hint="eastAsia"/>
        </w:rPr>
        <w:t>消防安全评估</w:t>
      </w:r>
      <w:bookmarkEnd w:id="83"/>
    </w:p>
    <w:p>
      <w:pPr>
        <w:pStyle w:val="167"/>
      </w:pPr>
      <w:r>
        <w:rPr>
          <w:rFonts w:hint="eastAsia"/>
        </w:rPr>
        <w:t>消防安全评估应包括下列内容：</w:t>
      </w:r>
    </w:p>
    <w:p>
      <w:pPr>
        <w:pStyle w:val="176"/>
        <w:numPr>
          <w:ilvl w:val="0"/>
          <w:numId w:val="35"/>
        </w:numPr>
      </w:pPr>
      <w:r>
        <w:rPr>
          <w:rFonts w:hint="eastAsia"/>
        </w:rPr>
        <w:t>加装电梯是否占用消防车道、消防车登高操作场地；</w:t>
      </w:r>
    </w:p>
    <w:p>
      <w:pPr>
        <w:pStyle w:val="176"/>
      </w:pPr>
      <w:r>
        <w:rPr>
          <w:rFonts w:hint="eastAsia"/>
        </w:rPr>
        <w:t>是否影响原有消防通道、安全出口和疏散楼梯的净宽度和净空高度；</w:t>
      </w:r>
    </w:p>
    <w:p>
      <w:pPr>
        <w:pStyle w:val="176"/>
      </w:pPr>
      <w:r>
        <w:rPr>
          <w:rFonts w:hint="eastAsia"/>
        </w:rPr>
        <w:t>加装电梯后与相邻建筑的防火间距是否满足GB 50016的要求；</w:t>
      </w:r>
    </w:p>
    <w:p>
      <w:pPr>
        <w:pStyle w:val="176"/>
      </w:pPr>
      <w:r>
        <w:rPr>
          <w:rFonts w:hint="eastAsia"/>
        </w:rPr>
        <w:t>电梯井道、连廊的耐火等级及防火分隔措施是否符合要求；</w:t>
      </w:r>
    </w:p>
    <w:p>
      <w:pPr>
        <w:pStyle w:val="176"/>
      </w:pPr>
      <w:r>
        <w:rPr>
          <w:rFonts w:hint="eastAsia"/>
        </w:rPr>
        <w:t>单元出入口、公共走道的最小净宽；</w:t>
      </w:r>
    </w:p>
    <w:p>
      <w:pPr>
        <w:pStyle w:val="176"/>
      </w:pPr>
      <w:r>
        <w:rPr>
          <w:rFonts w:hint="eastAsia"/>
        </w:rPr>
        <w:t>楼梯间、电梯厅的防烟排烟条件是否受到影响。</w:t>
      </w:r>
    </w:p>
    <w:p>
      <w:pPr>
        <w:pStyle w:val="107"/>
        <w:spacing w:before="156" w:after="156"/>
      </w:pPr>
      <w:bookmarkStart w:id="84" w:name="_Toc229564706"/>
      <w:r>
        <w:rPr>
          <w:rFonts w:hint="eastAsia"/>
        </w:rPr>
        <w:t>场地条件评估</w:t>
      </w:r>
      <w:bookmarkEnd w:id="84"/>
    </w:p>
    <w:p>
      <w:pPr>
        <w:pStyle w:val="167"/>
      </w:pPr>
      <w:r>
        <w:rPr>
          <w:rFonts w:hint="eastAsia"/>
        </w:rPr>
        <w:t>场地条件评估宜包括下列内容：</w:t>
      </w:r>
    </w:p>
    <w:p>
      <w:pPr>
        <w:pStyle w:val="176"/>
        <w:numPr>
          <w:ilvl w:val="0"/>
          <w:numId w:val="36"/>
        </w:numPr>
      </w:pPr>
      <w:r>
        <w:rPr>
          <w:rFonts w:hint="eastAsia"/>
        </w:rPr>
        <w:t>核查既有建筑是否为住宅性质；</w:t>
      </w:r>
    </w:p>
    <w:p>
      <w:pPr>
        <w:pStyle w:val="176"/>
      </w:pPr>
      <w:r>
        <w:rPr>
          <w:rFonts w:hint="eastAsia"/>
        </w:rPr>
        <w:t>加装电梯的既有住宅建筑层数；</w:t>
      </w:r>
    </w:p>
    <w:p>
      <w:pPr>
        <w:pStyle w:val="176"/>
      </w:pPr>
      <w:r>
        <w:rPr>
          <w:rFonts w:hint="eastAsia"/>
        </w:rPr>
        <w:t>加装电梯的既有住宅是否列入房屋征收计划，是否被鉴定为危房、非单一产权；</w:t>
      </w:r>
    </w:p>
    <w:p>
      <w:pPr>
        <w:pStyle w:val="176"/>
      </w:pPr>
      <w:r>
        <w:rPr>
          <w:rFonts w:hint="eastAsia"/>
        </w:rPr>
        <w:t>拟安装场地尺寸要求；</w:t>
      </w:r>
    </w:p>
    <w:p>
      <w:pPr>
        <w:pStyle w:val="176"/>
      </w:pPr>
      <w:r>
        <w:rPr>
          <w:rFonts w:hint="eastAsia"/>
        </w:rPr>
        <w:t>满足电梯井道、连廊的施工空间；</w:t>
      </w:r>
    </w:p>
    <w:p>
      <w:pPr>
        <w:pStyle w:val="176"/>
      </w:pPr>
      <w:r>
        <w:rPr>
          <w:rFonts w:hint="eastAsia"/>
        </w:rPr>
        <w:t>是否占用小区公共绿地、消防通道、人行通道。</w:t>
      </w:r>
    </w:p>
    <w:p>
      <w:pPr>
        <w:pStyle w:val="107"/>
        <w:spacing w:before="156" w:after="156"/>
      </w:pPr>
      <w:bookmarkStart w:id="85" w:name="_Toc229564707"/>
      <w:r>
        <w:rPr>
          <w:rFonts w:hint="eastAsia"/>
        </w:rPr>
        <w:t>环境及管线影响评估</w:t>
      </w:r>
      <w:bookmarkEnd w:id="85"/>
    </w:p>
    <w:p>
      <w:pPr>
        <w:pStyle w:val="167"/>
      </w:pPr>
      <w:r>
        <w:rPr>
          <w:rFonts w:hint="eastAsia"/>
        </w:rPr>
        <w:t>应对加装电梯的场地环境进行评估，包括建筑间距、日照、通风、采光、噪声、视线干扰等对相邻住户的影响。</w:t>
      </w:r>
    </w:p>
    <w:p>
      <w:pPr>
        <w:pStyle w:val="167"/>
      </w:pPr>
      <w:r>
        <w:rPr>
          <w:rFonts w:hint="eastAsia"/>
        </w:rPr>
        <w:t>加装电梯不应降低相邻住宅的原有日照标准。当无法避免时，应征得受影响住户的同意。</w:t>
      </w:r>
    </w:p>
    <w:p>
      <w:pPr>
        <w:pStyle w:val="167"/>
      </w:pPr>
      <w:r>
        <w:rPr>
          <w:rFonts w:hint="eastAsia"/>
        </w:rPr>
        <w:t>应调查加装电梯部位地下管线的分布情况（给水、排水、燃气、电力、通信等），评估管线迁移的可行性，并将管线现状调查结论作为设计依据。</w:t>
      </w:r>
    </w:p>
    <w:p>
      <w:pPr>
        <w:pStyle w:val="167"/>
      </w:pPr>
      <w:r>
        <w:rPr>
          <w:rFonts w:hint="eastAsia"/>
        </w:rPr>
        <w:t>应评估现状供电条件是否满足电梯用电需求，当容量不足时应提出增容方案。</w:t>
      </w:r>
    </w:p>
    <w:p>
      <w:pPr>
        <w:pStyle w:val="107"/>
        <w:spacing w:before="156" w:after="156"/>
      </w:pPr>
      <w:bookmarkStart w:id="86" w:name="_Toc229564708"/>
      <w:r>
        <w:rPr>
          <w:rFonts w:hint="eastAsia"/>
        </w:rPr>
        <w:t>评估结论与报告</w:t>
      </w:r>
      <w:bookmarkEnd w:id="86"/>
    </w:p>
    <w:p>
      <w:pPr>
        <w:pStyle w:val="167"/>
      </w:pPr>
      <w:r>
        <w:rPr>
          <w:rFonts w:hint="eastAsia"/>
        </w:rPr>
        <w:t>评估报告应明确加装电梯的可行性，并提出技术建议。可行性分为“具备条件”“经加固改造或专项设计后具备条件”“不具备条件”三类。评估报告应经评估人员、审批人员签字，并加盖评估机构公章。</w:t>
      </w:r>
    </w:p>
    <w:p>
      <w:pPr>
        <w:pStyle w:val="167"/>
      </w:pPr>
      <w:r>
        <w:rPr>
          <w:rFonts w:hint="eastAsia"/>
        </w:rPr>
        <w:t>评估报告应包括以下内容：</w:t>
      </w:r>
    </w:p>
    <w:p>
      <w:pPr>
        <w:pStyle w:val="176"/>
        <w:numPr>
          <w:ilvl w:val="0"/>
          <w:numId w:val="37"/>
        </w:numPr>
      </w:pPr>
      <w:r>
        <w:rPr>
          <w:rFonts w:hint="eastAsia"/>
        </w:rPr>
        <w:t>工程概况、评估依据、评估范围和内容；</w:t>
      </w:r>
    </w:p>
    <w:p>
      <w:pPr>
        <w:pStyle w:val="176"/>
      </w:pPr>
      <w:r>
        <w:rPr>
          <w:rFonts w:hint="eastAsia"/>
        </w:rPr>
        <w:t>现场调查与检测结果；</w:t>
      </w:r>
    </w:p>
    <w:p>
      <w:pPr>
        <w:pStyle w:val="176"/>
      </w:pPr>
      <w:r>
        <w:rPr>
          <w:rFonts w:hint="eastAsia"/>
        </w:rPr>
        <w:t>结构安全、消防安全、环境影响等专项评估结论；</w:t>
      </w:r>
    </w:p>
    <w:p>
      <w:pPr>
        <w:pStyle w:val="176"/>
      </w:pPr>
      <w:r>
        <w:rPr>
          <w:rFonts w:hint="eastAsia"/>
        </w:rPr>
        <w:t>存在的问题及处理建议；</w:t>
      </w:r>
    </w:p>
    <w:p>
      <w:pPr>
        <w:pStyle w:val="176"/>
      </w:pPr>
      <w:r>
        <w:rPr>
          <w:rFonts w:hint="eastAsia"/>
        </w:rPr>
        <w:t>相关附图（总平面示意、管线分布、结构检测点位等）。</w:t>
      </w:r>
    </w:p>
    <w:p>
      <w:pPr>
        <w:pStyle w:val="167"/>
      </w:pPr>
      <w:r>
        <w:rPr>
          <w:rFonts w:hint="eastAsia"/>
        </w:rPr>
        <w:t>评估机构应建立制度对电梯安全评估质量实施控制，并对安全评估结果的真实性、公正性负责，并及时将评估结果告知委托方等相关方。</w:t>
      </w:r>
    </w:p>
    <w:p>
      <w:pPr>
        <w:pStyle w:val="106"/>
        <w:spacing w:before="312" w:after="312"/>
      </w:pPr>
      <w:bookmarkStart w:id="87" w:name="_Toc229559703"/>
      <w:bookmarkStart w:id="88" w:name="_Toc229564750"/>
      <w:bookmarkStart w:id="89" w:name="_Toc229564709"/>
      <w:r>
        <w:rPr>
          <w:rFonts w:hint="eastAsia"/>
        </w:rPr>
        <w:t>设计</w:t>
      </w:r>
      <w:bookmarkEnd w:id="79"/>
      <w:bookmarkEnd w:id="80"/>
      <w:bookmarkEnd w:id="87"/>
      <w:bookmarkEnd w:id="88"/>
      <w:bookmarkEnd w:id="89"/>
    </w:p>
    <w:p>
      <w:pPr>
        <w:pStyle w:val="107"/>
        <w:spacing w:before="156" w:after="156"/>
      </w:pPr>
      <w:bookmarkStart w:id="90" w:name="_Toc229564710"/>
      <w:bookmarkStart w:id="91" w:name="_Toc177236229"/>
      <w:r>
        <w:rPr>
          <w:rFonts w:hint="eastAsia"/>
        </w:rPr>
        <w:t>一般规定</w:t>
      </w:r>
      <w:bookmarkEnd w:id="90"/>
      <w:bookmarkEnd w:id="91"/>
    </w:p>
    <w:p>
      <w:pPr>
        <w:pStyle w:val="167"/>
      </w:pPr>
      <w:r>
        <w:rPr>
          <w:rFonts w:hint="eastAsia"/>
        </w:rPr>
        <w:t>既有住宅加装电梯的设计应分为方案设计和施工图设计两个阶段。设计工作应在可行性评估结论的基础上开展。</w:t>
      </w:r>
    </w:p>
    <w:p>
      <w:pPr>
        <w:pStyle w:val="167"/>
      </w:pPr>
      <w:r>
        <w:rPr>
          <w:rFonts w:hint="eastAsia"/>
        </w:rPr>
        <w:t>方案设计应综合协调建筑、结构、消防、机电、环境等多专业要求，优先选择对原建筑干扰小、对住户生活影响小的方案。应综合考虑加装电梯的总体布局、入户方式（平层入户或半层入户）、结构选型、消防疏散、管线迁改等。</w:t>
      </w:r>
    </w:p>
    <w:p>
      <w:pPr>
        <w:pStyle w:val="167"/>
      </w:pPr>
      <w:r>
        <w:rPr>
          <w:rFonts w:hint="eastAsia"/>
        </w:rPr>
        <w:t>施工图设计应落实方案设计确定的关键指标与技术措施，内容应完整、准确，满足施工需要。</w:t>
      </w:r>
    </w:p>
    <w:p>
      <w:pPr>
        <w:pStyle w:val="167"/>
      </w:pPr>
      <w:r>
        <w:rPr>
          <w:rFonts w:hint="eastAsia"/>
        </w:rPr>
        <w:t>设计应充分考虑施工的可行性，对涉及原有结构的改造、连接等关键部位应进行专项设计。施工过程中，设计单位应提供现场配合服务，根据实际情况对设计文件进行必要的修改和完善。</w:t>
      </w:r>
    </w:p>
    <w:p>
      <w:pPr>
        <w:pStyle w:val="167"/>
      </w:pPr>
      <w:r>
        <w:rPr>
          <w:rFonts w:hint="eastAsia"/>
        </w:rPr>
        <w:t>设计应贯彻无障碍与适老化理念，宜优先选用无障碍电梯。</w:t>
      </w:r>
    </w:p>
    <w:p>
      <w:pPr>
        <w:pStyle w:val="107"/>
        <w:spacing w:before="156" w:after="156"/>
      </w:pPr>
      <w:bookmarkStart w:id="92" w:name="_Toc229564711"/>
      <w:r>
        <w:rPr>
          <w:rFonts w:hint="eastAsia"/>
        </w:rPr>
        <w:t>总平面</w:t>
      </w:r>
      <w:bookmarkEnd w:id="92"/>
    </w:p>
    <w:p>
      <w:pPr>
        <w:pStyle w:val="167"/>
      </w:pPr>
      <w:r>
        <w:rPr>
          <w:rFonts w:hint="eastAsia"/>
        </w:rPr>
        <w:t>加装电梯不应超出该既有住宅项目用地红线。电梯井道宜贴近原有住宅楼梯间布置，以缩短连廊长度，节约用地，并减少对小区空间的影响。</w:t>
      </w:r>
    </w:p>
    <w:p>
      <w:pPr>
        <w:pStyle w:val="167"/>
      </w:pPr>
      <w:r>
        <w:rPr>
          <w:rFonts w:hint="eastAsia"/>
        </w:rPr>
        <w:t xml:space="preserve">加装电梯不得占用、压缩小区内原有的消防车道、消防车登高操作场地，并应满足GB 50016 </w:t>
      </w:r>
      <w:r>
        <w:t>GB 55037</w:t>
      </w:r>
      <w:r>
        <w:rPr>
          <w:rFonts w:hint="eastAsia"/>
        </w:rPr>
        <w:t>要求。</w:t>
      </w:r>
    </w:p>
    <w:p>
      <w:pPr>
        <w:pStyle w:val="167"/>
      </w:pPr>
      <w:r>
        <w:rPr>
          <w:rFonts w:hint="eastAsia"/>
        </w:rPr>
        <w:t>总平面设计应综合考虑场地条件，对加装电梯可能给周边住宅带来的日照、采光、通风、视线隐私及噪声等影响进行专业评估，并应在设计中采取合理、有效的技术措施，最大限度减少不利影响。</w:t>
      </w:r>
    </w:p>
    <w:p>
      <w:pPr>
        <w:pStyle w:val="167"/>
      </w:pPr>
      <w:r>
        <w:rPr>
          <w:rFonts w:hint="eastAsia"/>
        </w:rPr>
        <w:t>应详细探查拟加装电梯场地内及周边的地下管线（给水、排水、燃气、电力、通信等）分布。设计应提出合理的管线避让、保护或迁移方案，不得在未采取可靠措施的情况下，在管线正上方进行基坑开挖或打桩作业。</w:t>
      </w:r>
    </w:p>
    <w:p>
      <w:pPr>
        <w:pStyle w:val="167"/>
      </w:pPr>
      <w:r>
        <w:rPr>
          <w:rFonts w:hint="eastAsia"/>
        </w:rPr>
        <w:t>应合理组织加装电梯后的交通流线，确保单元（首层候梯厅）出入口与小区道路连接顺畅、安全，满足无障碍通行要求，并避免对现有停车、绿化等活动造成过大干扰。</w:t>
      </w:r>
    </w:p>
    <w:p>
      <w:pPr>
        <w:pStyle w:val="107"/>
        <w:spacing w:before="156" w:after="156"/>
      </w:pPr>
      <w:bookmarkStart w:id="93" w:name="_Toc229564712"/>
      <w:r>
        <w:rPr>
          <w:rFonts w:hint="eastAsia"/>
        </w:rPr>
        <w:t>建筑设计</w:t>
      </w:r>
      <w:bookmarkEnd w:id="93"/>
    </w:p>
    <w:p>
      <w:pPr>
        <w:pStyle w:val="167"/>
        <w:rPr>
          <w:szCs w:val="21"/>
        </w:rPr>
      </w:pPr>
      <w:r>
        <w:rPr>
          <w:rFonts w:hint="eastAsia" w:ascii="STSong-Light" w:hAnsi="STSong-Light"/>
          <w:szCs w:val="21"/>
        </w:rPr>
        <w:t>加装电梯与既有住宅的连接可选择公共楼梯间、外窗、阳台等部位；电梯入户方式可视具体条件采用平层入户或半层入户，优先选择平层入户方式。</w:t>
      </w:r>
    </w:p>
    <w:p>
      <w:pPr>
        <w:pStyle w:val="167"/>
        <w:rPr>
          <w:rFonts w:hint="eastAsia" w:ascii="STSong-Light" w:hAnsi="STSong-Light"/>
          <w:szCs w:val="21"/>
        </w:rPr>
      </w:pPr>
      <w:r>
        <w:rPr>
          <w:rFonts w:hint="eastAsia" w:ascii="STSong-Light" w:hAnsi="STSong-Light"/>
          <w:szCs w:val="21"/>
        </w:rPr>
        <w:t>既有住宅加装电梯应采取防止视线干扰的措施，并应考虑与相邻住户的防盗安全性、居室私密性和对已有住宅走道的使用影响。</w:t>
      </w:r>
    </w:p>
    <w:p>
      <w:pPr>
        <w:pStyle w:val="167"/>
        <w:rPr>
          <w:rFonts w:hint="eastAsia" w:ascii="STSong-Light" w:hAnsi="STSong-Light"/>
          <w:szCs w:val="21"/>
        </w:rPr>
      </w:pPr>
      <w:r>
        <w:rPr>
          <w:rFonts w:hint="eastAsia" w:ascii="STSong-Light" w:hAnsi="STSong-Light"/>
          <w:szCs w:val="21"/>
        </w:rPr>
        <w:t>加装电梯不应紧邻卧室布置。当受条件限制，电梯不得不紧邻兼起居的卧室布置时，应采取隔声、减振的构造措施。</w:t>
      </w:r>
    </w:p>
    <w:p>
      <w:pPr>
        <w:pStyle w:val="167"/>
        <w:rPr>
          <w:rFonts w:hint="eastAsia" w:ascii="STSong-Light" w:hAnsi="STSong-Light"/>
          <w:szCs w:val="21"/>
        </w:rPr>
      </w:pPr>
      <w:r>
        <w:rPr>
          <w:rFonts w:hint="eastAsia" w:ascii="STSong-Light" w:hAnsi="STSong-Light"/>
          <w:szCs w:val="21"/>
        </w:rPr>
        <w:t>加装电梯与原有公共楼梯间不连通时，应设置电梯紧急救援通道。</w:t>
      </w:r>
    </w:p>
    <w:p>
      <w:pPr>
        <w:pStyle w:val="167"/>
        <w:rPr>
          <w:szCs w:val="21"/>
        </w:rPr>
      </w:pPr>
      <w:r>
        <w:rPr>
          <w:rFonts w:hint="eastAsia" w:ascii="STSong-Light" w:hAnsi="STSong-Light"/>
          <w:szCs w:val="21"/>
        </w:rPr>
        <w:t>既有住宅加装电梯宜选用</w:t>
      </w:r>
      <w:bookmarkStart w:id="94" w:name="OLE_LINK14"/>
      <w:bookmarkStart w:id="95" w:name="OLE_LINK16"/>
      <w:r>
        <w:rPr>
          <w:rFonts w:hint="eastAsia" w:ascii="STSong-Light" w:hAnsi="STSong-Light"/>
          <w:szCs w:val="21"/>
        </w:rPr>
        <w:t>装配式一体化电梯</w:t>
      </w:r>
      <w:bookmarkEnd w:id="94"/>
      <w:bookmarkEnd w:id="95"/>
      <w:r>
        <w:rPr>
          <w:rFonts w:hint="eastAsia" w:ascii="STSong-Light" w:hAnsi="STSong-Light"/>
          <w:szCs w:val="21"/>
        </w:rPr>
        <w:t>。</w:t>
      </w:r>
    </w:p>
    <w:p>
      <w:pPr>
        <w:pStyle w:val="167"/>
        <w:rPr>
          <w:rFonts w:hAnsi="宋体"/>
          <w:szCs w:val="21"/>
        </w:rPr>
      </w:pPr>
      <w:r>
        <w:rPr>
          <w:rFonts w:hint="eastAsia" w:ascii="STSong-Light" w:hAnsi="STSong-Light"/>
          <w:szCs w:val="21"/>
        </w:rPr>
        <w:t>加装电梯新增的门窗、连廊、阳台等部位，其安全防护、防水、保温隔热等性能应</w:t>
      </w:r>
      <w:r>
        <w:rPr>
          <w:rFonts w:hint="eastAsia" w:hAnsi="宋体"/>
          <w:szCs w:val="21"/>
        </w:rPr>
        <w:t>符合</w:t>
      </w:r>
      <w:r>
        <w:rPr>
          <w:rFonts w:hAnsi="宋体"/>
          <w:szCs w:val="21"/>
        </w:rPr>
        <w:t>GB 50096</w:t>
      </w:r>
      <w:r>
        <w:rPr>
          <w:rFonts w:hint="eastAsia" w:hAnsi="宋体"/>
          <w:szCs w:val="21"/>
        </w:rPr>
        <w:t>的规定。</w:t>
      </w:r>
    </w:p>
    <w:p>
      <w:pPr>
        <w:pStyle w:val="167"/>
        <w:rPr>
          <w:rFonts w:hint="eastAsia" w:ascii="STSong-Light" w:hAnsi="STSong-Light"/>
          <w:szCs w:val="21"/>
        </w:rPr>
      </w:pPr>
      <w:r>
        <w:rPr>
          <w:rFonts w:hint="eastAsia" w:ascii="STSong-Light" w:hAnsi="STSong-Light"/>
          <w:szCs w:val="21"/>
        </w:rPr>
        <w:t>电梯井道顶部及附属连廊等排水应为有组织排水，电梯井道底坑应做防水处理。电梯井道首层与地面交接处应做防水处理。电梯首层入口应采取严密的挡水措施。</w:t>
      </w:r>
    </w:p>
    <w:p>
      <w:pPr>
        <w:pStyle w:val="167"/>
        <w:rPr>
          <w:rFonts w:hint="eastAsia" w:ascii="STSong-Light" w:hAnsi="STSong-Light"/>
          <w:szCs w:val="21"/>
        </w:rPr>
      </w:pPr>
      <w:r>
        <w:rPr>
          <w:rFonts w:hint="eastAsia" w:ascii="STSong-Light" w:hAnsi="STSong-Light"/>
          <w:szCs w:val="21"/>
        </w:rPr>
        <w:t>电梯和主体结构之间设的变形缝必须做好防水处理。</w:t>
      </w:r>
    </w:p>
    <w:p>
      <w:pPr>
        <w:pStyle w:val="167"/>
        <w:rPr>
          <w:rFonts w:hint="eastAsia" w:ascii="STSong-Light" w:hAnsi="STSong-Light"/>
          <w:szCs w:val="21"/>
        </w:rPr>
      </w:pPr>
      <w:r>
        <w:rPr>
          <w:rFonts w:hint="eastAsia" w:ascii="STSong-Light" w:hAnsi="STSong-Light"/>
          <w:szCs w:val="21"/>
        </w:rPr>
        <w:t>加装电梯新增结构的基础不宜破坏既有住宅地下室防水层；当地下室防水层受到破坏时，应进行修补。</w:t>
      </w:r>
    </w:p>
    <w:p>
      <w:pPr>
        <w:pStyle w:val="167"/>
        <w:rPr>
          <w:rFonts w:hint="eastAsia" w:ascii="STSong-Light" w:hAnsi="STSong-Light"/>
          <w:szCs w:val="21"/>
        </w:rPr>
      </w:pPr>
      <w:r>
        <w:rPr>
          <w:rFonts w:hint="eastAsia" w:ascii="STSong-Light" w:hAnsi="STSong-Light"/>
          <w:szCs w:val="21"/>
        </w:rPr>
        <w:t>既有住宅加装电梯时单元（首层候梯厅）出入口基本要求：</w:t>
      </w:r>
    </w:p>
    <w:p>
      <w:pPr>
        <w:pStyle w:val="176"/>
        <w:numPr>
          <w:ilvl w:val="0"/>
          <w:numId w:val="38"/>
        </w:numPr>
      </w:pPr>
      <w:r>
        <w:rPr>
          <w:rFonts w:hint="eastAsia"/>
        </w:rPr>
        <w:t>加装电梯后单元入口部位交通流线应简洁顺畅，利于人员疏散；</w:t>
      </w:r>
    </w:p>
    <w:p>
      <w:pPr>
        <w:pStyle w:val="176"/>
        <w:rPr>
          <w:rFonts w:hint="eastAsia" w:ascii="STSong-Light" w:hAnsi="STSong-Light"/>
          <w:szCs w:val="21"/>
        </w:rPr>
      </w:pPr>
      <w:r>
        <w:rPr>
          <w:rFonts w:hint="eastAsia" w:ascii="STSong-Light" w:hAnsi="STSong-Light"/>
          <w:szCs w:val="21"/>
        </w:rPr>
        <w:t>单元（首层候梯厅）出入口不宜紧邻车行道设置，若因条件限制需紧邻行车道设置，应设防护栏等安全防护措施，并宜在行车道设置警示标识和减速带</w:t>
      </w:r>
      <w:r>
        <w:rPr>
          <w:rFonts w:hint="eastAsia"/>
        </w:rPr>
        <w:t>；</w:t>
      </w:r>
    </w:p>
    <w:p>
      <w:pPr>
        <w:pStyle w:val="176"/>
        <w:rPr>
          <w:rFonts w:hint="eastAsia" w:ascii="STSong-Light" w:hAnsi="STSong-Light"/>
          <w:szCs w:val="21"/>
        </w:rPr>
      </w:pPr>
      <w:r>
        <w:rPr>
          <w:rFonts w:hint="eastAsia"/>
        </w:rPr>
        <w:t>位于阳台、外廊及开敞楼梯平台下部的单元（首层候梯厅）出入口，应采取防物体高空坠落伤人的安全措施；</w:t>
      </w:r>
    </w:p>
    <w:p>
      <w:pPr>
        <w:pStyle w:val="176"/>
      </w:pPr>
      <w:r>
        <w:rPr>
          <w:rFonts w:hint="eastAsia" w:ascii="STSong-Light" w:hAnsi="STSong-Light"/>
          <w:szCs w:val="21"/>
        </w:rPr>
        <w:t>既有住</w:t>
      </w:r>
      <w:r>
        <w:rPr>
          <w:rFonts w:hint="eastAsia"/>
        </w:rPr>
        <w:t>宅加装电梯新增的单元入口疏散通道和疏散外门开启后净宽度不应小于</w:t>
      </w:r>
      <w:r>
        <w:t>1.10 m</w:t>
      </w:r>
      <w:r>
        <w:rPr>
          <w:rFonts w:hint="eastAsia"/>
        </w:rPr>
        <w:t>。</w:t>
      </w:r>
    </w:p>
    <w:p>
      <w:pPr>
        <w:pStyle w:val="167"/>
      </w:pPr>
      <w:r>
        <w:rPr>
          <w:rFonts w:hint="eastAsia"/>
        </w:rPr>
        <w:t>既有住宅加装电梯的候梯厅（区）进深不应小于1.5m，且不小于电梯轿厢深度。当采用可容纳担架电梯时，候梯厅(区)深度不应小于1.8</w:t>
      </w:r>
      <w:r>
        <w:t xml:space="preserve"> </w:t>
      </w:r>
      <w:r>
        <w:rPr>
          <w:rFonts w:hint="eastAsia"/>
        </w:rPr>
        <w:t>m。</w:t>
      </w:r>
    </w:p>
    <w:p>
      <w:pPr>
        <w:pStyle w:val="167"/>
      </w:pPr>
      <w:r>
        <w:rPr>
          <w:rFonts w:hint="eastAsia"/>
        </w:rPr>
        <w:t>既有住宅加装电梯选择平层入户</w:t>
      </w:r>
      <w:r>
        <w:rPr>
          <w:rFonts w:hint="eastAsia" w:ascii="STSong-Light" w:hAnsi="STSong-Light"/>
          <w:szCs w:val="21"/>
        </w:rPr>
        <w:t>方式</w:t>
      </w:r>
      <w:r>
        <w:rPr>
          <w:rFonts w:hint="eastAsia"/>
        </w:rPr>
        <w:t>时，其入户连廊宜按以下要求设置：</w:t>
      </w:r>
    </w:p>
    <w:p>
      <w:pPr>
        <w:pStyle w:val="176"/>
        <w:numPr>
          <w:ilvl w:val="0"/>
          <w:numId w:val="39"/>
        </w:numPr>
      </w:pPr>
      <w:bookmarkStart w:id="96" w:name="OLE_LINK18"/>
      <w:bookmarkStart w:id="97" w:name="OLE_LINK17"/>
      <w:r>
        <w:rPr>
          <w:rFonts w:hint="eastAsia"/>
        </w:rPr>
        <w:t>利用现有阳台入户时，阳台宽度不宜小于1.2</w:t>
      </w:r>
      <w:r>
        <w:t xml:space="preserve"> </w:t>
      </w:r>
      <w:r>
        <w:rPr>
          <w:rFonts w:hint="eastAsia"/>
        </w:rPr>
        <w:t>m；</w:t>
      </w:r>
    </w:p>
    <w:p>
      <w:pPr>
        <w:pStyle w:val="176"/>
      </w:pPr>
      <w:r>
        <w:rPr>
          <w:rFonts w:hint="eastAsia"/>
        </w:rPr>
        <w:t>新增连廊入户时，连廊的宽度应满足最小通行宽度，宜尽量减小加装电梯新增面积的总量；</w:t>
      </w:r>
    </w:p>
    <w:p>
      <w:pPr>
        <w:pStyle w:val="176"/>
      </w:pPr>
      <w:r>
        <w:rPr>
          <w:rFonts w:hint="eastAsia"/>
        </w:rPr>
        <w:t>新增连廊入户时，应选择最近的适宜入户房间进入室内。</w:t>
      </w:r>
    </w:p>
    <w:bookmarkEnd w:id="96"/>
    <w:bookmarkEnd w:id="97"/>
    <w:p>
      <w:pPr>
        <w:pStyle w:val="167"/>
      </w:pPr>
      <w:r>
        <w:rPr>
          <w:rFonts w:hint="eastAsia"/>
        </w:rPr>
        <w:t>电梯井道的外围护结构宜具有良好的保温隔热性能，应采取有效防水措施</w:t>
      </w:r>
      <w:r>
        <w:rPr>
          <w:rFonts w:hint="eastAsia" w:hAnsi="宋体"/>
        </w:rPr>
        <w:t>，屋面应采取有组织排水。电梯井道当玻璃幕墙围护结构时，应采用可见光反射比不大于0.3的安全玻璃，同时应符合</w:t>
      </w:r>
      <w:r>
        <w:rPr>
          <w:rFonts w:hAnsi="宋体"/>
        </w:rPr>
        <w:t>JGJ</w:t>
      </w:r>
      <w:r>
        <w:rPr>
          <w:rFonts w:hint="eastAsia" w:hAnsi="宋体"/>
        </w:rPr>
        <w:t xml:space="preserve"> 113的规定。</w:t>
      </w:r>
    </w:p>
    <w:p>
      <w:pPr>
        <w:pStyle w:val="167"/>
      </w:pPr>
      <w:r>
        <w:rPr>
          <w:rFonts w:hint="eastAsia"/>
        </w:rPr>
        <w:t>既有住宅加装电梯的外立面应与既有住宅及小区环境协调，保持立面的完整性。平层入户新增入户连廊部分对应的首层空间应采取与上部楼层协调一致的立面处理方法进行处理。同一小区内加装电梯外立面建筑处理方法应一致，同一栋楼各单元的加装电梯形式宜一致。历史风貌保护区既有住宅加装电梯项目，加装部分的外立面应与风貌区相协调，并应征询相关部门的意见。</w:t>
      </w:r>
    </w:p>
    <w:p>
      <w:pPr>
        <w:pStyle w:val="167"/>
      </w:pPr>
      <w:r>
        <w:rPr>
          <w:rFonts w:hint="eastAsia"/>
        </w:rPr>
        <w:t>既有住宅加装电梯宜接入电梯物联网安全系统或预留接入智慧社区条件。</w:t>
      </w:r>
    </w:p>
    <w:p>
      <w:pPr>
        <w:pStyle w:val="107"/>
        <w:spacing w:before="156" w:after="156"/>
      </w:pPr>
      <w:bookmarkStart w:id="98" w:name="_Toc229564713"/>
      <w:r>
        <w:rPr>
          <w:rFonts w:hint="eastAsia"/>
        </w:rPr>
        <w:t>消防设计</w:t>
      </w:r>
      <w:bookmarkEnd w:id="98"/>
    </w:p>
    <w:p>
      <w:pPr>
        <w:pStyle w:val="167"/>
      </w:pPr>
      <w:r>
        <w:rPr>
          <w:rFonts w:hint="eastAsia"/>
        </w:rPr>
        <w:t>既有住宅加装电梯后，增设电梯及相关部分的建筑耐火等级不应低于原建筑耐火等级。</w:t>
      </w:r>
    </w:p>
    <w:p>
      <w:pPr>
        <w:pStyle w:val="167"/>
      </w:pPr>
      <w:r>
        <w:rPr>
          <w:rFonts w:hint="eastAsia"/>
        </w:rPr>
        <w:t>既有住宅加装电梯不应降低消防车原有通行条件。加装电梯的井道、电梯厅及连廊、平台等新建部分，与周边建筑之间的防火间距应符合</w:t>
      </w:r>
      <w:r>
        <w:t xml:space="preserve">GB </w:t>
      </w:r>
      <w:r>
        <w:rPr>
          <w:rFonts w:hint="eastAsia"/>
        </w:rPr>
        <w:t>50016的相关规定。</w:t>
      </w:r>
    </w:p>
    <w:p>
      <w:pPr>
        <w:pStyle w:val="167"/>
      </w:pPr>
      <w:r>
        <w:rPr>
          <w:rFonts w:hint="eastAsia"/>
        </w:rPr>
        <w:t>增设电梯后，疏散楼梯间或电梯厅的开口与建筑外墙上的其他相邻开口最近边缘之间的水平距离不应小于1.0</w:t>
      </w:r>
      <w:r>
        <w:t xml:space="preserve"> </w:t>
      </w:r>
      <w:r>
        <w:rPr>
          <w:rFonts w:hint="eastAsia"/>
        </w:rPr>
        <w:t>m。当距离不符合要求时，应采取防止火灾蔓延的措施。</w:t>
      </w:r>
    </w:p>
    <w:p>
      <w:pPr>
        <w:pStyle w:val="167"/>
      </w:pPr>
      <w:r>
        <w:rPr>
          <w:rFonts w:hint="eastAsia"/>
        </w:rPr>
        <w:t>增设的实体墙、楼板的耐火极限和燃烧性能，均不应低于相应耐火等级建筑外墙的要求，并与其附属的建筑相同。增设电梯室内各部位装修材料应符合GB</w:t>
      </w:r>
      <w:r>
        <w:t xml:space="preserve"> </w:t>
      </w:r>
      <w:r>
        <w:rPr>
          <w:rFonts w:hint="eastAsia"/>
        </w:rPr>
        <w:t>50222、GB</w:t>
      </w:r>
      <w:r>
        <w:t xml:space="preserve"> </w:t>
      </w:r>
      <w:r>
        <w:rPr>
          <w:rFonts w:hint="eastAsia"/>
        </w:rPr>
        <w:t>50325的相关规定。增设电梯井道外墙及各部位构件的燃烧性能应符合GB</w:t>
      </w:r>
      <w:r>
        <w:t xml:space="preserve"> </w:t>
      </w:r>
      <w:r>
        <w:rPr>
          <w:rFonts w:hint="eastAsia"/>
        </w:rPr>
        <w:t>50016、GB</w:t>
      </w:r>
      <w:r>
        <w:t xml:space="preserve"> </w:t>
      </w:r>
      <w:r>
        <w:rPr>
          <w:rFonts w:hint="eastAsia"/>
        </w:rPr>
        <w:t>50222和GB</w:t>
      </w:r>
      <w:r>
        <w:t xml:space="preserve"> </w:t>
      </w:r>
      <w:r>
        <w:rPr>
          <w:rFonts w:hint="eastAsia"/>
        </w:rPr>
        <w:t>55037的相关规定。</w:t>
      </w:r>
    </w:p>
    <w:p>
      <w:pPr>
        <w:pStyle w:val="167"/>
      </w:pPr>
      <w:bookmarkStart w:id="99" w:name="OLE_LINK7"/>
      <w:bookmarkStart w:id="100" w:name="OLE_LINK8"/>
      <w:r>
        <w:rPr>
          <w:rFonts w:hint="eastAsia"/>
        </w:rPr>
        <w:t>加装电梯与公共楼梯间外墙连接时，应符合GB</w:t>
      </w:r>
      <w:r>
        <w:t xml:space="preserve"> </w:t>
      </w:r>
      <w:r>
        <w:rPr>
          <w:rFonts w:hint="eastAsia"/>
        </w:rPr>
        <w:t>51251的规定；当条件受限时，不应降低原楼梯间的防烟排烟要求</w:t>
      </w:r>
      <w:bookmarkEnd w:id="99"/>
      <w:bookmarkEnd w:id="100"/>
      <w:r>
        <w:rPr>
          <w:rFonts w:hint="eastAsia"/>
        </w:rPr>
        <w:t>。</w:t>
      </w:r>
    </w:p>
    <w:p>
      <w:pPr>
        <w:pStyle w:val="167"/>
      </w:pPr>
      <w:r>
        <w:rPr>
          <w:rFonts w:hint="eastAsia"/>
        </w:rPr>
        <w:t>电梯井应独立设置，井内严禁敷设可燃气体和甲、乙、丙类液体管道，不应敷设与电梯无关的电缆、电线等。电梯井的井壁除设置电梯门、安全逃生门和通气孔洞外、不应设置其他开口。</w:t>
      </w:r>
    </w:p>
    <w:p>
      <w:pPr>
        <w:pStyle w:val="167"/>
      </w:pPr>
      <w:r>
        <w:rPr>
          <w:rFonts w:hint="eastAsia"/>
        </w:rPr>
        <w:t>电梯层门的耐火极限不应低于1</w:t>
      </w:r>
      <w:r>
        <w:t xml:space="preserve"> </w:t>
      </w:r>
      <w:r>
        <w:rPr>
          <w:rFonts w:hint="eastAsia"/>
        </w:rPr>
        <w:t>h，并应符合GB/T 27903中完整性和隔热性的规定。</w:t>
      </w:r>
    </w:p>
    <w:p>
      <w:pPr>
        <w:pStyle w:val="167"/>
      </w:pPr>
      <w:r>
        <w:rPr>
          <w:rFonts w:hint="eastAsia"/>
        </w:rPr>
        <w:t>变形缝内的填充材料和变形缝的构造基层应采用不燃材料。</w:t>
      </w:r>
    </w:p>
    <w:p>
      <w:pPr>
        <w:pStyle w:val="167"/>
      </w:pPr>
      <w:r>
        <w:rPr>
          <w:rFonts w:hint="eastAsia"/>
        </w:rPr>
        <w:t>电梯轿厢内部装修应采用不燃材料。</w:t>
      </w:r>
    </w:p>
    <w:p>
      <w:pPr>
        <w:pStyle w:val="107"/>
        <w:spacing w:before="156" w:after="156"/>
      </w:pPr>
      <w:bookmarkStart w:id="101" w:name="_Toc229564714"/>
      <w:r>
        <w:rPr>
          <w:rFonts w:hint="eastAsia"/>
        </w:rPr>
        <w:t>电梯参数设计</w:t>
      </w:r>
      <w:bookmarkEnd w:id="101"/>
    </w:p>
    <w:p>
      <w:pPr>
        <w:pStyle w:val="167"/>
      </w:pPr>
      <w:r>
        <w:rPr>
          <w:rFonts w:hint="eastAsia"/>
        </w:rPr>
        <w:t>电梯井道及轿厢尺寸应符合GB</w:t>
      </w:r>
      <w:r>
        <w:t xml:space="preserve">/T </w:t>
      </w:r>
      <w:r>
        <w:rPr>
          <w:rFonts w:hint="eastAsia"/>
        </w:rPr>
        <w:t>7025.1中第Ⅰ类电梯的要求，并应符合</w:t>
      </w:r>
      <w:r>
        <w:t>GB/T 7588.1</w:t>
      </w:r>
      <w:r>
        <w:rPr>
          <w:rFonts w:hint="eastAsia"/>
        </w:rPr>
        <w:t>、GB 55037、GB</w:t>
      </w:r>
      <w:r>
        <w:t xml:space="preserve"> </w:t>
      </w:r>
      <w:r>
        <w:rPr>
          <w:rFonts w:hint="eastAsia"/>
        </w:rPr>
        <w:t>50016、GB</w:t>
      </w:r>
      <w:r>
        <w:t xml:space="preserve"> </w:t>
      </w:r>
      <w:r>
        <w:rPr>
          <w:rFonts w:hint="eastAsia"/>
        </w:rPr>
        <w:t>50368、GB</w:t>
      </w:r>
      <w:r>
        <w:t xml:space="preserve"> </w:t>
      </w:r>
      <w:r>
        <w:rPr>
          <w:rFonts w:hint="eastAsia"/>
        </w:rPr>
        <w:t>55038的相关规定。</w:t>
      </w:r>
    </w:p>
    <w:p>
      <w:pPr>
        <w:pStyle w:val="167"/>
      </w:pPr>
      <w:r>
        <w:rPr>
          <w:rFonts w:hint="eastAsia"/>
        </w:rPr>
        <w:t>电梯的额定速度不宜大于1</w:t>
      </w:r>
      <w:r>
        <w:t xml:space="preserve"> </w:t>
      </w:r>
      <w:r>
        <w:rPr>
          <w:rFonts w:hint="eastAsia"/>
        </w:rPr>
        <w:t>m/s。</w:t>
      </w:r>
    </w:p>
    <w:p>
      <w:pPr>
        <w:pStyle w:val="167"/>
      </w:pPr>
      <w:r>
        <w:rPr>
          <w:rFonts w:hint="eastAsia"/>
        </w:rPr>
        <w:t>电梯的额定载重量不宜小于</w:t>
      </w:r>
      <w:r>
        <w:t xml:space="preserve">630 </w:t>
      </w:r>
      <w:r>
        <w:rPr>
          <w:rFonts w:hint="eastAsia"/>
        </w:rPr>
        <w:t>kg</w:t>
      </w:r>
      <w:r>
        <w:rPr>
          <w:rFonts w:hint="eastAsia" w:ascii="Helvetica" w:hAnsi="Helvetica" w:cs="Helvetica"/>
          <w:szCs w:val="21"/>
          <w:shd w:val="clear" w:color="auto" w:fill="FFFFFF"/>
        </w:rPr>
        <w:t>。</w:t>
      </w:r>
    </w:p>
    <w:p>
      <w:pPr>
        <w:pStyle w:val="167"/>
      </w:pPr>
      <w:r>
        <w:rPr>
          <w:rFonts w:hint="eastAsia"/>
        </w:rPr>
        <w:t>电梯的轿厢净尺寸不宜小于1</w:t>
      </w:r>
      <w:r>
        <w:t xml:space="preserve">.1 </w:t>
      </w:r>
      <w:r>
        <w:rPr>
          <w:rFonts w:hint="eastAsia"/>
        </w:rPr>
        <w:t>m×1</w:t>
      </w:r>
      <w:r>
        <w:t xml:space="preserve">.4 </w:t>
      </w:r>
      <w:r>
        <w:rPr>
          <w:rFonts w:hint="eastAsia"/>
        </w:rPr>
        <w:t>m，电梯层门、轿厢门、轿厢内净高不应小于2</w:t>
      </w:r>
      <w:r>
        <w:t xml:space="preserve"> </w:t>
      </w:r>
      <w:r>
        <w:rPr>
          <w:rFonts w:hint="eastAsia"/>
        </w:rPr>
        <w:t>m，层门和轿厢门净宽不应小于0</w:t>
      </w:r>
      <w:r>
        <w:t xml:space="preserve">.8 </w:t>
      </w:r>
      <w:r>
        <w:rPr>
          <w:rFonts w:hint="eastAsia"/>
        </w:rPr>
        <w:t>m。</w:t>
      </w:r>
    </w:p>
    <w:p>
      <w:pPr>
        <w:pStyle w:val="167"/>
      </w:pPr>
      <w:r>
        <w:rPr>
          <w:rFonts w:hint="eastAsia"/>
        </w:rPr>
        <w:t>电梯门保护装置应满足下列规定：</w:t>
      </w:r>
    </w:p>
    <w:p>
      <w:pPr>
        <w:pStyle w:val="176"/>
        <w:numPr>
          <w:ilvl w:val="0"/>
          <w:numId w:val="40"/>
        </w:numPr>
      </w:pPr>
      <w:r>
        <w:rPr>
          <w:rFonts w:hint="eastAsia"/>
        </w:rPr>
        <w:t>电梯门应采用缓慢关闭程序设定或加装感应装置；</w:t>
      </w:r>
    </w:p>
    <w:p>
      <w:pPr>
        <w:pStyle w:val="176"/>
      </w:pPr>
      <w:r>
        <w:rPr>
          <w:rFonts w:hint="eastAsia"/>
        </w:rPr>
        <w:t>采用非接触式防止门夹人的保护装置。</w:t>
      </w:r>
    </w:p>
    <w:p>
      <w:pPr>
        <w:pStyle w:val="167"/>
        <w:rPr>
          <w:u w:val="single"/>
        </w:rPr>
      </w:pPr>
      <w:r>
        <w:rPr>
          <w:rFonts w:hint="eastAsia"/>
        </w:rPr>
        <w:t>电梯井道，轿厢均应采取有效的通风降温措施。</w:t>
      </w:r>
    </w:p>
    <w:p>
      <w:pPr>
        <w:pStyle w:val="167"/>
      </w:pPr>
      <w:r>
        <w:rPr>
          <w:rFonts w:hint="eastAsia"/>
        </w:rPr>
        <w:t>电梯平层入户的层站显示及按钮应以既有住宅电梯楼层设置。半层入户的层站显示及按钮应以井道设计楼层为依据顺序编号，对不停靠（或不设层门）的层站，该层站显示及按钮宜空缺。</w:t>
      </w:r>
    </w:p>
    <w:p>
      <w:pPr>
        <w:pStyle w:val="167"/>
      </w:pPr>
      <w:r>
        <w:rPr>
          <w:rFonts w:hint="eastAsia"/>
        </w:rPr>
        <w:t>电梯应具有电动自行车识别并阻止进入的功能。</w:t>
      </w:r>
    </w:p>
    <w:p>
      <w:pPr>
        <w:pStyle w:val="167"/>
      </w:pPr>
      <w:r>
        <w:rPr>
          <w:rFonts w:hint="eastAsia"/>
        </w:rPr>
        <w:t>电梯应配置自动救援操作装置，当电梯供电电源发生故障或中断时，能自动使轿厢移动至就近或指定层站并打开电梯门。</w:t>
      </w:r>
    </w:p>
    <w:p>
      <w:pPr>
        <w:pStyle w:val="167"/>
      </w:pPr>
      <w:r>
        <w:rPr>
          <w:rFonts w:hint="eastAsia"/>
        </w:rPr>
        <w:t>电梯发生故障时，轿厢内应有提示注意事项的语音安抚。</w:t>
      </w:r>
    </w:p>
    <w:p>
      <w:pPr>
        <w:pStyle w:val="167"/>
      </w:pPr>
      <w:r>
        <w:rPr>
          <w:rFonts w:hint="eastAsia"/>
        </w:rPr>
        <w:t>电梯应具备在轿内取消已登记选层信号的功能。</w:t>
      </w:r>
    </w:p>
    <w:p>
      <w:pPr>
        <w:pStyle w:val="167"/>
      </w:pPr>
      <w:r>
        <w:rPr>
          <w:rFonts w:hint="eastAsia"/>
        </w:rPr>
        <w:t>电梯层站处应能显示电梯“故障” “检修” “满载”等运行状态。</w:t>
      </w:r>
    </w:p>
    <w:p>
      <w:pPr>
        <w:pStyle w:val="167"/>
      </w:pPr>
      <w:r>
        <w:rPr>
          <w:rFonts w:hint="eastAsia"/>
        </w:rPr>
        <w:t>电梯超载时，应有听觉和视觉报警信号，轿厢内应显示“超载”标识。</w:t>
      </w:r>
    </w:p>
    <w:p>
      <w:pPr>
        <w:pStyle w:val="167"/>
      </w:pPr>
      <w:r>
        <w:rPr>
          <w:rFonts w:hint="eastAsia"/>
        </w:rPr>
        <w:t>电梯选型宜选用低噪声电梯，采用静音轨道支座，在电梯导轨和井壁之间设置减振装置，电梯井与居室在结构上脱开等减噪隔振措施。</w:t>
      </w:r>
    </w:p>
    <w:p>
      <w:pPr>
        <w:pStyle w:val="107"/>
        <w:spacing w:before="156" w:after="156"/>
      </w:pPr>
      <w:bookmarkStart w:id="102" w:name="_Toc229564715"/>
      <w:r>
        <w:rPr>
          <w:rFonts w:hint="eastAsia"/>
        </w:rPr>
        <w:t>无障碍与适老化设计</w:t>
      </w:r>
      <w:bookmarkEnd w:id="102"/>
    </w:p>
    <w:p>
      <w:pPr>
        <w:pStyle w:val="167"/>
        <w:rPr>
          <w:color w:val="FF0000"/>
        </w:rPr>
      </w:pPr>
      <w:r>
        <w:rPr>
          <w:rFonts w:hint="eastAsia"/>
        </w:rPr>
        <w:t>既有住宅加装电梯应满足无障碍使用要求，并宜充分考虑适老化设计。条件允许时，应优先选用可容纳担架的电梯，选用可容纳担架的电梯时，其连接的连廊宽度、进入户内的门洞净宽及开启方式，应满足担架通行的要求。</w:t>
      </w:r>
    </w:p>
    <w:p>
      <w:pPr>
        <w:pStyle w:val="167"/>
      </w:pPr>
      <w:r>
        <w:rPr>
          <w:rFonts w:hint="eastAsia"/>
        </w:rPr>
        <w:t>首层候梯厅出入口、连通电梯与住户的连廊应符合无障碍通道的要求。连廊及通道地面应平整、防滑。</w:t>
      </w:r>
    </w:p>
    <w:p>
      <w:pPr>
        <w:pStyle w:val="167"/>
      </w:pPr>
      <w:r>
        <w:rPr>
          <w:rFonts w:hint="eastAsia"/>
        </w:rPr>
        <w:t>电梯应设置运行显示装置和报层音响。显示装置的数字和字母宜采用大字体。</w:t>
      </w:r>
    </w:p>
    <w:p>
      <w:pPr>
        <w:pStyle w:val="167"/>
      </w:pPr>
      <w:r>
        <w:rPr>
          <w:rFonts w:hint="eastAsia"/>
        </w:rPr>
        <w:t>电梯轿厢内的按钮应有盲文标识。</w:t>
      </w:r>
    </w:p>
    <w:p>
      <w:pPr>
        <w:pStyle w:val="167"/>
      </w:pPr>
      <w:r>
        <w:rPr>
          <w:rFonts w:hint="eastAsia"/>
        </w:rPr>
        <w:t>电梯轿厢内宜在侧壁距地面0.85 m～0.90 m高度处设置安全扶手。</w:t>
      </w:r>
    </w:p>
    <w:p>
      <w:pPr>
        <w:pStyle w:val="167"/>
      </w:pPr>
      <w:r>
        <w:rPr>
          <w:rFonts w:hint="eastAsia"/>
        </w:rPr>
        <w:t>电梯轿厢内的报警按钮安装高度应在0.85 m～1.1 m之间，且距内转角处侧墙不应小于400 mm。</w:t>
      </w:r>
    </w:p>
    <w:p>
      <w:pPr>
        <w:pStyle w:val="167"/>
      </w:pPr>
      <w:r>
        <w:rPr>
          <w:rFonts w:hint="eastAsia"/>
        </w:rPr>
        <w:t>电梯轿厢地面材料应采用防滑、防水、耐腐蚀的材料，颜色应与候梯厅地面应有明显的差别。</w:t>
      </w:r>
    </w:p>
    <w:p>
      <w:pPr>
        <w:pStyle w:val="107"/>
        <w:spacing w:before="156" w:after="156"/>
      </w:pPr>
      <w:bookmarkStart w:id="103" w:name="_Toc229564716"/>
      <w:r>
        <w:rPr>
          <w:rFonts w:hint="eastAsia"/>
        </w:rPr>
        <w:t>结构设计</w:t>
      </w:r>
      <w:bookmarkEnd w:id="103"/>
    </w:p>
    <w:p>
      <w:pPr>
        <w:pStyle w:val="167"/>
      </w:pPr>
      <w:r>
        <w:rPr>
          <w:rFonts w:hint="eastAsia"/>
        </w:rPr>
        <w:t>加装电梯新增结构应进行承载能力极限状态和正常使用极限状态设计，并满足GB/T 50010的要求，确保新增结构安全和稳定，且不得影响既有建筑的安全。</w:t>
      </w:r>
    </w:p>
    <w:p>
      <w:pPr>
        <w:pStyle w:val="167"/>
      </w:pPr>
      <w:r>
        <w:rPr>
          <w:rFonts w:hint="eastAsia"/>
        </w:rPr>
        <w:t>应根据现场实际情况和建设条件，合理选用加装电梯工程的结构形式，宜采用钢结构或钢筋混凝土结构等形式。</w:t>
      </w:r>
    </w:p>
    <w:p>
      <w:pPr>
        <w:pStyle w:val="167"/>
      </w:pPr>
      <w:r>
        <w:rPr>
          <w:rFonts w:hint="eastAsia"/>
        </w:rPr>
        <w:t>加装电梯工程结构设计基本参数和变形控制应符合下列规定：</w:t>
      </w:r>
    </w:p>
    <w:p>
      <w:pPr>
        <w:pStyle w:val="176"/>
        <w:numPr>
          <w:ilvl w:val="0"/>
          <w:numId w:val="41"/>
        </w:numPr>
      </w:pPr>
      <w:r>
        <w:rPr>
          <w:rFonts w:hint="eastAsia"/>
        </w:rPr>
        <w:t>结构安全等级不应低于二级，结构重要性系数不应小于1.0；</w:t>
      </w:r>
    </w:p>
    <w:p>
      <w:pPr>
        <w:pStyle w:val="176"/>
      </w:pPr>
      <w:r>
        <w:rPr>
          <w:rFonts w:hint="eastAsia"/>
        </w:rPr>
        <w:t>地基基础设计等级不应低于丙级；</w:t>
      </w:r>
    </w:p>
    <w:p>
      <w:pPr>
        <w:pStyle w:val="176"/>
      </w:pPr>
      <w:r>
        <w:rPr>
          <w:rFonts w:hint="eastAsia"/>
        </w:rPr>
        <w:t>抗震设防类别为丙类，抗震设防烈度、设计地震基本加速度及设计地震分组应符合GB 18306的规定；</w:t>
      </w:r>
    </w:p>
    <w:p>
      <w:pPr>
        <w:pStyle w:val="176"/>
      </w:pPr>
      <w:r>
        <w:rPr>
          <w:rFonts w:hint="eastAsia"/>
        </w:rPr>
        <w:t>基本风压及基本雪压、楼（屋）面活荷载标准值均应满足GB 55001和GB 50009的规定；</w:t>
      </w:r>
    </w:p>
    <w:p>
      <w:pPr>
        <w:pStyle w:val="176"/>
      </w:pPr>
      <w:r>
        <w:rPr>
          <w:rFonts w:hint="eastAsia"/>
        </w:rPr>
        <w:t>按弹性方法计算的风荷载或多遇地震标准值作用下楼层弹性层间位移角不宜大于表1中的限值。</w:t>
      </w:r>
    </w:p>
    <w:p>
      <w:pPr>
        <w:pStyle w:val="176"/>
        <w:numPr>
          <w:ilvl w:val="0"/>
          <w:numId w:val="0"/>
        </w:numPr>
        <w:ind w:left="851" w:hanging="426"/>
      </w:pPr>
    </w:p>
    <w:p>
      <w:pPr>
        <w:pStyle w:val="176"/>
        <w:numPr>
          <w:ilvl w:val="0"/>
          <w:numId w:val="0"/>
        </w:numPr>
        <w:ind w:left="851" w:hanging="426"/>
      </w:pPr>
    </w:p>
    <w:p>
      <w:pPr>
        <w:pStyle w:val="114"/>
        <w:spacing w:before="156" w:after="156"/>
      </w:pPr>
      <w:r>
        <w:rPr>
          <w:rFonts w:hint="eastAsia"/>
        </w:rPr>
        <w:t>弹性层间位移角限制</w:t>
      </w:r>
    </w:p>
    <w:tbl>
      <w:tblPr>
        <w:tblStyle w:val="242"/>
        <w:tblW w:w="9214" w:type="dxa"/>
        <w:tblInd w:w="-10" w:type="dxa"/>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0" w:type="dxa"/>
          <w:bottom w:w="0" w:type="dxa"/>
          <w:right w:w="0" w:type="dxa"/>
        </w:tblCellMar>
      </w:tblPr>
      <w:tblGrid>
        <w:gridCol w:w="4166"/>
        <w:gridCol w:w="5048"/>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c>
          <w:tcPr>
            <w:tcW w:w="4166" w:type="dxa"/>
            <w:tcBorders>
              <w:top w:val="single" w:color="000000" w:sz="8" w:space="0"/>
              <w:bottom w:val="single" w:color="000000" w:sz="8" w:space="0"/>
            </w:tcBorders>
            <w:vAlign w:val="center"/>
          </w:tcPr>
          <w:p>
            <w:pPr>
              <w:pStyle w:val="180"/>
            </w:pPr>
            <w:r>
              <w:t>结构形式</w:t>
            </w:r>
          </w:p>
        </w:tc>
        <w:tc>
          <w:tcPr>
            <w:tcW w:w="5048" w:type="dxa"/>
            <w:tcBorders>
              <w:top w:val="single" w:color="000000" w:sz="8" w:space="0"/>
              <w:bottom w:val="single" w:color="000000" w:sz="8" w:space="0"/>
            </w:tcBorders>
            <w:vAlign w:val="center"/>
          </w:tcPr>
          <w:p>
            <w:pPr>
              <w:pStyle w:val="180"/>
            </w:pPr>
            <w:r>
              <w:t>限值</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c>
          <w:tcPr>
            <w:tcW w:w="4166" w:type="dxa"/>
            <w:tcBorders>
              <w:top w:val="single" w:color="000000" w:sz="8" w:space="0"/>
            </w:tcBorders>
            <w:vAlign w:val="center"/>
          </w:tcPr>
          <w:p>
            <w:pPr>
              <w:pStyle w:val="180"/>
            </w:pPr>
            <w:r>
              <w:t>钢结构</w:t>
            </w:r>
          </w:p>
        </w:tc>
        <w:tc>
          <w:tcPr>
            <w:tcW w:w="5048" w:type="dxa"/>
            <w:tcBorders>
              <w:top w:val="single" w:color="000000" w:sz="8" w:space="0"/>
            </w:tcBorders>
            <w:vAlign w:val="center"/>
          </w:tcPr>
          <w:p>
            <w:pPr>
              <w:pStyle w:val="180"/>
            </w:pPr>
            <w:r>
              <w:t>1/</w:t>
            </w:r>
            <w:r>
              <w:rPr>
                <w:rFonts w:hint="eastAsia"/>
              </w:rPr>
              <w:t>350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c>
          <w:tcPr>
            <w:tcW w:w="4166" w:type="dxa"/>
            <w:vAlign w:val="center"/>
          </w:tcPr>
          <w:p>
            <w:pPr>
              <w:pStyle w:val="180"/>
            </w:pPr>
            <w:r>
              <w:t>钢筋混凝土结构</w:t>
            </w:r>
          </w:p>
        </w:tc>
        <w:tc>
          <w:tcPr>
            <w:tcW w:w="5048" w:type="dxa"/>
            <w:vAlign w:val="center"/>
          </w:tcPr>
          <w:p>
            <w:pPr>
              <w:pStyle w:val="180"/>
            </w:pPr>
            <w:r>
              <w:t>1/550</w:t>
            </w:r>
          </w:p>
        </w:tc>
      </w:tr>
    </w:tbl>
    <w:p>
      <w:pPr>
        <w:pStyle w:val="167"/>
      </w:pPr>
      <w:r>
        <w:rPr>
          <w:rFonts w:hint="eastAsia"/>
        </w:rPr>
        <w:t>加装电梯工程结构宜采用独立结构单元，也可采用与既有建筑结构连成整体的构造形式，其布置、变形及结构承载力等应满足GB/T 50010和GB/T 50011的要求。</w:t>
      </w:r>
    </w:p>
    <w:p>
      <w:pPr>
        <w:pStyle w:val="167"/>
      </w:pPr>
      <w:r>
        <w:rPr>
          <w:rFonts w:hint="eastAsia"/>
        </w:rPr>
        <w:t>当加装电梯工程结构采用独立结构单元时，应符合以下规定：</w:t>
      </w:r>
    </w:p>
    <w:p>
      <w:pPr>
        <w:pStyle w:val="176"/>
        <w:numPr>
          <w:ilvl w:val="0"/>
          <w:numId w:val="42"/>
        </w:numPr>
      </w:pPr>
      <w:r>
        <w:rPr>
          <w:rFonts w:hint="eastAsia"/>
        </w:rPr>
        <w:t>当加装电梯工程结构与既有住宅原结构采用分离的形式时，应按照GB 55031的要求设置变形缝；抗震缝的设置应满足GB/T 50011的规定；</w:t>
      </w:r>
    </w:p>
    <w:p>
      <w:pPr>
        <w:pStyle w:val="176"/>
      </w:pPr>
      <w:r>
        <w:rPr>
          <w:rFonts w:hint="eastAsia"/>
        </w:rPr>
        <w:t>当加装电梯工程结构满足整体稳定性要求时，应独立承担其自身的水平和竖向荷载，并满足GB/T 50010的要求；</w:t>
      </w:r>
    </w:p>
    <w:p>
      <w:pPr>
        <w:pStyle w:val="176"/>
      </w:pPr>
      <w:r>
        <w:rPr>
          <w:rFonts w:hint="eastAsia"/>
        </w:rPr>
        <w:t>当加装电梯的独立结构单元自身不能满足整体稳定性要求时，可由该独立单元承担其自身的水平和竖向荷载，其整体稳定性采用只传递水平力的构件与既有建筑结构进行柔性连接，确保新增结构单元的稳定性。</w:t>
      </w:r>
    </w:p>
    <w:p>
      <w:pPr>
        <w:pStyle w:val="167"/>
      </w:pPr>
      <w:r>
        <w:rPr>
          <w:rFonts w:hint="eastAsia"/>
        </w:rPr>
        <w:t>当加装电梯工程结构与既有建筑结构采用连成整体的构造形式时，应符合以下规定：</w:t>
      </w:r>
    </w:p>
    <w:p>
      <w:pPr>
        <w:pStyle w:val="176"/>
        <w:numPr>
          <w:ilvl w:val="0"/>
          <w:numId w:val="43"/>
        </w:numPr>
      </w:pPr>
      <w:r>
        <w:rPr>
          <w:rFonts w:hint="eastAsia"/>
        </w:rPr>
        <w:t>加装电梯工程结构与既有建筑结构之间应采取可靠连接措施，保证在荷载作用下，新增结构与既有建筑结构的整体受力性能；</w:t>
      </w:r>
    </w:p>
    <w:p>
      <w:pPr>
        <w:pStyle w:val="176"/>
      </w:pPr>
      <w:r>
        <w:rPr>
          <w:rFonts w:hint="eastAsia"/>
        </w:rPr>
        <w:t>加装电梯工程结构与既有建筑结构之间采用刚接时，应对既有住宅进行结构安全性鉴定，并对加装电梯以及既有住宅进行抗震性能分析。应根据结构安全评估结论，对加装电梯工程结构与既有建筑结构连接部分的承载力和变形进行验算，当不能满足要求时，应采取措施对既有建筑结构进行加固；</w:t>
      </w:r>
    </w:p>
    <w:p>
      <w:pPr>
        <w:pStyle w:val="176"/>
      </w:pPr>
      <w:r>
        <w:rPr>
          <w:rFonts w:hint="eastAsia"/>
        </w:rPr>
        <w:t>当加装电梯工程结构采用钢结构时，与既有住宅结构之间的连接件、锚固件、连接螺栓及锚栓、连接焊缝均应满足重力荷载、风荷载和地震作用下的承载力要求。锚栓设计及抗拔承载力的检验应按GB 50367的有关规定执行。</w:t>
      </w:r>
    </w:p>
    <w:p>
      <w:pPr>
        <w:pStyle w:val="167"/>
      </w:pPr>
      <w:r>
        <w:rPr>
          <w:rFonts w:hint="eastAsia"/>
        </w:rPr>
        <w:t>加装电梯工程结构与既有住宅结构的水平拉接或附着连接应设置在楼层或楼梯间休息平台处，并宜采用扩底型锚栓、特殊倒锥形化学锚栓或植筋等方式锚固于构造柱、圈梁、框架梁、框架柱等混凝土构件中（图</w:t>
      </w:r>
      <w:r>
        <w:t>1</w:t>
      </w:r>
      <w:r>
        <w:rPr>
          <w:rFonts w:hint="eastAsia"/>
        </w:rPr>
        <w:t>），且锚固应满足相关标准和设计要求。当连接点处的基材为砌体时，应采用穿墙对拉螺杆的锚固方式（图</w:t>
      </w:r>
      <w:r>
        <w:t>2</w:t>
      </w:r>
      <w:r>
        <w:rPr>
          <w:rFonts w:hint="eastAsia"/>
        </w:rPr>
        <w:t>）。</w:t>
      </w:r>
    </w:p>
    <w:p>
      <w:pPr>
        <w:pStyle w:val="167"/>
        <w:numPr>
          <w:ilvl w:val="0"/>
          <w:numId w:val="0"/>
        </w:numPr>
        <w:jc w:val="center"/>
      </w:pPr>
      <w:r>
        <w:drawing>
          <wp:inline distT="0" distB="0" distL="114300" distR="114300">
            <wp:extent cx="2752725" cy="1476375"/>
            <wp:effectExtent l="0" t="0" r="9525" b="9525"/>
            <wp:docPr id="1"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4"/>
                    <pic:cNvPicPr>
                      <a:picLocks noChangeAspect="true"/>
                    </pic:cNvPicPr>
                  </pic:nvPicPr>
                  <pic:blipFill>
                    <a:blip r:embed="rId33"/>
                    <a:srcRect b="59103"/>
                    <a:stretch>
                      <a:fillRect/>
                    </a:stretch>
                  </pic:blipFill>
                  <pic:spPr>
                    <a:xfrm>
                      <a:off x="0" y="0"/>
                      <a:ext cx="2752725" cy="1476375"/>
                    </a:xfrm>
                    <a:prstGeom prst="rect">
                      <a:avLst/>
                    </a:prstGeom>
                    <a:noFill/>
                    <a:ln>
                      <a:noFill/>
                    </a:ln>
                  </pic:spPr>
                </pic:pic>
              </a:graphicData>
            </a:graphic>
          </wp:inline>
        </w:drawing>
      </w:r>
    </w:p>
    <w:p>
      <w:pPr>
        <w:pStyle w:val="116"/>
        <w:spacing w:before="156" w:after="156"/>
      </w:pPr>
      <w:r>
        <w:rPr>
          <w:rFonts w:hint="eastAsia"/>
        </w:rPr>
        <w:t>混凝土基材连接构造</w:t>
      </w:r>
    </w:p>
    <w:p>
      <w:pPr>
        <w:pStyle w:val="58"/>
        <w:ind w:firstLine="0" w:firstLineChars="0"/>
        <w:jc w:val="center"/>
      </w:pPr>
      <w:r>
        <w:drawing>
          <wp:inline distT="0" distB="0" distL="114300" distR="114300">
            <wp:extent cx="2219325" cy="1447800"/>
            <wp:effectExtent l="0" t="0" r="9525" b="0"/>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pic:cNvPicPr>
                  </pic:nvPicPr>
                  <pic:blipFill>
                    <a:blip r:embed="rId33"/>
                    <a:srcRect t="45646" r="19377" b="14248"/>
                    <a:stretch>
                      <a:fillRect/>
                    </a:stretch>
                  </pic:blipFill>
                  <pic:spPr>
                    <a:xfrm>
                      <a:off x="0" y="0"/>
                      <a:ext cx="2219325" cy="1447800"/>
                    </a:xfrm>
                    <a:prstGeom prst="rect">
                      <a:avLst/>
                    </a:prstGeom>
                    <a:noFill/>
                    <a:ln>
                      <a:noFill/>
                    </a:ln>
                  </pic:spPr>
                </pic:pic>
              </a:graphicData>
            </a:graphic>
          </wp:inline>
        </w:drawing>
      </w:r>
    </w:p>
    <w:p>
      <w:pPr>
        <w:pStyle w:val="116"/>
        <w:spacing w:before="156" w:after="156"/>
      </w:pPr>
      <w:r>
        <w:rPr>
          <w:rFonts w:hint="eastAsia"/>
        </w:rPr>
        <w:t>砌体基材连接构造</w:t>
      </w:r>
    </w:p>
    <w:p>
      <w:pPr>
        <w:pStyle w:val="167"/>
      </w:pPr>
      <w:r>
        <w:rPr>
          <w:rFonts w:hint="eastAsia"/>
        </w:rPr>
        <w:t>既有住宅结构连接处的混凝土构件强度等级不宜低于</w:t>
      </w:r>
      <w:r>
        <w:t>C</w:t>
      </w:r>
      <w:r>
        <w:rPr>
          <w:rFonts w:hint="eastAsia"/>
        </w:rPr>
        <w:t>20，构件的宽度和高度均不应小于200</w:t>
      </w:r>
      <w:r>
        <w:t xml:space="preserve"> </w:t>
      </w:r>
      <w:r>
        <w:rPr>
          <w:rFonts w:hint="eastAsia"/>
        </w:rPr>
        <w:t>mm，当不满足要求时，可采用外包型钢等方式对被连接构件进行加固处理。</w:t>
      </w:r>
    </w:p>
    <w:p>
      <w:pPr>
        <w:pStyle w:val="167"/>
      </w:pPr>
      <w:r>
        <w:rPr>
          <w:rFonts w:hint="eastAsia"/>
        </w:rPr>
        <w:t>加装电梯工程结构基础设计时，应查明既有结构基础埋深及尺寸、场地土和沉降以及室外管线等情况。当新增结构场地地质条件变化不大时，可以利用既有建筑的地质勘察资料进行新增结构的基础设计，否则应进行补充勘察。</w:t>
      </w:r>
    </w:p>
    <w:p>
      <w:pPr>
        <w:pStyle w:val="167"/>
      </w:pPr>
      <w:r>
        <w:rPr>
          <w:rFonts w:hint="eastAsia"/>
        </w:rPr>
        <w:t>加装电梯工程结构基础不得以淤泥、淤泥质土、未固结填土或性质截然不同的土层作为持力层，无法满足要求时，应对天然地基进行地基处理或采用桩基础。新增结构基础宜采用整体性较好的基础形式（如筏基、桩基等），地基基础承载力、稳定性及地基变形（或桩基沉降）应满足GB 50007的相关规定。</w:t>
      </w:r>
    </w:p>
    <w:p>
      <w:pPr>
        <w:pStyle w:val="167"/>
      </w:pPr>
      <w:r>
        <w:rPr>
          <w:rFonts w:hint="eastAsia"/>
        </w:rPr>
        <w:t>加装电梯工程结构基础设计应充分考虑原有住宅基础和地基的实际情况，采取与原有住宅基础连成整体或分离的方式，并应符合下列要求：</w:t>
      </w:r>
    </w:p>
    <w:p>
      <w:pPr>
        <w:pStyle w:val="176"/>
        <w:numPr>
          <w:ilvl w:val="0"/>
          <w:numId w:val="44"/>
        </w:numPr>
      </w:pPr>
      <w:r>
        <w:rPr>
          <w:rFonts w:hint="eastAsia"/>
        </w:rPr>
        <w:t>当加装电梯基础与原有住宅基础连接时，应对原结构地基基础承载力进行复核验算，如不满足要求应进行加固，并采取有效措施保证新增基础、原有基础连接牢固和变形协调；</w:t>
      </w:r>
    </w:p>
    <w:p>
      <w:pPr>
        <w:pStyle w:val="176"/>
      </w:pPr>
      <w:r>
        <w:rPr>
          <w:rFonts w:hint="eastAsia"/>
        </w:rPr>
        <w:t>当原有住宅基础埋深较深时，可采用加装电梯基础与原基础完全分离的方式，与原基础间距不应小于50mm，基础边缘与原房屋地下外墙间距不应小于50mm。新增结构基础应采取措施减少与既有建筑基础之间的差异沉降，并避免对相邻地下管线造成影响；</w:t>
      </w:r>
    </w:p>
    <w:p>
      <w:pPr>
        <w:pStyle w:val="176"/>
      </w:pPr>
      <w:r>
        <w:rPr>
          <w:rFonts w:hint="eastAsia"/>
        </w:rPr>
        <w:t>加装电梯的基础不宜低于既有结构的基础，不得影响既有建筑地基基础的安全性。</w:t>
      </w:r>
    </w:p>
    <w:p>
      <w:pPr>
        <w:pStyle w:val="167"/>
      </w:pPr>
      <w:r>
        <w:rPr>
          <w:rFonts w:hint="eastAsia"/>
        </w:rPr>
        <w:t>加装电梯工程结构采用混凝土结构时，混凝土强度等级不应低于C25。加装电梯工程结构基础混凝土强度等级不应低于C30，混凝土抗渗等级不应低于P6。</w:t>
      </w:r>
    </w:p>
    <w:p>
      <w:pPr>
        <w:pStyle w:val="167"/>
      </w:pPr>
      <w:r>
        <w:rPr>
          <w:rFonts w:hint="eastAsia"/>
        </w:rPr>
        <w:t>加装电梯工程结构采用钢结构时，设计应满足以下要求：</w:t>
      </w:r>
    </w:p>
    <w:p>
      <w:pPr>
        <w:pStyle w:val="176"/>
        <w:numPr>
          <w:ilvl w:val="0"/>
          <w:numId w:val="45"/>
        </w:numPr>
      </w:pPr>
      <w:r>
        <w:rPr>
          <w:rFonts w:hint="eastAsia"/>
        </w:rPr>
        <w:t>宜采用钢框架、钢框架支撑结构体系；梁柱连接节点可采用焊接连接、螺栓连接等构造，且应满足刚性连接要求；构件、节点、连接等设计均应符合GB 50017的规定；</w:t>
      </w:r>
    </w:p>
    <w:p>
      <w:pPr>
        <w:pStyle w:val="176"/>
      </w:pPr>
      <w:r>
        <w:rPr>
          <w:rFonts w:hint="eastAsia"/>
        </w:rPr>
        <w:t>加装电梯的楼层和屋面宜采用组合楼板或混凝土叠合板，并应符合GB</w:t>
      </w:r>
      <w:r>
        <w:t>/T</w:t>
      </w:r>
      <w:r>
        <w:rPr>
          <w:rFonts w:hint="eastAsia"/>
        </w:rPr>
        <w:t xml:space="preserve"> 50010和JGJ 138的规定；</w:t>
      </w:r>
    </w:p>
    <w:p>
      <w:pPr>
        <w:pStyle w:val="176"/>
      </w:pPr>
      <w:r>
        <w:rPr>
          <w:rFonts w:hint="eastAsia"/>
        </w:rPr>
        <w:t>钢柱柱脚应采用刚接柱脚，刚接柱脚可采用埋入式或非埋入式柱脚，非埋入式柱脚应预留二次灌浆调平间隙，柱脚设计应满足相关规范要求；</w:t>
      </w:r>
    </w:p>
    <w:p>
      <w:pPr>
        <w:pStyle w:val="176"/>
      </w:pPr>
      <w:r>
        <w:rPr>
          <w:rFonts w:hint="eastAsia"/>
        </w:rPr>
        <w:t>焊接形式、焊接等级、钢结构构件的防腐、防锈、防火以及后期使用期间的检查维护等要求，应满足GB 50017、GB 51249和JGJ/T 251和的要求。</w:t>
      </w:r>
    </w:p>
    <w:p>
      <w:pPr>
        <w:pStyle w:val="167"/>
      </w:pPr>
      <w:r>
        <w:rPr>
          <w:rFonts w:hint="eastAsia"/>
        </w:rPr>
        <w:t>平层入户加装电梯方案，当利用既有住宅的悬挑阳台或外廊等入户时，应复核悬挑结构的安全性，并根据复核结果进行加固处理。</w:t>
      </w:r>
    </w:p>
    <w:p>
      <w:pPr>
        <w:pStyle w:val="167"/>
      </w:pPr>
      <w:r>
        <w:rPr>
          <w:rFonts w:hint="eastAsia"/>
        </w:rPr>
        <w:t>当加装电梯需对既有结构墙体做局部开洞处理时，应对其相关部分做局部承载能力的验算，并采取相应的加强措施。</w:t>
      </w:r>
    </w:p>
    <w:p>
      <w:pPr>
        <w:pStyle w:val="107"/>
        <w:spacing w:before="156" w:after="156"/>
      </w:pPr>
      <w:bookmarkStart w:id="104" w:name="_Toc229564717"/>
      <w:r>
        <w:rPr>
          <w:rFonts w:hint="eastAsia"/>
        </w:rPr>
        <w:t>机电设计</w:t>
      </w:r>
      <w:bookmarkEnd w:id="104"/>
    </w:p>
    <w:p>
      <w:pPr>
        <w:pStyle w:val="167"/>
      </w:pPr>
      <w:bookmarkStart w:id="105" w:name="_Toc177236256"/>
      <w:bookmarkStart w:id="106" w:name="_Toc177236232"/>
      <w:r>
        <w:rPr>
          <w:rFonts w:hint="eastAsia"/>
        </w:rPr>
        <w:t>加装电梯配电应设专用回路和专用电度表。</w:t>
      </w:r>
    </w:p>
    <w:p>
      <w:pPr>
        <w:pStyle w:val="167"/>
      </w:pPr>
      <w:r>
        <w:rPr>
          <w:rFonts w:hint="eastAsia"/>
        </w:rPr>
        <w:t>每台加装电梯应设单独的隔离保护断路器，该断路器可以切断电梯运行时的最大电流。切断该断路器时，不得同时切断轿厢照明和通风、轿顶与基坑的检修插座、井道照明的供电。</w:t>
      </w:r>
    </w:p>
    <w:p>
      <w:pPr>
        <w:pStyle w:val="167"/>
      </w:pPr>
      <w:r>
        <w:rPr>
          <w:rFonts w:hint="eastAsia"/>
        </w:rPr>
        <w:t>对于无机房电梯，其主电源开关应设置在井道外工作人员便于操作处，并应具有必要的安全防护。</w:t>
      </w:r>
    </w:p>
    <w:p>
      <w:pPr>
        <w:pStyle w:val="167"/>
      </w:pPr>
      <w:r>
        <w:rPr>
          <w:rFonts w:hint="eastAsia"/>
        </w:rPr>
        <w:t>加装电梯的供电线路，不应沿外墙明敷。</w:t>
      </w:r>
    </w:p>
    <w:p>
      <w:pPr>
        <w:pStyle w:val="167"/>
      </w:pPr>
      <w:r>
        <w:rPr>
          <w:rFonts w:hint="eastAsia"/>
        </w:rPr>
        <w:t>电梯井道配电应符合下列规定：</w:t>
      </w:r>
    </w:p>
    <w:p>
      <w:pPr>
        <w:pStyle w:val="176"/>
        <w:numPr>
          <w:ilvl w:val="0"/>
          <w:numId w:val="46"/>
        </w:numPr>
      </w:pPr>
      <w:r>
        <w:rPr>
          <w:rFonts w:hint="eastAsia"/>
        </w:rPr>
        <w:t>电梯井道为电梯专用，井道内不得铺设与电梯无关的设备、管道、线缆等；</w:t>
      </w:r>
    </w:p>
    <w:p>
      <w:pPr>
        <w:pStyle w:val="176"/>
      </w:pPr>
      <w:r>
        <w:rPr>
          <w:rFonts w:hint="eastAsia"/>
        </w:rPr>
        <w:t>电梯井道内有设置检修照明，照度不应小于50</w:t>
      </w:r>
      <w:r>
        <w:t xml:space="preserve"> </w:t>
      </w:r>
      <w:r>
        <w:rPr>
          <w:rFonts w:hint="eastAsia"/>
        </w:rPr>
        <w:t>Lx；</w:t>
      </w:r>
    </w:p>
    <w:p>
      <w:pPr>
        <w:pStyle w:val="176"/>
      </w:pPr>
      <w:r>
        <w:rPr>
          <w:rFonts w:hint="eastAsia"/>
        </w:rPr>
        <w:t>电梯井道顶部和底坑均应设置检修插座，且插座应采用防水型和漏电保护；</w:t>
      </w:r>
    </w:p>
    <w:p>
      <w:pPr>
        <w:pStyle w:val="176"/>
      </w:pPr>
      <w:r>
        <w:rPr>
          <w:rFonts w:hint="eastAsia"/>
        </w:rPr>
        <w:t>电梯井道内敷设的线缆应采用阻燃性，并应使用难燃型导管或槽盒保护。</w:t>
      </w:r>
    </w:p>
    <w:p>
      <w:pPr>
        <w:pStyle w:val="167"/>
      </w:pPr>
      <w:r>
        <w:rPr>
          <w:rFonts w:hint="eastAsia"/>
        </w:rPr>
        <w:t>电梯轿厢内应满足通风要求，应采取增加空气流动或温度控制的措施。电梯机房应采取隔热通风、防尘等措施。</w:t>
      </w:r>
    </w:p>
    <w:p>
      <w:pPr>
        <w:pStyle w:val="167"/>
      </w:pPr>
      <w:r>
        <w:rPr>
          <w:rFonts w:hint="eastAsia"/>
        </w:rPr>
        <w:t>电梯轿厢内应设置紧急报警和对讲装置，并应保证无线通信信号的有效覆盖。</w:t>
      </w:r>
    </w:p>
    <w:p>
      <w:pPr>
        <w:pStyle w:val="167"/>
      </w:pPr>
      <w:r>
        <w:rPr>
          <w:rFonts w:hint="eastAsia"/>
        </w:rPr>
        <w:t>电梯应设置远程监控系统，电梯轿厢内应设置视频监控或预留安装条件，电梯厅或连廊宜设置视频监控或预留安装条件。</w:t>
      </w:r>
    </w:p>
    <w:p>
      <w:pPr>
        <w:pStyle w:val="167"/>
      </w:pPr>
      <w:r>
        <w:rPr>
          <w:rFonts w:hint="eastAsia"/>
        </w:rPr>
        <w:t>加装电梯的防雷，其防雷等级不得低于原建筑物的防雷等级，接闪带、引下线及浪涌的设置应符合GB</w:t>
      </w:r>
      <w:r>
        <w:t xml:space="preserve"> </w:t>
      </w:r>
      <w:r>
        <w:rPr>
          <w:rFonts w:hint="eastAsia"/>
        </w:rPr>
        <w:t>50057的规定。</w:t>
      </w:r>
    </w:p>
    <w:p>
      <w:pPr>
        <w:pStyle w:val="167"/>
      </w:pPr>
      <w:r>
        <w:rPr>
          <w:rFonts w:hint="eastAsia"/>
        </w:rPr>
        <w:t>加装电梯应采取等电位联结，并在机房或底坑设置</w:t>
      </w:r>
      <w:r>
        <w:t>辅助等电位联结</w:t>
      </w:r>
      <w:r>
        <w:rPr>
          <w:rFonts w:hint="eastAsia"/>
        </w:rPr>
        <w:t>。</w:t>
      </w:r>
    </w:p>
    <w:p>
      <w:pPr>
        <w:pStyle w:val="167"/>
      </w:pPr>
      <w:r>
        <w:rPr>
          <w:rFonts w:hint="eastAsia"/>
        </w:rPr>
        <w:t>当电梯设有集水坑及排水设备时，应设置排水控制箱，当采取移动式排水设备时，应预留电源。</w:t>
      </w:r>
    </w:p>
    <w:p>
      <w:pPr>
        <w:pStyle w:val="106"/>
        <w:spacing w:before="312" w:after="312"/>
      </w:pPr>
      <w:bookmarkStart w:id="107" w:name="_Toc229559704"/>
      <w:bookmarkStart w:id="108" w:name="_Toc229564751"/>
      <w:bookmarkStart w:id="109" w:name="_Toc229564718"/>
      <w:r>
        <w:rPr>
          <w:rFonts w:hint="eastAsia"/>
        </w:rPr>
        <w:t>施工</w:t>
      </w:r>
      <w:bookmarkEnd w:id="105"/>
      <w:bookmarkEnd w:id="106"/>
      <w:r>
        <w:rPr>
          <w:rFonts w:hint="eastAsia"/>
        </w:rPr>
        <w:t>与验收</w:t>
      </w:r>
      <w:bookmarkEnd w:id="107"/>
      <w:bookmarkEnd w:id="108"/>
      <w:bookmarkEnd w:id="109"/>
    </w:p>
    <w:p>
      <w:pPr>
        <w:pStyle w:val="107"/>
        <w:spacing w:before="156" w:after="156"/>
      </w:pPr>
      <w:bookmarkStart w:id="110" w:name="_Toc229564719"/>
      <w:r>
        <w:rPr>
          <w:rFonts w:hint="eastAsia"/>
        </w:rPr>
        <w:t>一般规定</w:t>
      </w:r>
      <w:bookmarkEnd w:id="110"/>
    </w:p>
    <w:p>
      <w:pPr>
        <w:pStyle w:val="167"/>
      </w:pPr>
      <w:r>
        <w:rPr>
          <w:rFonts w:hint="eastAsia"/>
        </w:rPr>
        <w:t>施工单位应具备相应的建筑工程施工资质，电梯安装单位应取得电梯制造单位授权或具有电梯安装（含修理）许可，宜实行总承包管理制度。</w:t>
      </w:r>
    </w:p>
    <w:p>
      <w:pPr>
        <w:pStyle w:val="167"/>
      </w:pPr>
      <w:r>
        <w:rPr>
          <w:rFonts w:hint="eastAsia"/>
        </w:rPr>
        <w:t>既有住宅加装电梯工程应按照经审查合格的施工图设计文件和专项施工方案进行施工。施工现场应建立健全质量安全管理体系，落实安全生产责任制，制定应急预案。</w:t>
      </w:r>
    </w:p>
    <w:p>
      <w:pPr>
        <w:pStyle w:val="167"/>
      </w:pPr>
      <w:r>
        <w:rPr>
          <w:rFonts w:hint="eastAsia"/>
        </w:rPr>
        <w:t>施工前应办理质量安全监督登记、电梯安装告知及监督检验申报，涉及管线迁改的需提前与管线单位协调备案。</w:t>
      </w:r>
    </w:p>
    <w:p>
      <w:pPr>
        <w:pStyle w:val="167"/>
      </w:pPr>
      <w:r>
        <w:rPr>
          <w:rFonts w:hint="eastAsia"/>
        </w:rPr>
        <w:t>施工前应进行设计交底和图纸会审；施工单位应编制施工组织设计或专项施工方案（含危大工程专项方案），并经监理单位（或建设单位）审批后实施；组织技术交底，明确结构衔接、安全防护、噪声管控要求。</w:t>
      </w:r>
    </w:p>
    <w:p>
      <w:pPr>
        <w:pStyle w:val="167"/>
      </w:pPr>
      <w:r>
        <w:rPr>
          <w:rFonts w:hint="eastAsia"/>
        </w:rPr>
        <w:t>所有进场的设备、原材料、成品及半成品，除提供出厂检验报告外，进场后需按相关规范检验、复验，设置材料存放区（做好防潮、防雨、防盗措施，特种设备零部件单独存放），并设置安全围挡及警示标识。</w:t>
      </w:r>
    </w:p>
    <w:p>
      <w:pPr>
        <w:pStyle w:val="167"/>
      </w:pPr>
      <w:r>
        <w:rPr>
          <w:rFonts w:hint="eastAsia"/>
        </w:rPr>
        <w:t>施工前要复核既有住宅基础的位置、埋深及地下管线分布情况，采取保护措施；复核原建筑结构检测鉴定结果，确保加装条件达标；协调管线迁改，开辟施工通道。</w:t>
      </w:r>
    </w:p>
    <w:p>
      <w:pPr>
        <w:pStyle w:val="167"/>
      </w:pPr>
      <w:r>
        <w:rPr>
          <w:rFonts w:hint="eastAsia"/>
        </w:rPr>
        <w:t>施工过程中应做好对既有住宅和周边环境的保护，减少对居民生活的影响，未经检测鉴定/设计许可，不得擅自改动既有住宅主体结构和受力状态。</w:t>
      </w:r>
    </w:p>
    <w:p>
      <w:pPr>
        <w:pStyle w:val="107"/>
        <w:spacing w:before="156" w:after="156"/>
      </w:pPr>
      <w:bookmarkStart w:id="111" w:name="_Toc229564720"/>
      <w:r>
        <w:rPr>
          <w:rFonts w:hint="eastAsia"/>
        </w:rPr>
        <w:t>基础施工</w:t>
      </w:r>
      <w:bookmarkEnd w:id="111"/>
    </w:p>
    <w:p>
      <w:pPr>
        <w:pStyle w:val="167"/>
      </w:pPr>
      <w:r>
        <w:rPr>
          <w:rFonts w:hint="eastAsia"/>
        </w:rPr>
        <w:t>基坑开挖应避免扰动原有地基，开挖深度超过1.5m时应采取支护措施，支护结构应进行变形监测，监测频率符合专项方案要求。基坑开挖完成后应组织验槽，地基承载力满足设计要求后方可进行基础施工。</w:t>
      </w:r>
    </w:p>
    <w:p>
      <w:pPr>
        <w:pStyle w:val="167"/>
      </w:pPr>
      <w:r>
        <w:rPr>
          <w:rFonts w:hint="eastAsia"/>
        </w:rPr>
        <w:t>基础混凝土强度等级不应低于C30，抗渗等级不应低于P6，混凝土养护期不少于14天，累计沉降不大于20</w:t>
      </w:r>
      <w:r>
        <w:t xml:space="preserve"> </w:t>
      </w:r>
      <w:r>
        <w:rPr>
          <w:rFonts w:hint="eastAsia"/>
        </w:rPr>
        <w:t>mm，且沉降速率连续2个月小于0.01</w:t>
      </w:r>
      <w:r>
        <w:t xml:space="preserve"> </w:t>
      </w:r>
      <w:r>
        <w:rPr>
          <w:rFonts w:hint="eastAsia"/>
        </w:rPr>
        <w:t>mm/d。</w:t>
      </w:r>
    </w:p>
    <w:p>
      <w:pPr>
        <w:pStyle w:val="167"/>
      </w:pPr>
      <w:r>
        <w:rPr>
          <w:rFonts w:hint="eastAsia"/>
        </w:rPr>
        <w:t>当采用桩基础时，桩基施工质量应JGJ 94的规定，并应进行桩身完整性检测和承载力检验。</w:t>
      </w:r>
    </w:p>
    <w:p>
      <w:pPr>
        <w:pStyle w:val="167"/>
      </w:pPr>
      <w:r>
        <w:rPr>
          <w:rFonts w:hint="eastAsia"/>
        </w:rPr>
        <w:t>基础施工质量应符合GB 50202和GB 50204的规定，基础完工后应进行隐蔽工程验收，验收合格后方可进行上部结构施工。</w:t>
      </w:r>
    </w:p>
    <w:p>
      <w:pPr>
        <w:pStyle w:val="107"/>
        <w:spacing w:before="156" w:after="156"/>
      </w:pPr>
      <w:bookmarkStart w:id="112" w:name="_Toc229564721"/>
      <w:r>
        <w:rPr>
          <w:rFonts w:hint="eastAsia"/>
        </w:rPr>
        <w:t>主体结构施工</w:t>
      </w:r>
      <w:bookmarkEnd w:id="112"/>
    </w:p>
    <w:p>
      <w:pPr>
        <w:pStyle w:val="167"/>
      </w:pPr>
      <w:r>
        <w:rPr>
          <w:rFonts w:hint="eastAsia"/>
        </w:rPr>
        <w:t>加装电梯主体结构可采用钢结构或混凝土结构。采用钢结构时，钢结构施工应符合GB 50205和GB 50755的要求。混凝土结构施工应符合GB 50204。</w:t>
      </w:r>
    </w:p>
    <w:p>
      <w:pPr>
        <w:pStyle w:val="167"/>
      </w:pPr>
      <w:r>
        <w:rPr>
          <w:rFonts w:hint="eastAsia"/>
        </w:rPr>
        <w:t>混凝土结构施工模板及其支架应具有足够的承载力、刚度和稳定性。</w:t>
      </w:r>
    </w:p>
    <w:p>
      <w:pPr>
        <w:pStyle w:val="167"/>
      </w:pPr>
      <w:r>
        <w:rPr>
          <w:rFonts w:hint="eastAsia"/>
        </w:rPr>
        <w:t>高强度螺栓连接副应进行扭矩系数和预拉力检验，检验结果合格后方可使用。</w:t>
      </w:r>
    </w:p>
    <w:p>
      <w:pPr>
        <w:pStyle w:val="167"/>
      </w:pPr>
      <w:r>
        <w:rPr>
          <w:rFonts w:hint="eastAsia"/>
        </w:rPr>
        <w:t>钢结构构件连接节点的焊缝质量应进行无损检测，检测比例应符合设计要求，设计无要求时，一级焊缝检测比例不低于100%，二级焊缝不低于20%。</w:t>
      </w:r>
    </w:p>
    <w:p>
      <w:pPr>
        <w:pStyle w:val="167"/>
      </w:pPr>
      <w:r>
        <w:rPr>
          <w:rFonts w:hint="eastAsia"/>
        </w:rPr>
        <w:t>柱脚在地面以下部分应采用强度等级较低的混凝土包裹，保护层厚度不小于50</w:t>
      </w:r>
      <w:r>
        <w:t xml:space="preserve"> </w:t>
      </w:r>
      <w:r>
        <w:rPr>
          <w:rFonts w:hint="eastAsia"/>
        </w:rPr>
        <w:t>mm，并高出地面不小于150</w:t>
      </w:r>
      <w:r>
        <w:t xml:space="preserve"> </w:t>
      </w:r>
      <w:r>
        <w:rPr>
          <w:rFonts w:hint="eastAsia"/>
        </w:rPr>
        <w:t>mm，钢结构防腐等级不低于Sa2.5级，焊缝探伤合格，垂直度偏差不大于1/1000，且全高偏差不大于10</w:t>
      </w:r>
      <w:r>
        <w:t xml:space="preserve"> </w:t>
      </w:r>
      <w:r>
        <w:rPr>
          <w:rFonts w:hint="eastAsia"/>
        </w:rPr>
        <w:t>mm。</w:t>
      </w:r>
    </w:p>
    <w:p>
      <w:pPr>
        <w:pStyle w:val="167"/>
      </w:pPr>
      <w:r>
        <w:rPr>
          <w:rFonts w:hint="eastAsia"/>
        </w:rPr>
        <w:t>当需在既有住宅结构上开设洞口或植筋时，需对孔洞承载力进行验算，必要时需整体验算并补强。切割应采用静力切割，避免损伤原结构钢筋。植筋用锚固胶应符合GB 50728的规定，并应进行现场拉拔试验。</w:t>
      </w:r>
    </w:p>
    <w:p>
      <w:pPr>
        <w:pStyle w:val="167"/>
      </w:pPr>
      <w:r>
        <w:rPr>
          <w:rFonts w:hint="eastAsia"/>
        </w:rPr>
        <w:t>既有多层住宅加装电梯，主体结构与既有住宅衔接处，应遵循变形协调、共同受力原则，从基础到上部结构采取可靠措施加强整体性连接，避免沉降差对结构的不利影响；脱开连接时应进行整体抗倾覆验算。</w:t>
      </w:r>
    </w:p>
    <w:p>
      <w:pPr>
        <w:pStyle w:val="107"/>
        <w:spacing w:before="156" w:after="156"/>
      </w:pPr>
      <w:bookmarkStart w:id="113" w:name="_Toc229564722"/>
      <w:r>
        <w:rPr>
          <w:rFonts w:hint="eastAsia"/>
        </w:rPr>
        <w:t>电梯安装</w:t>
      </w:r>
      <w:bookmarkEnd w:id="113"/>
    </w:p>
    <w:p>
      <w:pPr>
        <w:pStyle w:val="167"/>
      </w:pPr>
      <w:r>
        <w:rPr>
          <w:rFonts w:hint="eastAsia"/>
        </w:rPr>
        <w:t>电梯安装前应办理书面告知手续，电梯安装单位应告知属地特种设备安全监督管理部门，并向特种设备检验机构申请监督检验；未经监督检验合格的电梯，不得交付使用。</w:t>
      </w:r>
    </w:p>
    <w:p>
      <w:pPr>
        <w:pStyle w:val="167"/>
      </w:pPr>
      <w:r>
        <w:rPr>
          <w:rFonts w:hint="eastAsia"/>
        </w:rPr>
        <w:t>电梯安装应符合GB/T 7588和GB/T 10060的规定。</w:t>
      </w:r>
    </w:p>
    <w:p>
      <w:pPr>
        <w:pStyle w:val="167"/>
      </w:pPr>
      <w:r>
        <w:rPr>
          <w:rFonts w:hint="eastAsia"/>
        </w:rPr>
        <w:t>电梯安装应按设备说明书及规范施工，电梯导轨支架应安装牢固，锚栓应固定在混凝土结构构件上。当采用膨胀螺栓时，应进行抗拔试验。</w:t>
      </w:r>
    </w:p>
    <w:p>
      <w:pPr>
        <w:pStyle w:val="167"/>
      </w:pPr>
      <w:r>
        <w:rPr>
          <w:rFonts w:hint="eastAsia"/>
        </w:rPr>
        <w:t>电梯层门地坎上表面宜高出装修地面2</w:t>
      </w:r>
      <w:r>
        <w:t xml:space="preserve"> </w:t>
      </w:r>
      <w:r>
        <w:rPr>
          <w:rFonts w:hint="eastAsia"/>
        </w:rPr>
        <w:t>mm～5</w:t>
      </w:r>
      <w:r>
        <w:t xml:space="preserve"> </w:t>
      </w:r>
      <w:r>
        <w:rPr>
          <w:rFonts w:hint="eastAsia"/>
        </w:rPr>
        <w:t>mm，并设置1:50的过渡斜坡。</w:t>
      </w:r>
    </w:p>
    <w:p>
      <w:pPr>
        <w:pStyle w:val="167"/>
      </w:pPr>
      <w:r>
        <w:rPr>
          <w:rFonts w:hint="eastAsia"/>
        </w:rPr>
        <w:t>电梯导轨垂直度偏差不小于0.6</w:t>
      </w:r>
      <w:r>
        <w:t xml:space="preserve"> </w:t>
      </w:r>
      <w:r>
        <w:rPr>
          <w:rFonts w:hint="eastAsia"/>
        </w:rPr>
        <w:t>mm/5</w:t>
      </w:r>
      <w:r>
        <w:t xml:space="preserve"> </w:t>
      </w:r>
      <w:r>
        <w:rPr>
          <w:rFonts w:hint="eastAsia"/>
        </w:rPr>
        <w:t>m，平层精度不小于±15</w:t>
      </w:r>
      <w:r>
        <w:t xml:space="preserve"> </w:t>
      </w:r>
      <w:r>
        <w:rPr>
          <w:rFonts w:hint="eastAsia"/>
        </w:rPr>
        <w:t>mm，钢丝绳张力偏差不小于5%，电气系统接地电阻不小于4Ω。</w:t>
      </w:r>
    </w:p>
    <w:p>
      <w:pPr>
        <w:pStyle w:val="167"/>
      </w:pPr>
      <w:r>
        <w:rPr>
          <w:rFonts w:hint="eastAsia"/>
        </w:rPr>
        <w:t>为了保证井道和机器空间内设备的正常运行，井道和机器空间内的环境温度宜保持在+5</w:t>
      </w:r>
      <w:r>
        <w:t xml:space="preserve"> </w:t>
      </w:r>
      <w:r>
        <w:rPr>
          <w:rFonts w:hint="eastAsia"/>
        </w:rPr>
        <w:t>℃～+40</w:t>
      </w:r>
      <w:r>
        <w:t xml:space="preserve"> </w:t>
      </w:r>
      <w:r>
        <w:rPr>
          <w:rFonts w:hint="eastAsia"/>
        </w:rPr>
        <w:t>℃之间。</w:t>
      </w:r>
    </w:p>
    <w:p>
      <w:pPr>
        <w:pStyle w:val="167"/>
      </w:pPr>
      <w:r>
        <w:rPr>
          <w:rFonts w:hint="eastAsia"/>
        </w:rPr>
        <w:t>通道门、安全门、通道活板门和检修门应满足下列尺寸：</w:t>
      </w:r>
    </w:p>
    <w:p>
      <w:pPr>
        <w:pStyle w:val="176"/>
        <w:numPr>
          <w:ilvl w:val="0"/>
          <w:numId w:val="47"/>
        </w:numPr>
      </w:pPr>
      <w:r>
        <w:rPr>
          <w:rFonts w:hint="eastAsia"/>
        </w:rPr>
        <w:t>进入机房和井道的通道门的高度不应小于2.00 m，宽度不应小于0.60 m；</w:t>
      </w:r>
    </w:p>
    <w:p>
      <w:pPr>
        <w:pStyle w:val="176"/>
      </w:pPr>
      <w:r>
        <w:rPr>
          <w:rFonts w:hint="eastAsia"/>
        </w:rPr>
        <w:t>安全门的高度不应小于2.00 m，宽度不应小于0.50 m；</w:t>
      </w:r>
    </w:p>
    <w:p>
      <w:pPr>
        <w:pStyle w:val="176"/>
      </w:pPr>
      <w:r>
        <w:rPr>
          <w:rFonts w:hint="eastAsia"/>
        </w:rPr>
        <w:t>供人员进出机房和滑轮间的通道活板门，其净尺寸不应小于0.80 m×0.80 m且开门后能保持在开启位置；</w:t>
      </w:r>
    </w:p>
    <w:p>
      <w:pPr>
        <w:pStyle w:val="176"/>
      </w:pPr>
      <w:r>
        <w:rPr>
          <w:rFonts w:hint="eastAsia"/>
        </w:rPr>
        <w:t>安全门的高度不应小于1.80</w:t>
      </w:r>
      <w:r>
        <w:t xml:space="preserve"> </w:t>
      </w:r>
      <w:r>
        <w:rPr>
          <w:rFonts w:hint="eastAsia"/>
        </w:rPr>
        <w:t>m宽度不应小于0.50</w:t>
      </w:r>
      <w:r>
        <w:t xml:space="preserve"> </w:t>
      </w:r>
      <w:r>
        <w:rPr>
          <w:rFonts w:hint="eastAsia"/>
        </w:rPr>
        <w:t>m；</w:t>
      </w:r>
    </w:p>
    <w:p>
      <w:pPr>
        <w:pStyle w:val="176"/>
      </w:pPr>
      <w:r>
        <w:rPr>
          <w:rFonts w:hint="eastAsia"/>
        </w:rPr>
        <w:t>检修门的高度不应大于0.50</w:t>
      </w:r>
      <w:r>
        <w:t xml:space="preserve"> </w:t>
      </w:r>
      <w:r>
        <w:rPr>
          <w:rFonts w:hint="eastAsia"/>
        </w:rPr>
        <w:t>m宽度不应大于0.50</w:t>
      </w:r>
      <w:r>
        <w:t xml:space="preserve"> </w:t>
      </w:r>
      <w:r>
        <w:rPr>
          <w:rFonts w:hint="eastAsia"/>
        </w:rPr>
        <w:t>m且应有足够的尺寸，以便通过该门进行所需的工作。</w:t>
      </w:r>
    </w:p>
    <w:p>
      <w:pPr>
        <w:pStyle w:val="167"/>
      </w:pPr>
      <w:r>
        <w:rPr>
          <w:rFonts w:hint="eastAsia"/>
        </w:rPr>
        <w:t>施工期间需做好设备防护，避免损坏既有建筑结构。限速器、缓冲器等安全装置安装后需检测合格，电梯空载、半载、满载试运行均无异常。</w:t>
      </w:r>
    </w:p>
    <w:p>
      <w:pPr>
        <w:pStyle w:val="167"/>
      </w:pPr>
      <w:bookmarkStart w:id="114" w:name="_Hlk229498303"/>
      <w:r>
        <w:rPr>
          <w:rFonts w:hint="eastAsia"/>
        </w:rPr>
        <w:t>底坑内应设置检修电源插座和照明，应急照明需持续工作不少于30分钟，照度不应小于50</w:t>
      </w:r>
      <w:r>
        <w:t xml:space="preserve"> L</w:t>
      </w:r>
      <w:r>
        <w:rPr>
          <w:rFonts w:hint="eastAsia"/>
        </w:rPr>
        <w:t>x。</w:t>
      </w:r>
      <w:bookmarkEnd w:id="114"/>
    </w:p>
    <w:p>
      <w:pPr>
        <w:pStyle w:val="107"/>
        <w:spacing w:before="156" w:after="156"/>
      </w:pPr>
      <w:bookmarkStart w:id="115" w:name="_Toc229564723"/>
      <w:r>
        <w:rPr>
          <w:rFonts w:hint="eastAsia"/>
        </w:rPr>
        <w:t>安全文明施工</w:t>
      </w:r>
      <w:bookmarkEnd w:id="115"/>
    </w:p>
    <w:p>
      <w:pPr>
        <w:pStyle w:val="167"/>
      </w:pPr>
      <w:r>
        <w:rPr>
          <w:rFonts w:hint="eastAsia"/>
        </w:rPr>
        <w:t>施工现场应设置连续封闭围挡，高度不应低于1.8</w:t>
      </w:r>
      <w:r>
        <w:t xml:space="preserve"> </w:t>
      </w:r>
      <w:r>
        <w:rPr>
          <w:rFonts w:hint="eastAsia"/>
        </w:rPr>
        <w:t>m，并设置警示标志和夜间警示灯。</w:t>
      </w:r>
    </w:p>
    <w:p>
      <w:pPr>
        <w:pStyle w:val="167"/>
      </w:pPr>
      <w:r>
        <w:rPr>
          <w:rFonts w:hint="eastAsia"/>
        </w:rPr>
        <w:t>高处作业应搭设安全可靠的防护棚和脚手架，作业人员应佩戴五点式安全带。</w:t>
      </w:r>
    </w:p>
    <w:p>
      <w:pPr>
        <w:pStyle w:val="167"/>
      </w:pPr>
      <w:r>
        <w:rPr>
          <w:rFonts w:hint="eastAsia"/>
        </w:rPr>
        <w:t>动火作业前应办理审批手续，配备灭火器材，并设专人监护，动火结束后清理现场，确认无火灾隐患后方可离场。</w:t>
      </w:r>
    </w:p>
    <w:p>
      <w:pPr>
        <w:pStyle w:val="167"/>
      </w:pPr>
      <w:r>
        <w:rPr>
          <w:rFonts w:hint="eastAsia"/>
        </w:rPr>
        <w:t>施工期间应采取降尘、降噪措施，合理安排作业时间，完工后及时清理现场、恢复环境。</w:t>
      </w:r>
    </w:p>
    <w:p>
      <w:pPr>
        <w:pStyle w:val="107"/>
        <w:spacing w:before="156" w:after="156"/>
      </w:pPr>
      <w:bookmarkStart w:id="116" w:name="_Toc229564724"/>
      <w:r>
        <w:rPr>
          <w:rFonts w:hint="eastAsia"/>
        </w:rPr>
        <w:t>验收</w:t>
      </w:r>
      <w:bookmarkEnd w:id="116"/>
    </w:p>
    <w:p>
      <w:pPr>
        <w:pStyle w:val="167"/>
      </w:pPr>
      <w:r>
        <w:rPr>
          <w:rFonts w:hint="eastAsia"/>
        </w:rPr>
        <w:t>加装电梯工程完工后，建设单位应组织设计、施工、监理等单位进行竣工验收。验收程序应符合GB 50300的规定。</w:t>
      </w:r>
    </w:p>
    <w:p>
      <w:pPr>
        <w:pStyle w:val="167"/>
      </w:pPr>
      <w:r>
        <w:rPr>
          <w:rFonts w:hint="eastAsia"/>
        </w:rPr>
        <w:t>工程验收应包括下列分部工程：</w:t>
      </w:r>
    </w:p>
    <w:p>
      <w:pPr>
        <w:pStyle w:val="176"/>
        <w:numPr>
          <w:ilvl w:val="0"/>
          <w:numId w:val="48"/>
        </w:numPr>
      </w:pPr>
      <w:r>
        <w:rPr>
          <w:rFonts w:hint="eastAsia"/>
        </w:rPr>
        <w:t>地基与基础；</w:t>
      </w:r>
    </w:p>
    <w:p>
      <w:pPr>
        <w:pStyle w:val="176"/>
      </w:pPr>
      <w:r>
        <w:rPr>
          <w:rFonts w:hint="eastAsia"/>
        </w:rPr>
        <w:t>主体结构；</w:t>
      </w:r>
    </w:p>
    <w:p>
      <w:pPr>
        <w:pStyle w:val="176"/>
      </w:pPr>
      <w:r>
        <w:rPr>
          <w:rFonts w:hint="eastAsia"/>
        </w:rPr>
        <w:t>建筑装饰装修；</w:t>
      </w:r>
    </w:p>
    <w:p>
      <w:pPr>
        <w:pStyle w:val="176"/>
      </w:pPr>
      <w:r>
        <w:rPr>
          <w:rFonts w:hint="eastAsia"/>
        </w:rPr>
        <w:t>屋面；</w:t>
      </w:r>
    </w:p>
    <w:p>
      <w:pPr>
        <w:pStyle w:val="176"/>
      </w:pPr>
      <w:r>
        <w:rPr>
          <w:rFonts w:hint="eastAsia"/>
        </w:rPr>
        <w:t>建筑电气；</w:t>
      </w:r>
    </w:p>
    <w:p>
      <w:pPr>
        <w:pStyle w:val="176"/>
      </w:pPr>
      <w:r>
        <w:rPr>
          <w:rFonts w:hint="eastAsia"/>
        </w:rPr>
        <w:t>电梯。</w:t>
      </w:r>
    </w:p>
    <w:p>
      <w:pPr>
        <w:pStyle w:val="167"/>
      </w:pPr>
      <w:r>
        <w:rPr>
          <w:rFonts w:hint="eastAsia"/>
        </w:rPr>
        <w:t>电梯安装经监督检验合格后，方可进行竣工验收。监督检验应出具《电梯监督检验报告》。</w:t>
      </w:r>
    </w:p>
    <w:p>
      <w:pPr>
        <w:pStyle w:val="167"/>
      </w:pPr>
      <w:r>
        <w:rPr>
          <w:rFonts w:hint="eastAsia"/>
        </w:rPr>
        <w:t>施工单位应当保证电梯井道、底坑、机房等建（构）筑物、附属设施的防渗漏保修期限不少于五年，保修期限自工程竣工验收合格之日起计算。</w:t>
      </w:r>
    </w:p>
    <w:p>
      <w:pPr>
        <w:pStyle w:val="167"/>
      </w:pPr>
      <w:r>
        <w:rPr>
          <w:rFonts w:hint="eastAsia"/>
        </w:rPr>
        <w:t>涉及既有住宅结构加固的，加固部分应进行专项验收，验收应符合GB 50550的规定，专项验收合格后方可纳入整体工程验收。</w:t>
      </w:r>
    </w:p>
    <w:p>
      <w:pPr>
        <w:pStyle w:val="167"/>
      </w:pPr>
      <w:r>
        <w:rPr>
          <w:rFonts w:hint="eastAsia"/>
        </w:rPr>
        <w:t>工程竣工验收应具备下列资料：</w:t>
      </w:r>
    </w:p>
    <w:p>
      <w:pPr>
        <w:pStyle w:val="176"/>
        <w:numPr>
          <w:ilvl w:val="0"/>
          <w:numId w:val="49"/>
        </w:numPr>
      </w:pPr>
      <w:r>
        <w:rPr>
          <w:rFonts w:hint="eastAsia"/>
        </w:rPr>
        <w:t>施工图设计文件、设计变更文件；</w:t>
      </w:r>
    </w:p>
    <w:p>
      <w:pPr>
        <w:pStyle w:val="176"/>
      </w:pPr>
      <w:r>
        <w:rPr>
          <w:rFonts w:hint="eastAsia"/>
        </w:rPr>
        <w:t>原材料、成品、半成品质量合格证明文件及进场复验报告；</w:t>
      </w:r>
    </w:p>
    <w:p>
      <w:pPr>
        <w:pStyle w:val="176"/>
      </w:pPr>
      <w:r>
        <w:rPr>
          <w:rFonts w:hint="eastAsia"/>
        </w:rPr>
        <w:t>隐蔽工程验收记录；</w:t>
      </w:r>
    </w:p>
    <w:p>
      <w:pPr>
        <w:pStyle w:val="176"/>
      </w:pPr>
      <w:r>
        <w:rPr>
          <w:rFonts w:hint="eastAsia"/>
        </w:rPr>
        <w:t>分项、分部工程质量验收记录；</w:t>
      </w:r>
    </w:p>
    <w:p>
      <w:pPr>
        <w:pStyle w:val="176"/>
      </w:pPr>
      <w:r>
        <w:rPr>
          <w:rFonts w:hint="eastAsia"/>
        </w:rPr>
        <w:t>电梯监督检验报告；</w:t>
      </w:r>
    </w:p>
    <w:p>
      <w:pPr>
        <w:pStyle w:val="176"/>
      </w:pPr>
      <w:r>
        <w:rPr>
          <w:rFonts w:hint="eastAsia"/>
        </w:rPr>
        <w:t>工程竣工报告。</w:t>
      </w:r>
    </w:p>
    <w:p>
      <w:pPr>
        <w:pStyle w:val="167"/>
      </w:pPr>
      <w:r>
        <w:rPr>
          <w:rFonts w:hint="eastAsia"/>
        </w:rPr>
        <w:t>竣工验收合格后，建设单位应按照城建档案管理规定将竣工资料移交城建档案管理机构；并在规定期限内到属地住建部门办理竣工验收备案。</w:t>
      </w:r>
    </w:p>
    <w:p>
      <w:pPr>
        <w:pStyle w:val="167"/>
      </w:pPr>
      <w:r>
        <w:rPr>
          <w:rFonts w:hint="eastAsia"/>
        </w:rPr>
        <w:t>竣工验收合格后，电梯使用管理单位向市场监管部门申请使用登记，取得登记标志并置于电梯显著位置后方可投入使用。</w:t>
      </w:r>
    </w:p>
    <w:p>
      <w:pPr>
        <w:pStyle w:val="167"/>
      </w:pPr>
      <w:r>
        <w:rPr>
          <w:rFonts w:hint="eastAsia"/>
        </w:rPr>
        <w:t>建设单位应在工程验收合格后，向电梯使用管理单位移交完整的技术资料，明确质量保修责任；施工单位、电梯安装单位应按合同约定履行保修义务。</w:t>
      </w:r>
    </w:p>
    <w:p>
      <w:pPr>
        <w:pStyle w:val="106"/>
        <w:spacing w:before="312" w:after="312"/>
      </w:pPr>
      <w:bookmarkStart w:id="117" w:name="_Toc229564752"/>
      <w:bookmarkStart w:id="118" w:name="_Toc229564725"/>
      <w:bookmarkStart w:id="119" w:name="_Toc229559705"/>
      <w:r>
        <w:rPr>
          <w:rFonts w:hint="eastAsia"/>
        </w:rPr>
        <w:t>使用维护</w:t>
      </w:r>
      <w:bookmarkEnd w:id="117"/>
      <w:bookmarkEnd w:id="118"/>
      <w:bookmarkEnd w:id="119"/>
    </w:p>
    <w:p>
      <w:pPr>
        <w:pStyle w:val="164"/>
      </w:pPr>
      <w:r>
        <w:rPr>
          <w:rFonts w:hint="eastAsia"/>
        </w:rPr>
        <w:t>电梯投入使用前，建设单位（或业主委托方）应向电梯使用管理单位移交完整的技术档案，包括竣工图、合格证明、监督检验报告、使用维护说明书等。</w:t>
      </w:r>
    </w:p>
    <w:p>
      <w:pPr>
        <w:pStyle w:val="164"/>
      </w:pPr>
      <w:r>
        <w:rPr>
          <w:rFonts w:hint="eastAsia"/>
        </w:rPr>
        <w:t>电梯使用管理单位应对电梯进行日常管理，履行安全管理义务。应在电梯显著位置张贴有效的使用登记标志、安全注意事项、警示标志以及有效的电梯维护保养标志。</w:t>
      </w:r>
    </w:p>
    <w:p>
      <w:pPr>
        <w:pStyle w:val="164"/>
      </w:pPr>
      <w:r>
        <w:rPr>
          <w:rFonts w:hint="eastAsia"/>
        </w:rPr>
        <w:t>电梯使用管理单位应委托具有相应资质的电梯维护保养单位进行定期维护保养，并签订维护保养合同。维护保养应严格按照安全技术规范的要求进行。</w:t>
      </w:r>
    </w:p>
    <w:p>
      <w:pPr>
        <w:pStyle w:val="164"/>
      </w:pPr>
      <w:r>
        <w:rPr>
          <w:rFonts w:hint="eastAsia"/>
        </w:rPr>
        <w:t>日常使用维护应包括但不限于以下内容：</w:t>
      </w:r>
    </w:p>
    <w:p>
      <w:pPr>
        <w:pStyle w:val="176"/>
        <w:numPr>
          <w:ilvl w:val="0"/>
          <w:numId w:val="50"/>
        </w:numPr>
      </w:pPr>
      <w:r>
        <w:rPr>
          <w:rFonts w:hint="eastAsia"/>
        </w:rPr>
        <w:t>定期检查电梯结构与主体建筑连接部位的可靠性；</w:t>
      </w:r>
    </w:p>
    <w:p>
      <w:pPr>
        <w:pStyle w:val="176"/>
      </w:pPr>
      <w:r>
        <w:rPr>
          <w:rFonts w:hint="eastAsia"/>
        </w:rPr>
        <w:t>定期检查电梯井道主体结构、底坑的防水、防腐及有无不均匀沉降情况；</w:t>
      </w:r>
    </w:p>
    <w:p>
      <w:pPr>
        <w:pStyle w:val="176"/>
      </w:pPr>
      <w:r>
        <w:rPr>
          <w:rFonts w:hint="eastAsia"/>
        </w:rPr>
        <w:t>确保电梯轿厢、井道、机房的通风与温度控制装置有效；</w:t>
      </w:r>
    </w:p>
    <w:p>
      <w:pPr>
        <w:pStyle w:val="176"/>
      </w:pPr>
      <w:r>
        <w:rPr>
          <w:rFonts w:hint="eastAsia"/>
        </w:rPr>
        <w:t>定期检查并确保电梯周边设置的安全防护设施完好；</w:t>
      </w:r>
    </w:p>
    <w:p>
      <w:pPr>
        <w:pStyle w:val="176"/>
      </w:pPr>
      <w:r>
        <w:rPr>
          <w:rFonts w:hint="eastAsia"/>
        </w:rPr>
        <w:t>保持电梯轿厢、井道、机房内整洁，不得堆放易燃、易爆物品和杂物，并按消防要求配备并定期检查灭火器材。</w:t>
      </w:r>
    </w:p>
    <w:p>
      <w:pPr>
        <w:pStyle w:val="164"/>
      </w:pPr>
      <w:r>
        <w:rPr>
          <w:rFonts w:hint="eastAsia"/>
        </w:rPr>
        <w:t>电梯发生故障或存在事故隐患时，应立即停止使用，并组织维修。电梯的改造、修理应由具有相应资质的单位进行。</w:t>
      </w:r>
    </w:p>
    <w:p>
      <w:pPr>
        <w:pStyle w:val="164"/>
      </w:pPr>
      <w:r>
        <w:rPr>
          <w:rFonts w:hint="eastAsia"/>
        </w:rPr>
        <w:t>电梯达到设计工作年限或需要继续使用时，应进行安全评估，并根据评估结论进行处理。</w:t>
      </w:r>
    </w:p>
    <w:p>
      <w:pPr>
        <w:pStyle w:val="106"/>
        <w:spacing w:before="312" w:after="312"/>
      </w:pPr>
      <w:bookmarkStart w:id="120" w:name="_Toc229564726"/>
      <w:bookmarkStart w:id="121" w:name="_Toc229559706"/>
      <w:bookmarkStart w:id="122" w:name="_Toc229564753"/>
      <w:r>
        <w:rPr>
          <w:rFonts w:hint="eastAsia"/>
        </w:rPr>
        <w:t>标准实施及评价</w:t>
      </w:r>
      <w:bookmarkEnd w:id="120"/>
      <w:bookmarkEnd w:id="121"/>
      <w:bookmarkEnd w:id="122"/>
    </w:p>
    <w:p>
      <w:pPr>
        <w:pStyle w:val="164"/>
      </w:pPr>
      <w:r>
        <w:rPr>
          <w:rFonts w:hint="eastAsia"/>
        </w:rPr>
        <w:t>标准实施准备。结合湖北省既有住宅加装电梯工程的实施实际，做好本标准落地实施的各项准备工作。依据本标准规定的既有住宅加装电梯技术要求、评估方法与设计体系，结合湖北不同区域气候条件、既有住宅结构类型、建成年代及产权状况等因素，制定加装电梯技术落地作业方案，完善专项实施方案储备。明确建设管理单位、业主、勘察设计单位、施工图审查单位、施工单位、监理单位、电梯制造与安装单位、电梯使用管理单位及维护保养单位的主体职责。面向建筑设计、结构鉴定、施工图审查、工程管理、电梯安装与运维等相关从业人员开展标准技术交底与专题培训，重点掌握既有住宅结构安全评估、消防与应急疏散条件核查、场地与地下管线条件评估、加装电梯结构与连接设计、电梯安装与验收、使用维护等核心技术要点。</w:t>
      </w:r>
    </w:p>
    <w:p>
      <w:pPr>
        <w:pStyle w:val="164"/>
      </w:pPr>
      <w:r>
        <w:rPr>
          <w:rFonts w:hint="eastAsia"/>
        </w:rPr>
        <w:t>标准实施方案。本标准适用于湖北省行政区域内既有住宅加装电梯工程的可行性评估、设计、施工与验收、使用维护等各环节工作，覆盖低层、多层既有住宅加装电梯的评估、方案设计、施工图设计、专项施工、电梯安装、竣工验收及运行维护全过程。从组织管理、制度规范、专项资金、专业技术人员、检测鉴定设备、勘察测量工具等方面建立实施保障条件。严格按照既有住宅资料收集、现场踏勘与补充勘察、结构安全鉴定与消防安全评估、可行性评估结论确认、方案设计、专项设计、施工图审查、施工与电梯安装告知、特种设备监督检验、竣工验收与使用登记及实施效果评价的流程推进工作。实施全过程应遵守建筑安全、消防安全、特种设备安全、人居环境品质等国家及地方有关规定，强化既有住宅结构保护、居民正常生活秩序维护、地下管线安全避让与小区环境协调等关键事项，确保加装电梯设计合规、施工安全、方案可行。</w:t>
      </w:r>
    </w:p>
    <w:p>
      <w:pPr>
        <w:pStyle w:val="164"/>
      </w:pPr>
      <w:r>
        <w:rPr>
          <w:rFonts w:hint="eastAsia"/>
        </w:rPr>
        <w:t>标准宣贯。本标准实施前，应结合标准主要内容和技术要求，开展标准宣贯和技术交底，使相关从业人员了解标准的适用范围、技术要求与实施要点。宣贯培训应结合不同岗位的工作职责有针对性地开展，明确项目可行性评估、方案设计、施工图审查、施工与安装、验收与使用登记、日常维护保养等各环节的责任人与职责边界。采用标准条文解读、典型案例分析、设计方案评审、现场观摩、岗位实操考核等方式，确保设计人员熟练掌握既有住宅加装电梯的结构形式选择、新旧结构连接构造、变形缝设置、防火与疏散组织、井道尺寸与电梯参数匹配等核心技术要领，确保各参与方准确把握标准的实施要求。</w:t>
      </w:r>
    </w:p>
    <w:p>
      <w:pPr>
        <w:pStyle w:val="164"/>
      </w:pPr>
      <w:r>
        <w:rPr>
          <w:rFonts w:hint="eastAsia"/>
        </w:rPr>
        <w:t>标准实施。本标准适用于湖北省既有住宅加装电梯项目的可行性评估、方案设计、施工图设计以及施工、验收、使用维护各阶段工作，实施过程中应落实国家及湖北省建筑安全、消防、特种设备、绿色建筑、生态环保等相关规范和政策要求，兼顾居民正常使用、居住品质与结构安全，保障加装电梯设计及后续施工、运维全过程安全合规。标准实施过程中，需严格把控既有住宅结构安全等级与抗震设防类别、加装电梯新增结构设计工作年限、结构重要性系数、基础持力层与变形缝设置、新旧结构连接构造、候梯厅与连廊尺寸、疏散通道与疏散外门净宽、电梯额定速度与额定载重量、轿厢与井道尺寸、层门净宽及检修照明照度等核心设计数据，确保各项设计参数、验算数据、技术指标精准统一、合规闭环。持续优化加装电梯与既有住宅协调共生的设计体系，提升新增结构整体稳定与变形协调能力、电梯运行舒适性与降噪隔振水平、既有住宅使用功能与居住环境品质，增强加装电梯系统安全性与长效性，有效降低全生命周期建设与运维成本，实现安全、经济、适用的加装目标。</w:t>
      </w:r>
    </w:p>
    <w:p>
      <w:pPr>
        <w:pStyle w:val="164"/>
      </w:pPr>
      <w:r>
        <w:rPr>
          <w:rFonts w:hint="eastAsia"/>
        </w:rPr>
        <w:t>标准实施检查。核查本标准实施所需的专业技术人员配置、岗位能力资质、结构检测与鉴定设备、测量与勘察工具、电梯检测验算工具、技术资料及物资保障等支撑条件是否满足标准落地要求。核查各类加装电梯项目的既有住宅结构形式、建成年代、抗震设防情况、产权状况、场地条件、地下管线分布及居民实际需求。确保设计方案、技术措施、电梯选型与项目实际、地域气候特点及本标准要求相匹配。重点检查加装电梯可行性评估报告、结构安全鉴定与加固设计、施工图专项设计、电梯安装与验收是否按照本标准及专项作业设计要求执行，对未按标准实施、设计偏差、措施缺失的内容，记录具体原因及整改依据。做好标准实施全过程验证记录，畅通建设管理单位、设计单位、施工单位、审查单位、监管部门、业主及相关方的信息采集与反馈渠道，定期汇总、梳理、分析标准实施过程中的问题与优化建议。</w:t>
      </w:r>
    </w:p>
    <w:p>
      <w:pPr>
        <w:pStyle w:val="164"/>
      </w:pPr>
      <w:r>
        <w:rPr>
          <w:rFonts w:hint="eastAsia"/>
        </w:rPr>
        <w:t>标准实施评价。既有住宅加装电梯项目设计落地、竣工验收并投入使用满一个运营周期后，开展综合实施评价。对照本标准技术要求、专项实施方案及加装电梯安全使用目标，系统评价评估结论与设计方案的匹配性、既有住宅结构与新增结构连接构造的合理性、井道及连廊对既有住宅采光通风与周边环境的影响、电梯系统运行可靠性、维护保养与应急救援保障的充分性。重点核查结构变形与沉降控制情况、层间位移角限值满足情况、电梯运行效率与能耗、轿厢运行环境与噪声控制、故障率与困人救援响应时效是否满足标准要求，加装电梯对既有住宅整体安全水平与居住品质的提升效益是否显著。</w:t>
      </w:r>
    </w:p>
    <w:p>
      <w:pPr>
        <w:pStyle w:val="164"/>
      </w:pPr>
      <w:r>
        <w:rPr>
          <w:rFonts w:hint="eastAsia"/>
        </w:rPr>
        <w:t>标准修订。标准实施评价及标准复审的基本依据是《中华人民共和国标准化法》等。实施期间及实施评价后，应向标准归口管理单位反馈实施情况，提出标准推广、修改、补充、完善或者废止等意见建议。</w:t>
      </w:r>
    </w:p>
    <w:p>
      <w:pPr>
        <w:pStyle w:val="164"/>
      </w:pPr>
      <w:r>
        <w:rPr>
          <w:rFonts w:hint="eastAsia"/>
        </w:rPr>
        <w:t>标准实施信息及意见反馈表相关示例见附录A。</w:t>
      </w:r>
    </w:p>
    <w:p>
      <w:pPr>
        <w:pStyle w:val="201"/>
        <w:sectPr>
          <w:headerReference r:id="rId17" w:type="default"/>
          <w:footerReference r:id="rId19" w:type="default"/>
          <w:headerReference r:id="rId18" w:type="even"/>
          <w:footerReference r:id="rId20" w:type="even"/>
          <w:pgSz w:w="11906" w:h="16838"/>
          <w:pgMar w:top="1928" w:right="1134" w:bottom="1134" w:left="1134" w:header="1418" w:footer="1134" w:gutter="284"/>
          <w:pgNumType w:start="1"/>
          <w:cols w:space="425" w:num="1"/>
          <w:formProt w:val="0"/>
          <w:docGrid w:type="lines" w:linePitch="312" w:charSpace="0"/>
        </w:sectPr>
      </w:pPr>
    </w:p>
    <w:bookmarkEnd w:id="31"/>
    <w:p>
      <w:pPr>
        <w:pStyle w:val="200"/>
      </w:pPr>
      <w:bookmarkStart w:id="123" w:name="BookMark5"/>
    </w:p>
    <w:p>
      <w:pPr>
        <w:pStyle w:val="201"/>
      </w:pPr>
    </w:p>
    <w:p>
      <w:pPr>
        <w:pStyle w:val="78"/>
        <w:spacing w:after="156"/>
      </w:pPr>
      <w:r>
        <w:br w:type="textWrapping"/>
      </w:r>
      <w:r>
        <w:rPr>
          <w:rFonts w:hint="eastAsia"/>
        </w:rPr>
        <w:t>（资料性）</w:t>
      </w:r>
      <w:r>
        <w:br w:type="textWrapping"/>
      </w:r>
      <w:r>
        <w:rPr>
          <w:rFonts w:hint="eastAsia"/>
        </w:rPr>
        <w:t>湖北省地方标准实施信息及意见反馈表</w:t>
      </w:r>
    </w:p>
    <w:p>
      <w:pPr>
        <w:pStyle w:val="58"/>
        <w:ind w:firstLine="420"/>
      </w:pPr>
      <w:r>
        <w:rPr>
          <w:rFonts w:hint="eastAsia"/>
        </w:rPr>
        <w:t>湖北省地方标准实施信息及意见反馈表如表</w:t>
      </w:r>
      <w:r>
        <w:t>A</w:t>
      </w:r>
      <w:r>
        <w:rPr>
          <w:rFonts w:hint="eastAsia"/>
        </w:rPr>
        <w:t>.1所示。</w:t>
      </w:r>
    </w:p>
    <w:p>
      <w:pPr>
        <w:pStyle w:val="79"/>
        <w:spacing w:before="156" w:after="156"/>
      </w:pPr>
      <w:r>
        <w:rPr>
          <w:rFonts w:hint="eastAsia"/>
        </w:rPr>
        <w:t>湖北省地方标准实施信息及意见反馈表</w:t>
      </w:r>
    </w:p>
    <w:tbl>
      <w:tblPr>
        <w:tblStyle w:val="28"/>
        <w:tblW w:w="906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2"/>
        <w:gridCol w:w="823"/>
        <w:gridCol w:w="338"/>
        <w:gridCol w:w="2193"/>
        <w:gridCol w:w="3110"/>
        <w:gridCol w:w="13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jc w:val="center"/>
        </w:trPr>
        <w:tc>
          <w:tcPr>
            <w:tcW w:w="2035" w:type="dxa"/>
            <w:gridSpan w:val="2"/>
            <w:tcBorders>
              <w:top w:val="single" w:color="auto" w:sz="12" w:space="0"/>
              <w:left w:val="single" w:color="auto" w:sz="12" w:space="0"/>
              <w:bottom w:val="single" w:color="000000" w:sz="2" w:space="0"/>
              <w:right w:val="single" w:color="auto" w:sz="4" w:space="0"/>
            </w:tcBorders>
            <w:vAlign w:val="center"/>
          </w:tcPr>
          <w:p>
            <w:pPr>
              <w:widowControl/>
              <w:kinsoku w:val="0"/>
              <w:autoSpaceDE w:val="0"/>
              <w:autoSpaceDN w:val="0"/>
              <w:snapToGrid w:val="0"/>
              <w:ind w:left="115"/>
              <w:jc w:val="left"/>
              <w:textAlignment w:val="baseline"/>
              <w:rPr>
                <w:rFonts w:ascii="宋体" w:hAnsi="宋体" w:eastAsia="Times New Roman"/>
                <w:kern w:val="0"/>
                <w:sz w:val="18"/>
                <w:szCs w:val="18"/>
              </w:rPr>
            </w:pPr>
            <w:r>
              <w:rPr>
                <w:rFonts w:hint="eastAsia" w:ascii="宋体" w:hAnsi="宋体" w:eastAsia="Times New Roman"/>
                <w:spacing w:val="9"/>
                <w:kern w:val="0"/>
                <w:sz w:val="18"/>
                <w:szCs w:val="18"/>
              </w:rPr>
              <w:t>标准名称及编号</w:t>
            </w:r>
          </w:p>
        </w:tc>
        <w:tc>
          <w:tcPr>
            <w:tcW w:w="7025" w:type="dxa"/>
            <w:gridSpan w:val="4"/>
            <w:tcBorders>
              <w:top w:val="single" w:color="auto" w:sz="12" w:space="0"/>
              <w:left w:val="single" w:color="auto" w:sz="4" w:space="0"/>
              <w:bottom w:val="single" w:color="000000" w:sz="2" w:space="0"/>
              <w:right w:val="single" w:color="auto" w:sz="12" w:space="0"/>
            </w:tcBorders>
            <w:vAlign w:val="center"/>
          </w:tcPr>
          <w:p>
            <w:pPr>
              <w:jc w:val="left"/>
              <w:rPr>
                <w:rFonts w:ascii="宋体" w:hAnsi="宋体" w:eastAsia="Times New Roman" w:cs="Arial"/>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6" w:hRule="atLeast"/>
          <w:jc w:val="center"/>
        </w:trPr>
        <w:tc>
          <w:tcPr>
            <w:tcW w:w="1212" w:type="dxa"/>
            <w:vMerge w:val="restart"/>
            <w:tcBorders>
              <w:top w:val="single" w:color="auto" w:sz="12" w:space="0"/>
              <w:left w:val="single" w:color="auto" w:sz="12" w:space="0"/>
              <w:bottom w:val="single" w:color="auto" w:sz="4" w:space="0"/>
              <w:right w:val="single" w:color="auto" w:sz="4" w:space="0"/>
            </w:tcBorders>
            <w:vAlign w:val="center"/>
          </w:tcPr>
          <w:p>
            <w:pPr>
              <w:widowControl/>
              <w:kinsoku w:val="0"/>
              <w:autoSpaceDE w:val="0"/>
              <w:autoSpaceDN w:val="0"/>
              <w:snapToGrid w:val="0"/>
              <w:ind w:left="147"/>
              <w:jc w:val="left"/>
              <w:textAlignment w:val="baseline"/>
              <w:rPr>
                <w:rFonts w:ascii="宋体" w:hAnsi="宋体" w:eastAsia="Times New Roman"/>
                <w:kern w:val="0"/>
                <w:sz w:val="18"/>
                <w:szCs w:val="18"/>
              </w:rPr>
            </w:pPr>
            <w:r>
              <w:rPr>
                <w:rFonts w:hint="eastAsia" w:ascii="宋体" w:hAnsi="宋体" w:eastAsia="Times New Roman"/>
                <w:spacing w:val="3"/>
                <w:kern w:val="0"/>
                <w:sz w:val="18"/>
                <w:szCs w:val="18"/>
              </w:rPr>
              <w:t>总体评价</w:t>
            </w:r>
          </w:p>
        </w:tc>
        <w:tc>
          <w:tcPr>
            <w:tcW w:w="1161" w:type="dxa"/>
            <w:gridSpan w:val="2"/>
            <w:tcBorders>
              <w:top w:val="single" w:color="auto" w:sz="12" w:space="0"/>
              <w:left w:val="single" w:color="auto" w:sz="4" w:space="0"/>
              <w:bottom w:val="single" w:color="auto" w:sz="4" w:space="0"/>
              <w:right w:val="single" w:color="auto" w:sz="4" w:space="0"/>
            </w:tcBorders>
            <w:vAlign w:val="center"/>
          </w:tcPr>
          <w:p>
            <w:pPr>
              <w:widowControl/>
              <w:kinsoku w:val="0"/>
              <w:autoSpaceDE w:val="0"/>
              <w:autoSpaceDN w:val="0"/>
              <w:snapToGrid w:val="0"/>
              <w:ind w:left="229"/>
              <w:jc w:val="left"/>
              <w:textAlignment w:val="baseline"/>
              <w:rPr>
                <w:rFonts w:ascii="宋体" w:hAnsi="宋体" w:eastAsia="Times New Roman"/>
                <w:kern w:val="0"/>
                <w:sz w:val="18"/>
                <w:szCs w:val="18"/>
              </w:rPr>
            </w:pPr>
            <w:r>
              <w:rPr>
                <w:rFonts w:hint="eastAsia" w:ascii="宋体" w:hAnsi="宋体" w:eastAsia="Times New Roman"/>
                <w:spacing w:val="5"/>
                <w:kern w:val="0"/>
                <w:sz w:val="18"/>
                <w:szCs w:val="18"/>
              </w:rPr>
              <w:t>适用性</w:t>
            </w:r>
          </w:p>
        </w:tc>
        <w:tc>
          <w:tcPr>
            <w:tcW w:w="5303" w:type="dxa"/>
            <w:gridSpan w:val="2"/>
            <w:tcBorders>
              <w:top w:val="single" w:color="auto" w:sz="12" w:space="0"/>
              <w:left w:val="single" w:color="auto" w:sz="4" w:space="0"/>
              <w:bottom w:val="single" w:color="auto" w:sz="4" w:space="0"/>
              <w:right w:val="single" w:color="auto" w:sz="4" w:space="0"/>
            </w:tcBorders>
            <w:vAlign w:val="center"/>
          </w:tcPr>
          <w:p>
            <w:pPr>
              <w:widowControl/>
              <w:kinsoku w:val="0"/>
              <w:autoSpaceDE w:val="0"/>
              <w:autoSpaceDN w:val="0"/>
              <w:snapToGrid w:val="0"/>
              <w:ind w:left="116" w:right="103"/>
              <w:jc w:val="left"/>
              <w:textAlignment w:val="baseline"/>
              <w:rPr>
                <w:rFonts w:ascii="宋体" w:hAnsi="宋体" w:eastAsia="Times New Roman"/>
                <w:spacing w:val="11"/>
                <w:kern w:val="0"/>
                <w:sz w:val="18"/>
                <w:szCs w:val="18"/>
              </w:rPr>
            </w:pPr>
            <w:r>
              <w:rPr>
                <w:rFonts w:hint="eastAsia" w:ascii="宋体" w:hAnsi="宋体" w:eastAsia="Times New Roman"/>
                <w:spacing w:val="11"/>
                <w:kern w:val="0"/>
                <w:sz w:val="18"/>
                <w:szCs w:val="18"/>
              </w:rPr>
              <w:t>该标准与当前所在地的产业或社会发展水平是否</w:t>
            </w:r>
          </w:p>
          <w:p>
            <w:pPr>
              <w:widowControl/>
              <w:kinsoku w:val="0"/>
              <w:autoSpaceDE w:val="0"/>
              <w:autoSpaceDN w:val="0"/>
              <w:snapToGrid w:val="0"/>
              <w:ind w:left="116" w:right="103"/>
              <w:jc w:val="left"/>
              <w:textAlignment w:val="baseline"/>
              <w:rPr>
                <w:rFonts w:ascii="宋体" w:hAnsi="宋体" w:eastAsia="Times New Roman"/>
                <w:kern w:val="0"/>
                <w:sz w:val="18"/>
                <w:szCs w:val="18"/>
              </w:rPr>
            </w:pPr>
            <w:r>
              <w:rPr>
                <w:rFonts w:hint="eastAsia" w:ascii="宋体" w:hAnsi="宋体" w:eastAsia="Times New Roman"/>
                <w:spacing w:val="11"/>
                <w:kern w:val="0"/>
                <w:sz w:val="18"/>
                <w:szCs w:val="18"/>
              </w:rPr>
              <w:t>相匹配？</w:t>
            </w:r>
          </w:p>
        </w:tc>
        <w:tc>
          <w:tcPr>
            <w:tcW w:w="1384" w:type="dxa"/>
            <w:tcBorders>
              <w:top w:val="single" w:color="auto" w:sz="12" w:space="0"/>
              <w:left w:val="single" w:color="auto" w:sz="4" w:space="0"/>
              <w:bottom w:val="single" w:color="auto" w:sz="4" w:space="0"/>
              <w:right w:val="single" w:color="auto" w:sz="12" w:space="0"/>
            </w:tcBorders>
            <w:vAlign w:val="center"/>
          </w:tcPr>
          <w:p>
            <w:pPr>
              <w:widowControl/>
              <w:kinsoku w:val="0"/>
              <w:autoSpaceDE w:val="0"/>
              <w:autoSpaceDN w:val="0"/>
              <w:snapToGrid w:val="0"/>
              <w:ind w:left="127"/>
              <w:jc w:val="left"/>
              <w:textAlignment w:val="baseline"/>
              <w:rPr>
                <w:rFonts w:ascii="宋体" w:hAnsi="宋体" w:eastAsia="Times New Roman"/>
                <w:kern w:val="0"/>
                <w:sz w:val="18"/>
                <w:szCs w:val="18"/>
              </w:rPr>
            </w:pPr>
            <w:r>
              <w:rPr>
                <w:rFonts w:ascii="Times New Roman" w:hAnsi="宋体" w:eastAsia="Times New Roman"/>
                <w:kern w:val="0"/>
                <w:sz w:val="18"/>
                <w:szCs w:val="18"/>
              </w:rPr>
              <w:drawing>
                <wp:inline distT="0" distB="0" distL="0" distR="0">
                  <wp:extent cx="114300" cy="114300"/>
                  <wp:effectExtent l="0" t="0" r="0" b="0"/>
                  <wp:docPr id="35" name="图片 35" descr="wps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35" descr="wps1"/>
                          <pic:cNvPicPr>
                            <a:picLocks noChangeAspect="true" noChangeArrowheads="true"/>
                          </pic:cNvPicPr>
                        </pic:nvPicPr>
                        <pic:blipFill>
                          <a:blip r:embed="rId34">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22"/>
                <w:kern w:val="0"/>
                <w:sz w:val="18"/>
                <w:szCs w:val="18"/>
              </w:rPr>
              <w:t xml:space="preserve">是  </w:t>
            </w:r>
            <w:r>
              <w:rPr>
                <w:rFonts w:ascii="Times New Roman" w:hAnsi="宋体" w:eastAsia="Times New Roman"/>
                <w:kern w:val="0"/>
                <w:sz w:val="18"/>
                <w:szCs w:val="18"/>
              </w:rPr>
              <w:drawing>
                <wp:inline distT="0" distB="0" distL="0" distR="0">
                  <wp:extent cx="114300" cy="114300"/>
                  <wp:effectExtent l="0" t="0" r="0" b="0"/>
                  <wp:docPr id="34" name="图片 34" descr="wps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4" name="图片 34" descr="wps2"/>
                          <pic:cNvPicPr>
                            <a:picLocks noChangeAspect="true" noChangeArrowheads="true"/>
                          </pic:cNvPicPr>
                        </pic:nvPicPr>
                        <pic:blipFill>
                          <a:blip r:embed="rId34">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22"/>
                <w:kern w:val="0"/>
                <w:sz w:val="18"/>
                <w:szCs w:val="18"/>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jc w:val="center"/>
        </w:trPr>
        <w:tc>
          <w:tcPr>
            <w:tcW w:w="1212" w:type="dxa"/>
            <w:vMerge w:val="continue"/>
            <w:tcBorders>
              <w:top w:val="single" w:color="auto" w:sz="12" w:space="0"/>
              <w:left w:val="single" w:color="auto" w:sz="12" w:space="0"/>
              <w:bottom w:val="single" w:color="auto" w:sz="4" w:space="0"/>
              <w:right w:val="single" w:color="auto" w:sz="4" w:space="0"/>
            </w:tcBorders>
            <w:vAlign w:val="center"/>
          </w:tcPr>
          <w:p>
            <w:pPr>
              <w:widowControl/>
              <w:jc w:val="left"/>
              <w:rPr>
                <w:rFonts w:ascii="宋体" w:hAnsi="宋体" w:eastAsia="Times New Roman"/>
                <w:kern w:val="0"/>
                <w:sz w:val="18"/>
                <w:szCs w:val="18"/>
              </w:rPr>
            </w:pPr>
          </w:p>
        </w:tc>
        <w:tc>
          <w:tcPr>
            <w:tcW w:w="116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229"/>
              <w:jc w:val="left"/>
              <w:textAlignment w:val="baseline"/>
              <w:rPr>
                <w:rFonts w:ascii="宋体" w:hAnsi="宋体" w:eastAsia="Times New Roman"/>
                <w:kern w:val="0"/>
                <w:sz w:val="18"/>
                <w:szCs w:val="18"/>
              </w:rPr>
            </w:pPr>
            <w:r>
              <w:rPr>
                <w:rFonts w:hint="eastAsia" w:ascii="宋体" w:hAnsi="宋体" w:eastAsia="Times New Roman"/>
                <w:spacing w:val="5"/>
                <w:kern w:val="0"/>
                <w:sz w:val="18"/>
                <w:szCs w:val="18"/>
              </w:rPr>
              <w:t>协调性</w:t>
            </w:r>
          </w:p>
        </w:tc>
        <w:tc>
          <w:tcPr>
            <w:tcW w:w="5303"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116" w:right="103"/>
              <w:jc w:val="left"/>
              <w:textAlignment w:val="baseline"/>
              <w:rPr>
                <w:rFonts w:ascii="宋体" w:hAnsi="宋体" w:eastAsia="Times New Roman"/>
                <w:kern w:val="0"/>
                <w:sz w:val="18"/>
                <w:szCs w:val="18"/>
              </w:rPr>
            </w:pPr>
            <w:r>
              <w:rPr>
                <w:rFonts w:hint="eastAsia" w:ascii="宋体" w:hAnsi="宋体" w:eastAsia="Times New Roman"/>
                <w:spacing w:val="11"/>
                <w:kern w:val="0"/>
                <w:sz w:val="18"/>
                <w:szCs w:val="18"/>
              </w:rPr>
              <w:t>该标准的特色要求与其他强制性标准的主要技术指标、相关法律法规、部门规章或产业政策是否</w:t>
            </w:r>
            <w:r>
              <w:rPr>
                <w:rFonts w:hint="eastAsia" w:ascii="宋体" w:hAnsi="宋体" w:eastAsia="Times New Roman"/>
                <w:spacing w:val="2"/>
                <w:kern w:val="0"/>
                <w:sz w:val="18"/>
                <w:szCs w:val="18"/>
              </w:rPr>
              <w:t>协调？</w:t>
            </w:r>
          </w:p>
        </w:tc>
        <w:tc>
          <w:tcPr>
            <w:tcW w:w="1384" w:type="dxa"/>
            <w:tcBorders>
              <w:top w:val="single" w:color="auto" w:sz="4" w:space="0"/>
              <w:left w:val="single" w:color="auto" w:sz="4" w:space="0"/>
              <w:bottom w:val="single" w:color="auto" w:sz="4" w:space="0"/>
              <w:right w:val="single" w:color="auto" w:sz="12" w:space="0"/>
            </w:tcBorders>
            <w:vAlign w:val="center"/>
          </w:tcPr>
          <w:p>
            <w:pPr>
              <w:widowControl/>
              <w:kinsoku w:val="0"/>
              <w:autoSpaceDE w:val="0"/>
              <w:autoSpaceDN w:val="0"/>
              <w:snapToGrid w:val="0"/>
              <w:ind w:left="127"/>
              <w:jc w:val="left"/>
              <w:textAlignment w:val="baseline"/>
              <w:rPr>
                <w:rFonts w:ascii="宋体" w:hAnsi="宋体" w:eastAsia="Times New Roman"/>
                <w:kern w:val="0"/>
                <w:sz w:val="18"/>
                <w:szCs w:val="18"/>
              </w:rPr>
            </w:pPr>
            <w:r>
              <w:rPr>
                <w:rFonts w:ascii="Times New Roman" w:hAnsi="宋体" w:eastAsia="Times New Roman"/>
                <w:kern w:val="0"/>
                <w:sz w:val="18"/>
                <w:szCs w:val="18"/>
              </w:rPr>
              <w:drawing>
                <wp:inline distT="0" distB="0" distL="0" distR="0">
                  <wp:extent cx="114300" cy="114300"/>
                  <wp:effectExtent l="0" t="0" r="0" b="0"/>
                  <wp:docPr id="33" name="图片 33" descr="wps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33" descr="wps3"/>
                          <pic:cNvPicPr>
                            <a:picLocks noChangeAspect="true" noChangeArrowheads="true"/>
                          </pic:cNvPicPr>
                        </pic:nvPicPr>
                        <pic:blipFill>
                          <a:blip r:embed="rId35">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22"/>
                <w:kern w:val="0"/>
                <w:sz w:val="18"/>
                <w:szCs w:val="18"/>
              </w:rPr>
              <w:t xml:space="preserve">是  </w:t>
            </w:r>
            <w:r>
              <w:rPr>
                <w:rFonts w:ascii="Times New Roman" w:hAnsi="宋体" w:eastAsia="Times New Roman"/>
                <w:kern w:val="0"/>
                <w:sz w:val="18"/>
                <w:szCs w:val="18"/>
              </w:rPr>
              <w:drawing>
                <wp:inline distT="0" distB="0" distL="0" distR="0">
                  <wp:extent cx="114300" cy="114300"/>
                  <wp:effectExtent l="0" t="0" r="0" b="0"/>
                  <wp:docPr id="32" name="图片 32" descr="wps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图片 32" descr="wps4"/>
                          <pic:cNvPicPr>
                            <a:picLocks noChangeAspect="true" noChangeArrowheads="true"/>
                          </pic:cNvPicPr>
                        </pic:nvPicPr>
                        <pic:blipFill>
                          <a:blip r:embed="rId35">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22"/>
                <w:kern w:val="0"/>
                <w:sz w:val="18"/>
                <w:szCs w:val="18"/>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jc w:val="center"/>
        </w:trPr>
        <w:tc>
          <w:tcPr>
            <w:tcW w:w="1212" w:type="dxa"/>
            <w:vMerge w:val="continue"/>
            <w:tcBorders>
              <w:top w:val="single" w:color="auto" w:sz="12" w:space="0"/>
              <w:left w:val="single" w:color="auto" w:sz="12" w:space="0"/>
              <w:bottom w:val="single" w:color="auto" w:sz="4" w:space="0"/>
              <w:right w:val="single" w:color="auto" w:sz="4" w:space="0"/>
            </w:tcBorders>
            <w:vAlign w:val="center"/>
          </w:tcPr>
          <w:p>
            <w:pPr>
              <w:widowControl/>
              <w:jc w:val="left"/>
              <w:rPr>
                <w:rFonts w:ascii="宋体" w:hAnsi="宋体" w:eastAsia="Times New Roman"/>
                <w:kern w:val="0"/>
                <w:sz w:val="18"/>
                <w:szCs w:val="18"/>
              </w:rPr>
            </w:pPr>
          </w:p>
        </w:tc>
        <w:tc>
          <w:tcPr>
            <w:tcW w:w="116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351"/>
              <w:jc w:val="left"/>
              <w:textAlignment w:val="baseline"/>
              <w:rPr>
                <w:rFonts w:ascii="宋体" w:hAnsi="宋体" w:eastAsia="Times New Roman"/>
                <w:kern w:val="0"/>
                <w:sz w:val="18"/>
                <w:szCs w:val="18"/>
              </w:rPr>
            </w:pPr>
            <w:r>
              <w:rPr>
                <w:rFonts w:hint="eastAsia" w:ascii="宋体" w:hAnsi="宋体" w:eastAsia="Times New Roman"/>
                <w:spacing w:val="2"/>
                <w:kern w:val="0"/>
                <w:position w:val="12"/>
                <w:sz w:val="18"/>
                <w:szCs w:val="18"/>
              </w:rPr>
              <w:t>执行</w:t>
            </w:r>
          </w:p>
          <w:p>
            <w:pPr>
              <w:widowControl/>
              <w:kinsoku w:val="0"/>
              <w:autoSpaceDE w:val="0"/>
              <w:autoSpaceDN w:val="0"/>
              <w:snapToGrid w:val="0"/>
              <w:ind w:left="355"/>
              <w:jc w:val="left"/>
              <w:textAlignment w:val="baseline"/>
              <w:rPr>
                <w:rFonts w:ascii="宋体" w:hAnsi="宋体" w:eastAsia="Times New Roman"/>
                <w:kern w:val="0"/>
                <w:sz w:val="18"/>
                <w:szCs w:val="18"/>
              </w:rPr>
            </w:pPr>
            <w:r>
              <w:rPr>
                <w:rFonts w:hint="eastAsia" w:ascii="宋体" w:hAnsi="宋体" w:eastAsia="Times New Roman"/>
                <w:kern w:val="0"/>
                <w:sz w:val="18"/>
                <w:szCs w:val="18"/>
              </w:rPr>
              <w:t>情况</w:t>
            </w:r>
          </w:p>
        </w:tc>
        <w:tc>
          <w:tcPr>
            <w:tcW w:w="5303"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116" w:right="103"/>
              <w:jc w:val="left"/>
              <w:textAlignment w:val="baseline"/>
              <w:rPr>
                <w:rFonts w:ascii="宋体" w:hAnsi="宋体" w:eastAsia="Times New Roman"/>
                <w:spacing w:val="11"/>
                <w:kern w:val="0"/>
                <w:sz w:val="18"/>
                <w:szCs w:val="18"/>
              </w:rPr>
            </w:pPr>
            <w:r>
              <w:rPr>
                <w:rFonts w:hint="eastAsia" w:ascii="宋体" w:hAnsi="宋体" w:eastAsia="Times New Roman"/>
                <w:spacing w:val="11"/>
                <w:kern w:val="0"/>
                <w:sz w:val="18"/>
                <w:szCs w:val="18"/>
              </w:rPr>
              <w:t>标准执行单位或人员是否按照标准要求组织开展</w:t>
            </w:r>
          </w:p>
          <w:p>
            <w:pPr>
              <w:widowControl/>
              <w:kinsoku w:val="0"/>
              <w:autoSpaceDE w:val="0"/>
              <w:autoSpaceDN w:val="0"/>
              <w:snapToGrid w:val="0"/>
              <w:ind w:left="116" w:right="103"/>
              <w:jc w:val="left"/>
              <w:textAlignment w:val="baseline"/>
              <w:rPr>
                <w:rFonts w:ascii="宋体" w:hAnsi="宋体" w:eastAsia="Times New Roman"/>
                <w:kern w:val="0"/>
                <w:sz w:val="18"/>
                <w:szCs w:val="18"/>
              </w:rPr>
            </w:pPr>
            <w:r>
              <w:rPr>
                <w:rFonts w:hint="eastAsia" w:ascii="宋体" w:hAnsi="宋体" w:eastAsia="Times New Roman"/>
                <w:spacing w:val="11"/>
                <w:kern w:val="0"/>
                <w:sz w:val="18"/>
                <w:szCs w:val="18"/>
              </w:rPr>
              <w:t>相关工作？</w:t>
            </w:r>
          </w:p>
        </w:tc>
        <w:tc>
          <w:tcPr>
            <w:tcW w:w="1384" w:type="dxa"/>
            <w:tcBorders>
              <w:top w:val="single" w:color="auto" w:sz="4" w:space="0"/>
              <w:left w:val="single" w:color="auto" w:sz="4" w:space="0"/>
              <w:bottom w:val="single" w:color="auto" w:sz="4" w:space="0"/>
              <w:right w:val="single" w:color="auto" w:sz="12" w:space="0"/>
            </w:tcBorders>
            <w:vAlign w:val="center"/>
          </w:tcPr>
          <w:p>
            <w:pPr>
              <w:widowControl/>
              <w:kinsoku w:val="0"/>
              <w:autoSpaceDE w:val="0"/>
              <w:autoSpaceDN w:val="0"/>
              <w:snapToGrid w:val="0"/>
              <w:ind w:left="127"/>
              <w:jc w:val="left"/>
              <w:textAlignment w:val="baseline"/>
              <w:rPr>
                <w:rFonts w:ascii="宋体" w:hAnsi="宋体" w:eastAsia="Times New Roman"/>
                <w:kern w:val="0"/>
                <w:sz w:val="18"/>
                <w:szCs w:val="18"/>
              </w:rPr>
            </w:pPr>
            <w:r>
              <w:rPr>
                <w:rFonts w:ascii="Times New Roman" w:hAnsi="宋体" w:eastAsia="Times New Roman"/>
                <w:kern w:val="0"/>
                <w:sz w:val="18"/>
                <w:szCs w:val="18"/>
              </w:rPr>
              <w:drawing>
                <wp:inline distT="0" distB="0" distL="0" distR="0">
                  <wp:extent cx="114300" cy="114300"/>
                  <wp:effectExtent l="0" t="0" r="0" b="0"/>
                  <wp:docPr id="31" name="图片 31" descr="wps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31" descr="wps5"/>
                          <pic:cNvPicPr>
                            <a:picLocks noChangeAspect="true" noChangeArrowheads="true"/>
                          </pic:cNvPicPr>
                        </pic:nvPicPr>
                        <pic:blipFill>
                          <a:blip r:embed="rId34">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22"/>
                <w:kern w:val="0"/>
                <w:sz w:val="18"/>
                <w:szCs w:val="18"/>
              </w:rPr>
              <w:t xml:space="preserve">是  </w:t>
            </w:r>
            <w:r>
              <w:rPr>
                <w:rFonts w:ascii="Times New Roman" w:hAnsi="宋体" w:eastAsia="Times New Roman"/>
                <w:kern w:val="0"/>
                <w:sz w:val="18"/>
                <w:szCs w:val="18"/>
              </w:rPr>
              <w:drawing>
                <wp:inline distT="0" distB="0" distL="0" distR="0">
                  <wp:extent cx="114300" cy="114300"/>
                  <wp:effectExtent l="0" t="0" r="0" b="0"/>
                  <wp:docPr id="30" name="图片 30" descr="wps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0" name="图片 30" descr="wps6"/>
                          <pic:cNvPicPr>
                            <a:picLocks noChangeAspect="true" noChangeArrowheads="true"/>
                          </pic:cNvPicPr>
                        </pic:nvPicPr>
                        <pic:blipFill>
                          <a:blip r:embed="rId34">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22"/>
                <w:kern w:val="0"/>
                <w:sz w:val="18"/>
                <w:szCs w:val="18"/>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1212" w:type="dxa"/>
            <w:vMerge w:val="restart"/>
            <w:tcBorders>
              <w:top w:val="single" w:color="auto" w:sz="4" w:space="0"/>
              <w:left w:val="single" w:color="auto" w:sz="12" w:space="0"/>
              <w:bottom w:val="single" w:color="auto" w:sz="4" w:space="0"/>
              <w:right w:val="single" w:color="auto" w:sz="4" w:space="0"/>
            </w:tcBorders>
            <w:vAlign w:val="center"/>
          </w:tcPr>
          <w:p>
            <w:pPr>
              <w:widowControl/>
              <w:kinsoku w:val="0"/>
              <w:autoSpaceDE w:val="0"/>
              <w:autoSpaceDN w:val="0"/>
              <w:snapToGrid w:val="0"/>
              <w:ind w:left="143"/>
              <w:jc w:val="left"/>
              <w:textAlignment w:val="baseline"/>
              <w:rPr>
                <w:rFonts w:ascii="宋体" w:hAnsi="宋体" w:eastAsia="Times New Roman"/>
                <w:kern w:val="0"/>
                <w:sz w:val="18"/>
                <w:szCs w:val="18"/>
              </w:rPr>
            </w:pPr>
            <w:r>
              <w:rPr>
                <w:rFonts w:hint="eastAsia" w:ascii="宋体" w:hAnsi="宋体" w:eastAsia="Times New Roman"/>
                <w:spacing w:val="4"/>
                <w:kern w:val="0"/>
                <w:sz w:val="18"/>
                <w:szCs w:val="18"/>
              </w:rPr>
              <w:t>实施信息</w:t>
            </w:r>
          </w:p>
        </w:tc>
        <w:tc>
          <w:tcPr>
            <w:tcW w:w="6464" w:type="dxa"/>
            <w:gridSpan w:val="4"/>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111"/>
              <w:jc w:val="left"/>
              <w:textAlignment w:val="baseline"/>
              <w:rPr>
                <w:rFonts w:ascii="宋体" w:hAnsi="宋体" w:eastAsia="Times New Roman"/>
                <w:kern w:val="0"/>
                <w:sz w:val="18"/>
                <w:szCs w:val="18"/>
              </w:rPr>
            </w:pPr>
            <w:r>
              <w:rPr>
                <w:rFonts w:hint="eastAsia" w:ascii="宋体" w:hAnsi="宋体" w:eastAsia="Times New Roman"/>
                <w:spacing w:val="8"/>
                <w:kern w:val="0"/>
                <w:sz w:val="18"/>
                <w:szCs w:val="18"/>
              </w:rPr>
              <w:t>标准实施过程中是否存在阻力和障碍？</w:t>
            </w:r>
          </w:p>
        </w:tc>
        <w:tc>
          <w:tcPr>
            <w:tcW w:w="1384" w:type="dxa"/>
            <w:tcBorders>
              <w:top w:val="single" w:color="auto" w:sz="4" w:space="0"/>
              <w:left w:val="single" w:color="auto" w:sz="4" w:space="0"/>
              <w:bottom w:val="single" w:color="auto" w:sz="4" w:space="0"/>
              <w:right w:val="single" w:color="auto" w:sz="12" w:space="0"/>
            </w:tcBorders>
            <w:vAlign w:val="center"/>
          </w:tcPr>
          <w:p>
            <w:pPr>
              <w:widowControl/>
              <w:kinsoku w:val="0"/>
              <w:autoSpaceDE w:val="0"/>
              <w:autoSpaceDN w:val="0"/>
              <w:snapToGrid w:val="0"/>
              <w:ind w:left="127"/>
              <w:jc w:val="left"/>
              <w:textAlignment w:val="baseline"/>
              <w:rPr>
                <w:rFonts w:ascii="宋体" w:hAnsi="宋体" w:eastAsia="Times New Roman"/>
                <w:kern w:val="0"/>
                <w:sz w:val="18"/>
                <w:szCs w:val="18"/>
              </w:rPr>
            </w:pPr>
            <w:r>
              <w:rPr>
                <w:rFonts w:ascii="Times New Roman" w:hAnsi="宋体" w:eastAsia="Times New Roman"/>
                <w:kern w:val="0"/>
                <w:sz w:val="18"/>
                <w:szCs w:val="18"/>
              </w:rPr>
              <w:drawing>
                <wp:inline distT="0" distB="0" distL="0" distR="0">
                  <wp:extent cx="114300" cy="114300"/>
                  <wp:effectExtent l="0" t="0" r="0" b="0"/>
                  <wp:docPr id="29" name="图片 29" descr="wps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29" descr="wps7"/>
                          <pic:cNvPicPr>
                            <a:picLocks noChangeAspect="true" noChangeArrowheads="true"/>
                          </pic:cNvPicPr>
                        </pic:nvPicPr>
                        <pic:blipFill>
                          <a:blip r:embed="rId35">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22"/>
                <w:kern w:val="0"/>
                <w:sz w:val="18"/>
                <w:szCs w:val="18"/>
              </w:rPr>
              <w:t xml:space="preserve">是  </w:t>
            </w:r>
            <w:r>
              <w:rPr>
                <w:rFonts w:ascii="Times New Roman" w:hAnsi="宋体" w:eastAsia="Times New Roman"/>
                <w:kern w:val="0"/>
                <w:sz w:val="18"/>
                <w:szCs w:val="18"/>
              </w:rPr>
              <w:drawing>
                <wp:inline distT="0" distB="0" distL="0" distR="0">
                  <wp:extent cx="114300" cy="114300"/>
                  <wp:effectExtent l="0" t="0" r="0" b="0"/>
                  <wp:docPr id="28" name="图片 28" descr="wps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8" name="图片 28" descr="wps8"/>
                          <pic:cNvPicPr>
                            <a:picLocks noChangeAspect="true" noChangeArrowheads="true"/>
                          </pic:cNvPicPr>
                        </pic:nvPicPr>
                        <pic:blipFill>
                          <a:blip r:embed="rId35">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22"/>
                <w:kern w:val="0"/>
                <w:sz w:val="18"/>
                <w:szCs w:val="18"/>
              </w:rPr>
              <w:t>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1212" w:type="dxa"/>
            <w:vMerge w:val="continue"/>
            <w:tcBorders>
              <w:top w:val="single" w:color="auto" w:sz="4" w:space="0"/>
              <w:left w:val="single" w:color="auto" w:sz="12" w:space="0"/>
              <w:bottom w:val="single" w:color="auto" w:sz="4" w:space="0"/>
              <w:right w:val="single" w:color="auto" w:sz="4" w:space="0"/>
            </w:tcBorders>
            <w:vAlign w:val="center"/>
          </w:tcPr>
          <w:p>
            <w:pPr>
              <w:widowControl/>
              <w:jc w:val="left"/>
              <w:rPr>
                <w:rFonts w:ascii="宋体" w:hAnsi="宋体" w:eastAsia="Times New Roman"/>
                <w:kern w:val="0"/>
                <w:sz w:val="18"/>
                <w:szCs w:val="18"/>
              </w:rPr>
            </w:pPr>
          </w:p>
        </w:tc>
        <w:tc>
          <w:tcPr>
            <w:tcW w:w="3354" w:type="dxa"/>
            <w:gridSpan w:val="3"/>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125"/>
              <w:jc w:val="left"/>
              <w:textAlignment w:val="baseline"/>
              <w:rPr>
                <w:rFonts w:ascii="宋体" w:hAnsi="宋体" w:eastAsia="Times New Roman"/>
                <w:kern w:val="0"/>
                <w:sz w:val="18"/>
                <w:szCs w:val="18"/>
              </w:rPr>
            </w:pPr>
            <w:r>
              <w:rPr>
                <w:rFonts w:hint="eastAsia" w:ascii="宋体" w:hAnsi="宋体" w:eastAsia="Times New Roman"/>
                <w:spacing w:val="8"/>
                <w:kern w:val="0"/>
                <w:sz w:val="18"/>
                <w:szCs w:val="18"/>
              </w:rPr>
              <w:t>实施过程中存在的主要问题</w:t>
            </w:r>
          </w:p>
        </w:tc>
        <w:tc>
          <w:tcPr>
            <w:tcW w:w="4494" w:type="dxa"/>
            <w:gridSpan w:val="2"/>
            <w:tcBorders>
              <w:top w:val="single" w:color="auto" w:sz="4" w:space="0"/>
              <w:left w:val="single" w:color="auto" w:sz="4" w:space="0"/>
              <w:bottom w:val="single" w:color="auto" w:sz="4" w:space="0"/>
              <w:right w:val="single" w:color="auto" w:sz="12" w:space="0"/>
            </w:tcBorders>
            <w:vAlign w:val="center"/>
          </w:tcPr>
          <w:p>
            <w:pPr>
              <w:jc w:val="left"/>
              <w:rPr>
                <w:rFonts w:ascii="宋体" w:hAnsi="宋体" w:eastAsia="Times New Roman" w:cs="Arial"/>
                <w:kern w:val="0"/>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 w:hRule="atLeast"/>
          <w:jc w:val="center"/>
        </w:trPr>
        <w:tc>
          <w:tcPr>
            <w:tcW w:w="1212" w:type="dxa"/>
            <w:vMerge w:val="restart"/>
            <w:tcBorders>
              <w:top w:val="single" w:color="auto" w:sz="4" w:space="0"/>
              <w:left w:val="single" w:color="auto" w:sz="12" w:space="0"/>
              <w:bottom w:val="single" w:color="auto" w:sz="4" w:space="0"/>
              <w:right w:val="single" w:color="auto" w:sz="4" w:space="0"/>
            </w:tcBorders>
            <w:vAlign w:val="center"/>
          </w:tcPr>
          <w:p>
            <w:pPr>
              <w:widowControl/>
              <w:kinsoku w:val="0"/>
              <w:autoSpaceDE w:val="0"/>
              <w:autoSpaceDN w:val="0"/>
              <w:snapToGrid w:val="0"/>
              <w:ind w:left="126"/>
              <w:jc w:val="left"/>
              <w:textAlignment w:val="baseline"/>
              <w:rPr>
                <w:rFonts w:ascii="宋体" w:hAnsi="宋体" w:eastAsia="Times New Roman"/>
                <w:kern w:val="0"/>
                <w:sz w:val="18"/>
                <w:szCs w:val="18"/>
              </w:rPr>
            </w:pPr>
            <w:r>
              <w:rPr>
                <w:rFonts w:hint="eastAsia" w:ascii="宋体" w:hAnsi="宋体" w:eastAsia="Times New Roman"/>
                <w:spacing w:val="8"/>
                <w:kern w:val="0"/>
                <w:sz w:val="18"/>
                <w:szCs w:val="18"/>
              </w:rPr>
              <w:t>修改意见</w:t>
            </w:r>
          </w:p>
        </w:tc>
        <w:tc>
          <w:tcPr>
            <w:tcW w:w="1161" w:type="dxa"/>
            <w:gridSpan w:val="2"/>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snapToGrid w:val="0"/>
              <w:ind w:left="361"/>
              <w:jc w:val="left"/>
              <w:textAlignment w:val="baseline"/>
              <w:rPr>
                <w:rFonts w:ascii="宋体" w:hAnsi="宋体" w:eastAsia="Times New Roman"/>
                <w:kern w:val="0"/>
                <w:sz w:val="18"/>
                <w:szCs w:val="18"/>
              </w:rPr>
            </w:pPr>
            <w:r>
              <w:rPr>
                <w:rFonts w:hint="eastAsia" w:ascii="宋体" w:hAnsi="宋体" w:eastAsia="Times New Roman"/>
                <w:spacing w:val="-3"/>
                <w:kern w:val="0"/>
                <w:position w:val="12"/>
                <w:sz w:val="18"/>
                <w:szCs w:val="18"/>
              </w:rPr>
              <w:t>总体</w:t>
            </w:r>
          </w:p>
          <w:p>
            <w:pPr>
              <w:widowControl/>
              <w:kinsoku w:val="0"/>
              <w:autoSpaceDE w:val="0"/>
              <w:autoSpaceDN w:val="0"/>
              <w:snapToGrid w:val="0"/>
              <w:ind w:left="361"/>
              <w:jc w:val="left"/>
              <w:textAlignment w:val="baseline"/>
              <w:rPr>
                <w:rFonts w:ascii="宋体" w:hAnsi="宋体" w:eastAsia="Times New Roman"/>
                <w:kern w:val="0"/>
                <w:sz w:val="18"/>
                <w:szCs w:val="18"/>
              </w:rPr>
            </w:pPr>
            <w:r>
              <w:rPr>
                <w:rFonts w:hint="eastAsia" w:ascii="宋体" w:hAnsi="宋体" w:eastAsia="Times New Roman"/>
                <w:spacing w:val="-3"/>
                <w:kern w:val="0"/>
                <w:sz w:val="18"/>
                <w:szCs w:val="18"/>
              </w:rPr>
              <w:t>意见</w:t>
            </w:r>
          </w:p>
        </w:tc>
        <w:tc>
          <w:tcPr>
            <w:tcW w:w="6687" w:type="dxa"/>
            <w:gridSpan w:val="3"/>
            <w:tcBorders>
              <w:top w:val="single" w:color="auto" w:sz="4" w:space="0"/>
              <w:left w:val="single" w:color="auto" w:sz="4" w:space="0"/>
              <w:bottom w:val="single" w:color="auto" w:sz="4" w:space="0"/>
              <w:right w:val="single" w:color="auto" w:sz="12" w:space="0"/>
            </w:tcBorders>
            <w:vAlign w:val="center"/>
          </w:tcPr>
          <w:p>
            <w:pPr>
              <w:widowControl/>
              <w:kinsoku w:val="0"/>
              <w:autoSpaceDE w:val="0"/>
              <w:autoSpaceDN w:val="0"/>
              <w:snapToGrid w:val="0"/>
              <w:ind w:left="124"/>
              <w:jc w:val="left"/>
              <w:textAlignment w:val="baseline"/>
              <w:rPr>
                <w:rFonts w:ascii="宋体" w:hAnsi="宋体" w:eastAsia="Times New Roman"/>
                <w:kern w:val="0"/>
                <w:sz w:val="18"/>
                <w:szCs w:val="18"/>
              </w:rPr>
            </w:pPr>
            <w:r>
              <w:rPr>
                <w:rFonts w:ascii="Times New Roman" w:hAnsi="宋体" w:eastAsia="Times New Roman"/>
                <w:kern w:val="0"/>
                <w:sz w:val="18"/>
                <w:szCs w:val="18"/>
              </w:rPr>
              <w:drawing>
                <wp:inline distT="0" distB="0" distL="0" distR="0">
                  <wp:extent cx="114300" cy="114300"/>
                  <wp:effectExtent l="0" t="0" r="0" b="0"/>
                  <wp:docPr id="27" name="图片 27" descr="wps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27" descr="wps9"/>
                          <pic:cNvPicPr>
                            <a:picLocks noChangeAspect="true" noChangeArrowheads="true"/>
                          </pic:cNvPicPr>
                        </pic:nvPicPr>
                        <pic:blipFill>
                          <a:blip r:embed="rId34">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14"/>
                <w:kern w:val="0"/>
                <w:sz w:val="18"/>
                <w:szCs w:val="18"/>
              </w:rPr>
              <w:t xml:space="preserve">适用    </w:t>
            </w:r>
            <w:r>
              <w:rPr>
                <w:rFonts w:ascii="Times New Roman" w:hAnsi="宋体" w:eastAsia="Times New Roman"/>
                <w:kern w:val="0"/>
                <w:sz w:val="18"/>
                <w:szCs w:val="18"/>
              </w:rPr>
              <w:drawing>
                <wp:inline distT="0" distB="0" distL="0" distR="0">
                  <wp:extent cx="114300" cy="114300"/>
                  <wp:effectExtent l="0" t="0" r="0" b="0"/>
                  <wp:docPr id="26" name="图片 26" descr="wps1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descr="wps10"/>
                          <pic:cNvPicPr>
                            <a:picLocks noChangeAspect="true" noChangeArrowheads="true"/>
                          </pic:cNvPicPr>
                        </pic:nvPicPr>
                        <pic:blipFill>
                          <a:blip r:embed="rId36">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14"/>
                <w:kern w:val="0"/>
                <w:sz w:val="18"/>
                <w:szCs w:val="18"/>
              </w:rPr>
              <w:t xml:space="preserve">修改    </w:t>
            </w:r>
            <w:r>
              <w:rPr>
                <w:rFonts w:ascii="Times New Roman" w:hAnsi="宋体" w:eastAsia="Times New Roman"/>
                <w:kern w:val="0"/>
                <w:sz w:val="18"/>
                <w:szCs w:val="18"/>
              </w:rPr>
              <w:drawing>
                <wp:inline distT="0" distB="0" distL="0" distR="0">
                  <wp:extent cx="114300" cy="114300"/>
                  <wp:effectExtent l="0" t="0" r="0" b="0"/>
                  <wp:docPr id="13" name="图片 13" descr="wps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wps11"/>
                          <pic:cNvPicPr>
                            <a:picLocks noChangeAspect="true" noChangeArrowheads="true"/>
                          </pic:cNvPicPr>
                        </pic:nvPicPr>
                        <pic:blipFill>
                          <a:blip r:embed="rId36">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14"/>
                <w:kern w:val="0"/>
                <w:sz w:val="18"/>
                <w:szCs w:val="18"/>
              </w:rPr>
              <w:t>废止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jc w:val="center"/>
        </w:trPr>
        <w:tc>
          <w:tcPr>
            <w:tcW w:w="1212" w:type="dxa"/>
            <w:vMerge w:val="continue"/>
            <w:tcBorders>
              <w:top w:val="single" w:color="auto" w:sz="4" w:space="0"/>
              <w:left w:val="single" w:color="auto" w:sz="12" w:space="0"/>
              <w:bottom w:val="single" w:color="auto" w:sz="4" w:space="0"/>
              <w:right w:val="single" w:color="auto" w:sz="4" w:space="0"/>
            </w:tcBorders>
            <w:vAlign w:val="center"/>
          </w:tcPr>
          <w:p>
            <w:pPr>
              <w:widowControl/>
              <w:jc w:val="left"/>
              <w:rPr>
                <w:rFonts w:ascii="宋体" w:hAnsi="宋体" w:eastAsia="Times New Roman"/>
                <w:kern w:val="0"/>
                <w:sz w:val="18"/>
                <w:szCs w:val="18"/>
              </w:rPr>
            </w:pPr>
          </w:p>
        </w:tc>
        <w:tc>
          <w:tcPr>
            <w:tcW w:w="1161" w:type="dxa"/>
            <w:gridSpan w:val="2"/>
            <w:tcBorders>
              <w:top w:val="single" w:color="auto" w:sz="4" w:space="0"/>
              <w:left w:val="single" w:color="auto" w:sz="4" w:space="0"/>
              <w:bottom w:val="single" w:color="000000" w:sz="2" w:space="0"/>
              <w:right w:val="single" w:color="auto" w:sz="4" w:space="0"/>
            </w:tcBorders>
            <w:vAlign w:val="center"/>
          </w:tcPr>
          <w:p>
            <w:pPr>
              <w:widowControl/>
              <w:kinsoku w:val="0"/>
              <w:autoSpaceDE w:val="0"/>
              <w:autoSpaceDN w:val="0"/>
              <w:snapToGrid w:val="0"/>
              <w:ind w:left="233"/>
              <w:jc w:val="left"/>
              <w:textAlignment w:val="baseline"/>
              <w:rPr>
                <w:rFonts w:ascii="宋体" w:hAnsi="宋体" w:eastAsia="Times New Roman"/>
                <w:kern w:val="0"/>
                <w:sz w:val="18"/>
                <w:szCs w:val="18"/>
              </w:rPr>
            </w:pPr>
            <w:r>
              <w:rPr>
                <w:rFonts w:hint="eastAsia" w:ascii="宋体" w:hAnsi="宋体" w:eastAsia="Times New Roman"/>
                <w:spacing w:val="4"/>
                <w:kern w:val="0"/>
                <w:position w:val="12"/>
                <w:sz w:val="18"/>
                <w:szCs w:val="18"/>
              </w:rPr>
              <w:t>具体修</w:t>
            </w:r>
          </w:p>
          <w:p>
            <w:pPr>
              <w:widowControl/>
              <w:kinsoku w:val="0"/>
              <w:autoSpaceDE w:val="0"/>
              <w:autoSpaceDN w:val="0"/>
              <w:snapToGrid w:val="0"/>
              <w:ind w:left="251"/>
              <w:jc w:val="left"/>
              <w:textAlignment w:val="baseline"/>
              <w:rPr>
                <w:rFonts w:ascii="宋体" w:hAnsi="宋体" w:eastAsia="Times New Roman"/>
                <w:kern w:val="0"/>
                <w:sz w:val="18"/>
                <w:szCs w:val="18"/>
              </w:rPr>
            </w:pPr>
            <w:r>
              <w:rPr>
                <w:rFonts w:hint="eastAsia" w:ascii="宋体" w:hAnsi="宋体" w:eastAsia="Times New Roman"/>
                <w:spacing w:val="-2"/>
                <w:kern w:val="0"/>
                <w:sz w:val="18"/>
                <w:szCs w:val="18"/>
              </w:rPr>
              <w:t>改意见</w:t>
            </w:r>
          </w:p>
        </w:tc>
        <w:tc>
          <w:tcPr>
            <w:tcW w:w="6687" w:type="dxa"/>
            <w:gridSpan w:val="3"/>
            <w:tcBorders>
              <w:top w:val="single" w:color="auto" w:sz="4" w:space="0"/>
              <w:left w:val="single" w:color="auto" w:sz="4" w:space="0"/>
              <w:bottom w:val="single" w:color="000000" w:sz="2" w:space="0"/>
              <w:right w:val="single" w:color="auto" w:sz="12" w:space="0"/>
            </w:tcBorders>
            <w:vAlign w:val="center"/>
          </w:tcPr>
          <w:p>
            <w:pPr>
              <w:widowControl/>
              <w:kinsoku w:val="0"/>
              <w:autoSpaceDE w:val="0"/>
              <w:autoSpaceDN w:val="0"/>
              <w:snapToGrid w:val="0"/>
              <w:ind w:left="127"/>
              <w:jc w:val="left"/>
              <w:textAlignment w:val="baseline"/>
              <w:rPr>
                <w:rFonts w:ascii="宋体" w:hAnsi="宋体" w:eastAsia="Times New Roman"/>
                <w:kern w:val="0"/>
                <w:sz w:val="18"/>
                <w:szCs w:val="18"/>
              </w:rPr>
            </w:pPr>
            <w:r>
              <w:rPr>
                <w:rFonts w:hint="eastAsia" w:ascii="宋体" w:hAnsi="宋体" w:eastAsia="Times New Roman"/>
                <w:spacing w:val="4"/>
                <w:kern w:val="0"/>
                <w:sz w:val="18"/>
                <w:szCs w:val="18"/>
              </w:rPr>
              <w:t>需修改章节：</w:t>
            </w:r>
          </w:p>
          <w:p>
            <w:pPr>
              <w:widowControl/>
              <w:kinsoku w:val="0"/>
              <w:autoSpaceDE w:val="0"/>
              <w:autoSpaceDN w:val="0"/>
              <w:snapToGrid w:val="0"/>
              <w:ind w:left="121"/>
              <w:jc w:val="left"/>
              <w:textAlignment w:val="baseline"/>
              <w:rPr>
                <w:rFonts w:ascii="宋体" w:hAnsi="宋体" w:eastAsia="Times New Roman"/>
                <w:kern w:val="0"/>
                <w:sz w:val="18"/>
                <w:szCs w:val="18"/>
              </w:rPr>
            </w:pPr>
            <w:r>
              <w:rPr>
                <w:rFonts w:hint="eastAsia" w:ascii="宋体" w:hAnsi="宋体" w:eastAsia="Times New Roman"/>
                <w:spacing w:val="6"/>
                <w:kern w:val="0"/>
                <w:sz w:val="18"/>
                <w:szCs w:val="18"/>
              </w:rPr>
              <w:t>具体修改意见：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6" w:hRule="atLeast"/>
          <w:jc w:val="center"/>
        </w:trPr>
        <w:tc>
          <w:tcPr>
            <w:tcW w:w="1212" w:type="dxa"/>
            <w:tcBorders>
              <w:top w:val="single" w:color="auto" w:sz="4" w:space="0"/>
              <w:left w:val="single" w:color="auto" w:sz="12" w:space="0"/>
              <w:bottom w:val="single" w:color="auto" w:sz="4" w:space="0"/>
              <w:right w:val="single" w:color="auto" w:sz="4" w:space="0"/>
            </w:tcBorders>
            <w:vAlign w:val="center"/>
          </w:tcPr>
          <w:p>
            <w:pPr>
              <w:widowControl/>
              <w:kinsoku w:val="0"/>
              <w:autoSpaceDE w:val="0"/>
              <w:autoSpaceDN w:val="0"/>
              <w:snapToGrid w:val="0"/>
              <w:ind w:left="132"/>
              <w:jc w:val="left"/>
              <w:textAlignment w:val="baseline"/>
              <w:rPr>
                <w:rFonts w:ascii="宋体" w:hAnsi="宋体" w:eastAsia="Times New Roman"/>
                <w:kern w:val="0"/>
                <w:sz w:val="18"/>
                <w:szCs w:val="18"/>
              </w:rPr>
            </w:pPr>
            <w:r>
              <w:rPr>
                <w:rFonts w:hint="eastAsia" w:ascii="宋体" w:hAnsi="宋体" w:eastAsia="Times New Roman"/>
                <w:spacing w:val="7"/>
                <w:kern w:val="0"/>
                <w:sz w:val="18"/>
                <w:szCs w:val="18"/>
              </w:rPr>
              <w:t>反馈渠道</w:t>
            </w:r>
          </w:p>
        </w:tc>
        <w:tc>
          <w:tcPr>
            <w:tcW w:w="7848" w:type="dxa"/>
            <w:gridSpan w:val="5"/>
            <w:tcBorders>
              <w:top w:val="single" w:color="000000" w:sz="2" w:space="0"/>
              <w:left w:val="single" w:color="auto" w:sz="4" w:space="0"/>
              <w:bottom w:val="single" w:color="000000" w:sz="2" w:space="0"/>
              <w:right w:val="single" w:color="auto" w:sz="4" w:space="0"/>
            </w:tcBorders>
            <w:vAlign w:val="center"/>
          </w:tcPr>
          <w:p>
            <w:pPr>
              <w:widowControl/>
              <w:kinsoku w:val="0"/>
              <w:autoSpaceDE w:val="0"/>
              <w:autoSpaceDN w:val="0"/>
              <w:snapToGrid w:val="0"/>
              <w:ind w:left="124"/>
              <w:jc w:val="left"/>
              <w:textAlignment w:val="baseline"/>
              <w:rPr>
                <w:rFonts w:ascii="宋体" w:hAnsi="宋体" w:eastAsia="Times New Roman"/>
                <w:kern w:val="0"/>
                <w:sz w:val="18"/>
                <w:szCs w:val="18"/>
              </w:rPr>
            </w:pPr>
            <w:r>
              <w:rPr>
                <w:rFonts w:ascii="Times New Roman" w:hAnsi="宋体" w:eastAsia="Times New Roman"/>
                <w:kern w:val="0"/>
                <w:sz w:val="18"/>
                <w:szCs w:val="18"/>
              </w:rPr>
              <w:drawing>
                <wp:inline distT="0" distB="0" distL="0" distR="0">
                  <wp:extent cx="114300" cy="114300"/>
                  <wp:effectExtent l="0" t="0" r="0" b="0"/>
                  <wp:docPr id="12" name="图片 12" descr="wps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descr="wps12"/>
                          <pic:cNvPicPr>
                            <a:picLocks noChangeAspect="true" noChangeArrowheads="true"/>
                          </pic:cNvPicPr>
                        </pic:nvPicPr>
                        <pic:blipFill>
                          <a:blip r:embed="rId37">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12"/>
                <w:kern w:val="0"/>
                <w:sz w:val="18"/>
                <w:szCs w:val="18"/>
              </w:rPr>
              <w:t>标准化行政主管部门</w:t>
            </w:r>
          </w:p>
          <w:p>
            <w:pPr>
              <w:widowControl/>
              <w:kinsoku w:val="0"/>
              <w:autoSpaceDE w:val="0"/>
              <w:autoSpaceDN w:val="0"/>
              <w:snapToGrid w:val="0"/>
              <w:ind w:left="124"/>
              <w:jc w:val="left"/>
              <w:textAlignment w:val="baseline"/>
              <w:rPr>
                <w:rFonts w:ascii="宋体" w:hAnsi="宋体" w:eastAsia="Times New Roman"/>
                <w:kern w:val="0"/>
                <w:sz w:val="18"/>
                <w:szCs w:val="18"/>
              </w:rPr>
            </w:pPr>
            <w:r>
              <w:rPr>
                <w:rFonts w:ascii="Times New Roman" w:hAnsi="宋体" w:eastAsia="Times New Roman"/>
                <w:kern w:val="0"/>
                <w:sz w:val="18"/>
                <w:szCs w:val="18"/>
              </w:rPr>
              <w:drawing>
                <wp:inline distT="0" distB="0" distL="0" distR="0">
                  <wp:extent cx="114300" cy="114300"/>
                  <wp:effectExtent l="0" t="0" r="0" b="0"/>
                  <wp:docPr id="11" name="图片 11" descr="wps1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descr="wps13"/>
                          <pic:cNvPicPr>
                            <a:picLocks noChangeAspect="true" noChangeArrowheads="true"/>
                          </pic:cNvPicPr>
                        </pic:nvPicPr>
                        <pic:blipFill>
                          <a:blip r:embed="rId38">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12"/>
                <w:kern w:val="0"/>
                <w:sz w:val="18"/>
                <w:szCs w:val="18"/>
              </w:rPr>
              <w:t>省直行业主管部门</w:t>
            </w:r>
          </w:p>
          <w:p>
            <w:pPr>
              <w:widowControl/>
              <w:kinsoku w:val="0"/>
              <w:autoSpaceDE w:val="0"/>
              <w:autoSpaceDN w:val="0"/>
              <w:snapToGrid w:val="0"/>
              <w:ind w:left="124"/>
              <w:jc w:val="left"/>
              <w:textAlignment w:val="baseline"/>
              <w:rPr>
                <w:rFonts w:ascii="宋体" w:hAnsi="宋体" w:eastAsia="Times New Roman"/>
                <w:kern w:val="0"/>
                <w:sz w:val="18"/>
                <w:szCs w:val="18"/>
              </w:rPr>
            </w:pPr>
            <w:r>
              <w:rPr>
                <w:rFonts w:ascii="Times New Roman" w:hAnsi="宋体" w:eastAsia="Times New Roman"/>
                <w:kern w:val="0"/>
                <w:sz w:val="18"/>
                <w:szCs w:val="18"/>
              </w:rPr>
              <w:drawing>
                <wp:inline distT="0" distB="0" distL="0" distR="0">
                  <wp:extent cx="114300" cy="114300"/>
                  <wp:effectExtent l="0" t="0" r="0" b="0"/>
                  <wp:docPr id="10" name="图片 10" descr="wps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wps14"/>
                          <pic:cNvPicPr>
                            <a:picLocks noChangeAspect="true" noChangeArrowheads="true"/>
                          </pic:cNvPicPr>
                        </pic:nvPicPr>
                        <pic:blipFill>
                          <a:blip r:embed="rId37">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10"/>
                <w:kern w:val="0"/>
                <w:sz w:val="18"/>
                <w:szCs w:val="18"/>
              </w:rPr>
              <w:t>专业标准化技术委员会（工作组）</w:t>
            </w:r>
          </w:p>
          <w:p>
            <w:pPr>
              <w:widowControl/>
              <w:kinsoku w:val="0"/>
              <w:autoSpaceDE w:val="0"/>
              <w:autoSpaceDN w:val="0"/>
              <w:snapToGrid w:val="0"/>
              <w:ind w:left="124"/>
              <w:jc w:val="left"/>
              <w:textAlignment w:val="baseline"/>
              <w:rPr>
                <w:rFonts w:ascii="宋体" w:hAnsi="宋体" w:eastAsia="Times New Roman"/>
                <w:kern w:val="0"/>
                <w:sz w:val="18"/>
                <w:szCs w:val="18"/>
              </w:rPr>
            </w:pPr>
            <w:r>
              <w:rPr>
                <w:rFonts w:ascii="Times New Roman" w:hAnsi="宋体" w:eastAsia="Times New Roman"/>
                <w:kern w:val="0"/>
                <w:sz w:val="18"/>
                <w:szCs w:val="18"/>
              </w:rPr>
              <w:drawing>
                <wp:inline distT="0" distB="0" distL="0" distR="0">
                  <wp:extent cx="114300" cy="114300"/>
                  <wp:effectExtent l="0" t="0" r="0" b="0"/>
                  <wp:docPr id="7" name="图片 7" descr="wps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wps15"/>
                          <pic:cNvPicPr>
                            <a:picLocks noChangeAspect="true" noChangeArrowheads="true"/>
                          </pic:cNvPicPr>
                        </pic:nvPicPr>
                        <pic:blipFill>
                          <a:blip r:embed="rId37">
                            <a:extLst>
                              <a:ext uri="{28A0092B-C50C-407E-A947-70E740481C1C}">
                                <a14:useLocalDpi xmlns:a14="http://schemas.microsoft.com/office/drawing/2010/main" val="false"/>
                              </a:ext>
                            </a:extLst>
                          </a:blip>
                          <a:srcRect/>
                          <a:stretch>
                            <a:fillRect/>
                          </a:stretch>
                        </pic:blipFill>
                        <pic:spPr>
                          <a:xfrm>
                            <a:off x="0" y="0"/>
                            <a:ext cx="114300" cy="114300"/>
                          </a:xfrm>
                          <a:prstGeom prst="rect">
                            <a:avLst/>
                          </a:prstGeom>
                          <a:noFill/>
                          <a:ln>
                            <a:noFill/>
                          </a:ln>
                        </pic:spPr>
                      </pic:pic>
                    </a:graphicData>
                  </a:graphic>
                </wp:inline>
              </w:drawing>
            </w:r>
            <w:r>
              <w:rPr>
                <w:rFonts w:hint="eastAsia" w:ascii="宋体" w:hAnsi="宋体" w:eastAsia="Times New Roman"/>
                <w:spacing w:val="11"/>
                <w:kern w:val="0"/>
                <w:sz w:val="18"/>
                <w:szCs w:val="18"/>
              </w:rPr>
              <w:t>标准起草组（牵头起草单位）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jc w:val="center"/>
        </w:trPr>
        <w:tc>
          <w:tcPr>
            <w:tcW w:w="1212" w:type="dxa"/>
            <w:tcBorders>
              <w:top w:val="single" w:color="auto" w:sz="4" w:space="0"/>
              <w:left w:val="single" w:color="auto" w:sz="12" w:space="0"/>
              <w:bottom w:val="single" w:color="auto" w:sz="12" w:space="0"/>
              <w:right w:val="single" w:color="auto" w:sz="4" w:space="0"/>
            </w:tcBorders>
            <w:vAlign w:val="center"/>
          </w:tcPr>
          <w:p>
            <w:pPr>
              <w:widowControl/>
              <w:kinsoku w:val="0"/>
              <w:autoSpaceDE w:val="0"/>
              <w:autoSpaceDN w:val="0"/>
              <w:snapToGrid w:val="0"/>
              <w:ind w:left="252"/>
              <w:jc w:val="left"/>
              <w:textAlignment w:val="baseline"/>
              <w:rPr>
                <w:rFonts w:ascii="宋体" w:hAnsi="宋体" w:eastAsia="Times New Roman"/>
                <w:kern w:val="0"/>
                <w:sz w:val="18"/>
                <w:szCs w:val="18"/>
              </w:rPr>
            </w:pPr>
            <w:r>
              <w:rPr>
                <w:rFonts w:hint="eastAsia" w:ascii="宋体" w:hAnsi="宋体" w:eastAsia="Times New Roman"/>
                <w:spacing w:val="6"/>
                <w:kern w:val="0"/>
                <w:sz w:val="18"/>
                <w:szCs w:val="18"/>
              </w:rPr>
              <w:t>反馈人</w:t>
            </w:r>
          </w:p>
        </w:tc>
        <w:tc>
          <w:tcPr>
            <w:tcW w:w="7848" w:type="dxa"/>
            <w:gridSpan w:val="5"/>
            <w:tcBorders>
              <w:top w:val="single" w:color="000000" w:sz="2" w:space="0"/>
              <w:left w:val="single" w:color="auto" w:sz="4" w:space="0"/>
              <w:bottom w:val="single" w:color="auto" w:sz="12" w:space="0"/>
              <w:right w:val="single" w:color="auto" w:sz="12" w:space="0"/>
            </w:tcBorders>
            <w:vAlign w:val="center"/>
          </w:tcPr>
          <w:p>
            <w:pPr>
              <w:widowControl/>
              <w:kinsoku w:val="0"/>
              <w:autoSpaceDE w:val="0"/>
              <w:autoSpaceDN w:val="0"/>
              <w:snapToGrid w:val="0"/>
              <w:ind w:left="113"/>
              <w:jc w:val="left"/>
              <w:textAlignment w:val="baseline"/>
              <w:rPr>
                <w:rFonts w:ascii="宋体" w:hAnsi="宋体" w:eastAsia="Times New Roman"/>
                <w:kern w:val="0"/>
                <w:sz w:val="18"/>
                <w:szCs w:val="18"/>
              </w:rPr>
            </w:pPr>
            <w:r>
              <w:rPr>
                <w:rFonts w:hint="eastAsia" w:ascii="宋体" w:hAnsi="宋体" w:eastAsia="Times New Roman"/>
                <w:spacing w:val="2"/>
                <w:kern w:val="0"/>
                <w:sz w:val="18"/>
                <w:szCs w:val="18"/>
              </w:rPr>
              <w:t>姓名：</w:t>
            </w:r>
            <w:r>
              <w:rPr>
                <w:rFonts w:hint="eastAsia" w:ascii="宋体" w:hAnsi="宋体" w:eastAsia="Times New Roman"/>
                <w:spacing w:val="8"/>
                <w:kern w:val="0"/>
                <w:sz w:val="18"/>
                <w:szCs w:val="18"/>
              </w:rPr>
              <w:t xml:space="preserve">           </w:t>
            </w:r>
            <w:r>
              <w:rPr>
                <w:rFonts w:hint="eastAsia" w:ascii="宋体" w:hAnsi="宋体" w:eastAsia="Times New Roman"/>
                <w:spacing w:val="2"/>
                <w:kern w:val="0"/>
                <w:sz w:val="18"/>
                <w:szCs w:val="18"/>
              </w:rPr>
              <w:t>单位：</w:t>
            </w:r>
            <w:r>
              <w:rPr>
                <w:rFonts w:hint="eastAsia" w:ascii="宋体" w:hAnsi="宋体" w:eastAsia="Times New Roman"/>
                <w:spacing w:val="1"/>
                <w:kern w:val="0"/>
                <w:sz w:val="18"/>
                <w:szCs w:val="18"/>
              </w:rPr>
              <w:t xml:space="preserve">                      </w:t>
            </w:r>
            <w:r>
              <w:rPr>
                <w:rFonts w:hint="eastAsia" w:ascii="宋体" w:hAnsi="宋体" w:eastAsia="Times New Roman"/>
                <w:spacing w:val="2"/>
                <w:kern w:val="0"/>
                <w:sz w:val="18"/>
                <w:szCs w:val="18"/>
              </w:rPr>
              <w:t>联系方式：</w:t>
            </w:r>
          </w:p>
        </w:tc>
      </w:tr>
    </w:tbl>
    <w:p>
      <w:pPr>
        <w:pStyle w:val="58"/>
        <w:spacing w:before="156" w:after="156"/>
        <w:ind w:firstLine="360"/>
      </w:pPr>
      <w:r>
        <w:rPr>
          <w:rFonts w:hint="eastAsia"/>
          <w:sz w:val="18"/>
          <w:szCs w:val="18"/>
        </w:rPr>
        <w:t>填表说明：为及时掌握标准实施情况，了解地方标准实施过程中存在的问题，并为标准复审提供科学依据，特制定《湖北省地方标准实施信息及意见反馈表》。可根据实际情况在表格中对应方框打钩，有需要文字说明的反馈意见可在相应位置进行文字描述，也可另附页。</w:t>
      </w:r>
    </w:p>
    <w:p>
      <w:pPr>
        <w:pStyle w:val="201"/>
      </w:pPr>
    </w:p>
    <w:p>
      <w:pPr>
        <w:pStyle w:val="201"/>
      </w:pPr>
    </w:p>
    <w:p>
      <w:pPr>
        <w:pStyle w:val="58"/>
        <w:ind w:firstLine="420"/>
        <w:sectPr>
          <w:headerReference r:id="rId21" w:type="default"/>
          <w:footerReference r:id="rId23" w:type="default"/>
          <w:headerReference r:id="rId22" w:type="even"/>
          <w:footerReference r:id="rId24" w:type="even"/>
          <w:pgSz w:w="11906" w:h="16838"/>
          <w:pgMar w:top="1928" w:right="1134" w:bottom="1134" w:left="1134" w:header="1418" w:footer="1134" w:gutter="284"/>
          <w:cols w:space="425" w:num="1"/>
          <w:formProt w:val="0"/>
          <w:docGrid w:type="lines" w:linePitch="312" w:charSpace="0"/>
        </w:sectPr>
      </w:pPr>
    </w:p>
    <w:bookmarkEnd w:id="0"/>
    <w:bookmarkEnd w:id="4"/>
    <w:bookmarkEnd w:id="123"/>
    <w:p/>
    <w:p/>
    <w:p/>
    <w:p/>
    <w:p/>
    <w:p>
      <w:pPr>
        <w:pStyle w:val="14"/>
        <w:widowControl/>
        <w:kinsoku w:val="0"/>
        <w:autoSpaceDE w:val="0"/>
        <w:autoSpaceDN w:val="0"/>
        <w:snapToGrid w:val="0"/>
        <w:spacing w:before="140" w:after="0" w:line="240" w:lineRule="auto"/>
        <w:jc w:val="center"/>
        <w:textAlignment w:val="baseline"/>
        <w:rPr>
          <w:rFonts w:ascii="黑体" w:hAnsi="黑体" w:eastAsia="黑体" w:cs="黑体"/>
          <w:snapToGrid w:val="0"/>
          <w:spacing w:val="42"/>
          <w:kern w:val="0"/>
          <w:sz w:val="44"/>
          <w:szCs w:val="44"/>
        </w:rPr>
      </w:pPr>
      <w:r>
        <w:rPr>
          <w:rFonts w:hint="eastAsia" w:ascii="黑体" w:hAnsi="黑体" w:eastAsia="黑体" w:cs="黑体"/>
          <w:snapToGrid w:val="0"/>
          <w:spacing w:val="42"/>
          <w:kern w:val="0"/>
          <w:sz w:val="44"/>
          <w:szCs w:val="44"/>
        </w:rPr>
        <w:t>湖北省地方标准</w:t>
      </w:r>
    </w:p>
    <w:p>
      <w:pPr>
        <w:pStyle w:val="14"/>
        <w:widowControl/>
        <w:kinsoku w:val="0"/>
        <w:autoSpaceDE w:val="0"/>
        <w:autoSpaceDN w:val="0"/>
        <w:snapToGrid w:val="0"/>
        <w:spacing w:before="100" w:after="0" w:line="480" w:lineRule="auto"/>
        <w:jc w:val="center"/>
        <w:textAlignment w:val="baseline"/>
        <w:rPr>
          <w:rFonts w:ascii="黑体" w:hAnsi="黑体" w:eastAsia="黑体" w:cs="黑体"/>
          <w:snapToGrid w:val="0"/>
          <w:kern w:val="0"/>
          <w:sz w:val="44"/>
          <w:szCs w:val="44"/>
        </w:rPr>
      </w:pPr>
      <w:r>
        <w:rPr>
          <w:rFonts w:hint="eastAsia" w:ascii="黑体" w:hAnsi="黑体" w:eastAsia="黑体" w:cs="黑体"/>
          <w:snapToGrid w:val="0"/>
          <w:kern w:val="0"/>
          <w:sz w:val="44"/>
          <w:szCs w:val="44"/>
        </w:rPr>
        <w:t>既有住宅加装电梯技术规程</w:t>
      </w:r>
    </w:p>
    <w:p>
      <w:pPr>
        <w:pStyle w:val="14"/>
        <w:spacing w:before="100" w:line="480" w:lineRule="auto"/>
        <w:jc w:val="center"/>
        <w:rPr>
          <w:rFonts w:ascii="黑体" w:hAnsi="黑体" w:eastAsia="黑体"/>
          <w:sz w:val="28"/>
          <w:szCs w:val="28"/>
        </w:rPr>
      </w:pPr>
      <w:r>
        <w:rPr>
          <w:rFonts w:ascii="黑体" w:hAnsi="黑体" w:eastAsia="黑体"/>
          <w:sz w:val="28"/>
          <w:szCs w:val="28"/>
        </w:rPr>
        <w:t>DB</w:t>
      </w:r>
      <w:r>
        <w:rPr>
          <w:rFonts w:ascii="黑体" w:hAnsi="黑体" w:eastAsia="黑体"/>
          <w:spacing w:val="15"/>
          <w:sz w:val="28"/>
          <w:szCs w:val="28"/>
        </w:rPr>
        <w:t>42/</w:t>
      </w:r>
      <w:r>
        <w:rPr>
          <w:rFonts w:ascii="黑体" w:hAnsi="黑体" w:eastAsia="黑体"/>
          <w:sz w:val="28"/>
          <w:szCs w:val="28"/>
        </w:rPr>
        <w:t>T</w:t>
      </w:r>
      <w:r>
        <w:rPr>
          <w:rFonts w:ascii="黑体" w:hAnsi="黑体" w:eastAsia="黑体"/>
          <w:spacing w:val="15"/>
          <w:sz w:val="28"/>
          <w:szCs w:val="28"/>
        </w:rPr>
        <w:t xml:space="preserve"> </w:t>
      </w:r>
      <w:r>
        <w:rPr>
          <w:rFonts w:ascii="黑体" w:hAnsi="黑体" w:eastAsia="黑体"/>
          <w:sz w:val="28"/>
          <w:szCs w:val="28"/>
        </w:rPr>
        <w:t>xxxx</w:t>
      </w:r>
      <w:r>
        <w:rPr>
          <w:rFonts w:ascii="黑体" w:hAnsi="黑体" w:eastAsia="黑体"/>
          <w:spacing w:val="15"/>
          <w:sz w:val="28"/>
          <w:szCs w:val="28"/>
        </w:rPr>
        <w:t>—</w:t>
      </w:r>
      <w:r>
        <w:rPr>
          <w:rFonts w:ascii="黑体" w:hAnsi="黑体" w:eastAsia="黑体"/>
          <w:sz w:val="28"/>
          <w:szCs w:val="28"/>
        </w:rPr>
        <w:t>xxxx</w:t>
      </w:r>
    </w:p>
    <w:p>
      <w:pPr>
        <w:spacing w:line="299" w:lineRule="auto"/>
      </w:pPr>
    </w:p>
    <w:p>
      <w:pPr>
        <w:pStyle w:val="14"/>
        <w:spacing w:before="140" w:line="240" w:lineRule="auto"/>
        <w:jc w:val="center"/>
        <w:outlineLvl w:val="0"/>
        <w:rPr>
          <w:rFonts w:ascii="黑体" w:hAnsi="黑体" w:eastAsia="黑体"/>
          <w:sz w:val="44"/>
          <w:szCs w:val="44"/>
        </w:rPr>
      </w:pPr>
      <w:bookmarkStart w:id="124" w:name="bookmark57"/>
      <w:bookmarkEnd w:id="124"/>
      <w:bookmarkStart w:id="125" w:name="_Toc229559708"/>
      <w:r>
        <w:rPr>
          <w:rFonts w:ascii="黑体" w:hAnsi="黑体" w:eastAsia="黑体"/>
          <w:spacing w:val="5"/>
          <w:sz w:val="44"/>
          <w:szCs w:val="44"/>
        </w:rPr>
        <w:t>条文说明</w:t>
      </w:r>
      <w:bookmarkEnd w:id="125"/>
    </w:p>
    <w:p/>
    <w:p/>
    <w:p/>
    <w:p/>
    <w:p/>
    <w:p/>
    <w:p/>
    <w:p/>
    <w:p/>
    <w:p/>
    <w:p/>
    <w:p/>
    <w:p>
      <w:pPr>
        <w:widowControl/>
        <w:adjustRightInd/>
        <w:spacing w:line="240" w:lineRule="auto"/>
        <w:jc w:val="left"/>
        <w:sectPr>
          <w:headerReference r:id="rId25" w:type="default"/>
          <w:footerReference r:id="rId27" w:type="default"/>
          <w:headerReference r:id="rId26" w:type="even"/>
          <w:footerReference r:id="rId28" w:type="even"/>
          <w:pgSz w:w="11906" w:h="16838"/>
          <w:pgMar w:top="1928" w:right="1134" w:bottom="1134" w:left="1134" w:header="1418" w:footer="1134" w:gutter="284"/>
          <w:pgNumType w:start="1"/>
          <w:cols w:space="425" w:num="1"/>
          <w:formProt w:val="0"/>
          <w:docGrid w:type="lines" w:linePitch="312" w:charSpace="0"/>
        </w:sectPr>
      </w:pPr>
      <w:r>
        <w:br w:type="page"/>
      </w:r>
    </w:p>
    <w:p>
      <w:pPr>
        <w:pStyle w:val="93"/>
        <w:spacing w:after="468"/>
      </w:pPr>
      <w:r>
        <w:rPr>
          <w:rFonts w:hint="eastAsia"/>
          <w:spacing w:val="320"/>
        </w:rPr>
        <w:t>目</w:t>
      </w:r>
      <w:r>
        <w:rPr>
          <w:rFonts w:hint="eastAsia"/>
        </w:rPr>
        <w:t>次</w:t>
      </w:r>
    </w:p>
    <w:p>
      <w:pPr>
        <w:pStyle w:val="20"/>
        <w:tabs>
          <w:tab w:val="right" w:leader="dot" w:pos="9344"/>
        </w:tabs>
        <w:rPr>
          <w:rFonts w:asciiTheme="minorHAnsi" w:hAnsiTheme="minorHAnsi" w:eastAsiaTheme="minorEastAsia" w:cstheme="minorBidi"/>
          <w:szCs w:val="22"/>
        </w:rPr>
      </w:pPr>
      <w:r>
        <w:fldChar w:fldCharType="begin"/>
      </w:r>
      <w:r>
        <w:instrText xml:space="preserve"> </w:instrText>
      </w:r>
      <w:r>
        <w:rPr>
          <w:rFonts w:hint="eastAsia"/>
        </w:rPr>
        <w:instrText xml:space="preserve">TOC \o "1-1" \h \z \u</w:instrText>
      </w:r>
      <w:r>
        <w:instrText xml:space="preserve"> </w:instrText>
      </w:r>
      <w:r>
        <w:fldChar w:fldCharType="separate"/>
      </w:r>
      <w:r>
        <w:fldChar w:fldCharType="begin"/>
      </w:r>
      <w:r>
        <w:instrText xml:space="preserve"> HYPERLINK \l "_Toc229559709" </w:instrText>
      </w:r>
      <w:r>
        <w:fldChar w:fldCharType="separate"/>
      </w:r>
      <w:r>
        <w:rPr>
          <w:rStyle w:val="34"/>
        </w:rPr>
        <w:t>4　基本规定</w:t>
      </w:r>
      <w:r>
        <w:tab/>
      </w:r>
      <w:r>
        <w:fldChar w:fldCharType="begin"/>
      </w:r>
      <w:r>
        <w:instrText xml:space="preserve"> PAGEREF _Toc229559709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"_Toc229559710" </w:instrText>
      </w:r>
      <w:r>
        <w:fldChar w:fldCharType="separate"/>
      </w:r>
      <w:r>
        <w:rPr>
          <w:rStyle w:val="34"/>
        </w:rPr>
        <w:t>5　评估</w:t>
      </w:r>
      <w:r>
        <w:tab/>
      </w:r>
      <w:r>
        <w:fldChar w:fldCharType="begin"/>
      </w:r>
      <w:r>
        <w:instrText xml:space="preserve"> PAGEREF _Toc229559710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"_Toc229559711" </w:instrText>
      </w:r>
      <w:r>
        <w:fldChar w:fldCharType="separate"/>
      </w:r>
      <w:r>
        <w:rPr>
          <w:rStyle w:val="34"/>
        </w:rPr>
        <w:t>6　设计</w:t>
      </w:r>
      <w:r>
        <w:tab/>
      </w:r>
      <w:r>
        <w:fldChar w:fldCharType="begin"/>
      </w:r>
      <w:r>
        <w:instrText xml:space="preserve"> PAGEREF _Toc229559711 \h </w:instrText>
      </w:r>
      <w:r>
        <w:fldChar w:fldCharType="separate"/>
      </w:r>
      <w:r>
        <w:t>1</w:t>
      </w:r>
      <w:r>
        <w:fldChar w:fldCharType="end"/>
      </w:r>
      <w:r>
        <w:fldChar w:fldCharType="end"/>
      </w:r>
    </w:p>
    <w:p>
      <w:pPr>
        <w:pStyle w:val="20"/>
        <w:tabs>
          <w:tab w:val="right" w:leader="dot" w:pos="9344"/>
        </w:tabs>
        <w:rPr>
          <w:rFonts w:asciiTheme="minorHAnsi" w:hAnsiTheme="minorHAnsi" w:eastAsiaTheme="minorEastAsia" w:cstheme="minorBidi"/>
          <w:szCs w:val="22"/>
        </w:rPr>
      </w:pPr>
      <w:r>
        <w:fldChar w:fldCharType="begin"/>
      </w:r>
      <w:r>
        <w:instrText xml:space="preserve"> HYPERLINK \l "_Toc229559712" </w:instrText>
      </w:r>
      <w:r>
        <w:fldChar w:fldCharType="separate"/>
      </w:r>
      <w:r>
        <w:rPr>
          <w:rStyle w:val="34"/>
        </w:rPr>
        <w:t>7　施工与验收</w:t>
      </w:r>
      <w:r>
        <w:tab/>
      </w:r>
      <w:r>
        <w:fldChar w:fldCharType="begin"/>
      </w:r>
      <w:r>
        <w:instrText xml:space="preserve"> PAGEREF _Toc229559712 \h </w:instrText>
      </w:r>
      <w:r>
        <w:fldChar w:fldCharType="separate"/>
      </w:r>
      <w:r>
        <w:t>3</w:t>
      </w:r>
      <w:r>
        <w:fldChar w:fldCharType="end"/>
      </w:r>
      <w:r>
        <w:fldChar w:fldCharType="end"/>
      </w:r>
    </w:p>
    <w:p>
      <w:pPr>
        <w:widowControl/>
        <w:adjustRightInd/>
        <w:spacing w:line="240" w:lineRule="auto"/>
        <w:jc w:val="left"/>
      </w:pPr>
      <w:r>
        <w:fldChar w:fldCharType="end"/>
      </w:r>
    </w:p>
    <w:p>
      <w:pPr>
        <w:widowControl/>
        <w:adjustRightInd/>
        <w:spacing w:line="240" w:lineRule="auto"/>
        <w:jc w:val="left"/>
        <w:sectPr>
          <w:footerReference r:id="rId29" w:type="default"/>
          <w:pgSz w:w="11906" w:h="16838"/>
          <w:pgMar w:top="1928" w:right="1134" w:bottom="1134" w:left="1134" w:header="1418" w:footer="1134" w:gutter="284"/>
          <w:pgNumType w:start="1"/>
          <w:cols w:space="425" w:num="1"/>
          <w:formProt w:val="0"/>
          <w:docGrid w:type="lines" w:linePitch="312" w:charSpace="0"/>
        </w:sectPr>
      </w:pPr>
      <w:r>
        <w:br w:type="page"/>
      </w:r>
    </w:p>
    <w:sdt>
      <w:sdtPr>
        <w:tag w:val="NEW_STAND_NAME"/>
        <w:id w:val="-1207641609"/>
        <w:placeholder>
          <w:docPart w:val="430DA221C9EB4030A7B937F8A66F7BC3"/>
        </w:placeholder>
      </w:sdtPr>
      <w:sdtContent>
        <w:p>
          <w:pPr>
            <w:pStyle w:val="179"/>
            <w:spacing w:before="3" w:beforeLines="1" w:after="686" w:afterLines="220"/>
          </w:pPr>
          <w:bookmarkStart w:id="126" w:name="条文目录"/>
          <w:r>
            <w:rPr>
              <w:rFonts w:hint="eastAsia"/>
            </w:rPr>
            <w:t>既有住宅加装电梯技术规程</w:t>
          </w:r>
        </w:p>
      </w:sdtContent>
    </w:sdt>
    <w:p>
      <w:pPr>
        <w:pStyle w:val="106"/>
        <w:numPr>
          <w:ilvl w:val="0"/>
          <w:numId w:val="0"/>
        </w:numPr>
        <w:spacing w:before="312" w:after="312"/>
      </w:pPr>
      <w:bookmarkStart w:id="127" w:name="_Toc229564755"/>
      <w:bookmarkStart w:id="128" w:name="_Toc229564728"/>
      <w:bookmarkStart w:id="129" w:name="_Toc229559709"/>
      <w:bookmarkStart w:id="130" w:name="_Toc224720546"/>
      <w:r>
        <w:rPr>
          <w:rFonts w:hint="eastAsia"/>
        </w:rPr>
        <w:t>4　基本规定</w:t>
      </w:r>
      <w:bookmarkEnd w:id="127"/>
      <w:bookmarkEnd w:id="128"/>
      <w:bookmarkEnd w:id="129"/>
      <w:bookmarkEnd w:id="130"/>
    </w:p>
    <w:p>
      <w:pPr>
        <w:pStyle w:val="164"/>
        <w:numPr>
          <w:ilvl w:val="0"/>
          <w:numId w:val="0"/>
        </w:numPr>
      </w:pPr>
      <w:r>
        <w:rPr>
          <w:rFonts w:hint="eastAsia" w:ascii="黑体" w:hAnsi="黑体" w:eastAsia="黑体"/>
        </w:rPr>
        <w:t>4</w:t>
      </w:r>
      <w:r>
        <w:rPr>
          <w:rFonts w:ascii="黑体" w:hAnsi="黑体" w:eastAsia="黑体"/>
        </w:rPr>
        <w:t>.1</w:t>
      </w:r>
      <w:r>
        <w:rPr>
          <w:rFonts w:hint="eastAsia" w:ascii="黑体" w:eastAsia="黑体"/>
        </w:rPr>
        <w:t>　</w:t>
      </w:r>
      <w:r>
        <w:rPr>
          <w:rFonts w:hint="eastAsia"/>
        </w:rPr>
        <w:t>本条明确了加装电梯工程应遵循的总体原则。“安全、耐久、适用、经济”是基本原则；“绿色、环保”是结合可持续发展战略新增的要求，旨在引导在材料选择、施工工艺、能源利用等方面减少对环境的影响；“便于施工、安装和后续使用维护”则体现了全生命周期管理的理念，强调前期设计应充分考虑后期实施的可行性与运维的便利性。</w:t>
      </w:r>
    </w:p>
    <w:p>
      <w:pPr>
        <w:pStyle w:val="164"/>
        <w:numPr>
          <w:ilvl w:val="0"/>
          <w:numId w:val="0"/>
        </w:numPr>
      </w:pPr>
      <w:r>
        <w:rPr>
          <w:rFonts w:hint="eastAsia" w:ascii="黑体" w:hAnsi="黑体" w:eastAsia="黑体"/>
        </w:rPr>
        <w:t>4</w:t>
      </w:r>
      <w:r>
        <w:rPr>
          <w:rFonts w:ascii="黑体" w:hAnsi="黑体" w:eastAsia="黑体"/>
        </w:rPr>
        <w:t>.2</w:t>
      </w:r>
      <w:r>
        <w:rPr>
          <w:rFonts w:hint="eastAsia" w:ascii="黑体" w:hAnsi="黑体" w:eastAsia="黑体"/>
        </w:rPr>
        <w:t>　</w:t>
      </w:r>
      <w:r>
        <w:rPr>
          <w:rFonts w:hint="eastAsia"/>
        </w:rPr>
        <w:t>本条要求将可行性评估作为前置条件。加装电梯是对建成环境的改造，受制于原有住宅的结构条件、场地限制、周边环境等多种因素。未经科学评估盲目建设，可能引发结构安全、消防安全隐患或邻里纠纷。因此，必须依据本规程第5章的详细要求进行全面评估，并以书面评估报告作为后续所有技术工作的决策基础。</w:t>
      </w:r>
    </w:p>
    <w:p>
      <w:pPr>
        <w:pStyle w:val="106"/>
        <w:numPr>
          <w:ilvl w:val="0"/>
          <w:numId w:val="0"/>
        </w:numPr>
        <w:spacing w:before="312" w:after="312"/>
      </w:pPr>
      <w:bookmarkStart w:id="131" w:name="_Toc229559710"/>
      <w:bookmarkStart w:id="132" w:name="_Toc229564756"/>
      <w:bookmarkStart w:id="133" w:name="_Toc229564729"/>
      <w:r>
        <w:t>5</w:t>
      </w:r>
      <w:r>
        <w:rPr>
          <w:rFonts w:hint="eastAsia"/>
        </w:rPr>
        <w:t>　评估</w:t>
      </w:r>
      <w:bookmarkEnd w:id="131"/>
      <w:bookmarkEnd w:id="132"/>
      <w:bookmarkEnd w:id="133"/>
    </w:p>
    <w:p>
      <w:pPr>
        <w:pStyle w:val="107"/>
        <w:numPr>
          <w:ilvl w:val="0"/>
          <w:numId w:val="0"/>
        </w:numPr>
        <w:spacing w:before="156" w:after="156"/>
      </w:pPr>
      <w:bookmarkStart w:id="134" w:name="_Toc229564730"/>
      <w:r>
        <w:t>5.1</w:t>
      </w:r>
      <w:r>
        <w:rPr>
          <w:rFonts w:hint="eastAsia"/>
        </w:rPr>
        <w:t>　一般规定</w:t>
      </w:r>
      <w:bookmarkEnd w:id="134"/>
    </w:p>
    <w:p>
      <w:pPr>
        <w:pStyle w:val="67"/>
        <w:numPr>
          <w:ilvl w:val="0"/>
          <w:numId w:val="0"/>
        </w:numPr>
        <w:spacing w:before="0" w:beforeLines="0" w:after="0" w:afterLines="0"/>
        <w:outlineLvl w:val="9"/>
        <w:rPr>
          <w:rFonts w:ascii="宋体" w:hAnsi="宋体" w:eastAsia="宋体"/>
        </w:rPr>
      </w:pPr>
      <w:r>
        <w:rPr>
          <w:rFonts w:hAnsi="黑体"/>
          <w:szCs w:val="21"/>
        </w:rPr>
        <w:t>5.1.3</w:t>
      </w:r>
      <w:r>
        <w:rPr>
          <w:rFonts w:hint="eastAsia" w:hAnsi="黑体"/>
          <w:szCs w:val="21"/>
        </w:rPr>
        <w:t>　</w:t>
      </w:r>
      <w:r>
        <w:rPr>
          <w:rFonts w:hint="eastAsia" w:ascii="宋体" w:hAnsi="宋体" w:eastAsia="宋体"/>
        </w:rPr>
        <w:t>本条要求评估工作应由相关责任单位委托具有相应资质的专业单位承担，可通过购买服务的方式聘请专业评估、矛盾调解等机构参与加装电梯工作，鼓励社会力量成立加装电梯工作志愿服务队，为居民提供“一站式”加梯咨询、矛盾调解服务。</w:t>
      </w:r>
    </w:p>
    <w:p>
      <w:pPr>
        <w:pStyle w:val="107"/>
        <w:numPr>
          <w:ilvl w:val="0"/>
          <w:numId w:val="0"/>
        </w:numPr>
        <w:spacing w:before="156" w:after="156"/>
      </w:pPr>
      <w:bookmarkStart w:id="135" w:name="_Toc229564731"/>
      <w:r>
        <w:t>5.6</w:t>
      </w:r>
      <w:r>
        <w:rPr>
          <w:rFonts w:hint="eastAsia"/>
        </w:rPr>
        <w:t>　评估结论与报告</w:t>
      </w:r>
      <w:bookmarkEnd w:id="135"/>
    </w:p>
    <w:p>
      <w:pPr>
        <w:pStyle w:val="67"/>
        <w:numPr>
          <w:ilvl w:val="0"/>
          <w:numId w:val="0"/>
        </w:numPr>
        <w:spacing w:before="0" w:beforeLines="0" w:after="0" w:afterLines="0"/>
        <w:outlineLvl w:val="9"/>
        <w:rPr>
          <w:rFonts w:ascii="宋体" w:hAnsi="宋体" w:eastAsia="宋体"/>
        </w:rPr>
      </w:pPr>
      <w:r>
        <w:rPr>
          <w:rFonts w:hAnsi="黑体"/>
          <w:szCs w:val="21"/>
        </w:rPr>
        <w:t>5.6.1</w:t>
      </w:r>
      <w:r>
        <w:rPr>
          <w:rFonts w:hint="eastAsia" w:hAnsi="黑体"/>
          <w:szCs w:val="21"/>
        </w:rPr>
        <w:t>　</w:t>
      </w:r>
      <w:r>
        <w:rPr>
          <w:rFonts w:hint="eastAsia" w:ascii="宋体" w:hAnsi="宋体" w:eastAsia="宋体"/>
        </w:rPr>
        <w:t>本条明确了评估报告应经评估人员、审批人员签字，并加盖评估机构公章，目的是强化报告审核把关，保障评估内容严谨性、结论合规性，符合评估机构质量管理及成果文件出具的常规管理要求。</w:t>
      </w:r>
    </w:p>
    <w:p>
      <w:pPr>
        <w:pStyle w:val="106"/>
        <w:numPr>
          <w:ilvl w:val="0"/>
          <w:numId w:val="0"/>
        </w:numPr>
        <w:spacing w:before="312" w:after="312"/>
      </w:pPr>
      <w:bookmarkStart w:id="136" w:name="_Toc229564732"/>
      <w:bookmarkStart w:id="137" w:name="_Toc229559711"/>
      <w:bookmarkStart w:id="138" w:name="_Toc224720548"/>
      <w:bookmarkStart w:id="139" w:name="_Toc229564757"/>
      <w:r>
        <w:t>6</w:t>
      </w:r>
      <w:r>
        <w:rPr>
          <w:rFonts w:hint="eastAsia"/>
        </w:rPr>
        <w:t>　设计</w:t>
      </w:r>
      <w:bookmarkEnd w:id="136"/>
      <w:bookmarkEnd w:id="137"/>
      <w:bookmarkEnd w:id="138"/>
      <w:bookmarkEnd w:id="139"/>
    </w:p>
    <w:p>
      <w:pPr>
        <w:pStyle w:val="107"/>
        <w:numPr>
          <w:ilvl w:val="0"/>
          <w:numId w:val="0"/>
        </w:numPr>
        <w:spacing w:before="156" w:after="156"/>
      </w:pPr>
      <w:bookmarkStart w:id="140" w:name="_Toc229564733"/>
      <w:r>
        <w:t>6.1</w:t>
      </w:r>
      <w:r>
        <w:rPr>
          <w:rFonts w:hint="eastAsia"/>
        </w:rPr>
        <w:t>　一般规定</w:t>
      </w:r>
      <w:bookmarkEnd w:id="140"/>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.1.1</w:t>
      </w:r>
      <w:r>
        <w:rPr>
          <w:rFonts w:hint="eastAsia" w:hAnsi="黑体"/>
          <w:szCs w:val="21"/>
        </w:rPr>
        <w:t>　</w:t>
      </w:r>
      <w:r>
        <w:rPr>
          <w:rFonts w:hint="eastAsia" w:ascii="宋体" w:hAnsi="宋体" w:eastAsia="宋体"/>
        </w:rPr>
        <w:t>本条明确了加装电梯设计工作的两个基本阶段和前置条件。将设计划分为“方案设计”与“施工图设计”阶段，符合工程建设的基本程序，旨在确保设计工作的深度和逻辑性。强调设计必须“在可行性评估结论的基础上开展”，是强制性要求，意味着评估报告（第5章）中关于结构安全、场地条件、消防、管线等结论是设计的输入条件和边界限制，设计方案不得与之冲突，确保了评估与设计的有效衔接。</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.1.4</w:t>
      </w:r>
      <w:r>
        <w:rPr>
          <w:rFonts w:hint="eastAsia" w:hAnsi="黑体"/>
          <w:szCs w:val="21"/>
        </w:rPr>
        <w:t>　</w:t>
      </w:r>
      <w:r>
        <w:rPr>
          <w:rFonts w:hint="eastAsia" w:ascii="宋体" w:hAnsi="宋体" w:eastAsia="宋体"/>
        </w:rPr>
        <w:t>本条明确了加装电梯工程应秉持的重要社会理念。我国已进入老龄化社会，既有住宅居民中老年人比例较高。“贯彻无障碍与适老化理念”是响应国家政策、提升居住品质、保障特殊群体权益的必然要求。“宜优先选用无障碍电梯”是一项推荐性要求，旨在引导建设方和设计方在条件允许时，选择轿厢尺寸、门宽、操作装置等均符合《建筑与市政工程无障碍通用规范》GB</w:t>
      </w:r>
      <w:r>
        <w:rPr>
          <w:rFonts w:ascii="宋体" w:hAnsi="宋体" w:eastAsia="宋体"/>
        </w:rPr>
        <w:t xml:space="preserve"> </w:t>
      </w:r>
      <w:r>
        <w:rPr>
          <w:rFonts w:hint="eastAsia" w:ascii="宋体" w:hAnsi="宋体" w:eastAsia="宋体"/>
        </w:rPr>
        <w:t>55019和《无障碍设计规范》GB 50763要求的电梯产品，为轮椅使用者、担架通行提供便利。具体的技术要求在本规程第6.6节“无障碍与适老化设计”中有详细规定。</w:t>
      </w:r>
    </w:p>
    <w:p>
      <w:pPr>
        <w:pStyle w:val="107"/>
        <w:numPr>
          <w:ilvl w:val="0"/>
          <w:numId w:val="0"/>
        </w:numPr>
        <w:spacing w:before="156" w:after="156"/>
      </w:pPr>
      <w:bookmarkStart w:id="141" w:name="_Toc229564734"/>
      <w:r>
        <w:t>6.2</w:t>
      </w:r>
      <w:r>
        <w:rPr>
          <w:rFonts w:hint="eastAsia"/>
        </w:rPr>
        <w:t>　总平面</w:t>
      </w:r>
      <w:bookmarkEnd w:id="141"/>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.2.2</w:t>
      </w:r>
      <w:r>
        <w:rPr>
          <w:rFonts w:hint="eastAsia" w:hAnsi="黑体"/>
          <w:szCs w:val="21"/>
        </w:rPr>
        <w:t>　</w:t>
      </w:r>
      <w:r>
        <w:rPr>
          <w:rFonts w:hint="eastAsia" w:ascii="宋体" w:hAnsi="宋体" w:eastAsia="宋体"/>
        </w:rPr>
        <w:t>消防车道与消防车登高操作场地是保障建筑消防安全、满足灭火救援需求的至关重要的基础设施。为确保加装电梯工程不降低既有住宅的消防安全水平，本条明确引用了《建筑设计防火规范》GB 50016及《建筑防火通用规范》GB 55037这两项国家标准中的相关强制性规定。在设计与审查中，必须严格核对并满足这些规范对消防车道宽度、净高、转弯半径及登高场地尺寸与承载能力的全部要求。任何对既有消防条件的占用或压缩，都可能构成重大安全隐患，因此予以明确禁止。</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.2.3</w:t>
      </w:r>
      <w:r>
        <w:rPr>
          <w:rFonts w:hint="eastAsia" w:hAnsi="黑体"/>
          <w:szCs w:val="21"/>
        </w:rPr>
        <w:t>　</w:t>
      </w:r>
      <w:r>
        <w:rPr>
          <w:rFonts w:hint="eastAsia" w:ascii="宋体" w:hAnsi="宋体" w:eastAsia="宋体"/>
        </w:rPr>
        <w:t>加装电梯可能对相邻住宅的居住环境品质产生多方面影响，是设计阶段需要重点处理的问题。本条旨在引导建设与设计方采取主动、专业的技术方法进行预评估与消解。在方案初期，即应通过软件模拟、经验判断等方式，对日照、采光、通风、视觉通廊及设备噪声等影响进行定量或定性分析。基于评估结果，应在设计中优先考虑通过调整电梯井道位置、优化连廊形式、选用低噪声设备、设置格栅或绿化遮挡等具体技术措施，从源头上减少对相邻住户的不利影响。这种基于专业分析的设计优化，是促进社区和谐、保障项目社会可行性的重要技术基础。</w:t>
      </w:r>
    </w:p>
    <w:p>
      <w:pPr>
        <w:pStyle w:val="107"/>
        <w:numPr>
          <w:ilvl w:val="0"/>
          <w:numId w:val="0"/>
        </w:numPr>
        <w:spacing w:before="156" w:after="156"/>
      </w:pPr>
      <w:bookmarkStart w:id="142" w:name="_Toc229564735"/>
      <w:r>
        <w:t>6.3</w:t>
      </w:r>
      <w:r>
        <w:rPr>
          <w:rFonts w:hint="eastAsia"/>
        </w:rPr>
        <w:t>　建筑设计</w:t>
      </w:r>
      <w:bookmarkEnd w:id="142"/>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.3.1</w:t>
      </w:r>
      <w:r>
        <w:rPr>
          <w:rFonts w:hint="eastAsia" w:ascii="宋体" w:hAnsi="宋体" w:eastAsia="宋体"/>
        </w:rPr>
        <w:t>　平层入户可使电梯停靠层与各层居室楼面标高相同，能让使用者更便利，当采用平层入户方式时，一般会利用新增联系平台的方式入户，加建时要控制新增联系平台尺寸，在满足要求的条件下控制到最小。</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.3.4</w:t>
      </w:r>
      <w:r>
        <w:rPr>
          <w:rFonts w:hint="eastAsia" w:ascii="宋体" w:hAnsi="宋体" w:eastAsia="宋体"/>
        </w:rPr>
        <w:t>　在既有住宅加装电梯工程中，部分场景因建筑结构限制、入户方式选择（如平层入户连接住户外窗、阳台等），无法实现加装电梯与原有公共楼梯间的直接连通，此时原有公共楼梯间无法作为电梯紧急救援的通道，若不单独设置专用紧急救援通道，将导致电梯困人时救援人员难以抵达电梯机房、轿顶、底坑等关键救援位置，或无法快速接近被困人员，延误救援时机，甚至可能因救援路径不畅引发二次安全事故。因此，本条明确要求此类情形必须设置电梯紧急救援通道，填补救援路径空白。设置的电梯紧急救援通道应符合国家现行有关规定。</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.3.5</w:t>
      </w:r>
      <w:r>
        <w:rPr>
          <w:rFonts w:hint="eastAsia" w:ascii="宋体" w:hAnsi="宋体" w:eastAsia="宋体"/>
        </w:rPr>
        <w:t>　装配式一体化电梯包含预制砼底坑、预制钢结构（无焊接）井道与外维护系统、预制集成机电与智能系统等，具有自重轻，现场作业方便，施工周期短，现场环境影响小等优点。</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.3.10</w:t>
      </w:r>
      <w:r>
        <w:rPr>
          <w:rFonts w:hint="eastAsia" w:ascii="宋体" w:hAnsi="宋体" w:eastAsia="宋体"/>
        </w:rPr>
        <w:t>　这里要求既有住宅加装电梯新增的单元入口疏散通道和疏散外门开启后净宽度不应小于1.10m，当既有住宅现状安全疏散通道宽度不满足现行国家标准要求时，加装电梯后不应再减少该宽度。</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.3.16</w:t>
      </w:r>
      <w:r>
        <w:rPr>
          <w:rFonts w:hint="eastAsia" w:ascii="宋体" w:hAnsi="宋体" w:eastAsia="宋体"/>
        </w:rPr>
        <w:t>　老旧小区住户多是老年人，而且物业管理、维保、监管力量薄弱，为适配智慧社区发展，保障乘梯安全，满足政府监管要求，降低后期运维成本，提出本条要求。</w:t>
      </w:r>
    </w:p>
    <w:p>
      <w:pPr>
        <w:pStyle w:val="107"/>
        <w:numPr>
          <w:ilvl w:val="0"/>
          <w:numId w:val="0"/>
        </w:numPr>
        <w:spacing w:before="156" w:after="156"/>
      </w:pPr>
      <w:bookmarkStart w:id="143" w:name="_Toc229564736"/>
      <w:r>
        <w:t>6.4</w:t>
      </w:r>
      <w:r>
        <w:rPr>
          <w:rFonts w:hint="eastAsia"/>
        </w:rPr>
        <w:t>　消防设计</w:t>
      </w:r>
      <w:bookmarkEnd w:id="143"/>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.4.5</w:t>
      </w:r>
      <w:r>
        <w:rPr>
          <w:rFonts w:hint="eastAsia" w:ascii="宋体" w:hAnsi="宋体" w:eastAsia="宋体"/>
        </w:rPr>
        <w:t>　既有住宅多建成时间较久，部分楼栋存在楼梯间空间狭窄、外墙结构老旧、周边公共空间有限等问题，导致电梯与楼梯间外墙连接时无法完全按照理想条件施工（如无法避开排烟窗、无法预留足够的防烟间距等），此时需优先保障原楼梯间的防烟排烟功能不降低，这是因为公共楼梯间是火灾等紧急情况下人员疏散的核心通道，其防烟排烟功能直接关系到疏散人员的生命安全，是建筑消防安全的重要防线，不得因加装电梯改造而弱化这一核心功能。连接部位需占用部分排烟窗位置，应通过增设有效排烟面积的可开启外窗、调整排烟窗布置位置等方式，弥补排烟面积损失，达到满足GB</w:t>
      </w:r>
      <w:r>
        <w:rPr>
          <w:rFonts w:ascii="宋体" w:hAnsi="宋体" w:eastAsia="宋体"/>
        </w:rPr>
        <w:t xml:space="preserve"> </w:t>
      </w:r>
      <w:r>
        <w:rPr>
          <w:rFonts w:hint="eastAsia" w:ascii="宋体" w:hAnsi="宋体" w:eastAsia="宋体"/>
        </w:rPr>
        <w:t>51251的相关规定或确保自然排烟效果不降低的条件。</w:t>
      </w:r>
    </w:p>
    <w:p>
      <w:pPr>
        <w:pStyle w:val="107"/>
        <w:numPr>
          <w:ilvl w:val="0"/>
          <w:numId w:val="0"/>
        </w:numPr>
        <w:spacing w:before="156" w:after="156"/>
      </w:pPr>
      <w:bookmarkStart w:id="144" w:name="_Toc229564737"/>
      <w:r>
        <w:t>6.5</w:t>
      </w:r>
      <w:r>
        <w:rPr>
          <w:rFonts w:hint="eastAsia"/>
        </w:rPr>
        <w:t>　电梯参数设计</w:t>
      </w:r>
      <w:bookmarkEnd w:id="144"/>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.5.2</w:t>
      </w:r>
      <w:r>
        <w:rPr>
          <w:rFonts w:hint="eastAsia" w:ascii="宋体" w:hAnsi="宋体" w:eastAsia="宋体"/>
        </w:rPr>
        <w:t>　既有住宅加装电梯主要服务老年人等行动不便人群，控制电梯额定速度不大于 1m/s，可保证运行平稳、乘坐舒适，同时降低对既有建筑结构及周边环境的影响，满足安全使用与加装工程适配要求。</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.5.</w:t>
      </w:r>
      <w:r>
        <w:rPr>
          <w:rFonts w:ascii="宋体" w:hAnsi="宋体" w:eastAsia="宋体"/>
        </w:rPr>
        <w:t>4</w:t>
      </w:r>
      <w:r>
        <w:rPr>
          <w:rFonts w:hint="eastAsia" w:ascii="宋体" w:hAnsi="宋体" w:eastAsia="宋体"/>
        </w:rPr>
        <w:t>　电梯应尽量满足便于轮椅进出、运送病人、运送大型家具的要求，电梯的轿厢门，层门净宽不宜小于0.90 m，不应小于0.8 m。电梯层门、轿厢门、轿厢内净高不应小于2 m。考虑容纳担架出入时，轿厢长边尺寸不宜小于 1.60 m，短边尺寸不宜小于1.50 m。条件受限时，轿厢尺寸不宜小于1.1 m×1.4 m。</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.5.8</w:t>
      </w:r>
      <w:r>
        <w:rPr>
          <w:rFonts w:hint="eastAsia" w:ascii="宋体" w:hAnsi="宋体" w:eastAsia="宋体"/>
        </w:rPr>
        <w:t>　通过智能检测手段识别电动自行车及其违禁状态，实现自动告警、拒关门、停运或语音劝阻等干预措施，从源头杜绝违规进梯行为，满足老旧小区电梯消防安全管控要求。</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.5.9</w:t>
      </w:r>
      <w:r>
        <w:rPr>
          <w:rFonts w:hint="eastAsia" w:ascii="宋体" w:hAnsi="宋体" w:eastAsia="宋体"/>
        </w:rPr>
        <w:t>　既有建筑加装电梯服务对象以老年人、行动不便者居多，自我救援与等待外部救援能力相对较弱。主供电电源发生故障或中断时，依靠该装置可无需外部人工救援，自动驱动轿厢平缓移动至最近层站或指定层站并开启轿门与层门，实现被困人员自主疏散，有效避免人员长时间困梯风险，提高电梯应急处置的安全性与可靠性。</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.5.11</w:t>
      </w:r>
      <w:r>
        <w:rPr>
          <w:rFonts w:hint="eastAsia" w:ascii="宋体" w:hAnsi="宋体" w:eastAsia="宋体"/>
        </w:rPr>
        <w:t>　本条主要避免人为误操作，导致电梯不必要停靠，提升电梯运行效率。</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.5.13</w:t>
      </w:r>
      <w:r>
        <w:rPr>
          <w:rFonts w:hint="eastAsia" w:ascii="宋体" w:hAnsi="宋体" w:eastAsia="宋体"/>
        </w:rPr>
        <w:t>　本条要求电梯超载时同时发出声光报警信号并在轿厢内显示 “超载” 提示，旨在直观、清晰地提醒乘客电梯已处于超载状态，促使乘客主动减载，避免因超载运行导致电梯门无法关闭、设备过载故障及安全隐患，保障电梯正常运行与乘用安全。</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.5.14</w:t>
      </w:r>
      <w:r>
        <w:rPr>
          <w:rFonts w:hint="eastAsia" w:ascii="宋体" w:hAnsi="宋体" w:eastAsia="宋体"/>
        </w:rPr>
        <w:t>　近些年，由于电梯噪声影响住户起居生活而引起的投诉越来越多，电梯隔声问题要引起足够重视。《住宅项目规范》（GB</w:t>
      </w:r>
      <w:r>
        <w:rPr>
          <w:rFonts w:ascii="宋体" w:hAnsi="宋体" w:eastAsia="宋体"/>
        </w:rPr>
        <w:t xml:space="preserve"> </w:t>
      </w:r>
      <w:r>
        <w:rPr>
          <w:rFonts w:hint="eastAsia" w:ascii="宋体" w:hAnsi="宋体" w:eastAsia="宋体"/>
        </w:rPr>
        <w:t>55038）第6.1.1条，《建筑环境通用规范》GB 55016—2021第2.1.4条均对居室噪声限值提出了要求，《民用建筑隔声设计规范》GB 50118—2010第4.3.4条对电梯隔声提出了相关要求。</w:t>
      </w:r>
    </w:p>
    <w:p>
      <w:pPr>
        <w:pStyle w:val="107"/>
        <w:numPr>
          <w:ilvl w:val="0"/>
          <w:numId w:val="0"/>
        </w:numPr>
        <w:spacing w:before="156" w:after="156"/>
      </w:pPr>
      <w:bookmarkStart w:id="145" w:name="_Toc229564738"/>
      <w:r>
        <w:t>6.6</w:t>
      </w:r>
      <w:r>
        <w:rPr>
          <w:rFonts w:hint="eastAsia"/>
        </w:rPr>
        <w:t>　无障碍与适老化设计</w:t>
      </w:r>
      <w:bookmarkEnd w:id="145"/>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.6.7</w:t>
      </w:r>
      <w:r>
        <w:rPr>
          <w:rFonts w:hint="eastAsia" w:ascii="宋体" w:hAnsi="宋体" w:eastAsia="宋体"/>
        </w:rPr>
        <w:t>　本条要求轿厢地面采用防滑、防水、耐腐蚀材料，主要为适应加装电梯高频使用及潮湿清洁环境，保障老年人、儿童等人群乘梯安全，同时便于日常保洁维护，提升轿厢耐久性与使用舒适度。</w:t>
      </w:r>
    </w:p>
    <w:p>
      <w:pPr>
        <w:pStyle w:val="107"/>
        <w:numPr>
          <w:ilvl w:val="0"/>
          <w:numId w:val="0"/>
        </w:numPr>
        <w:spacing w:before="156" w:after="156"/>
      </w:pPr>
      <w:bookmarkStart w:id="146" w:name="_Toc229564739"/>
      <w:r>
        <w:t>6.7</w:t>
      </w:r>
      <w:r>
        <w:rPr>
          <w:rFonts w:hint="eastAsia"/>
        </w:rPr>
        <w:t>　结构设计</w:t>
      </w:r>
      <w:bookmarkEnd w:id="146"/>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.7.6</w:t>
      </w:r>
      <w:r>
        <w:rPr>
          <w:rFonts w:hint="eastAsia" w:ascii="宋体" w:hAnsi="宋体" w:eastAsia="宋体"/>
        </w:rPr>
        <w:t>　当加装电梯工程结构与既有建筑结构采用刚接时，即新增结构与既有结构形成整体结构单元，应先对既有结构进行安全鉴定，判断是否需采取加固措施。此时应按相连整体结构模型和独立新增结构模型分别建模计算，并按计算结果进行承载力包络设计。新增结构与既有结构连接设计应合理可靠，并考虑连接做法对局部构件的影响。</w:t>
      </w:r>
    </w:p>
    <w:p>
      <w:pPr>
        <w:pStyle w:val="67"/>
        <w:numPr>
          <w:ilvl w:val="0"/>
          <w:numId w:val="0"/>
        </w:numPr>
        <w:spacing w:before="0" w:beforeLines="0" w:after="0" w:afterLines="0"/>
        <w:outlineLvl w:val="9"/>
      </w:pPr>
      <w:r>
        <w:rPr>
          <w:rFonts w:hint="eastAsia" w:hAnsi="黑体"/>
          <w:szCs w:val="21"/>
        </w:rPr>
        <w:t>6</w:t>
      </w:r>
      <w:r>
        <w:rPr>
          <w:rFonts w:hAnsi="黑体"/>
          <w:szCs w:val="21"/>
        </w:rPr>
        <w:t>.7.8</w:t>
      </w:r>
      <w:r>
        <w:rPr>
          <w:rFonts w:hint="eastAsia" w:ascii="宋体" w:hAnsi="宋体" w:eastAsia="宋体"/>
        </w:rPr>
        <w:t>　加装电梯工程结构基础不宜低于既有结构的基础，根据基坑实际开挖情况，标高有较大落差时，地基土应进行放阶处理（高宽比小于1/2），以满足相邻独立基础底面之间的高差不得大于其基础间净距的1/2的要求。当相邻基础之间标高相差悬殊时，可在较深基础下加大素混凝土垫层的厚度，用以减小两基础之间的高差。另放阶坡度要求应满足《建筑地基基础设计规范》GB 50007的相关要求。</w:t>
      </w:r>
    </w:p>
    <w:p>
      <w:pPr>
        <w:pStyle w:val="107"/>
        <w:numPr>
          <w:ilvl w:val="0"/>
          <w:numId w:val="0"/>
        </w:numPr>
        <w:spacing w:before="156" w:after="156"/>
      </w:pPr>
      <w:bookmarkStart w:id="147" w:name="_Toc229564740"/>
      <w:r>
        <w:t>6.8</w:t>
      </w:r>
      <w:r>
        <w:rPr>
          <w:rFonts w:hint="eastAsia"/>
        </w:rPr>
        <w:t>　机电设计</w:t>
      </w:r>
      <w:bookmarkEnd w:id="147"/>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.8.3</w:t>
      </w:r>
      <w:r>
        <w:rPr>
          <w:rFonts w:hint="eastAsia" w:ascii="宋体" w:hAnsi="宋体" w:eastAsia="宋体"/>
        </w:rPr>
        <w:t>　主电源开关没有要求采用漏电保护开关，主要原因是很多电梯为变频控制设备，漏电开关易误动，附加安全防护可以采用等电位联结。</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.8.4</w:t>
      </w:r>
      <w:r>
        <w:rPr>
          <w:rFonts w:hint="eastAsia" w:ascii="宋体" w:hAnsi="宋体" w:eastAsia="宋体"/>
        </w:rPr>
        <w:t>　线路沿外墙敷设，美观受影响，防水不好处理，如果供电电缆确实没有合适位置敷设，在电梯井道内敷设时做好防护，且不影响电梯运行，经过厂家论证也可考虑在电梯井道内敷设。</w:t>
      </w:r>
    </w:p>
    <w:p>
      <w:pPr>
        <w:pStyle w:val="67"/>
        <w:numPr>
          <w:ilvl w:val="0"/>
          <w:numId w:val="0"/>
        </w:numPr>
        <w:spacing w:before="0" w:beforeLines="0" w:after="0" w:afterLines="0"/>
        <w:outlineLvl w:val="9"/>
        <w:rPr>
          <w:rFonts w:ascii="宋体" w:hAnsi="宋体" w:eastAsia="宋体"/>
        </w:rPr>
      </w:pPr>
      <w:r>
        <w:rPr>
          <w:rFonts w:hint="eastAsia" w:hAnsi="黑体"/>
          <w:szCs w:val="21"/>
        </w:rPr>
        <w:t>6</w:t>
      </w:r>
      <w:r>
        <w:rPr>
          <w:rFonts w:hAnsi="黑体"/>
          <w:szCs w:val="21"/>
        </w:rPr>
        <w:t>.8.5</w:t>
      </w:r>
      <w:r>
        <w:rPr>
          <w:rFonts w:hint="eastAsia" w:ascii="宋体" w:hAnsi="宋体" w:eastAsia="宋体"/>
        </w:rPr>
        <w:t>　预留安装条件，主要是考虑电梯轿厢内摄像机利用住宅小区原有视频监控产品，方便接入原有视频监控系统。</w:t>
      </w:r>
    </w:p>
    <w:bookmarkEnd w:id="126"/>
    <w:p>
      <w:pPr>
        <w:pStyle w:val="106"/>
        <w:numPr>
          <w:ilvl w:val="0"/>
          <w:numId w:val="0"/>
        </w:numPr>
        <w:spacing w:before="312" w:after="312"/>
      </w:pPr>
      <w:bookmarkStart w:id="148" w:name="_Toc229564758"/>
      <w:bookmarkStart w:id="149" w:name="_Toc229559712"/>
      <w:bookmarkStart w:id="150" w:name="_Toc229564741"/>
      <w:r>
        <w:t>7</w:t>
      </w:r>
      <w:r>
        <w:rPr>
          <w:rFonts w:hint="eastAsia"/>
        </w:rPr>
        <w:t>　施工与验收</w:t>
      </w:r>
      <w:bookmarkEnd w:id="148"/>
      <w:bookmarkEnd w:id="149"/>
      <w:bookmarkEnd w:id="150"/>
    </w:p>
    <w:p>
      <w:pPr>
        <w:pStyle w:val="107"/>
        <w:numPr>
          <w:ilvl w:val="0"/>
          <w:numId w:val="0"/>
        </w:numPr>
        <w:spacing w:before="156" w:after="156"/>
      </w:pPr>
      <w:bookmarkStart w:id="151" w:name="_Toc229564742"/>
      <w:r>
        <w:t>7.1</w:t>
      </w:r>
      <w:r>
        <w:rPr>
          <w:rFonts w:hint="eastAsia"/>
        </w:rPr>
        <w:t>　一般规定</w:t>
      </w:r>
      <w:bookmarkEnd w:id="151"/>
    </w:p>
    <w:p>
      <w:pPr>
        <w:pStyle w:val="67"/>
        <w:numPr>
          <w:ilvl w:val="0"/>
          <w:numId w:val="0"/>
        </w:numPr>
        <w:spacing w:before="0" w:beforeLines="0" w:after="0" w:afterLines="0"/>
        <w:outlineLvl w:val="9"/>
        <w:rPr>
          <w:rFonts w:ascii="宋体" w:hAnsi="宋体" w:eastAsia="宋体"/>
        </w:rPr>
      </w:pPr>
      <w:r>
        <w:rPr>
          <w:rFonts w:hAnsi="黑体"/>
          <w:szCs w:val="21"/>
        </w:rPr>
        <w:t>7.1.1</w:t>
      </w:r>
      <w:r>
        <w:rPr>
          <w:rFonts w:hint="eastAsia" w:hAnsi="黑体"/>
          <w:szCs w:val="21"/>
        </w:rPr>
        <w:t>　</w:t>
      </w:r>
      <w:r>
        <w:rPr>
          <w:rFonts w:hint="eastAsia" w:ascii="宋体" w:hAnsi="宋体" w:eastAsia="宋体"/>
        </w:rPr>
        <w:t>鼓励建设单位结合项目特点与实施需求，优先采用工程总承包组织实施模式。</w:t>
      </w:r>
    </w:p>
    <w:p>
      <w:pPr>
        <w:pStyle w:val="107"/>
        <w:numPr>
          <w:ilvl w:val="0"/>
          <w:numId w:val="0"/>
        </w:numPr>
        <w:spacing w:before="156" w:after="156"/>
      </w:pPr>
      <w:bookmarkStart w:id="152" w:name="_Toc229564743"/>
      <w:r>
        <w:t>7.5</w:t>
      </w:r>
      <w:r>
        <w:rPr>
          <w:rFonts w:hint="eastAsia"/>
        </w:rPr>
        <w:t>　安全文明施工</w:t>
      </w:r>
      <w:bookmarkEnd w:id="152"/>
    </w:p>
    <w:p>
      <w:pPr>
        <w:pStyle w:val="67"/>
        <w:numPr>
          <w:ilvl w:val="0"/>
          <w:numId w:val="0"/>
        </w:numPr>
        <w:spacing w:before="0" w:beforeLines="0" w:after="0" w:afterLines="0"/>
        <w:outlineLvl w:val="9"/>
      </w:pPr>
      <w:r>
        <w:rPr>
          <w:rFonts w:hAnsi="黑体"/>
          <w:szCs w:val="21"/>
        </w:rPr>
        <w:t>7.5.4</w:t>
      </w:r>
      <w:r>
        <w:rPr>
          <w:rFonts w:hint="eastAsia" w:hAnsi="黑体"/>
          <w:szCs w:val="21"/>
        </w:rPr>
        <w:t>　</w:t>
      </w:r>
      <w:r>
        <w:rPr>
          <w:rFonts w:hint="eastAsia" w:ascii="宋体" w:hAnsi="宋体" w:eastAsia="宋体"/>
        </w:rPr>
        <w:t>施工现场噪声白天不超过70</w:t>
      </w:r>
      <w:r>
        <w:rPr>
          <w:rFonts w:ascii="宋体" w:hAnsi="宋体" w:eastAsia="宋体"/>
        </w:rPr>
        <w:t xml:space="preserve"> </w:t>
      </w:r>
      <w:r>
        <w:rPr>
          <w:rFonts w:hint="eastAsia" w:ascii="宋体" w:hAnsi="宋体" w:eastAsia="宋体"/>
        </w:rPr>
        <w:t>dB，夜间不超过55</w:t>
      </w:r>
      <w:r>
        <w:rPr>
          <w:rFonts w:ascii="宋体" w:hAnsi="宋体" w:eastAsia="宋体"/>
        </w:rPr>
        <w:t xml:space="preserve"> </w:t>
      </w:r>
      <w:r>
        <w:rPr>
          <w:rFonts w:hint="eastAsia" w:ascii="宋体" w:hAnsi="宋体" w:eastAsia="宋体"/>
        </w:rPr>
        <w:t>dB，夜间22:00至次日6:00严禁施工，特殊工序需办理夜间施工许可。</w:t>
      </w:r>
    </w:p>
    <w:p/>
    <w:p>
      <w:pPr>
        <w:jc w:val="center"/>
      </w:pPr>
      <w:bookmarkStart w:id="153" w:name="BookMark8"/>
      <w:r>
        <w:rPr>
          <w:rFonts w:hint="eastAsia"/>
        </w:rPr>
        <w:drawing>
          <wp:inline distT="0" distB="0" distL="0" distR="0">
            <wp:extent cx="1485900" cy="317500"/>
            <wp:effectExtent l="0" t="0" r="0" b="6350"/>
            <wp:docPr id="9" name="图片 9"/>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39">
                      <a:extLst>
                        <a:ext uri="{28A0092B-C50C-407E-A947-70E740481C1C}">
                          <a14:useLocalDpi xmlns:a14="http://schemas.microsoft.com/office/drawing/2010/main" val="false"/>
                        </a:ext>
                      </a:extLst>
                    </a:blip>
                    <a:stretch>
                      <a:fillRect/>
                    </a:stretch>
                  </pic:blipFill>
                  <pic:spPr>
                    <a:xfrm>
                      <a:off x="0" y="0"/>
                      <a:ext cx="1485900" cy="317500"/>
                    </a:xfrm>
                    <a:prstGeom prst="rect">
                      <a:avLst/>
                    </a:prstGeom>
                  </pic:spPr>
                </pic:pic>
              </a:graphicData>
            </a:graphic>
          </wp:inline>
        </w:drawing>
      </w:r>
      <w:bookmarkEnd w:id="153"/>
    </w:p>
    <w:p>
      <w:pPr>
        <w:pStyle w:val="93"/>
        <w:spacing w:after="468"/>
      </w:pPr>
    </w:p>
    <w:sectPr>
      <w:footerReference r:id="rId30" w:type="default"/>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Arial">
    <w:altName w:val="DejaVu Sans"/>
    <w:panose1 w:val="020B0604020202020204"/>
    <w:charset w:val="00"/>
    <w:family w:val="swiss"/>
    <w:pitch w:val="default"/>
    <w:sig w:usb0="00000000" w:usb1="00000000" w:usb2="00000009" w:usb3="00000000" w:csb0="000001FF" w:csb1="00000000"/>
  </w:font>
  <w:font w:name="等线">
    <w:altName w:val="汉仪中宋简"/>
    <w:panose1 w:val="02010600030101010101"/>
    <w:charset w:val="86"/>
    <w:family w:val="auto"/>
    <w:pitch w:val="default"/>
    <w:sig w:usb0="00000000" w:usb1="00000000" w:usb2="00000016" w:usb3="00000000" w:csb0="0004000F" w:csb1="00000000"/>
  </w:font>
  <w:font w:name="等线 Light">
    <w:altName w:val="汉仪中宋简"/>
    <w:panose1 w:val="02010600030101010101"/>
    <w:charset w:val="86"/>
    <w:family w:val="auto"/>
    <w:pitch w:val="default"/>
    <w:sig w:usb0="00000000" w:usb1="00000000" w:usb2="00000016" w:usb3="00000000" w:csb0="0004000F" w:csb1="00000000"/>
  </w:font>
  <w:font w:name="Segoe UI">
    <w:altName w:val="Noto Music"/>
    <w:panose1 w:val="020B0502040204020203"/>
    <w:charset w:val="00"/>
    <w:family w:val="swiss"/>
    <w:pitch w:val="default"/>
    <w:sig w:usb0="00000000" w:usb1="00000000" w:usb2="00000009" w:usb3="00000000" w:csb0="000001FF" w:csb1="00000000"/>
  </w:font>
  <w:font w:name="STSong-Light">
    <w:altName w:val="仿宋"/>
    <w:panose1 w:val="00000000000000000000"/>
    <w:charset w:val="00"/>
    <w:family w:val="roman"/>
    <w:pitch w:val="default"/>
    <w:sig w:usb0="00000000" w:usb1="00000000" w:usb2="00000000" w:usb3="00000000" w:csb0="00000000" w:csb1="00000000"/>
  </w:font>
  <w:font w:name="Helvetica">
    <w:altName w:val="Noto Music"/>
    <w:panose1 w:val="020B0504020202030204"/>
    <w:charset w:val="00"/>
    <w:family w:val="swiss"/>
    <w:pitch w:val="default"/>
    <w:sig w:usb0="00000000" w:usb1="00000000" w:usb2="00000000" w:usb3="00000000" w:csb0="00000093"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等线">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Noto Sans CJK JP Bold">
    <w:panose1 w:val="020B0800000000000000"/>
    <w:charset w:val="86"/>
    <w:family w:val="auto"/>
    <w:pitch w:val="default"/>
    <w:sig w:usb0="30000003" w:usb1="2BDF3C10" w:usb2="00000016" w:usb3="00000000" w:csb0="602E0107"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fldChar w:fldCharType="begin"/>
    </w:r>
    <w:r>
      <w:instrText xml:space="preserve">PAGE   \* MERGEFORMAT</w:instrText>
    </w:r>
    <w:r>
      <w:fldChar w:fldCharType="separate"/>
    </w:r>
    <w:r>
      <w:rPr>
        <w:lang w:val="zh-CN"/>
      </w:rP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 PAGE   \* MERGEFORMAT \* MERGEFORMAT </w:instrText>
    </w:r>
    <w:r>
      <w:fldChar w:fldCharType="separate"/>
    </w:r>
    <w:r>
      <w:t>II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fldChar w:fldCharType="begin"/>
    </w:r>
    <w:r>
      <w:instrText xml:space="preserve">PAGE   \* MERGEFORMAT</w:instrText>
    </w:r>
    <w:r>
      <w:fldChar w:fldCharType="separate"/>
    </w:r>
    <w:r>
      <w:rPr>
        <w:lang w:val="zh-CN"/>
      </w:rP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 PAGE   \* MERGEFORMAT \* MERGEFORMAT </w:instrText>
    </w:r>
    <w:r>
      <w:fldChar w:fldCharType="separate"/>
    </w:r>
    <w:r>
      <w:t>I</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fldChar w:fldCharType="begin"/>
    </w:r>
    <w:r>
      <w:instrText xml:space="preserve">PAGE   \* MERGEFORMAT</w:instrText>
    </w:r>
    <w:r>
      <w:fldChar w:fldCharType="separate"/>
    </w:r>
    <w:r>
      <w:rPr>
        <w:lang w:val="zh-CN"/>
      </w:rPr>
      <w:t>1</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 PAGE   \* MERGEFORMAT \* MERGEFORMAT </w:instrText>
    </w:r>
    <w:r>
      <w:fldChar w:fldCharType="separate"/>
    </w:r>
    <w:r>
      <w:t>14</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fldChar w:fldCharType="begin"/>
    </w:r>
    <w:r>
      <w:instrText xml:space="preserve">PAGE   \* MERGEFORMAT</w:instrText>
    </w:r>
    <w:r>
      <w:fldChar w:fldCharType="separate"/>
    </w:r>
    <w:r>
      <w:rPr>
        <w:lang w:val="zh-CN"/>
      </w:rPr>
      <w:t>1</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pPr>
    <w:r>
      <w:fldChar w:fldCharType="begin"/>
    </w:r>
    <w:r>
      <w:instrText xml:space="preserve"> PAGE   \* MERGEFORMAT \* MERGEFORMAT </w:instrText>
    </w:r>
    <w:r>
      <w:fldChar w:fldCharType="separate"/>
    </w:r>
    <w:r>
      <w:t>15</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rPr>
        <w:rFonts w:hint="eastAsia"/>
      </w:rPr>
      <w:t>I</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4"/>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 42/T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DB 42/T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 42/T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DB 42/T 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 42/T XXXX—XXXX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DB 42/T XXXX—XXXX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 42/T XXXX—XXXX</w:t>
    </w:r>
    <w: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DB 42/T XXXX—XXXX</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3"/>
    </w:pPr>
    <w:r>
      <w:fldChar w:fldCharType="begin"/>
    </w:r>
    <w:r>
      <w:instrText xml:space="preserve"> STYLEREF  标准文件_文件编号  \* MERGEFORMAT </w:instrText>
    </w:r>
    <w:r>
      <w:fldChar w:fldCharType="separate"/>
    </w:r>
    <w:r>
      <w:t>DB 42/T XXXX—XXXX</w:t>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4"/>
    </w:pPr>
    <w:r>
      <w:fldChar w:fldCharType="begin"/>
    </w:r>
    <w:r>
      <w:instrText xml:space="preserve"> STYLEREF  标准文件_文件编号 \* MERGEFORMAT </w:instrText>
    </w:r>
    <w:r>
      <w:fldChar w:fldCharType="separate"/>
    </w:r>
    <w:r>
      <w:t>DB 42/T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6"/>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1"/>
      <w:suff w:val="nothing"/>
      <w:lvlText w:val="%1%2.%3　"/>
      <w:lvlJc w:val="left"/>
      <w:pPr>
        <w:ind w:left="0" w:firstLine="0"/>
      </w:pPr>
    </w:lvl>
    <w:lvl w:ilvl="3" w:tentative="0">
      <w:start w:val="1"/>
      <w:numFmt w:val="decimal"/>
      <w:pStyle w:val="120"/>
      <w:suff w:val="nothing"/>
      <w:lvlText w:val="%1%2.%3.%4　"/>
      <w:lvlJc w:val="left"/>
      <w:pPr>
        <w:ind w:left="0" w:firstLine="0"/>
      </w:pPr>
    </w:lvl>
    <w:lvl w:ilvl="4" w:tentative="0">
      <w:start w:val="1"/>
      <w:numFmt w:val="decimal"/>
      <w:pStyle w:val="155"/>
      <w:suff w:val="nothing"/>
      <w:lvlText w:val="%1%2.%3.%4.%5　"/>
      <w:lvlJc w:val="left"/>
      <w:pPr>
        <w:ind w:left="0" w:firstLine="0"/>
      </w:pPr>
    </w:lvl>
    <w:lvl w:ilvl="5" w:tentative="0">
      <w:start w:val="1"/>
      <w:numFmt w:val="decimal"/>
      <w:pStyle w:val="157"/>
      <w:suff w:val="nothing"/>
      <w:lvlText w:val="%1%2.%3.%4.%5.%6　"/>
      <w:lvlJc w:val="left"/>
      <w:pPr>
        <w:ind w:left="0" w:firstLine="0"/>
      </w:pPr>
    </w:lvl>
    <w:lvl w:ilvl="6" w:tentative="0">
      <w:start w:val="1"/>
      <w:numFmt w:val="decimal"/>
      <w:pStyle w:val="160"/>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2"/>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1"/>
      <w:lvlText w:val="%1"/>
      <w:lvlJc w:val="left"/>
      <w:pPr>
        <w:ind w:left="425" w:hanging="425"/>
      </w:pPr>
      <w:rPr>
        <w:rFonts w:hint="eastAsia"/>
      </w:rPr>
    </w:lvl>
    <w:lvl w:ilvl="1" w:tentative="0">
      <w:start w:val="1"/>
      <w:numFmt w:val="decimal"/>
      <w:pStyle w:val="202"/>
      <w:suff w:val="nothing"/>
      <w:lvlText w:val="%10.%2 "/>
      <w:lvlJc w:val="left"/>
      <w:pPr>
        <w:ind w:left="0" w:firstLine="0"/>
      </w:pPr>
      <w:rPr>
        <w:rFonts w:hint="eastAsia" w:ascii="黑体" w:eastAsia="黑体" w:hAnsiTheme="minorHAnsi"/>
        <w:b w:val="0"/>
        <w:i w:val="0"/>
        <w:sz w:val="21"/>
      </w:rPr>
    </w:lvl>
    <w:lvl w:ilvl="2" w:tentative="0">
      <w:start w:val="1"/>
      <w:numFmt w:val="decimal"/>
      <w:pStyle w:val="203"/>
      <w:suff w:val="nothing"/>
      <w:lvlText w:val="%10.%2.%3 "/>
      <w:lvlJc w:val="left"/>
      <w:pPr>
        <w:ind w:left="0" w:firstLine="0"/>
      </w:pPr>
      <w:rPr>
        <w:rFonts w:hint="eastAsia" w:ascii="黑体" w:eastAsia="黑体" w:hAnsiTheme="minorHAnsi"/>
        <w:b w:val="0"/>
        <w:i w:val="0"/>
        <w:sz w:val="21"/>
      </w:rPr>
    </w:lvl>
    <w:lvl w:ilvl="3" w:tentative="0">
      <w:start w:val="1"/>
      <w:numFmt w:val="decimal"/>
      <w:pStyle w:val="204"/>
      <w:suff w:val="nothing"/>
      <w:lvlText w:val="%10.%2.%3.%4 "/>
      <w:lvlJc w:val="left"/>
      <w:pPr>
        <w:ind w:left="0" w:firstLine="0"/>
      </w:pPr>
      <w:rPr>
        <w:rFonts w:hint="eastAsia" w:ascii="黑体" w:eastAsia="黑体" w:hAnsiTheme="minorHAnsi"/>
        <w:b w:val="0"/>
        <w:i w:val="0"/>
        <w:sz w:val="21"/>
      </w:rPr>
    </w:lvl>
    <w:lvl w:ilvl="4" w:tentative="0">
      <w:start w:val="1"/>
      <w:numFmt w:val="decimal"/>
      <w:pStyle w:val="205"/>
      <w:suff w:val="nothing"/>
      <w:lvlText w:val="%10.%2.%3.%4.%5 "/>
      <w:lvlJc w:val="left"/>
      <w:pPr>
        <w:ind w:left="0" w:firstLine="0"/>
      </w:pPr>
      <w:rPr>
        <w:rFonts w:hint="eastAsia" w:ascii="黑体" w:eastAsia="黑体" w:hAnsiTheme="minorHAnsi"/>
        <w:b w:val="0"/>
        <w:i w:val="0"/>
        <w:sz w:val="21"/>
      </w:rPr>
    </w:lvl>
    <w:lvl w:ilvl="5" w:tentative="0">
      <w:start w:val="1"/>
      <w:numFmt w:val="decimal"/>
      <w:pStyle w:val="206"/>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3"/>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9"/>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2"/>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7"/>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4"/>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1EB53B7C"/>
    <w:multiLevelType w:val="multilevel"/>
    <w:tmpl w:val="1EB53B7C"/>
    <w:lvl w:ilvl="0" w:tentative="0">
      <w:start w:val="1"/>
      <w:numFmt w:val="decimal"/>
      <w:pStyle w:val="235"/>
      <w:lvlText w:val="%1"/>
      <w:lvlJc w:val="left"/>
      <w:pPr>
        <w:tabs>
          <w:tab w:val="left" w:pos="3261"/>
        </w:tabs>
        <w:ind w:left="3261" w:hanging="425"/>
      </w:pPr>
      <w:rPr>
        <w:rFonts w:hint="eastAsia" w:ascii="Times New Roman" w:hAnsi="Times New Roman" w:cs="Times New Roman"/>
        <w:b/>
        <w:bCs w:val="0"/>
        <w:i w:val="0"/>
        <w:iCs w:val="0"/>
        <w:caps w:val="0"/>
        <w:smallCaps w:val="0"/>
        <w:strike w:val="0"/>
        <w:dstrike w:val="0"/>
        <w:snapToGrid w:val="0"/>
        <w:vanish w:val="0"/>
        <w:color w:val="000000"/>
        <w:spacing w:val="0"/>
        <w:w w:val="0"/>
        <w:kern w:val="0"/>
        <w:position w:val="0"/>
        <w:sz w:val="24"/>
        <w:szCs w:val="20"/>
        <w:u w:val="none"/>
        <w:vertAlign w:val="baseline"/>
      </w:rPr>
    </w:lvl>
    <w:lvl w:ilvl="1" w:tentative="0">
      <w:start w:val="0"/>
      <w:numFmt w:val="decimal"/>
      <w:pStyle w:val="236"/>
      <w:lvlText w:val="%1.%2"/>
      <w:lvlJc w:val="left"/>
      <w:pPr>
        <w:tabs>
          <w:tab w:val="left" w:pos="3828"/>
        </w:tabs>
        <w:ind w:left="3828" w:hanging="567"/>
      </w:pPr>
      <w:rPr>
        <w:rFonts w:hint="default" w:ascii="Times New Roman" w:hAnsi="Times New Roman" w:cs="Times New Roman"/>
        <w:b/>
        <w:bCs w:val="0"/>
        <w:i w:val="0"/>
        <w:iCs w:val="0"/>
        <w:caps w:val="0"/>
        <w:smallCaps w:val="0"/>
        <w:strike w:val="0"/>
        <w:dstrike w:val="0"/>
        <w:vanish w:val="0"/>
        <w:color w:val="000000"/>
        <w:spacing w:val="0"/>
        <w:kern w:val="0"/>
        <w:position w:val="0"/>
        <w:sz w:val="24"/>
        <w:szCs w:val="24"/>
        <w:u w:val="none"/>
        <w:vertAlign w:val="baseline"/>
      </w:rPr>
    </w:lvl>
    <w:lvl w:ilvl="2" w:tentative="0">
      <w:start w:val="1"/>
      <w:numFmt w:val="decimal"/>
      <w:pStyle w:val="233"/>
      <w:lvlText w:val="%1.%2.%3"/>
      <w:lvlJc w:val="left"/>
      <w:pPr>
        <w:tabs>
          <w:tab w:val="left" w:pos="709"/>
        </w:tabs>
        <w:ind w:left="142"/>
      </w:pPr>
      <w:rPr>
        <w:rFonts w:hint="default" w:ascii="Times New Roman" w:hAnsi="Times New Roman" w:cs="Times New Roman"/>
        <w:b/>
        <w:i w:val="0"/>
        <w:color w:val="auto"/>
        <w:sz w:val="24"/>
        <w:szCs w:val="24"/>
      </w:rPr>
    </w:lvl>
    <w:lvl w:ilvl="3" w:tentative="0">
      <w:start w:val="1"/>
      <w:numFmt w:val="decimal"/>
      <w:lvlText w:val="%1.%2.%3.%4"/>
      <w:lvlJc w:val="left"/>
      <w:pPr>
        <w:tabs>
          <w:tab w:val="left" w:pos="1984"/>
        </w:tabs>
        <w:ind w:left="1984"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11">
    <w:nsid w:val="2C5917C3"/>
    <w:multiLevelType w:val="multilevel"/>
    <w:tmpl w:val="2C5917C3"/>
    <w:lvl w:ilvl="0" w:tentative="0">
      <w:start w:val="1"/>
      <w:numFmt w:val="none"/>
      <w:pStyle w:val="134"/>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9"/>
      <w:lvlText w:val=""/>
      <w:lvlJc w:val="left"/>
      <w:pPr>
        <w:ind w:left="851" w:hanging="431"/>
      </w:pPr>
      <w:rPr>
        <w:rFonts w:hint="default" w:ascii="Symbol" w:hAnsi="Symbol"/>
        <w:sz w:val="21"/>
      </w:rPr>
    </w:lvl>
    <w:lvl w:ilvl="2" w:tentative="0">
      <w:start w:val="1"/>
      <w:numFmt w:val="bullet"/>
      <w:pStyle w:val="174"/>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2">
    <w:nsid w:val="32F04FB2"/>
    <w:multiLevelType w:val="multilevel"/>
    <w:tmpl w:val="32F04FB2"/>
    <w:lvl w:ilvl="0" w:tentative="0">
      <w:start w:val="1"/>
      <w:numFmt w:val="lowerLetter"/>
      <w:pStyle w:val="103"/>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3">
    <w:nsid w:val="44C50F90"/>
    <w:multiLevelType w:val="multilevel"/>
    <w:tmpl w:val="44C50F90"/>
    <w:lvl w:ilvl="0" w:tentative="0">
      <w:start w:val="1"/>
      <w:numFmt w:val="lowerLetter"/>
      <w:pStyle w:val="176"/>
      <w:lvlText w:val="%1)"/>
      <w:lvlJc w:val="left"/>
      <w:pPr>
        <w:tabs>
          <w:tab w:val="left" w:pos="851"/>
        </w:tabs>
        <w:ind w:left="851" w:hanging="426"/>
      </w:pPr>
      <w:rPr>
        <w:rFonts w:hint="eastAsia" w:ascii="宋体" w:hAnsi="Times New Roman" w:eastAsia="宋体"/>
        <w:color w:val="auto"/>
        <w:sz w:val="21"/>
      </w:rPr>
    </w:lvl>
    <w:lvl w:ilvl="1" w:tentative="0">
      <w:start w:val="1"/>
      <w:numFmt w:val="decimal"/>
      <w:pStyle w:val="111"/>
      <w:lvlText w:val="%2)"/>
      <w:lvlJc w:val="left"/>
      <w:pPr>
        <w:tabs>
          <w:tab w:val="left" w:pos="1276"/>
        </w:tabs>
        <w:ind w:left="1276" w:hanging="425"/>
      </w:pPr>
      <w:rPr>
        <w:rFonts w:hint="eastAsia" w:ascii="宋体" w:hAnsi="Times New Roman" w:eastAsia="宋体"/>
        <w:sz w:val="21"/>
      </w:rPr>
    </w:lvl>
    <w:lvl w:ilvl="2" w:tentative="0">
      <w:start w:val="1"/>
      <w:numFmt w:val="decimal"/>
      <w:pStyle w:val="119"/>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200"/>
      <w:lvlText w:val="%1"/>
      <w:lvlJc w:val="left"/>
      <w:pPr>
        <w:ind w:left="420" w:hanging="420"/>
      </w:pPr>
      <w:rPr>
        <w:rFonts w:hint="eastAsia"/>
      </w:rPr>
    </w:lvl>
    <w:lvl w:ilvl="1" w:tentative="0">
      <w:start w:val="1"/>
      <w:numFmt w:val="decimal"/>
      <w:pStyle w:val="8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185"/>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118"/>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95"/>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6"/>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201"/>
      <w:suff w:val="space"/>
      <w:lvlText w:val="%1"/>
      <w:lvlJc w:val="left"/>
      <w:pPr>
        <w:ind w:left="425" w:hanging="425"/>
      </w:pPr>
      <w:rPr>
        <w:rFonts w:hint="eastAsia"/>
      </w:rPr>
    </w:lvl>
    <w:lvl w:ilvl="1" w:tentative="0">
      <w:start w:val="1"/>
      <w:numFmt w:val="decimal"/>
      <w:pStyle w:val="79"/>
      <w:suff w:val="space"/>
      <w:lvlText w:val="表%1.%2"/>
      <w:lvlJc w:val="center"/>
      <w:pPr>
        <w:ind w:left="0" w:firstLine="0"/>
      </w:pPr>
      <w:rPr>
        <w:rFonts w:hint="eastAsia" w:ascii="黑体" w:eastAsia="黑体"/>
        <w:sz w:val="21"/>
        <w:lang w:val="en-US"/>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3"/>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70"/>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pStyle w:val="238"/>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4"/>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91"/>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78"/>
      <w:suff w:val="nothing"/>
      <w:lvlText w:val="附录%1"/>
      <w:lvlJc w:val="left"/>
      <w:pPr>
        <w:ind w:left="0" w:firstLine="0"/>
      </w:pPr>
      <w:rPr>
        <w:rFonts w:hint="eastAsia"/>
        <w:spacing w:val="100"/>
      </w:rPr>
    </w:lvl>
    <w:lvl w:ilvl="1" w:tentative="0">
      <w:start w:val="1"/>
      <w:numFmt w:val="decimal"/>
      <w:pStyle w:val="80"/>
      <w:suff w:val="nothing"/>
      <w:lvlText w:val="%1.%2　"/>
      <w:lvlJc w:val="left"/>
      <w:pPr>
        <w:ind w:left="0" w:firstLine="0"/>
      </w:pPr>
      <w:rPr>
        <w:rFonts w:hint="eastAsia" w:ascii="黑体" w:eastAsia="黑体"/>
        <w:b w:val="0"/>
        <w:i w:val="0"/>
        <w:sz w:val="21"/>
      </w:rPr>
    </w:lvl>
    <w:lvl w:ilvl="2" w:tentative="0">
      <w:start w:val="1"/>
      <w:numFmt w:val="decimal"/>
      <w:pStyle w:val="81"/>
      <w:suff w:val="nothing"/>
      <w:lvlText w:val="%1.%2.%3　"/>
      <w:lvlJc w:val="left"/>
      <w:pPr>
        <w:ind w:left="0" w:firstLine="0"/>
      </w:pPr>
      <w:rPr>
        <w:rFonts w:hint="eastAsia" w:ascii="黑体" w:eastAsia="黑体"/>
        <w:b w:val="0"/>
        <w:i w:val="0"/>
        <w:sz w:val="21"/>
      </w:rPr>
    </w:lvl>
    <w:lvl w:ilvl="3" w:tentative="0">
      <w:start w:val="1"/>
      <w:numFmt w:val="decimal"/>
      <w:pStyle w:val="83"/>
      <w:suff w:val="nothing"/>
      <w:lvlText w:val="%1.%2.%3.%4　"/>
      <w:lvlJc w:val="left"/>
      <w:pPr>
        <w:ind w:left="0" w:firstLine="0"/>
      </w:pPr>
      <w:rPr>
        <w:rFonts w:hint="eastAsia" w:ascii="黑体" w:eastAsia="黑体"/>
        <w:b w:val="0"/>
        <w:i w:val="0"/>
        <w:sz w:val="21"/>
      </w:rPr>
    </w:lvl>
    <w:lvl w:ilvl="4" w:tentative="0">
      <w:start w:val="1"/>
      <w:numFmt w:val="decimal"/>
      <w:pStyle w:val="84"/>
      <w:suff w:val="nothing"/>
      <w:lvlText w:val="%1.%2.%3.%4.%5　"/>
      <w:lvlJc w:val="left"/>
      <w:pPr>
        <w:ind w:left="0" w:firstLine="0"/>
      </w:pPr>
      <w:rPr>
        <w:rFonts w:hint="eastAsia" w:ascii="黑体" w:eastAsia="黑体"/>
        <w:b w:val="0"/>
        <w:i w:val="0"/>
        <w:sz w:val="21"/>
      </w:rPr>
    </w:lvl>
    <w:lvl w:ilvl="5" w:tentative="0">
      <w:start w:val="1"/>
      <w:numFmt w:val="decimal"/>
      <w:pStyle w:val="86"/>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90"/>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99"/>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4"/>
      <w:suff w:val="nothing"/>
      <w:lvlText w:val="%1"/>
      <w:lvlJc w:val="left"/>
      <w:pPr>
        <w:ind w:left="0" w:firstLine="0"/>
      </w:pPr>
      <w:rPr>
        <w:rFonts w:hint="eastAsia"/>
      </w:rPr>
    </w:lvl>
    <w:lvl w:ilvl="1" w:tentative="0">
      <w:start w:val="1"/>
      <w:numFmt w:val="decimal"/>
      <w:pStyle w:val="106"/>
      <w:suff w:val="nothing"/>
      <w:lvlText w:val="%1%2　"/>
      <w:lvlJc w:val="left"/>
      <w:pPr>
        <w:ind w:left="0" w:firstLine="0"/>
      </w:pPr>
      <w:rPr>
        <w:rFonts w:hint="eastAsia" w:ascii="黑体" w:eastAsia="黑体"/>
        <w:b w:val="0"/>
        <w:i w:val="0"/>
        <w:sz w:val="21"/>
      </w:rPr>
    </w:lvl>
    <w:lvl w:ilvl="2" w:tentative="0">
      <w:start w:val="1"/>
      <w:numFmt w:val="decimal"/>
      <w:pStyle w:val="107"/>
      <w:suff w:val="nothing"/>
      <w:lvlText w:val="%1%2.%3　"/>
      <w:lvlJc w:val="left"/>
      <w:pPr>
        <w:ind w:left="5103"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3" w:tentative="0">
      <w:start w:val="1"/>
      <w:numFmt w:val="decimal"/>
      <w:pStyle w:val="67"/>
      <w:suff w:val="nothing"/>
      <w:lvlText w:val="%1%2.%3.%4　"/>
      <w:lvlJc w:val="left"/>
      <w:pPr>
        <w:ind w:left="0" w:firstLine="0"/>
      </w:pPr>
      <w:rPr>
        <w:rFonts w:hint="eastAsia" w:ascii="黑体" w:eastAsia="黑体"/>
        <w:b w:val="0"/>
        <w:i w:val="0"/>
        <w:color w:val="auto"/>
        <w:sz w:val="21"/>
      </w:rPr>
    </w:lvl>
    <w:lvl w:ilvl="4" w:tentative="0">
      <w:start w:val="1"/>
      <w:numFmt w:val="decimal"/>
      <w:pStyle w:val="96"/>
      <w:suff w:val="nothing"/>
      <w:lvlText w:val="%1%2.%3.%4.%5　"/>
      <w:lvlJc w:val="left"/>
      <w:pPr>
        <w:ind w:left="0" w:firstLine="0"/>
      </w:pPr>
      <w:rPr>
        <w:rFonts w:hint="eastAsia" w:ascii="黑体" w:eastAsia="黑体"/>
        <w:b w:val="0"/>
        <w:i w:val="0"/>
        <w:sz w:val="21"/>
      </w:rPr>
    </w:lvl>
    <w:lvl w:ilvl="5" w:tentative="0">
      <w:start w:val="1"/>
      <w:numFmt w:val="decimal"/>
      <w:pStyle w:val="100"/>
      <w:suff w:val="nothing"/>
      <w:lvlText w:val="%1%2.%3.%4.%5.%6　"/>
      <w:lvlJc w:val="left"/>
      <w:pPr>
        <w:ind w:left="0" w:firstLine="0"/>
      </w:pPr>
      <w:rPr>
        <w:rFonts w:hint="eastAsia" w:ascii="黑体" w:eastAsia="黑体"/>
        <w:b w:val="0"/>
        <w:i w:val="0"/>
        <w:sz w:val="21"/>
      </w:rPr>
    </w:lvl>
    <w:lvl w:ilvl="6" w:tentative="0">
      <w:start w:val="1"/>
      <w:numFmt w:val="decimal"/>
      <w:pStyle w:val="105"/>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81"/>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7"/>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41"/>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2"/>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1"/>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0"/>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attachedTemplate r:id="rId1"/>
  <w:documentProtection w:edit="forms" w:enforcement="0"/>
  <w:defaultTabStop w:val="420"/>
  <w:evenAndOddHeaders w:val="true"/>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8F9"/>
    <w:rsid w:val="0000040A"/>
    <w:rsid w:val="00000A94"/>
    <w:rsid w:val="00001972"/>
    <w:rsid w:val="00001B6A"/>
    <w:rsid w:val="00001D9A"/>
    <w:rsid w:val="000069F6"/>
    <w:rsid w:val="00007B3A"/>
    <w:rsid w:val="000107E0"/>
    <w:rsid w:val="000118B3"/>
    <w:rsid w:val="00011FDE"/>
    <w:rsid w:val="00012FFD"/>
    <w:rsid w:val="00014162"/>
    <w:rsid w:val="00014340"/>
    <w:rsid w:val="00016A9C"/>
    <w:rsid w:val="00021205"/>
    <w:rsid w:val="00022184"/>
    <w:rsid w:val="00022762"/>
    <w:rsid w:val="000238E0"/>
    <w:rsid w:val="000249DB"/>
    <w:rsid w:val="00025423"/>
    <w:rsid w:val="0002595E"/>
    <w:rsid w:val="000303C3"/>
    <w:rsid w:val="000331D3"/>
    <w:rsid w:val="00034693"/>
    <w:rsid w:val="000346A5"/>
    <w:rsid w:val="000359C3"/>
    <w:rsid w:val="00035A7D"/>
    <w:rsid w:val="000365ED"/>
    <w:rsid w:val="00036C13"/>
    <w:rsid w:val="0004249A"/>
    <w:rsid w:val="00043282"/>
    <w:rsid w:val="00044286"/>
    <w:rsid w:val="00047C98"/>
    <w:rsid w:val="00047F28"/>
    <w:rsid w:val="000503AA"/>
    <w:rsid w:val="000506A1"/>
    <w:rsid w:val="0005144F"/>
    <w:rsid w:val="000515DD"/>
    <w:rsid w:val="0005265A"/>
    <w:rsid w:val="000530F8"/>
    <w:rsid w:val="000539DD"/>
    <w:rsid w:val="00053BD3"/>
    <w:rsid w:val="000556ED"/>
    <w:rsid w:val="00055FE2"/>
    <w:rsid w:val="0005616F"/>
    <w:rsid w:val="00060C2E"/>
    <w:rsid w:val="00061033"/>
    <w:rsid w:val="000619E9"/>
    <w:rsid w:val="000622D4"/>
    <w:rsid w:val="0006357D"/>
    <w:rsid w:val="000655EF"/>
    <w:rsid w:val="00067F1E"/>
    <w:rsid w:val="00071CC0"/>
    <w:rsid w:val="00073C8C"/>
    <w:rsid w:val="00077344"/>
    <w:rsid w:val="00077B64"/>
    <w:rsid w:val="00080A1C"/>
    <w:rsid w:val="00082317"/>
    <w:rsid w:val="000829E1"/>
    <w:rsid w:val="00083D2C"/>
    <w:rsid w:val="00085A71"/>
    <w:rsid w:val="000868BC"/>
    <w:rsid w:val="00086AA1"/>
    <w:rsid w:val="00087A77"/>
    <w:rsid w:val="00087B48"/>
    <w:rsid w:val="00090CA6"/>
    <w:rsid w:val="00092B8A"/>
    <w:rsid w:val="00092FB0"/>
    <w:rsid w:val="000934C5"/>
    <w:rsid w:val="00093D25"/>
    <w:rsid w:val="00093DAB"/>
    <w:rsid w:val="00094A7B"/>
    <w:rsid w:val="00094D73"/>
    <w:rsid w:val="00096D63"/>
    <w:rsid w:val="000A0B60"/>
    <w:rsid w:val="000A0EB8"/>
    <w:rsid w:val="000A19FC"/>
    <w:rsid w:val="000A1EFE"/>
    <w:rsid w:val="000A296B"/>
    <w:rsid w:val="000A5F92"/>
    <w:rsid w:val="000A7311"/>
    <w:rsid w:val="000A79BF"/>
    <w:rsid w:val="000B060F"/>
    <w:rsid w:val="000B08BC"/>
    <w:rsid w:val="000B1592"/>
    <w:rsid w:val="000B1FF2"/>
    <w:rsid w:val="000B294D"/>
    <w:rsid w:val="000B3CDA"/>
    <w:rsid w:val="000B6A0B"/>
    <w:rsid w:val="000C0F6C"/>
    <w:rsid w:val="000C11DB"/>
    <w:rsid w:val="000C1492"/>
    <w:rsid w:val="000C2EA6"/>
    <w:rsid w:val="000C2FBD"/>
    <w:rsid w:val="000C4328"/>
    <w:rsid w:val="000C4B41"/>
    <w:rsid w:val="000C57D6"/>
    <w:rsid w:val="000C5D3F"/>
    <w:rsid w:val="000C6362"/>
    <w:rsid w:val="000C73A8"/>
    <w:rsid w:val="000C7666"/>
    <w:rsid w:val="000D0A9C"/>
    <w:rsid w:val="000D1795"/>
    <w:rsid w:val="000D329A"/>
    <w:rsid w:val="000D4B9C"/>
    <w:rsid w:val="000D4C28"/>
    <w:rsid w:val="000D4EB6"/>
    <w:rsid w:val="000D753B"/>
    <w:rsid w:val="000E3A3D"/>
    <w:rsid w:val="000E41F3"/>
    <w:rsid w:val="000E4C9E"/>
    <w:rsid w:val="000E6D87"/>
    <w:rsid w:val="000E6FD7"/>
    <w:rsid w:val="000E7BFB"/>
    <w:rsid w:val="000F06E1"/>
    <w:rsid w:val="000F0E3C"/>
    <w:rsid w:val="000F19D5"/>
    <w:rsid w:val="000F248E"/>
    <w:rsid w:val="000F4AEA"/>
    <w:rsid w:val="000F633F"/>
    <w:rsid w:val="000F67E9"/>
    <w:rsid w:val="000F75B4"/>
    <w:rsid w:val="00104926"/>
    <w:rsid w:val="00104AB5"/>
    <w:rsid w:val="00113B1E"/>
    <w:rsid w:val="0011711C"/>
    <w:rsid w:val="0012059C"/>
    <w:rsid w:val="001230AC"/>
    <w:rsid w:val="00124E4F"/>
    <w:rsid w:val="001260B7"/>
    <w:rsid w:val="001265CB"/>
    <w:rsid w:val="0013000C"/>
    <w:rsid w:val="001321C6"/>
    <w:rsid w:val="001325C4"/>
    <w:rsid w:val="00133010"/>
    <w:rsid w:val="001338EE"/>
    <w:rsid w:val="00133AAE"/>
    <w:rsid w:val="00135088"/>
    <w:rsid w:val="00135323"/>
    <w:rsid w:val="001356C4"/>
    <w:rsid w:val="00141114"/>
    <w:rsid w:val="00142969"/>
    <w:rsid w:val="001446C2"/>
    <w:rsid w:val="001457E7"/>
    <w:rsid w:val="00145D9D"/>
    <w:rsid w:val="00146388"/>
    <w:rsid w:val="001529E5"/>
    <w:rsid w:val="001532B1"/>
    <w:rsid w:val="00153C7E"/>
    <w:rsid w:val="00156ADE"/>
    <w:rsid w:val="00156B25"/>
    <w:rsid w:val="00156E1A"/>
    <w:rsid w:val="00157894"/>
    <w:rsid w:val="00157B55"/>
    <w:rsid w:val="001642FA"/>
    <w:rsid w:val="001649EB"/>
    <w:rsid w:val="00164BAF"/>
    <w:rsid w:val="00164FA8"/>
    <w:rsid w:val="00165065"/>
    <w:rsid w:val="00165434"/>
    <w:rsid w:val="0016580B"/>
    <w:rsid w:val="00165F49"/>
    <w:rsid w:val="00166469"/>
    <w:rsid w:val="001668F9"/>
    <w:rsid w:val="00166B88"/>
    <w:rsid w:val="0016770A"/>
    <w:rsid w:val="0016799A"/>
    <w:rsid w:val="00170804"/>
    <w:rsid w:val="001708E9"/>
    <w:rsid w:val="0017340B"/>
    <w:rsid w:val="00173FB1"/>
    <w:rsid w:val="00176DFD"/>
    <w:rsid w:val="00181070"/>
    <w:rsid w:val="001816A7"/>
    <w:rsid w:val="00182459"/>
    <w:rsid w:val="001852C9"/>
    <w:rsid w:val="00190087"/>
    <w:rsid w:val="001913C4"/>
    <w:rsid w:val="00191E39"/>
    <w:rsid w:val="00192168"/>
    <w:rsid w:val="0019348F"/>
    <w:rsid w:val="00193A07"/>
    <w:rsid w:val="00194C95"/>
    <w:rsid w:val="00195C34"/>
    <w:rsid w:val="00196EF5"/>
    <w:rsid w:val="001A1A53"/>
    <w:rsid w:val="001A1E27"/>
    <w:rsid w:val="001A234A"/>
    <w:rsid w:val="001A3399"/>
    <w:rsid w:val="001A4CF3"/>
    <w:rsid w:val="001A5140"/>
    <w:rsid w:val="001A6D6B"/>
    <w:rsid w:val="001A7EE0"/>
    <w:rsid w:val="001B06E8"/>
    <w:rsid w:val="001B554A"/>
    <w:rsid w:val="001B71D0"/>
    <w:rsid w:val="001B71EE"/>
    <w:rsid w:val="001B7F26"/>
    <w:rsid w:val="001B7F66"/>
    <w:rsid w:val="001C04A8"/>
    <w:rsid w:val="001C14C9"/>
    <w:rsid w:val="001C2C03"/>
    <w:rsid w:val="001C42F7"/>
    <w:rsid w:val="001C49E5"/>
    <w:rsid w:val="001C680C"/>
    <w:rsid w:val="001C7FEA"/>
    <w:rsid w:val="001D0499"/>
    <w:rsid w:val="001D0BBE"/>
    <w:rsid w:val="001D0ED4"/>
    <w:rsid w:val="001D212F"/>
    <w:rsid w:val="001D29D7"/>
    <w:rsid w:val="001D2DE7"/>
    <w:rsid w:val="001D411C"/>
    <w:rsid w:val="001D5DBE"/>
    <w:rsid w:val="001E1657"/>
    <w:rsid w:val="001E1B6A"/>
    <w:rsid w:val="001E2484"/>
    <w:rsid w:val="001E3CC4"/>
    <w:rsid w:val="001E4882"/>
    <w:rsid w:val="001E520C"/>
    <w:rsid w:val="001E73AB"/>
    <w:rsid w:val="001F0098"/>
    <w:rsid w:val="001F092D"/>
    <w:rsid w:val="001F143A"/>
    <w:rsid w:val="001F1605"/>
    <w:rsid w:val="001F2508"/>
    <w:rsid w:val="001F4816"/>
    <w:rsid w:val="001F4EE9"/>
    <w:rsid w:val="001F51EE"/>
    <w:rsid w:val="001F528C"/>
    <w:rsid w:val="001F573B"/>
    <w:rsid w:val="001F69B4"/>
    <w:rsid w:val="001F77C7"/>
    <w:rsid w:val="00200183"/>
    <w:rsid w:val="00200333"/>
    <w:rsid w:val="0020107D"/>
    <w:rsid w:val="00202AA4"/>
    <w:rsid w:val="002031F7"/>
    <w:rsid w:val="002040E6"/>
    <w:rsid w:val="0020527B"/>
    <w:rsid w:val="00205F2C"/>
    <w:rsid w:val="002060B0"/>
    <w:rsid w:val="00210B15"/>
    <w:rsid w:val="002142EA"/>
    <w:rsid w:val="00214EC1"/>
    <w:rsid w:val="002204BB"/>
    <w:rsid w:val="00221B79"/>
    <w:rsid w:val="00221C6B"/>
    <w:rsid w:val="00224C00"/>
    <w:rsid w:val="002253A1"/>
    <w:rsid w:val="00225CF8"/>
    <w:rsid w:val="00225D7C"/>
    <w:rsid w:val="0022794E"/>
    <w:rsid w:val="00230C38"/>
    <w:rsid w:val="002327B5"/>
    <w:rsid w:val="00233580"/>
    <w:rsid w:val="00233D64"/>
    <w:rsid w:val="0023482A"/>
    <w:rsid w:val="002359CB"/>
    <w:rsid w:val="00243540"/>
    <w:rsid w:val="00243B29"/>
    <w:rsid w:val="0024497B"/>
    <w:rsid w:val="0024515B"/>
    <w:rsid w:val="0024542E"/>
    <w:rsid w:val="00246021"/>
    <w:rsid w:val="0024666E"/>
    <w:rsid w:val="0024686A"/>
    <w:rsid w:val="00247996"/>
    <w:rsid w:val="00247AA0"/>
    <w:rsid w:val="00247F52"/>
    <w:rsid w:val="00250B25"/>
    <w:rsid w:val="00250BBE"/>
    <w:rsid w:val="002515C2"/>
    <w:rsid w:val="0025194F"/>
    <w:rsid w:val="002565CD"/>
    <w:rsid w:val="00256DA3"/>
    <w:rsid w:val="002611BA"/>
    <w:rsid w:val="0026148A"/>
    <w:rsid w:val="00262696"/>
    <w:rsid w:val="00263D25"/>
    <w:rsid w:val="002643C3"/>
    <w:rsid w:val="00264704"/>
    <w:rsid w:val="00264A0C"/>
    <w:rsid w:val="0026594B"/>
    <w:rsid w:val="00265C11"/>
    <w:rsid w:val="00266EEB"/>
    <w:rsid w:val="00267EF4"/>
    <w:rsid w:val="00270053"/>
    <w:rsid w:val="00270CB8"/>
    <w:rsid w:val="00272B08"/>
    <w:rsid w:val="002753E6"/>
    <w:rsid w:val="002761A5"/>
    <w:rsid w:val="00277186"/>
    <w:rsid w:val="002771AC"/>
    <w:rsid w:val="00281111"/>
    <w:rsid w:val="00281BB8"/>
    <w:rsid w:val="00281E9E"/>
    <w:rsid w:val="00282261"/>
    <w:rsid w:val="00282405"/>
    <w:rsid w:val="00285170"/>
    <w:rsid w:val="00285361"/>
    <w:rsid w:val="00285817"/>
    <w:rsid w:val="00287E4A"/>
    <w:rsid w:val="0029093C"/>
    <w:rsid w:val="00292D60"/>
    <w:rsid w:val="00293B30"/>
    <w:rsid w:val="00294D34"/>
    <w:rsid w:val="00294E3B"/>
    <w:rsid w:val="00296193"/>
    <w:rsid w:val="00296C66"/>
    <w:rsid w:val="00296EBE"/>
    <w:rsid w:val="002974E3"/>
    <w:rsid w:val="002977E9"/>
    <w:rsid w:val="002A006F"/>
    <w:rsid w:val="002A084B"/>
    <w:rsid w:val="002A1260"/>
    <w:rsid w:val="002A1589"/>
    <w:rsid w:val="002A1608"/>
    <w:rsid w:val="002A17DE"/>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557"/>
    <w:rsid w:val="002C3F07"/>
    <w:rsid w:val="002C5278"/>
    <w:rsid w:val="002C6A08"/>
    <w:rsid w:val="002C7EBB"/>
    <w:rsid w:val="002D06C1"/>
    <w:rsid w:val="002D42B5"/>
    <w:rsid w:val="002D4F1A"/>
    <w:rsid w:val="002D56B5"/>
    <w:rsid w:val="002D6EC6"/>
    <w:rsid w:val="002D79AC"/>
    <w:rsid w:val="002E039D"/>
    <w:rsid w:val="002E4D5A"/>
    <w:rsid w:val="002E6326"/>
    <w:rsid w:val="002F30E0"/>
    <w:rsid w:val="002F35E4"/>
    <w:rsid w:val="002F3730"/>
    <w:rsid w:val="002F38E1"/>
    <w:rsid w:val="002F7AF6"/>
    <w:rsid w:val="00300E63"/>
    <w:rsid w:val="00302E30"/>
    <w:rsid w:val="00302F5F"/>
    <w:rsid w:val="003040D2"/>
    <w:rsid w:val="0030441D"/>
    <w:rsid w:val="00306063"/>
    <w:rsid w:val="00313B85"/>
    <w:rsid w:val="00317988"/>
    <w:rsid w:val="003215A0"/>
    <w:rsid w:val="003221B4"/>
    <w:rsid w:val="0032258D"/>
    <w:rsid w:val="00322E62"/>
    <w:rsid w:val="00324D13"/>
    <w:rsid w:val="00324D2A"/>
    <w:rsid w:val="00324EDD"/>
    <w:rsid w:val="00327672"/>
    <w:rsid w:val="00327D01"/>
    <w:rsid w:val="00331549"/>
    <w:rsid w:val="00332C81"/>
    <w:rsid w:val="003331E4"/>
    <w:rsid w:val="0033325B"/>
    <w:rsid w:val="00334AEA"/>
    <w:rsid w:val="00336C64"/>
    <w:rsid w:val="00337162"/>
    <w:rsid w:val="0034194F"/>
    <w:rsid w:val="00344605"/>
    <w:rsid w:val="003474AA"/>
    <w:rsid w:val="00350D1D"/>
    <w:rsid w:val="00352C83"/>
    <w:rsid w:val="003615D2"/>
    <w:rsid w:val="0036429C"/>
    <w:rsid w:val="00364A53"/>
    <w:rsid w:val="003654CB"/>
    <w:rsid w:val="00365714"/>
    <w:rsid w:val="00365AA9"/>
    <w:rsid w:val="00365F86"/>
    <w:rsid w:val="00365F87"/>
    <w:rsid w:val="00366C5D"/>
    <w:rsid w:val="00366E89"/>
    <w:rsid w:val="003705F4"/>
    <w:rsid w:val="00370D58"/>
    <w:rsid w:val="00371316"/>
    <w:rsid w:val="00375BDD"/>
    <w:rsid w:val="0037610D"/>
    <w:rsid w:val="00376713"/>
    <w:rsid w:val="003800D6"/>
    <w:rsid w:val="00381815"/>
    <w:rsid w:val="00381835"/>
    <w:rsid w:val="003819AF"/>
    <w:rsid w:val="003820E9"/>
    <w:rsid w:val="00382DE7"/>
    <w:rsid w:val="00384AE8"/>
    <w:rsid w:val="00384FFC"/>
    <w:rsid w:val="00385C0B"/>
    <w:rsid w:val="003872FC"/>
    <w:rsid w:val="00387ADC"/>
    <w:rsid w:val="00390020"/>
    <w:rsid w:val="003903D6"/>
    <w:rsid w:val="00390EE6"/>
    <w:rsid w:val="0039118F"/>
    <w:rsid w:val="00392AD7"/>
    <w:rsid w:val="00392D2C"/>
    <w:rsid w:val="003938D9"/>
    <w:rsid w:val="00394376"/>
    <w:rsid w:val="003943FF"/>
    <w:rsid w:val="00395700"/>
    <w:rsid w:val="00396A75"/>
    <w:rsid w:val="003974EB"/>
    <w:rsid w:val="00397CC5"/>
    <w:rsid w:val="003A0E77"/>
    <w:rsid w:val="003A1582"/>
    <w:rsid w:val="003A37CE"/>
    <w:rsid w:val="003A4077"/>
    <w:rsid w:val="003A6E94"/>
    <w:rsid w:val="003B09AD"/>
    <w:rsid w:val="003B1F18"/>
    <w:rsid w:val="003B59B3"/>
    <w:rsid w:val="003B5BF0"/>
    <w:rsid w:val="003B60BF"/>
    <w:rsid w:val="003B6BE3"/>
    <w:rsid w:val="003C010C"/>
    <w:rsid w:val="003C0A6C"/>
    <w:rsid w:val="003C14F8"/>
    <w:rsid w:val="003C2BFF"/>
    <w:rsid w:val="003C5A43"/>
    <w:rsid w:val="003C6DB6"/>
    <w:rsid w:val="003C73BD"/>
    <w:rsid w:val="003D0519"/>
    <w:rsid w:val="003D0FF6"/>
    <w:rsid w:val="003D262C"/>
    <w:rsid w:val="003D6D61"/>
    <w:rsid w:val="003D79C6"/>
    <w:rsid w:val="003E091D"/>
    <w:rsid w:val="003E1C53"/>
    <w:rsid w:val="003E2A69"/>
    <w:rsid w:val="003E2D49"/>
    <w:rsid w:val="003E2FD4"/>
    <w:rsid w:val="003E418D"/>
    <w:rsid w:val="003E49F6"/>
    <w:rsid w:val="003E660F"/>
    <w:rsid w:val="003F0841"/>
    <w:rsid w:val="003F0A90"/>
    <w:rsid w:val="003F23D3"/>
    <w:rsid w:val="003F2868"/>
    <w:rsid w:val="003F3E49"/>
    <w:rsid w:val="003F3F08"/>
    <w:rsid w:val="003F49F1"/>
    <w:rsid w:val="003F6272"/>
    <w:rsid w:val="00400CEE"/>
    <w:rsid w:val="00400E72"/>
    <w:rsid w:val="00401400"/>
    <w:rsid w:val="00404869"/>
    <w:rsid w:val="00405884"/>
    <w:rsid w:val="00407D39"/>
    <w:rsid w:val="00411889"/>
    <w:rsid w:val="0041477A"/>
    <w:rsid w:val="004167A3"/>
    <w:rsid w:val="00425E64"/>
    <w:rsid w:val="00427591"/>
    <w:rsid w:val="00427FE3"/>
    <w:rsid w:val="00431304"/>
    <w:rsid w:val="00431A3F"/>
    <w:rsid w:val="00432DAA"/>
    <w:rsid w:val="00434305"/>
    <w:rsid w:val="00435DF7"/>
    <w:rsid w:val="00437CF6"/>
    <w:rsid w:val="0044083F"/>
    <w:rsid w:val="00441827"/>
    <w:rsid w:val="00441AE7"/>
    <w:rsid w:val="00445574"/>
    <w:rsid w:val="00445648"/>
    <w:rsid w:val="004467FB"/>
    <w:rsid w:val="004517E9"/>
    <w:rsid w:val="00452D6B"/>
    <w:rsid w:val="00453400"/>
    <w:rsid w:val="00454484"/>
    <w:rsid w:val="0045517B"/>
    <w:rsid w:val="0045678F"/>
    <w:rsid w:val="00460236"/>
    <w:rsid w:val="00463B77"/>
    <w:rsid w:val="00463B91"/>
    <w:rsid w:val="00463C7B"/>
    <w:rsid w:val="004644A6"/>
    <w:rsid w:val="004659BD"/>
    <w:rsid w:val="004666F3"/>
    <w:rsid w:val="00466EBA"/>
    <w:rsid w:val="00470775"/>
    <w:rsid w:val="00470897"/>
    <w:rsid w:val="004746B1"/>
    <w:rsid w:val="004746BB"/>
    <w:rsid w:val="0047583F"/>
    <w:rsid w:val="00475DE8"/>
    <w:rsid w:val="00477882"/>
    <w:rsid w:val="00481C44"/>
    <w:rsid w:val="00484936"/>
    <w:rsid w:val="00485C89"/>
    <w:rsid w:val="00486BE3"/>
    <w:rsid w:val="004905E4"/>
    <w:rsid w:val="00490A89"/>
    <w:rsid w:val="00490AB4"/>
    <w:rsid w:val="00490BA6"/>
    <w:rsid w:val="00492F02"/>
    <w:rsid w:val="00493700"/>
    <w:rsid w:val="004939AE"/>
    <w:rsid w:val="00493BDC"/>
    <w:rsid w:val="00493CBA"/>
    <w:rsid w:val="00496F28"/>
    <w:rsid w:val="004A12DF"/>
    <w:rsid w:val="004A14D9"/>
    <w:rsid w:val="004A17E6"/>
    <w:rsid w:val="004A1BA8"/>
    <w:rsid w:val="004A221B"/>
    <w:rsid w:val="004A2B72"/>
    <w:rsid w:val="004A4B57"/>
    <w:rsid w:val="004A5256"/>
    <w:rsid w:val="004A63FA"/>
    <w:rsid w:val="004B0272"/>
    <w:rsid w:val="004B2603"/>
    <w:rsid w:val="004B2701"/>
    <w:rsid w:val="004B2E1B"/>
    <w:rsid w:val="004B3AA8"/>
    <w:rsid w:val="004B3E93"/>
    <w:rsid w:val="004C1DC8"/>
    <w:rsid w:val="004C1FBC"/>
    <w:rsid w:val="004C3F1D"/>
    <w:rsid w:val="004C458D"/>
    <w:rsid w:val="004C5FB8"/>
    <w:rsid w:val="004C7556"/>
    <w:rsid w:val="004C7E8B"/>
    <w:rsid w:val="004C7E9D"/>
    <w:rsid w:val="004C7F67"/>
    <w:rsid w:val="004D006E"/>
    <w:rsid w:val="004D076D"/>
    <w:rsid w:val="004D0EF1"/>
    <w:rsid w:val="004D1B73"/>
    <w:rsid w:val="004D2253"/>
    <w:rsid w:val="004D229E"/>
    <w:rsid w:val="004D4406"/>
    <w:rsid w:val="004D6D68"/>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14E1"/>
    <w:rsid w:val="0050226A"/>
    <w:rsid w:val="0050363E"/>
    <w:rsid w:val="005039BC"/>
    <w:rsid w:val="005043BB"/>
    <w:rsid w:val="00504A3D"/>
    <w:rsid w:val="005052FD"/>
    <w:rsid w:val="00505767"/>
    <w:rsid w:val="00506490"/>
    <w:rsid w:val="005073F0"/>
    <w:rsid w:val="00510A7B"/>
    <w:rsid w:val="00512F6E"/>
    <w:rsid w:val="00513038"/>
    <w:rsid w:val="00514174"/>
    <w:rsid w:val="00515B8B"/>
    <w:rsid w:val="00516088"/>
    <w:rsid w:val="00516B0B"/>
    <w:rsid w:val="00520A24"/>
    <w:rsid w:val="0052150C"/>
    <w:rsid w:val="005220EC"/>
    <w:rsid w:val="005236C9"/>
    <w:rsid w:val="00523F95"/>
    <w:rsid w:val="00524D65"/>
    <w:rsid w:val="005250B9"/>
    <w:rsid w:val="00525B16"/>
    <w:rsid w:val="00527E31"/>
    <w:rsid w:val="00533D04"/>
    <w:rsid w:val="00534804"/>
    <w:rsid w:val="00534BDF"/>
    <w:rsid w:val="00535175"/>
    <w:rsid w:val="005354EA"/>
    <w:rsid w:val="0053585F"/>
    <w:rsid w:val="00535EC4"/>
    <w:rsid w:val="00535ED9"/>
    <w:rsid w:val="0053692B"/>
    <w:rsid w:val="00536DEE"/>
    <w:rsid w:val="005417B3"/>
    <w:rsid w:val="00541853"/>
    <w:rsid w:val="00543BDA"/>
    <w:rsid w:val="00543EF1"/>
    <w:rsid w:val="005441CC"/>
    <w:rsid w:val="00546606"/>
    <w:rsid w:val="00547527"/>
    <w:rsid w:val="005478ED"/>
    <w:rsid w:val="005479DA"/>
    <w:rsid w:val="00547BCC"/>
    <w:rsid w:val="0055013B"/>
    <w:rsid w:val="00551F6F"/>
    <w:rsid w:val="0055221B"/>
    <w:rsid w:val="00555044"/>
    <w:rsid w:val="00561475"/>
    <w:rsid w:val="00561E5E"/>
    <w:rsid w:val="00564723"/>
    <w:rsid w:val="0056487B"/>
    <w:rsid w:val="00564FB9"/>
    <w:rsid w:val="0056761C"/>
    <w:rsid w:val="00567AB1"/>
    <w:rsid w:val="00570822"/>
    <w:rsid w:val="00573D9E"/>
    <w:rsid w:val="005778C9"/>
    <w:rsid w:val="005801E3"/>
    <w:rsid w:val="00581802"/>
    <w:rsid w:val="005836A8"/>
    <w:rsid w:val="0058409C"/>
    <w:rsid w:val="00584262"/>
    <w:rsid w:val="0058549B"/>
    <w:rsid w:val="00586630"/>
    <w:rsid w:val="00587ADD"/>
    <w:rsid w:val="00591E27"/>
    <w:rsid w:val="00596160"/>
    <w:rsid w:val="005966E2"/>
    <w:rsid w:val="00597007"/>
    <w:rsid w:val="005A0966"/>
    <w:rsid w:val="005A11B7"/>
    <w:rsid w:val="005A17D0"/>
    <w:rsid w:val="005A260B"/>
    <w:rsid w:val="005A3518"/>
    <w:rsid w:val="005A3848"/>
    <w:rsid w:val="005A4A1B"/>
    <w:rsid w:val="005A7830"/>
    <w:rsid w:val="005A7FCE"/>
    <w:rsid w:val="005B032D"/>
    <w:rsid w:val="005B0F3F"/>
    <w:rsid w:val="005B123D"/>
    <w:rsid w:val="005B4903"/>
    <w:rsid w:val="005B51CE"/>
    <w:rsid w:val="005B5885"/>
    <w:rsid w:val="005B5CD7"/>
    <w:rsid w:val="005B6CF6"/>
    <w:rsid w:val="005B7422"/>
    <w:rsid w:val="005C29B8"/>
    <w:rsid w:val="005C5F21"/>
    <w:rsid w:val="005C7156"/>
    <w:rsid w:val="005D0C75"/>
    <w:rsid w:val="005D3088"/>
    <w:rsid w:val="005D4171"/>
    <w:rsid w:val="005D51E7"/>
    <w:rsid w:val="005D6A95"/>
    <w:rsid w:val="005D6B2C"/>
    <w:rsid w:val="005D6D9C"/>
    <w:rsid w:val="005E1E26"/>
    <w:rsid w:val="005E2335"/>
    <w:rsid w:val="005E34CA"/>
    <w:rsid w:val="005E3C18"/>
    <w:rsid w:val="005E3D67"/>
    <w:rsid w:val="005E6812"/>
    <w:rsid w:val="005E7881"/>
    <w:rsid w:val="005E78E0"/>
    <w:rsid w:val="005E7CF8"/>
    <w:rsid w:val="005F0D9C"/>
    <w:rsid w:val="005F2126"/>
    <w:rsid w:val="005F284E"/>
    <w:rsid w:val="005F4712"/>
    <w:rsid w:val="005F5416"/>
    <w:rsid w:val="005F79F9"/>
    <w:rsid w:val="006015CE"/>
    <w:rsid w:val="00604784"/>
    <w:rsid w:val="00605639"/>
    <w:rsid w:val="00606419"/>
    <w:rsid w:val="00606988"/>
    <w:rsid w:val="00606EE3"/>
    <w:rsid w:val="00607D29"/>
    <w:rsid w:val="00612952"/>
    <w:rsid w:val="00612B4D"/>
    <w:rsid w:val="00614CC1"/>
    <w:rsid w:val="00615A9D"/>
    <w:rsid w:val="00617387"/>
    <w:rsid w:val="006205D6"/>
    <w:rsid w:val="006252D8"/>
    <w:rsid w:val="006259BC"/>
    <w:rsid w:val="0062636B"/>
    <w:rsid w:val="00626920"/>
    <w:rsid w:val="00626C6A"/>
    <w:rsid w:val="00632182"/>
    <w:rsid w:val="00632AE0"/>
    <w:rsid w:val="00633C17"/>
    <w:rsid w:val="00634D9E"/>
    <w:rsid w:val="00636E3E"/>
    <w:rsid w:val="006379F7"/>
    <w:rsid w:val="00637E4D"/>
    <w:rsid w:val="00640620"/>
    <w:rsid w:val="00641A1F"/>
    <w:rsid w:val="00641EDB"/>
    <w:rsid w:val="006439FF"/>
    <w:rsid w:val="00643CF6"/>
    <w:rsid w:val="00644447"/>
    <w:rsid w:val="00644C5C"/>
    <w:rsid w:val="00645904"/>
    <w:rsid w:val="00651ACB"/>
    <w:rsid w:val="00651C47"/>
    <w:rsid w:val="00652473"/>
    <w:rsid w:val="00652AB2"/>
    <w:rsid w:val="00653FED"/>
    <w:rsid w:val="00654EC0"/>
    <w:rsid w:val="0065525B"/>
    <w:rsid w:val="00655D4F"/>
    <w:rsid w:val="00655F1B"/>
    <w:rsid w:val="00656D29"/>
    <w:rsid w:val="006640E5"/>
    <w:rsid w:val="006646F1"/>
    <w:rsid w:val="00664929"/>
    <w:rsid w:val="00664F62"/>
    <w:rsid w:val="006655E1"/>
    <w:rsid w:val="006656E9"/>
    <w:rsid w:val="00672060"/>
    <w:rsid w:val="00672BFD"/>
    <w:rsid w:val="006770F4"/>
    <w:rsid w:val="00677149"/>
    <w:rsid w:val="00677A84"/>
    <w:rsid w:val="0068026D"/>
    <w:rsid w:val="00680A27"/>
    <w:rsid w:val="006816A4"/>
    <w:rsid w:val="006819B8"/>
    <w:rsid w:val="006840A6"/>
    <w:rsid w:val="006850CD"/>
    <w:rsid w:val="00685186"/>
    <w:rsid w:val="00685AAB"/>
    <w:rsid w:val="0069026E"/>
    <w:rsid w:val="00693EEA"/>
    <w:rsid w:val="00695D22"/>
    <w:rsid w:val="006A07AA"/>
    <w:rsid w:val="006A25E5"/>
    <w:rsid w:val="006A2B46"/>
    <w:rsid w:val="006A336D"/>
    <w:rsid w:val="006A37B9"/>
    <w:rsid w:val="006A7776"/>
    <w:rsid w:val="006B2672"/>
    <w:rsid w:val="006B33C2"/>
    <w:rsid w:val="006B54BF"/>
    <w:rsid w:val="006B59D6"/>
    <w:rsid w:val="006B5F44"/>
    <w:rsid w:val="006B5F90"/>
    <w:rsid w:val="006B62E4"/>
    <w:rsid w:val="006C1BBA"/>
    <w:rsid w:val="006C2079"/>
    <w:rsid w:val="006C5A0C"/>
    <w:rsid w:val="006C5A62"/>
    <w:rsid w:val="006C5D68"/>
    <w:rsid w:val="006C6976"/>
    <w:rsid w:val="006C6DD0"/>
    <w:rsid w:val="006D04EA"/>
    <w:rsid w:val="006D0AB7"/>
    <w:rsid w:val="006D16C4"/>
    <w:rsid w:val="006D3E96"/>
    <w:rsid w:val="006D4515"/>
    <w:rsid w:val="006D4BB1"/>
    <w:rsid w:val="006D4F27"/>
    <w:rsid w:val="006D6593"/>
    <w:rsid w:val="006E17DB"/>
    <w:rsid w:val="006E23EA"/>
    <w:rsid w:val="006F03A8"/>
    <w:rsid w:val="006F2ACA"/>
    <w:rsid w:val="006F2ADC"/>
    <w:rsid w:val="006F2BFE"/>
    <w:rsid w:val="006F31E9"/>
    <w:rsid w:val="006F6284"/>
    <w:rsid w:val="007002C5"/>
    <w:rsid w:val="0070097A"/>
    <w:rsid w:val="00704387"/>
    <w:rsid w:val="00706360"/>
    <w:rsid w:val="00707669"/>
    <w:rsid w:val="00711CBA"/>
    <w:rsid w:val="00711FB5"/>
    <w:rsid w:val="00712A01"/>
    <w:rsid w:val="00714F58"/>
    <w:rsid w:val="00716BFA"/>
    <w:rsid w:val="00722FBF"/>
    <w:rsid w:val="00722FC2"/>
    <w:rsid w:val="00724879"/>
    <w:rsid w:val="00724E1B"/>
    <w:rsid w:val="00725949"/>
    <w:rsid w:val="00727FA2"/>
    <w:rsid w:val="00730854"/>
    <w:rsid w:val="007322D9"/>
    <w:rsid w:val="00732BC0"/>
    <w:rsid w:val="00735FC9"/>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1489"/>
    <w:rsid w:val="007522C1"/>
    <w:rsid w:val="00752B4D"/>
    <w:rsid w:val="00752CF1"/>
    <w:rsid w:val="00755402"/>
    <w:rsid w:val="00755DBC"/>
    <w:rsid w:val="00756B26"/>
    <w:rsid w:val="00756EDF"/>
    <w:rsid w:val="007600E3"/>
    <w:rsid w:val="00760201"/>
    <w:rsid w:val="00765C43"/>
    <w:rsid w:val="00765EFB"/>
    <w:rsid w:val="007671CA"/>
    <w:rsid w:val="00767C61"/>
    <w:rsid w:val="00767D1F"/>
    <w:rsid w:val="0077008A"/>
    <w:rsid w:val="007732FB"/>
    <w:rsid w:val="00773C1F"/>
    <w:rsid w:val="00774DA4"/>
    <w:rsid w:val="00776599"/>
    <w:rsid w:val="0078114B"/>
    <w:rsid w:val="00781DD2"/>
    <w:rsid w:val="00783ECF"/>
    <w:rsid w:val="0078413A"/>
    <w:rsid w:val="007873EA"/>
    <w:rsid w:val="00790798"/>
    <w:rsid w:val="00794D25"/>
    <w:rsid w:val="007959E8"/>
    <w:rsid w:val="00795E9C"/>
    <w:rsid w:val="007A0521"/>
    <w:rsid w:val="007A2E12"/>
    <w:rsid w:val="007A3475"/>
    <w:rsid w:val="007A41C8"/>
    <w:rsid w:val="007A54CE"/>
    <w:rsid w:val="007A6FD9"/>
    <w:rsid w:val="007A7C1E"/>
    <w:rsid w:val="007A7FFA"/>
    <w:rsid w:val="007B04EB"/>
    <w:rsid w:val="007B0D4F"/>
    <w:rsid w:val="007B509F"/>
    <w:rsid w:val="007B5A3D"/>
    <w:rsid w:val="007B5B95"/>
    <w:rsid w:val="007B68EA"/>
    <w:rsid w:val="007B7453"/>
    <w:rsid w:val="007C1E8B"/>
    <w:rsid w:val="007C2D89"/>
    <w:rsid w:val="007C36B0"/>
    <w:rsid w:val="007C4593"/>
    <w:rsid w:val="007C5309"/>
    <w:rsid w:val="007C6069"/>
    <w:rsid w:val="007D06C4"/>
    <w:rsid w:val="007D1352"/>
    <w:rsid w:val="007D1CC2"/>
    <w:rsid w:val="007D2508"/>
    <w:rsid w:val="007D346A"/>
    <w:rsid w:val="007D6518"/>
    <w:rsid w:val="007D76BD"/>
    <w:rsid w:val="007E0BF1"/>
    <w:rsid w:val="007E1AFB"/>
    <w:rsid w:val="007E1FB0"/>
    <w:rsid w:val="007F0ED8"/>
    <w:rsid w:val="007F0F63"/>
    <w:rsid w:val="007F75CE"/>
    <w:rsid w:val="00800587"/>
    <w:rsid w:val="008013A4"/>
    <w:rsid w:val="008027CE"/>
    <w:rsid w:val="00802F42"/>
    <w:rsid w:val="00804383"/>
    <w:rsid w:val="00804BB7"/>
    <w:rsid w:val="00804C68"/>
    <w:rsid w:val="00804D41"/>
    <w:rsid w:val="00810257"/>
    <w:rsid w:val="008104F5"/>
    <w:rsid w:val="00811072"/>
    <w:rsid w:val="00811369"/>
    <w:rsid w:val="00815419"/>
    <w:rsid w:val="008163C8"/>
    <w:rsid w:val="008164A1"/>
    <w:rsid w:val="00817325"/>
    <w:rsid w:val="008209E6"/>
    <w:rsid w:val="00820D78"/>
    <w:rsid w:val="00823303"/>
    <w:rsid w:val="008233B2"/>
    <w:rsid w:val="00823A9F"/>
    <w:rsid w:val="00823C85"/>
    <w:rsid w:val="00824B5E"/>
    <w:rsid w:val="00825138"/>
    <w:rsid w:val="008269DD"/>
    <w:rsid w:val="00827A7C"/>
    <w:rsid w:val="00830621"/>
    <w:rsid w:val="00832401"/>
    <w:rsid w:val="0083348C"/>
    <w:rsid w:val="008373D3"/>
    <w:rsid w:val="00840617"/>
    <w:rsid w:val="00840F84"/>
    <w:rsid w:val="00842A47"/>
    <w:rsid w:val="00842F8E"/>
    <w:rsid w:val="00843C13"/>
    <w:rsid w:val="008454F8"/>
    <w:rsid w:val="00850CB8"/>
    <w:rsid w:val="0085173A"/>
    <w:rsid w:val="00856316"/>
    <w:rsid w:val="008603CE"/>
    <w:rsid w:val="00860B54"/>
    <w:rsid w:val="008620FC"/>
    <w:rsid w:val="008627A5"/>
    <w:rsid w:val="00862BCD"/>
    <w:rsid w:val="00863E05"/>
    <w:rsid w:val="00865ACA"/>
    <w:rsid w:val="00865D28"/>
    <w:rsid w:val="00865F85"/>
    <w:rsid w:val="00867C10"/>
    <w:rsid w:val="00870439"/>
    <w:rsid w:val="00870DA1"/>
    <w:rsid w:val="00873876"/>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4BA"/>
    <w:rsid w:val="008A57E6"/>
    <w:rsid w:val="008A6F81"/>
    <w:rsid w:val="008A769A"/>
    <w:rsid w:val="008B0C9C"/>
    <w:rsid w:val="008B166D"/>
    <w:rsid w:val="008B17F4"/>
    <w:rsid w:val="008B2A17"/>
    <w:rsid w:val="008B3615"/>
    <w:rsid w:val="008B4240"/>
    <w:rsid w:val="008B4AC4"/>
    <w:rsid w:val="008B50C8"/>
    <w:rsid w:val="008B5281"/>
    <w:rsid w:val="008B7E05"/>
    <w:rsid w:val="008C0696"/>
    <w:rsid w:val="008C1797"/>
    <w:rsid w:val="008C1C01"/>
    <w:rsid w:val="008C219C"/>
    <w:rsid w:val="008C475E"/>
    <w:rsid w:val="008C619A"/>
    <w:rsid w:val="008D0CE8"/>
    <w:rsid w:val="008D2D1D"/>
    <w:rsid w:val="008D453D"/>
    <w:rsid w:val="008D490A"/>
    <w:rsid w:val="008D53AD"/>
    <w:rsid w:val="008D562B"/>
    <w:rsid w:val="008D5733"/>
    <w:rsid w:val="008D622B"/>
    <w:rsid w:val="008D666C"/>
    <w:rsid w:val="008D7B54"/>
    <w:rsid w:val="008E0C9D"/>
    <w:rsid w:val="008E1648"/>
    <w:rsid w:val="008E1683"/>
    <w:rsid w:val="008E1B3E"/>
    <w:rsid w:val="008E1D3D"/>
    <w:rsid w:val="008E2319"/>
    <w:rsid w:val="008E3022"/>
    <w:rsid w:val="008E35FD"/>
    <w:rsid w:val="008E4BB6"/>
    <w:rsid w:val="008E5518"/>
    <w:rsid w:val="008E6049"/>
    <w:rsid w:val="008E6A84"/>
    <w:rsid w:val="008E76CE"/>
    <w:rsid w:val="008F0CDC"/>
    <w:rsid w:val="008F17A3"/>
    <w:rsid w:val="008F1ED3"/>
    <w:rsid w:val="008F23A5"/>
    <w:rsid w:val="008F4428"/>
    <w:rsid w:val="008F4C29"/>
    <w:rsid w:val="008F686F"/>
    <w:rsid w:val="008F70BD"/>
    <w:rsid w:val="008F788F"/>
    <w:rsid w:val="008F7EA2"/>
    <w:rsid w:val="00902722"/>
    <w:rsid w:val="009027BC"/>
    <w:rsid w:val="009062E6"/>
    <w:rsid w:val="00911651"/>
    <w:rsid w:val="00911BE5"/>
    <w:rsid w:val="00913CA9"/>
    <w:rsid w:val="009145AE"/>
    <w:rsid w:val="009146CE"/>
    <w:rsid w:val="00914CA7"/>
    <w:rsid w:val="00914D89"/>
    <w:rsid w:val="00915C3E"/>
    <w:rsid w:val="009161A8"/>
    <w:rsid w:val="00923559"/>
    <w:rsid w:val="009245F5"/>
    <w:rsid w:val="009249EC"/>
    <w:rsid w:val="00926D97"/>
    <w:rsid w:val="009273B3"/>
    <w:rsid w:val="009305B5"/>
    <w:rsid w:val="009429D5"/>
    <w:rsid w:val="00942BF1"/>
    <w:rsid w:val="00945180"/>
    <w:rsid w:val="00945428"/>
    <w:rsid w:val="0094607B"/>
    <w:rsid w:val="00953604"/>
    <w:rsid w:val="0095439E"/>
    <w:rsid w:val="0095496B"/>
    <w:rsid w:val="00960263"/>
    <w:rsid w:val="009608F7"/>
    <w:rsid w:val="009610DC"/>
    <w:rsid w:val="00961490"/>
    <w:rsid w:val="0096381A"/>
    <w:rsid w:val="00965E04"/>
    <w:rsid w:val="009674AD"/>
    <w:rsid w:val="00970CDC"/>
    <w:rsid w:val="00972D83"/>
    <w:rsid w:val="00977010"/>
    <w:rsid w:val="00977D02"/>
    <w:rsid w:val="009809BB"/>
    <w:rsid w:val="0098364B"/>
    <w:rsid w:val="00983767"/>
    <w:rsid w:val="00984568"/>
    <w:rsid w:val="009911AF"/>
    <w:rsid w:val="00991875"/>
    <w:rsid w:val="00991F92"/>
    <w:rsid w:val="00992985"/>
    <w:rsid w:val="00993889"/>
    <w:rsid w:val="0099551B"/>
    <w:rsid w:val="00996755"/>
    <w:rsid w:val="00997BF1"/>
    <w:rsid w:val="009A089C"/>
    <w:rsid w:val="009A118E"/>
    <w:rsid w:val="009A1EB3"/>
    <w:rsid w:val="009A21CD"/>
    <w:rsid w:val="009A278C"/>
    <w:rsid w:val="009A2BC2"/>
    <w:rsid w:val="009A42C1"/>
    <w:rsid w:val="009A43E0"/>
    <w:rsid w:val="009A5429"/>
    <w:rsid w:val="009A72AD"/>
    <w:rsid w:val="009B09E0"/>
    <w:rsid w:val="009B0BC5"/>
    <w:rsid w:val="009B1247"/>
    <w:rsid w:val="009B46F9"/>
    <w:rsid w:val="009B5D78"/>
    <w:rsid w:val="009B6029"/>
    <w:rsid w:val="009B6971"/>
    <w:rsid w:val="009B6F71"/>
    <w:rsid w:val="009C27F1"/>
    <w:rsid w:val="009C3152"/>
    <w:rsid w:val="009C4CFA"/>
    <w:rsid w:val="009C5070"/>
    <w:rsid w:val="009C6DCC"/>
    <w:rsid w:val="009D112C"/>
    <w:rsid w:val="009D321A"/>
    <w:rsid w:val="009D47FA"/>
    <w:rsid w:val="009D4C5B"/>
    <w:rsid w:val="009D50D2"/>
    <w:rsid w:val="009D5D4F"/>
    <w:rsid w:val="009D6BCA"/>
    <w:rsid w:val="009E0F62"/>
    <w:rsid w:val="009E22E3"/>
    <w:rsid w:val="009E4A58"/>
    <w:rsid w:val="009E5A2D"/>
    <w:rsid w:val="009E5AB2"/>
    <w:rsid w:val="009E6219"/>
    <w:rsid w:val="009E70DE"/>
    <w:rsid w:val="009F03B3"/>
    <w:rsid w:val="009F418B"/>
    <w:rsid w:val="009F75B6"/>
    <w:rsid w:val="00A0096C"/>
    <w:rsid w:val="00A01757"/>
    <w:rsid w:val="00A028C0"/>
    <w:rsid w:val="00A02980"/>
    <w:rsid w:val="00A02BAE"/>
    <w:rsid w:val="00A06A6B"/>
    <w:rsid w:val="00A07574"/>
    <w:rsid w:val="00A07E47"/>
    <w:rsid w:val="00A129D0"/>
    <w:rsid w:val="00A12C33"/>
    <w:rsid w:val="00A138BA"/>
    <w:rsid w:val="00A14C8E"/>
    <w:rsid w:val="00A153D9"/>
    <w:rsid w:val="00A15F09"/>
    <w:rsid w:val="00A169B6"/>
    <w:rsid w:val="00A2271D"/>
    <w:rsid w:val="00A23141"/>
    <w:rsid w:val="00A237D5"/>
    <w:rsid w:val="00A30491"/>
    <w:rsid w:val="00A30EFC"/>
    <w:rsid w:val="00A31984"/>
    <w:rsid w:val="00A32D73"/>
    <w:rsid w:val="00A3367B"/>
    <w:rsid w:val="00A3597D"/>
    <w:rsid w:val="00A36DD1"/>
    <w:rsid w:val="00A4006C"/>
    <w:rsid w:val="00A40091"/>
    <w:rsid w:val="00A4030F"/>
    <w:rsid w:val="00A41C79"/>
    <w:rsid w:val="00A41CB5"/>
    <w:rsid w:val="00A424BB"/>
    <w:rsid w:val="00A42CDF"/>
    <w:rsid w:val="00A4452E"/>
    <w:rsid w:val="00A4472C"/>
    <w:rsid w:val="00A44E69"/>
    <w:rsid w:val="00A4661E"/>
    <w:rsid w:val="00A4729C"/>
    <w:rsid w:val="00A5075D"/>
    <w:rsid w:val="00A52ACA"/>
    <w:rsid w:val="00A53241"/>
    <w:rsid w:val="00A54487"/>
    <w:rsid w:val="00A55BD6"/>
    <w:rsid w:val="00A55D50"/>
    <w:rsid w:val="00A56400"/>
    <w:rsid w:val="00A57142"/>
    <w:rsid w:val="00A605FA"/>
    <w:rsid w:val="00A614DC"/>
    <w:rsid w:val="00A615EE"/>
    <w:rsid w:val="00A648CD"/>
    <w:rsid w:val="00A6537A"/>
    <w:rsid w:val="00A65D27"/>
    <w:rsid w:val="00A67866"/>
    <w:rsid w:val="00A70B07"/>
    <w:rsid w:val="00A723F8"/>
    <w:rsid w:val="00A724A5"/>
    <w:rsid w:val="00A77CCB"/>
    <w:rsid w:val="00A83D8D"/>
    <w:rsid w:val="00A8446B"/>
    <w:rsid w:val="00A8473F"/>
    <w:rsid w:val="00A84B7E"/>
    <w:rsid w:val="00A862D6"/>
    <w:rsid w:val="00A8715E"/>
    <w:rsid w:val="00A90786"/>
    <w:rsid w:val="00A9295B"/>
    <w:rsid w:val="00A93B09"/>
    <w:rsid w:val="00A94247"/>
    <w:rsid w:val="00A9437D"/>
    <w:rsid w:val="00A952D7"/>
    <w:rsid w:val="00A95328"/>
    <w:rsid w:val="00A963F7"/>
    <w:rsid w:val="00A96AD8"/>
    <w:rsid w:val="00AA052C"/>
    <w:rsid w:val="00AA1E45"/>
    <w:rsid w:val="00AA1F54"/>
    <w:rsid w:val="00AA4286"/>
    <w:rsid w:val="00AA456B"/>
    <w:rsid w:val="00AA5675"/>
    <w:rsid w:val="00AA57F5"/>
    <w:rsid w:val="00AA672E"/>
    <w:rsid w:val="00AA6EC9"/>
    <w:rsid w:val="00AA76F9"/>
    <w:rsid w:val="00AA7A3F"/>
    <w:rsid w:val="00AB41D5"/>
    <w:rsid w:val="00AB6309"/>
    <w:rsid w:val="00AB6C5F"/>
    <w:rsid w:val="00AB7129"/>
    <w:rsid w:val="00AB7714"/>
    <w:rsid w:val="00AC27A6"/>
    <w:rsid w:val="00AC30F7"/>
    <w:rsid w:val="00AC3A5A"/>
    <w:rsid w:val="00AC4281"/>
    <w:rsid w:val="00AC44F4"/>
    <w:rsid w:val="00AC4D95"/>
    <w:rsid w:val="00AC5DF4"/>
    <w:rsid w:val="00AC7671"/>
    <w:rsid w:val="00AD0AEF"/>
    <w:rsid w:val="00AD11B7"/>
    <w:rsid w:val="00AD1A94"/>
    <w:rsid w:val="00AD1C05"/>
    <w:rsid w:val="00AD4126"/>
    <w:rsid w:val="00AD421C"/>
    <w:rsid w:val="00AD44FA"/>
    <w:rsid w:val="00AD7321"/>
    <w:rsid w:val="00AE070A"/>
    <w:rsid w:val="00AE101C"/>
    <w:rsid w:val="00AE37E5"/>
    <w:rsid w:val="00AE5EB4"/>
    <w:rsid w:val="00AF0C18"/>
    <w:rsid w:val="00AF10E0"/>
    <w:rsid w:val="00AF2941"/>
    <w:rsid w:val="00AF47C5"/>
    <w:rsid w:val="00AF4D56"/>
    <w:rsid w:val="00AF5398"/>
    <w:rsid w:val="00B0444B"/>
    <w:rsid w:val="00B049AF"/>
    <w:rsid w:val="00B07242"/>
    <w:rsid w:val="00B07E70"/>
    <w:rsid w:val="00B10534"/>
    <w:rsid w:val="00B113DB"/>
    <w:rsid w:val="00B11D8A"/>
    <w:rsid w:val="00B12981"/>
    <w:rsid w:val="00B147DD"/>
    <w:rsid w:val="00B156FD"/>
    <w:rsid w:val="00B15E4B"/>
    <w:rsid w:val="00B209A9"/>
    <w:rsid w:val="00B21F61"/>
    <w:rsid w:val="00B25C98"/>
    <w:rsid w:val="00B261F1"/>
    <w:rsid w:val="00B265BC"/>
    <w:rsid w:val="00B31FB1"/>
    <w:rsid w:val="00B321F8"/>
    <w:rsid w:val="00B326E2"/>
    <w:rsid w:val="00B33952"/>
    <w:rsid w:val="00B33C5E"/>
    <w:rsid w:val="00B342F4"/>
    <w:rsid w:val="00B34369"/>
    <w:rsid w:val="00B34DC2"/>
    <w:rsid w:val="00B378E5"/>
    <w:rsid w:val="00B407BE"/>
    <w:rsid w:val="00B4346D"/>
    <w:rsid w:val="00B440F4"/>
    <w:rsid w:val="00B443D0"/>
    <w:rsid w:val="00B447A5"/>
    <w:rsid w:val="00B455F7"/>
    <w:rsid w:val="00B4654C"/>
    <w:rsid w:val="00B46AF0"/>
    <w:rsid w:val="00B47293"/>
    <w:rsid w:val="00B5030E"/>
    <w:rsid w:val="00B50E50"/>
    <w:rsid w:val="00B52120"/>
    <w:rsid w:val="00B52A37"/>
    <w:rsid w:val="00B54ABC"/>
    <w:rsid w:val="00B54DDE"/>
    <w:rsid w:val="00B56CE6"/>
    <w:rsid w:val="00B56FBE"/>
    <w:rsid w:val="00B60ACF"/>
    <w:rsid w:val="00B62B58"/>
    <w:rsid w:val="00B6389D"/>
    <w:rsid w:val="00B65149"/>
    <w:rsid w:val="00B658ED"/>
    <w:rsid w:val="00B65E22"/>
    <w:rsid w:val="00B66567"/>
    <w:rsid w:val="00B66F52"/>
    <w:rsid w:val="00B66FE5"/>
    <w:rsid w:val="00B71FFA"/>
    <w:rsid w:val="00B72880"/>
    <w:rsid w:val="00B754D7"/>
    <w:rsid w:val="00B758BF"/>
    <w:rsid w:val="00B75972"/>
    <w:rsid w:val="00B77EC8"/>
    <w:rsid w:val="00B81F4F"/>
    <w:rsid w:val="00B827A6"/>
    <w:rsid w:val="00B831CE"/>
    <w:rsid w:val="00B86677"/>
    <w:rsid w:val="00B87131"/>
    <w:rsid w:val="00B93060"/>
    <w:rsid w:val="00B939B1"/>
    <w:rsid w:val="00B96D40"/>
    <w:rsid w:val="00B97386"/>
    <w:rsid w:val="00BA202E"/>
    <w:rsid w:val="00BA263B"/>
    <w:rsid w:val="00BA42B2"/>
    <w:rsid w:val="00BA58D4"/>
    <w:rsid w:val="00BA5B9E"/>
    <w:rsid w:val="00BA77B9"/>
    <w:rsid w:val="00BA7C9A"/>
    <w:rsid w:val="00BB203B"/>
    <w:rsid w:val="00BB31EA"/>
    <w:rsid w:val="00BB5F8F"/>
    <w:rsid w:val="00BB657A"/>
    <w:rsid w:val="00BC1A4E"/>
    <w:rsid w:val="00BC4790"/>
    <w:rsid w:val="00BC5DC7"/>
    <w:rsid w:val="00BC5DCA"/>
    <w:rsid w:val="00BC6B8B"/>
    <w:rsid w:val="00BC6C61"/>
    <w:rsid w:val="00BC73D8"/>
    <w:rsid w:val="00BD02A1"/>
    <w:rsid w:val="00BD52D7"/>
    <w:rsid w:val="00BD5AD2"/>
    <w:rsid w:val="00BE22F3"/>
    <w:rsid w:val="00BE5B52"/>
    <w:rsid w:val="00BE7B8D"/>
    <w:rsid w:val="00BF0993"/>
    <w:rsid w:val="00BF10A9"/>
    <w:rsid w:val="00BF1703"/>
    <w:rsid w:val="00BF231C"/>
    <w:rsid w:val="00BF51E5"/>
    <w:rsid w:val="00BF5671"/>
    <w:rsid w:val="00BF74A6"/>
    <w:rsid w:val="00C0120C"/>
    <w:rsid w:val="00C013AD"/>
    <w:rsid w:val="00C04904"/>
    <w:rsid w:val="00C04EF1"/>
    <w:rsid w:val="00C056B3"/>
    <w:rsid w:val="00C06D77"/>
    <w:rsid w:val="00C103E5"/>
    <w:rsid w:val="00C13319"/>
    <w:rsid w:val="00C13EE9"/>
    <w:rsid w:val="00C21540"/>
    <w:rsid w:val="00C21906"/>
    <w:rsid w:val="00C21BFA"/>
    <w:rsid w:val="00C22148"/>
    <w:rsid w:val="00C24C8D"/>
    <w:rsid w:val="00C25FE2"/>
    <w:rsid w:val="00C26AFE"/>
    <w:rsid w:val="00C26B53"/>
    <w:rsid w:val="00C279B2"/>
    <w:rsid w:val="00C312B0"/>
    <w:rsid w:val="00C33E50"/>
    <w:rsid w:val="00C34C20"/>
    <w:rsid w:val="00C35A3E"/>
    <w:rsid w:val="00C42130"/>
    <w:rsid w:val="00C423A4"/>
    <w:rsid w:val="00C42E89"/>
    <w:rsid w:val="00C44BF5"/>
    <w:rsid w:val="00C46683"/>
    <w:rsid w:val="00C47E40"/>
    <w:rsid w:val="00C521D6"/>
    <w:rsid w:val="00C55232"/>
    <w:rsid w:val="00C553A4"/>
    <w:rsid w:val="00C55A06"/>
    <w:rsid w:val="00C55D03"/>
    <w:rsid w:val="00C601BC"/>
    <w:rsid w:val="00C62FA9"/>
    <w:rsid w:val="00C6329F"/>
    <w:rsid w:val="00C63340"/>
    <w:rsid w:val="00C643F9"/>
    <w:rsid w:val="00C64663"/>
    <w:rsid w:val="00C64E95"/>
    <w:rsid w:val="00C71372"/>
    <w:rsid w:val="00C72410"/>
    <w:rsid w:val="00C7287F"/>
    <w:rsid w:val="00C7375A"/>
    <w:rsid w:val="00C80982"/>
    <w:rsid w:val="00C80CB8"/>
    <w:rsid w:val="00C80FC4"/>
    <w:rsid w:val="00C819F8"/>
    <w:rsid w:val="00C8248C"/>
    <w:rsid w:val="00C84E33"/>
    <w:rsid w:val="00C86BA6"/>
    <w:rsid w:val="00C86D6F"/>
    <w:rsid w:val="00C905FC"/>
    <w:rsid w:val="00C92D03"/>
    <w:rsid w:val="00C9319C"/>
    <w:rsid w:val="00C9435D"/>
    <w:rsid w:val="00C94DF2"/>
    <w:rsid w:val="00C96741"/>
    <w:rsid w:val="00CA2169"/>
    <w:rsid w:val="00CA2D1B"/>
    <w:rsid w:val="00CA375D"/>
    <w:rsid w:val="00CA662A"/>
    <w:rsid w:val="00CA7AFD"/>
    <w:rsid w:val="00CA7C3C"/>
    <w:rsid w:val="00CB0189"/>
    <w:rsid w:val="00CB0BA2"/>
    <w:rsid w:val="00CB1A42"/>
    <w:rsid w:val="00CB1B0C"/>
    <w:rsid w:val="00CB2C0B"/>
    <w:rsid w:val="00CB517D"/>
    <w:rsid w:val="00CC038D"/>
    <w:rsid w:val="00CC08DB"/>
    <w:rsid w:val="00CC2C9E"/>
    <w:rsid w:val="00CC39FF"/>
    <w:rsid w:val="00CC3C2F"/>
    <w:rsid w:val="00CC4AC8"/>
    <w:rsid w:val="00CC5233"/>
    <w:rsid w:val="00CC5DE6"/>
    <w:rsid w:val="00CC6AC4"/>
    <w:rsid w:val="00CC6E4E"/>
    <w:rsid w:val="00CC6FE8"/>
    <w:rsid w:val="00CC7202"/>
    <w:rsid w:val="00CD2808"/>
    <w:rsid w:val="00CD28BF"/>
    <w:rsid w:val="00CD4092"/>
    <w:rsid w:val="00CD4A20"/>
    <w:rsid w:val="00CD4B87"/>
    <w:rsid w:val="00CD50A1"/>
    <w:rsid w:val="00CD519E"/>
    <w:rsid w:val="00CD561D"/>
    <w:rsid w:val="00CD69DF"/>
    <w:rsid w:val="00CE0C4F"/>
    <w:rsid w:val="00CE30EA"/>
    <w:rsid w:val="00CE380A"/>
    <w:rsid w:val="00CE4E3F"/>
    <w:rsid w:val="00CE7FE5"/>
    <w:rsid w:val="00CF048A"/>
    <w:rsid w:val="00CF0AA8"/>
    <w:rsid w:val="00CF155A"/>
    <w:rsid w:val="00CF2947"/>
    <w:rsid w:val="00CF4050"/>
    <w:rsid w:val="00CF686F"/>
    <w:rsid w:val="00CF6E60"/>
    <w:rsid w:val="00CF7BCA"/>
    <w:rsid w:val="00D008FD"/>
    <w:rsid w:val="00D0161C"/>
    <w:rsid w:val="00D0321C"/>
    <w:rsid w:val="00D035EC"/>
    <w:rsid w:val="00D06AB1"/>
    <w:rsid w:val="00D072ED"/>
    <w:rsid w:val="00D07A16"/>
    <w:rsid w:val="00D1067E"/>
    <w:rsid w:val="00D10F50"/>
    <w:rsid w:val="00D11272"/>
    <w:rsid w:val="00D126F5"/>
    <w:rsid w:val="00D1489E"/>
    <w:rsid w:val="00D1529F"/>
    <w:rsid w:val="00D15DFD"/>
    <w:rsid w:val="00D20737"/>
    <w:rsid w:val="00D21A07"/>
    <w:rsid w:val="00D21E81"/>
    <w:rsid w:val="00D223DE"/>
    <w:rsid w:val="00D25E37"/>
    <w:rsid w:val="00D2661A"/>
    <w:rsid w:val="00D27582"/>
    <w:rsid w:val="00D27A5B"/>
    <w:rsid w:val="00D27EC4"/>
    <w:rsid w:val="00D32719"/>
    <w:rsid w:val="00D33333"/>
    <w:rsid w:val="00D33457"/>
    <w:rsid w:val="00D352A2"/>
    <w:rsid w:val="00D36558"/>
    <w:rsid w:val="00D3660F"/>
    <w:rsid w:val="00D406E5"/>
    <w:rsid w:val="00D4162B"/>
    <w:rsid w:val="00D42015"/>
    <w:rsid w:val="00D44ACA"/>
    <w:rsid w:val="00D4514F"/>
    <w:rsid w:val="00D451E2"/>
    <w:rsid w:val="00D45E89"/>
    <w:rsid w:val="00D45E8D"/>
    <w:rsid w:val="00D466AE"/>
    <w:rsid w:val="00D4734F"/>
    <w:rsid w:val="00D51BF3"/>
    <w:rsid w:val="00D54942"/>
    <w:rsid w:val="00D650E6"/>
    <w:rsid w:val="00D66846"/>
    <w:rsid w:val="00D675FB"/>
    <w:rsid w:val="00D70F0D"/>
    <w:rsid w:val="00D719B8"/>
    <w:rsid w:val="00D71F25"/>
    <w:rsid w:val="00D72A9C"/>
    <w:rsid w:val="00D73156"/>
    <w:rsid w:val="00D76C9B"/>
    <w:rsid w:val="00D77031"/>
    <w:rsid w:val="00D77540"/>
    <w:rsid w:val="00D828F9"/>
    <w:rsid w:val="00D84941"/>
    <w:rsid w:val="00D84FA1"/>
    <w:rsid w:val="00D851F0"/>
    <w:rsid w:val="00D86DB7"/>
    <w:rsid w:val="00D87A7B"/>
    <w:rsid w:val="00D926D0"/>
    <w:rsid w:val="00D93030"/>
    <w:rsid w:val="00D950E1"/>
    <w:rsid w:val="00D952A6"/>
    <w:rsid w:val="00D97F99"/>
    <w:rsid w:val="00DA1E08"/>
    <w:rsid w:val="00DA21EA"/>
    <w:rsid w:val="00DA24F8"/>
    <w:rsid w:val="00DA28E8"/>
    <w:rsid w:val="00DA38D3"/>
    <w:rsid w:val="00DA3932"/>
    <w:rsid w:val="00DA3AFC"/>
    <w:rsid w:val="00DA4572"/>
    <w:rsid w:val="00DA5191"/>
    <w:rsid w:val="00DA64F8"/>
    <w:rsid w:val="00DA6C15"/>
    <w:rsid w:val="00DB0258"/>
    <w:rsid w:val="00DB0BA0"/>
    <w:rsid w:val="00DB38EE"/>
    <w:rsid w:val="00DB498B"/>
    <w:rsid w:val="00DB66CA"/>
    <w:rsid w:val="00DB6BCA"/>
    <w:rsid w:val="00DB6D11"/>
    <w:rsid w:val="00DB710B"/>
    <w:rsid w:val="00DB73F7"/>
    <w:rsid w:val="00DC0321"/>
    <w:rsid w:val="00DC0FD9"/>
    <w:rsid w:val="00DC1B77"/>
    <w:rsid w:val="00DC3067"/>
    <w:rsid w:val="00DC370B"/>
    <w:rsid w:val="00DC5B90"/>
    <w:rsid w:val="00DC5E12"/>
    <w:rsid w:val="00DD00FF"/>
    <w:rsid w:val="00DD0619"/>
    <w:rsid w:val="00DD07FB"/>
    <w:rsid w:val="00DD25C6"/>
    <w:rsid w:val="00DD358D"/>
    <w:rsid w:val="00DD4FE5"/>
    <w:rsid w:val="00DD5440"/>
    <w:rsid w:val="00DD54B0"/>
    <w:rsid w:val="00DD57EE"/>
    <w:rsid w:val="00DD6BCC"/>
    <w:rsid w:val="00DE0A4B"/>
    <w:rsid w:val="00DE0D50"/>
    <w:rsid w:val="00DE2410"/>
    <w:rsid w:val="00DE2939"/>
    <w:rsid w:val="00DE3656"/>
    <w:rsid w:val="00DE5D8B"/>
    <w:rsid w:val="00DE6E81"/>
    <w:rsid w:val="00DE703F"/>
    <w:rsid w:val="00DE7595"/>
    <w:rsid w:val="00DF0A0E"/>
    <w:rsid w:val="00DF1961"/>
    <w:rsid w:val="00DF2DEE"/>
    <w:rsid w:val="00DF435F"/>
    <w:rsid w:val="00DF44DE"/>
    <w:rsid w:val="00DF5C22"/>
    <w:rsid w:val="00DF5F11"/>
    <w:rsid w:val="00DF647D"/>
    <w:rsid w:val="00E00032"/>
    <w:rsid w:val="00E01138"/>
    <w:rsid w:val="00E0255B"/>
    <w:rsid w:val="00E02DFB"/>
    <w:rsid w:val="00E030F9"/>
    <w:rsid w:val="00E0311A"/>
    <w:rsid w:val="00E03138"/>
    <w:rsid w:val="00E03A39"/>
    <w:rsid w:val="00E06404"/>
    <w:rsid w:val="00E065D2"/>
    <w:rsid w:val="00E108FB"/>
    <w:rsid w:val="00E10D2D"/>
    <w:rsid w:val="00E11A85"/>
    <w:rsid w:val="00E1211A"/>
    <w:rsid w:val="00E12495"/>
    <w:rsid w:val="00E15CCD"/>
    <w:rsid w:val="00E202EF"/>
    <w:rsid w:val="00E210B5"/>
    <w:rsid w:val="00E2246D"/>
    <w:rsid w:val="00E23D99"/>
    <w:rsid w:val="00E24773"/>
    <w:rsid w:val="00E2552F"/>
    <w:rsid w:val="00E25D98"/>
    <w:rsid w:val="00E26098"/>
    <w:rsid w:val="00E3137A"/>
    <w:rsid w:val="00E32CCF"/>
    <w:rsid w:val="00E32E24"/>
    <w:rsid w:val="00E332F7"/>
    <w:rsid w:val="00E34A98"/>
    <w:rsid w:val="00E353DF"/>
    <w:rsid w:val="00E35D1E"/>
    <w:rsid w:val="00E364F9"/>
    <w:rsid w:val="00E365FA"/>
    <w:rsid w:val="00E36789"/>
    <w:rsid w:val="00E376E8"/>
    <w:rsid w:val="00E444DD"/>
    <w:rsid w:val="00E44A83"/>
    <w:rsid w:val="00E44B74"/>
    <w:rsid w:val="00E44D21"/>
    <w:rsid w:val="00E47C20"/>
    <w:rsid w:val="00E502C1"/>
    <w:rsid w:val="00E502DD"/>
    <w:rsid w:val="00E50D3A"/>
    <w:rsid w:val="00E51387"/>
    <w:rsid w:val="00E51970"/>
    <w:rsid w:val="00E51E68"/>
    <w:rsid w:val="00E52EFD"/>
    <w:rsid w:val="00E5408A"/>
    <w:rsid w:val="00E5470D"/>
    <w:rsid w:val="00E56800"/>
    <w:rsid w:val="00E57A81"/>
    <w:rsid w:val="00E60C63"/>
    <w:rsid w:val="00E62FF9"/>
    <w:rsid w:val="00E635D6"/>
    <w:rsid w:val="00E639BC"/>
    <w:rsid w:val="00E664CC"/>
    <w:rsid w:val="00E70388"/>
    <w:rsid w:val="00E70F92"/>
    <w:rsid w:val="00E71201"/>
    <w:rsid w:val="00E74C54"/>
    <w:rsid w:val="00E75F01"/>
    <w:rsid w:val="00E77A03"/>
    <w:rsid w:val="00E82180"/>
    <w:rsid w:val="00E822E8"/>
    <w:rsid w:val="00E82554"/>
    <w:rsid w:val="00E82606"/>
    <w:rsid w:val="00E82C4C"/>
    <w:rsid w:val="00E846C8"/>
    <w:rsid w:val="00E846F9"/>
    <w:rsid w:val="00E84957"/>
    <w:rsid w:val="00E84A55"/>
    <w:rsid w:val="00E85BFF"/>
    <w:rsid w:val="00E90391"/>
    <w:rsid w:val="00E906C2"/>
    <w:rsid w:val="00E90DE6"/>
    <w:rsid w:val="00E9311F"/>
    <w:rsid w:val="00E934D1"/>
    <w:rsid w:val="00E94AF0"/>
    <w:rsid w:val="00E95D13"/>
    <w:rsid w:val="00E95DD3"/>
    <w:rsid w:val="00E969D5"/>
    <w:rsid w:val="00EA07F9"/>
    <w:rsid w:val="00EA2AD8"/>
    <w:rsid w:val="00EA45EB"/>
    <w:rsid w:val="00EA58D1"/>
    <w:rsid w:val="00EA61BC"/>
    <w:rsid w:val="00EA681A"/>
    <w:rsid w:val="00EA735B"/>
    <w:rsid w:val="00EB015B"/>
    <w:rsid w:val="00EB17DE"/>
    <w:rsid w:val="00EB1C8C"/>
    <w:rsid w:val="00EB1E69"/>
    <w:rsid w:val="00EB2086"/>
    <w:rsid w:val="00EB5EDF"/>
    <w:rsid w:val="00EB60FE"/>
    <w:rsid w:val="00EB74DB"/>
    <w:rsid w:val="00EC4911"/>
    <w:rsid w:val="00EC5359"/>
    <w:rsid w:val="00EC562A"/>
    <w:rsid w:val="00EC628B"/>
    <w:rsid w:val="00ED067A"/>
    <w:rsid w:val="00ED21B6"/>
    <w:rsid w:val="00ED2B50"/>
    <w:rsid w:val="00EE0350"/>
    <w:rsid w:val="00EE0719"/>
    <w:rsid w:val="00EE0E80"/>
    <w:rsid w:val="00EE11DF"/>
    <w:rsid w:val="00EE2454"/>
    <w:rsid w:val="00EE54A6"/>
    <w:rsid w:val="00EE613F"/>
    <w:rsid w:val="00EE7295"/>
    <w:rsid w:val="00EE7869"/>
    <w:rsid w:val="00EE7C92"/>
    <w:rsid w:val="00EF054A"/>
    <w:rsid w:val="00EF14B2"/>
    <w:rsid w:val="00EF1D6F"/>
    <w:rsid w:val="00EF3235"/>
    <w:rsid w:val="00EF7E72"/>
    <w:rsid w:val="00F06AEF"/>
    <w:rsid w:val="00F06D37"/>
    <w:rsid w:val="00F07B9D"/>
    <w:rsid w:val="00F11586"/>
    <w:rsid w:val="00F1183B"/>
    <w:rsid w:val="00F11C9F"/>
    <w:rsid w:val="00F12263"/>
    <w:rsid w:val="00F12C8B"/>
    <w:rsid w:val="00F1409D"/>
    <w:rsid w:val="00F14214"/>
    <w:rsid w:val="00F14B6C"/>
    <w:rsid w:val="00F157A9"/>
    <w:rsid w:val="00F20E67"/>
    <w:rsid w:val="00F23EF0"/>
    <w:rsid w:val="00F25AB8"/>
    <w:rsid w:val="00F25BB6"/>
    <w:rsid w:val="00F26B7E"/>
    <w:rsid w:val="00F27235"/>
    <w:rsid w:val="00F27A3B"/>
    <w:rsid w:val="00F33817"/>
    <w:rsid w:val="00F34114"/>
    <w:rsid w:val="00F420D5"/>
    <w:rsid w:val="00F451EA"/>
    <w:rsid w:val="00F45447"/>
    <w:rsid w:val="00F456C6"/>
    <w:rsid w:val="00F4577B"/>
    <w:rsid w:val="00F46496"/>
    <w:rsid w:val="00F474D0"/>
    <w:rsid w:val="00F47D23"/>
    <w:rsid w:val="00F50179"/>
    <w:rsid w:val="00F501FD"/>
    <w:rsid w:val="00F515EE"/>
    <w:rsid w:val="00F56511"/>
    <w:rsid w:val="00F60700"/>
    <w:rsid w:val="00F608B7"/>
    <w:rsid w:val="00F608D2"/>
    <w:rsid w:val="00F6194E"/>
    <w:rsid w:val="00F623AC"/>
    <w:rsid w:val="00F6412A"/>
    <w:rsid w:val="00F65893"/>
    <w:rsid w:val="00F66A4A"/>
    <w:rsid w:val="00F71E22"/>
    <w:rsid w:val="00F71E5F"/>
    <w:rsid w:val="00F72142"/>
    <w:rsid w:val="00F72AE7"/>
    <w:rsid w:val="00F77B21"/>
    <w:rsid w:val="00F8109C"/>
    <w:rsid w:val="00F81141"/>
    <w:rsid w:val="00F833BA"/>
    <w:rsid w:val="00F84FD0"/>
    <w:rsid w:val="00F859A8"/>
    <w:rsid w:val="00F86D87"/>
    <w:rsid w:val="00F87ED8"/>
    <w:rsid w:val="00F9108B"/>
    <w:rsid w:val="00F91349"/>
    <w:rsid w:val="00F93A8A"/>
    <w:rsid w:val="00F950CF"/>
    <w:rsid w:val="00F95248"/>
    <w:rsid w:val="00F95619"/>
    <w:rsid w:val="00F956A9"/>
    <w:rsid w:val="00F963ED"/>
    <w:rsid w:val="00F966CF"/>
    <w:rsid w:val="00F96CAE"/>
    <w:rsid w:val="00F97C99"/>
    <w:rsid w:val="00FA1BA9"/>
    <w:rsid w:val="00FA2C58"/>
    <w:rsid w:val="00FA4DAC"/>
    <w:rsid w:val="00FA662D"/>
    <w:rsid w:val="00FA73B1"/>
    <w:rsid w:val="00FB06C8"/>
    <w:rsid w:val="00FB0CB9"/>
    <w:rsid w:val="00FB0D4B"/>
    <w:rsid w:val="00FB231D"/>
    <w:rsid w:val="00FB2A33"/>
    <w:rsid w:val="00FB35B5"/>
    <w:rsid w:val="00FB45F1"/>
    <w:rsid w:val="00FB4A72"/>
    <w:rsid w:val="00FB54E8"/>
    <w:rsid w:val="00FB7054"/>
    <w:rsid w:val="00FC0700"/>
    <w:rsid w:val="00FC0B4D"/>
    <w:rsid w:val="00FC17B7"/>
    <w:rsid w:val="00FC2CB7"/>
    <w:rsid w:val="00FC2F12"/>
    <w:rsid w:val="00FC4090"/>
    <w:rsid w:val="00FC55B4"/>
    <w:rsid w:val="00FD00E6"/>
    <w:rsid w:val="00FD09A1"/>
    <w:rsid w:val="00FD0DFD"/>
    <w:rsid w:val="00FD1639"/>
    <w:rsid w:val="00FD1F33"/>
    <w:rsid w:val="00FD2A7C"/>
    <w:rsid w:val="00FD4BF1"/>
    <w:rsid w:val="00FD59EB"/>
    <w:rsid w:val="00FD7299"/>
    <w:rsid w:val="00FD75F1"/>
    <w:rsid w:val="00FE1693"/>
    <w:rsid w:val="00FE1FBE"/>
    <w:rsid w:val="00FE3901"/>
    <w:rsid w:val="00FE39D3"/>
    <w:rsid w:val="00FE4BCE"/>
    <w:rsid w:val="00FE54AE"/>
    <w:rsid w:val="00FE576A"/>
    <w:rsid w:val="00FE7E79"/>
    <w:rsid w:val="00FF3E7D"/>
    <w:rsid w:val="00FF5B99"/>
    <w:rsid w:val="00FF730C"/>
    <w:rsid w:val="00FF73F4"/>
    <w:rsid w:val="00FF7CE4"/>
    <w:rsid w:val="00FF7E39"/>
    <w:rsid w:val="CED90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8"/>
    <w:qFormat/>
    <w:uiPriority w:val="0"/>
    <w:pPr>
      <w:keepNext/>
      <w:keepLines/>
      <w:spacing w:before="260" w:after="260" w:line="416" w:lineRule="auto"/>
      <w:outlineLvl w:val="2"/>
    </w:pPr>
    <w:rPr>
      <w:b/>
      <w:bCs/>
      <w:sz w:val="32"/>
      <w:szCs w:val="32"/>
    </w:rPr>
  </w:style>
  <w:style w:type="paragraph" w:styleId="5">
    <w:name w:val="heading 4"/>
    <w:basedOn w:val="1"/>
    <w:next w:val="1"/>
    <w:link w:val="39"/>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0"/>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1"/>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2"/>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3"/>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4"/>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2"/>
    <w:qFormat/>
    <w:uiPriority w:val="99"/>
    <w:pPr>
      <w:adjustRightInd/>
      <w:spacing w:line="240" w:lineRule="auto"/>
      <w:jc w:val="left"/>
    </w:pPr>
    <w:rPr>
      <w:rFonts w:ascii="Times New Roman" w:hAnsi="Times New Roman"/>
      <w:szCs w:val="20"/>
    </w:rPr>
  </w:style>
  <w:style w:type="paragraph" w:styleId="14">
    <w:name w:val="Body Text"/>
    <w:basedOn w:val="1"/>
    <w:link w:val="88"/>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7"/>
    <w:semiHidden/>
    <w:unhideWhenUsed/>
    <w:qFormat/>
    <w:uiPriority w:val="99"/>
    <w:rPr>
      <w:sz w:val="18"/>
      <w:szCs w:val="18"/>
    </w:rPr>
  </w:style>
  <w:style w:type="paragraph" w:styleId="18">
    <w:name w:val="footer"/>
    <w:basedOn w:val="1"/>
    <w:link w:val="46"/>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5"/>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1"/>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Normal (Web)"/>
    <w:basedOn w:val="1"/>
    <w:unhideWhenUsed/>
    <w:qFormat/>
    <w:uiPriority w:val="0"/>
    <w:pPr>
      <w:widowControl/>
      <w:adjustRightInd/>
      <w:spacing w:before="100" w:beforeAutospacing="1" w:after="100" w:afterAutospacing="1" w:line="240" w:lineRule="auto"/>
      <w:jc w:val="left"/>
    </w:pPr>
    <w:rPr>
      <w:rFonts w:ascii="宋体" w:hAnsi="宋体" w:cs="宋体"/>
      <w:kern w:val="0"/>
      <w:sz w:val="24"/>
      <w:szCs w:val="24"/>
    </w:rPr>
  </w:style>
  <w:style w:type="paragraph" w:styleId="27">
    <w:name w:val="Title"/>
    <w:basedOn w:val="1"/>
    <w:link w:val="50"/>
    <w:qFormat/>
    <w:uiPriority w:val="0"/>
    <w:pPr>
      <w:spacing w:before="240" w:after="60"/>
      <w:jc w:val="center"/>
      <w:outlineLvl w:val="0"/>
    </w:pPr>
    <w:rPr>
      <w:rFonts w:ascii="Arial" w:hAnsi="Arial" w:cs="Arial"/>
      <w:b/>
      <w:bCs/>
      <w:sz w:val="32"/>
      <w:szCs w:val="32"/>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footnote reference"/>
    <w:semiHidden/>
    <w:qFormat/>
    <w:uiPriority w:val="0"/>
    <w:rPr>
      <w:rFonts w:ascii="宋体" w:hAnsi="宋体" w:eastAsia="宋体" w:cs="Times New Roman"/>
      <w:spacing w:val="0"/>
      <w:sz w:val="18"/>
      <w:vertAlign w:val="superscript"/>
    </w:rPr>
  </w:style>
  <w:style w:type="character" w:customStyle="1" w:styleId="36">
    <w:name w:val="标题 1 字符"/>
    <w:link w:val="2"/>
    <w:qFormat/>
    <w:uiPriority w:val="0"/>
    <w:rPr>
      <w:b/>
      <w:bCs/>
      <w:kern w:val="44"/>
      <w:sz w:val="44"/>
      <w:szCs w:val="44"/>
    </w:rPr>
  </w:style>
  <w:style w:type="character" w:customStyle="1" w:styleId="37">
    <w:name w:val="标题 2 字符"/>
    <w:link w:val="3"/>
    <w:qFormat/>
    <w:uiPriority w:val="0"/>
    <w:rPr>
      <w:rFonts w:ascii="Arial" w:hAnsi="Arial" w:eastAsia="黑体"/>
      <w:b/>
      <w:bCs/>
      <w:kern w:val="2"/>
      <w:sz w:val="32"/>
      <w:szCs w:val="32"/>
    </w:rPr>
  </w:style>
  <w:style w:type="character" w:customStyle="1" w:styleId="38">
    <w:name w:val="标题 3 字符"/>
    <w:link w:val="4"/>
    <w:qFormat/>
    <w:uiPriority w:val="0"/>
    <w:rPr>
      <w:b/>
      <w:bCs/>
      <w:kern w:val="2"/>
      <w:sz w:val="32"/>
      <w:szCs w:val="32"/>
    </w:rPr>
  </w:style>
  <w:style w:type="character" w:customStyle="1" w:styleId="39">
    <w:name w:val="标题 4 字符"/>
    <w:link w:val="5"/>
    <w:qFormat/>
    <w:uiPriority w:val="0"/>
    <w:rPr>
      <w:rFonts w:ascii="Arial" w:hAnsi="Arial" w:eastAsia="黑体"/>
      <w:b/>
      <w:bCs/>
      <w:kern w:val="2"/>
      <w:sz w:val="28"/>
      <w:szCs w:val="28"/>
    </w:rPr>
  </w:style>
  <w:style w:type="character" w:customStyle="1" w:styleId="40">
    <w:name w:val="标题 5 字符"/>
    <w:link w:val="6"/>
    <w:qFormat/>
    <w:uiPriority w:val="0"/>
    <w:rPr>
      <w:b/>
      <w:bCs/>
      <w:kern w:val="2"/>
      <w:sz w:val="28"/>
      <w:szCs w:val="28"/>
    </w:rPr>
  </w:style>
  <w:style w:type="character" w:customStyle="1" w:styleId="41">
    <w:name w:val="标题 6 字符"/>
    <w:link w:val="7"/>
    <w:qFormat/>
    <w:uiPriority w:val="0"/>
    <w:rPr>
      <w:rFonts w:ascii="Arial" w:hAnsi="Arial" w:eastAsia="黑体"/>
      <w:b/>
      <w:bCs/>
      <w:kern w:val="2"/>
      <w:sz w:val="24"/>
      <w:szCs w:val="24"/>
    </w:rPr>
  </w:style>
  <w:style w:type="character" w:customStyle="1" w:styleId="42">
    <w:name w:val="标题 7 字符"/>
    <w:link w:val="8"/>
    <w:qFormat/>
    <w:uiPriority w:val="0"/>
    <w:rPr>
      <w:b/>
      <w:bCs/>
      <w:kern w:val="2"/>
      <w:sz w:val="24"/>
      <w:szCs w:val="24"/>
    </w:rPr>
  </w:style>
  <w:style w:type="character" w:customStyle="1" w:styleId="43">
    <w:name w:val="标题 8 字符"/>
    <w:link w:val="9"/>
    <w:qFormat/>
    <w:uiPriority w:val="0"/>
    <w:rPr>
      <w:rFonts w:ascii="Arial" w:hAnsi="Arial" w:eastAsia="黑体"/>
      <w:kern w:val="2"/>
      <w:sz w:val="24"/>
      <w:szCs w:val="24"/>
    </w:rPr>
  </w:style>
  <w:style w:type="character" w:customStyle="1" w:styleId="44">
    <w:name w:val="标题 9 字符"/>
    <w:link w:val="10"/>
    <w:qFormat/>
    <w:uiPriority w:val="0"/>
    <w:rPr>
      <w:rFonts w:ascii="Arial" w:hAnsi="Arial" w:eastAsia="黑体"/>
      <w:kern w:val="2"/>
      <w:sz w:val="21"/>
      <w:szCs w:val="21"/>
    </w:rPr>
  </w:style>
  <w:style w:type="character" w:customStyle="1" w:styleId="45">
    <w:name w:val="页眉 字符"/>
    <w:link w:val="19"/>
    <w:qFormat/>
    <w:uiPriority w:val="99"/>
    <w:rPr>
      <w:kern w:val="2"/>
      <w:sz w:val="18"/>
      <w:szCs w:val="18"/>
    </w:rPr>
  </w:style>
  <w:style w:type="character" w:customStyle="1" w:styleId="46">
    <w:name w:val="页脚 字符"/>
    <w:link w:val="18"/>
    <w:qFormat/>
    <w:uiPriority w:val="99"/>
    <w:rPr>
      <w:rFonts w:ascii="宋体"/>
      <w:kern w:val="2"/>
      <w:sz w:val="18"/>
      <w:szCs w:val="18"/>
    </w:rPr>
  </w:style>
  <w:style w:type="character" w:customStyle="1" w:styleId="47">
    <w:name w:val="批注框文本 字符"/>
    <w:link w:val="17"/>
    <w:semiHidden/>
    <w:qFormat/>
    <w:uiPriority w:val="99"/>
    <w:rPr>
      <w:kern w:val="2"/>
      <w:sz w:val="18"/>
      <w:szCs w:val="18"/>
    </w:rPr>
  </w:style>
  <w:style w:type="paragraph" w:styleId="48">
    <w:name w:val="Quote"/>
    <w:basedOn w:val="1"/>
    <w:next w:val="1"/>
    <w:link w:val="49"/>
    <w:qFormat/>
    <w:uiPriority w:val="29"/>
    <w:rPr>
      <w:i/>
      <w:iCs/>
      <w:color w:val="000000"/>
    </w:rPr>
  </w:style>
  <w:style w:type="character" w:customStyle="1" w:styleId="49">
    <w:name w:val="引用 字符"/>
    <w:link w:val="48"/>
    <w:qFormat/>
    <w:uiPriority w:val="29"/>
    <w:rPr>
      <w:i/>
      <w:iCs/>
      <w:color w:val="000000"/>
      <w:kern w:val="2"/>
      <w:sz w:val="21"/>
      <w:szCs w:val="21"/>
    </w:rPr>
  </w:style>
  <w:style w:type="character" w:customStyle="1" w:styleId="50">
    <w:name w:val="标题 字符"/>
    <w:link w:val="27"/>
    <w:qFormat/>
    <w:uiPriority w:val="0"/>
    <w:rPr>
      <w:rFonts w:ascii="Arial" w:hAnsi="Arial" w:cs="Arial"/>
      <w:b/>
      <w:bCs/>
      <w:kern w:val="2"/>
      <w:sz w:val="32"/>
      <w:szCs w:val="32"/>
    </w:rPr>
  </w:style>
  <w:style w:type="paragraph" w:customStyle="1" w:styleId="51">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3">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4">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5">
    <w:name w:val="标准书眉一"/>
    <w:qFormat/>
    <w:uiPriority w:val="0"/>
    <w:pPr>
      <w:jc w:val="both"/>
    </w:pPr>
    <w:rPr>
      <w:rFonts w:ascii="Times New Roman" w:hAnsi="Times New Roman" w:eastAsia="宋体" w:cs="Times New Roman"/>
      <w:lang w:val="en-US" w:eastAsia="zh-CN" w:bidi="ar-SA"/>
    </w:rPr>
  </w:style>
  <w:style w:type="paragraph" w:customStyle="1" w:styleId="56">
    <w:name w:val="标准文件_ICS"/>
    <w:basedOn w:val="1"/>
    <w:qFormat/>
    <w:uiPriority w:val="0"/>
    <w:pPr>
      <w:spacing w:line="0" w:lineRule="atLeast"/>
    </w:pPr>
    <w:rPr>
      <w:rFonts w:ascii="黑体" w:hAnsi="宋体" w:eastAsia="黑体"/>
    </w:rPr>
  </w:style>
  <w:style w:type="paragraph" w:customStyle="1" w:styleId="57">
    <w:name w:val="标准文件_标准正文"/>
    <w:basedOn w:val="1"/>
    <w:next w:val="58"/>
    <w:qFormat/>
    <w:uiPriority w:val="0"/>
    <w:pPr>
      <w:snapToGrid w:val="0"/>
      <w:ind w:firstLine="200" w:firstLineChars="200"/>
    </w:pPr>
    <w:rPr>
      <w:kern w:val="0"/>
    </w:rPr>
  </w:style>
  <w:style w:type="paragraph" w:customStyle="1" w:styleId="58">
    <w:name w:val="标准文件_段"/>
    <w:link w:val="186"/>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9">
    <w:name w:val="标准文件_版本"/>
    <w:basedOn w:val="57"/>
    <w:qFormat/>
    <w:uiPriority w:val="0"/>
    <w:pPr>
      <w:adjustRightInd/>
      <w:snapToGrid/>
      <w:ind w:firstLine="0" w:firstLineChars="0"/>
    </w:pPr>
    <w:rPr>
      <w:rFonts w:ascii="宋体" w:hAnsi="宋体"/>
      <w:kern w:val="2"/>
    </w:rPr>
  </w:style>
  <w:style w:type="paragraph" w:customStyle="1" w:styleId="60">
    <w:name w:val="标准文件_标准部门"/>
    <w:basedOn w:val="1"/>
    <w:qFormat/>
    <w:uiPriority w:val="0"/>
    <w:pPr>
      <w:jc w:val="center"/>
    </w:pPr>
    <w:rPr>
      <w:rFonts w:ascii="黑体" w:eastAsia="黑体"/>
      <w:kern w:val="0"/>
      <w:sz w:val="44"/>
    </w:rPr>
  </w:style>
  <w:style w:type="paragraph" w:customStyle="1" w:styleId="61">
    <w:name w:val="标准文件_标准代替"/>
    <w:basedOn w:val="1"/>
    <w:next w:val="1"/>
    <w:qFormat/>
    <w:uiPriority w:val="0"/>
    <w:pPr>
      <w:spacing w:line="310" w:lineRule="exact"/>
      <w:jc w:val="right"/>
    </w:pPr>
    <w:rPr>
      <w:rFonts w:ascii="宋体" w:hAnsi="宋体"/>
      <w:kern w:val="0"/>
    </w:rPr>
  </w:style>
  <w:style w:type="paragraph" w:customStyle="1" w:styleId="62">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3">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4">
    <w:name w:val="标准文件_页眉偶数页"/>
    <w:basedOn w:val="63"/>
    <w:next w:val="1"/>
    <w:qFormat/>
    <w:uiPriority w:val="0"/>
    <w:pPr>
      <w:jc w:val="left"/>
    </w:pPr>
  </w:style>
  <w:style w:type="paragraph" w:customStyle="1" w:styleId="65">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6">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7">
    <w:name w:val="标准文件_二级条标题"/>
    <w:next w:val="58"/>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8">
    <w:name w:val="标准文件_发布"/>
    <w:qFormat/>
    <w:uiPriority w:val="0"/>
    <w:rPr>
      <w:rFonts w:ascii="黑体" w:eastAsia="黑体"/>
      <w:spacing w:val="0"/>
      <w:w w:val="100"/>
      <w:position w:val="3"/>
      <w:sz w:val="28"/>
    </w:rPr>
  </w:style>
  <w:style w:type="paragraph" w:customStyle="1" w:styleId="69">
    <w:name w:val="标准文件_方框数字列项"/>
    <w:basedOn w:val="58"/>
    <w:qFormat/>
    <w:uiPriority w:val="0"/>
    <w:pPr>
      <w:numPr>
        <w:ilvl w:val="0"/>
        <w:numId w:val="3"/>
      </w:numPr>
      <w:ind w:firstLine="0" w:firstLineChars="0"/>
    </w:pPr>
  </w:style>
  <w:style w:type="paragraph" w:customStyle="1" w:styleId="70">
    <w:name w:val="标准文件_封面标准编号"/>
    <w:basedOn w:val="1"/>
    <w:next w:val="61"/>
    <w:qFormat/>
    <w:uiPriority w:val="0"/>
    <w:pPr>
      <w:spacing w:line="310" w:lineRule="exact"/>
      <w:jc w:val="right"/>
    </w:pPr>
    <w:rPr>
      <w:rFonts w:ascii="黑体" w:eastAsia="黑体"/>
      <w:kern w:val="0"/>
      <w:sz w:val="28"/>
    </w:rPr>
  </w:style>
  <w:style w:type="paragraph" w:customStyle="1" w:styleId="71">
    <w:name w:val="标准文件_封面标准分类号"/>
    <w:basedOn w:val="1"/>
    <w:qFormat/>
    <w:uiPriority w:val="0"/>
    <w:rPr>
      <w:rFonts w:ascii="黑体" w:eastAsia="黑体"/>
      <w:b/>
      <w:kern w:val="0"/>
      <w:sz w:val="28"/>
    </w:rPr>
  </w:style>
  <w:style w:type="paragraph" w:customStyle="1" w:styleId="72">
    <w:name w:val="标准文件_封面标准名称"/>
    <w:basedOn w:val="1"/>
    <w:qFormat/>
    <w:uiPriority w:val="0"/>
    <w:pPr>
      <w:spacing w:line="240" w:lineRule="auto"/>
      <w:jc w:val="center"/>
    </w:pPr>
    <w:rPr>
      <w:rFonts w:ascii="黑体" w:eastAsia="黑体"/>
      <w:kern w:val="0"/>
      <w:sz w:val="52"/>
    </w:rPr>
  </w:style>
  <w:style w:type="paragraph" w:customStyle="1" w:styleId="73">
    <w:name w:val="标准文件_封面标准英文名称"/>
    <w:basedOn w:val="1"/>
    <w:qFormat/>
    <w:uiPriority w:val="0"/>
    <w:pPr>
      <w:spacing w:line="240" w:lineRule="auto"/>
      <w:jc w:val="center"/>
    </w:pPr>
    <w:rPr>
      <w:rFonts w:ascii="黑体" w:eastAsia="黑体"/>
      <w:b/>
      <w:sz w:val="28"/>
    </w:rPr>
  </w:style>
  <w:style w:type="paragraph" w:customStyle="1" w:styleId="74">
    <w:name w:val="标准文件_封面发布日期"/>
    <w:basedOn w:val="1"/>
    <w:qFormat/>
    <w:uiPriority w:val="0"/>
    <w:pPr>
      <w:spacing w:line="310" w:lineRule="exact"/>
    </w:pPr>
    <w:rPr>
      <w:rFonts w:ascii="黑体" w:eastAsia="黑体"/>
      <w:kern w:val="0"/>
      <w:sz w:val="28"/>
    </w:rPr>
  </w:style>
  <w:style w:type="paragraph" w:customStyle="1" w:styleId="75">
    <w:name w:val="标准文件_封面密级"/>
    <w:basedOn w:val="1"/>
    <w:qFormat/>
    <w:uiPriority w:val="0"/>
    <w:rPr>
      <w:rFonts w:eastAsia="黑体"/>
      <w:sz w:val="32"/>
    </w:rPr>
  </w:style>
  <w:style w:type="paragraph" w:customStyle="1" w:styleId="76">
    <w:name w:val="标准文件_封面实施日期"/>
    <w:basedOn w:val="1"/>
    <w:qFormat/>
    <w:uiPriority w:val="0"/>
    <w:pPr>
      <w:spacing w:line="310" w:lineRule="exact"/>
      <w:jc w:val="right"/>
    </w:pPr>
    <w:rPr>
      <w:rFonts w:ascii="黑体" w:eastAsia="黑体"/>
      <w:sz w:val="28"/>
    </w:rPr>
  </w:style>
  <w:style w:type="paragraph" w:customStyle="1" w:styleId="77">
    <w:name w:val="标准文件_封面抬头"/>
    <w:basedOn w:val="58"/>
    <w:qFormat/>
    <w:uiPriority w:val="0"/>
    <w:pPr>
      <w:adjustRightInd w:val="0"/>
      <w:spacing w:line="800" w:lineRule="exact"/>
      <w:ind w:firstLine="0" w:firstLineChars="0"/>
      <w:jc w:val="distribute"/>
    </w:pPr>
    <w:rPr>
      <w:rFonts w:ascii="黑体" w:eastAsia="黑体"/>
      <w:b/>
      <w:sz w:val="64"/>
    </w:rPr>
  </w:style>
  <w:style w:type="paragraph" w:customStyle="1" w:styleId="78">
    <w:name w:val="标准文件_附录标识"/>
    <w:next w:val="58"/>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9">
    <w:name w:val="标准文件_附录表标题"/>
    <w:next w:val="58"/>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0">
    <w:name w:val="标准文件_附录一级条标题"/>
    <w:next w:val="58"/>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1">
    <w:name w:val="标准文件_附录二级条标题"/>
    <w:basedOn w:val="80"/>
    <w:next w:val="58"/>
    <w:qFormat/>
    <w:uiPriority w:val="0"/>
    <w:pPr>
      <w:widowControl/>
      <w:numPr>
        <w:ilvl w:val="2"/>
      </w:numPr>
      <w:wordWrap w:val="0"/>
      <w:overflowPunct w:val="0"/>
      <w:autoSpaceDE w:val="0"/>
      <w:autoSpaceDN w:val="0"/>
      <w:textAlignment w:val="baseline"/>
      <w:outlineLvl w:val="3"/>
    </w:pPr>
  </w:style>
  <w:style w:type="paragraph" w:customStyle="1" w:styleId="82">
    <w:name w:val="标准文件_附录公式"/>
    <w:basedOn w:val="57"/>
    <w:next w:val="57"/>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3">
    <w:name w:val="标准文件_附录三级条标题"/>
    <w:next w:val="58"/>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4">
    <w:name w:val="标准文件_附录四级条标题"/>
    <w:next w:val="58"/>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5">
    <w:name w:val="标准文件_附录图标题"/>
    <w:next w:val="58"/>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6">
    <w:name w:val="标准文件_附录五级条标题"/>
    <w:next w:val="58"/>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7">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8">
    <w:name w:val="正文文本 字符"/>
    <w:link w:val="14"/>
    <w:qFormat/>
    <w:uiPriority w:val="0"/>
    <w:rPr>
      <w:kern w:val="2"/>
      <w:sz w:val="21"/>
      <w:szCs w:val="21"/>
    </w:rPr>
  </w:style>
  <w:style w:type="paragraph" w:customStyle="1" w:styleId="89">
    <w:name w:val="标准文件_附录章标题"/>
    <w:next w:val="58"/>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0">
    <w:name w:val="标准文件_公式后的破折号"/>
    <w:basedOn w:val="58"/>
    <w:next w:val="58"/>
    <w:qFormat/>
    <w:uiPriority w:val="0"/>
    <w:pPr>
      <w:ind w:left="488" w:leftChars="200" w:hanging="289" w:hangingChars="290"/>
    </w:pPr>
  </w:style>
  <w:style w:type="paragraph" w:customStyle="1" w:styleId="91">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2">
    <w:name w:val="标准文件_目次、标准名称标题"/>
    <w:basedOn w:val="91"/>
    <w:next w:val="58"/>
    <w:qFormat/>
    <w:uiPriority w:val="0"/>
    <w:pPr>
      <w:spacing w:line="460" w:lineRule="exact"/>
      <w:ind w:left="0" w:firstLine="0"/>
    </w:pPr>
  </w:style>
  <w:style w:type="paragraph" w:customStyle="1" w:styleId="93">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4">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5">
    <w:name w:val="标准文件_破折号列项（二级）"/>
    <w:basedOn w:val="94"/>
    <w:qFormat/>
    <w:uiPriority w:val="0"/>
    <w:pPr>
      <w:numPr>
        <w:numId w:val="10"/>
      </w:numPr>
    </w:pPr>
  </w:style>
  <w:style w:type="paragraph" w:customStyle="1" w:styleId="96">
    <w:name w:val="标准文件_三级条标题"/>
    <w:basedOn w:val="67"/>
    <w:next w:val="58"/>
    <w:qFormat/>
    <w:uiPriority w:val="0"/>
    <w:pPr>
      <w:widowControl/>
      <w:numPr>
        <w:ilvl w:val="4"/>
      </w:numPr>
      <w:outlineLvl w:val="3"/>
    </w:pPr>
  </w:style>
  <w:style w:type="character" w:customStyle="1" w:styleId="97">
    <w:name w:val="Subtle Reference"/>
    <w:qFormat/>
    <w:uiPriority w:val="31"/>
    <w:rPr>
      <w:smallCaps/>
      <w:color w:val="C0504D"/>
      <w:u w:val="single"/>
    </w:rPr>
  </w:style>
  <w:style w:type="paragraph" w:customStyle="1" w:styleId="98">
    <w:name w:val="标准文件_示例后续"/>
    <w:basedOn w:val="1"/>
    <w:qFormat/>
    <w:uiPriority w:val="0"/>
    <w:pPr>
      <w:adjustRightInd/>
      <w:spacing w:line="240" w:lineRule="auto"/>
      <w:ind w:firstLine="200" w:firstLineChars="200"/>
    </w:pPr>
    <w:rPr>
      <w:sz w:val="18"/>
      <w:szCs w:val="24"/>
    </w:rPr>
  </w:style>
  <w:style w:type="paragraph" w:customStyle="1" w:styleId="99">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0">
    <w:name w:val="标准文件_四级条标题"/>
    <w:next w:val="58"/>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1">
    <w:name w:val="脚注文本 字符"/>
    <w:link w:val="22"/>
    <w:semiHidden/>
    <w:qFormat/>
    <w:uiPriority w:val="0"/>
    <w:rPr>
      <w:rFonts w:ascii="宋体"/>
      <w:kern w:val="2"/>
      <w:sz w:val="18"/>
      <w:szCs w:val="18"/>
    </w:rPr>
  </w:style>
  <w:style w:type="paragraph" w:customStyle="1" w:styleId="102">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3">
    <w:name w:val="标准文件_图表脚注"/>
    <w:basedOn w:val="1"/>
    <w:next w:val="58"/>
    <w:qFormat/>
    <w:uiPriority w:val="0"/>
    <w:pPr>
      <w:numPr>
        <w:ilvl w:val="0"/>
        <w:numId w:val="12"/>
      </w:numPr>
      <w:spacing w:line="240" w:lineRule="auto"/>
      <w:jc w:val="left"/>
    </w:pPr>
    <w:rPr>
      <w:rFonts w:ascii="宋体" w:hAnsi="宋体"/>
      <w:sz w:val="18"/>
    </w:rPr>
  </w:style>
  <w:style w:type="character" w:customStyle="1" w:styleId="104">
    <w:name w:val="标准文件_图表脚注内容"/>
    <w:qFormat/>
    <w:uiPriority w:val="0"/>
    <w:rPr>
      <w:rFonts w:ascii="宋体" w:hAnsi="宋体" w:eastAsia="宋体" w:cs="Times New Roman"/>
      <w:spacing w:val="0"/>
      <w:sz w:val="18"/>
      <w:vertAlign w:val="superscript"/>
    </w:rPr>
  </w:style>
  <w:style w:type="paragraph" w:customStyle="1" w:styleId="105">
    <w:name w:val="标准文件_五级条标题"/>
    <w:next w:val="58"/>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6">
    <w:name w:val="标准文件_章标题"/>
    <w:next w:val="58"/>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7">
    <w:name w:val="标准文件_一级条标题"/>
    <w:basedOn w:val="106"/>
    <w:next w:val="58"/>
    <w:qFormat/>
    <w:uiPriority w:val="0"/>
    <w:pPr>
      <w:numPr>
        <w:ilvl w:val="2"/>
      </w:numPr>
      <w:spacing w:before="50" w:beforeLines="50" w:after="50" w:afterLines="50"/>
      <w:ind w:left="0"/>
      <w:outlineLvl w:val="1"/>
    </w:pPr>
  </w:style>
  <w:style w:type="paragraph" w:customStyle="1" w:styleId="108">
    <w:name w:val="标准文件_一致程度"/>
    <w:basedOn w:val="1"/>
    <w:qFormat/>
    <w:uiPriority w:val="0"/>
    <w:pPr>
      <w:spacing w:line="440" w:lineRule="exact"/>
      <w:jc w:val="center"/>
    </w:pPr>
    <w:rPr>
      <w:sz w:val="28"/>
    </w:rPr>
  </w:style>
  <w:style w:type="paragraph" w:customStyle="1" w:styleId="109">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0">
    <w:name w:val="标准文件_英文图表脚注"/>
    <w:basedOn w:val="57"/>
    <w:qFormat/>
    <w:uiPriority w:val="0"/>
    <w:pPr>
      <w:widowControl/>
      <w:adjustRightInd/>
      <w:snapToGrid/>
      <w:spacing w:line="240" w:lineRule="auto"/>
      <w:ind w:left="79" w:hanging="79" w:hangingChars="80"/>
    </w:pPr>
    <w:rPr>
      <w:rFonts w:ascii="宋体" w:hAnsi="宋体"/>
    </w:rPr>
  </w:style>
  <w:style w:type="paragraph" w:customStyle="1" w:styleId="111">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2">
    <w:name w:val="标准文件_英文注："/>
    <w:basedOn w:val="1"/>
    <w:next w:val="58"/>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3">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4">
    <w:name w:val="标准文件_正文表标题"/>
    <w:next w:val="58"/>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公式"/>
    <w:basedOn w:val="1"/>
    <w:next w:val="57"/>
    <w:qFormat/>
    <w:uiPriority w:val="0"/>
    <w:pPr>
      <w:tabs>
        <w:tab w:val="center" w:pos="4678"/>
        <w:tab w:val="right" w:leader="middleDot" w:pos="9356"/>
      </w:tabs>
      <w:spacing w:line="240" w:lineRule="auto"/>
    </w:pPr>
    <w:rPr>
      <w:rFonts w:ascii="宋体" w:hAnsi="宋体"/>
    </w:rPr>
  </w:style>
  <w:style w:type="paragraph" w:customStyle="1" w:styleId="116">
    <w:name w:val="标准文件_正文图标题"/>
    <w:next w:val="58"/>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英文表标题"/>
    <w:next w:val="58"/>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8">
    <w:name w:val="标准文件_正文英文图标题"/>
    <w:next w:val="58"/>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9">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0">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1">
    <w:name w:val="发布部门"/>
    <w:next w:val="58"/>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2">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3">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5">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6">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8">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9">
    <w:name w:val="封面正文"/>
    <w:qFormat/>
    <w:uiPriority w:val="0"/>
    <w:pPr>
      <w:jc w:val="both"/>
    </w:pPr>
    <w:rPr>
      <w:rFonts w:ascii="Times New Roman" w:hAnsi="Times New Roman" w:eastAsia="宋体" w:cs="Times New Roman"/>
      <w:lang w:val="en-US" w:eastAsia="zh-CN" w:bidi="ar-SA"/>
    </w:rPr>
  </w:style>
  <w:style w:type="paragraph" w:customStyle="1" w:styleId="130">
    <w:name w:val="附录二级无标题条"/>
    <w:basedOn w:val="1"/>
    <w:next w:val="58"/>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1">
    <w:name w:val="附录三级无标题条"/>
    <w:basedOn w:val="130"/>
    <w:next w:val="58"/>
    <w:qFormat/>
    <w:uiPriority w:val="0"/>
    <w:pPr>
      <w:outlineLvl w:val="4"/>
    </w:pPr>
  </w:style>
  <w:style w:type="paragraph" w:customStyle="1" w:styleId="132">
    <w:name w:val="附录四级无标题条"/>
    <w:basedOn w:val="131"/>
    <w:next w:val="58"/>
    <w:qFormat/>
    <w:uiPriority w:val="0"/>
    <w:pPr>
      <w:outlineLvl w:val="5"/>
    </w:pPr>
  </w:style>
  <w:style w:type="paragraph" w:customStyle="1" w:styleId="133">
    <w:name w:val="附录图"/>
    <w:next w:val="58"/>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4">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5">
    <w:name w:val="附录五级无标题条"/>
    <w:basedOn w:val="132"/>
    <w:next w:val="58"/>
    <w:qFormat/>
    <w:uiPriority w:val="0"/>
    <w:pPr>
      <w:outlineLvl w:val="6"/>
    </w:pPr>
  </w:style>
  <w:style w:type="paragraph" w:customStyle="1" w:styleId="136">
    <w:name w:val="附录性质"/>
    <w:basedOn w:val="1"/>
    <w:qFormat/>
    <w:uiPriority w:val="0"/>
    <w:pPr>
      <w:widowControl/>
      <w:adjustRightInd/>
      <w:jc w:val="center"/>
    </w:pPr>
    <w:rPr>
      <w:rFonts w:ascii="黑体" w:eastAsia="黑体"/>
    </w:rPr>
  </w:style>
  <w:style w:type="paragraph" w:customStyle="1" w:styleId="137">
    <w:name w:val="附录一级无标题条"/>
    <w:basedOn w:val="89"/>
    <w:next w:val="58"/>
    <w:qFormat/>
    <w:uiPriority w:val="0"/>
    <w:pPr>
      <w:autoSpaceDN w:val="0"/>
      <w:outlineLvl w:val="2"/>
    </w:pPr>
    <w:rPr>
      <w:rFonts w:ascii="宋体" w:hAnsi="宋体" w:eastAsia="宋体"/>
    </w:rPr>
  </w:style>
  <w:style w:type="character" w:customStyle="1" w:styleId="138">
    <w:name w:val="个人答复风格"/>
    <w:qFormat/>
    <w:uiPriority w:val="0"/>
    <w:rPr>
      <w:rFonts w:ascii="Arial" w:hAnsi="Arial" w:eastAsia="宋体" w:cs="Arial"/>
      <w:color w:val="auto"/>
      <w:spacing w:val="0"/>
      <w:sz w:val="20"/>
    </w:rPr>
  </w:style>
  <w:style w:type="character" w:customStyle="1" w:styleId="139">
    <w:name w:val="个人撰写风格"/>
    <w:qFormat/>
    <w:uiPriority w:val="0"/>
    <w:rPr>
      <w:rFonts w:ascii="Arial" w:hAnsi="Arial" w:eastAsia="宋体" w:cs="Arial"/>
      <w:color w:val="auto"/>
      <w:spacing w:val="0"/>
      <w:sz w:val="20"/>
    </w:rPr>
  </w:style>
  <w:style w:type="paragraph" w:customStyle="1" w:styleId="140">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1">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2">
    <w:name w:val="列项·"/>
    <w:basedOn w:val="58"/>
    <w:qFormat/>
    <w:uiPriority w:val="0"/>
    <w:pPr>
      <w:tabs>
        <w:tab w:val="left" w:pos="840"/>
      </w:tabs>
    </w:pPr>
  </w:style>
  <w:style w:type="paragraph" w:customStyle="1" w:styleId="143">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4">
    <w:name w:val="目录 21"/>
    <w:basedOn w:val="1"/>
    <w:next w:val="1"/>
    <w:semiHidden/>
    <w:qFormat/>
    <w:uiPriority w:val="0"/>
    <w:pPr>
      <w:adjustRightInd/>
      <w:spacing w:line="240" w:lineRule="auto"/>
      <w:jc w:val="left"/>
    </w:pPr>
    <w:rPr>
      <w:bCs/>
      <w:iCs/>
    </w:rPr>
  </w:style>
  <w:style w:type="paragraph" w:customStyle="1" w:styleId="145">
    <w:name w:val="目录 31"/>
    <w:basedOn w:val="1"/>
    <w:next w:val="1"/>
    <w:semiHidden/>
    <w:qFormat/>
    <w:uiPriority w:val="0"/>
    <w:pPr>
      <w:spacing w:line="240" w:lineRule="auto"/>
    </w:pPr>
    <w:rPr>
      <w:rFonts w:ascii="宋体" w:hAnsi="宋体"/>
      <w:iCs/>
    </w:rPr>
  </w:style>
  <w:style w:type="paragraph" w:customStyle="1" w:styleId="146">
    <w:name w:val="目录 41"/>
    <w:basedOn w:val="1"/>
    <w:next w:val="1"/>
    <w:semiHidden/>
    <w:qFormat/>
    <w:uiPriority w:val="0"/>
    <w:pPr>
      <w:adjustRightInd/>
      <w:spacing w:line="240" w:lineRule="auto"/>
      <w:jc w:val="left"/>
    </w:pPr>
  </w:style>
  <w:style w:type="paragraph" w:customStyle="1" w:styleId="147">
    <w:name w:val="目录 51"/>
    <w:basedOn w:val="1"/>
    <w:next w:val="1"/>
    <w:semiHidden/>
    <w:qFormat/>
    <w:uiPriority w:val="0"/>
    <w:pPr>
      <w:spacing w:line="240" w:lineRule="auto"/>
    </w:pPr>
    <w:rPr>
      <w:rFonts w:ascii="宋体" w:hAnsi="宋体"/>
    </w:rPr>
  </w:style>
  <w:style w:type="paragraph" w:customStyle="1" w:styleId="148">
    <w:name w:val="目录 61"/>
    <w:basedOn w:val="1"/>
    <w:next w:val="1"/>
    <w:semiHidden/>
    <w:qFormat/>
    <w:uiPriority w:val="0"/>
    <w:pPr>
      <w:adjustRightInd/>
      <w:spacing w:line="240" w:lineRule="auto"/>
      <w:jc w:val="left"/>
    </w:pPr>
  </w:style>
  <w:style w:type="paragraph" w:customStyle="1" w:styleId="149">
    <w:name w:val="目录 71"/>
    <w:basedOn w:val="148"/>
    <w:semiHidden/>
    <w:qFormat/>
    <w:uiPriority w:val="0"/>
    <w:pPr>
      <w:ind w:left="1260"/>
    </w:pPr>
  </w:style>
  <w:style w:type="paragraph" w:customStyle="1" w:styleId="150">
    <w:name w:val="目录 81"/>
    <w:basedOn w:val="149"/>
    <w:semiHidden/>
    <w:qFormat/>
    <w:uiPriority w:val="0"/>
    <w:pPr>
      <w:ind w:left="1470"/>
    </w:pPr>
  </w:style>
  <w:style w:type="paragraph" w:customStyle="1" w:styleId="151">
    <w:name w:val="目录 91"/>
    <w:basedOn w:val="150"/>
    <w:semiHidden/>
    <w:qFormat/>
    <w:uiPriority w:val="0"/>
    <w:pPr>
      <w:ind w:left="1680"/>
    </w:pPr>
  </w:style>
  <w:style w:type="paragraph" w:customStyle="1" w:styleId="15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3">
    <w:name w:val="其他发布部门"/>
    <w:basedOn w:val="121"/>
    <w:qFormat/>
    <w:uiPriority w:val="0"/>
    <w:pPr>
      <w:framePr/>
      <w:spacing w:line="0" w:lineRule="atLeast"/>
    </w:pPr>
    <w:rPr>
      <w:rFonts w:ascii="黑体" w:eastAsia="黑体"/>
      <w:b w:val="0"/>
    </w:rPr>
  </w:style>
  <w:style w:type="paragraph" w:customStyle="1" w:styleId="154">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5">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6">
    <w:name w:val="实施日期"/>
    <w:basedOn w:val="122"/>
    <w:qFormat/>
    <w:uiPriority w:val="0"/>
    <w:pPr>
      <w:framePr w:hSpace="0" w:xAlign="right"/>
      <w:jc w:val="right"/>
    </w:pPr>
  </w:style>
  <w:style w:type="paragraph" w:customStyle="1" w:styleId="157">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9">
    <w:name w:val="无标题条"/>
    <w:next w:val="58"/>
    <w:qFormat/>
    <w:uiPriority w:val="0"/>
    <w:pPr>
      <w:jc w:val="both"/>
    </w:pPr>
    <w:rPr>
      <w:rFonts w:ascii="宋体" w:hAnsi="宋体" w:eastAsia="宋体" w:cs="Times New Roman"/>
      <w:sz w:val="21"/>
      <w:lang w:val="en-US" w:eastAsia="zh-CN" w:bidi="ar-SA"/>
    </w:rPr>
  </w:style>
  <w:style w:type="paragraph" w:customStyle="1" w:styleId="160">
    <w:name w:val="五级无标题条"/>
    <w:basedOn w:val="1"/>
    <w:qFormat/>
    <w:uiPriority w:val="0"/>
    <w:pPr>
      <w:numPr>
        <w:ilvl w:val="6"/>
        <w:numId w:val="20"/>
      </w:numPr>
      <w:adjustRightInd/>
    </w:pPr>
    <w:rPr>
      <w:szCs w:val="24"/>
    </w:rPr>
  </w:style>
  <w:style w:type="paragraph" w:customStyle="1" w:styleId="161">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2">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3">
    <w:name w:val="注×:后续"/>
    <w:basedOn w:val="162"/>
    <w:qFormat/>
    <w:uiPriority w:val="0"/>
    <w:pPr>
      <w:ind w:left="1406" w:leftChars="0" w:hanging="499" w:firstLineChars="0"/>
    </w:pPr>
  </w:style>
  <w:style w:type="paragraph" w:customStyle="1" w:styleId="164">
    <w:name w:val="标准文件_一级无标题"/>
    <w:basedOn w:val="107"/>
    <w:qFormat/>
    <w:uiPriority w:val="0"/>
    <w:pPr>
      <w:spacing w:before="0" w:beforeLines="0" w:after="0" w:afterLines="0"/>
      <w:outlineLvl w:val="9"/>
    </w:pPr>
    <w:rPr>
      <w:rFonts w:ascii="宋体" w:eastAsia="宋体"/>
    </w:rPr>
  </w:style>
  <w:style w:type="paragraph" w:customStyle="1" w:styleId="165">
    <w:name w:val="标准文件_五级无标题"/>
    <w:basedOn w:val="105"/>
    <w:qFormat/>
    <w:uiPriority w:val="0"/>
    <w:pPr>
      <w:spacing w:before="0" w:beforeLines="0" w:after="0" w:afterLines="0"/>
      <w:outlineLvl w:val="9"/>
    </w:pPr>
    <w:rPr>
      <w:rFonts w:ascii="宋体" w:eastAsia="宋体"/>
    </w:rPr>
  </w:style>
  <w:style w:type="paragraph" w:customStyle="1" w:styleId="166">
    <w:name w:val="标准文件_三级无标题"/>
    <w:basedOn w:val="96"/>
    <w:qFormat/>
    <w:uiPriority w:val="0"/>
    <w:pPr>
      <w:spacing w:before="0" w:beforeLines="0" w:after="0" w:afterLines="0"/>
      <w:outlineLvl w:val="9"/>
    </w:pPr>
    <w:rPr>
      <w:rFonts w:ascii="宋体" w:eastAsia="宋体"/>
    </w:rPr>
  </w:style>
  <w:style w:type="paragraph" w:customStyle="1" w:styleId="167">
    <w:name w:val="标准文件_二级无标题"/>
    <w:basedOn w:val="67"/>
    <w:qFormat/>
    <w:uiPriority w:val="0"/>
    <w:pPr>
      <w:spacing w:before="0" w:beforeLines="0" w:after="0" w:afterLines="0"/>
      <w:outlineLvl w:val="9"/>
    </w:pPr>
    <w:rPr>
      <w:rFonts w:ascii="宋体" w:eastAsia="宋体"/>
    </w:rPr>
  </w:style>
  <w:style w:type="paragraph" w:customStyle="1" w:styleId="168">
    <w:name w:val="标准_四级无标题"/>
    <w:basedOn w:val="100"/>
    <w:next w:val="58"/>
    <w:qFormat/>
    <w:uiPriority w:val="0"/>
    <w:rPr>
      <w:rFonts w:eastAsia="宋体"/>
    </w:rPr>
  </w:style>
  <w:style w:type="paragraph" w:customStyle="1" w:styleId="169">
    <w:name w:val="标准文件_四级无标题"/>
    <w:basedOn w:val="100"/>
    <w:qFormat/>
    <w:uiPriority w:val="0"/>
    <w:pPr>
      <w:spacing w:before="0" w:beforeLines="0" w:after="0" w:afterLines="0"/>
      <w:outlineLvl w:val="9"/>
    </w:pPr>
    <w:rPr>
      <w:rFonts w:ascii="宋体" w:hAnsi="黑体" w:eastAsia="宋体"/>
      <w:szCs w:val="52"/>
    </w:rPr>
  </w:style>
  <w:style w:type="paragraph" w:customStyle="1" w:styleId="170">
    <w:name w:val="标准文件_大写罗马数字编号列项"/>
    <w:basedOn w:val="58"/>
    <w:qFormat/>
    <w:uiPriority w:val="0"/>
    <w:pPr>
      <w:numPr>
        <w:ilvl w:val="0"/>
        <w:numId w:val="23"/>
      </w:numPr>
      <w:ind w:firstLine="0" w:firstLineChars="0"/>
    </w:pPr>
    <w:rPr>
      <w:rFonts w:ascii="Times New Roman" w:cs="Arial"/>
      <w:szCs w:val="28"/>
    </w:rPr>
  </w:style>
  <w:style w:type="paragraph" w:customStyle="1" w:styleId="171">
    <w:name w:val="标准文件_小写罗马数字编号列项"/>
    <w:basedOn w:val="58"/>
    <w:qFormat/>
    <w:uiPriority w:val="0"/>
    <w:pPr>
      <w:numPr>
        <w:ilvl w:val="0"/>
        <w:numId w:val="24"/>
      </w:numPr>
      <w:ind w:firstLine="0" w:firstLineChars="0"/>
    </w:pPr>
    <w:rPr>
      <w:rFonts w:cs="Arial"/>
      <w:szCs w:val="28"/>
    </w:rPr>
  </w:style>
  <w:style w:type="paragraph" w:customStyle="1" w:styleId="172">
    <w:name w:val="标准文件_附录标题"/>
    <w:basedOn w:val="78"/>
    <w:qFormat/>
    <w:uiPriority w:val="0"/>
    <w:pPr>
      <w:numPr>
        <w:numId w:val="0"/>
      </w:numPr>
      <w:spacing w:after="280"/>
      <w:outlineLvl w:val="9"/>
    </w:pPr>
  </w:style>
  <w:style w:type="paragraph" w:customStyle="1" w:styleId="173">
    <w:name w:val="标准文件_二级项"/>
    <w:qFormat/>
    <w:uiPriority w:val="0"/>
    <w:rPr>
      <w:rFonts w:ascii="宋体" w:hAnsi="Times New Roman" w:eastAsia="宋体" w:cs="Times New Roman"/>
      <w:sz w:val="21"/>
      <w:lang w:val="en-US" w:eastAsia="zh-CN" w:bidi="ar-SA"/>
    </w:rPr>
  </w:style>
  <w:style w:type="paragraph" w:customStyle="1" w:styleId="174">
    <w:name w:val="标准文件_三级项"/>
    <w:basedOn w:val="1"/>
    <w:qFormat/>
    <w:uiPriority w:val="0"/>
    <w:pPr>
      <w:numPr>
        <w:ilvl w:val="2"/>
        <w:numId w:val="21"/>
      </w:numPr>
      <w:spacing w:line="536870612" w:lineRule="auto"/>
    </w:pPr>
    <w:rPr>
      <w:rFonts w:ascii="Times New Roman" w:hAnsi="Times New Roman"/>
    </w:rPr>
  </w:style>
  <w:style w:type="paragraph" w:customStyle="1" w:styleId="175">
    <w:name w:val="图表脚注说明"/>
    <w:basedOn w:val="1"/>
    <w:next w:val="58"/>
    <w:qFormat/>
    <w:uiPriority w:val="0"/>
    <w:pPr>
      <w:numPr>
        <w:ilvl w:val="0"/>
        <w:numId w:val="25"/>
      </w:numPr>
      <w:adjustRightInd/>
      <w:spacing w:line="240" w:lineRule="auto"/>
    </w:pPr>
    <w:rPr>
      <w:rFonts w:ascii="宋体" w:hAnsi="Times New Roman"/>
      <w:sz w:val="18"/>
      <w:szCs w:val="18"/>
    </w:rPr>
  </w:style>
  <w:style w:type="paragraph" w:customStyle="1" w:styleId="176">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7">
    <w:name w:val="标准文件_索引字母"/>
    <w:next w:val="58"/>
    <w:qFormat/>
    <w:uiPriority w:val="0"/>
    <w:pPr>
      <w:jc w:val="center"/>
    </w:pPr>
    <w:rPr>
      <w:rFonts w:ascii="宋体" w:hAnsi="宋体" w:eastAsia="Times New Roman" w:cs="Times New Roman"/>
      <w:b/>
      <w:kern w:val="2"/>
      <w:sz w:val="21"/>
      <w:lang w:val="en-US" w:eastAsia="zh-CN" w:bidi="ar-SA"/>
    </w:rPr>
  </w:style>
  <w:style w:type="paragraph" w:customStyle="1" w:styleId="178">
    <w:name w:val="标准文件_附录前"/>
    <w:next w:val="58"/>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9">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0">
    <w:name w:val="标准文件_表格"/>
    <w:basedOn w:val="58"/>
    <w:qFormat/>
    <w:uiPriority w:val="0"/>
    <w:pPr>
      <w:ind w:firstLine="0" w:firstLineChars="0"/>
      <w:jc w:val="center"/>
    </w:pPr>
    <w:rPr>
      <w:sz w:val="18"/>
    </w:rPr>
  </w:style>
  <w:style w:type="paragraph" w:customStyle="1" w:styleId="181">
    <w:name w:val="标准文件_注："/>
    <w:next w:val="58"/>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2">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示例："/>
    <w:next w:val="184"/>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4">
    <w:name w:val="标准文件_示例内容"/>
    <w:basedOn w:val="58"/>
    <w:qFormat/>
    <w:uiPriority w:val="0"/>
    <w:pPr>
      <w:ind w:firstLine="420"/>
    </w:pPr>
    <w:rPr>
      <w:sz w:val="18"/>
    </w:rPr>
  </w:style>
  <w:style w:type="paragraph" w:customStyle="1" w:styleId="185">
    <w:name w:val="标准文件_示例×："/>
    <w:basedOn w:val="1"/>
    <w:next w:val="184"/>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6">
    <w:name w:val="标准文件_段 Char"/>
    <w:link w:val="58"/>
    <w:qFormat/>
    <w:uiPriority w:val="0"/>
    <w:rPr>
      <w:rFonts w:ascii="宋体" w:hAnsi="Times New Roman"/>
      <w:sz w:val="21"/>
    </w:rPr>
  </w:style>
  <w:style w:type="paragraph" w:customStyle="1" w:styleId="187">
    <w:name w:val="标准文件_表格续"/>
    <w:basedOn w:val="58"/>
    <w:next w:val="58"/>
    <w:qFormat/>
    <w:uiPriority w:val="0"/>
    <w:pPr>
      <w:jc w:val="center"/>
    </w:pPr>
    <w:rPr>
      <w:rFonts w:ascii="黑体" w:hAnsi="黑体" w:eastAsia="黑体"/>
    </w:rPr>
  </w:style>
  <w:style w:type="character" w:styleId="188">
    <w:name w:val="Placeholder Text"/>
    <w:basedOn w:val="30"/>
    <w:semiHidden/>
    <w:qFormat/>
    <w:uiPriority w:val="99"/>
    <w:rPr>
      <w:color w:val="808080"/>
    </w:rPr>
  </w:style>
  <w:style w:type="paragraph" w:customStyle="1" w:styleId="189">
    <w:name w:val="标准文件_二级项2"/>
    <w:basedOn w:val="58"/>
    <w:qFormat/>
    <w:uiPriority w:val="0"/>
    <w:pPr>
      <w:numPr>
        <w:ilvl w:val="1"/>
        <w:numId w:val="21"/>
      </w:numPr>
      <w:ind w:firstLine="0" w:firstLineChars="0"/>
    </w:pPr>
  </w:style>
  <w:style w:type="paragraph" w:customStyle="1" w:styleId="190">
    <w:name w:val="标准文件_三级项2"/>
    <w:basedOn w:val="58"/>
    <w:qFormat/>
    <w:uiPriority w:val="0"/>
    <w:pPr>
      <w:numPr>
        <w:ilvl w:val="0"/>
        <w:numId w:val="30"/>
      </w:numPr>
      <w:spacing w:line="300" w:lineRule="exact"/>
      <w:ind w:firstLineChars="0"/>
    </w:pPr>
    <w:rPr>
      <w:rFonts w:ascii="Times New Roman"/>
    </w:rPr>
  </w:style>
  <w:style w:type="paragraph" w:customStyle="1" w:styleId="191">
    <w:name w:val="标准文件_一级项2"/>
    <w:basedOn w:val="58"/>
    <w:qFormat/>
    <w:uiPriority w:val="0"/>
    <w:pPr>
      <w:numPr>
        <w:ilvl w:val="0"/>
        <w:numId w:val="31"/>
      </w:numPr>
      <w:spacing w:line="300" w:lineRule="exact"/>
      <w:ind w:firstLineChars="0"/>
    </w:pPr>
    <w:rPr>
      <w:rFonts w:ascii="Times New Roman"/>
    </w:rPr>
  </w:style>
  <w:style w:type="paragraph" w:customStyle="1" w:styleId="192">
    <w:name w:val="标准文件_提示"/>
    <w:basedOn w:val="58"/>
    <w:next w:val="58"/>
    <w:qFormat/>
    <w:uiPriority w:val="0"/>
    <w:pPr>
      <w:ind w:firstLine="420"/>
    </w:pPr>
    <w:rPr>
      <w:rFonts w:ascii="黑体" w:eastAsia="黑体"/>
    </w:rPr>
  </w:style>
  <w:style w:type="character" w:customStyle="1" w:styleId="193">
    <w:name w:val="标准文件_来源"/>
    <w:basedOn w:val="30"/>
    <w:qFormat/>
    <w:uiPriority w:val="1"/>
    <w:rPr>
      <w:rFonts w:eastAsia="宋体"/>
      <w:sz w:val="21"/>
    </w:rPr>
  </w:style>
  <w:style w:type="paragraph" w:customStyle="1" w:styleId="194">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5">
    <w:name w:val="其他发布日期"/>
    <w:basedOn w:val="122"/>
    <w:qFormat/>
    <w:uiPriority w:val="0"/>
    <w:pPr>
      <w:framePr w:w="3997" w:h="471" w:hRule="exact" w:hSpace="0" w:vSpace="181" w:vAnchor="page" w:hAnchor="page" w:x="1419" w:y="14097"/>
    </w:pPr>
  </w:style>
  <w:style w:type="paragraph" w:customStyle="1" w:styleId="196">
    <w:name w:val="其他实施日期"/>
    <w:basedOn w:val="156"/>
    <w:qFormat/>
    <w:uiPriority w:val="0"/>
    <w:pPr>
      <w:framePr w:w="3997" w:h="471" w:hRule="exact" w:vSpace="181" w:vAnchor="page" w:hAnchor="page" w:x="7089" w:y="14097"/>
    </w:pPr>
  </w:style>
  <w:style w:type="paragraph" w:customStyle="1" w:styleId="197">
    <w:name w:val="标准文件_文件编号"/>
    <w:basedOn w:val="58"/>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8">
    <w:name w:val="标准文件_替换文件编号"/>
    <w:basedOn w:val="197"/>
    <w:qFormat/>
    <w:uiPriority w:val="0"/>
    <w:pPr>
      <w:framePr/>
      <w:spacing w:before="57"/>
    </w:pPr>
    <w:rPr>
      <w:sz w:val="21"/>
    </w:rPr>
  </w:style>
  <w:style w:type="paragraph" w:customStyle="1" w:styleId="199">
    <w:name w:val="标准文件_文件名称"/>
    <w:basedOn w:val="58"/>
    <w:next w:val="58"/>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0">
    <w:name w:val="标准文件_附录图标号"/>
    <w:basedOn w:val="58"/>
    <w:next w:val="58"/>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1">
    <w:name w:val="标准文件_附录表标号"/>
    <w:basedOn w:val="58"/>
    <w:next w:val="58"/>
    <w:qFormat/>
    <w:uiPriority w:val="0"/>
    <w:pPr>
      <w:numPr>
        <w:ilvl w:val="0"/>
        <w:numId w:val="5"/>
      </w:numPr>
      <w:spacing w:line="14" w:lineRule="exact"/>
      <w:ind w:firstLine="0" w:firstLineChars="0"/>
      <w:jc w:val="center"/>
    </w:pPr>
    <w:rPr>
      <w:rFonts w:eastAsia="黑体"/>
      <w:vanish/>
      <w:sz w:val="2"/>
    </w:rPr>
  </w:style>
  <w:style w:type="paragraph" w:customStyle="1" w:styleId="202">
    <w:name w:val="标准文件_引言一级条标题"/>
    <w:basedOn w:val="58"/>
    <w:next w:val="58"/>
    <w:qFormat/>
    <w:uiPriority w:val="0"/>
    <w:pPr>
      <w:numPr>
        <w:ilvl w:val="1"/>
        <w:numId w:val="8"/>
      </w:numPr>
      <w:spacing w:before="50" w:beforeLines="50" w:after="50" w:afterLines="50"/>
      <w:ind w:firstLineChars="0"/>
    </w:pPr>
    <w:rPr>
      <w:rFonts w:ascii="黑体" w:eastAsia="黑体"/>
    </w:rPr>
  </w:style>
  <w:style w:type="paragraph" w:customStyle="1" w:styleId="203">
    <w:name w:val="标准文件_引言二级条标题"/>
    <w:basedOn w:val="58"/>
    <w:next w:val="58"/>
    <w:qFormat/>
    <w:uiPriority w:val="0"/>
    <w:pPr>
      <w:numPr>
        <w:ilvl w:val="2"/>
        <w:numId w:val="8"/>
      </w:numPr>
      <w:spacing w:before="50" w:beforeLines="50" w:after="50" w:afterLines="50"/>
      <w:ind w:firstLineChars="0"/>
    </w:pPr>
    <w:rPr>
      <w:rFonts w:ascii="黑体" w:eastAsia="黑体"/>
    </w:rPr>
  </w:style>
  <w:style w:type="paragraph" w:customStyle="1" w:styleId="204">
    <w:name w:val="标准文件_引言三级条标题"/>
    <w:basedOn w:val="58"/>
    <w:next w:val="58"/>
    <w:qFormat/>
    <w:uiPriority w:val="0"/>
    <w:pPr>
      <w:numPr>
        <w:ilvl w:val="3"/>
        <w:numId w:val="8"/>
      </w:numPr>
      <w:spacing w:before="50" w:beforeLines="50" w:after="50" w:afterLines="50"/>
      <w:ind w:firstLineChars="0"/>
    </w:pPr>
    <w:rPr>
      <w:rFonts w:ascii="黑体" w:eastAsia="黑体"/>
    </w:rPr>
  </w:style>
  <w:style w:type="paragraph" w:customStyle="1" w:styleId="205">
    <w:name w:val="标准文件_引言四级条标题"/>
    <w:basedOn w:val="58"/>
    <w:next w:val="58"/>
    <w:qFormat/>
    <w:uiPriority w:val="0"/>
    <w:pPr>
      <w:numPr>
        <w:ilvl w:val="4"/>
        <w:numId w:val="8"/>
      </w:numPr>
      <w:spacing w:before="50" w:beforeLines="50" w:after="50" w:afterLines="50"/>
      <w:ind w:firstLineChars="0"/>
    </w:pPr>
    <w:rPr>
      <w:rFonts w:ascii="黑体" w:eastAsia="黑体"/>
    </w:rPr>
  </w:style>
  <w:style w:type="paragraph" w:customStyle="1" w:styleId="206">
    <w:name w:val="标准文件_引言五级条标题"/>
    <w:basedOn w:val="58"/>
    <w:next w:val="58"/>
    <w:qFormat/>
    <w:uiPriority w:val="0"/>
    <w:pPr>
      <w:numPr>
        <w:ilvl w:val="5"/>
        <w:numId w:val="8"/>
      </w:numPr>
      <w:spacing w:before="50" w:beforeLines="50" w:after="50" w:afterLines="50"/>
      <w:ind w:firstLineChars="0"/>
    </w:pPr>
    <w:rPr>
      <w:rFonts w:ascii="黑体" w:eastAsia="黑体"/>
    </w:rPr>
  </w:style>
  <w:style w:type="paragraph" w:customStyle="1" w:styleId="207">
    <w:name w:val="标准文件_注后"/>
    <w:basedOn w:val="58"/>
    <w:qFormat/>
    <w:uiPriority w:val="0"/>
    <w:pPr>
      <w:ind w:left="811" w:firstLine="0" w:firstLineChars="0"/>
    </w:pPr>
    <w:rPr>
      <w:sz w:val="18"/>
    </w:rPr>
  </w:style>
  <w:style w:type="paragraph" w:customStyle="1" w:styleId="208">
    <w:name w:val="标准文件_注X后"/>
    <w:basedOn w:val="58"/>
    <w:qFormat/>
    <w:uiPriority w:val="0"/>
    <w:pPr>
      <w:ind w:left="811" w:firstLine="0" w:firstLineChars="0"/>
    </w:pPr>
    <w:rPr>
      <w:sz w:val="18"/>
    </w:rPr>
  </w:style>
  <w:style w:type="paragraph" w:customStyle="1" w:styleId="209">
    <w:name w:val="标准文件_示例后"/>
    <w:basedOn w:val="58"/>
    <w:qFormat/>
    <w:uiPriority w:val="0"/>
    <w:pPr>
      <w:ind w:left="964" w:firstLine="0" w:firstLineChars="0"/>
    </w:pPr>
    <w:rPr>
      <w:sz w:val="18"/>
    </w:rPr>
  </w:style>
  <w:style w:type="paragraph" w:customStyle="1" w:styleId="210">
    <w:name w:val="标准文件_示例X后"/>
    <w:basedOn w:val="58"/>
    <w:link w:val="211"/>
    <w:qFormat/>
    <w:uiPriority w:val="0"/>
    <w:pPr>
      <w:ind w:left="1049" w:firstLine="0" w:firstLineChars="0"/>
    </w:pPr>
    <w:rPr>
      <w:sz w:val="18"/>
    </w:rPr>
  </w:style>
  <w:style w:type="character" w:customStyle="1" w:styleId="211">
    <w:name w:val="标准文件_示例X后 字符"/>
    <w:basedOn w:val="186"/>
    <w:link w:val="210"/>
    <w:qFormat/>
    <w:uiPriority w:val="0"/>
    <w:rPr>
      <w:rFonts w:ascii="宋体" w:hAnsi="Times New Roman"/>
      <w:sz w:val="18"/>
    </w:rPr>
  </w:style>
  <w:style w:type="paragraph" w:customStyle="1" w:styleId="212">
    <w:name w:val="标准文件_索引项"/>
    <w:basedOn w:val="58"/>
    <w:next w:val="58"/>
    <w:qFormat/>
    <w:uiPriority w:val="0"/>
    <w:pPr>
      <w:tabs>
        <w:tab w:val="right" w:leader="dot" w:pos="9356"/>
      </w:tabs>
      <w:ind w:left="210" w:hanging="210" w:firstLineChars="0"/>
      <w:jc w:val="left"/>
    </w:pPr>
  </w:style>
  <w:style w:type="paragraph" w:customStyle="1" w:styleId="213">
    <w:name w:val="标准文件_附录一级无标题"/>
    <w:basedOn w:val="80"/>
    <w:qFormat/>
    <w:uiPriority w:val="0"/>
    <w:pPr>
      <w:spacing w:before="0" w:beforeLines="0" w:after="0" w:afterLines="0" w:line="276" w:lineRule="auto"/>
      <w:outlineLvl w:val="9"/>
    </w:pPr>
    <w:rPr>
      <w:rFonts w:ascii="宋体" w:eastAsia="宋体"/>
    </w:rPr>
  </w:style>
  <w:style w:type="paragraph" w:customStyle="1" w:styleId="214">
    <w:name w:val="标准文件_附录二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三级无标题"/>
    <w:basedOn w:val="83"/>
    <w:qFormat/>
    <w:uiPriority w:val="0"/>
    <w:pPr>
      <w:spacing w:before="0" w:beforeLines="0" w:after="0" w:afterLines="0" w:line="276" w:lineRule="auto"/>
      <w:outlineLvl w:val="9"/>
    </w:pPr>
    <w:rPr>
      <w:rFonts w:ascii="宋体" w:eastAsia="宋体"/>
    </w:rPr>
  </w:style>
  <w:style w:type="paragraph" w:customStyle="1" w:styleId="216">
    <w:name w:val="标准文件_附录四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五级无标题"/>
    <w:basedOn w:val="86"/>
    <w:qFormat/>
    <w:uiPriority w:val="0"/>
    <w:pPr>
      <w:spacing w:before="0" w:beforeLines="0" w:after="0" w:afterLines="0" w:line="276" w:lineRule="auto"/>
      <w:outlineLvl w:val="9"/>
    </w:pPr>
    <w:rPr>
      <w:rFonts w:ascii="宋体" w:eastAsia="宋体"/>
    </w:rPr>
  </w:style>
  <w:style w:type="paragraph" w:customStyle="1" w:styleId="218">
    <w:name w:val="标准文件_引言一级无标题"/>
    <w:basedOn w:val="202"/>
    <w:next w:val="58"/>
    <w:qFormat/>
    <w:uiPriority w:val="0"/>
    <w:pPr>
      <w:spacing w:before="0" w:beforeLines="0" w:after="0" w:afterLines="0" w:line="276" w:lineRule="auto"/>
    </w:pPr>
    <w:rPr>
      <w:rFonts w:ascii="宋体" w:eastAsia="宋体"/>
    </w:rPr>
  </w:style>
  <w:style w:type="paragraph" w:customStyle="1" w:styleId="219">
    <w:name w:val="标准文件_引言二级无标题"/>
    <w:basedOn w:val="203"/>
    <w:next w:val="58"/>
    <w:qFormat/>
    <w:uiPriority w:val="0"/>
    <w:pPr>
      <w:spacing w:before="0" w:beforeLines="0" w:after="0" w:afterLines="0" w:line="276" w:lineRule="auto"/>
    </w:pPr>
    <w:rPr>
      <w:rFonts w:ascii="宋体" w:eastAsia="宋体"/>
    </w:rPr>
  </w:style>
  <w:style w:type="paragraph" w:customStyle="1" w:styleId="220">
    <w:name w:val="标准文件_引言三级无标题"/>
    <w:basedOn w:val="204"/>
    <w:qFormat/>
    <w:uiPriority w:val="0"/>
    <w:pPr>
      <w:spacing w:before="0" w:beforeLines="0" w:after="0" w:afterLines="0" w:line="276" w:lineRule="auto"/>
    </w:pPr>
    <w:rPr>
      <w:rFonts w:ascii="宋体" w:eastAsia="宋体"/>
    </w:rPr>
  </w:style>
  <w:style w:type="paragraph" w:customStyle="1" w:styleId="221">
    <w:name w:val="标准文件_引言四级无标题"/>
    <w:basedOn w:val="205"/>
    <w:next w:val="58"/>
    <w:qFormat/>
    <w:uiPriority w:val="0"/>
    <w:pPr>
      <w:spacing w:before="0" w:beforeLines="0" w:after="0" w:afterLines="0" w:line="276" w:lineRule="auto"/>
    </w:pPr>
    <w:rPr>
      <w:rFonts w:ascii="宋体" w:eastAsia="宋体"/>
    </w:rPr>
  </w:style>
  <w:style w:type="paragraph" w:customStyle="1" w:styleId="222">
    <w:name w:val="标准文件_引言五级无标题"/>
    <w:basedOn w:val="206"/>
    <w:next w:val="58"/>
    <w:qFormat/>
    <w:uiPriority w:val="0"/>
    <w:pPr>
      <w:spacing w:before="0" w:beforeLines="0" w:after="0" w:afterLines="0" w:line="276" w:lineRule="auto"/>
    </w:pPr>
    <w:rPr>
      <w:rFonts w:ascii="宋体" w:eastAsia="宋体"/>
    </w:rPr>
  </w:style>
  <w:style w:type="paragraph" w:customStyle="1" w:styleId="223">
    <w:name w:val="标准文件_索引标题"/>
    <w:basedOn w:val="65"/>
    <w:next w:val="58"/>
    <w:qFormat/>
    <w:uiPriority w:val="0"/>
    <w:rPr>
      <w:rFonts w:hAnsi="黑体"/>
    </w:rPr>
  </w:style>
  <w:style w:type="paragraph" w:customStyle="1" w:styleId="224">
    <w:name w:val="标准文件_脚注内容"/>
    <w:basedOn w:val="58"/>
    <w:qFormat/>
    <w:uiPriority w:val="0"/>
    <w:pPr>
      <w:ind w:left="400" w:leftChars="200" w:hanging="200" w:hangingChars="200"/>
    </w:pPr>
    <w:rPr>
      <w:sz w:val="15"/>
    </w:rPr>
  </w:style>
  <w:style w:type="paragraph" w:customStyle="1" w:styleId="225">
    <w:name w:val="标准文件_术语条一"/>
    <w:basedOn w:val="164"/>
    <w:next w:val="58"/>
    <w:qFormat/>
    <w:uiPriority w:val="0"/>
    <w:pPr>
      <w:ind w:left="3827"/>
    </w:pPr>
  </w:style>
  <w:style w:type="paragraph" w:customStyle="1" w:styleId="226">
    <w:name w:val="标准文件_术语条二"/>
    <w:basedOn w:val="167"/>
    <w:next w:val="58"/>
    <w:qFormat/>
    <w:uiPriority w:val="0"/>
  </w:style>
  <w:style w:type="paragraph" w:customStyle="1" w:styleId="227">
    <w:name w:val="标准文件_术语条三"/>
    <w:basedOn w:val="166"/>
    <w:next w:val="58"/>
    <w:qFormat/>
    <w:uiPriority w:val="0"/>
  </w:style>
  <w:style w:type="paragraph" w:customStyle="1" w:styleId="228">
    <w:name w:val="标准文件_术语条四"/>
    <w:basedOn w:val="169"/>
    <w:next w:val="58"/>
    <w:qFormat/>
    <w:uiPriority w:val="0"/>
  </w:style>
  <w:style w:type="paragraph" w:customStyle="1" w:styleId="229">
    <w:name w:val="标准文件_术语条五"/>
    <w:basedOn w:val="165"/>
    <w:next w:val="58"/>
    <w:qFormat/>
    <w:uiPriority w:val="0"/>
  </w:style>
  <w:style w:type="paragraph" w:customStyle="1" w:styleId="2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1">
    <w:name w:val="发布"/>
    <w:basedOn w:val="30"/>
    <w:qFormat/>
    <w:uiPriority w:val="0"/>
    <w:rPr>
      <w:rFonts w:ascii="黑体" w:eastAsia="黑体"/>
      <w:spacing w:val="85"/>
      <w:w w:val="100"/>
      <w:position w:val="3"/>
      <w:sz w:val="28"/>
      <w:szCs w:val="28"/>
    </w:rPr>
  </w:style>
  <w:style w:type="character" w:customStyle="1" w:styleId="232">
    <w:name w:val="批注文字 字符"/>
    <w:basedOn w:val="30"/>
    <w:link w:val="13"/>
    <w:qFormat/>
    <w:uiPriority w:val="99"/>
    <w:rPr>
      <w:rFonts w:ascii="Times New Roman" w:hAnsi="Times New Roman"/>
      <w:kern w:val="2"/>
      <w:sz w:val="21"/>
    </w:rPr>
  </w:style>
  <w:style w:type="paragraph" w:customStyle="1" w:styleId="233">
    <w:name w:val="Body"/>
    <w:basedOn w:val="1"/>
    <w:link w:val="234"/>
    <w:qFormat/>
    <w:uiPriority w:val="99"/>
    <w:pPr>
      <w:numPr>
        <w:ilvl w:val="2"/>
        <w:numId w:val="32"/>
      </w:numPr>
      <w:spacing w:line="360" w:lineRule="auto"/>
      <w:outlineLvl w:val="2"/>
    </w:pPr>
    <w:rPr>
      <w:rFonts w:ascii="Times New Roman" w:hAnsi="Times New Roman"/>
      <w:color w:val="000000"/>
      <w:sz w:val="24"/>
      <w:szCs w:val="20"/>
    </w:rPr>
  </w:style>
  <w:style w:type="character" w:customStyle="1" w:styleId="234">
    <w:name w:val="Body Char"/>
    <w:link w:val="233"/>
    <w:qFormat/>
    <w:locked/>
    <w:uiPriority w:val="99"/>
    <w:rPr>
      <w:rFonts w:ascii="Times New Roman" w:hAnsi="Times New Roman"/>
      <w:color w:val="000000"/>
      <w:kern w:val="2"/>
      <w:sz w:val="24"/>
    </w:rPr>
  </w:style>
  <w:style w:type="paragraph" w:customStyle="1" w:styleId="235">
    <w:name w:val="article title"/>
    <w:basedOn w:val="1"/>
    <w:qFormat/>
    <w:uiPriority w:val="99"/>
    <w:pPr>
      <w:widowControl/>
      <w:numPr>
        <w:ilvl w:val="0"/>
        <w:numId w:val="32"/>
      </w:numPr>
      <w:adjustRightInd/>
      <w:spacing w:line="360" w:lineRule="auto"/>
      <w:jc w:val="center"/>
      <w:outlineLvl w:val="0"/>
    </w:pPr>
    <w:rPr>
      <w:rFonts w:ascii="黑体" w:hAnsi="黑体" w:eastAsia="黑体"/>
      <w:b/>
      <w:color w:val="000000"/>
      <w:kern w:val="0"/>
      <w:sz w:val="28"/>
      <w:szCs w:val="20"/>
      <w:lang w:eastAsia="en-US"/>
    </w:rPr>
  </w:style>
  <w:style w:type="paragraph" w:customStyle="1" w:styleId="236">
    <w:name w:val="charter title"/>
    <w:basedOn w:val="1"/>
    <w:qFormat/>
    <w:uiPriority w:val="99"/>
    <w:pPr>
      <w:numPr>
        <w:ilvl w:val="1"/>
        <w:numId w:val="32"/>
      </w:numPr>
      <w:adjustRightInd/>
      <w:spacing w:before="312" w:after="312" w:line="360" w:lineRule="auto"/>
      <w:ind w:firstLine="0"/>
      <w:jc w:val="center"/>
      <w:outlineLvl w:val="1"/>
    </w:pPr>
    <w:rPr>
      <w:rFonts w:ascii="黑体" w:hAnsi="黑体" w:eastAsia="黑体"/>
      <w:b/>
      <w:color w:val="000000"/>
      <w:sz w:val="24"/>
      <w:szCs w:val="20"/>
    </w:rPr>
  </w:style>
  <w:style w:type="paragraph" w:customStyle="1" w:styleId="237">
    <w:name w:val="字母编号列项（一级）"/>
    <w:qFormat/>
    <w:uiPriority w:val="0"/>
    <w:pPr>
      <w:tabs>
        <w:tab w:val="left" w:pos="840"/>
      </w:tabs>
      <w:ind w:left="420" w:hanging="420"/>
      <w:jc w:val="both"/>
    </w:pPr>
    <w:rPr>
      <w:rFonts w:ascii="宋体" w:hAnsi="Times New Roman" w:eastAsia="宋体" w:cs="Times New Roman"/>
      <w:sz w:val="21"/>
      <w:lang w:val="en-US" w:eastAsia="zh-CN" w:bidi="ar-SA"/>
    </w:rPr>
  </w:style>
  <w:style w:type="paragraph" w:customStyle="1" w:styleId="238">
    <w:name w:val="二级无"/>
    <w:basedOn w:val="1"/>
    <w:qFormat/>
    <w:uiPriority w:val="0"/>
    <w:pPr>
      <w:widowControl/>
      <w:numPr>
        <w:ilvl w:val="2"/>
        <w:numId w:val="23"/>
      </w:numPr>
      <w:adjustRightInd/>
      <w:spacing w:line="240" w:lineRule="auto"/>
      <w:jc w:val="left"/>
      <w:outlineLvl w:val="3"/>
    </w:pPr>
    <w:rPr>
      <w:rFonts w:ascii="宋体" w:hAnsi="Times New Roman"/>
      <w:kern w:val="0"/>
    </w:rPr>
  </w:style>
  <w:style w:type="table" w:customStyle="1" w:styleId="239">
    <w:name w:val="Table Normal11"/>
    <w:basedOn w:val="28"/>
    <w:qFormat/>
    <w:uiPriority w:val="0"/>
    <w:rPr>
      <w:rFonts w:ascii="Times New Roman" w:hAnsi="Times New Roman" w:eastAsia="Times New Roman"/>
    </w:rPr>
    <w:tblPr>
      <w:tblCellMar>
        <w:left w:w="0" w:type="dxa"/>
        <w:right w:w="0" w:type="dxa"/>
      </w:tblCellMar>
    </w:tblPr>
  </w:style>
  <w:style w:type="paragraph" w:customStyle="1" w:styleId="240">
    <w:name w:val="TOC Heading"/>
    <w:basedOn w:val="2"/>
    <w:next w:val="1"/>
    <w:unhideWhenUsed/>
    <w:qFormat/>
    <w:uiPriority w:val="39"/>
    <w:pPr>
      <w:widowControl/>
      <w:adjustRightInd/>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41">
    <w:name w:val="Unresolved Mention"/>
    <w:basedOn w:val="30"/>
    <w:semiHidden/>
    <w:unhideWhenUsed/>
    <w:qFormat/>
    <w:uiPriority w:val="99"/>
    <w:rPr>
      <w:color w:val="605E5C"/>
      <w:shd w:val="clear" w:color="auto" w:fill="E1DFDD"/>
    </w:rPr>
  </w:style>
  <w:style w:type="table" w:customStyle="1" w:styleId="242">
    <w:name w:val="网格型1"/>
    <w:basedOn w:val="2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3" Type="http://schemas.openxmlformats.org/officeDocument/2006/relationships/glossaryDocument" Target="glossary/document.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endnotes" Target="endnotes.xml"/><Relationship Id="rId39" Type="http://schemas.openxmlformats.org/officeDocument/2006/relationships/image" Target="media/image7.jpeg"/><Relationship Id="rId38" Type="http://schemas.openxmlformats.org/officeDocument/2006/relationships/image" Target="media/image6.png"/><Relationship Id="rId37" Type="http://schemas.openxmlformats.org/officeDocument/2006/relationships/image" Target="media/image5.png"/><Relationship Id="rId36" Type="http://schemas.openxmlformats.org/officeDocument/2006/relationships/image" Target="media/image4.png"/><Relationship Id="rId35" Type="http://schemas.openxmlformats.org/officeDocument/2006/relationships/image" Target="media/image3.png"/><Relationship Id="rId34" Type="http://schemas.openxmlformats.org/officeDocument/2006/relationships/image" Target="media/image2.png"/><Relationship Id="rId33" Type="http://schemas.openxmlformats.org/officeDocument/2006/relationships/image" Target="media/image1.png"/><Relationship Id="rId32" Type="http://schemas.openxmlformats.org/officeDocument/2006/relationships/image" Target="media/image1.tiff"/><Relationship Id="rId31" Type="http://schemas.openxmlformats.org/officeDocument/2006/relationships/theme" Target="theme/theme1.xml"/><Relationship Id="rId30" Type="http://schemas.openxmlformats.org/officeDocument/2006/relationships/footer" Target="footer14.xml"/><Relationship Id="rId3" Type="http://schemas.openxmlformats.org/officeDocument/2006/relationships/footnotes" Target="footnotes.xml"/><Relationship Id="rId29" Type="http://schemas.openxmlformats.org/officeDocument/2006/relationships/footer" Target="footer13.xml"/><Relationship Id="rId28" Type="http://schemas.openxmlformats.org/officeDocument/2006/relationships/footer" Target="footer12.xml"/><Relationship Id="rId27" Type="http://schemas.openxmlformats.org/officeDocument/2006/relationships/footer" Target="footer11.xml"/><Relationship Id="rId26" Type="http://schemas.openxmlformats.org/officeDocument/2006/relationships/header" Target="header12.xml"/><Relationship Id="rId25" Type="http://schemas.openxmlformats.org/officeDocument/2006/relationships/header" Target="header11.xml"/><Relationship Id="rId24" Type="http://schemas.openxmlformats.org/officeDocument/2006/relationships/footer" Target="footer10.xml"/><Relationship Id="rId23" Type="http://schemas.openxmlformats.org/officeDocument/2006/relationships/footer" Target="footer9.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7F133E02BA1049EABCED4080B63D31F8"/>
        <w:style w:val=""/>
        <w:category>
          <w:name w:val="常规"/>
          <w:gallery w:val="placeholder"/>
        </w:category>
        <w:types>
          <w:type w:val="bbPlcHdr"/>
        </w:types>
        <w:behaviors>
          <w:behavior w:val="content"/>
        </w:behaviors>
        <w:description w:val=""/>
        <w:guid w:val="{B288CB90-2B20-4B0C-887F-4EA120D4E5E0}"/>
      </w:docPartPr>
      <w:docPartBody>
        <w:p>
          <w:pPr>
            <w:pStyle w:val="5"/>
          </w:pPr>
          <w:r>
            <w:rPr>
              <w:rStyle w:val="4"/>
              <w:rFonts w:hint="eastAsia"/>
            </w:rPr>
            <w:t>单击或点击此处输入文字。</w:t>
          </w:r>
        </w:p>
      </w:docPartBody>
    </w:docPart>
    <w:docPart>
      <w:docPartPr>
        <w:name w:val="4B0C0E2186E9492896CCB2216CADF5BE"/>
        <w:style w:val=""/>
        <w:category>
          <w:name w:val="常规"/>
          <w:gallery w:val="placeholder"/>
        </w:category>
        <w:types>
          <w:type w:val="bbPlcHdr"/>
        </w:types>
        <w:behaviors>
          <w:behavior w:val="content"/>
        </w:behaviors>
        <w:description w:val=""/>
        <w:guid w:val="{98EB6C2B-337E-44E6-9374-A91F91CF635E}"/>
      </w:docPartPr>
      <w:docPartBody>
        <w:p>
          <w:pPr>
            <w:pStyle w:val="6"/>
          </w:pPr>
          <w:r>
            <w:rPr>
              <w:rStyle w:val="4"/>
              <w:rFonts w:hint="eastAsia"/>
            </w:rPr>
            <w:t>选择一项。</w:t>
          </w:r>
        </w:p>
      </w:docPartBody>
    </w:docPart>
    <w:docPart>
      <w:docPartPr>
        <w:name w:val="72D4081DFF6C452F8D13F697A87DAA0A"/>
        <w:style w:val=""/>
        <w:category>
          <w:name w:val="常规"/>
          <w:gallery w:val="placeholder"/>
        </w:category>
        <w:types>
          <w:type w:val="bbPlcHdr"/>
        </w:types>
        <w:behaviors>
          <w:behavior w:val="content"/>
        </w:behaviors>
        <w:description w:val=""/>
        <w:guid w:val="{1880DEB1-D162-4F79-A09F-87888849843B}"/>
      </w:docPartPr>
      <w:docPartBody>
        <w:p>
          <w:pPr>
            <w:pStyle w:val="7"/>
          </w:pPr>
          <w:r>
            <w:rPr>
              <w:rStyle w:val="4"/>
              <w:rFonts w:hint="eastAsia"/>
            </w:rPr>
            <w:t>选择一项。</w:t>
          </w:r>
        </w:p>
      </w:docPartBody>
    </w:docPart>
    <w:docPart>
      <w:docPartPr>
        <w:name w:val="430DA221C9EB4030A7B937F8A66F7BC3"/>
        <w:style w:val=""/>
        <w:category>
          <w:name w:val="常规"/>
          <w:gallery w:val="placeholder"/>
        </w:category>
        <w:types>
          <w:type w:val="bbPlcHdr"/>
        </w:types>
        <w:behaviors>
          <w:behavior w:val="content"/>
        </w:behaviors>
        <w:description w:val=""/>
        <w:guid w:val="{E5608F81-D46F-4AF8-AE84-066DD9A4304A}"/>
      </w:docPartPr>
      <w:docPartBody>
        <w:p>
          <w:pPr>
            <w:pStyle w:val="8"/>
          </w:pPr>
          <w:r>
            <w:rPr>
              <w:rStyle w:val="4"/>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2CB"/>
    <w:rsid w:val="00003631"/>
    <w:rsid w:val="00007EDA"/>
    <w:rsid w:val="00050E5B"/>
    <w:rsid w:val="00073FC3"/>
    <w:rsid w:val="000D05D5"/>
    <w:rsid w:val="000D0990"/>
    <w:rsid w:val="0012472E"/>
    <w:rsid w:val="00141C1B"/>
    <w:rsid w:val="00187488"/>
    <w:rsid w:val="001A3466"/>
    <w:rsid w:val="001B479A"/>
    <w:rsid w:val="001E2BEF"/>
    <w:rsid w:val="00263809"/>
    <w:rsid w:val="002762CB"/>
    <w:rsid w:val="002C4359"/>
    <w:rsid w:val="002E7099"/>
    <w:rsid w:val="00307639"/>
    <w:rsid w:val="00330B6A"/>
    <w:rsid w:val="00340C4E"/>
    <w:rsid w:val="003705AE"/>
    <w:rsid w:val="003851DE"/>
    <w:rsid w:val="00392414"/>
    <w:rsid w:val="003F48D7"/>
    <w:rsid w:val="00454E3F"/>
    <w:rsid w:val="00474757"/>
    <w:rsid w:val="004B526B"/>
    <w:rsid w:val="004C7325"/>
    <w:rsid w:val="004D5372"/>
    <w:rsid w:val="00517A36"/>
    <w:rsid w:val="00580713"/>
    <w:rsid w:val="005F294A"/>
    <w:rsid w:val="0060554C"/>
    <w:rsid w:val="0064544B"/>
    <w:rsid w:val="00647E22"/>
    <w:rsid w:val="00681925"/>
    <w:rsid w:val="0069561E"/>
    <w:rsid w:val="006A6188"/>
    <w:rsid w:val="006E1259"/>
    <w:rsid w:val="006E1EE8"/>
    <w:rsid w:val="006E3A46"/>
    <w:rsid w:val="00711886"/>
    <w:rsid w:val="007511A6"/>
    <w:rsid w:val="007D410B"/>
    <w:rsid w:val="007D6A1C"/>
    <w:rsid w:val="007D7B02"/>
    <w:rsid w:val="008069B1"/>
    <w:rsid w:val="00813B5C"/>
    <w:rsid w:val="008B279C"/>
    <w:rsid w:val="008C0E1E"/>
    <w:rsid w:val="008F2FB1"/>
    <w:rsid w:val="00904B60"/>
    <w:rsid w:val="00973189"/>
    <w:rsid w:val="00993DA2"/>
    <w:rsid w:val="009C4974"/>
    <w:rsid w:val="009F10DE"/>
    <w:rsid w:val="00A21C87"/>
    <w:rsid w:val="00A23A70"/>
    <w:rsid w:val="00A26673"/>
    <w:rsid w:val="00A66586"/>
    <w:rsid w:val="00A72FAE"/>
    <w:rsid w:val="00AC6DA3"/>
    <w:rsid w:val="00B0424C"/>
    <w:rsid w:val="00B65915"/>
    <w:rsid w:val="00BF6958"/>
    <w:rsid w:val="00C17E9A"/>
    <w:rsid w:val="00C42E89"/>
    <w:rsid w:val="00CA21AC"/>
    <w:rsid w:val="00CA4493"/>
    <w:rsid w:val="00CC0E4D"/>
    <w:rsid w:val="00CC1B59"/>
    <w:rsid w:val="00D31DA5"/>
    <w:rsid w:val="00D527C4"/>
    <w:rsid w:val="00DD42EE"/>
    <w:rsid w:val="00E15C7C"/>
    <w:rsid w:val="00E42DF4"/>
    <w:rsid w:val="00E456F7"/>
    <w:rsid w:val="00E46E31"/>
    <w:rsid w:val="00EB13C8"/>
    <w:rsid w:val="00EE10EA"/>
    <w:rsid w:val="00F06FA9"/>
    <w:rsid w:val="00F545CC"/>
    <w:rsid w:val="00F57510"/>
    <w:rsid w:val="00F57AD4"/>
    <w:rsid w:val="00FA3D88"/>
    <w:rsid w:val="00FC10BC"/>
    <w:rsid w:val="00FC38E0"/>
    <w:rsid w:val="00FD5551"/>
    <w:rsid w:val="00FE3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7F133E02BA1049EABCED4080B63D31F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4B0C0E2186E9492896CCB2216CADF5B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72D4081DFF6C452F8D13F697A87DAA0A"/>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8">
    <w:name w:val="430DA221C9EB4030A7B937F8A66F7BC3"/>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28</Pages>
  <Words>3260</Words>
  <Characters>18587</Characters>
  <Lines>154</Lines>
  <Paragraphs>43</Paragraphs>
  <TotalTime>1723</TotalTime>
  <ScaleCrop>false</ScaleCrop>
  <LinksUpToDate>false</LinksUpToDate>
  <CharactersWithSpaces>21804</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2026-04-14T08:36:00Z</dcterms:created>
  <dc:creator>ZSC-OFFICE</dc:creator>
  <dc:description>&lt;config cover="true" show_menu="true" version="1.0.0" doctype="SDKXY"&gt;_x000d_
&lt;/config&gt;</dc:description>
  <cp:lastModifiedBy>user</cp:lastModifiedBy>
  <cp:lastPrinted>2026-03-25T14:51:00Z</cp:lastPrinted>
  <dcterms:modified xsi:type="dcterms:W3CDTF">2026-10-30T15:15:47Z</dcterms:modified>
  <dc:title>地方标准</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2052-11.8.2.10489</vt:lpwstr>
  </property>
</Properties>
</file>