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2"/>
        <w:tblpPr w:vertAnchor="page" w:horzAnchor="page" w:tblpX="1419" w:tblpY="568"/>
        <w:tblW w:w="1706" w:type="dxa"/>
        <w:tblInd w:w="0" w:type="dxa"/>
        <w:tblLayout w:type="autofit"/>
        <w:tblCellMar>
          <w:top w:w="0" w:type="dxa"/>
          <w:left w:w="0" w:type="dxa"/>
          <w:bottom w:w="0" w:type="dxa"/>
          <w:right w:w="0" w:type="dxa"/>
        </w:tblCellMar>
      </w:tblPr>
      <w:tblGrid>
        <w:gridCol w:w="1706"/>
      </w:tblGrid>
      <w:tr>
        <w:tblPrEx>
          <w:tblCellMar>
            <w:top w:w="0" w:type="dxa"/>
            <w:left w:w="0" w:type="dxa"/>
            <w:bottom w:w="0" w:type="dxa"/>
            <w:right w:w="0" w:type="dxa"/>
          </w:tblCellMar>
        </w:tblPrEx>
        <w:tc>
          <w:tcPr>
            <w:tcW w:w="1706" w:type="dxa"/>
          </w:tcPr>
          <w:p>
            <w:pPr>
              <w:pStyle w:val="30"/>
              <w:spacing w:line="240" w:lineRule="auto"/>
              <w:ind w:firstLine="0" w:firstLineChars="0"/>
              <w:jc w:val="left"/>
              <w:rPr>
                <w:rFonts w:ascii="黑体" w:hAnsi="黑体" w:eastAsia="黑体"/>
              </w:rPr>
            </w:pPr>
            <w:bookmarkStart w:id="342" w:name="_GoBack"/>
            <w:bookmarkEnd w:id="342"/>
            <w:r>
              <w:rPr>
                <w:rFonts w:ascii="黑体" w:hAnsi="黑体" w:eastAsia="黑体"/>
              </w:rPr>
              <w:t>ICS 91.0</w:t>
            </w:r>
            <w:r>
              <w:rPr>
                <w:rFonts w:hint="eastAsia" w:ascii="黑体" w:hAnsi="黑体" w:eastAsia="黑体"/>
                <w:lang w:eastAsia="zh-CN"/>
              </w:rPr>
              <w:t>8</w:t>
            </w:r>
            <w:r>
              <w:rPr>
                <w:rFonts w:ascii="黑体" w:hAnsi="黑体" w:eastAsia="黑体"/>
              </w:rPr>
              <w:t>0.</w:t>
            </w:r>
            <w:r>
              <w:rPr>
                <w:rFonts w:hint="eastAsia" w:ascii="黑体" w:hAnsi="黑体" w:eastAsia="黑体"/>
                <w:lang w:eastAsia="zh-CN"/>
              </w:rPr>
              <w:t>1</w:t>
            </w:r>
            <w:r>
              <w:rPr>
                <w:rFonts w:ascii="黑体" w:hAnsi="黑体" w:eastAsia="黑体"/>
              </w:rPr>
              <w:t>0</w:t>
            </w:r>
          </w:p>
          <w:p>
            <w:pPr>
              <w:pStyle w:val="30"/>
              <w:spacing w:line="240" w:lineRule="auto"/>
              <w:ind w:firstLine="0" w:firstLineChars="0"/>
              <w:jc w:val="left"/>
              <w:rPr>
                <w:rFonts w:ascii="黑体" w:hAnsi="黑体" w:eastAsia="黑体"/>
              </w:rPr>
            </w:pPr>
            <w:r>
              <w:rPr>
                <w:rFonts w:ascii="黑体" w:hAnsi="黑体" w:eastAsia="黑体"/>
              </w:rPr>
              <w:t>CCS P33</w:t>
            </w:r>
          </w:p>
        </w:tc>
      </w:tr>
    </w:tbl>
    <w:p>
      <w:pPr>
        <w:pStyle w:val="65"/>
        <w:framePr w:w="9639" w:h="567" w:hRule="exact" w:hSpace="181" w:vSpace="181" w:hAnchor="page" w:x="1419" w:y="2269"/>
        <w:rPr>
          <w:rFonts w:ascii="黑体" w:hAnsi="黑体" w:eastAsia="黑体"/>
          <w:b w:val="0"/>
          <w:bCs w:val="0"/>
          <w:w w:val="100"/>
          <w:sz w:val="48"/>
          <w:szCs w:val="48"/>
        </w:rPr>
      </w:pPr>
      <w:bookmarkStart w:id="0" w:name="ICS"/>
      <w:bookmarkStart w:id="1" w:name="c1"/>
      <w:bookmarkStart w:id="2" w:name="c2"/>
      <w:bookmarkStart w:id="3" w:name="CSDN"/>
      <w:bookmarkStart w:id="4" w:name="_Hlk26473981"/>
      <w:r>
        <w:rPr>
          <w:rFonts w:hint="eastAsia" w:ascii="黑体" w:eastAsia="黑体"/>
          <w:b w:val="0"/>
          <w:w w:val="100"/>
          <w:sz w:val="48"/>
        </w:rPr>
        <w:t>湖北省</w:t>
      </w:r>
      <w:r>
        <w:rPr>
          <w:rFonts w:hint="eastAsia" w:ascii="黑体" w:hAnsi="黑体" w:eastAsia="黑体"/>
          <w:b w:val="0"/>
          <w:bCs w:val="0"/>
          <w:w w:val="100"/>
          <w:sz w:val="48"/>
          <w:szCs w:val="48"/>
        </w:rPr>
        <w:t>地方标准</w:t>
      </w:r>
    </w:p>
    <w:p>
      <w:pPr>
        <w:pStyle w:val="66"/>
        <w:framePr w:h="625" w:hRule="exact" w:wrap="around" w:y="3346"/>
        <w:rPr>
          <w:lang w:val="fr-FR"/>
        </w:rPr>
      </w:pPr>
      <w:r>
        <w:rPr>
          <w:lang w:val="fr-FR"/>
        </w:rPr>
        <w:t>DB</w:t>
      </w:r>
      <w:bookmarkStart w:id="5" w:name="文字1"/>
      <w:r>
        <w:rPr>
          <w:rFonts w:hint="eastAsia"/>
        </w:rPr>
        <w:t>42</w:t>
      </w:r>
      <w:r>
        <w:rPr>
          <w:lang w:val="fr-FR"/>
        </w:rPr>
        <w:t xml:space="preserve">/T </w:t>
      </w:r>
      <w:bookmarkStart w:id="6" w:name="NSTD_CODE_F"/>
      <w:r>
        <w:rPr>
          <w:lang w:val="fr-FR"/>
        </w:rPr>
        <w:t>XXXX</w:t>
      </w:r>
      <w:r>
        <w:rPr>
          <w:rFonts w:hAnsi="黑体"/>
          <w:lang w:val="fr-FR"/>
        </w:rPr>
        <w:t>—</w:t>
      </w:r>
      <w:bookmarkStart w:id="7" w:name="NSTD_CODE_B"/>
      <w:r>
        <w:rPr>
          <w:lang w:val="fr-FR"/>
        </w:rPr>
        <w:t>XXXX</w:t>
      </w:r>
    </w:p>
    <w:p>
      <w:pPr>
        <w:spacing w:line="240" w:lineRule="auto"/>
        <w:rPr>
          <w:rFonts w:ascii="黑体" w:hAnsi="黑体" w:eastAsia="黑体"/>
          <w:kern w:val="0"/>
          <w:sz w:val="10"/>
          <w:szCs w:val="10"/>
        </w:rPr>
      </w:pPr>
      <w:bookmarkStart w:id="8" w:name="OSTD_CODE"/>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33655" b="1905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65"/>
        <w:framePr w:w="9639" w:h="6976" w:hRule="exact" w:hSpace="0" w:vSpace="0" w:hAnchor="page" w:y="6408"/>
        <w:jc w:val="center"/>
        <w:rPr>
          <w:rFonts w:ascii="黑体" w:hAnsi="黑体" w:eastAsia="黑体"/>
          <w:b w:val="0"/>
          <w:bCs w:val="0"/>
          <w:w w:val="100"/>
        </w:rPr>
      </w:pPr>
    </w:p>
    <w:p>
      <w:pPr>
        <w:pStyle w:val="63"/>
        <w:framePr w:h="6974" w:hRule="exact" w:wrap="around" w:x="1419" w:y="6522" w:anchorLock="1"/>
      </w:pPr>
      <w:bookmarkStart w:id="9" w:name="OLE_LINK1"/>
      <w:bookmarkStart w:id="10" w:name="CSTD_NAME"/>
      <w:r>
        <w:rPr>
          <w:rFonts w:hint="eastAsia"/>
        </w:rPr>
        <w:t>钢结构装配式住宅技术规程</w:t>
      </w:r>
    </w:p>
    <w:p>
      <w:pPr>
        <w:framePr w:w="9639" w:h="6974" w:hRule="exact" w:wrap="around" w:vAnchor="page" w:hAnchor="page" w:x="1419" w:y="6522" w:anchorLock="1"/>
        <w:ind w:left="-1418"/>
      </w:pPr>
    </w:p>
    <w:p>
      <w:pPr>
        <w:pStyle w:val="62"/>
        <w:framePr w:w="9639" w:h="6974" w:hRule="exact" w:wrap="around" w:vAnchor="page" w:hAnchor="page" w:x="1419" w:y="6522" w:anchorLock="1"/>
        <w:textAlignment w:val="bottom"/>
        <w:rPr>
          <w:rFonts w:eastAsia="黑体"/>
          <w:szCs w:val="28"/>
        </w:rPr>
      </w:pPr>
      <w:bookmarkStart w:id="11" w:name="ESTD_NAME"/>
      <w:r>
        <w:rPr>
          <w:rFonts w:eastAsia="黑体"/>
          <w:szCs w:val="28"/>
        </w:rPr>
        <w:t>Technical specification for assembled residence of steel structure</w:t>
      </w:r>
    </w:p>
    <w:p>
      <w:pPr>
        <w:framePr w:w="9639" w:h="6974" w:hRule="exact" w:wrap="around" w:vAnchor="page" w:hAnchor="page" w:x="1419" w:y="6522" w:anchorLock="1"/>
        <w:spacing w:line="760" w:lineRule="exact"/>
        <w:ind w:left="-1418"/>
      </w:pPr>
    </w:p>
    <w:p>
      <w:pPr>
        <w:pStyle w:val="62"/>
        <w:framePr w:w="9639" w:h="6974" w:hRule="exact" w:wrap="around" w:vAnchor="page" w:hAnchor="page" w:x="1419" w:y="6522" w:anchorLock="1"/>
        <w:textAlignment w:val="bottom"/>
        <w:rPr>
          <w:rFonts w:eastAsia="黑体"/>
          <w:szCs w:val="28"/>
        </w:rPr>
      </w:pPr>
    </w:p>
    <w:p>
      <w:pPr>
        <w:pStyle w:val="62"/>
        <w:framePr w:w="9639" w:h="6974" w:hRule="exact" w:wrap="around" w:vAnchor="page" w:hAnchor="page" w:x="1419" w:y="6522" w:anchorLock="1"/>
        <w:spacing w:before="440" w:after="160"/>
        <w:textAlignment w:val="bottom"/>
        <w:rPr>
          <w:sz w:val="24"/>
          <w:szCs w:val="28"/>
        </w:rPr>
      </w:pPr>
      <w:bookmarkStart w:id="12" w:name="下拉1"/>
      <w:r>
        <w:rPr>
          <w:rFonts w:hint="eastAsia"/>
          <w:sz w:val="24"/>
          <w:szCs w:val="28"/>
        </w:rPr>
        <w:t>（征求意见稿）</w:t>
      </w:r>
    </w:p>
    <w:p>
      <w:pPr>
        <w:pStyle w:val="62"/>
        <w:framePr w:w="9639" w:h="6974" w:hRule="exact" w:wrap="around" w:vAnchor="page" w:hAnchor="page" w:x="1419" w:y="6522" w:anchorLock="1"/>
        <w:spacing w:before="180" w:line="240" w:lineRule="atLeast"/>
        <w:textAlignment w:val="bottom"/>
        <w:rPr>
          <w:sz w:val="21"/>
          <w:szCs w:val="28"/>
        </w:rPr>
      </w:pPr>
      <w:bookmarkStart w:id="13" w:name="CMPLSH_DATE"/>
      <w:r>
        <w:rPr>
          <w:sz w:val="21"/>
          <w:szCs w:val="28"/>
        </w:rPr>
        <w:t>     </w:t>
      </w:r>
      <w:bookmarkEnd w:id="13"/>
    </w:p>
    <w:bookmarkEnd w:id="9"/>
    <w:p>
      <w:pPr>
        <w:pStyle w:val="69"/>
        <w:framePr w:y="14176"/>
      </w:pPr>
      <w:bookmarkStart w:id="14" w:name="PLSH_DATE_Y"/>
      <w:r>
        <w:rPr>
          <w:rFonts w:ascii="黑体"/>
        </w:rPr>
        <w:t>XXXX</w:t>
      </w:r>
      <w:bookmarkEnd w:id="14"/>
      <w:r>
        <w:t xml:space="preserve"> </w:t>
      </w:r>
      <w:r>
        <w:rPr>
          <w:rFonts w:ascii="黑体"/>
        </w:rPr>
        <w:t>-</w:t>
      </w:r>
      <w:r>
        <w:t xml:space="preserve"> </w:t>
      </w:r>
      <w:bookmarkStart w:id="15" w:name="PLSH_DATE_M"/>
      <w:r>
        <w:rPr>
          <w:rFonts w:ascii="黑体"/>
        </w:rPr>
        <w:t>XX</w:t>
      </w:r>
      <w:bookmarkEnd w:id="15"/>
      <w:r>
        <w:t xml:space="preserve"> </w:t>
      </w:r>
      <w:r>
        <w:rPr>
          <w:rFonts w:ascii="黑体"/>
        </w:rPr>
        <w:t>-</w:t>
      </w:r>
      <w:r>
        <w:t xml:space="preserve"> </w:t>
      </w:r>
      <w:bookmarkStart w:id="16" w:name="PLSH_DATE_D"/>
      <w:r>
        <w:rPr>
          <w:rFonts w:ascii="黑体"/>
        </w:rPr>
        <w:t>XX</w:t>
      </w:r>
      <w:bookmarkEnd w:id="16"/>
      <w:r>
        <w:rPr>
          <w:rFonts w:hint="eastAsia"/>
        </w:rPr>
        <w:t>发布</w:t>
      </w:r>
    </w:p>
    <w:p>
      <w:pPr>
        <w:pStyle w:val="71"/>
        <w:framePr w:y="14176"/>
      </w:pPr>
      <w:bookmarkStart w:id="17" w:name="CROT_DATE_Y"/>
      <w:r>
        <w:rPr>
          <w:rFonts w:ascii="黑体"/>
        </w:rPr>
        <w:t>XXXX</w:t>
      </w:r>
      <w:bookmarkEnd w:id="17"/>
      <w:r>
        <w:t xml:space="preserve"> </w:t>
      </w:r>
      <w:r>
        <w:rPr>
          <w:rFonts w:ascii="黑体"/>
        </w:rPr>
        <w:t>-</w:t>
      </w:r>
      <w:r>
        <w:t xml:space="preserve"> </w:t>
      </w:r>
      <w:bookmarkStart w:id="18" w:name="CROT_DATE_M"/>
      <w:r>
        <w:rPr>
          <w:rFonts w:ascii="黑体"/>
        </w:rPr>
        <w:t>XX</w:t>
      </w:r>
      <w:bookmarkEnd w:id="18"/>
      <w:r>
        <w:t xml:space="preserve"> </w:t>
      </w:r>
      <w:r>
        <w:rPr>
          <w:rFonts w:ascii="黑体"/>
        </w:rPr>
        <w:t>-</w:t>
      </w:r>
      <w:r>
        <w:t xml:space="preserve"> </w:t>
      </w:r>
      <w:bookmarkStart w:id="19" w:name="CROT_DATE_D"/>
      <w:r>
        <w:rPr>
          <w:rFonts w:ascii="黑体"/>
        </w:rPr>
        <w:t>XX</w:t>
      </w:r>
      <w:bookmarkEnd w:id="19"/>
      <w:r>
        <w:rPr>
          <w:rFonts w:hint="eastAsia"/>
        </w:rPr>
        <w:t>实施</w:t>
      </w:r>
    </w:p>
    <w:tbl>
      <w:tblPr>
        <w:tblStyle w:val="32"/>
        <w:tblW w:w="8472" w:type="dxa"/>
        <w:tblInd w:w="135" w:type="dxa"/>
        <w:tblLayout w:type="fixed"/>
        <w:tblCellMar>
          <w:top w:w="0" w:type="dxa"/>
          <w:left w:w="108" w:type="dxa"/>
          <w:bottom w:w="0" w:type="dxa"/>
          <w:right w:w="108" w:type="dxa"/>
        </w:tblCellMar>
      </w:tblPr>
      <w:tblGrid>
        <w:gridCol w:w="5019"/>
        <w:gridCol w:w="3453"/>
      </w:tblGrid>
      <w:tr>
        <w:tblPrEx>
          <w:tblCellMar>
            <w:top w:w="0" w:type="dxa"/>
            <w:left w:w="108" w:type="dxa"/>
            <w:bottom w:w="0" w:type="dxa"/>
            <w:right w:w="108" w:type="dxa"/>
          </w:tblCellMar>
        </w:tblPrEx>
        <w:tc>
          <w:tcPr>
            <w:tcW w:w="5019" w:type="dxa"/>
            <w:tcBorders>
              <w:top w:val="nil"/>
              <w:left w:val="nil"/>
              <w:bottom w:val="nil"/>
              <w:right w:val="nil"/>
            </w:tcBorders>
          </w:tcPr>
          <w:p>
            <w:pPr>
              <w:framePr w:h="734" w:hRule="exact" w:hSpace="181" w:vSpace="181" w:wrap="around" w:vAnchor="page" w:hAnchor="page" w:x="2264" w:y="14989"/>
              <w:spacing w:line="0" w:lineRule="atLeast"/>
              <w:jc w:val="distribute"/>
              <w:rPr>
                <w:rFonts w:eastAsia="黑体"/>
                <w:bCs/>
                <w:sz w:val="28"/>
                <w:szCs w:val="28"/>
              </w:rPr>
            </w:pPr>
            <w:r>
              <w:rPr>
                <w:rFonts w:ascii="黑体" w:hAnsi="黑体" w:eastAsia="黑体"/>
                <w:bCs/>
                <w:sz w:val="28"/>
                <w:szCs w:val="28"/>
              </w:rPr>
              <w:t>湖北省住房和城乡建设厅</w:t>
            </w:r>
          </w:p>
        </w:tc>
        <w:tc>
          <w:tcPr>
            <w:tcW w:w="3453" w:type="dxa"/>
            <w:vMerge w:val="restart"/>
            <w:tcBorders>
              <w:top w:val="nil"/>
              <w:left w:val="nil"/>
              <w:bottom w:val="nil"/>
              <w:right w:val="nil"/>
            </w:tcBorders>
            <w:vAlign w:val="center"/>
          </w:tcPr>
          <w:p>
            <w:pPr>
              <w:framePr w:h="734" w:hRule="exact" w:hSpace="181" w:vSpace="181" w:wrap="around" w:vAnchor="page" w:hAnchor="page" w:x="2264" w:y="14989"/>
              <w:spacing w:line="0" w:lineRule="atLeast"/>
              <w:ind w:firstLine="450" w:firstLineChars="100"/>
              <w:rPr>
                <w:rFonts w:eastAsia="黑体"/>
                <w:bCs/>
                <w:sz w:val="36"/>
                <w:szCs w:val="36"/>
              </w:rPr>
            </w:pPr>
            <w:r>
              <w:rPr>
                <w:rFonts w:ascii="黑体" w:hAnsi="黑体" w:eastAsia="黑体"/>
                <w:bCs/>
                <w:spacing w:val="85"/>
                <w:position w:val="3"/>
                <w:sz w:val="28"/>
                <w:szCs w:val="28"/>
              </w:rPr>
              <w:t>联合发布</w:t>
            </w:r>
          </w:p>
        </w:tc>
      </w:tr>
      <w:tr>
        <w:tblPrEx>
          <w:tblCellMar>
            <w:top w:w="0" w:type="dxa"/>
            <w:left w:w="108" w:type="dxa"/>
            <w:bottom w:w="0" w:type="dxa"/>
            <w:right w:w="108" w:type="dxa"/>
          </w:tblCellMar>
        </w:tblPrEx>
        <w:tc>
          <w:tcPr>
            <w:tcW w:w="5019" w:type="dxa"/>
            <w:tcBorders>
              <w:top w:val="nil"/>
              <w:left w:val="nil"/>
              <w:bottom w:val="nil"/>
              <w:right w:val="nil"/>
            </w:tcBorders>
          </w:tcPr>
          <w:p>
            <w:pPr>
              <w:framePr w:h="734" w:hRule="exact" w:hSpace="181" w:vSpace="181" w:wrap="around" w:vAnchor="page" w:hAnchor="page" w:x="2264" w:y="14989"/>
              <w:spacing w:line="0" w:lineRule="atLeast"/>
              <w:jc w:val="distribute"/>
              <w:rPr>
                <w:rFonts w:eastAsia="黑体"/>
                <w:bCs/>
                <w:sz w:val="28"/>
                <w:szCs w:val="28"/>
              </w:rPr>
            </w:pPr>
            <w:r>
              <w:rPr>
                <w:rFonts w:ascii="黑体" w:hAnsi="黑体" w:eastAsia="黑体"/>
                <w:bCs/>
                <w:sz w:val="28"/>
                <w:szCs w:val="28"/>
              </w:rPr>
              <w:t>湖北省市场监督管理局</w:t>
            </w:r>
            <w:r>
              <w:rPr>
                <w:rFonts w:eastAsia="黑体"/>
                <w:bCs/>
                <w:sz w:val="28"/>
                <w:szCs w:val="28"/>
              </w:rPr>
              <w:t xml:space="preserve">    </w:t>
            </w:r>
          </w:p>
        </w:tc>
        <w:tc>
          <w:tcPr>
            <w:tcW w:w="3453" w:type="dxa"/>
            <w:vMerge w:val="continue"/>
            <w:tcBorders>
              <w:top w:val="nil"/>
              <w:left w:val="nil"/>
              <w:bottom w:val="nil"/>
              <w:right w:val="nil"/>
            </w:tcBorders>
            <w:vAlign w:val="center"/>
          </w:tcPr>
          <w:p>
            <w:pPr>
              <w:framePr w:h="734" w:hRule="exact" w:hSpace="181" w:vSpace="181" w:wrap="around" w:vAnchor="page" w:hAnchor="page" w:x="2264" w:y="14989"/>
              <w:widowControl/>
              <w:jc w:val="left"/>
              <w:rPr>
                <w:rFonts w:eastAsia="黑体"/>
                <w:bCs/>
                <w:sz w:val="36"/>
                <w:szCs w:val="36"/>
              </w:rPr>
            </w:pPr>
          </w:p>
        </w:tc>
      </w:tr>
    </w:tbl>
    <w:tbl>
      <w:tblPr>
        <w:tblStyle w:val="33"/>
        <w:tblpPr w:leftFromText="181" w:rightFromText="181" w:vertAnchor="page" w:horzAnchor="page" w:tblpX="4288" w:tblpY="73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21" w:type="dxa"/>
        </w:tblCellMar>
      </w:tblPr>
      <w:tblGrid>
        <w:gridCol w:w="64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21" w:type="dxa"/>
          </w:tblCellMar>
        </w:tblPrEx>
        <w:trPr>
          <w:trHeight w:val="20" w:hRule="atLeast"/>
        </w:trPr>
        <w:tc>
          <w:tcPr>
            <w:tcW w:w="6406" w:type="dxa"/>
          </w:tcPr>
          <w:p>
            <w:pPr>
              <w:pStyle w:val="72"/>
              <w:framePr w:w="0" w:hRule="auto" w:wrap="auto" w:vAnchor="margin" w:hAnchor="text" w:xAlign="left" w:yAlign="inline"/>
              <w:rPr>
                <w:rFonts w:ascii="宋体" w:hAnsi="宋体"/>
                <w:sz w:val="28"/>
                <w:szCs w:val="28"/>
              </w:rPr>
            </w:pPr>
            <w:r>
              <w:rPr>
                <w:rFonts w:hint="eastAsia"/>
                <w:szCs w:val="96"/>
              </w:rPr>
              <w:t>DB</w:t>
            </w:r>
            <w:r>
              <w:fldChar w:fldCharType="begin">
                <w:ffData>
                  <w:name w:val="c1"/>
                  <w:enabled/>
                  <w:calcOnExit w:val="0"/>
                  <w:textInput>
                    <w:maxLength w:val="8"/>
                  </w:textInput>
                </w:ffData>
              </w:fldChar>
            </w:r>
            <w:r>
              <w:instrText xml:space="preserve"> FORMTEXT </w:instrText>
            </w:r>
            <w:r>
              <w:fldChar w:fldCharType="separate"/>
            </w:r>
            <w:r>
              <w:t>42</w:t>
            </w:r>
            <w:r>
              <w:fldChar w:fldCharType="end"/>
            </w:r>
          </w:p>
        </w:tc>
      </w:tr>
    </w:tbl>
    <w:p>
      <w:pPr>
        <w:rPr>
          <w:rFonts w:ascii="宋体" w:hAnsi="宋体"/>
          <w:sz w:val="28"/>
          <w:szCs w:val="28"/>
        </w:rPr>
        <w:sectPr>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37"/>
        <w:spacing w:before="851" w:after="680" w:afterLines="0" w:line="240" w:lineRule="atLeast"/>
      </w:pPr>
      <w:r>
        <w:rPr>
          <w:rFonts w:hint="eastAsia"/>
          <w:spacing w:val="320"/>
        </w:rPr>
        <w:t>目</w:t>
      </w:r>
      <w:r>
        <w:rPr>
          <w:rFonts w:hint="eastAsia"/>
        </w:rPr>
        <w:t>次</w:t>
      </w:r>
    </w:p>
    <w:p>
      <w:pPr>
        <w:pStyle w:val="23"/>
        <w:spacing w:before="78" w:after="78"/>
        <w:rPr>
          <w:rFonts w:asciiTheme="minorHAnsi" w:hAnsiTheme="minorHAnsi" w:eastAsiaTheme="minorEastAsia" w:cstheme="minorBidi"/>
          <w:szCs w:val="22"/>
        </w:rPr>
      </w:pPr>
      <w:r>
        <w:fldChar w:fldCharType="begin"/>
      </w:r>
      <w:r>
        <w:instrText xml:space="preserve">TOC \o "1-2" \h \u \b PartA</w:instrText>
      </w:r>
      <w:r>
        <w:fldChar w:fldCharType="separate"/>
      </w:r>
      <w:r>
        <w:fldChar w:fldCharType="begin"/>
      </w:r>
      <w:r>
        <w:instrText xml:space="preserve"> HYPERLINK \l "_Toc241506507" </w:instrText>
      </w:r>
      <w:r>
        <w:fldChar w:fldCharType="separate"/>
      </w:r>
      <w:r>
        <w:rPr>
          <w:rStyle w:val="35"/>
          <w:spacing w:val="320"/>
        </w:rPr>
        <w:t>前</w:t>
      </w:r>
      <w:r>
        <w:rPr>
          <w:rStyle w:val="35"/>
        </w:rPr>
        <w:t>言</w:t>
      </w:r>
      <w:r>
        <w:tab/>
      </w:r>
      <w:r>
        <w:fldChar w:fldCharType="begin"/>
      </w:r>
      <w:r>
        <w:instrText xml:space="preserve"> PAGEREF _Toc241506507 \h </w:instrText>
      </w:r>
      <w:r>
        <w:fldChar w:fldCharType="separate"/>
      </w:r>
      <w:r>
        <w:t>V</w:t>
      </w:r>
      <w:r>
        <w:fldChar w:fldCharType="end"/>
      </w:r>
      <w:r>
        <w:fldChar w:fldCharType="end"/>
      </w:r>
    </w:p>
    <w:p>
      <w:pPr>
        <w:pStyle w:val="23"/>
        <w:spacing w:before="78" w:after="78"/>
        <w:rPr>
          <w:rFonts w:asciiTheme="minorHAnsi" w:hAnsiTheme="minorHAnsi" w:eastAsiaTheme="minorEastAsia" w:cstheme="minorBidi"/>
          <w:szCs w:val="22"/>
        </w:rPr>
      </w:pPr>
      <w:r>
        <w:fldChar w:fldCharType="begin"/>
      </w:r>
      <w:r>
        <w:instrText xml:space="preserve"> HYPERLINK \l "_Toc241506508" </w:instrText>
      </w:r>
      <w:r>
        <w:fldChar w:fldCharType="separate"/>
      </w:r>
      <w:r>
        <w:rPr>
          <w:rStyle w:val="35"/>
          <w:spacing w:val="320"/>
        </w:rPr>
        <w:t>引</w:t>
      </w:r>
      <w:r>
        <w:rPr>
          <w:rStyle w:val="35"/>
        </w:rPr>
        <w:t>言</w:t>
      </w:r>
      <w:r>
        <w:tab/>
      </w:r>
      <w:r>
        <w:fldChar w:fldCharType="begin"/>
      </w:r>
      <w:r>
        <w:instrText xml:space="preserve"> PAGEREF _Toc241506508 \h </w:instrText>
      </w:r>
      <w:r>
        <w:fldChar w:fldCharType="separate"/>
      </w:r>
      <w:r>
        <w:t>VI</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"_Toc241506509" </w:instrText>
      </w:r>
      <w:r>
        <w:fldChar w:fldCharType="separate"/>
      </w:r>
      <w:r>
        <w:rPr>
          <w:rStyle w:val="35"/>
        </w:rPr>
        <w:t>1 范围</w:t>
      </w:r>
      <w:r>
        <w:tab/>
      </w:r>
      <w:r>
        <w:fldChar w:fldCharType="begin"/>
      </w:r>
      <w:r>
        <w:instrText xml:space="preserve"> PAGEREF _Toc241506509 \h </w:instrText>
      </w:r>
      <w:r>
        <w:fldChar w:fldCharType="separate"/>
      </w:r>
      <w:r>
        <w:t>1</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"_Toc241506510" </w:instrText>
      </w:r>
      <w:r>
        <w:fldChar w:fldCharType="separate"/>
      </w:r>
      <w:r>
        <w:rPr>
          <w:rStyle w:val="35"/>
        </w:rPr>
        <w:t>2 规范性引用文件</w:t>
      </w:r>
      <w:r>
        <w:tab/>
      </w:r>
      <w:r>
        <w:fldChar w:fldCharType="begin"/>
      </w:r>
      <w:r>
        <w:instrText xml:space="preserve"> PAGEREF _Toc241506510 \h </w:instrText>
      </w:r>
      <w:r>
        <w:fldChar w:fldCharType="separate"/>
      </w:r>
      <w:r>
        <w:t>1</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"_Toc241506511" </w:instrText>
      </w:r>
      <w:r>
        <w:fldChar w:fldCharType="separate"/>
      </w:r>
      <w:r>
        <w:rPr>
          <w:rStyle w:val="35"/>
        </w:rPr>
        <w:t>3 术语和定义</w:t>
      </w:r>
      <w:r>
        <w:tab/>
      </w:r>
      <w:r>
        <w:fldChar w:fldCharType="begin"/>
      </w:r>
      <w:r>
        <w:instrText xml:space="preserve"> PAGEREF _Toc241506511 \h </w:instrText>
      </w:r>
      <w:r>
        <w:fldChar w:fldCharType="separate"/>
      </w:r>
      <w:r>
        <w:t>3</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"_Toc241506528" </w:instrText>
      </w:r>
      <w:r>
        <w:fldChar w:fldCharType="separate"/>
      </w:r>
      <w:r>
        <w:rPr>
          <w:rStyle w:val="35"/>
          <w:rFonts w:cs="宋体"/>
        </w:rPr>
        <w:t>4</w:t>
      </w:r>
      <w:r>
        <w:rPr>
          <w:rStyle w:val="35"/>
        </w:rPr>
        <w:t xml:space="preserve"> 基本规定</w:t>
      </w:r>
      <w:r>
        <w:tab/>
      </w:r>
      <w:r>
        <w:fldChar w:fldCharType="begin"/>
      </w:r>
      <w:r>
        <w:instrText xml:space="preserve"> PAGEREF _Toc241506528 \h </w:instrText>
      </w:r>
      <w:r>
        <w:fldChar w:fldCharType="separate"/>
      </w:r>
      <w:r>
        <w:t>5</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"_Toc241506529" </w:instrText>
      </w:r>
      <w:r>
        <w:fldChar w:fldCharType="separate"/>
      </w:r>
      <w:r>
        <w:rPr>
          <w:rStyle w:val="35"/>
        </w:rPr>
        <w:t>5 建筑设计</w:t>
      </w:r>
      <w:r>
        <w:tab/>
      </w:r>
      <w:r>
        <w:fldChar w:fldCharType="begin"/>
      </w:r>
      <w:r>
        <w:instrText xml:space="preserve"> PAGEREF _Toc241506529 \h </w:instrText>
      </w:r>
      <w:r>
        <w:fldChar w:fldCharType="separate"/>
      </w:r>
      <w:r>
        <w:t>6</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"_Toc241506530" </w:instrText>
      </w:r>
      <w:r>
        <w:fldChar w:fldCharType="separate"/>
      </w:r>
      <w:r>
        <w:rPr>
          <w:rStyle w:val="35"/>
          <w:rFonts w:hAnsi="Times New Roman"/>
        </w:rPr>
        <w:t>5.1</w:t>
      </w:r>
      <w:r>
        <w:rPr>
          <w:rStyle w:val="35"/>
        </w:rPr>
        <w:t xml:space="preserve"> 一般规定</w:t>
      </w:r>
      <w:r>
        <w:tab/>
      </w:r>
      <w:r>
        <w:fldChar w:fldCharType="begin"/>
      </w:r>
      <w:r>
        <w:instrText xml:space="preserve"> PAGEREF _Toc241506530 \h </w:instrText>
      </w:r>
      <w:r>
        <w:fldChar w:fldCharType="separate"/>
      </w:r>
      <w:r>
        <w:t>6</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"_Toc241506531" </w:instrText>
      </w:r>
      <w:r>
        <w:fldChar w:fldCharType="separate"/>
      </w:r>
      <w:r>
        <w:rPr>
          <w:rStyle w:val="35"/>
          <w:rFonts w:hAnsi="Times New Roman"/>
        </w:rPr>
        <w:t>5.2</w:t>
      </w:r>
      <w:r>
        <w:rPr>
          <w:rStyle w:val="35"/>
        </w:rPr>
        <w:t xml:space="preserve"> 平面、立面与空间</w:t>
      </w:r>
      <w:r>
        <w:tab/>
      </w:r>
      <w:r>
        <w:fldChar w:fldCharType="begin"/>
      </w:r>
      <w:r>
        <w:instrText xml:space="preserve"> PAGEREF _Toc241506531 \h </w:instrText>
      </w:r>
      <w:r>
        <w:fldChar w:fldCharType="separate"/>
      </w:r>
      <w:r>
        <w:t>7</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"_Toc241506532" </w:instrText>
      </w:r>
      <w:r>
        <w:fldChar w:fldCharType="separate"/>
      </w:r>
      <w:r>
        <w:rPr>
          <w:rStyle w:val="35"/>
          <w:rFonts w:hAnsi="Times New Roman"/>
        </w:rPr>
        <w:t>5.3</w:t>
      </w:r>
      <w:r>
        <w:rPr>
          <w:rStyle w:val="35"/>
        </w:rPr>
        <w:t xml:space="preserve"> 模数化设计</w:t>
      </w:r>
      <w:r>
        <w:tab/>
      </w:r>
      <w:r>
        <w:fldChar w:fldCharType="begin"/>
      </w:r>
      <w:r>
        <w:instrText xml:space="preserve"> PAGEREF _Toc241506532 \h </w:instrText>
      </w:r>
      <w:r>
        <w:fldChar w:fldCharType="separate"/>
      </w:r>
      <w:r>
        <w:t>8</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"_Toc241506533" </w:instrText>
      </w:r>
      <w:r>
        <w:fldChar w:fldCharType="separate"/>
      </w:r>
      <w:r>
        <w:rPr>
          <w:rStyle w:val="35"/>
          <w:rFonts w:hAnsi="Times New Roman"/>
        </w:rPr>
        <w:t>5.4</w:t>
      </w:r>
      <w:r>
        <w:rPr>
          <w:rStyle w:val="35"/>
        </w:rPr>
        <w:t xml:space="preserve"> 标准化设计</w:t>
      </w:r>
      <w:r>
        <w:tab/>
      </w:r>
      <w:r>
        <w:fldChar w:fldCharType="begin"/>
      </w:r>
      <w:r>
        <w:instrText xml:space="preserve"> PAGEREF _Toc241506533 \h </w:instrText>
      </w:r>
      <w:r>
        <w:fldChar w:fldCharType="separate"/>
      </w:r>
      <w:r>
        <w:t>9</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"_Toc241506534" </w:instrText>
      </w:r>
      <w:r>
        <w:fldChar w:fldCharType="separate"/>
      </w:r>
      <w:r>
        <w:rPr>
          <w:rStyle w:val="35"/>
          <w:rFonts w:hAnsi="Times New Roman"/>
        </w:rPr>
        <w:t>5.5</w:t>
      </w:r>
      <w:r>
        <w:rPr>
          <w:rStyle w:val="35"/>
        </w:rPr>
        <w:t xml:space="preserve"> 集成设计</w:t>
      </w:r>
      <w:r>
        <w:tab/>
      </w:r>
      <w:r>
        <w:fldChar w:fldCharType="begin"/>
      </w:r>
      <w:r>
        <w:instrText xml:space="preserve"> PAGEREF _Toc241506534 \h </w:instrText>
      </w:r>
      <w:r>
        <w:fldChar w:fldCharType="separate"/>
      </w:r>
      <w:r>
        <w:t>9</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"_Toc241506535" </w:instrText>
      </w:r>
      <w:r>
        <w:fldChar w:fldCharType="separate"/>
      </w:r>
      <w:r>
        <w:rPr>
          <w:rStyle w:val="35"/>
          <w:rFonts w:hAnsi="Times New Roman"/>
        </w:rPr>
        <w:t>5.6</w:t>
      </w:r>
      <w:r>
        <w:rPr>
          <w:rStyle w:val="35"/>
        </w:rPr>
        <w:t xml:space="preserve"> 协同设计</w:t>
      </w:r>
      <w:r>
        <w:tab/>
      </w:r>
      <w:r>
        <w:fldChar w:fldCharType="begin"/>
      </w:r>
      <w:r>
        <w:instrText xml:space="preserve"> PAGEREF _Toc241506535 \h </w:instrText>
      </w:r>
      <w:r>
        <w:fldChar w:fldCharType="separate"/>
      </w:r>
      <w:r>
        <w:t>9</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"_Toc241506536" </w:instrText>
      </w:r>
      <w:r>
        <w:fldChar w:fldCharType="separate"/>
      </w:r>
      <w:r>
        <w:rPr>
          <w:rStyle w:val="35"/>
          <w:rFonts w:hAnsi="Times New Roman"/>
        </w:rPr>
        <w:t>5.7</w:t>
      </w:r>
      <w:r>
        <w:rPr>
          <w:rStyle w:val="35"/>
        </w:rPr>
        <w:t xml:space="preserve"> 绿色化设计</w:t>
      </w:r>
      <w:r>
        <w:tab/>
      </w:r>
      <w:r>
        <w:fldChar w:fldCharType="begin"/>
      </w:r>
      <w:r>
        <w:instrText xml:space="preserve"> PAGEREF _Toc241506536 \h </w:instrText>
      </w:r>
      <w:r>
        <w:fldChar w:fldCharType="separate"/>
      </w:r>
      <w:r>
        <w:t>9</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"_Toc241506537" </w:instrText>
      </w:r>
      <w:r>
        <w:fldChar w:fldCharType="separate"/>
      </w:r>
      <w:r>
        <w:rPr>
          <w:rStyle w:val="35"/>
        </w:rPr>
        <w:t>6 结构设计</w:t>
      </w:r>
      <w:r>
        <w:tab/>
      </w:r>
      <w:r>
        <w:fldChar w:fldCharType="begin"/>
      </w:r>
      <w:r>
        <w:instrText xml:space="preserve"> PAGEREF _Toc241506537 \h </w:instrText>
      </w:r>
      <w:r>
        <w:fldChar w:fldCharType="separate"/>
      </w:r>
      <w:r>
        <w:t>10</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"_Toc241506538" </w:instrText>
      </w:r>
      <w:r>
        <w:fldChar w:fldCharType="separate"/>
      </w:r>
      <w:r>
        <w:rPr>
          <w:rStyle w:val="35"/>
          <w:rFonts w:hAnsi="Times New Roman"/>
        </w:rPr>
        <w:t>6.1</w:t>
      </w:r>
      <w:r>
        <w:rPr>
          <w:rStyle w:val="35"/>
        </w:rPr>
        <w:t xml:space="preserve"> 一般规定</w:t>
      </w:r>
      <w:r>
        <w:tab/>
      </w:r>
      <w:r>
        <w:fldChar w:fldCharType="begin"/>
      </w:r>
      <w:r>
        <w:instrText xml:space="preserve"> PAGEREF _Toc241506538 \h </w:instrText>
      </w:r>
      <w:r>
        <w:fldChar w:fldCharType="separate"/>
      </w:r>
      <w:r>
        <w:t>10</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"_Toc241506539" </w:instrText>
      </w:r>
      <w:r>
        <w:fldChar w:fldCharType="separate"/>
      </w:r>
      <w:r>
        <w:rPr>
          <w:rStyle w:val="35"/>
          <w:rFonts w:hAnsi="Times New Roman"/>
        </w:rPr>
        <w:t>6.2</w:t>
      </w:r>
      <w:r>
        <w:rPr>
          <w:rStyle w:val="35"/>
        </w:rPr>
        <w:t xml:space="preserve"> 设计要求</w:t>
      </w:r>
      <w:r>
        <w:tab/>
      </w:r>
      <w:r>
        <w:fldChar w:fldCharType="begin"/>
      </w:r>
      <w:r>
        <w:instrText xml:space="preserve"> PAGEREF _Toc241506539 \h </w:instrText>
      </w:r>
      <w:r>
        <w:fldChar w:fldCharType="separate"/>
      </w:r>
      <w:r>
        <w:t>10</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"_Toc241506540" </w:instrText>
      </w:r>
      <w:r>
        <w:fldChar w:fldCharType="separate"/>
      </w:r>
      <w:r>
        <w:rPr>
          <w:rStyle w:val="35"/>
          <w:rFonts w:hAnsi="Times New Roman"/>
        </w:rPr>
        <w:t>6.3</w:t>
      </w:r>
      <w:r>
        <w:rPr>
          <w:rStyle w:val="35"/>
        </w:rPr>
        <w:t xml:space="preserve"> 结构体系与布置</w:t>
      </w:r>
      <w:r>
        <w:tab/>
      </w:r>
      <w:r>
        <w:fldChar w:fldCharType="begin"/>
      </w:r>
      <w:r>
        <w:instrText xml:space="preserve"> PAGEREF _Toc241506540 \h </w:instrText>
      </w:r>
      <w:r>
        <w:fldChar w:fldCharType="separate"/>
      </w:r>
      <w:r>
        <w:t>11</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"_Toc241506541" </w:instrText>
      </w:r>
      <w:r>
        <w:fldChar w:fldCharType="separate"/>
      </w:r>
      <w:r>
        <w:rPr>
          <w:rStyle w:val="35"/>
          <w:rFonts w:hAnsi="Times New Roman"/>
        </w:rPr>
        <w:t>6.4</w:t>
      </w:r>
      <w:r>
        <w:rPr>
          <w:rStyle w:val="35"/>
        </w:rPr>
        <w:t xml:space="preserve"> 结构分析</w:t>
      </w:r>
      <w:r>
        <w:tab/>
      </w:r>
      <w:r>
        <w:fldChar w:fldCharType="begin"/>
      </w:r>
      <w:r>
        <w:instrText xml:space="preserve"> PAGEREF _Toc241506541 \h </w:instrText>
      </w:r>
      <w:r>
        <w:fldChar w:fldCharType="separate"/>
      </w:r>
      <w:r>
        <w:t>13</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"_Toc241506542" </w:instrText>
      </w:r>
      <w:r>
        <w:fldChar w:fldCharType="separate"/>
      </w:r>
      <w:r>
        <w:rPr>
          <w:rStyle w:val="35"/>
          <w:rFonts w:hAnsi="Times New Roman"/>
        </w:rPr>
        <w:t>6.5</w:t>
      </w:r>
      <w:r>
        <w:rPr>
          <w:rStyle w:val="35"/>
          <w:rFonts w:cs="黑体"/>
          <w:lang w:bidi="ar"/>
        </w:rPr>
        <w:t xml:space="preserve"> 部（构）件设计</w:t>
      </w:r>
      <w:r>
        <w:tab/>
      </w:r>
      <w:r>
        <w:fldChar w:fldCharType="begin"/>
      </w:r>
      <w:r>
        <w:instrText xml:space="preserve"> PAGEREF _Toc241506542 \h </w:instrText>
      </w:r>
      <w:r>
        <w:fldChar w:fldCharType="separate"/>
      </w:r>
      <w:r>
        <w:t>14</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"_Toc241506543" </w:instrText>
      </w:r>
      <w:r>
        <w:fldChar w:fldCharType="separate"/>
      </w:r>
      <w:r>
        <w:rPr>
          <w:rStyle w:val="35"/>
          <w:rFonts w:hAnsi="Times New Roman"/>
        </w:rPr>
        <w:t>6.6</w:t>
      </w:r>
      <w:r>
        <w:rPr>
          <w:rStyle w:val="35"/>
        </w:rPr>
        <w:t xml:space="preserve"> 节点与连接设计</w:t>
      </w:r>
      <w:r>
        <w:tab/>
      </w:r>
      <w:r>
        <w:fldChar w:fldCharType="begin"/>
      </w:r>
      <w:r>
        <w:instrText xml:space="preserve"> PAGEREF _Toc241506543 \h </w:instrText>
      </w:r>
      <w:r>
        <w:fldChar w:fldCharType="separate"/>
      </w:r>
      <w:r>
        <w:t>15</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"_Toc241506544" </w:instrText>
      </w:r>
      <w:r>
        <w:fldChar w:fldCharType="separate"/>
      </w:r>
      <w:r>
        <w:rPr>
          <w:rStyle w:val="35"/>
          <w:rFonts w:hAnsi="Times New Roman"/>
        </w:rPr>
        <w:t>6.7</w:t>
      </w:r>
      <w:r>
        <w:rPr>
          <w:rStyle w:val="35"/>
        </w:rPr>
        <w:t xml:space="preserve"> 楼盖与屋盖结构</w:t>
      </w:r>
      <w:r>
        <w:tab/>
      </w:r>
      <w:r>
        <w:fldChar w:fldCharType="begin"/>
      </w:r>
      <w:r>
        <w:instrText xml:space="preserve"> PAGEREF _Toc241506544 \h </w:instrText>
      </w:r>
      <w:r>
        <w:fldChar w:fldCharType="separate"/>
      </w:r>
      <w:r>
        <w:t>17</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"_Toc241506545" </w:instrText>
      </w:r>
      <w:r>
        <w:fldChar w:fldCharType="separate"/>
      </w:r>
      <w:r>
        <w:rPr>
          <w:rStyle w:val="35"/>
          <w:rFonts w:hAnsi="Times New Roman"/>
        </w:rPr>
        <w:t>6.8</w:t>
      </w:r>
      <w:r>
        <w:rPr>
          <w:rStyle w:val="35"/>
        </w:rPr>
        <w:t xml:space="preserve"> 地下室及基础设计</w:t>
      </w:r>
      <w:r>
        <w:tab/>
      </w:r>
      <w:r>
        <w:fldChar w:fldCharType="begin"/>
      </w:r>
      <w:r>
        <w:instrText xml:space="preserve"> PAGEREF _Toc241506545 \h </w:instrText>
      </w:r>
      <w:r>
        <w:fldChar w:fldCharType="separate"/>
      </w:r>
      <w:r>
        <w:t>18</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"_Toc241506546" </w:instrText>
      </w:r>
      <w:r>
        <w:fldChar w:fldCharType="separate"/>
      </w:r>
      <w:r>
        <w:rPr>
          <w:rStyle w:val="35"/>
          <w:rFonts w:hAnsi="Times New Roman"/>
        </w:rPr>
        <w:t>6.9</w:t>
      </w:r>
      <w:r>
        <w:rPr>
          <w:rStyle w:val="35"/>
        </w:rPr>
        <w:t xml:space="preserve"> 钢结构防护</w:t>
      </w:r>
      <w:r>
        <w:tab/>
      </w:r>
      <w:r>
        <w:fldChar w:fldCharType="begin"/>
      </w:r>
      <w:r>
        <w:instrText xml:space="preserve"> PAGEREF _Toc241506546 \h </w:instrText>
      </w:r>
      <w:r>
        <w:fldChar w:fldCharType="separate"/>
      </w:r>
      <w:r>
        <w:t>18</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"_Toc241506547" </w:instrText>
      </w:r>
      <w:r>
        <w:fldChar w:fldCharType="separate"/>
      </w:r>
      <w:r>
        <w:rPr>
          <w:rStyle w:val="35"/>
        </w:rPr>
        <w:t>7 外围护系统设计</w:t>
      </w:r>
      <w:r>
        <w:tab/>
      </w:r>
      <w:r>
        <w:fldChar w:fldCharType="begin"/>
      </w:r>
      <w:r>
        <w:instrText xml:space="preserve"> PAGEREF _Toc241506547 \h </w:instrText>
      </w:r>
      <w:r>
        <w:fldChar w:fldCharType="separate"/>
      </w:r>
      <w:r>
        <w:t>19</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"_Toc241506548" </w:instrText>
      </w:r>
      <w:r>
        <w:fldChar w:fldCharType="separate"/>
      </w:r>
      <w:r>
        <w:rPr>
          <w:rStyle w:val="35"/>
          <w:rFonts w:hAnsi="Times New Roman"/>
        </w:rPr>
        <w:t>7.1</w:t>
      </w:r>
      <w:r>
        <w:rPr>
          <w:rStyle w:val="35"/>
        </w:rPr>
        <w:t xml:space="preserve"> 一般规定</w:t>
      </w:r>
      <w:r>
        <w:tab/>
      </w:r>
      <w:r>
        <w:fldChar w:fldCharType="begin"/>
      </w:r>
      <w:r>
        <w:instrText xml:space="preserve"> PAGEREF _Toc241506548 \h </w:instrText>
      </w:r>
      <w:r>
        <w:fldChar w:fldCharType="separate"/>
      </w:r>
      <w:r>
        <w:t>19</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"_Toc241506549" </w:instrText>
      </w:r>
      <w:r>
        <w:fldChar w:fldCharType="separate"/>
      </w:r>
      <w:r>
        <w:rPr>
          <w:rStyle w:val="35"/>
          <w:rFonts w:hAnsi="Times New Roman"/>
        </w:rPr>
        <w:t>7.2</w:t>
      </w:r>
      <w:r>
        <w:rPr>
          <w:rStyle w:val="35"/>
        </w:rPr>
        <w:t xml:space="preserve"> 材料与部品</w:t>
      </w:r>
      <w:r>
        <w:tab/>
      </w:r>
      <w:r>
        <w:fldChar w:fldCharType="begin"/>
      </w:r>
      <w:r>
        <w:instrText xml:space="preserve"> PAGEREF _Toc241506549 \h </w:instrText>
      </w:r>
      <w:r>
        <w:fldChar w:fldCharType="separate"/>
      </w:r>
      <w:r>
        <w:t>20</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"_Toc241506550" </w:instrText>
      </w:r>
      <w:r>
        <w:fldChar w:fldCharType="separate"/>
      </w:r>
      <w:r>
        <w:rPr>
          <w:rStyle w:val="35"/>
          <w:rFonts w:hAnsi="Times New Roman"/>
        </w:rPr>
        <w:t>7.3</w:t>
      </w:r>
      <w:r>
        <w:rPr>
          <w:rStyle w:val="35"/>
        </w:rPr>
        <w:t xml:space="preserve"> 外墙围护系统</w:t>
      </w:r>
      <w:r>
        <w:tab/>
      </w:r>
      <w:r>
        <w:fldChar w:fldCharType="begin"/>
      </w:r>
      <w:r>
        <w:instrText xml:space="preserve"> PAGEREF _Toc241506550 \h </w:instrText>
      </w:r>
      <w:r>
        <w:fldChar w:fldCharType="separate"/>
      </w:r>
      <w:r>
        <w:t>20</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"_Toc241506551" </w:instrText>
      </w:r>
      <w:r>
        <w:fldChar w:fldCharType="separate"/>
      </w:r>
      <w:r>
        <w:rPr>
          <w:rStyle w:val="35"/>
          <w:rFonts w:hAnsi="Times New Roman"/>
        </w:rPr>
        <w:t>7.4</w:t>
      </w:r>
      <w:r>
        <w:rPr>
          <w:rStyle w:val="35"/>
        </w:rPr>
        <w:t xml:space="preserve"> 屋面围护系统</w:t>
      </w:r>
      <w:r>
        <w:tab/>
      </w:r>
      <w:r>
        <w:fldChar w:fldCharType="begin"/>
      </w:r>
      <w:r>
        <w:instrText xml:space="preserve"> PAGEREF _Toc241506551 \h </w:instrText>
      </w:r>
      <w:r>
        <w:fldChar w:fldCharType="separate"/>
      </w:r>
      <w:r>
        <w:t>22</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"_Toc241506552" </w:instrText>
      </w:r>
      <w:r>
        <w:fldChar w:fldCharType="separate"/>
      </w:r>
      <w:r>
        <w:rPr>
          <w:rStyle w:val="35"/>
        </w:rPr>
        <w:t>8 设备与管线系统设计</w:t>
      </w:r>
      <w:r>
        <w:tab/>
      </w:r>
      <w:r>
        <w:fldChar w:fldCharType="begin"/>
      </w:r>
      <w:r>
        <w:instrText xml:space="preserve"> PAGEREF _Toc241506552 \h </w:instrText>
      </w:r>
      <w:r>
        <w:fldChar w:fldCharType="separate"/>
      </w:r>
      <w:r>
        <w:t>22</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"_Toc241506553" </w:instrText>
      </w:r>
      <w:r>
        <w:fldChar w:fldCharType="separate"/>
      </w:r>
      <w:r>
        <w:rPr>
          <w:rStyle w:val="35"/>
          <w:rFonts w:hAnsi="Times New Roman"/>
        </w:rPr>
        <w:t>8.1</w:t>
      </w:r>
      <w:r>
        <w:rPr>
          <w:rStyle w:val="35"/>
        </w:rPr>
        <w:t xml:space="preserve"> 一般规定</w:t>
      </w:r>
      <w:r>
        <w:tab/>
      </w:r>
      <w:r>
        <w:fldChar w:fldCharType="begin"/>
      </w:r>
      <w:r>
        <w:instrText xml:space="preserve"> PAGEREF _Toc241506553 \h </w:instrText>
      </w:r>
      <w:r>
        <w:fldChar w:fldCharType="separate"/>
      </w:r>
      <w:r>
        <w:t>22</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"_Toc241506554" </w:instrText>
      </w:r>
      <w:r>
        <w:fldChar w:fldCharType="separate"/>
      </w:r>
      <w:r>
        <w:rPr>
          <w:rStyle w:val="35"/>
          <w:rFonts w:hAnsi="Times New Roman"/>
        </w:rPr>
        <w:t>8.2</w:t>
      </w:r>
      <w:r>
        <w:rPr>
          <w:rStyle w:val="35"/>
        </w:rPr>
        <w:t xml:space="preserve"> 给水排水</w:t>
      </w:r>
      <w:r>
        <w:tab/>
      </w:r>
      <w:r>
        <w:fldChar w:fldCharType="begin"/>
      </w:r>
      <w:r>
        <w:instrText xml:space="preserve"> PAGEREF _Toc241506554 \h </w:instrText>
      </w:r>
      <w:r>
        <w:fldChar w:fldCharType="separate"/>
      </w:r>
      <w:r>
        <w:t>23</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"_Toc241506555" </w:instrText>
      </w:r>
      <w:r>
        <w:fldChar w:fldCharType="separate"/>
      </w:r>
      <w:r>
        <w:rPr>
          <w:rStyle w:val="35"/>
          <w:rFonts w:hAnsi="Times New Roman"/>
        </w:rPr>
        <w:t>8.3</w:t>
      </w:r>
      <w:r>
        <w:rPr>
          <w:rStyle w:val="35"/>
        </w:rPr>
        <w:t xml:space="preserve"> 电气和智能化</w:t>
      </w:r>
      <w:r>
        <w:tab/>
      </w:r>
      <w:r>
        <w:fldChar w:fldCharType="begin"/>
      </w:r>
      <w:r>
        <w:instrText xml:space="preserve"> PAGEREF _Toc241506555 \h </w:instrText>
      </w:r>
      <w:r>
        <w:fldChar w:fldCharType="separate"/>
      </w:r>
      <w:r>
        <w:t>23</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"_Toc241506556" </w:instrText>
      </w:r>
      <w:r>
        <w:fldChar w:fldCharType="separate"/>
      </w:r>
      <w:r>
        <w:rPr>
          <w:rStyle w:val="35"/>
          <w:rFonts w:hAnsi="Times New Roman"/>
        </w:rPr>
        <w:t>8.4</w:t>
      </w:r>
      <w:r>
        <w:rPr>
          <w:rStyle w:val="35"/>
        </w:rPr>
        <w:t xml:space="preserve"> 供暖、通风、空调及燃气</w:t>
      </w:r>
      <w:r>
        <w:tab/>
      </w:r>
      <w:r>
        <w:fldChar w:fldCharType="begin"/>
      </w:r>
      <w:r>
        <w:instrText xml:space="preserve"> PAGEREF _Toc241506556 \h </w:instrText>
      </w:r>
      <w:r>
        <w:fldChar w:fldCharType="separate"/>
      </w:r>
      <w:r>
        <w:t>23</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"_Toc241506557" </w:instrText>
      </w:r>
      <w:r>
        <w:fldChar w:fldCharType="separate"/>
      </w:r>
      <w:r>
        <w:rPr>
          <w:rStyle w:val="35"/>
        </w:rPr>
        <w:t>9 内装系统设计</w:t>
      </w:r>
      <w:r>
        <w:tab/>
      </w:r>
      <w:r>
        <w:fldChar w:fldCharType="begin"/>
      </w:r>
      <w:r>
        <w:instrText xml:space="preserve"> PAGEREF _Toc241506557 \h </w:instrText>
      </w:r>
      <w:r>
        <w:fldChar w:fldCharType="separate"/>
      </w:r>
      <w:r>
        <w:t>24</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"_Toc241506558" </w:instrText>
      </w:r>
      <w:r>
        <w:fldChar w:fldCharType="separate"/>
      </w:r>
      <w:r>
        <w:rPr>
          <w:rStyle w:val="35"/>
          <w:rFonts w:hAnsi="Times New Roman"/>
        </w:rPr>
        <w:t>9.1</w:t>
      </w:r>
      <w:r>
        <w:rPr>
          <w:rStyle w:val="35"/>
        </w:rPr>
        <w:t xml:space="preserve"> 一般规定</w:t>
      </w:r>
      <w:r>
        <w:tab/>
      </w:r>
      <w:r>
        <w:fldChar w:fldCharType="begin"/>
      </w:r>
      <w:r>
        <w:instrText xml:space="preserve"> PAGEREF _Toc241506558 \h </w:instrText>
      </w:r>
      <w:r>
        <w:fldChar w:fldCharType="separate"/>
      </w:r>
      <w:r>
        <w:t>24</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"_Toc241506559" </w:instrText>
      </w:r>
      <w:r>
        <w:fldChar w:fldCharType="separate"/>
      </w:r>
      <w:r>
        <w:rPr>
          <w:rStyle w:val="35"/>
          <w:rFonts w:hAnsi="Times New Roman"/>
        </w:rPr>
        <w:t>9.2</w:t>
      </w:r>
      <w:r>
        <w:rPr>
          <w:rStyle w:val="35"/>
        </w:rPr>
        <w:t xml:space="preserve"> 隔墙与墙面系统</w:t>
      </w:r>
      <w:r>
        <w:tab/>
      </w:r>
      <w:r>
        <w:fldChar w:fldCharType="begin"/>
      </w:r>
      <w:r>
        <w:instrText xml:space="preserve"> PAGEREF _Toc241506559 \h </w:instrText>
      </w:r>
      <w:r>
        <w:fldChar w:fldCharType="separate"/>
      </w:r>
      <w:r>
        <w:t>25</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"_Toc241506560" </w:instrText>
      </w:r>
      <w:r>
        <w:fldChar w:fldCharType="separate"/>
      </w:r>
      <w:r>
        <w:rPr>
          <w:rStyle w:val="35"/>
          <w:rFonts w:hAnsi="Times New Roman"/>
        </w:rPr>
        <w:t>9.3</w:t>
      </w:r>
      <w:r>
        <w:rPr>
          <w:rStyle w:val="35"/>
        </w:rPr>
        <w:t xml:space="preserve"> 地面系统</w:t>
      </w:r>
      <w:r>
        <w:tab/>
      </w:r>
      <w:r>
        <w:fldChar w:fldCharType="begin"/>
      </w:r>
      <w:r>
        <w:instrText xml:space="preserve"> PAGEREF _Toc241506560 \h </w:instrText>
      </w:r>
      <w:r>
        <w:fldChar w:fldCharType="separate"/>
      </w:r>
      <w:r>
        <w:t>26</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"_Toc241506561" </w:instrText>
      </w:r>
      <w:r>
        <w:fldChar w:fldCharType="separate"/>
      </w:r>
      <w:r>
        <w:rPr>
          <w:rStyle w:val="35"/>
          <w:rFonts w:hAnsi="Times New Roman"/>
        </w:rPr>
        <w:t>9.4</w:t>
      </w:r>
      <w:r>
        <w:rPr>
          <w:rStyle w:val="35"/>
        </w:rPr>
        <w:t xml:space="preserve"> 吊顶系统</w:t>
      </w:r>
      <w:r>
        <w:tab/>
      </w:r>
      <w:r>
        <w:fldChar w:fldCharType="begin"/>
      </w:r>
      <w:r>
        <w:instrText xml:space="preserve"> PAGEREF _Toc241506561 \h </w:instrText>
      </w:r>
      <w:r>
        <w:fldChar w:fldCharType="separate"/>
      </w:r>
      <w:r>
        <w:t>27</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"_Toc241506562" </w:instrText>
      </w:r>
      <w:r>
        <w:fldChar w:fldCharType="separate"/>
      </w:r>
      <w:r>
        <w:rPr>
          <w:rStyle w:val="35"/>
          <w:rFonts w:hAnsi="Times New Roman"/>
        </w:rPr>
        <w:t>9.5</w:t>
      </w:r>
      <w:r>
        <w:rPr>
          <w:rStyle w:val="35"/>
        </w:rPr>
        <w:t xml:space="preserve"> 厨房与卫生间集成</w:t>
      </w:r>
      <w:r>
        <w:tab/>
      </w:r>
      <w:r>
        <w:fldChar w:fldCharType="begin"/>
      </w:r>
      <w:r>
        <w:instrText xml:space="preserve"> PAGEREF _Toc241506562 \h </w:instrText>
      </w:r>
      <w:r>
        <w:fldChar w:fldCharType="separate"/>
      </w:r>
      <w:r>
        <w:t>28</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"_Toc241506563" </w:instrText>
      </w:r>
      <w:r>
        <w:fldChar w:fldCharType="separate"/>
      </w:r>
      <w:r>
        <w:rPr>
          <w:rStyle w:val="35"/>
          <w:rFonts w:hAnsi="Times New Roman"/>
        </w:rPr>
        <w:t>9.6</w:t>
      </w:r>
      <w:r>
        <w:rPr>
          <w:rStyle w:val="35"/>
        </w:rPr>
        <w:t xml:space="preserve"> 收纳系统</w:t>
      </w:r>
      <w:r>
        <w:tab/>
      </w:r>
      <w:r>
        <w:fldChar w:fldCharType="begin"/>
      </w:r>
      <w:r>
        <w:instrText xml:space="preserve"> PAGEREF _Toc241506563 \h </w:instrText>
      </w:r>
      <w:r>
        <w:fldChar w:fldCharType="separate"/>
      </w:r>
      <w:r>
        <w:t>28</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"_Toc241506564" </w:instrText>
      </w:r>
      <w:r>
        <w:fldChar w:fldCharType="separate"/>
      </w:r>
      <w:r>
        <w:rPr>
          <w:rStyle w:val="35"/>
          <w:rFonts w:hAnsi="Times New Roman"/>
        </w:rPr>
        <w:t>9.7</w:t>
      </w:r>
      <w:r>
        <w:rPr>
          <w:rStyle w:val="35"/>
        </w:rPr>
        <w:t xml:space="preserve"> 内门窗系统</w:t>
      </w:r>
      <w:r>
        <w:tab/>
      </w:r>
      <w:r>
        <w:fldChar w:fldCharType="begin"/>
      </w:r>
      <w:r>
        <w:instrText xml:space="preserve"> PAGEREF _Toc241506564 \h </w:instrText>
      </w:r>
      <w:r>
        <w:fldChar w:fldCharType="separate"/>
      </w:r>
      <w:r>
        <w:t>29</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"_Toc241506565" </w:instrText>
      </w:r>
      <w:r>
        <w:fldChar w:fldCharType="separate"/>
      </w:r>
      <w:r>
        <w:rPr>
          <w:rStyle w:val="35"/>
          <w:rFonts w:hAnsi="Times New Roman"/>
        </w:rPr>
        <w:t>9.8</w:t>
      </w:r>
      <w:r>
        <w:rPr>
          <w:rStyle w:val="35"/>
        </w:rPr>
        <w:t xml:space="preserve"> 部品接口与连接设计</w:t>
      </w:r>
      <w:r>
        <w:tab/>
      </w:r>
      <w:r>
        <w:fldChar w:fldCharType="begin"/>
      </w:r>
      <w:r>
        <w:instrText xml:space="preserve"> PAGEREF _Toc241506565 \h </w:instrText>
      </w:r>
      <w:r>
        <w:fldChar w:fldCharType="separate"/>
      </w:r>
      <w:r>
        <w:t>29</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"_Toc241506566" </w:instrText>
      </w:r>
      <w:r>
        <w:fldChar w:fldCharType="separate"/>
      </w:r>
      <w:r>
        <w:rPr>
          <w:rStyle w:val="35"/>
        </w:rPr>
        <w:t>10 构件生产</w:t>
      </w:r>
      <w:r>
        <w:tab/>
      </w:r>
      <w:r>
        <w:fldChar w:fldCharType="begin"/>
      </w:r>
      <w:r>
        <w:instrText xml:space="preserve"> PAGEREF _Toc241506566 \h </w:instrText>
      </w:r>
      <w:r>
        <w:fldChar w:fldCharType="separate"/>
      </w:r>
      <w:r>
        <w:t>29</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"_Toc241506567" </w:instrText>
      </w:r>
      <w:r>
        <w:fldChar w:fldCharType="separate"/>
      </w:r>
      <w:r>
        <w:rPr>
          <w:rStyle w:val="35"/>
          <w:rFonts w:hAnsi="Times New Roman"/>
        </w:rPr>
        <w:t>10.1</w:t>
      </w:r>
      <w:r>
        <w:rPr>
          <w:rStyle w:val="35"/>
        </w:rPr>
        <w:t xml:space="preserve"> 一般规定</w:t>
      </w:r>
      <w:r>
        <w:tab/>
      </w:r>
      <w:r>
        <w:fldChar w:fldCharType="begin"/>
      </w:r>
      <w:r>
        <w:instrText xml:space="preserve"> PAGEREF _Toc241506567 \h </w:instrText>
      </w:r>
      <w:r>
        <w:fldChar w:fldCharType="separate"/>
      </w:r>
      <w:r>
        <w:t>29</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"_Toc241506568" </w:instrText>
      </w:r>
      <w:r>
        <w:fldChar w:fldCharType="separate"/>
      </w:r>
      <w:r>
        <w:rPr>
          <w:rStyle w:val="35"/>
          <w:rFonts w:hAnsi="Times New Roman"/>
        </w:rPr>
        <w:t>10.2</w:t>
      </w:r>
      <w:r>
        <w:rPr>
          <w:rStyle w:val="35"/>
        </w:rPr>
        <w:t xml:space="preserve"> 结构构件生产</w:t>
      </w:r>
      <w:r>
        <w:tab/>
      </w:r>
      <w:r>
        <w:fldChar w:fldCharType="begin"/>
      </w:r>
      <w:r>
        <w:instrText xml:space="preserve"> PAGEREF _Toc241506568 \h </w:instrText>
      </w:r>
      <w:r>
        <w:fldChar w:fldCharType="separate"/>
      </w:r>
      <w:r>
        <w:t>32</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"_Toc241506569" </w:instrText>
      </w:r>
      <w:r>
        <w:fldChar w:fldCharType="separate"/>
      </w:r>
      <w:r>
        <w:rPr>
          <w:rStyle w:val="35"/>
          <w:rFonts w:hAnsi="Times New Roman"/>
        </w:rPr>
        <w:t>10.3</w:t>
      </w:r>
      <w:r>
        <w:rPr>
          <w:rStyle w:val="35"/>
        </w:rPr>
        <w:t xml:space="preserve"> 外围护部品生产</w:t>
      </w:r>
      <w:r>
        <w:tab/>
      </w:r>
      <w:r>
        <w:fldChar w:fldCharType="begin"/>
      </w:r>
      <w:r>
        <w:instrText xml:space="preserve"> PAGEREF _Toc241506569 \h </w:instrText>
      </w:r>
      <w:r>
        <w:fldChar w:fldCharType="separate"/>
      </w:r>
      <w:r>
        <w:t>33</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"_Toc241506570" </w:instrText>
      </w:r>
      <w:r>
        <w:fldChar w:fldCharType="separate"/>
      </w:r>
      <w:r>
        <w:rPr>
          <w:rStyle w:val="35"/>
          <w:rFonts w:hAnsi="Times New Roman"/>
        </w:rPr>
        <w:t>10.4</w:t>
      </w:r>
      <w:r>
        <w:rPr>
          <w:rStyle w:val="35"/>
        </w:rPr>
        <w:t xml:space="preserve"> 内装部品生产</w:t>
      </w:r>
      <w:r>
        <w:tab/>
      </w:r>
      <w:r>
        <w:fldChar w:fldCharType="begin"/>
      </w:r>
      <w:r>
        <w:instrText xml:space="preserve"> PAGEREF _Toc241506570 \h </w:instrText>
      </w:r>
      <w:r>
        <w:fldChar w:fldCharType="separate"/>
      </w:r>
      <w:r>
        <w:t>33</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"_Toc241506571" </w:instrText>
      </w:r>
      <w:r>
        <w:fldChar w:fldCharType="separate"/>
      </w:r>
      <w:r>
        <w:rPr>
          <w:rStyle w:val="35"/>
          <w:rFonts w:hAnsi="Times New Roman"/>
        </w:rPr>
        <w:t>10.5</w:t>
      </w:r>
      <w:r>
        <w:rPr>
          <w:rStyle w:val="35"/>
        </w:rPr>
        <w:t xml:space="preserve"> 包装、运输与堆放</w:t>
      </w:r>
      <w:r>
        <w:tab/>
      </w:r>
      <w:r>
        <w:fldChar w:fldCharType="begin"/>
      </w:r>
      <w:r>
        <w:instrText xml:space="preserve"> PAGEREF _Toc241506571 \h </w:instrText>
      </w:r>
      <w:r>
        <w:fldChar w:fldCharType="separate"/>
      </w:r>
      <w:r>
        <w:t>34</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"_Toc241506572" </w:instrText>
      </w:r>
      <w:r>
        <w:fldChar w:fldCharType="separate"/>
      </w:r>
      <w:r>
        <w:rPr>
          <w:rStyle w:val="35"/>
        </w:rPr>
        <w:t>11 施工安装</w:t>
      </w:r>
      <w:r>
        <w:tab/>
      </w:r>
      <w:r>
        <w:fldChar w:fldCharType="begin"/>
      </w:r>
      <w:r>
        <w:instrText xml:space="preserve"> PAGEREF _Toc241506572 \h </w:instrText>
      </w:r>
      <w:r>
        <w:fldChar w:fldCharType="separate"/>
      </w:r>
      <w:r>
        <w:t>35</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"_Toc241506573" </w:instrText>
      </w:r>
      <w:r>
        <w:fldChar w:fldCharType="separate"/>
      </w:r>
      <w:r>
        <w:rPr>
          <w:rStyle w:val="35"/>
          <w:rFonts w:hAnsi="Times New Roman"/>
        </w:rPr>
        <w:t>11.1</w:t>
      </w:r>
      <w:r>
        <w:rPr>
          <w:rStyle w:val="35"/>
        </w:rPr>
        <w:t xml:space="preserve"> 一般规定</w:t>
      </w:r>
      <w:r>
        <w:tab/>
      </w:r>
      <w:r>
        <w:fldChar w:fldCharType="begin"/>
      </w:r>
      <w:r>
        <w:instrText xml:space="preserve"> PAGEREF _Toc241506573 \h </w:instrText>
      </w:r>
      <w:r>
        <w:fldChar w:fldCharType="separate"/>
      </w:r>
      <w:r>
        <w:t>35</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"_Toc241506574" </w:instrText>
      </w:r>
      <w:r>
        <w:fldChar w:fldCharType="separate"/>
      </w:r>
      <w:r>
        <w:rPr>
          <w:rStyle w:val="35"/>
          <w:rFonts w:hAnsi="Times New Roman"/>
        </w:rPr>
        <w:t>11.2</w:t>
      </w:r>
      <w:r>
        <w:rPr>
          <w:rStyle w:val="35"/>
        </w:rPr>
        <w:t xml:space="preserve"> 结构系统施工与安装</w:t>
      </w:r>
      <w:r>
        <w:tab/>
      </w:r>
      <w:r>
        <w:fldChar w:fldCharType="begin"/>
      </w:r>
      <w:r>
        <w:instrText xml:space="preserve"> PAGEREF _Toc241506574 \h </w:instrText>
      </w:r>
      <w:r>
        <w:fldChar w:fldCharType="separate"/>
      </w:r>
      <w:r>
        <w:t>36</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"_Toc241506575" </w:instrText>
      </w:r>
      <w:r>
        <w:fldChar w:fldCharType="separate"/>
      </w:r>
      <w:r>
        <w:rPr>
          <w:rStyle w:val="35"/>
          <w:rFonts w:hAnsi="Times New Roman"/>
        </w:rPr>
        <w:t>11.3</w:t>
      </w:r>
      <w:r>
        <w:rPr>
          <w:rStyle w:val="35"/>
        </w:rPr>
        <w:t xml:space="preserve"> 外围护系统安装</w:t>
      </w:r>
      <w:r>
        <w:tab/>
      </w:r>
      <w:r>
        <w:fldChar w:fldCharType="begin"/>
      </w:r>
      <w:r>
        <w:instrText xml:space="preserve"> PAGEREF _Toc241506575 \h </w:instrText>
      </w:r>
      <w:r>
        <w:fldChar w:fldCharType="separate"/>
      </w:r>
      <w:r>
        <w:t>38</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"_Toc241506576" </w:instrText>
      </w:r>
      <w:r>
        <w:fldChar w:fldCharType="separate"/>
      </w:r>
      <w:r>
        <w:rPr>
          <w:rStyle w:val="35"/>
          <w:rFonts w:hAnsi="Times New Roman"/>
        </w:rPr>
        <w:t>11.4</w:t>
      </w:r>
      <w:r>
        <w:rPr>
          <w:rStyle w:val="35"/>
        </w:rPr>
        <w:t xml:space="preserve"> 设备与管线系统安装</w:t>
      </w:r>
      <w:r>
        <w:tab/>
      </w:r>
      <w:r>
        <w:fldChar w:fldCharType="begin"/>
      </w:r>
      <w:r>
        <w:instrText xml:space="preserve"> PAGEREF _Toc241506576 \h </w:instrText>
      </w:r>
      <w:r>
        <w:fldChar w:fldCharType="separate"/>
      </w:r>
      <w:r>
        <w:t>40</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"_Toc241506577" </w:instrText>
      </w:r>
      <w:r>
        <w:fldChar w:fldCharType="separate"/>
      </w:r>
      <w:r>
        <w:rPr>
          <w:rStyle w:val="35"/>
          <w:rFonts w:hAnsi="Times New Roman"/>
        </w:rPr>
        <w:t>11.5</w:t>
      </w:r>
      <w:r>
        <w:rPr>
          <w:rStyle w:val="35"/>
        </w:rPr>
        <w:t xml:space="preserve"> 内装系统安装</w:t>
      </w:r>
      <w:r>
        <w:tab/>
      </w:r>
      <w:r>
        <w:fldChar w:fldCharType="begin"/>
      </w:r>
      <w:r>
        <w:instrText xml:space="preserve"> PAGEREF _Toc241506577 \h </w:instrText>
      </w:r>
      <w:r>
        <w:fldChar w:fldCharType="separate"/>
      </w:r>
      <w:r>
        <w:t>41</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"_Toc241506578" </w:instrText>
      </w:r>
      <w:r>
        <w:fldChar w:fldCharType="separate"/>
      </w:r>
      <w:r>
        <w:rPr>
          <w:rStyle w:val="35"/>
          <w:rFonts w:hAnsi="Times New Roman"/>
        </w:rPr>
        <w:t>11.6</w:t>
      </w:r>
      <w:r>
        <w:rPr>
          <w:rStyle w:val="35"/>
        </w:rPr>
        <w:t xml:space="preserve"> 安全文明与成品保护</w:t>
      </w:r>
      <w:r>
        <w:tab/>
      </w:r>
      <w:r>
        <w:fldChar w:fldCharType="begin"/>
      </w:r>
      <w:r>
        <w:instrText xml:space="preserve"> PAGEREF _Toc241506578 \h </w:instrText>
      </w:r>
      <w:r>
        <w:fldChar w:fldCharType="separate"/>
      </w:r>
      <w:r>
        <w:t>42</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"_Toc241506579" </w:instrText>
      </w:r>
      <w:r>
        <w:fldChar w:fldCharType="separate"/>
      </w:r>
      <w:r>
        <w:rPr>
          <w:rStyle w:val="35"/>
        </w:rPr>
        <w:t>12 检验检测与验收</w:t>
      </w:r>
      <w:r>
        <w:tab/>
      </w:r>
      <w:r>
        <w:fldChar w:fldCharType="begin"/>
      </w:r>
      <w:r>
        <w:instrText xml:space="preserve"> PAGEREF _Toc241506579 \h </w:instrText>
      </w:r>
      <w:r>
        <w:fldChar w:fldCharType="separate"/>
      </w:r>
      <w:r>
        <w:t>42</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"_Toc241506580" </w:instrText>
      </w:r>
      <w:r>
        <w:fldChar w:fldCharType="separate"/>
      </w:r>
      <w:r>
        <w:rPr>
          <w:rStyle w:val="35"/>
          <w:rFonts w:hAnsi="Times New Roman"/>
        </w:rPr>
        <w:t>12.1</w:t>
      </w:r>
      <w:r>
        <w:rPr>
          <w:rStyle w:val="35"/>
        </w:rPr>
        <w:t xml:space="preserve"> 一般规定</w:t>
      </w:r>
      <w:r>
        <w:tab/>
      </w:r>
      <w:r>
        <w:fldChar w:fldCharType="begin"/>
      </w:r>
      <w:r>
        <w:instrText xml:space="preserve"> PAGEREF _Toc241506580 \h </w:instrText>
      </w:r>
      <w:r>
        <w:fldChar w:fldCharType="separate"/>
      </w:r>
      <w:r>
        <w:t>42</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"_Toc241506581" </w:instrText>
      </w:r>
      <w:r>
        <w:fldChar w:fldCharType="separate"/>
      </w:r>
      <w:r>
        <w:rPr>
          <w:rStyle w:val="35"/>
          <w:rFonts w:hAnsi="Times New Roman"/>
        </w:rPr>
        <w:t>12.2</w:t>
      </w:r>
      <w:r>
        <w:rPr>
          <w:rStyle w:val="35"/>
        </w:rPr>
        <w:t xml:space="preserve"> 分部工程、分项工程与检验批的划分</w:t>
      </w:r>
      <w:r>
        <w:tab/>
      </w:r>
      <w:r>
        <w:fldChar w:fldCharType="begin"/>
      </w:r>
      <w:r>
        <w:instrText xml:space="preserve"> PAGEREF _Toc241506581 \h </w:instrText>
      </w:r>
      <w:r>
        <w:fldChar w:fldCharType="separate"/>
      </w:r>
      <w:r>
        <w:t>43</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"_Toc241506582" </w:instrText>
      </w:r>
      <w:r>
        <w:fldChar w:fldCharType="separate"/>
      </w:r>
      <w:r>
        <w:rPr>
          <w:rStyle w:val="35"/>
          <w:rFonts w:hAnsi="Times New Roman"/>
        </w:rPr>
        <w:t>12.3</w:t>
      </w:r>
      <w:r>
        <w:rPr>
          <w:rStyle w:val="35"/>
        </w:rPr>
        <w:t xml:space="preserve"> 检验检测</w:t>
      </w:r>
      <w:r>
        <w:tab/>
      </w:r>
      <w:r>
        <w:fldChar w:fldCharType="begin"/>
      </w:r>
      <w:r>
        <w:instrText xml:space="preserve"> PAGEREF _Toc241506582 \h </w:instrText>
      </w:r>
      <w:r>
        <w:fldChar w:fldCharType="separate"/>
      </w:r>
      <w:r>
        <w:t>44</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"_Toc241506583" </w:instrText>
      </w:r>
      <w:r>
        <w:fldChar w:fldCharType="separate"/>
      </w:r>
      <w:r>
        <w:rPr>
          <w:rStyle w:val="35"/>
          <w:rFonts w:hAnsi="Times New Roman"/>
        </w:rPr>
        <w:t>12.4</w:t>
      </w:r>
      <w:r>
        <w:rPr>
          <w:rStyle w:val="35"/>
        </w:rPr>
        <w:t xml:space="preserve"> 质量验收</w:t>
      </w:r>
      <w:r>
        <w:tab/>
      </w:r>
      <w:r>
        <w:fldChar w:fldCharType="begin"/>
      </w:r>
      <w:r>
        <w:instrText xml:space="preserve"> PAGEREF _Toc241506583 \h </w:instrText>
      </w:r>
      <w:r>
        <w:fldChar w:fldCharType="separate"/>
      </w:r>
      <w:r>
        <w:t>46</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"_Toc241506584" </w:instrText>
      </w:r>
      <w:r>
        <w:fldChar w:fldCharType="separate"/>
      </w:r>
      <w:r>
        <w:rPr>
          <w:rStyle w:val="35"/>
        </w:rPr>
        <w:t>13 绿色智能建造</w:t>
      </w:r>
      <w:r>
        <w:tab/>
      </w:r>
      <w:r>
        <w:fldChar w:fldCharType="begin"/>
      </w:r>
      <w:r>
        <w:instrText xml:space="preserve"> PAGEREF _Toc241506584 \h </w:instrText>
      </w:r>
      <w:r>
        <w:fldChar w:fldCharType="separate"/>
      </w:r>
      <w:r>
        <w:t>47</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"_Toc241506585" </w:instrText>
      </w:r>
      <w:r>
        <w:fldChar w:fldCharType="separate"/>
      </w:r>
      <w:r>
        <w:rPr>
          <w:rStyle w:val="35"/>
          <w:rFonts w:hAnsi="Times New Roman"/>
        </w:rPr>
        <w:t>13.1</w:t>
      </w:r>
      <w:r>
        <w:rPr>
          <w:rStyle w:val="35"/>
        </w:rPr>
        <w:t xml:space="preserve"> 一般规定</w:t>
      </w:r>
      <w:r>
        <w:tab/>
      </w:r>
      <w:r>
        <w:fldChar w:fldCharType="begin"/>
      </w:r>
      <w:r>
        <w:instrText xml:space="preserve"> PAGEREF _Toc241506585 \h </w:instrText>
      </w:r>
      <w:r>
        <w:fldChar w:fldCharType="separate"/>
      </w:r>
      <w:r>
        <w:t>48</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"_Toc241506586" </w:instrText>
      </w:r>
      <w:r>
        <w:fldChar w:fldCharType="separate"/>
      </w:r>
      <w:r>
        <w:rPr>
          <w:rStyle w:val="35"/>
          <w:rFonts w:hAnsi="Times New Roman"/>
        </w:rPr>
        <w:t>13.2</w:t>
      </w:r>
      <w:r>
        <w:rPr>
          <w:rStyle w:val="35"/>
        </w:rPr>
        <w:t xml:space="preserve"> 数字化协同设计</w:t>
      </w:r>
      <w:r>
        <w:tab/>
      </w:r>
      <w:r>
        <w:fldChar w:fldCharType="begin"/>
      </w:r>
      <w:r>
        <w:instrText xml:space="preserve"> PAGEREF _Toc241506586 \h </w:instrText>
      </w:r>
      <w:r>
        <w:fldChar w:fldCharType="separate"/>
      </w:r>
      <w:r>
        <w:t>48</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"_Toc241506587" </w:instrText>
      </w:r>
      <w:r>
        <w:fldChar w:fldCharType="separate"/>
      </w:r>
      <w:r>
        <w:rPr>
          <w:rStyle w:val="35"/>
          <w:rFonts w:hAnsi="Times New Roman"/>
        </w:rPr>
        <w:t>13.3</w:t>
      </w:r>
      <w:r>
        <w:rPr>
          <w:rStyle w:val="35"/>
        </w:rPr>
        <w:t xml:space="preserve"> 智能化生产与加工</w:t>
      </w:r>
      <w:r>
        <w:tab/>
      </w:r>
      <w:r>
        <w:fldChar w:fldCharType="begin"/>
      </w:r>
      <w:r>
        <w:instrText xml:space="preserve"> PAGEREF _Toc241506587 \h </w:instrText>
      </w:r>
      <w:r>
        <w:fldChar w:fldCharType="separate"/>
      </w:r>
      <w:r>
        <w:t>48</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"_Toc241506588" </w:instrText>
      </w:r>
      <w:r>
        <w:fldChar w:fldCharType="separate"/>
      </w:r>
      <w:r>
        <w:rPr>
          <w:rStyle w:val="35"/>
          <w:rFonts w:hAnsi="Times New Roman"/>
        </w:rPr>
        <w:t>13.4</w:t>
      </w:r>
      <w:r>
        <w:rPr>
          <w:rStyle w:val="35"/>
        </w:rPr>
        <w:t xml:space="preserve"> 智能化安装与绿色施工</w:t>
      </w:r>
      <w:r>
        <w:tab/>
      </w:r>
      <w:r>
        <w:fldChar w:fldCharType="begin"/>
      </w:r>
      <w:r>
        <w:instrText xml:space="preserve"> PAGEREF _Toc241506588 \h </w:instrText>
      </w:r>
      <w:r>
        <w:fldChar w:fldCharType="separate"/>
      </w:r>
      <w:r>
        <w:t>49</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"_Toc241506589" </w:instrText>
      </w:r>
      <w:r>
        <w:fldChar w:fldCharType="separate"/>
      </w:r>
      <w:r>
        <w:rPr>
          <w:rStyle w:val="35"/>
          <w:rFonts w:hAnsi="Times New Roman"/>
        </w:rPr>
        <w:t>13.5</w:t>
      </w:r>
      <w:r>
        <w:rPr>
          <w:rStyle w:val="35"/>
        </w:rPr>
        <w:t xml:space="preserve"> 智能化检测与质量控制</w:t>
      </w:r>
      <w:r>
        <w:tab/>
      </w:r>
      <w:r>
        <w:fldChar w:fldCharType="begin"/>
      </w:r>
      <w:r>
        <w:instrText xml:space="preserve"> PAGEREF _Toc241506589 \h </w:instrText>
      </w:r>
      <w:r>
        <w:fldChar w:fldCharType="separate"/>
      </w:r>
      <w:r>
        <w:t>51</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"_Toc241506590" </w:instrText>
      </w:r>
      <w:r>
        <w:fldChar w:fldCharType="separate"/>
      </w:r>
      <w:r>
        <w:rPr>
          <w:rStyle w:val="35"/>
          <w:rFonts w:hAnsi="Times New Roman"/>
        </w:rPr>
        <w:t>13.6</w:t>
      </w:r>
      <w:r>
        <w:rPr>
          <w:rStyle w:val="35"/>
        </w:rPr>
        <w:t xml:space="preserve"> 数字化交付</w:t>
      </w:r>
      <w:r>
        <w:tab/>
      </w:r>
      <w:r>
        <w:fldChar w:fldCharType="begin"/>
      </w:r>
      <w:r>
        <w:instrText xml:space="preserve"> PAGEREF _Toc241506590 \h </w:instrText>
      </w:r>
      <w:r>
        <w:fldChar w:fldCharType="separate"/>
      </w:r>
      <w:r>
        <w:t>52</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"_Toc241506591" </w:instrText>
      </w:r>
      <w:r>
        <w:fldChar w:fldCharType="separate"/>
      </w:r>
      <w:r>
        <w:rPr>
          <w:rStyle w:val="35"/>
        </w:rPr>
        <w:t>14 运维与消纳</w:t>
      </w:r>
      <w:r>
        <w:tab/>
      </w:r>
      <w:r>
        <w:fldChar w:fldCharType="begin"/>
      </w:r>
      <w:r>
        <w:instrText xml:space="preserve"> PAGEREF _Toc241506591 \h </w:instrText>
      </w:r>
      <w:r>
        <w:fldChar w:fldCharType="separate"/>
      </w:r>
      <w:r>
        <w:t>53</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"_Toc241506592" </w:instrText>
      </w:r>
      <w:r>
        <w:fldChar w:fldCharType="separate"/>
      </w:r>
      <w:r>
        <w:rPr>
          <w:rStyle w:val="35"/>
          <w:rFonts w:hAnsi="Times New Roman"/>
        </w:rPr>
        <w:t>14.1</w:t>
      </w:r>
      <w:r>
        <w:rPr>
          <w:rStyle w:val="35"/>
        </w:rPr>
        <w:t xml:space="preserve"> 一般规定</w:t>
      </w:r>
      <w:r>
        <w:tab/>
      </w:r>
      <w:r>
        <w:fldChar w:fldCharType="begin"/>
      </w:r>
      <w:r>
        <w:instrText xml:space="preserve"> PAGEREF _Toc241506592 \h </w:instrText>
      </w:r>
      <w:r>
        <w:fldChar w:fldCharType="separate"/>
      </w:r>
      <w:r>
        <w:t>53</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"_Toc241506593" </w:instrText>
      </w:r>
      <w:r>
        <w:fldChar w:fldCharType="separate"/>
      </w:r>
      <w:r>
        <w:rPr>
          <w:rStyle w:val="35"/>
          <w:rFonts w:hAnsi="Times New Roman"/>
        </w:rPr>
        <w:t>14.2</w:t>
      </w:r>
      <w:r>
        <w:rPr>
          <w:rStyle w:val="35"/>
        </w:rPr>
        <w:t xml:space="preserve"> 结构健康监测</w:t>
      </w:r>
      <w:r>
        <w:tab/>
      </w:r>
      <w:r>
        <w:fldChar w:fldCharType="begin"/>
      </w:r>
      <w:r>
        <w:instrText xml:space="preserve"> PAGEREF _Toc241506593 \h </w:instrText>
      </w:r>
      <w:r>
        <w:fldChar w:fldCharType="separate"/>
      </w:r>
      <w:r>
        <w:t>54</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"_Toc241506594" </w:instrText>
      </w:r>
      <w:r>
        <w:fldChar w:fldCharType="separate"/>
      </w:r>
      <w:r>
        <w:rPr>
          <w:rStyle w:val="35"/>
          <w:rFonts w:hAnsi="Times New Roman"/>
        </w:rPr>
        <w:t>14.3</w:t>
      </w:r>
      <w:r>
        <w:rPr>
          <w:rStyle w:val="35"/>
        </w:rPr>
        <w:t xml:space="preserve"> 运维管理</w:t>
      </w:r>
      <w:r>
        <w:tab/>
      </w:r>
      <w:r>
        <w:fldChar w:fldCharType="begin"/>
      </w:r>
      <w:r>
        <w:instrText xml:space="preserve"> PAGEREF _Toc241506594 \h </w:instrText>
      </w:r>
      <w:r>
        <w:fldChar w:fldCharType="separate"/>
      </w:r>
      <w:r>
        <w:t>54</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"_Toc241506595" </w:instrText>
      </w:r>
      <w:r>
        <w:fldChar w:fldCharType="separate"/>
      </w:r>
      <w:r>
        <w:rPr>
          <w:rStyle w:val="35"/>
          <w:rFonts w:hAnsi="Times New Roman"/>
        </w:rPr>
        <w:t>14.4</w:t>
      </w:r>
      <w:r>
        <w:rPr>
          <w:rStyle w:val="35"/>
        </w:rPr>
        <w:t xml:space="preserve"> 围护系统维护</w:t>
      </w:r>
      <w:r>
        <w:tab/>
      </w:r>
      <w:r>
        <w:fldChar w:fldCharType="begin"/>
      </w:r>
      <w:r>
        <w:instrText xml:space="preserve"> PAGEREF _Toc241506595 \h </w:instrText>
      </w:r>
      <w:r>
        <w:fldChar w:fldCharType="separate"/>
      </w:r>
      <w:r>
        <w:t>54</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"_Toc241506596" </w:instrText>
      </w:r>
      <w:r>
        <w:fldChar w:fldCharType="separate"/>
      </w:r>
      <w:r>
        <w:rPr>
          <w:rStyle w:val="35"/>
          <w:rFonts w:hAnsi="Times New Roman"/>
        </w:rPr>
        <w:t>14.5</w:t>
      </w:r>
      <w:r>
        <w:rPr>
          <w:rStyle w:val="35"/>
        </w:rPr>
        <w:t xml:space="preserve"> 数字化运维</w:t>
      </w:r>
      <w:r>
        <w:tab/>
      </w:r>
      <w:r>
        <w:fldChar w:fldCharType="begin"/>
      </w:r>
      <w:r>
        <w:instrText xml:space="preserve"> PAGEREF _Toc241506596 \h </w:instrText>
      </w:r>
      <w:r>
        <w:fldChar w:fldCharType="separate"/>
      </w:r>
      <w:r>
        <w:t>55</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"_Toc241506597" </w:instrText>
      </w:r>
      <w:r>
        <w:fldChar w:fldCharType="separate"/>
      </w:r>
      <w:r>
        <w:rPr>
          <w:rStyle w:val="35"/>
          <w:rFonts w:hAnsi="Times New Roman"/>
        </w:rPr>
        <w:t>14.6</w:t>
      </w:r>
      <w:r>
        <w:rPr>
          <w:rStyle w:val="35"/>
        </w:rPr>
        <w:t xml:space="preserve"> 拆除前评估</w:t>
      </w:r>
      <w:r>
        <w:tab/>
      </w:r>
      <w:r>
        <w:fldChar w:fldCharType="begin"/>
      </w:r>
      <w:r>
        <w:instrText xml:space="preserve"> PAGEREF _Toc241506597 \h </w:instrText>
      </w:r>
      <w:r>
        <w:fldChar w:fldCharType="separate"/>
      </w:r>
      <w:r>
        <w:t>55</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"_Toc241506598" </w:instrText>
      </w:r>
      <w:r>
        <w:fldChar w:fldCharType="separate"/>
      </w:r>
      <w:r>
        <w:rPr>
          <w:rStyle w:val="35"/>
          <w:rFonts w:hAnsi="Times New Roman"/>
        </w:rPr>
        <w:t>14.7</w:t>
      </w:r>
      <w:r>
        <w:rPr>
          <w:rStyle w:val="35"/>
        </w:rPr>
        <w:t xml:space="preserve"> 拆除与资源化利用</w:t>
      </w:r>
      <w:r>
        <w:tab/>
      </w:r>
      <w:r>
        <w:fldChar w:fldCharType="begin"/>
      </w:r>
      <w:r>
        <w:instrText xml:space="preserve"> PAGEREF _Toc241506598 \h </w:instrText>
      </w:r>
      <w:r>
        <w:fldChar w:fldCharType="separate"/>
      </w:r>
      <w:r>
        <w:t>55</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"_Toc241506599" </w:instrText>
      </w:r>
      <w:r>
        <w:fldChar w:fldCharType="separate"/>
      </w:r>
      <w:r>
        <w:rPr>
          <w:rStyle w:val="35"/>
          <w:rFonts w:hAnsi="Times New Roman"/>
        </w:rPr>
        <w:t>14.8</w:t>
      </w:r>
      <w:r>
        <w:rPr>
          <w:rStyle w:val="35"/>
        </w:rPr>
        <w:t xml:space="preserve"> 全生命周期碳排放管理</w:t>
      </w:r>
      <w:r>
        <w:tab/>
      </w:r>
      <w:r>
        <w:fldChar w:fldCharType="begin"/>
      </w:r>
      <w:r>
        <w:instrText xml:space="preserve"> PAGEREF _Toc241506599 \h </w:instrText>
      </w:r>
      <w:r>
        <w:fldChar w:fldCharType="separate"/>
      </w:r>
      <w:r>
        <w:t>56</w:t>
      </w:r>
      <w:r>
        <w:fldChar w:fldCharType="end"/>
      </w:r>
      <w:r>
        <w:fldChar w:fldCharType="end"/>
      </w:r>
    </w:p>
    <w:p>
      <w:pPr>
        <w:pStyle w:val="18"/>
        <w:ind w:left="420"/>
        <w:rPr>
          <w:rFonts w:asciiTheme="minorHAnsi" w:hAnsiTheme="minorHAnsi" w:eastAsiaTheme="minorEastAsia" w:cstheme="minorBidi"/>
          <w:szCs w:val="22"/>
        </w:rPr>
      </w:pPr>
      <w:r>
        <w:fldChar w:fldCharType="begin"/>
      </w:r>
      <w:r>
        <w:instrText xml:space="preserve"> HYPERLINK \l "_Toc241506600" </w:instrText>
      </w:r>
      <w:r>
        <w:fldChar w:fldCharType="separate"/>
      </w:r>
      <w:r>
        <w:rPr>
          <w:rStyle w:val="35"/>
          <w:rFonts w:hAnsi="Times New Roman"/>
        </w:rPr>
        <w:t>14.9</w:t>
      </w:r>
      <w:r>
        <w:rPr>
          <w:rStyle w:val="35"/>
        </w:rPr>
        <w:t xml:space="preserve"> 资料移交与数字资产存档</w:t>
      </w:r>
      <w:r>
        <w:tab/>
      </w:r>
      <w:r>
        <w:fldChar w:fldCharType="begin"/>
      </w:r>
      <w:r>
        <w:instrText xml:space="preserve"> PAGEREF _Toc241506600 \h </w:instrText>
      </w:r>
      <w:r>
        <w:fldChar w:fldCharType="separate"/>
      </w:r>
      <w:r>
        <w:t>56</w:t>
      </w:r>
      <w:r>
        <w:fldChar w:fldCharType="end"/>
      </w:r>
      <w:r>
        <w:fldChar w:fldCharType="end"/>
      </w:r>
    </w:p>
    <w:p>
      <w:pPr>
        <w:pStyle w:val="27"/>
        <w:ind w:left="210"/>
        <w:rPr>
          <w:rFonts w:asciiTheme="minorHAnsi" w:hAnsiTheme="minorHAnsi" w:eastAsiaTheme="minorEastAsia" w:cstheme="minorBidi"/>
          <w:szCs w:val="22"/>
        </w:rPr>
      </w:pPr>
      <w:r>
        <w:fldChar w:fldCharType="begin"/>
      </w:r>
      <w:r>
        <w:instrText xml:space="preserve"> HYPERLINK \l "_Toc241506601" </w:instrText>
      </w:r>
      <w:r>
        <w:fldChar w:fldCharType="separate"/>
      </w:r>
      <w:r>
        <w:rPr>
          <w:rStyle w:val="35"/>
        </w:rPr>
        <w:t>15 标准实施及评价</w:t>
      </w:r>
      <w:r>
        <w:tab/>
      </w:r>
      <w:r>
        <w:fldChar w:fldCharType="begin"/>
      </w:r>
      <w:r>
        <w:instrText xml:space="preserve"> PAGEREF _Toc241506601 \h </w:instrText>
      </w:r>
      <w:r>
        <w:fldChar w:fldCharType="separate"/>
      </w:r>
      <w:r>
        <w:t>56</w:t>
      </w:r>
      <w:r>
        <w:fldChar w:fldCharType="end"/>
      </w:r>
      <w:r>
        <w:fldChar w:fldCharType="end"/>
      </w:r>
    </w:p>
    <w:p>
      <w:pPr>
        <w:pStyle w:val="23"/>
        <w:spacing w:before="78" w:after="78"/>
      </w:pPr>
      <w:r>
        <w:fldChar w:fldCharType="begin"/>
      </w:r>
      <w:r>
        <w:instrText xml:space="preserve"> HYPERLINK \l "_Toc241506602" </w:instrText>
      </w:r>
      <w:r>
        <w:fldChar w:fldCharType="separate"/>
      </w:r>
      <w:r>
        <w:rPr>
          <w:rStyle w:val="35"/>
          <w:color w:val="auto"/>
          <w:u w:val="none"/>
        </w:rPr>
        <w:t>附录A</w:t>
      </w:r>
      <w:r>
        <w:rPr>
          <w:rStyle w:val="35"/>
          <w:rFonts w:hint="eastAsia"/>
          <w:color w:val="auto"/>
          <w:u w:val="none"/>
        </w:rPr>
        <w:t>（资料性） 湖北省地方标准实施信息及意见反馈表</w:t>
      </w:r>
      <w:r>
        <w:tab/>
      </w:r>
      <w:r>
        <w:fldChar w:fldCharType="begin"/>
      </w:r>
      <w:r>
        <w:instrText xml:space="preserve"> PAGEREF _Toc241506602 \h </w:instrText>
      </w:r>
      <w:r>
        <w:fldChar w:fldCharType="separate"/>
      </w:r>
      <w:r>
        <w:t>58</w:t>
      </w:r>
      <w:r>
        <w:fldChar w:fldCharType="end"/>
      </w:r>
      <w:r>
        <w:fldChar w:fldCharType="end"/>
      </w:r>
    </w:p>
    <w:p>
      <w:pPr>
        <w:pStyle w:val="23"/>
        <w:spacing w:before="78" w:after="78"/>
      </w:pPr>
      <w:r>
        <w:fldChar w:fldCharType="begin"/>
      </w:r>
      <w:r>
        <w:instrText xml:space="preserve"> HYPERLINK \l "_Toc241506605" </w:instrText>
      </w:r>
      <w:r>
        <w:fldChar w:fldCharType="separate"/>
      </w:r>
      <w:r>
        <w:rPr>
          <w:rStyle w:val="35"/>
          <w:color w:val="auto"/>
          <w:u w:val="none"/>
        </w:rPr>
        <w:t>条文说明</w:t>
      </w:r>
      <w:r>
        <w:tab/>
      </w:r>
      <w:r>
        <w:fldChar w:fldCharType="begin"/>
      </w:r>
      <w:r>
        <w:instrText xml:space="preserve"> PAGEREF _Toc241506605 \h </w:instrText>
      </w:r>
      <w:r>
        <w:fldChar w:fldCharType="separate"/>
      </w:r>
      <w:r>
        <w:t>59</w:t>
      </w:r>
      <w:r>
        <w:fldChar w:fldCharType="end"/>
      </w:r>
      <w:r>
        <w:fldChar w:fldCharType="end"/>
      </w:r>
    </w:p>
    <w:p>
      <w:pPr>
        <w:pStyle w:val="23"/>
        <w:spacing w:before="78" w:after="78"/>
        <w:sectPr>
          <w:headerReference r:id="rId5" w:type="default"/>
          <w:footerReference r:id="rId7" w:type="default"/>
          <w:headerReference r:id="rId6" w:type="even"/>
          <w:footerReference r:id="rId8" w:type="even"/>
          <w:pgSz w:w="11906" w:h="16838"/>
          <w:pgMar w:top="1418" w:right="1134" w:bottom="1134" w:left="1134" w:header="1418" w:footer="1134" w:gutter="284"/>
          <w:pgNumType w:fmt="upperRoman" w:start="1"/>
          <w:cols w:space="425" w:num="1"/>
          <w:formProt w:val="0"/>
          <w:docGrid w:type="lines" w:linePitch="312" w:charSpace="0"/>
        </w:sectPr>
      </w:pPr>
      <w:r>
        <w:fldChar w:fldCharType="end"/>
      </w:r>
    </w:p>
    <w:bookmarkEnd w:id="0"/>
    <w:p>
      <w:pPr>
        <w:pStyle w:val="38"/>
        <w:numPr>
          <w:ilvl w:val="0"/>
          <w:numId w:val="0"/>
        </w:numPr>
        <w:overflowPunct w:val="0"/>
        <w:spacing w:before="851" w:after="680" w:afterLines="0"/>
      </w:pPr>
      <w:bookmarkStart w:id="20" w:name="_Toc241506507"/>
      <w:bookmarkStart w:id="21" w:name="_Toc17744"/>
      <w:bookmarkStart w:id="22" w:name="PartA"/>
      <w:r>
        <w:rPr>
          <w:spacing w:val="320"/>
        </w:rPr>
        <w:t>前</w:t>
      </w:r>
      <w:r>
        <w:t>言</w:t>
      </w:r>
      <w:bookmarkEnd w:id="1"/>
      <w:bookmarkEnd w:id="2"/>
      <w:bookmarkEnd w:id="3"/>
      <w:bookmarkEnd w:id="4"/>
      <w:bookmarkEnd w:id="5"/>
      <w:bookmarkEnd w:id="6"/>
      <w:bookmarkEnd w:id="7"/>
      <w:bookmarkEnd w:id="8"/>
      <w:bookmarkEnd w:id="10"/>
      <w:bookmarkEnd w:id="11"/>
      <w:bookmarkEnd w:id="20"/>
      <w:bookmarkEnd w:id="21"/>
    </w:p>
    <w:p>
      <w:pPr>
        <w:pStyle w:val="39"/>
        <w:ind w:firstLine="420"/>
        <w:rPr>
          <w:rFonts w:hAnsi="宋体"/>
        </w:rPr>
      </w:pPr>
      <w:r>
        <w:rPr>
          <w:rFonts w:hint="eastAsia" w:hAnsi="宋体"/>
        </w:rPr>
        <w:t>本文件按照</w:t>
      </w:r>
      <w:r>
        <w:rPr>
          <w:rFonts w:hAnsi="宋体"/>
        </w:rPr>
        <w:t>GB/T 1.1</w:t>
      </w:r>
      <w:r>
        <w:rPr>
          <w:rFonts w:hint="eastAsia" w:hAnsi="宋体"/>
        </w:rPr>
        <w:t>—</w:t>
      </w:r>
      <w:r>
        <w:rPr>
          <w:rFonts w:hAnsi="宋体"/>
        </w:rPr>
        <w:t>2020</w:t>
      </w:r>
      <w:r>
        <w:rPr>
          <w:rFonts w:hint="eastAsia" w:hAnsi="宋体"/>
        </w:rPr>
        <w:t xml:space="preserve">《标准化工作导则 </w:t>
      </w:r>
      <w:r>
        <w:rPr>
          <w:rFonts w:hAnsi="宋体"/>
        </w:rPr>
        <w:t xml:space="preserve"> </w:t>
      </w:r>
      <w:r>
        <w:rPr>
          <w:rFonts w:hint="eastAsia" w:hAnsi="宋体"/>
        </w:rPr>
        <w:t>第</w:t>
      </w:r>
      <w:r>
        <w:rPr>
          <w:rFonts w:hAnsi="宋体"/>
        </w:rPr>
        <w:t>1</w:t>
      </w:r>
      <w:r>
        <w:rPr>
          <w:rFonts w:hint="eastAsia" w:hAnsi="宋体"/>
        </w:rPr>
        <w:t>部分：标准化文件的结构和起草规则》</w:t>
      </w:r>
      <w:r>
        <w:rPr>
          <w:rFonts w:hint="eastAsia"/>
        </w:rPr>
        <w:t>给出的规则起草</w:t>
      </w:r>
      <w:r>
        <w:rPr>
          <w:rFonts w:hint="eastAsia" w:hAnsi="宋体"/>
        </w:rPr>
        <w:t>。</w:t>
      </w:r>
    </w:p>
    <w:p>
      <w:pPr>
        <w:pStyle w:val="39"/>
        <w:ind w:firstLine="420"/>
      </w:pPr>
      <w:r>
        <w:rPr>
          <w:rFonts w:hint="eastAsia"/>
        </w:rPr>
        <w:t>请注意本文件的某些内容可能涉及专利。本文件的发布机构不承担识别专利的责任。</w:t>
      </w:r>
    </w:p>
    <w:p>
      <w:pPr>
        <w:pStyle w:val="39"/>
        <w:ind w:firstLine="420"/>
        <w:rPr>
          <w:rFonts w:hAnsi="宋体"/>
        </w:rPr>
      </w:pPr>
      <w:r>
        <w:rPr>
          <w:rFonts w:hint="eastAsia" w:hAnsi="宋体"/>
        </w:rPr>
        <w:t>本文件由湖北省住房和城乡建设厅提出并归口管理。</w:t>
      </w:r>
    </w:p>
    <w:p>
      <w:pPr>
        <w:pStyle w:val="39"/>
        <w:ind w:firstLine="420"/>
        <w:rPr>
          <w:rFonts w:hAnsi="宋体"/>
        </w:rPr>
      </w:pPr>
      <w:r>
        <w:rPr>
          <w:rFonts w:hint="eastAsia" w:hAnsi="宋体"/>
        </w:rPr>
        <w:t xml:space="preserve">本文件起草单位：中建科工集团有限公司、武汉建筑业协会、中建三局钢构科技有限公司、中国建筑第二工程局有限公司、中建三局集团有限公司、中国一冶集团有限公司、中建三局工程设计有限公司、中建钢构武汉有限公司、湖北省建筑事业发展中心、武汉市绿色建筑发展促进中心、汉之筑（武汉）建设管理有限公司、武汉理工大学、湖北省装配式绿色建筑技术创新中心、湖北盛荣建设集团有限公司、湖北省建筑工程质量监督检验测试中心有限公司、中建科工集团武汉有限公司。                </w:t>
      </w:r>
    </w:p>
    <w:p>
      <w:pPr>
        <w:pStyle w:val="39"/>
        <w:ind w:firstLine="420"/>
        <w:rPr>
          <w:rFonts w:hAnsi="宋体"/>
        </w:rPr>
      </w:pPr>
      <w:r>
        <w:rPr>
          <w:rFonts w:hint="eastAsia" w:hAnsi="宋体"/>
        </w:rPr>
        <w:t>本文件主要起草人：张伟、肖开喜、何洪普、冷世春、赵立、张天星、邹江、陆杰、王春旭、周瑜、郑峰、谭赟、薄理壮、赵雅、钱小静、向晖、张凯、陈伟、金振、徐鸣园、王康、张灿、李科、刘彦辉、何其伟、曹超东、李春强、赵国玉、刘学良、刘晓敏、钟思维、蔡礼雄、周民锋、李胜、李冉冉、严小霞、李明强、刘高峰、何军民、张扬、严行、周焱平、周啸、孙林、张希明、李潇、杜丹、余旸、吴叶品、肖百朝、邓箭、陈志敏、张晓霞、王堃宇、张盟、常青、甘霖、何嘉浦、石上泉、李雪春。</w:t>
      </w:r>
    </w:p>
    <w:p>
      <w:pPr>
        <w:pStyle w:val="39"/>
        <w:ind w:firstLine="420"/>
        <w:rPr>
          <w:rFonts w:hAnsi="宋体"/>
        </w:rPr>
      </w:pPr>
      <w:r>
        <w:rPr>
          <w:rFonts w:hint="eastAsia" w:hAnsi="宋体"/>
        </w:rPr>
        <w:t>本文件实施应用中的疑问，可咨询湖北省住房和城乡建设厅，联系电话：027-68873088，邮箱：bkc@hbszjt.net.cn。在执行过程中如有意见和建议请邮寄中建科工集团有限公司（地址：湖北省武汉市凤凰山工业园五贤路6号中建科工南门，邮编430100,邮箱</w:t>
      </w:r>
      <w:r>
        <w:fldChar w:fldCharType="begin"/>
      </w:r>
      <w:r>
        <w:instrText xml:space="preserve"> HYPERLINK "mailto:82679455@qq.com" </w:instrText>
      </w:r>
      <w:r>
        <w:fldChar w:fldCharType="separate"/>
      </w:r>
      <w:r>
        <w:rPr>
          <w:rFonts w:hint="eastAsia" w:hAnsi="宋体"/>
        </w:rPr>
        <w:t>82679455@qq.com</w:t>
      </w:r>
      <w:r>
        <w:rPr>
          <w:rFonts w:hint="eastAsia" w:hAnsi="宋体"/>
        </w:rPr>
        <w:fldChar w:fldCharType="end"/>
      </w:r>
      <w:r>
        <w:rPr>
          <w:rFonts w:hint="eastAsia" w:hAnsi="宋体"/>
        </w:rPr>
        <w:t>）。</w:t>
      </w:r>
    </w:p>
    <w:p>
      <w:pPr>
        <w:pStyle w:val="39"/>
        <w:overflowPunct w:val="0"/>
        <w:autoSpaceDE/>
        <w:autoSpaceDN/>
        <w:ind w:firstLine="420"/>
      </w:pPr>
    </w:p>
    <w:p>
      <w:pPr>
        <w:pStyle w:val="39"/>
        <w:overflowPunct w:val="0"/>
        <w:autoSpaceDE/>
        <w:autoSpaceDN/>
        <w:ind w:firstLine="420"/>
      </w:pPr>
    </w:p>
    <w:p>
      <w:pPr>
        <w:pStyle w:val="39"/>
        <w:overflowPunct w:val="0"/>
        <w:autoSpaceDE/>
        <w:autoSpaceDN/>
        <w:ind w:firstLine="420"/>
      </w:pPr>
    </w:p>
    <w:p>
      <w:pPr>
        <w:widowControl/>
        <w:adjustRightInd/>
        <w:spacing w:line="240" w:lineRule="auto"/>
        <w:jc w:val="left"/>
        <w:rPr>
          <w:rFonts w:ascii="宋体" w:hAnsi="Times New Roman"/>
          <w:kern w:val="0"/>
          <w:szCs w:val="20"/>
        </w:rPr>
        <w:sectPr>
          <w:type w:val="oddPage"/>
          <w:pgSz w:w="11906" w:h="16838"/>
          <w:pgMar w:top="1418" w:right="1134" w:bottom="1134" w:left="1134" w:header="1418" w:footer="1134" w:gutter="284"/>
          <w:pgNumType w:fmt="upperRoman"/>
          <w:cols w:space="425" w:num="1"/>
          <w:formProt w:val="0"/>
          <w:docGrid w:type="lines" w:linePitch="312" w:charSpace="0"/>
        </w:sectPr>
      </w:pPr>
      <w:r>
        <w:br w:type="page"/>
      </w:r>
    </w:p>
    <w:p>
      <w:pPr>
        <w:pStyle w:val="38"/>
        <w:numPr>
          <w:ilvl w:val="0"/>
          <w:numId w:val="0"/>
        </w:numPr>
        <w:overflowPunct w:val="0"/>
        <w:spacing w:before="851" w:after="680" w:afterLines="0"/>
      </w:pPr>
      <w:bookmarkStart w:id="23" w:name="_Toc241506508"/>
      <w:bookmarkStart w:id="24" w:name="_Toc3111"/>
      <w:r>
        <w:rPr>
          <w:rFonts w:hint="eastAsia"/>
          <w:spacing w:val="320"/>
        </w:rPr>
        <w:t>引</w:t>
      </w:r>
      <w:r>
        <w:t>言</w:t>
      </w:r>
      <w:bookmarkEnd w:id="23"/>
      <w:bookmarkEnd w:id="24"/>
    </w:p>
    <w:p>
      <w:pPr>
        <w:pStyle w:val="39"/>
        <w:ind w:firstLine="420"/>
      </w:pPr>
      <w:bookmarkStart w:id="25" w:name="_Hlk144212210"/>
      <w:r>
        <w:rPr>
          <w:rFonts w:hint="eastAsia"/>
        </w:rPr>
        <w:t>为贯彻落实中共中央办公厅、国务院办公厅《关于推动城乡建设绿色发展的意见》（中办发〔2021〕37号）、住房和城乡建设部等部门《关于加快新型建筑工业化发展的若干意见》（建标规〔2020〕8号）、住房城乡建设部《关于提升住房品质的意见》（建标〔2025〕66号）及湖北省人民政府办公厅《关于加快推进绿色智能建造产业发展的实施意见》（鄂政办发〔2025〕42号）等文件精神，加快推进湖北省建筑业工业化、数字化、智能化升级，促进全省建筑业绿色智能转型和高质量发展，规范湖北省钢结构装配式住宅项目全周期管理，编制组经深入调查研究，认真总结实践经验，参考有关先进标准，并在广泛征求意见的基础上，制定本文件。</w:t>
      </w:r>
    </w:p>
    <w:p>
      <w:pPr>
        <w:pStyle w:val="39"/>
        <w:ind w:firstLine="420"/>
      </w:pPr>
      <w:r>
        <w:rPr>
          <w:rFonts w:hint="eastAsia"/>
        </w:rPr>
        <w:t>本文件共分为14个章节，包括范围、规范性引用文件、术语和定义、基本规定、建筑设计、结构设计、外围护系统设计、设备与管线系统设计、内装系统设计、构件生产、施工安装、检验检测与验收、绿色智能建造、运维与消纳。为湖北省钢结构装配式住宅建设提供科学适用、贴合实际的全流程技术依据，确保各项政策部署落地见效。</w:t>
      </w:r>
      <w:bookmarkEnd w:id="25"/>
    </w:p>
    <w:p>
      <w:pPr>
        <w:pStyle w:val="39"/>
        <w:ind w:firstLine="420"/>
        <w:rPr>
          <w:rFonts w:hAnsi="宋体"/>
        </w:rPr>
      </w:pPr>
    </w:p>
    <w:p>
      <w:pPr>
        <w:widowControl/>
        <w:adjustRightInd/>
        <w:spacing w:line="240" w:lineRule="auto"/>
        <w:jc w:val="center"/>
        <w:rPr>
          <w:rFonts w:ascii="宋体" w:hAnsi="Times New Roman"/>
          <w:kern w:val="0"/>
          <w:szCs w:val="20"/>
        </w:rPr>
      </w:pPr>
    </w:p>
    <w:p>
      <w:pPr>
        <w:pStyle w:val="39"/>
        <w:overflowPunct w:val="0"/>
        <w:autoSpaceDE/>
        <w:autoSpaceDN/>
        <w:ind w:firstLine="420"/>
        <w:sectPr>
          <w:headerReference r:id="rId9" w:type="default"/>
          <w:footerReference r:id="rId11" w:type="default"/>
          <w:headerReference r:id="rId10" w:type="even"/>
          <w:footerReference r:id="rId12" w:type="even"/>
          <w:pgSz w:w="11906" w:h="16838"/>
          <w:pgMar w:top="1418" w:right="1134" w:bottom="1134" w:left="1134" w:header="1418" w:footer="1134" w:gutter="284"/>
          <w:pgNumType w:fmt="upperRoman"/>
          <w:cols w:space="425" w:num="1"/>
          <w:formProt w:val="0"/>
          <w:docGrid w:type="lines" w:linePitch="312" w:charSpace="0"/>
        </w:sectPr>
      </w:pPr>
    </w:p>
    <w:bookmarkEnd w:id="12"/>
    <w:p>
      <w:pPr>
        <w:pStyle w:val="39"/>
        <w:spacing w:after="686" w:afterLines="220"/>
        <w:ind w:firstLine="0" w:firstLineChars="0"/>
        <w:jc w:val="center"/>
        <w:rPr>
          <w:rFonts w:ascii="黑体" w:hAnsi="黑体" w:eastAsia="黑体"/>
          <w:sz w:val="32"/>
          <w:szCs w:val="32"/>
        </w:rPr>
      </w:pPr>
      <w:bookmarkStart w:id="26" w:name="_Toc8414"/>
      <w:bookmarkStart w:id="27" w:name="NEW_STAND_NAME"/>
      <w:bookmarkStart w:id="28" w:name="_Toc116980758"/>
      <w:bookmarkStart w:id="29" w:name="BookMark4"/>
      <w:r>
        <w:rPr>
          <w:rFonts w:hint="eastAsia" w:ascii="黑体" w:hAnsi="黑体" w:eastAsia="黑体"/>
          <w:sz w:val="32"/>
          <w:szCs w:val="32"/>
        </w:rPr>
        <w:t>钢结构装配式住宅技术规程</w:t>
      </w:r>
    </w:p>
    <w:bookmarkEnd w:id="26"/>
    <w:p>
      <w:pPr>
        <w:pStyle w:val="41"/>
        <w:spacing w:before="312" w:after="312"/>
      </w:pPr>
      <w:bookmarkStart w:id="30" w:name="_Toc241506509"/>
      <w:bookmarkStart w:id="31" w:name="_Toc13185"/>
      <w:bookmarkStart w:id="32" w:name="_Toc152235273"/>
      <w:r>
        <w:rPr>
          <w:rFonts w:hint="eastAsia"/>
        </w:rPr>
        <w:t>范围</w:t>
      </w:r>
      <w:bookmarkEnd w:id="30"/>
      <w:bookmarkEnd w:id="31"/>
      <w:bookmarkEnd w:id="32"/>
      <w:r>
        <w:rPr>
          <w:rFonts w:hint="eastAsia"/>
        </w:rPr>
        <w:t xml:space="preserve"> </w:t>
      </w:r>
    </w:p>
    <w:p>
      <w:pPr>
        <w:pStyle w:val="39"/>
        <w:ind w:firstLine="420"/>
      </w:pPr>
      <w:bookmarkStart w:id="33" w:name="_Toc17233334"/>
      <w:bookmarkStart w:id="34" w:name="_Toc26648466"/>
      <w:bookmarkStart w:id="35" w:name="_Toc24884219"/>
      <w:bookmarkStart w:id="36" w:name="_Toc17233326"/>
      <w:bookmarkStart w:id="37" w:name="_Toc24884212"/>
      <w:r>
        <w:rPr>
          <w:rFonts w:hint="eastAsia"/>
        </w:rPr>
        <w:t>本文件规定了钢结构装配式住宅的设计原则、评价依据、基本要求、建筑设计、结构设计、外围护系统设计、设备与管线系统设计、内装系统设计、构件生产、施工安装、检验检测与验收、绿色智能建造、运维与消纳等内容。</w:t>
      </w:r>
    </w:p>
    <w:p>
      <w:pPr>
        <w:pStyle w:val="39"/>
        <w:ind w:firstLine="420"/>
      </w:pPr>
      <w:r>
        <w:rPr>
          <w:rFonts w:hint="eastAsia"/>
        </w:rPr>
        <w:t>本文件适用于湖北省主体结构采用钢结构或钢-混凝土混合结构的装配式多、高层住宅建筑的设计、施工、运维与消纳，其他钢结构装配式项目可参照执行。</w:t>
      </w:r>
    </w:p>
    <w:p>
      <w:pPr>
        <w:pStyle w:val="41"/>
        <w:spacing w:before="312" w:after="312"/>
      </w:pPr>
      <w:bookmarkStart w:id="38" w:name="_Toc16198"/>
      <w:bookmarkStart w:id="39" w:name="_Toc241506510"/>
      <w:bookmarkStart w:id="40" w:name="_Toc152235274"/>
      <w:r>
        <w:rPr>
          <w:rFonts w:hint="eastAsia"/>
        </w:rPr>
        <w:t>规范性引用文件</w:t>
      </w:r>
      <w:bookmarkEnd w:id="38"/>
      <w:bookmarkEnd w:id="39"/>
      <w:bookmarkEnd w:id="40"/>
    </w:p>
    <w:p>
      <w:pPr>
        <w:pStyle w:val="39"/>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39"/>
        <w:ind w:firstLine="420"/>
      </w:pPr>
      <w:r>
        <w:rPr>
          <w:rFonts w:hint="eastAsia"/>
        </w:rPr>
        <w:t>GB 6514  涂装作业安全规程涂漆工艺安全及其通风</w:t>
      </w:r>
    </w:p>
    <w:p>
      <w:pPr>
        <w:pStyle w:val="39"/>
        <w:ind w:firstLine="420"/>
      </w:pPr>
      <w:r>
        <w:rPr>
          <w:rFonts w:hint="eastAsia"/>
        </w:rPr>
        <w:t>GB 6566  建筑材料放射性核素限量</w:t>
      </w:r>
    </w:p>
    <w:p>
      <w:pPr>
        <w:pStyle w:val="39"/>
        <w:ind w:firstLine="420"/>
      </w:pPr>
      <w:r>
        <w:rPr>
          <w:rFonts w:hint="eastAsia"/>
        </w:rPr>
        <w:t>GB 7691  涂装作业安全管理通则</w:t>
      </w:r>
    </w:p>
    <w:p>
      <w:pPr>
        <w:pStyle w:val="39"/>
        <w:ind w:firstLine="420"/>
      </w:pPr>
      <w:r>
        <w:rPr>
          <w:rFonts w:hint="eastAsia"/>
        </w:rPr>
        <w:t>GB 8923  涂装前钢材表面锈蚀等级和除锈等级</w:t>
      </w:r>
    </w:p>
    <w:p>
      <w:pPr>
        <w:pStyle w:val="39"/>
        <w:ind w:firstLine="420"/>
      </w:pPr>
      <w:r>
        <w:rPr>
          <w:rFonts w:hint="eastAsia"/>
        </w:rPr>
        <w:t>GB 9448  焊接与切割安全</w:t>
      </w:r>
    </w:p>
    <w:p>
      <w:pPr>
        <w:pStyle w:val="39"/>
        <w:ind w:firstLine="420"/>
      </w:pPr>
      <w:r>
        <w:rPr>
          <w:rFonts w:hint="eastAsia"/>
        </w:rPr>
        <w:t>GB 14443  涂装作业安全规程涂层烘干室安全技术规定</w:t>
      </w:r>
    </w:p>
    <w:p>
      <w:pPr>
        <w:pStyle w:val="39"/>
        <w:ind w:firstLine="420"/>
      </w:pPr>
      <w:r>
        <w:t>GB 12523</w:t>
      </w:r>
      <w:r>
        <w:rPr>
          <w:rFonts w:hint="eastAsia"/>
        </w:rPr>
        <w:t xml:space="preserve">  </w:t>
      </w:r>
      <w:r>
        <w:t>建筑施工场界环境噪声排放标准</w:t>
      </w:r>
    </w:p>
    <w:p>
      <w:pPr>
        <w:pStyle w:val="39"/>
        <w:ind w:firstLine="420"/>
      </w:pPr>
      <w:r>
        <w:rPr>
          <w:rFonts w:hint="eastAsia"/>
        </w:rPr>
        <w:t>GB 15762  蒸压加气混凝土板</w:t>
      </w:r>
    </w:p>
    <w:p>
      <w:pPr>
        <w:pStyle w:val="39"/>
        <w:ind w:firstLine="420"/>
      </w:pPr>
      <w:r>
        <w:rPr>
          <w:rFonts w:hint="eastAsia"/>
        </w:rPr>
        <w:t>GB 50009  建筑结构荷载规范</w:t>
      </w:r>
    </w:p>
    <w:p>
      <w:pPr>
        <w:pStyle w:val="39"/>
        <w:ind w:firstLine="420"/>
      </w:pPr>
      <w:r>
        <w:rPr>
          <w:rFonts w:hint="eastAsia"/>
        </w:rPr>
        <w:t>GB 50016  建筑设计防火规范</w:t>
      </w:r>
    </w:p>
    <w:p>
      <w:pPr>
        <w:pStyle w:val="39"/>
        <w:ind w:firstLine="420"/>
      </w:pPr>
      <w:r>
        <w:rPr>
          <w:rFonts w:hint="eastAsia"/>
        </w:rPr>
        <w:t>GB 50017  钢结构设计标准</w:t>
      </w:r>
    </w:p>
    <w:p>
      <w:pPr>
        <w:pStyle w:val="39"/>
        <w:ind w:firstLine="420"/>
      </w:pPr>
      <w:r>
        <w:rPr>
          <w:rFonts w:hint="eastAsia"/>
        </w:rPr>
        <w:t>GB 50028  城镇燃气设计规范</w:t>
      </w:r>
    </w:p>
    <w:p>
      <w:pPr>
        <w:pStyle w:val="39"/>
        <w:ind w:firstLine="420"/>
      </w:pPr>
      <w:r>
        <w:rPr>
          <w:rFonts w:hint="eastAsia"/>
        </w:rPr>
        <w:t>GB 50057  建筑物防雷设计规范</w:t>
      </w:r>
    </w:p>
    <w:p>
      <w:pPr>
        <w:pStyle w:val="39"/>
        <w:ind w:firstLine="420"/>
      </w:pPr>
      <w:r>
        <w:rPr>
          <w:rFonts w:hint="eastAsia"/>
        </w:rPr>
        <w:t>GB 50096  住宅设计规范</w:t>
      </w:r>
    </w:p>
    <w:p>
      <w:pPr>
        <w:pStyle w:val="39"/>
        <w:ind w:firstLine="420"/>
      </w:pPr>
      <w:r>
        <w:rPr>
          <w:rFonts w:hint="eastAsia"/>
        </w:rPr>
        <w:t>GB 50118  民用建筑隔声设计规范</w:t>
      </w:r>
    </w:p>
    <w:p>
      <w:pPr>
        <w:pStyle w:val="39"/>
        <w:ind w:firstLine="420"/>
      </w:pPr>
      <w:r>
        <w:rPr>
          <w:rFonts w:hint="eastAsia"/>
        </w:rPr>
        <w:t>GB 50166  火灾自动报警系统施工及验收标准</w:t>
      </w:r>
    </w:p>
    <w:p>
      <w:pPr>
        <w:pStyle w:val="39"/>
        <w:ind w:firstLine="420"/>
      </w:pPr>
      <w:r>
        <w:rPr>
          <w:rFonts w:hint="eastAsia"/>
        </w:rPr>
        <w:t>GB 50176  民用建筑热工设计规范</w:t>
      </w:r>
    </w:p>
    <w:p>
      <w:pPr>
        <w:pStyle w:val="39"/>
        <w:ind w:firstLine="420"/>
      </w:pPr>
      <w:r>
        <w:rPr>
          <w:rFonts w:hint="eastAsia"/>
        </w:rPr>
        <w:t>GB 50204  混凝土结构工程施工质量验收规范</w:t>
      </w:r>
    </w:p>
    <w:p>
      <w:pPr>
        <w:pStyle w:val="39"/>
        <w:ind w:firstLine="420"/>
      </w:pPr>
      <w:r>
        <w:rPr>
          <w:rFonts w:hint="eastAsia"/>
        </w:rPr>
        <w:t>GB 50205  钢结构工程施工质量验收标准</w:t>
      </w:r>
    </w:p>
    <w:p>
      <w:pPr>
        <w:pStyle w:val="39"/>
        <w:ind w:firstLine="420"/>
      </w:pPr>
      <w:r>
        <w:rPr>
          <w:rFonts w:hint="eastAsia"/>
        </w:rPr>
        <w:t>GB 50210  建筑装饰装修工程质量验收标准</w:t>
      </w:r>
    </w:p>
    <w:p>
      <w:pPr>
        <w:pStyle w:val="39"/>
        <w:ind w:firstLine="420"/>
      </w:pPr>
      <w:r>
        <w:rPr>
          <w:rFonts w:hint="eastAsia"/>
        </w:rPr>
        <w:t>GB 50222  建筑内部装修设计防火规范</w:t>
      </w:r>
    </w:p>
    <w:p>
      <w:pPr>
        <w:pStyle w:val="39"/>
        <w:ind w:firstLine="420"/>
      </w:pPr>
      <w:r>
        <w:rPr>
          <w:rFonts w:hint="eastAsia"/>
        </w:rPr>
        <w:t>GB 50242  建筑给水排水及采暖工程施工质量验收规范</w:t>
      </w:r>
    </w:p>
    <w:p>
      <w:pPr>
        <w:pStyle w:val="39"/>
        <w:ind w:firstLine="420"/>
      </w:pPr>
      <w:r>
        <w:rPr>
          <w:rFonts w:hint="eastAsia"/>
        </w:rPr>
        <w:t>GB 50243  通风与空调工程施工质量验收规范</w:t>
      </w:r>
    </w:p>
    <w:p>
      <w:pPr>
        <w:pStyle w:val="39"/>
        <w:ind w:firstLine="420"/>
      </w:pPr>
      <w:r>
        <w:rPr>
          <w:rFonts w:hint="eastAsia"/>
        </w:rPr>
        <w:t>GB 50300  建筑工程施工质量验收统一标准</w:t>
      </w:r>
    </w:p>
    <w:p>
      <w:pPr>
        <w:pStyle w:val="39"/>
        <w:ind w:firstLine="420"/>
      </w:pPr>
      <w:r>
        <w:rPr>
          <w:rFonts w:hint="eastAsia"/>
        </w:rPr>
        <w:t>GB 50303  建筑电气工程施工质量验收规范</w:t>
      </w:r>
    </w:p>
    <w:p>
      <w:pPr>
        <w:pStyle w:val="39"/>
        <w:ind w:firstLine="420"/>
      </w:pPr>
      <w:r>
        <w:rPr>
          <w:rFonts w:hint="eastAsia"/>
        </w:rPr>
        <w:t>GB 50310  电梯工程施工质量验收规范</w:t>
      </w:r>
    </w:p>
    <w:p>
      <w:pPr>
        <w:pStyle w:val="39"/>
        <w:ind w:firstLine="420"/>
      </w:pPr>
      <w:r>
        <w:rPr>
          <w:rFonts w:hint="eastAsia"/>
        </w:rPr>
        <w:t>GB 50325  民用建筑工程室内环境污染控制规范</w:t>
      </w:r>
    </w:p>
    <w:p>
      <w:pPr>
        <w:pStyle w:val="39"/>
        <w:ind w:firstLine="420"/>
      </w:pPr>
      <w:r>
        <w:rPr>
          <w:rFonts w:hint="eastAsia"/>
        </w:rPr>
        <w:t>GB 50339  智能建筑工程质量验收规范</w:t>
      </w:r>
    </w:p>
    <w:p>
      <w:pPr>
        <w:pStyle w:val="39"/>
        <w:ind w:firstLine="420"/>
      </w:pPr>
      <w:r>
        <w:rPr>
          <w:rFonts w:hint="eastAsia"/>
        </w:rPr>
        <w:t>GB 50343  建筑物电子信息系统防雷技术规范</w:t>
      </w:r>
    </w:p>
    <w:p>
      <w:pPr>
        <w:pStyle w:val="39"/>
        <w:ind w:firstLine="420"/>
      </w:pPr>
      <w:r>
        <w:rPr>
          <w:rFonts w:hint="eastAsia"/>
        </w:rPr>
        <w:t>GB 50345  屋面工程技术规范</w:t>
      </w:r>
    </w:p>
    <w:p>
      <w:pPr>
        <w:pStyle w:val="39"/>
        <w:ind w:firstLine="420"/>
      </w:pPr>
      <w:r>
        <w:rPr>
          <w:rFonts w:hint="eastAsia"/>
        </w:rPr>
        <w:t>GB 50368  住宅建筑规范</w:t>
      </w:r>
    </w:p>
    <w:p>
      <w:pPr>
        <w:pStyle w:val="39"/>
        <w:ind w:firstLine="420"/>
      </w:pPr>
      <w:r>
        <w:rPr>
          <w:rFonts w:hint="eastAsia"/>
        </w:rPr>
        <w:t>GB 50411  建筑节能工程施工质量验收标准</w:t>
      </w:r>
    </w:p>
    <w:p>
      <w:pPr>
        <w:pStyle w:val="39"/>
        <w:ind w:firstLine="420"/>
      </w:pPr>
      <w:r>
        <w:rPr>
          <w:rFonts w:hint="eastAsia"/>
        </w:rPr>
        <w:t>GB 50574  墙体材料应用统一技术规范</w:t>
      </w:r>
    </w:p>
    <w:p>
      <w:pPr>
        <w:pStyle w:val="39"/>
        <w:ind w:firstLine="420"/>
      </w:pPr>
      <w:r>
        <w:rPr>
          <w:rFonts w:hint="eastAsia"/>
        </w:rPr>
        <w:t>GB 50606  智能建筑工程施工规范</w:t>
      </w:r>
    </w:p>
    <w:p>
      <w:pPr>
        <w:pStyle w:val="39"/>
        <w:ind w:firstLine="420"/>
      </w:pPr>
      <w:r>
        <w:rPr>
          <w:rFonts w:hint="eastAsia"/>
        </w:rPr>
        <w:t>GB 50661  钢结构焊接规范</w:t>
      </w:r>
    </w:p>
    <w:p>
      <w:pPr>
        <w:pStyle w:val="39"/>
        <w:ind w:firstLine="420"/>
      </w:pPr>
      <w:r>
        <w:rPr>
          <w:rFonts w:hint="eastAsia"/>
        </w:rPr>
        <w:t>GB 50666  混凝土结构工程施工规范</w:t>
      </w:r>
    </w:p>
    <w:p>
      <w:pPr>
        <w:pStyle w:val="39"/>
        <w:ind w:firstLine="420"/>
      </w:pPr>
      <w:r>
        <w:t>GB 50693</w:t>
      </w:r>
      <w:r>
        <w:rPr>
          <w:rFonts w:hint="eastAsia"/>
        </w:rPr>
        <w:t xml:space="preserve">  </w:t>
      </w:r>
      <w:r>
        <w:t>坡屋面工程技术规范</w:t>
      </w:r>
    </w:p>
    <w:p>
      <w:pPr>
        <w:pStyle w:val="39"/>
        <w:ind w:firstLine="420"/>
      </w:pPr>
      <w:r>
        <w:rPr>
          <w:rFonts w:hint="eastAsia"/>
        </w:rPr>
        <w:t>GB 50736  民用建筑供暖通风与空气调节设计规范</w:t>
      </w:r>
    </w:p>
    <w:p>
      <w:pPr>
        <w:pStyle w:val="39"/>
        <w:ind w:firstLine="420"/>
      </w:pPr>
      <w:r>
        <w:rPr>
          <w:rFonts w:hint="eastAsia"/>
        </w:rPr>
        <w:t>GB 50755  钢结构工程施工规范</w:t>
      </w:r>
    </w:p>
    <w:p>
      <w:pPr>
        <w:pStyle w:val="39"/>
        <w:ind w:firstLine="420"/>
      </w:pPr>
      <w:r>
        <w:rPr>
          <w:rFonts w:hint="eastAsia"/>
        </w:rPr>
        <w:t>GB 50901  钢-混凝土组合结构施工规范</w:t>
      </w:r>
    </w:p>
    <w:p>
      <w:pPr>
        <w:pStyle w:val="39"/>
        <w:ind w:firstLine="420"/>
      </w:pPr>
      <w:r>
        <w:rPr>
          <w:rFonts w:hint="eastAsia"/>
        </w:rPr>
        <w:t>GB 50936  钢管混凝土结构技术规范</w:t>
      </w:r>
    </w:p>
    <w:p>
      <w:pPr>
        <w:pStyle w:val="39"/>
        <w:ind w:firstLine="420"/>
      </w:pPr>
      <w:r>
        <w:rPr>
          <w:rFonts w:hint="eastAsia"/>
        </w:rPr>
        <w:t>GB 50981  建筑机电工程抗震设计规范</w:t>
      </w:r>
    </w:p>
    <w:p>
      <w:pPr>
        <w:pStyle w:val="39"/>
        <w:ind w:firstLine="420"/>
      </w:pPr>
      <w:r>
        <w:rPr>
          <w:rFonts w:hint="eastAsia"/>
        </w:rPr>
        <w:t>GB 51249  建筑钢结构防火技术规范</w:t>
      </w:r>
    </w:p>
    <w:p>
      <w:pPr>
        <w:pStyle w:val="39"/>
        <w:ind w:firstLine="420"/>
      </w:pPr>
      <w:r>
        <w:rPr>
          <w:rFonts w:hint="eastAsia"/>
        </w:rPr>
        <w:t>GB 55001  工程结构通用规范</w:t>
      </w:r>
    </w:p>
    <w:p>
      <w:pPr>
        <w:pStyle w:val="39"/>
        <w:ind w:firstLine="420"/>
      </w:pPr>
      <w:r>
        <w:rPr>
          <w:rFonts w:hint="eastAsia"/>
        </w:rPr>
        <w:t>GB 55002  建筑与市政工程抗震通用规范</w:t>
      </w:r>
    </w:p>
    <w:p>
      <w:pPr>
        <w:pStyle w:val="39"/>
        <w:ind w:firstLine="420"/>
      </w:pPr>
      <w:r>
        <w:rPr>
          <w:rFonts w:hint="eastAsia"/>
        </w:rPr>
        <w:t>GB 55004  组合结构通用规范</w:t>
      </w:r>
    </w:p>
    <w:p>
      <w:pPr>
        <w:pStyle w:val="39"/>
        <w:ind w:firstLine="420"/>
      </w:pPr>
      <w:r>
        <w:rPr>
          <w:rFonts w:hint="eastAsia"/>
        </w:rPr>
        <w:t>GB 55006  钢结构通用规范</w:t>
      </w:r>
    </w:p>
    <w:p>
      <w:pPr>
        <w:pStyle w:val="39"/>
        <w:ind w:firstLine="420"/>
      </w:pPr>
      <w:r>
        <w:rPr>
          <w:rFonts w:hint="eastAsia"/>
        </w:rPr>
        <w:t>GB 55008  混凝土结构通用规范</w:t>
      </w:r>
    </w:p>
    <w:p>
      <w:pPr>
        <w:pStyle w:val="39"/>
        <w:ind w:firstLine="420"/>
      </w:pPr>
      <w:r>
        <w:rPr>
          <w:rFonts w:hint="eastAsia"/>
        </w:rPr>
        <w:t>GB 55015  建筑节能与可再生能源利用通用规范</w:t>
      </w:r>
    </w:p>
    <w:p>
      <w:pPr>
        <w:pStyle w:val="39"/>
        <w:ind w:firstLine="420"/>
      </w:pPr>
      <w:r>
        <w:rPr>
          <w:rFonts w:hint="eastAsia"/>
        </w:rPr>
        <w:t>GB 55016  建筑环境通用规范</w:t>
      </w:r>
    </w:p>
    <w:p>
      <w:pPr>
        <w:pStyle w:val="39"/>
        <w:ind w:firstLine="420"/>
      </w:pPr>
      <w:r>
        <w:rPr>
          <w:rFonts w:hint="eastAsia"/>
        </w:rPr>
        <w:t>GB 55024  建筑电气与智能化通用规范</w:t>
      </w:r>
    </w:p>
    <w:p>
      <w:pPr>
        <w:pStyle w:val="39"/>
        <w:ind w:firstLine="420"/>
      </w:pPr>
      <w:r>
        <w:rPr>
          <w:rFonts w:hint="eastAsia"/>
        </w:rPr>
        <w:t>GB 55030  建筑与市政工程防水通用规范</w:t>
      </w:r>
    </w:p>
    <w:p>
      <w:pPr>
        <w:pStyle w:val="39"/>
        <w:ind w:firstLine="420"/>
      </w:pPr>
      <w:r>
        <w:rPr>
          <w:rFonts w:hint="eastAsia"/>
        </w:rPr>
        <w:t>GB 55031  民用建筑通用规范</w:t>
      </w:r>
    </w:p>
    <w:p>
      <w:pPr>
        <w:pStyle w:val="39"/>
        <w:ind w:firstLine="420"/>
      </w:pPr>
      <w:r>
        <w:rPr>
          <w:rFonts w:hint="eastAsia"/>
        </w:rPr>
        <w:t>GB 55032  建筑与市政工程施工质量控制通用规范</w:t>
      </w:r>
    </w:p>
    <w:p>
      <w:pPr>
        <w:pStyle w:val="39"/>
        <w:ind w:firstLine="420"/>
      </w:pPr>
      <w:r>
        <w:rPr>
          <w:rFonts w:hint="eastAsia"/>
        </w:rPr>
        <w:t>GB 55037  建筑防火通用规范</w:t>
      </w:r>
    </w:p>
    <w:p>
      <w:pPr>
        <w:pStyle w:val="39"/>
        <w:ind w:firstLine="420"/>
      </w:pPr>
      <w:r>
        <w:rPr>
          <w:rFonts w:hint="eastAsia"/>
        </w:rPr>
        <w:t>GB 55038  住宅项目规范</w:t>
      </w:r>
    </w:p>
    <w:p>
      <w:pPr>
        <w:pStyle w:val="39"/>
        <w:ind w:firstLine="420"/>
      </w:pPr>
      <w:r>
        <w:rPr>
          <w:rFonts w:hint="eastAsia"/>
        </w:rPr>
        <w:t>GB/T 11345  焊缝无损检测 超声检测 技术、检测等级和评定</w:t>
      </w:r>
    </w:p>
    <w:p>
      <w:pPr>
        <w:pStyle w:val="39"/>
        <w:ind w:firstLine="420"/>
      </w:pPr>
      <w:r>
        <w:rPr>
          <w:rFonts w:hint="eastAsia"/>
        </w:rPr>
        <w:t>GB/T 31433  建筑幕墙、门窗通用技术条件</w:t>
      </w:r>
    </w:p>
    <w:p>
      <w:pPr>
        <w:pStyle w:val="39"/>
        <w:ind w:firstLine="420"/>
      </w:pPr>
      <w:r>
        <w:rPr>
          <w:rFonts w:hint="eastAsia"/>
        </w:rPr>
        <w:t>GB/T 50002  建筑模数协调标准</w:t>
      </w:r>
    </w:p>
    <w:p>
      <w:pPr>
        <w:pStyle w:val="39"/>
        <w:ind w:firstLine="420"/>
      </w:pPr>
      <w:r>
        <w:rPr>
          <w:rFonts w:hint="eastAsia"/>
        </w:rPr>
        <w:t>GB/T 50010  混凝土结构设计标准</w:t>
      </w:r>
    </w:p>
    <w:p>
      <w:pPr>
        <w:pStyle w:val="39"/>
        <w:ind w:firstLine="420"/>
      </w:pPr>
      <w:r>
        <w:rPr>
          <w:rFonts w:hint="eastAsia"/>
        </w:rPr>
        <w:t>GB/T 50011  建筑抗震设计规范</w:t>
      </w:r>
    </w:p>
    <w:p>
      <w:pPr>
        <w:pStyle w:val="39"/>
        <w:ind w:firstLine="420"/>
      </w:pPr>
      <w:r>
        <w:rPr>
          <w:rFonts w:hint="eastAsia"/>
        </w:rPr>
        <w:t>GB/T 50361  木骨架组合墙体技术标准</w:t>
      </w:r>
    </w:p>
    <w:p>
      <w:pPr>
        <w:pStyle w:val="39"/>
        <w:ind w:firstLine="420"/>
      </w:pPr>
      <w:r>
        <w:rPr>
          <w:rFonts w:hint="eastAsia"/>
        </w:rPr>
        <w:t>GB/T 50378  绿色建筑评价标准</w:t>
      </w:r>
    </w:p>
    <w:p>
      <w:pPr>
        <w:pStyle w:val="39"/>
        <w:ind w:firstLine="420"/>
      </w:pPr>
      <w:r>
        <w:rPr>
          <w:rFonts w:hint="eastAsia"/>
        </w:rPr>
        <w:t>GB/T 50621  钢结构现场检测技术标准</w:t>
      </w:r>
    </w:p>
    <w:p>
      <w:pPr>
        <w:pStyle w:val="39"/>
        <w:ind w:firstLine="420"/>
      </w:pPr>
      <w:r>
        <w:rPr>
          <w:rFonts w:hint="eastAsia"/>
        </w:rPr>
        <w:t>GB/T 51129  装配式建筑评价标准</w:t>
      </w:r>
    </w:p>
    <w:p>
      <w:pPr>
        <w:pStyle w:val="39"/>
        <w:ind w:firstLine="420"/>
      </w:pPr>
      <w:r>
        <w:rPr>
          <w:rFonts w:hint="eastAsia"/>
        </w:rPr>
        <w:t>GB/T 51232  装配式钢结构建筑技术标准</w:t>
      </w:r>
    </w:p>
    <w:p>
      <w:pPr>
        <w:pStyle w:val="39"/>
        <w:ind w:firstLine="420"/>
      </w:pPr>
      <w:r>
        <w:rPr>
          <w:rFonts w:hint="eastAsia"/>
        </w:rPr>
        <w:t>GB/T 51301  建筑信息模型设计交付标准</w:t>
      </w:r>
    </w:p>
    <w:p>
      <w:pPr>
        <w:pStyle w:val="39"/>
        <w:ind w:firstLine="420"/>
      </w:pPr>
      <w:r>
        <w:rPr>
          <w:rFonts w:hint="eastAsia"/>
        </w:rPr>
        <w:t>JGJ 1  装配式混凝土结构技术规程</w:t>
      </w:r>
    </w:p>
    <w:p>
      <w:pPr>
        <w:pStyle w:val="39"/>
        <w:ind w:firstLine="420"/>
      </w:pPr>
      <w:r>
        <w:rPr>
          <w:rFonts w:hint="eastAsia"/>
        </w:rPr>
        <w:t>JGJ 7  空间网格结构技术规程</w:t>
      </w:r>
    </w:p>
    <w:p>
      <w:pPr>
        <w:pStyle w:val="39"/>
        <w:ind w:firstLine="420"/>
      </w:pPr>
      <w:r>
        <w:rPr>
          <w:rFonts w:hint="eastAsia"/>
        </w:rPr>
        <w:t>JGJ 82  钢结构高强度螺栓连接技术规程</w:t>
      </w:r>
    </w:p>
    <w:p>
      <w:pPr>
        <w:pStyle w:val="39"/>
        <w:ind w:firstLine="420"/>
      </w:pPr>
      <w:r>
        <w:rPr>
          <w:rFonts w:hint="eastAsia"/>
        </w:rPr>
        <w:t>JGJ 99  高层民用建筑钢结构技术规程</w:t>
      </w:r>
    </w:p>
    <w:p>
      <w:pPr>
        <w:pStyle w:val="39"/>
        <w:ind w:firstLine="420"/>
      </w:pPr>
      <w:r>
        <w:t>JGJ 102</w:t>
      </w:r>
      <w:r>
        <w:rPr>
          <w:rFonts w:hint="eastAsia"/>
        </w:rPr>
        <w:t xml:space="preserve">  </w:t>
      </w:r>
      <w:r>
        <w:t>玻璃幕墙工程技术规范</w:t>
      </w:r>
    </w:p>
    <w:p>
      <w:pPr>
        <w:pStyle w:val="39"/>
        <w:ind w:firstLine="420"/>
      </w:pPr>
      <w:r>
        <w:rPr>
          <w:rFonts w:hint="eastAsia"/>
        </w:rPr>
        <w:t>JGJ 103  塑料门窗工程技术规程</w:t>
      </w:r>
    </w:p>
    <w:p>
      <w:pPr>
        <w:pStyle w:val="39"/>
        <w:ind w:firstLine="420"/>
      </w:pPr>
      <w:r>
        <w:t>JGJ 133</w:t>
      </w:r>
      <w:r>
        <w:rPr>
          <w:rFonts w:hint="eastAsia"/>
        </w:rPr>
        <w:t xml:space="preserve">  </w:t>
      </w:r>
      <w:r>
        <w:t>金属与石材幕墙工程技术规范</w:t>
      </w:r>
    </w:p>
    <w:p>
      <w:pPr>
        <w:pStyle w:val="39"/>
        <w:ind w:firstLine="420"/>
      </w:pPr>
      <w:r>
        <w:rPr>
          <w:rFonts w:hint="eastAsia"/>
        </w:rPr>
        <w:t>JGJ 138  组合结构设计规范</w:t>
      </w:r>
    </w:p>
    <w:p>
      <w:pPr>
        <w:pStyle w:val="39"/>
        <w:ind w:firstLine="420"/>
      </w:pPr>
      <w:r>
        <w:t>JGJ</w:t>
      </w:r>
      <w:r>
        <w:rPr>
          <w:rFonts w:hint="eastAsia"/>
        </w:rPr>
        <w:t xml:space="preserve"> </w:t>
      </w:r>
      <w:r>
        <w:t>155</w:t>
      </w:r>
      <w:r>
        <w:rPr>
          <w:rFonts w:hint="eastAsia"/>
        </w:rPr>
        <w:t xml:space="preserve">  </w:t>
      </w:r>
      <w:r>
        <w:t>种植屋面工程技术规程</w:t>
      </w:r>
    </w:p>
    <w:p>
      <w:pPr>
        <w:pStyle w:val="39"/>
        <w:ind w:firstLine="420"/>
      </w:pPr>
      <w:r>
        <w:rPr>
          <w:rFonts w:hint="eastAsia"/>
        </w:rPr>
        <w:t>JGJ</w:t>
      </w:r>
      <w:r>
        <w:t xml:space="preserve"> </w:t>
      </w:r>
      <w:r>
        <w:rPr>
          <w:rFonts w:hint="eastAsia"/>
        </w:rPr>
        <w:t>214  铝合金门窗工程技术规范</w:t>
      </w:r>
    </w:p>
    <w:p>
      <w:pPr>
        <w:pStyle w:val="39"/>
        <w:ind w:firstLine="420"/>
      </w:pPr>
      <w:r>
        <w:rPr>
          <w:rFonts w:hint="eastAsia"/>
        </w:rPr>
        <w:t>JGJ 298  住宅室内防水工程技术规范</w:t>
      </w:r>
    </w:p>
    <w:p>
      <w:pPr>
        <w:pStyle w:val="39"/>
        <w:ind w:firstLine="420"/>
      </w:pPr>
      <w:r>
        <w:t>JGJ 336</w:t>
      </w:r>
      <w:r>
        <w:rPr>
          <w:rFonts w:hint="eastAsia"/>
        </w:rPr>
        <w:t xml:space="preserve">  </w:t>
      </w:r>
      <w:r>
        <w:t>人造板材幕墙工程技术规范</w:t>
      </w:r>
    </w:p>
    <w:p>
      <w:pPr>
        <w:pStyle w:val="39"/>
        <w:ind w:firstLine="420"/>
      </w:pPr>
      <w:r>
        <w:rPr>
          <w:rFonts w:hint="eastAsia"/>
        </w:rPr>
        <w:t>JGJ 339  非结构构件抗震设计规范</w:t>
      </w:r>
    </w:p>
    <w:p>
      <w:pPr>
        <w:pStyle w:val="39"/>
        <w:ind w:firstLine="420"/>
      </w:pPr>
      <w:r>
        <w:rPr>
          <w:rFonts w:hint="eastAsia"/>
        </w:rPr>
        <w:t>JGJ 367  住宅室内装饰装修设计规范</w:t>
      </w:r>
    </w:p>
    <w:p>
      <w:pPr>
        <w:pStyle w:val="39"/>
        <w:ind w:firstLine="420"/>
      </w:pPr>
      <w:r>
        <w:rPr>
          <w:rFonts w:hint="eastAsia"/>
        </w:rPr>
        <w:t>JG/T 169  建筑隔墙用轻质条板</w:t>
      </w:r>
    </w:p>
    <w:p>
      <w:pPr>
        <w:pStyle w:val="39"/>
        <w:ind w:firstLine="420"/>
      </w:pPr>
      <w:r>
        <w:rPr>
          <w:rFonts w:hint="eastAsia"/>
        </w:rPr>
        <w:t>JG/T 287  保温装饰板外墙外保温系统材料</w:t>
      </w:r>
    </w:p>
    <w:p>
      <w:pPr>
        <w:pStyle w:val="39"/>
        <w:ind w:firstLine="420"/>
      </w:pPr>
      <w:r>
        <w:rPr>
          <w:rFonts w:hint="eastAsia"/>
        </w:rPr>
        <w:t>JG/T 480  外墙保温复合板通用技术要求</w:t>
      </w:r>
    </w:p>
    <w:p>
      <w:pPr>
        <w:pStyle w:val="39"/>
        <w:ind w:firstLine="420"/>
      </w:pPr>
      <w:r>
        <w:rPr>
          <w:rFonts w:hint="eastAsia"/>
        </w:rPr>
        <w:t>JGJ/T 17  蒸压加气混凝土建筑应用技术规程</w:t>
      </w:r>
    </w:p>
    <w:p>
      <w:pPr>
        <w:pStyle w:val="39"/>
        <w:ind w:firstLine="420"/>
      </w:pPr>
      <w:r>
        <w:rPr>
          <w:rFonts w:hint="eastAsia"/>
        </w:rPr>
        <w:t>JGJ/T 235  建筑外墙防水工程技术规程</w:t>
      </w:r>
    </w:p>
    <w:p>
      <w:pPr>
        <w:pStyle w:val="39"/>
        <w:ind w:firstLine="420"/>
      </w:pPr>
      <w:r>
        <w:rPr>
          <w:rFonts w:hint="eastAsia"/>
        </w:rPr>
        <w:t>JGJ/T 251  建筑钢结构防腐蚀技术规程</w:t>
      </w:r>
    </w:p>
    <w:p>
      <w:pPr>
        <w:pStyle w:val="39"/>
        <w:ind w:firstLine="420"/>
      </w:pPr>
      <w:r>
        <w:rPr>
          <w:rFonts w:hint="eastAsia"/>
        </w:rPr>
        <w:t>JGJ/T 262  住宅厨房模数协调标准</w:t>
      </w:r>
    </w:p>
    <w:p>
      <w:pPr>
        <w:pStyle w:val="39"/>
        <w:ind w:firstLine="420"/>
      </w:pPr>
      <w:r>
        <w:rPr>
          <w:rFonts w:hint="eastAsia"/>
        </w:rPr>
        <w:t>JGJ/T 263  住宅卫生间模数协调标准</w:t>
      </w:r>
    </w:p>
    <w:p>
      <w:pPr>
        <w:pStyle w:val="39"/>
        <w:ind w:firstLine="420"/>
      </w:pPr>
      <w:r>
        <w:rPr>
          <w:rFonts w:hint="eastAsia"/>
        </w:rPr>
        <w:t>JGJ/T 398  装配式住宅建筑设计标准</w:t>
      </w:r>
    </w:p>
    <w:p>
      <w:pPr>
        <w:pStyle w:val="39"/>
        <w:ind w:firstLine="420"/>
      </w:pPr>
      <w:r>
        <w:rPr>
          <w:rFonts w:hint="eastAsia"/>
        </w:rPr>
        <w:t>JGJ/T 445  工业化住宅尺寸协调标准</w:t>
      </w:r>
    </w:p>
    <w:p>
      <w:pPr>
        <w:pStyle w:val="39"/>
        <w:ind w:firstLine="420"/>
      </w:pPr>
      <w:r>
        <w:t>JGJ/T 467</w:t>
      </w:r>
      <w:r>
        <w:rPr>
          <w:rFonts w:hint="eastAsia"/>
        </w:rPr>
        <w:t xml:space="preserve">  </w:t>
      </w:r>
      <w:r>
        <w:t>装配式整体卫生间应用技术标准</w:t>
      </w:r>
    </w:p>
    <w:p>
      <w:pPr>
        <w:pStyle w:val="39"/>
        <w:ind w:firstLine="420"/>
      </w:pPr>
      <w:r>
        <w:rPr>
          <w:rFonts w:hint="eastAsia"/>
        </w:rPr>
        <w:t>JGJ/T 469  装配式钢结构住宅建筑技术标准</w:t>
      </w:r>
    </w:p>
    <w:p>
      <w:pPr>
        <w:pStyle w:val="39"/>
        <w:ind w:firstLine="420"/>
      </w:pPr>
      <w:r>
        <w:rPr>
          <w:rFonts w:hint="eastAsia"/>
        </w:rPr>
        <w:t>JGJ/T 477  装配式整体厨房应用技术标准</w:t>
      </w:r>
    </w:p>
    <w:p>
      <w:pPr>
        <w:pStyle w:val="39"/>
        <w:ind w:firstLine="420"/>
      </w:pPr>
      <w:r>
        <w:rPr>
          <w:rFonts w:hint="eastAsia"/>
        </w:rPr>
        <w:t>JGJ/T 491  装配式内装修技术标准</w:t>
      </w:r>
    </w:p>
    <w:p>
      <w:pPr>
        <w:pStyle w:val="39"/>
        <w:ind w:firstLine="420"/>
      </w:pPr>
      <w:r>
        <w:rPr>
          <w:rFonts w:hint="eastAsia"/>
        </w:rPr>
        <w:t>JGJ/T 494  装配式住宅设计选型标准</w:t>
      </w:r>
    </w:p>
    <w:p>
      <w:pPr>
        <w:pStyle w:val="39"/>
        <w:ind w:firstLine="420"/>
      </w:pPr>
      <w:r>
        <w:rPr>
          <w:rFonts w:hint="eastAsia"/>
        </w:rPr>
        <w:t>CJJ 232  建筑同层排水工程技术规程</w:t>
      </w:r>
    </w:p>
    <w:p>
      <w:pPr>
        <w:pStyle w:val="39"/>
        <w:ind w:firstLine="420"/>
      </w:pPr>
      <w:r>
        <w:rPr>
          <w:rFonts w:hint="eastAsia"/>
        </w:rPr>
        <w:t>DB42/T 559  低能耗居住建筑节能设计标准</w:t>
      </w:r>
    </w:p>
    <w:p>
      <w:pPr>
        <w:pStyle w:val="39"/>
        <w:ind w:firstLine="420"/>
      </w:pPr>
      <w:r>
        <w:rPr>
          <w:rFonts w:hint="eastAsia"/>
        </w:rPr>
        <w:t>DB42/T 1319  绿色建筑设计与工程验收标准</w:t>
      </w:r>
    </w:p>
    <w:p>
      <w:pPr>
        <w:pStyle w:val="39"/>
        <w:ind w:firstLine="420"/>
      </w:pPr>
      <w:r>
        <w:rPr>
          <w:rFonts w:hint="eastAsia"/>
        </w:rPr>
        <w:t>DB42/T 1386  建筑防水工程技术标准</w:t>
      </w:r>
    </w:p>
    <w:p>
      <w:pPr>
        <w:pStyle w:val="39"/>
        <w:ind w:firstLine="420"/>
      </w:pPr>
      <w:r>
        <w:rPr>
          <w:rFonts w:hint="eastAsia"/>
        </w:rPr>
        <w:t>DB42/T 1947  钢筋桁架混凝土叠合楼板技术规程</w:t>
      </w:r>
    </w:p>
    <w:p>
      <w:pPr>
        <w:pStyle w:val="39"/>
        <w:ind w:firstLine="420"/>
      </w:pPr>
      <w:r>
        <w:rPr>
          <w:rFonts w:hint="eastAsia"/>
        </w:rPr>
        <w:t>DB42/T 2068  外墙保温工程技术规范</w:t>
      </w:r>
    </w:p>
    <w:p>
      <w:pPr>
        <w:pStyle w:val="39"/>
        <w:ind w:firstLine="420"/>
      </w:pPr>
      <w:r>
        <w:rPr>
          <w:rFonts w:hint="eastAsia"/>
        </w:rPr>
        <w:t>DB42/T 2159  智能建造评价标准</w:t>
      </w:r>
    </w:p>
    <w:p>
      <w:pPr>
        <w:pStyle w:val="39"/>
        <w:ind w:firstLine="420"/>
      </w:pPr>
      <w:r>
        <w:rPr>
          <w:rFonts w:hint="eastAsia"/>
        </w:rPr>
        <w:t>DB42/T 2179  装配式建筑评价标准</w:t>
      </w:r>
    </w:p>
    <w:p>
      <w:pPr>
        <w:pStyle w:val="39"/>
        <w:ind w:firstLine="420"/>
      </w:pPr>
      <w:r>
        <w:rPr>
          <w:rFonts w:hint="eastAsia"/>
        </w:rPr>
        <w:t>DB42/T 2305  高品质住宅技术标准</w:t>
      </w:r>
    </w:p>
    <w:p>
      <w:pPr>
        <w:pStyle w:val="39"/>
        <w:ind w:firstLine="420"/>
      </w:pPr>
      <w:r>
        <w:rPr>
          <w:rFonts w:hint="eastAsia"/>
        </w:rPr>
        <w:t>DB42/T 2376  磷石膏建筑材料应用技术标准</w:t>
      </w:r>
    </w:p>
    <w:bookmarkEnd w:id="33"/>
    <w:bookmarkEnd w:id="34"/>
    <w:bookmarkEnd w:id="35"/>
    <w:bookmarkEnd w:id="36"/>
    <w:bookmarkEnd w:id="37"/>
    <w:p>
      <w:pPr>
        <w:pStyle w:val="41"/>
        <w:spacing w:before="312" w:after="312"/>
      </w:pPr>
      <w:bookmarkStart w:id="41" w:name="_Toc89434470"/>
      <w:bookmarkStart w:id="42" w:name="_Toc135144087"/>
      <w:bookmarkStart w:id="43" w:name="_Toc30249"/>
      <w:bookmarkStart w:id="44" w:name="_Toc152235275"/>
      <w:bookmarkStart w:id="45" w:name="_Toc241506511"/>
      <w:bookmarkStart w:id="46" w:name="_Toc116999434"/>
      <w:bookmarkStart w:id="47" w:name="_Toc97556815"/>
      <w:bookmarkStart w:id="48" w:name="_Toc116980761"/>
      <w:bookmarkStart w:id="49" w:name="_Toc97556769"/>
      <w:bookmarkStart w:id="50" w:name="_Toc97555969"/>
      <w:bookmarkStart w:id="51" w:name="_Toc121259842"/>
      <w:bookmarkStart w:id="52" w:name="_Toc135144137"/>
      <w:r>
        <w:rPr>
          <w:rFonts w:hint="eastAsia"/>
        </w:rPr>
        <w:t>术语和定义</w:t>
      </w:r>
      <w:bookmarkEnd w:id="41"/>
      <w:bookmarkEnd w:id="42"/>
      <w:bookmarkEnd w:id="43"/>
      <w:bookmarkEnd w:id="44"/>
      <w:bookmarkEnd w:id="45"/>
      <w:bookmarkEnd w:id="46"/>
      <w:bookmarkEnd w:id="47"/>
      <w:bookmarkEnd w:id="48"/>
      <w:bookmarkEnd w:id="49"/>
      <w:bookmarkEnd w:id="50"/>
      <w:bookmarkEnd w:id="51"/>
      <w:bookmarkEnd w:id="52"/>
    </w:p>
    <w:p>
      <w:pPr>
        <w:pStyle w:val="42"/>
        <w:spacing w:before="156" w:after="156"/>
      </w:pPr>
      <w:r>
        <w:t xml:space="preserve">  </w:t>
      </w:r>
      <w:bookmarkStart w:id="53" w:name="_Toc241506512"/>
      <w:bookmarkEnd w:id="53"/>
      <w:bookmarkStart w:id="54" w:name="_Toc241499848"/>
      <w:bookmarkEnd w:id="54"/>
      <w:bookmarkStart w:id="55" w:name="_Toc6181"/>
      <w:bookmarkEnd w:id="55"/>
      <w:bookmarkStart w:id="56" w:name="_Toc241070121"/>
      <w:bookmarkEnd w:id="56"/>
    </w:p>
    <w:p>
      <w:pPr>
        <w:overflowPunct w:val="0"/>
        <w:spacing w:line="240" w:lineRule="auto"/>
        <w:ind w:firstLine="460" w:firstLineChars="200"/>
        <w:jc w:val="left"/>
        <w:rPr>
          <w:rFonts w:ascii="黑体" w:hAnsi="黑体" w:eastAsia="黑体" w:cs="黑体"/>
        </w:rPr>
      </w:pPr>
      <w:r>
        <w:rPr>
          <w:rFonts w:hint="eastAsia" w:ascii="黑体" w:hAnsi="黑体" w:eastAsia="黑体" w:cs="黑体"/>
          <w:spacing w:val="10"/>
        </w:rPr>
        <w:t xml:space="preserve">住宅  </w:t>
      </w:r>
      <w:r>
        <w:rPr>
          <w:rFonts w:hint="eastAsia" w:ascii="黑体" w:hAnsi="黑体" w:eastAsia="黑体" w:cs="黑体"/>
        </w:rPr>
        <w:t>residential buildings</w:t>
      </w:r>
    </w:p>
    <w:p>
      <w:pPr>
        <w:pStyle w:val="39"/>
        <w:ind w:firstLine="420"/>
      </w:pPr>
      <w:r>
        <w:rPr>
          <w:rFonts w:hint="eastAsia"/>
        </w:rPr>
        <w:t>供家庭居住使用的建筑，应按套型设计，套内空间和设施应能满足安全、舒适、卫生等生活起居的基本要求。</w:t>
      </w:r>
    </w:p>
    <w:p>
      <w:pPr>
        <w:pStyle w:val="42"/>
        <w:spacing w:before="156" w:after="156"/>
      </w:pPr>
      <w:r>
        <w:t xml:space="preserve">  </w:t>
      </w:r>
      <w:bookmarkStart w:id="57" w:name="_Toc241499849"/>
      <w:bookmarkEnd w:id="57"/>
      <w:bookmarkStart w:id="58" w:name="_Toc19316"/>
      <w:bookmarkEnd w:id="58"/>
      <w:bookmarkStart w:id="59" w:name="_Toc241070122"/>
      <w:bookmarkEnd w:id="59"/>
      <w:bookmarkStart w:id="60" w:name="_Toc241506513"/>
      <w:bookmarkEnd w:id="60"/>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高品质住宅  high-quality residence</w:t>
      </w:r>
    </w:p>
    <w:p>
      <w:pPr>
        <w:pStyle w:val="39"/>
        <w:ind w:firstLine="420"/>
      </w:pPr>
      <w:r>
        <w:rPr>
          <w:rFonts w:hint="eastAsia"/>
        </w:rPr>
        <w:t>在满足使用功能、安全耐久、配套完善的基础上，符合“绿色、智慧、舒适、愉悦”的宜居湖北发展理念和建设标准，打造健康居住环境，实现绿色低碳可持续发展，满足人民日益增长的美好生活需要的住宅。</w:t>
      </w:r>
    </w:p>
    <w:p>
      <w:pPr>
        <w:pStyle w:val="42"/>
        <w:spacing w:before="156" w:after="156"/>
      </w:pPr>
      <w:r>
        <w:t xml:space="preserve">  </w:t>
      </w:r>
      <w:bookmarkStart w:id="61" w:name="_Toc241070123"/>
      <w:bookmarkEnd w:id="61"/>
      <w:bookmarkStart w:id="62" w:name="_Toc20962"/>
      <w:bookmarkEnd w:id="62"/>
      <w:bookmarkStart w:id="63" w:name="_Toc241506514"/>
      <w:bookmarkEnd w:id="63"/>
      <w:bookmarkStart w:id="64" w:name="_Toc241499850"/>
      <w:bookmarkEnd w:id="64"/>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装配式住宅  assembled residential buildings</w:t>
      </w:r>
    </w:p>
    <w:p>
      <w:pPr>
        <w:pStyle w:val="39"/>
        <w:ind w:firstLine="420"/>
      </w:pPr>
      <w:r>
        <w:rPr>
          <w:rFonts w:hint="eastAsia"/>
        </w:rPr>
        <w:t>结构系统、外围护系统、设备与管线系统、内装系统的主要部分采用预制部品部件集成的住宅建筑。</w:t>
      </w:r>
    </w:p>
    <w:p>
      <w:pPr>
        <w:pStyle w:val="42"/>
        <w:spacing w:before="156" w:after="156"/>
      </w:pPr>
      <w:bookmarkStart w:id="65" w:name="_Toc241506515"/>
      <w:bookmarkEnd w:id="65"/>
      <w:bookmarkStart w:id="66" w:name="_Toc1082"/>
      <w:bookmarkEnd w:id="66"/>
      <w:bookmarkStart w:id="67" w:name="_Toc241499851"/>
      <w:bookmarkEnd w:id="67"/>
      <w:bookmarkStart w:id="68" w:name="_Toc241070124"/>
      <w:bookmarkEnd w:id="68"/>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钢结构装配式住宅  assembled residential building with steel-structure</w:t>
      </w:r>
    </w:p>
    <w:p>
      <w:pPr>
        <w:pStyle w:val="39"/>
        <w:ind w:firstLine="420"/>
      </w:pPr>
      <w:r>
        <w:rPr>
          <w:rFonts w:hint="eastAsia"/>
        </w:rPr>
        <w:t>以钢结构（含钢-混凝土混合结构）作为主要结构系统、配套的外围护系统、设备管线系统和内装系统的主要部品部（构）件采用集成方法设计、建造的住宅建筑。</w:t>
      </w:r>
    </w:p>
    <w:p>
      <w:pPr>
        <w:pStyle w:val="42"/>
        <w:spacing w:before="156" w:after="156"/>
      </w:pPr>
      <w:bookmarkStart w:id="69" w:name="_Toc241506516"/>
      <w:bookmarkEnd w:id="69"/>
      <w:bookmarkStart w:id="70" w:name="_Toc241499852"/>
      <w:bookmarkEnd w:id="70"/>
      <w:bookmarkStart w:id="71" w:name="_Toc26684"/>
      <w:bookmarkEnd w:id="71"/>
      <w:bookmarkStart w:id="72" w:name="_Toc241070125"/>
      <w:bookmarkEnd w:id="72"/>
      <w:bookmarkStart w:id="73" w:name="_Toc30756"/>
      <w:bookmarkStart w:id="74" w:name="_Toc9572"/>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部件  component</w:t>
      </w:r>
      <w:bookmarkEnd w:id="73"/>
      <w:bookmarkEnd w:id="74"/>
    </w:p>
    <w:p>
      <w:pPr>
        <w:pStyle w:val="39"/>
        <w:ind w:firstLine="420"/>
      </w:pPr>
      <w:r>
        <w:rPr>
          <w:rFonts w:hint="eastAsia"/>
        </w:rPr>
        <w:t>在工厂或现场预先生产制作完成，构成建筑结构系统的结构构件及其他构件的统称。</w:t>
      </w:r>
    </w:p>
    <w:p>
      <w:pPr>
        <w:pStyle w:val="42"/>
        <w:spacing w:before="156" w:after="156"/>
      </w:pPr>
      <w:bookmarkStart w:id="75" w:name="_Toc241499853"/>
      <w:bookmarkEnd w:id="75"/>
      <w:bookmarkStart w:id="76" w:name="_Toc241070126"/>
      <w:bookmarkEnd w:id="76"/>
      <w:bookmarkStart w:id="77" w:name="_Toc10058"/>
      <w:bookmarkEnd w:id="77"/>
      <w:bookmarkStart w:id="78" w:name="_Toc241506517"/>
      <w:bookmarkEnd w:id="78"/>
      <w:bookmarkStart w:id="79" w:name="_Toc9391"/>
      <w:bookmarkStart w:id="80" w:name="_Toc8876"/>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部品  part</w:t>
      </w:r>
      <w:bookmarkEnd w:id="79"/>
      <w:bookmarkEnd w:id="80"/>
    </w:p>
    <w:p>
      <w:pPr>
        <w:pStyle w:val="39"/>
        <w:ind w:firstLine="420"/>
      </w:pPr>
      <w:r>
        <w:rPr>
          <w:rFonts w:hint="eastAsia"/>
        </w:rPr>
        <w:t>由工厂生产，构成外围护系统、设备与管线系统、内装系统的建筑单一产品或复合产品组装而成的功能单元的统称。</w:t>
      </w:r>
    </w:p>
    <w:p>
      <w:pPr>
        <w:pStyle w:val="42"/>
        <w:spacing w:before="156" w:after="156"/>
      </w:pPr>
      <w:r>
        <w:t xml:space="preserve"> </w:t>
      </w:r>
      <w:bookmarkStart w:id="81" w:name="_Toc241499854"/>
      <w:bookmarkEnd w:id="81"/>
      <w:bookmarkStart w:id="82" w:name="_Toc21588"/>
      <w:bookmarkEnd w:id="82"/>
      <w:bookmarkStart w:id="83" w:name="_Toc241070127"/>
      <w:bookmarkEnd w:id="83"/>
      <w:bookmarkStart w:id="84" w:name="_Toc241506518"/>
      <w:bookmarkEnd w:id="84"/>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钢结构模块化建筑  steel modular building</w:t>
      </w:r>
    </w:p>
    <w:p>
      <w:pPr>
        <w:pStyle w:val="39"/>
        <w:ind w:firstLine="420"/>
      </w:pPr>
      <w:r>
        <w:rPr>
          <w:rFonts w:hint="eastAsia"/>
        </w:rPr>
        <w:t>一种基于钢结构技术的工业化建筑方式，通过将建筑分解成标准化、模块化的单元，在工厂完成钢结构系统、围护系统、设备与管线系统、内装系统的制造，运输到现场进行吊装和连接，形成完整的建筑。</w:t>
      </w:r>
    </w:p>
    <w:p>
      <w:pPr>
        <w:pStyle w:val="42"/>
        <w:spacing w:before="156" w:after="156"/>
      </w:pPr>
      <w:bookmarkStart w:id="85" w:name="_Toc241506519"/>
      <w:bookmarkEnd w:id="85"/>
      <w:bookmarkStart w:id="86" w:name="_Toc241070128"/>
      <w:bookmarkEnd w:id="86"/>
      <w:bookmarkStart w:id="87" w:name="_Toc241499855"/>
      <w:bookmarkEnd w:id="87"/>
      <w:bookmarkStart w:id="88" w:name="_Toc19530"/>
      <w:bookmarkEnd w:id="88"/>
      <w:bookmarkStart w:id="89" w:name="_Toc21080"/>
      <w:bookmarkStart w:id="90" w:name="_Toc17365"/>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模块  module</w:t>
      </w:r>
      <w:bookmarkEnd w:id="89"/>
      <w:bookmarkEnd w:id="90"/>
    </w:p>
    <w:p>
      <w:pPr>
        <w:pStyle w:val="39"/>
        <w:ind w:firstLine="420"/>
      </w:pPr>
      <w:r>
        <w:rPr>
          <w:rFonts w:hint="eastAsia"/>
        </w:rPr>
        <w:t>建筑中相对独立，集成了建筑、结构、机电和内装功能等特定功能，大部分工作在工厂完成，能够通用互换，并满足运输、吊装、检测和维护要求的标准化预制装配式空间建筑模块。</w:t>
      </w:r>
    </w:p>
    <w:p>
      <w:pPr>
        <w:pStyle w:val="42"/>
        <w:spacing w:before="156" w:after="156"/>
      </w:pPr>
      <w:bookmarkStart w:id="91" w:name="_Toc28185"/>
      <w:bookmarkEnd w:id="91"/>
      <w:bookmarkStart w:id="92" w:name="_Toc241506520"/>
      <w:bookmarkEnd w:id="92"/>
      <w:bookmarkStart w:id="93" w:name="_Toc241499856"/>
      <w:bookmarkEnd w:id="93"/>
      <w:bookmarkStart w:id="94" w:name="_Toc241070129"/>
      <w:bookmarkEnd w:id="94"/>
      <w:bookmarkStart w:id="95" w:name="_Toc12233"/>
      <w:bookmarkStart w:id="96" w:name="_Toc28980"/>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全装修  decorated</w:t>
      </w:r>
      <w:bookmarkEnd w:id="95"/>
      <w:bookmarkEnd w:id="96"/>
    </w:p>
    <w:p>
      <w:pPr>
        <w:pStyle w:val="39"/>
        <w:ind w:firstLine="420"/>
      </w:pPr>
      <w:r>
        <w:rPr>
          <w:rFonts w:hint="eastAsia"/>
        </w:rPr>
        <w:t>所有功能空间的固定面装修和设备设施全部安装完成，达到建筑使用功能和建筑性能的状态，包括住宅建筑内部墙面、顶面、地面全部铺贴、粉刷完成，门窗、固定家具、设备管线、开关插座及厨房、卫生间固定设施安装到位。</w:t>
      </w:r>
    </w:p>
    <w:p>
      <w:pPr>
        <w:pStyle w:val="42"/>
        <w:spacing w:before="156" w:after="156"/>
      </w:pPr>
      <w:bookmarkStart w:id="97" w:name="_Toc241506521"/>
      <w:bookmarkEnd w:id="97"/>
      <w:bookmarkStart w:id="98" w:name="_Toc5831"/>
      <w:bookmarkEnd w:id="98"/>
      <w:bookmarkStart w:id="99" w:name="_Toc241499857"/>
      <w:bookmarkEnd w:id="99"/>
      <w:bookmarkStart w:id="100" w:name="_Toc241070130"/>
      <w:bookmarkEnd w:id="100"/>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装配式内装修  assembled interior decoratio</w:t>
      </w:r>
    </w:p>
    <w:p>
      <w:pPr>
        <w:pStyle w:val="39"/>
        <w:ind w:firstLine="420"/>
      </w:pPr>
      <w:r>
        <w:rPr>
          <w:rFonts w:hint="eastAsia"/>
        </w:rPr>
        <w:t>遵循管线与结构分离的原则，运用集成化设计方法 ，统筹隔墙和墙面系统、吊顶系统、楼地面系统、厨房系统、卫生间系统、收纳系统、内门窗系统、设备和管线系统等，将工厂化生产的部品部件以干式工法为主进行施工安装的装修建造模式。</w:t>
      </w:r>
    </w:p>
    <w:p>
      <w:pPr>
        <w:pStyle w:val="42"/>
        <w:spacing w:before="156" w:after="156"/>
      </w:pPr>
      <w:bookmarkStart w:id="101" w:name="_Toc10387"/>
      <w:bookmarkStart w:id="102" w:name="_Toc24006"/>
      <w:r>
        <w:t xml:space="preserve"> </w:t>
      </w:r>
      <w:bookmarkStart w:id="103" w:name="_Toc241506522"/>
      <w:bookmarkEnd w:id="103"/>
      <w:bookmarkStart w:id="104" w:name="_Toc12504"/>
      <w:bookmarkEnd w:id="104"/>
      <w:bookmarkStart w:id="105" w:name="_Toc241499858"/>
      <w:bookmarkEnd w:id="105"/>
      <w:bookmarkStart w:id="106" w:name="_Toc241070131"/>
      <w:bookmarkEnd w:id="106"/>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集成式厨房  integrated kitchen</w:t>
      </w:r>
      <w:bookmarkEnd w:id="101"/>
      <w:bookmarkEnd w:id="102"/>
    </w:p>
    <w:p>
      <w:pPr>
        <w:pStyle w:val="39"/>
        <w:ind w:firstLine="420"/>
      </w:pPr>
      <w:r>
        <w:rPr>
          <w:rFonts w:hint="eastAsia"/>
        </w:rPr>
        <w:t>由工厂生产的楼地面、吊顶、墙面、橱柜和厨房设备及管线等集成并主要采用干式工法装配而成的厨房。</w:t>
      </w:r>
    </w:p>
    <w:p>
      <w:pPr>
        <w:pStyle w:val="42"/>
        <w:spacing w:before="156" w:after="156"/>
      </w:pPr>
      <w:bookmarkStart w:id="107" w:name="_Toc241506523"/>
      <w:bookmarkEnd w:id="107"/>
      <w:bookmarkStart w:id="108" w:name="_Toc241499859"/>
      <w:bookmarkEnd w:id="108"/>
      <w:bookmarkStart w:id="109" w:name="_Toc241070132"/>
      <w:bookmarkEnd w:id="109"/>
      <w:bookmarkStart w:id="110" w:name="_Toc11017"/>
      <w:bookmarkEnd w:id="110"/>
      <w:bookmarkStart w:id="111" w:name="_Toc14988"/>
      <w:bookmarkStart w:id="112" w:name="_Toc18291"/>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集成式卫生间  integrated bathroom</w:t>
      </w:r>
      <w:bookmarkEnd w:id="111"/>
      <w:bookmarkEnd w:id="112"/>
    </w:p>
    <w:p>
      <w:pPr>
        <w:pStyle w:val="39"/>
        <w:ind w:firstLine="420"/>
      </w:pPr>
      <w:r>
        <w:rPr>
          <w:rFonts w:hint="eastAsia"/>
        </w:rPr>
        <w:t>由工厂生产的楼地面、墙面（板)、吊顶和洁具设备及管线等集成并主要采用干式工法装配而成的卫生间。</w:t>
      </w:r>
    </w:p>
    <w:p>
      <w:pPr>
        <w:pStyle w:val="42"/>
        <w:spacing w:before="156" w:after="156"/>
      </w:pPr>
      <w:bookmarkStart w:id="113" w:name="_Toc5435"/>
      <w:bookmarkEnd w:id="113"/>
      <w:bookmarkStart w:id="114" w:name="_Toc241070133"/>
      <w:bookmarkEnd w:id="114"/>
      <w:bookmarkStart w:id="115" w:name="_Toc241506524"/>
      <w:bookmarkEnd w:id="115"/>
      <w:bookmarkStart w:id="116" w:name="_Toc241499860"/>
      <w:bookmarkEnd w:id="116"/>
      <w:bookmarkStart w:id="117" w:name="_Toc759"/>
      <w:bookmarkStart w:id="118" w:name="_Toc20875"/>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整体厨房  system kitchen</w:t>
      </w:r>
      <w:bookmarkEnd w:id="117"/>
      <w:bookmarkEnd w:id="118"/>
    </w:p>
    <w:p>
      <w:pPr>
        <w:pStyle w:val="39"/>
        <w:ind w:firstLine="420"/>
      </w:pPr>
      <w:r>
        <w:rPr>
          <w:rFonts w:hint="eastAsia"/>
        </w:rPr>
        <w:t>由工厂生产、现场装配厨房家具、厨房设备和厨房设施等的标准单元，通过标准单元系统搭配组合而成的满足炊事活动功能要求的模块化部品。</w:t>
      </w:r>
    </w:p>
    <w:p>
      <w:pPr>
        <w:pStyle w:val="42"/>
        <w:spacing w:before="156" w:after="156"/>
      </w:pPr>
      <w:bookmarkStart w:id="119" w:name="_Toc241506525"/>
      <w:bookmarkEnd w:id="119"/>
      <w:bookmarkStart w:id="120" w:name="_Toc30343"/>
      <w:bookmarkEnd w:id="120"/>
      <w:bookmarkStart w:id="121" w:name="_Toc241499861"/>
      <w:bookmarkEnd w:id="121"/>
      <w:bookmarkStart w:id="122" w:name="_Toc241070134"/>
      <w:bookmarkEnd w:id="122"/>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整体卫生间  unit bathroom</w:t>
      </w:r>
    </w:p>
    <w:p>
      <w:pPr>
        <w:pStyle w:val="39"/>
        <w:ind w:firstLine="420"/>
      </w:pPr>
      <w:r>
        <w:rPr>
          <w:rFonts w:hint="eastAsia"/>
        </w:rPr>
        <w:t>由防水底盘、壁板、顶板及支撑 龙骨构成主体框架 ，并与各种洁具及功能配件组合而成的具有一定规格尺寸的独立卫生间模块化产品，称为 “整体卫生间”，也称 “整体卫浴”。</w:t>
      </w:r>
    </w:p>
    <w:p>
      <w:pPr>
        <w:pStyle w:val="42"/>
        <w:spacing w:before="156" w:after="156"/>
      </w:pPr>
      <w:bookmarkStart w:id="123" w:name="_Toc241499862"/>
      <w:bookmarkEnd w:id="123"/>
      <w:bookmarkStart w:id="124" w:name="_Toc241070135"/>
      <w:bookmarkEnd w:id="124"/>
      <w:bookmarkStart w:id="125" w:name="_Toc13422"/>
      <w:bookmarkEnd w:id="125"/>
      <w:bookmarkStart w:id="126" w:name="_Toc241506526"/>
      <w:bookmarkEnd w:id="126"/>
      <w:bookmarkStart w:id="127" w:name="_Toc14186"/>
      <w:bookmarkStart w:id="128" w:name="_Toc1200"/>
    </w:p>
    <w:bookmarkEnd w:id="127"/>
    <w:bookmarkEnd w:id="128"/>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智能建造  intelligent construction</w:t>
      </w:r>
    </w:p>
    <w:p>
      <w:pPr>
        <w:pStyle w:val="39"/>
        <w:ind w:firstLine="420"/>
        <w:rPr>
          <w:rFonts w:hAnsi="宋体" w:cs="宋体"/>
          <w:spacing w:val="8"/>
          <w:szCs w:val="21"/>
        </w:rPr>
      </w:pPr>
      <w:r>
        <w:rPr>
          <w:rFonts w:hint="eastAsia"/>
        </w:rPr>
        <w:t>通过大数据、物联网、人工智能等新一代的信息化技术，与以工业化为主导的先进建造技术相融合，提升工程项目建造效率和质量，实现可实时适应需求变化的高度集成与协同的新型建造方式</w:t>
      </w:r>
      <w:r>
        <w:rPr>
          <w:rFonts w:hAnsi="宋体" w:cs="宋体"/>
          <w:spacing w:val="8"/>
          <w:szCs w:val="21"/>
        </w:rPr>
        <w:t>。</w:t>
      </w:r>
    </w:p>
    <w:p>
      <w:pPr>
        <w:pStyle w:val="42"/>
        <w:spacing w:before="156" w:after="156"/>
      </w:pPr>
      <w:bookmarkStart w:id="129" w:name="_Toc241499863"/>
      <w:bookmarkEnd w:id="129"/>
      <w:bookmarkStart w:id="130" w:name="_Toc241070136"/>
      <w:bookmarkEnd w:id="130"/>
      <w:bookmarkStart w:id="131" w:name="_Toc20741"/>
      <w:bookmarkEnd w:id="131"/>
      <w:bookmarkStart w:id="132" w:name="_Toc241506527"/>
      <w:bookmarkEnd w:id="132"/>
    </w:p>
    <w:p>
      <w:pPr>
        <w:overflowPunct w:val="0"/>
        <w:spacing w:line="240" w:lineRule="auto"/>
        <w:ind w:firstLine="460" w:firstLineChars="200"/>
        <w:jc w:val="left"/>
        <w:rPr>
          <w:rFonts w:ascii="黑体" w:hAnsi="黑体" w:eastAsia="黑体" w:cs="黑体"/>
          <w:spacing w:val="10"/>
        </w:rPr>
      </w:pPr>
      <w:r>
        <w:rPr>
          <w:rFonts w:hint="eastAsia" w:ascii="黑体" w:hAnsi="黑体" w:eastAsia="黑体" w:cs="黑体"/>
          <w:spacing w:val="10"/>
        </w:rPr>
        <w:t>数据驱动 data-driven</w:t>
      </w:r>
    </w:p>
    <w:p>
      <w:pPr>
        <w:pStyle w:val="39"/>
        <w:ind w:firstLine="420"/>
      </w:pPr>
      <w:r>
        <w:rPr>
          <w:rFonts w:hint="eastAsia"/>
        </w:rPr>
        <w:t>以BIM模型等数字化成果为核心数据载体，通过数据的采集、传递、分析与应用，驱动工程勘察、设计、生产、施工、运维等全过程业务活动与决策的工作模式。</w:t>
      </w:r>
    </w:p>
    <w:p>
      <w:pPr>
        <w:pStyle w:val="41"/>
        <w:spacing w:before="312" w:after="312"/>
        <w:rPr>
          <w:rFonts w:ascii="宋体" w:hAnsi="宋体" w:cs="宋体"/>
        </w:rPr>
      </w:pPr>
      <w:bookmarkStart w:id="133" w:name="_Toc116999435"/>
      <w:bookmarkStart w:id="134" w:name="_Toc63000357"/>
      <w:bookmarkStart w:id="135" w:name="_Toc97556772"/>
      <w:bookmarkStart w:id="136" w:name="_Toc135144103"/>
      <w:bookmarkStart w:id="137" w:name="_Toc25559"/>
      <w:bookmarkStart w:id="138" w:name="_Toc241506528"/>
      <w:bookmarkStart w:id="139" w:name="_Toc116980762"/>
      <w:bookmarkStart w:id="140" w:name="_Toc97556816"/>
      <w:bookmarkStart w:id="141" w:name="_Toc152235276"/>
      <w:bookmarkStart w:id="142" w:name="_Toc52713824"/>
      <w:bookmarkStart w:id="143" w:name="_Toc4420"/>
      <w:bookmarkStart w:id="144" w:name="_Toc97555982"/>
      <w:bookmarkStart w:id="145" w:name="_Toc135144138"/>
      <w:bookmarkStart w:id="146" w:name="_Toc121259843"/>
      <w:bookmarkStart w:id="147" w:name="_Toc89434487"/>
      <w:r>
        <w:rPr>
          <w:rFonts w:hint="eastAsia"/>
        </w:rPr>
        <w:t>基本规定</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61"/>
      </w:pPr>
      <w:bookmarkStart w:id="148" w:name="_Hlk152947423"/>
      <w:r>
        <w:rPr>
          <w:rFonts w:hint="eastAsia"/>
        </w:rPr>
        <w:t>钢结构装配式住宅（含模块化建筑）应满足安全耐久、健康舒适、绿色低碳、智慧便利的要求。</w:t>
      </w:r>
    </w:p>
    <w:p>
      <w:pPr>
        <w:pStyle w:val="61"/>
      </w:pPr>
      <w:r>
        <w:rPr>
          <w:rFonts w:hint="eastAsia"/>
        </w:rPr>
        <w:t>钢结构装配式住宅应选用技术体系成熟、生产工艺完整、安装方法规范、质量保障配套的设计与建造方法，宜采用智能建造、绿色建造、装配式装修。其中，创新性的技术方法和措施，应进行论证并符合规范关于住宅项目性能的要求。</w:t>
      </w:r>
    </w:p>
    <w:p>
      <w:pPr>
        <w:pStyle w:val="61"/>
      </w:pPr>
      <w:r>
        <w:rPr>
          <w:rFonts w:hint="eastAsia"/>
        </w:rPr>
        <w:t>钢结构装配式住宅的评价等级和评价方法应依据现行DB42/T 2179及其配套计算细则的规定。</w:t>
      </w:r>
    </w:p>
    <w:p>
      <w:pPr>
        <w:pStyle w:val="61"/>
      </w:pPr>
      <w:r>
        <w:rPr>
          <w:rFonts w:hint="eastAsia"/>
        </w:rPr>
        <w:t>钢结构装配式住宅的设计应符合下列要求：</w:t>
      </w:r>
    </w:p>
    <w:p>
      <w:pPr>
        <w:pStyle w:val="46"/>
      </w:pPr>
      <w:r>
        <w:rPr>
          <w:rFonts w:hint="eastAsia"/>
        </w:rPr>
        <w:t>建筑功能</w:t>
      </w:r>
    </w:p>
    <w:p>
      <w:pPr>
        <w:pStyle w:val="44"/>
      </w:pPr>
      <w:r>
        <w:rPr>
          <w:rFonts w:hint="eastAsia"/>
        </w:rPr>
        <w:t>住宅建筑应以人为本。公共区域空间尺度适宜，流线顺畅；套内空间功能完善、尺度合理、规整有序、利用率高、动静分区；设备管线系统整体规划，规避管线交叉干扰，利用率高，便于后期维护及更新改造；场景适配家庭结构演变与多元化生活方式。整体具备良好的采光与通风条件，配套设施完善且功能适配，满足建筑的使用功能，全龄友好。</w:t>
      </w:r>
    </w:p>
    <w:p>
      <w:pPr>
        <w:pStyle w:val="44"/>
      </w:pPr>
      <w:r>
        <w:rPr>
          <w:rFonts w:hint="eastAsia"/>
        </w:rPr>
        <w:t>建筑材料、部品部件应经久耐用、性能持久稳定。</w:t>
      </w:r>
    </w:p>
    <w:p>
      <w:pPr>
        <w:pStyle w:val="44"/>
      </w:pPr>
      <w:r>
        <w:rPr>
          <w:rFonts w:hint="eastAsia"/>
        </w:rPr>
        <w:t>遵循健康、简约、高效的设计理念，结合当地的气候、资源、生态环境、经济、人文等特点；并应综合建筑全寿命期的技术与经济特性，优先采用有利于可持续发展的场地模式、建筑形式、新技术、新设备和新材料。</w:t>
      </w:r>
    </w:p>
    <w:p>
      <w:pPr>
        <w:pStyle w:val="46"/>
      </w:pPr>
      <w:r>
        <w:rPr>
          <w:rFonts w:hint="eastAsia"/>
        </w:rPr>
        <w:t>结构安全</w:t>
      </w:r>
    </w:p>
    <w:p>
      <w:pPr>
        <w:pStyle w:val="44"/>
        <w:numPr>
          <w:ilvl w:val="0"/>
          <w:numId w:val="9"/>
        </w:numPr>
      </w:pPr>
      <w:r>
        <w:rPr>
          <w:rFonts w:hint="eastAsia"/>
        </w:rPr>
        <w:t>住宅建筑结构的安全等级不应低于二级，抗震设防类别不应低于标准设防类。</w:t>
      </w:r>
    </w:p>
    <w:p>
      <w:pPr>
        <w:pStyle w:val="44"/>
        <w:numPr>
          <w:ilvl w:val="0"/>
          <w:numId w:val="9"/>
        </w:numPr>
      </w:pPr>
      <w:r>
        <w:rPr>
          <w:rFonts w:hint="eastAsia"/>
        </w:rPr>
        <w:t>住宅建筑及其部品部件应进行承载能力极限状态、正常使用极限状态和耐久性设计，应符合生产、运输、建造过程的安全性要求以及结构设计工作年限内的可靠性要求。</w:t>
      </w:r>
    </w:p>
    <w:p>
      <w:pPr>
        <w:pStyle w:val="44"/>
        <w:numPr>
          <w:ilvl w:val="0"/>
          <w:numId w:val="9"/>
        </w:numPr>
      </w:pPr>
      <w:r>
        <w:rPr>
          <w:rFonts w:hint="eastAsia"/>
        </w:rPr>
        <w:t>新建住宅建筑的钢筋混凝土实心楼板厚度不应小于100mm。</w:t>
      </w:r>
    </w:p>
    <w:p>
      <w:pPr>
        <w:pStyle w:val="46"/>
      </w:pPr>
      <w:r>
        <w:rPr>
          <w:rFonts w:hint="eastAsia"/>
        </w:rPr>
        <w:t>装配式要求</w:t>
      </w:r>
    </w:p>
    <w:p>
      <w:pPr>
        <w:pStyle w:val="44"/>
        <w:numPr>
          <w:ilvl w:val="0"/>
          <w:numId w:val="10"/>
        </w:numPr>
      </w:pPr>
      <w:r>
        <w:rPr>
          <w:rFonts w:hint="eastAsia"/>
        </w:rPr>
        <w:t>设计应符合通用化、模数化、标准化的规定，以“少规格、多组合”为原则实现建筑部品部（构）件/模块单元的系列化和住宅建筑居住的多样化；</w:t>
      </w:r>
    </w:p>
    <w:p>
      <w:pPr>
        <w:pStyle w:val="44"/>
        <w:numPr>
          <w:ilvl w:val="0"/>
          <w:numId w:val="10"/>
        </w:numPr>
      </w:pPr>
      <w:r>
        <w:rPr>
          <w:rFonts w:hint="eastAsia"/>
        </w:rPr>
        <w:t>选用标准化程度高、接口通用性强、性能优良、安装高效、维护更换便捷的绿色建材和部品部（构）件。钢结构模块化建筑的连接及接口应满足构造合理、安全可靠，并实现标准化、通用化，公差应根据模块单元的安装部位、加工制作及施工精度等要求确定；</w:t>
      </w:r>
    </w:p>
    <w:p>
      <w:pPr>
        <w:pStyle w:val="44"/>
        <w:numPr>
          <w:ilvl w:val="0"/>
          <w:numId w:val="10"/>
        </w:numPr>
      </w:pPr>
      <w:r>
        <w:rPr>
          <w:rFonts w:hint="eastAsia"/>
        </w:rPr>
        <w:t>钢结构装配式住宅建筑设计宜结合以下优势：套型结构可适应套型改变；非承重部件可更换；材料可回收利用。</w:t>
      </w:r>
    </w:p>
    <w:p>
      <w:pPr>
        <w:pStyle w:val="61"/>
      </w:pPr>
      <w:r>
        <w:rPr>
          <w:rFonts w:hint="eastAsia"/>
        </w:rPr>
        <w:t>应将结构系统、外围护系统、设备与管线系统、内装系统采用集成的方法进行一体化设计。应采用面向制造和装配的设计方法，对设计、生产、运输、安装等各个环节进行统筹，实现建筑设计的全过程协同工作。</w:t>
      </w:r>
    </w:p>
    <w:p>
      <w:pPr>
        <w:pStyle w:val="61"/>
      </w:pPr>
      <w:r>
        <w:rPr>
          <w:rFonts w:hint="eastAsia"/>
        </w:rPr>
        <w:t>钢结构装配式住宅建筑设计应综合考虑建筑、结构、设备和内装等专业的协调，设计、建造、运维宜采用建筑信息化模型技术，并宜实现各专业、全过程的信息化管理与智能化应用。</w:t>
      </w:r>
    </w:p>
    <w:p>
      <w:pPr>
        <w:pStyle w:val="61"/>
      </w:pPr>
      <w:r>
        <w:rPr>
          <w:rFonts w:hint="eastAsia"/>
        </w:rPr>
        <w:t>钢结构装配式住宅应采用全装修交付方式，并应注明设计条件、使用性质及使用环境，宜制定《钢结构装配式住宅使用说明书》和《钢结构装配式住宅质量保证书》。</w:t>
      </w:r>
    </w:p>
    <w:bookmarkEnd w:id="148"/>
    <w:p>
      <w:pPr>
        <w:pStyle w:val="41"/>
        <w:spacing w:before="312" w:after="312"/>
      </w:pPr>
      <w:bookmarkStart w:id="149" w:name="_Toc16637"/>
      <w:bookmarkStart w:id="150" w:name="_Toc241506529"/>
      <w:bookmarkStart w:id="151" w:name="_Hlk136856609"/>
      <w:r>
        <w:rPr>
          <w:rFonts w:hint="eastAsia"/>
        </w:rPr>
        <w:t>建筑设计</w:t>
      </w:r>
      <w:bookmarkEnd w:id="149"/>
      <w:bookmarkEnd w:id="150"/>
    </w:p>
    <w:p>
      <w:pPr>
        <w:pStyle w:val="42"/>
        <w:spacing w:before="156" w:after="156"/>
      </w:pPr>
      <w:bookmarkStart w:id="152" w:name="_Toc241506530"/>
      <w:r>
        <w:rPr>
          <w:rFonts w:hint="eastAsia"/>
        </w:rPr>
        <w:t>一般规定</w:t>
      </w:r>
      <w:bookmarkEnd w:id="152"/>
    </w:p>
    <w:p>
      <w:pPr>
        <w:pStyle w:val="46"/>
      </w:pPr>
      <w:r>
        <w:rPr>
          <w:rFonts w:hint="eastAsia"/>
        </w:rPr>
        <w:t>钢结构装配式住宅建筑总体设计应符合现行国家标准GB 55038、GB 50368、GB 50096 及现行行业标准JGJ/T 469、JGJ/T 398、JGJ/T 494的规定。</w:t>
      </w:r>
    </w:p>
    <w:p>
      <w:pPr>
        <w:pStyle w:val="46"/>
      </w:pPr>
      <w:r>
        <w:rPr>
          <w:rFonts w:hint="eastAsia"/>
        </w:rPr>
        <w:t>建筑设计应结合钢结构体系的特点，并应符合下列规定：</w:t>
      </w:r>
    </w:p>
    <w:p>
      <w:pPr>
        <w:pStyle w:val="44"/>
        <w:numPr>
          <w:ilvl w:val="0"/>
          <w:numId w:val="11"/>
        </w:numPr>
      </w:pPr>
      <w:r>
        <w:rPr>
          <w:rFonts w:hint="eastAsia"/>
        </w:rPr>
        <w:t>住宅建筑空间应具有全生命期的适应性；</w:t>
      </w:r>
    </w:p>
    <w:p>
      <w:pPr>
        <w:pStyle w:val="44"/>
        <w:numPr>
          <w:ilvl w:val="0"/>
          <w:numId w:val="11"/>
        </w:numPr>
      </w:pPr>
      <w:r>
        <w:rPr>
          <w:rFonts w:hint="eastAsia"/>
        </w:rPr>
        <w:t>结构舒适度设计及其措施应符合现行行业标准JGJ 99的规定；</w:t>
      </w:r>
    </w:p>
    <w:p>
      <w:pPr>
        <w:pStyle w:val="44"/>
        <w:numPr>
          <w:ilvl w:val="0"/>
          <w:numId w:val="11"/>
        </w:numPr>
      </w:pPr>
      <w:r>
        <w:rPr>
          <w:rFonts w:hint="eastAsia"/>
        </w:rPr>
        <w:t>非承重部品应具有通用性和可更换性。</w:t>
      </w:r>
    </w:p>
    <w:p>
      <w:pPr>
        <w:pStyle w:val="46"/>
      </w:pPr>
      <w:r>
        <w:rPr>
          <w:rFonts w:hint="eastAsia"/>
        </w:rPr>
        <w:t>钢结构装配式住宅建筑技术与性能设计应符合下列规定：</w:t>
      </w:r>
    </w:p>
    <w:p>
      <w:pPr>
        <w:pStyle w:val="44"/>
        <w:numPr>
          <w:ilvl w:val="0"/>
          <w:numId w:val="12"/>
        </w:numPr>
      </w:pPr>
      <w:r>
        <w:rPr>
          <w:rFonts w:hint="eastAsia"/>
        </w:rPr>
        <w:t>钢结构部（构）件及其连接应采取有效的防火措施，耐火设计应符合现行国家标准GB 55037、GB 50016、GB 51249及现行行业标准JGJ 99的规定；</w:t>
      </w:r>
    </w:p>
    <w:p>
      <w:pPr>
        <w:pStyle w:val="44"/>
        <w:numPr>
          <w:ilvl w:val="0"/>
          <w:numId w:val="12"/>
        </w:numPr>
      </w:pPr>
      <w:r>
        <w:rPr>
          <w:rFonts w:hint="eastAsia"/>
        </w:rPr>
        <w:t>钢结构部（构）件及其连接应采取防腐措施，防腐蚀设计应根据环境条件、使用部位等确定，并应符合现行行业标准JGJ/T 251的规定；</w:t>
      </w:r>
    </w:p>
    <w:p>
      <w:pPr>
        <w:pStyle w:val="44"/>
        <w:numPr>
          <w:ilvl w:val="0"/>
          <w:numId w:val="12"/>
        </w:numPr>
      </w:pPr>
      <w:r>
        <w:rPr>
          <w:rFonts w:hint="eastAsia"/>
        </w:rPr>
        <w:t>隔声设计应根据功能部位、使用要求等采取有效的隔声措施，并应符合现行国家标准GB 55016、GB 50118的规定；</w:t>
      </w:r>
    </w:p>
    <w:p>
      <w:pPr>
        <w:pStyle w:val="44"/>
        <w:numPr>
          <w:ilvl w:val="0"/>
          <w:numId w:val="12"/>
        </w:numPr>
      </w:pPr>
      <w:r>
        <w:rPr>
          <w:rFonts w:hint="eastAsia"/>
        </w:rPr>
        <w:t xml:space="preserve">热工设计、措施和性能应符合现行国家标准GB 50176、GB 55015，现行行业标准JGJ 134及现行湖北省地方标准DB42/T 559等的规定，并应符合下列规定： </w:t>
      </w:r>
    </w:p>
    <w:p>
      <w:pPr>
        <w:pStyle w:val="73"/>
      </w:pPr>
      <w:r>
        <w:rPr>
          <w:rFonts w:hint="eastAsia"/>
        </w:rPr>
        <w:t xml:space="preserve">居住功能为主的空间，朝向宜为南偏东15°至南偏西15°范围，不宜采用东西不利朝向布置，当处于不利朝向时，应采取补偿措施； </w:t>
      </w:r>
    </w:p>
    <w:p>
      <w:pPr>
        <w:pStyle w:val="73"/>
      </w:pPr>
      <w:r>
        <w:rPr>
          <w:rFonts w:hint="eastAsia"/>
        </w:rPr>
        <w:t>建筑设计应优化建筑形体、内部空间布局，充分采用自然通风、自然采光、围护结构保温隔热的构造设计与遮阳等措施降低建筑的能耗。</w:t>
      </w:r>
    </w:p>
    <w:p>
      <w:pPr>
        <w:pStyle w:val="44"/>
        <w:numPr>
          <w:ilvl w:val="0"/>
          <w:numId w:val="9"/>
        </w:numPr>
      </w:pPr>
      <w:r>
        <w:rPr>
          <w:rFonts w:hint="eastAsia"/>
        </w:rPr>
        <w:t>防水设计及其构造措施应符合现行国家标准GB 55030、湖北省地方标准DB42/T 1386的规定，并应符合下列规定：</w:t>
      </w:r>
    </w:p>
    <w:p>
      <w:pPr>
        <w:pStyle w:val="73"/>
      </w:pPr>
      <w:r>
        <w:t xml:space="preserve">在易漏水渗水部位采取防水措施，其中承重构件、屋面等位置应加强构造设计，避免结构主体受到侵蚀； </w:t>
      </w:r>
    </w:p>
    <w:p>
      <w:pPr>
        <w:pStyle w:val="73"/>
      </w:pPr>
      <w:r>
        <w:t>外围护系统防水应采用构造防水和材料防水结合的方式</w:t>
      </w:r>
      <w:r>
        <w:rPr>
          <w:rFonts w:hint="eastAsia"/>
        </w:rPr>
        <w:t>：外墙（板）与钢结构部（构）件、外门窗和幕墙的连接及接缝处应采取防止空气渗透和水蒸气渗透的构造措施，外门窗及幕墙应满足气密性和水密性的要求。</w:t>
      </w:r>
    </w:p>
    <w:p>
      <w:pPr>
        <w:pStyle w:val="44"/>
        <w:numPr>
          <w:ilvl w:val="0"/>
          <w:numId w:val="9"/>
        </w:numPr>
      </w:pPr>
      <w:r>
        <w:rPr>
          <w:rFonts w:hint="eastAsia"/>
        </w:rPr>
        <w:t xml:space="preserve">绿色建筑设计应符合现行国家标准GB/T 50378 及湖北省现行地方标准DB42/T 1319的规定。 </w:t>
      </w:r>
    </w:p>
    <w:p>
      <w:pPr>
        <w:pStyle w:val="46"/>
      </w:pPr>
      <w:r>
        <w:rPr>
          <w:rFonts w:hint="eastAsia"/>
        </w:rPr>
        <w:t>外围护系统与主体结构的连接或锚固设计及其措施应满足安全、适用、耐久的性能要求。</w:t>
      </w:r>
    </w:p>
    <w:p>
      <w:pPr>
        <w:pStyle w:val="46"/>
      </w:pPr>
      <w:r>
        <w:rPr>
          <w:rFonts w:hint="eastAsia"/>
        </w:rPr>
        <w:t>室内装修设计应结合钢结构体系的特点，并应符合下列规定：</w:t>
      </w:r>
    </w:p>
    <w:p>
      <w:pPr>
        <w:pStyle w:val="44"/>
        <w:numPr>
          <w:ilvl w:val="0"/>
          <w:numId w:val="13"/>
        </w:numPr>
      </w:pPr>
      <w:r>
        <w:rPr>
          <w:rFonts w:hint="eastAsia"/>
        </w:rPr>
        <w:t>应符合标准化设计、部品工厂化生产和现场装配化施工的原则；</w:t>
      </w:r>
    </w:p>
    <w:p>
      <w:pPr>
        <w:pStyle w:val="44"/>
        <w:numPr>
          <w:ilvl w:val="0"/>
          <w:numId w:val="13"/>
        </w:numPr>
      </w:pPr>
      <w:r>
        <w:rPr>
          <w:rFonts w:hint="eastAsia"/>
        </w:rPr>
        <w:t>设备管线应采用与结构主体分离设置方式和集成技术。</w:t>
      </w:r>
    </w:p>
    <w:p>
      <w:pPr>
        <w:pStyle w:val="42"/>
        <w:spacing w:before="156" w:after="156"/>
      </w:pPr>
      <w:bookmarkStart w:id="153" w:name="_Toc241506531"/>
      <w:r>
        <w:rPr>
          <w:rFonts w:hint="eastAsia"/>
        </w:rPr>
        <w:t>平面、立面与空间</w:t>
      </w:r>
      <w:bookmarkEnd w:id="153"/>
    </w:p>
    <w:p>
      <w:pPr>
        <w:pStyle w:val="46"/>
      </w:pPr>
      <w:r>
        <w:rPr>
          <w:rFonts w:hint="eastAsia"/>
        </w:rPr>
        <w:t xml:space="preserve">平面设计应符合下列规定： </w:t>
      </w:r>
    </w:p>
    <w:p>
      <w:pPr>
        <w:pStyle w:val="44"/>
        <w:numPr>
          <w:ilvl w:val="0"/>
          <w:numId w:val="14"/>
        </w:numPr>
      </w:pPr>
      <w:r>
        <w:rPr>
          <w:rFonts w:hint="eastAsia"/>
        </w:rPr>
        <w:t xml:space="preserve">应结合钢结构体系特点进行平面布置； </w:t>
      </w:r>
    </w:p>
    <w:p>
      <w:pPr>
        <w:pStyle w:val="44"/>
        <w:numPr>
          <w:ilvl w:val="0"/>
          <w:numId w:val="14"/>
        </w:numPr>
      </w:pPr>
      <w:r>
        <w:rPr>
          <w:rFonts w:hint="eastAsia"/>
        </w:rPr>
        <w:t xml:space="preserve">平面宜规则、平整，宜采用对称式布置方式； </w:t>
      </w:r>
    </w:p>
    <w:p>
      <w:pPr>
        <w:pStyle w:val="44"/>
        <w:numPr>
          <w:ilvl w:val="0"/>
          <w:numId w:val="14"/>
        </w:numPr>
      </w:pPr>
      <w:r>
        <w:rPr>
          <w:rFonts w:hint="eastAsia"/>
        </w:rPr>
        <w:t xml:space="preserve">楼电梯及设备竖井等区域宜独立集中设置； </w:t>
      </w:r>
    </w:p>
    <w:p>
      <w:pPr>
        <w:pStyle w:val="44"/>
        <w:numPr>
          <w:ilvl w:val="0"/>
          <w:numId w:val="14"/>
        </w:numPr>
      </w:pPr>
      <w:r>
        <w:rPr>
          <w:rFonts w:hint="eastAsia"/>
        </w:rPr>
        <w:t xml:space="preserve">应与结构专业协同布置柱网，宜采用连续柱跨的布置方式； </w:t>
      </w:r>
    </w:p>
    <w:p>
      <w:pPr>
        <w:pStyle w:val="44"/>
        <w:numPr>
          <w:ilvl w:val="0"/>
          <w:numId w:val="14"/>
        </w:numPr>
        <w:rPr>
          <w:color w:val="auto"/>
        </w:rPr>
      </w:pPr>
      <w:r>
        <w:rPr>
          <w:rFonts w:hint="eastAsia"/>
          <w:color w:val="auto"/>
        </w:rPr>
        <w:t>空间布局应考虑结构抗侧力体系的布置。</w:t>
      </w:r>
    </w:p>
    <w:p>
      <w:pPr>
        <w:pStyle w:val="46"/>
      </w:pPr>
      <w:r>
        <w:rPr>
          <w:rFonts w:hint="eastAsia"/>
        </w:rPr>
        <w:t xml:space="preserve">立面设计应符合下列规定： </w:t>
      </w:r>
    </w:p>
    <w:p>
      <w:pPr>
        <w:pStyle w:val="44"/>
        <w:numPr>
          <w:ilvl w:val="0"/>
          <w:numId w:val="15"/>
        </w:numPr>
        <w:rPr>
          <w:color w:val="auto"/>
        </w:rPr>
      </w:pPr>
      <w:r>
        <w:rPr>
          <w:rFonts w:hint="eastAsia"/>
          <w:color w:val="auto"/>
        </w:rPr>
        <w:t>应适应湖北省气候特征，统筹夏季隔热遮阳、防雨防潮、冬季保温防结露、抗风压及耐久性要求；</w:t>
      </w:r>
    </w:p>
    <w:p>
      <w:pPr>
        <w:pStyle w:val="44"/>
        <w:numPr>
          <w:ilvl w:val="0"/>
          <w:numId w:val="15"/>
        </w:numPr>
        <w:rPr>
          <w:color w:val="auto"/>
        </w:rPr>
      </w:pPr>
      <w:r>
        <w:rPr>
          <w:rFonts w:hint="eastAsia"/>
          <w:color w:val="auto"/>
        </w:rPr>
        <w:t>建筑立面形状宜规则、均匀，宜采用标准化与多样性相结合的方法，</w:t>
      </w:r>
      <w:r>
        <w:rPr>
          <w:rFonts w:ascii="Helvetica" w:hAnsi="Helvetica" w:eastAsia="Helvetica" w:cs="Helvetica"/>
          <w:color w:val="auto"/>
          <w:szCs w:val="21"/>
          <w:shd w:val="clear" w:color="auto" w:fill="FFFFFF"/>
        </w:rPr>
        <w:t>并根据外围护系统特点进行立面深化设计。</w:t>
      </w:r>
    </w:p>
    <w:p>
      <w:pPr>
        <w:pStyle w:val="44"/>
        <w:numPr>
          <w:ilvl w:val="0"/>
          <w:numId w:val="15"/>
        </w:numPr>
        <w:rPr>
          <w:color w:val="auto"/>
        </w:rPr>
      </w:pPr>
      <w:r>
        <w:rPr>
          <w:rFonts w:hint="eastAsia"/>
          <w:color w:val="auto"/>
        </w:rPr>
        <w:t>外围护系统的外墙应采用耐久性好、易维护的饰面材料或部品，且应明确其设计使用年限；</w:t>
      </w:r>
    </w:p>
    <w:p>
      <w:pPr>
        <w:pStyle w:val="44"/>
        <w:numPr>
          <w:ilvl w:val="0"/>
          <w:numId w:val="15"/>
        </w:numPr>
        <w:rPr>
          <w:color w:val="auto"/>
        </w:rPr>
      </w:pPr>
      <w:r>
        <w:rPr>
          <w:rFonts w:hint="eastAsia"/>
          <w:color w:val="auto"/>
        </w:rPr>
        <w:t xml:space="preserve">外墙板、外门窗、阳台板、幕墙、空调板、遮阳设施及装饰等通用部品部（构）件采用标准化设计同时，应对选材、排板、预留预埋及连接节点等内容进行深化及适应性设计； </w:t>
      </w:r>
    </w:p>
    <w:p>
      <w:pPr>
        <w:pStyle w:val="44"/>
        <w:numPr>
          <w:ilvl w:val="0"/>
          <w:numId w:val="15"/>
        </w:numPr>
        <w:rPr>
          <w:color w:val="auto"/>
        </w:rPr>
      </w:pPr>
      <w:r>
        <w:rPr>
          <w:rFonts w:hint="eastAsia"/>
          <w:color w:val="auto"/>
        </w:rPr>
        <w:t>宜采用保温隔热性能良好的一体化墙板及配套的饰面材料，满足耐久性、防水性、防火性要求，</w:t>
      </w:r>
      <w:r>
        <w:rPr>
          <w:rFonts w:ascii="Helvetica" w:hAnsi="Helvetica" w:eastAsia="Helvetica" w:cs="Helvetica"/>
          <w:color w:val="auto"/>
          <w:szCs w:val="21"/>
          <w:shd w:val="clear" w:color="auto" w:fill="FFFFFF"/>
        </w:rPr>
        <w:t>且应明确其设计使用年限。</w:t>
      </w:r>
    </w:p>
    <w:p>
      <w:pPr>
        <w:pStyle w:val="46"/>
      </w:pPr>
      <w:r>
        <w:rPr>
          <w:rFonts w:hint="eastAsia"/>
        </w:rPr>
        <w:t xml:space="preserve">空间设计应符合下列规定： </w:t>
      </w:r>
    </w:p>
    <w:p>
      <w:pPr>
        <w:pStyle w:val="44"/>
        <w:numPr>
          <w:ilvl w:val="0"/>
          <w:numId w:val="16"/>
        </w:numPr>
      </w:pPr>
      <w:r>
        <w:rPr>
          <w:rFonts w:hint="eastAsia"/>
        </w:rPr>
        <w:t xml:space="preserve">宜采用大开间结构布置方式，满足套内空间布置的灵活性、可变性； </w:t>
      </w:r>
    </w:p>
    <w:p>
      <w:pPr>
        <w:pStyle w:val="44"/>
      </w:pPr>
      <w:r>
        <w:rPr>
          <w:rFonts w:hint="eastAsia"/>
        </w:rPr>
        <w:t>功能空间设计应符合标准化、模块化、系列化；</w:t>
      </w:r>
    </w:p>
    <w:p>
      <w:pPr>
        <w:pStyle w:val="44"/>
      </w:pPr>
      <w:r>
        <w:t>基本模块应采用标准化设计，并应提高部品部件的通用性；</w:t>
      </w:r>
    </w:p>
    <w:p>
      <w:pPr>
        <w:pStyle w:val="44"/>
      </w:pPr>
      <w:r>
        <w:rPr>
          <w:rFonts w:hint="eastAsia"/>
        </w:rPr>
        <w:t>模块应进行优化组合，</w:t>
      </w:r>
      <w:r>
        <w:t>并应满足功能需求及结构布置</w:t>
      </w:r>
      <w:r>
        <w:rPr>
          <w:rFonts w:hint="eastAsia"/>
        </w:rPr>
        <w:t>的要求。</w:t>
      </w:r>
    </w:p>
    <w:p>
      <w:pPr>
        <w:pStyle w:val="46"/>
      </w:pPr>
      <w:r>
        <w:rPr>
          <w:rFonts w:hint="eastAsia"/>
        </w:rPr>
        <w:t>应根据建筑功能空间净高要求、主体结构（楼盖技术层厚度、梁高）、设备管线及装修等要求，确定合理的层高及净高尺寸，并应符合建筑竖向模数协调的规定。</w:t>
      </w:r>
    </w:p>
    <w:p>
      <w:pPr>
        <w:pStyle w:val="42"/>
        <w:spacing w:before="156" w:after="156"/>
      </w:pPr>
      <w:bookmarkStart w:id="154" w:name="_Toc241506532"/>
      <w:r>
        <w:rPr>
          <w:rFonts w:hint="eastAsia"/>
        </w:rPr>
        <w:t>模数化设计</w:t>
      </w:r>
      <w:bookmarkEnd w:id="154"/>
    </w:p>
    <w:p>
      <w:pPr>
        <w:pStyle w:val="46"/>
      </w:pPr>
      <w:r>
        <w:rPr>
          <w:rFonts w:hint="eastAsia"/>
        </w:rPr>
        <w:t>钢结构装配式住宅建筑的模数设计应符合现行国家标准GB/T 50002的规定。</w:t>
      </w:r>
    </w:p>
    <w:p>
      <w:pPr>
        <w:pStyle w:val="46"/>
      </w:pPr>
      <w:r>
        <w:rPr>
          <w:rFonts w:hint="eastAsia"/>
        </w:rPr>
        <w:t>厨房、卫生间的模数设计应符合现行行业标准JGJ/T 262和JGJ/T 263的规定。</w:t>
      </w:r>
    </w:p>
    <w:p>
      <w:pPr>
        <w:pStyle w:val="46"/>
      </w:pPr>
      <w:r>
        <w:rPr>
          <w:rFonts w:hint="eastAsia"/>
        </w:rPr>
        <w:t xml:space="preserve">钢结构装配式住宅应通过模数协调实现建筑结构体和建筑内装体之间的整体协调，并应符合下列规定： </w:t>
      </w:r>
    </w:p>
    <w:p>
      <w:pPr>
        <w:pStyle w:val="44"/>
        <w:numPr>
          <w:ilvl w:val="0"/>
          <w:numId w:val="17"/>
        </w:numPr>
      </w:pPr>
      <w:r>
        <w:rPr>
          <w:rFonts w:hint="eastAsia"/>
        </w:rPr>
        <w:t xml:space="preserve">应采用基本模数或扩大模数，部品部（构）件的设计、生产和安装等应满足尺寸协调的要求； </w:t>
      </w:r>
    </w:p>
    <w:p>
      <w:pPr>
        <w:pStyle w:val="44"/>
        <w:numPr>
          <w:ilvl w:val="0"/>
          <w:numId w:val="17"/>
        </w:numPr>
      </w:pPr>
      <w:r>
        <w:rPr>
          <w:rFonts w:hint="eastAsia"/>
        </w:rPr>
        <w:t xml:space="preserve">应在模数协调的基础上优化部品部（构）件尺寸和种类，并应确定各部品部（构）件的位置和边界条件； </w:t>
      </w:r>
    </w:p>
    <w:p>
      <w:pPr>
        <w:pStyle w:val="44"/>
        <w:numPr>
          <w:ilvl w:val="0"/>
          <w:numId w:val="17"/>
        </w:numPr>
      </w:pPr>
      <w:r>
        <w:rPr>
          <w:rFonts w:hint="eastAsia"/>
        </w:rPr>
        <w:t>钢结构装配式住宅主体部（构）件和内装部品宜采用模数网格定位方法。</w:t>
      </w:r>
    </w:p>
    <w:p>
      <w:pPr>
        <w:pStyle w:val="46"/>
      </w:pPr>
      <w:r>
        <w:rPr>
          <w:rFonts w:hint="eastAsia"/>
        </w:rPr>
        <w:t xml:space="preserve">建筑设计应采用基本模数或扩大模数数列，并应符合下列规定： </w:t>
      </w:r>
    </w:p>
    <w:p>
      <w:pPr>
        <w:pStyle w:val="44"/>
        <w:numPr>
          <w:ilvl w:val="0"/>
          <w:numId w:val="18"/>
        </w:numPr>
      </w:pPr>
      <w:r>
        <w:rPr>
          <w:rFonts w:hint="eastAsia"/>
        </w:rPr>
        <w:t xml:space="preserve">开间与柱距、进深与跨度、门窗洞口宽度等水平方向宜采用水平扩大模数数列2nM、3nM，n为自然数； </w:t>
      </w:r>
    </w:p>
    <w:p>
      <w:pPr>
        <w:pStyle w:val="44"/>
        <w:numPr>
          <w:ilvl w:val="0"/>
          <w:numId w:val="18"/>
        </w:numPr>
      </w:pPr>
      <w:r>
        <w:rPr>
          <w:rFonts w:hint="eastAsia"/>
        </w:rPr>
        <w:t xml:space="preserve">层高和门窗洞口高度等垂直方向宜采用竖向扩大模数数列nM； </w:t>
      </w:r>
    </w:p>
    <w:p>
      <w:pPr>
        <w:pStyle w:val="44"/>
        <w:numPr>
          <w:ilvl w:val="0"/>
          <w:numId w:val="18"/>
        </w:numPr>
      </w:pPr>
      <w:r>
        <w:rPr>
          <w:rFonts w:hint="eastAsia"/>
        </w:rPr>
        <w:t xml:space="preserve">梁、柱等部件的轮廓尺寸宜采用扩大模数数列nM； </w:t>
      </w:r>
    </w:p>
    <w:p>
      <w:pPr>
        <w:pStyle w:val="44"/>
        <w:numPr>
          <w:ilvl w:val="0"/>
          <w:numId w:val="18"/>
        </w:numPr>
        <w:rPr>
          <w:color w:val="auto"/>
        </w:rPr>
      </w:pPr>
      <w:r>
        <w:rPr>
          <w:rFonts w:hint="eastAsia"/>
        </w:rPr>
        <w:t>构造节点和部品部（构）件的接口尺寸等宜采用分模数数列nM/2</w:t>
      </w:r>
      <w:r>
        <w:rPr>
          <w:rFonts w:hint="eastAsia"/>
          <w:color w:val="auto"/>
        </w:rPr>
        <w:t>、nM/5、nM/10。</w:t>
      </w:r>
    </w:p>
    <w:p>
      <w:pPr>
        <w:pStyle w:val="46"/>
      </w:pPr>
      <w:r>
        <w:rPr>
          <w:rFonts w:hint="eastAsia"/>
        </w:rPr>
        <w:t>钢结构装配式住宅建筑的定位宜采用中心定位法与界面定位法相结合的方法。对于部（构）件的水平定位宜采用中心定位法（图1），部（构）件的竖向定位和部品的定位宜采用界面定位法（图2）。</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2500" w:type="pct"/>
            <w:tcBorders>
              <w:top w:val="nil"/>
              <w:left w:val="nil"/>
              <w:bottom w:val="nil"/>
              <w:right w:val="nil"/>
            </w:tcBorders>
          </w:tcPr>
          <w:p>
            <w:pPr>
              <w:pStyle w:val="39"/>
              <w:ind w:firstLine="0" w:firstLineChars="0"/>
              <w:jc w:val="center"/>
            </w:pPr>
            <w:r>
              <w:drawing>
                <wp:inline distT="0" distB="0" distL="114300" distR="114300">
                  <wp:extent cx="2421255" cy="1727835"/>
                  <wp:effectExtent l="0" t="0" r="0" b="5715"/>
                  <wp:docPr id="2"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true"/>
                          </pic:cNvPicPr>
                        </pic:nvPicPr>
                        <pic:blipFill>
                          <a:blip r:embed="rId22"/>
                          <a:stretch>
                            <a:fillRect/>
                          </a:stretch>
                        </pic:blipFill>
                        <pic:spPr>
                          <a:xfrm>
                            <a:off x="0" y="0"/>
                            <a:ext cx="2421778" cy="1728000"/>
                          </a:xfrm>
                          <a:prstGeom prst="rect">
                            <a:avLst/>
                          </a:prstGeom>
                          <a:noFill/>
                          <a:ln>
                            <a:noFill/>
                          </a:ln>
                        </pic:spPr>
                      </pic:pic>
                    </a:graphicData>
                  </a:graphic>
                </wp:inline>
              </w:drawing>
            </w:r>
          </w:p>
        </w:tc>
        <w:tc>
          <w:tcPr>
            <w:tcW w:w="2500" w:type="pct"/>
            <w:tcBorders>
              <w:top w:val="nil"/>
              <w:left w:val="nil"/>
              <w:bottom w:val="nil"/>
              <w:right w:val="nil"/>
            </w:tcBorders>
          </w:tcPr>
          <w:p>
            <w:pPr>
              <w:pStyle w:val="39"/>
              <w:ind w:firstLine="0" w:firstLineChars="0"/>
              <w:jc w:val="center"/>
            </w:pPr>
            <w:r>
              <w:drawing>
                <wp:inline distT="0" distB="0" distL="114300" distR="114300">
                  <wp:extent cx="2083435" cy="1727835"/>
                  <wp:effectExtent l="0" t="0" r="0" b="5715"/>
                  <wp:docPr id="3"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true"/>
                          </pic:cNvPicPr>
                        </pic:nvPicPr>
                        <pic:blipFill>
                          <a:blip r:embed="rId23"/>
                          <a:stretch>
                            <a:fillRect/>
                          </a:stretch>
                        </pic:blipFill>
                        <pic:spPr>
                          <a:xfrm>
                            <a:off x="0" y="0"/>
                            <a:ext cx="2083936" cy="17280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Borders>
              <w:top w:val="nil"/>
              <w:left w:val="nil"/>
              <w:bottom w:val="nil"/>
              <w:right w:val="nil"/>
            </w:tcBorders>
          </w:tcPr>
          <w:p>
            <w:pPr>
              <w:pStyle w:val="55"/>
              <w:numPr>
                <w:ilvl w:val="0"/>
                <w:numId w:val="19"/>
              </w:numPr>
              <w:spacing w:before="156" w:after="156"/>
            </w:pPr>
            <w:r>
              <w:t>采用中心线定位法的模数基准面</w:t>
            </w:r>
          </w:p>
        </w:tc>
        <w:tc>
          <w:tcPr>
            <w:tcW w:w="2500" w:type="pct"/>
            <w:tcBorders>
              <w:top w:val="nil"/>
              <w:left w:val="nil"/>
              <w:bottom w:val="nil"/>
              <w:right w:val="nil"/>
            </w:tcBorders>
          </w:tcPr>
          <w:p>
            <w:pPr>
              <w:pStyle w:val="55"/>
              <w:spacing w:before="156" w:after="156"/>
            </w:pPr>
            <w:r>
              <w:t>采用界面定位法的模数基准面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Borders>
              <w:top w:val="nil"/>
              <w:left w:val="nil"/>
              <w:bottom w:val="nil"/>
              <w:right w:val="nil"/>
            </w:tcBorders>
          </w:tcPr>
          <w:p>
            <w:pPr>
              <w:pStyle w:val="39"/>
              <w:ind w:firstLine="0" w:firstLineChars="0"/>
              <w:jc w:val="center"/>
              <w:rPr>
                <w:szCs w:val="21"/>
              </w:rPr>
            </w:pPr>
            <w:r>
              <w:rPr>
                <w:rFonts w:hint="eastAsia" w:ascii="黑体" w:hAnsi="黑体" w:eastAsia="黑体" w:cs="黑体"/>
                <w:szCs w:val="21"/>
              </w:rPr>
              <w:t>1—外墙；2—柱、墙</w:t>
            </w:r>
          </w:p>
        </w:tc>
        <w:tc>
          <w:tcPr>
            <w:tcW w:w="2500" w:type="pct"/>
            <w:tcBorders>
              <w:top w:val="nil"/>
              <w:left w:val="nil"/>
              <w:bottom w:val="nil"/>
              <w:right w:val="nil"/>
            </w:tcBorders>
          </w:tcPr>
          <w:p>
            <w:pPr>
              <w:pStyle w:val="39"/>
              <w:ind w:firstLine="0" w:firstLineChars="0"/>
              <w:jc w:val="center"/>
              <w:rPr>
                <w:szCs w:val="21"/>
              </w:rPr>
            </w:pPr>
            <w:r>
              <w:rPr>
                <w:rFonts w:hint="eastAsia" w:ascii="黑体" w:hAnsi="黑体" w:eastAsia="黑体" w:cs="黑体"/>
                <w:szCs w:val="21"/>
              </w:rPr>
              <w:t>1—外墙；2—柱、墙</w:t>
            </w:r>
          </w:p>
        </w:tc>
      </w:tr>
    </w:tbl>
    <w:p>
      <w:pPr>
        <w:pStyle w:val="46"/>
      </w:pPr>
      <w:r>
        <w:rPr>
          <w:rFonts w:hint="eastAsia"/>
        </w:rPr>
        <w:t>部品部（构）件尺寸（图3）及安装位置的公差协调应根据生产装配要求、主体结构层间变形、密封材料变形能力、材料干缩、温差变形、施工误差等确定。</w:t>
      </w:r>
    </w:p>
    <w:p>
      <w:pPr>
        <w:pStyle w:val="39"/>
        <w:ind w:firstLine="0" w:firstLineChars="0"/>
        <w:jc w:val="center"/>
      </w:pPr>
      <w:r>
        <w:drawing>
          <wp:inline distT="0" distB="0" distL="114300" distR="114300">
            <wp:extent cx="2063115" cy="1570990"/>
            <wp:effectExtent l="0" t="0" r="13335" b="10160"/>
            <wp:docPr id="4"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true"/>
                    </pic:cNvPicPr>
                  </pic:nvPicPr>
                  <pic:blipFill>
                    <a:blip r:embed="rId24"/>
                    <a:stretch>
                      <a:fillRect/>
                    </a:stretch>
                  </pic:blipFill>
                  <pic:spPr>
                    <a:xfrm>
                      <a:off x="0" y="0"/>
                      <a:ext cx="2063115" cy="1570990"/>
                    </a:xfrm>
                    <a:prstGeom prst="rect">
                      <a:avLst/>
                    </a:prstGeom>
                    <a:noFill/>
                    <a:ln>
                      <a:noFill/>
                    </a:ln>
                  </pic:spPr>
                </pic:pic>
              </a:graphicData>
            </a:graphic>
          </wp:inline>
        </w:drawing>
      </w:r>
    </w:p>
    <w:p>
      <w:pPr>
        <w:pStyle w:val="55"/>
        <w:numPr>
          <w:ilvl w:val="0"/>
          <w:numId w:val="19"/>
        </w:numPr>
        <w:spacing w:before="156" w:after="156"/>
      </w:pPr>
      <w:r>
        <w:rPr>
          <w:rFonts w:hint="eastAsia"/>
        </w:rPr>
        <w:t>部件部品的尺寸</w:t>
      </w:r>
    </w:p>
    <w:p>
      <w:pPr>
        <w:pStyle w:val="42"/>
        <w:spacing w:before="156" w:after="156"/>
      </w:pPr>
      <w:bookmarkStart w:id="155" w:name="_Toc241506533"/>
      <w:r>
        <w:rPr>
          <w:rFonts w:hint="eastAsia"/>
        </w:rPr>
        <w:t>标准化设计</w:t>
      </w:r>
      <w:bookmarkEnd w:id="155"/>
    </w:p>
    <w:p>
      <w:pPr>
        <w:pStyle w:val="46"/>
      </w:pPr>
      <w:r>
        <w:rPr>
          <w:rFonts w:hint="eastAsia"/>
        </w:rPr>
        <w:t xml:space="preserve"> 钢结构装配式住宅应在模数协调的基础上，采用标准化设计，提高部品部（构）件的通用性，适配湖北省构件生产、运输及现场装配条件。</w:t>
      </w:r>
    </w:p>
    <w:p>
      <w:pPr>
        <w:pStyle w:val="46"/>
      </w:pPr>
      <w:r>
        <w:rPr>
          <w:rFonts w:hint="eastAsia"/>
        </w:rPr>
        <w:t>钢结构装配式住宅平面布置宜规整，套型设计应遵循系列化原则，采用标准化套型设计，同时兼顾湖北省居住习惯与户型需求。</w:t>
      </w:r>
    </w:p>
    <w:p>
      <w:pPr>
        <w:pStyle w:val="46"/>
      </w:pPr>
      <w:r>
        <w:rPr>
          <w:rFonts w:hint="eastAsia"/>
        </w:rPr>
        <w:t>钢结构装配式住宅的部品部（构）件应采用标准化的接口。</w:t>
      </w:r>
    </w:p>
    <w:p>
      <w:pPr>
        <w:pStyle w:val="46"/>
      </w:pPr>
      <w:r>
        <w:rPr>
          <w:rFonts w:hint="eastAsia"/>
        </w:rPr>
        <w:t>钢结构装配式住宅应采用模块及模块组合的设计方法，遵循少规格、多组合的原则。</w:t>
      </w:r>
    </w:p>
    <w:p>
      <w:pPr>
        <w:pStyle w:val="46"/>
      </w:pPr>
      <w:r>
        <w:rPr>
          <w:rFonts w:hint="eastAsia"/>
        </w:rPr>
        <w:t>钢结构装配式住宅应采用楼电梯、公共管井、集成式厨房、集成式卫生间等模块进行组合设计，宜优先选用省内成熟供应的集成部品。</w:t>
      </w:r>
    </w:p>
    <w:p>
      <w:pPr>
        <w:pStyle w:val="42"/>
        <w:spacing w:before="156" w:after="156"/>
      </w:pPr>
      <w:bookmarkStart w:id="156" w:name="_Toc241506534"/>
      <w:r>
        <w:rPr>
          <w:rFonts w:hint="eastAsia"/>
        </w:rPr>
        <w:t>集成设计</w:t>
      </w:r>
      <w:bookmarkEnd w:id="156"/>
    </w:p>
    <w:p>
      <w:pPr>
        <w:pStyle w:val="46"/>
      </w:pPr>
      <w:r>
        <w:rPr>
          <w:rFonts w:hint="eastAsia"/>
        </w:rPr>
        <w:t>钢结构装配式住宅建筑的结构系统、外围护系统、设备与管线系统和内装系统应进行集成设计，提高系统及部品集成度，保证产品质量，提高建造精度和效率。</w:t>
      </w:r>
    </w:p>
    <w:p>
      <w:pPr>
        <w:pStyle w:val="46"/>
      </w:pPr>
      <w:r>
        <w:rPr>
          <w:rFonts w:hint="eastAsia"/>
        </w:rPr>
        <w:t>钢结构装配式住宅宜采用集成式或整体式厨房、卫浴，外墙宜采用保温装饰一体化集成式墙板技术。</w:t>
      </w:r>
    </w:p>
    <w:p>
      <w:pPr>
        <w:pStyle w:val="46"/>
      </w:pPr>
      <w:r>
        <w:rPr>
          <w:rFonts w:hint="eastAsia"/>
        </w:rPr>
        <w:t>各系统集成设计应统筹考虑材料性能、加工工艺、运输限制、吊装能力等方面要求。</w:t>
      </w:r>
    </w:p>
    <w:p>
      <w:pPr>
        <w:pStyle w:val="42"/>
        <w:spacing w:before="156" w:after="156"/>
      </w:pPr>
      <w:bookmarkStart w:id="157" w:name="_Toc241506535"/>
      <w:r>
        <w:rPr>
          <w:rFonts w:hint="eastAsia"/>
        </w:rPr>
        <w:t>协同设计</w:t>
      </w:r>
      <w:bookmarkEnd w:id="157"/>
    </w:p>
    <w:p>
      <w:pPr>
        <w:pStyle w:val="46"/>
      </w:pPr>
      <w:r>
        <w:rPr>
          <w:rFonts w:hint="eastAsia"/>
        </w:rPr>
        <w:t>钢结构装配式住宅建筑设计应遵循建筑、结构、设备与管线、室内装修等专业集成设计的原则，基于系统集成的理念统筹各专业之间的协同设计。</w:t>
      </w:r>
    </w:p>
    <w:p>
      <w:pPr>
        <w:pStyle w:val="46"/>
      </w:pPr>
      <w:r>
        <w:rPr>
          <w:rFonts w:hint="eastAsia"/>
        </w:rPr>
        <w:t>建筑设计、部品部（构）件深化设计、装配化施工及运维各阶段宜采用建筑信息化模型技术并相协同，满足建筑全寿命期的使用要求。</w:t>
      </w:r>
    </w:p>
    <w:p>
      <w:pPr>
        <w:pStyle w:val="46"/>
      </w:pPr>
      <w:r>
        <w:rPr>
          <w:rFonts w:hint="eastAsia"/>
        </w:rPr>
        <w:t>部品部（构）件应根据生产运输、储存、组装及现场安装的实际情况与条件，对部品部（构）件及接口等进行全专业设计协同与优化。</w:t>
      </w:r>
    </w:p>
    <w:p>
      <w:pPr>
        <w:pStyle w:val="46"/>
      </w:pPr>
      <w:r>
        <w:rPr>
          <w:rFonts w:hint="eastAsia"/>
        </w:rPr>
        <w:t>部品部（构）件应进行深化设计，深化设计应符合下列规定：</w:t>
      </w:r>
    </w:p>
    <w:p>
      <w:pPr>
        <w:pStyle w:val="44"/>
        <w:numPr>
          <w:ilvl w:val="0"/>
          <w:numId w:val="20"/>
        </w:numPr>
      </w:pPr>
      <w:r>
        <w:t>深化图纸应满足装配施工安装的要求</w:t>
      </w:r>
      <w:r>
        <w:rPr>
          <w:rFonts w:hint="eastAsia"/>
        </w:rPr>
        <w:t>；</w:t>
      </w:r>
    </w:p>
    <w:p>
      <w:pPr>
        <w:pStyle w:val="44"/>
        <w:numPr>
          <w:ilvl w:val="0"/>
          <w:numId w:val="20"/>
        </w:numPr>
      </w:pPr>
      <w:r>
        <w:rPr>
          <w:rFonts w:hint="eastAsia"/>
        </w:rPr>
        <w:t>应结合湖北省冬冷夏热、雨热同季的气候特征进行外围护系统部品的选材、排板及预留预埋等深化设计；</w:t>
      </w:r>
    </w:p>
    <w:p>
      <w:pPr>
        <w:pStyle w:val="44"/>
        <w:numPr>
          <w:ilvl w:val="0"/>
          <w:numId w:val="20"/>
        </w:numPr>
      </w:pPr>
      <w:r>
        <w:t>应结合本地居住习惯与套内使用需求进行内装系统及部品的深化设计。</w:t>
      </w:r>
    </w:p>
    <w:p>
      <w:pPr>
        <w:pStyle w:val="42"/>
        <w:spacing w:before="156" w:after="156"/>
      </w:pPr>
      <w:bookmarkStart w:id="158" w:name="_Toc241506536"/>
      <w:r>
        <w:rPr>
          <w:rFonts w:hint="eastAsia"/>
        </w:rPr>
        <w:t>绿色化设计</w:t>
      </w:r>
      <w:bookmarkEnd w:id="158"/>
    </w:p>
    <w:p>
      <w:pPr>
        <w:pStyle w:val="46"/>
      </w:pPr>
      <w:r>
        <w:rPr>
          <w:rFonts w:hint="eastAsia"/>
        </w:rPr>
        <w:t>钢结构装配式住宅建筑设计应结合钢结构体系具有全寿命期可变性的特点，采用可持续设计理念。</w:t>
      </w:r>
    </w:p>
    <w:p>
      <w:pPr>
        <w:pStyle w:val="46"/>
      </w:pPr>
      <w:r>
        <w:rPr>
          <w:rFonts w:hint="eastAsia"/>
        </w:rPr>
        <w:t>非承重部品部（构）件应具有通用、可更换和易拆除的特性。</w:t>
      </w:r>
    </w:p>
    <w:p>
      <w:pPr>
        <w:pStyle w:val="46"/>
      </w:pPr>
      <w:r>
        <w:rPr>
          <w:rFonts w:hint="eastAsia"/>
        </w:rPr>
        <w:t>钢结构装配式住宅钢部（构）件的使用年限不应低于建筑设计年限，防腐设计与措施应满足建筑耐久性要求。</w:t>
      </w:r>
    </w:p>
    <w:p>
      <w:pPr>
        <w:pStyle w:val="46"/>
      </w:pPr>
      <w:r>
        <w:rPr>
          <w:rFonts w:hint="eastAsia"/>
        </w:rPr>
        <w:t xml:space="preserve">钢结构装配式住宅内装部品应满足通用性和互换性，且符合下列规定： </w:t>
      </w:r>
    </w:p>
    <w:p>
      <w:pPr>
        <w:pStyle w:val="44"/>
        <w:numPr>
          <w:ilvl w:val="0"/>
          <w:numId w:val="21"/>
        </w:numPr>
      </w:pPr>
      <w:r>
        <w:rPr>
          <w:rFonts w:hint="eastAsia"/>
        </w:rPr>
        <w:t xml:space="preserve">共用内装部品不宜设在套内专用空间内； </w:t>
      </w:r>
    </w:p>
    <w:p>
      <w:pPr>
        <w:pStyle w:val="44"/>
        <w:numPr>
          <w:ilvl w:val="0"/>
          <w:numId w:val="21"/>
        </w:numPr>
      </w:pPr>
      <w:r>
        <w:rPr>
          <w:rFonts w:hint="eastAsia"/>
        </w:rPr>
        <w:t xml:space="preserve">设计使用年限较短的内装部品的维修或更换应避免破坏设计使用年限较长的内装部品； </w:t>
      </w:r>
    </w:p>
    <w:p>
      <w:pPr>
        <w:pStyle w:val="44"/>
        <w:numPr>
          <w:ilvl w:val="0"/>
          <w:numId w:val="21"/>
        </w:numPr>
      </w:pPr>
      <w:r>
        <w:rPr>
          <w:rFonts w:hint="eastAsia"/>
        </w:rPr>
        <w:t>住宅套内内装部品的维修或更换不应影响共用内装部品和其他内装部品的使用。</w:t>
      </w:r>
    </w:p>
    <w:p>
      <w:pPr>
        <w:pStyle w:val="41"/>
        <w:spacing w:before="312" w:after="312"/>
      </w:pPr>
      <w:bookmarkStart w:id="159" w:name="_Toc241506537"/>
      <w:bookmarkStart w:id="160" w:name="_Toc24428"/>
      <w:r>
        <w:rPr>
          <w:rFonts w:hint="eastAsia"/>
        </w:rPr>
        <w:t>结构设计</w:t>
      </w:r>
      <w:bookmarkEnd w:id="159"/>
      <w:bookmarkEnd w:id="160"/>
    </w:p>
    <w:p>
      <w:pPr>
        <w:pStyle w:val="42"/>
        <w:spacing w:before="156" w:after="156"/>
      </w:pPr>
      <w:bookmarkStart w:id="161" w:name="_Toc241506538"/>
      <w:r>
        <w:rPr>
          <w:rFonts w:hint="eastAsia"/>
        </w:rPr>
        <w:t>一般规定</w:t>
      </w:r>
      <w:bookmarkEnd w:id="161"/>
    </w:p>
    <w:p>
      <w:pPr>
        <w:pStyle w:val="46"/>
      </w:pPr>
      <w:r>
        <w:rPr>
          <w:rFonts w:hint="eastAsia"/>
        </w:rPr>
        <w:t>钢结构装配式住宅的结构设计应符合现行国家标准的要求，结构设计工作年限不应少于50年，结构安全等级不应低于二级。</w:t>
      </w:r>
    </w:p>
    <w:p>
      <w:pPr>
        <w:pStyle w:val="46"/>
      </w:pPr>
      <w:r>
        <w:rPr>
          <w:rFonts w:hint="eastAsia"/>
        </w:rPr>
        <w:t>结构设计应遵循模数协调原则，按照工厂生产、现场装配的工业化生产要求，部（构）件及连接设计宜标准化和通用化，且应遵循构件与连接少规格、多组合的标准化原则。</w:t>
      </w:r>
    </w:p>
    <w:p>
      <w:pPr>
        <w:pStyle w:val="46"/>
      </w:pPr>
      <w:r>
        <w:rPr>
          <w:rFonts w:hint="eastAsia"/>
        </w:rPr>
        <w:t>结构设计应考虑建筑布局及使用功能、外围护系统、设备与管线系统、内装修系统的设计原则和要求，避免对建筑室内空间、室外立面效果、设备及管线位置，及内装修部品布置等产生不利影响。</w:t>
      </w:r>
    </w:p>
    <w:p>
      <w:pPr>
        <w:pStyle w:val="46"/>
      </w:pPr>
      <w:r>
        <w:rPr>
          <w:rFonts w:hint="eastAsia"/>
        </w:rPr>
        <w:t>结构设计应满足生产、运输、安装、使用、维护和拆除全生命周期要求。</w:t>
      </w:r>
    </w:p>
    <w:p>
      <w:pPr>
        <w:pStyle w:val="46"/>
      </w:pPr>
      <w:r>
        <w:rPr>
          <w:rFonts w:hint="eastAsia"/>
        </w:rPr>
        <w:t>结构设计应符合国家和湖北省关于绿色建筑、低碳建筑和建筑节能的有关规定，优先采用高性能钢材和再生建材。</w:t>
      </w:r>
    </w:p>
    <w:p>
      <w:pPr>
        <w:pStyle w:val="42"/>
        <w:spacing w:before="156" w:after="156"/>
      </w:pPr>
      <w:bookmarkStart w:id="162" w:name="_Toc241506539"/>
      <w:r>
        <w:rPr>
          <w:rFonts w:hint="eastAsia"/>
        </w:rPr>
        <w:t>设计要求</w:t>
      </w:r>
      <w:bookmarkEnd w:id="162"/>
    </w:p>
    <w:p>
      <w:pPr>
        <w:pStyle w:val="46"/>
      </w:pPr>
      <w:r>
        <w:rPr>
          <w:rFonts w:hint="eastAsia"/>
        </w:rPr>
        <w:t>装配式钢结构住宅结构设计宜采用集成设计方法，以产品化思维统筹设计，实现结构系统与外围护系统、设备与管线系统、内装修系统的一体化协同设计。设计文件应明确各系统之间的接口要求和协同边界。</w:t>
      </w:r>
    </w:p>
    <w:p>
      <w:pPr>
        <w:pStyle w:val="46"/>
        <w:rPr>
          <w:rFonts w:cs="宋体"/>
          <w:szCs w:val="21"/>
        </w:rPr>
      </w:pPr>
      <w:r>
        <w:rPr>
          <w:rFonts w:hint="eastAsia" w:cs="宋体"/>
          <w:szCs w:val="21"/>
        </w:rPr>
        <w:t>结构设计应满足住宅建筑的使用功能要求，并在设计工作年限内，为建筑空间布局的调整与改造提供必要的可行性。</w:t>
      </w:r>
    </w:p>
    <w:p>
      <w:pPr>
        <w:pStyle w:val="46"/>
        <w:rPr>
          <w:rFonts w:cs="宋体"/>
          <w:szCs w:val="21"/>
        </w:rPr>
      </w:pPr>
      <w:r>
        <w:rPr>
          <w:rFonts w:hint="eastAsia" w:cs="宋体"/>
          <w:szCs w:val="21"/>
        </w:rPr>
        <w:t>基本风压值及风荷载相关系数应按GB 50009和JGJ 99执行。</w:t>
      </w:r>
    </w:p>
    <w:p>
      <w:pPr>
        <w:pStyle w:val="46"/>
        <w:rPr>
          <w:szCs w:val="21"/>
        </w:rPr>
      </w:pPr>
      <w:r>
        <w:rPr>
          <w:rFonts w:hint="eastAsia"/>
          <w:szCs w:val="21"/>
        </w:rPr>
        <w:t>多高层钢结构住宅结构在水平力作用下的侧移应满足如下要求：</w:t>
      </w:r>
    </w:p>
    <w:p>
      <w:pPr>
        <w:pStyle w:val="44"/>
        <w:numPr>
          <w:ilvl w:val="0"/>
          <w:numId w:val="22"/>
        </w:numPr>
        <w:rPr>
          <w:szCs w:val="21"/>
        </w:rPr>
      </w:pPr>
      <w:r>
        <w:rPr>
          <w:rFonts w:hint="eastAsia"/>
          <w:szCs w:val="21"/>
        </w:rPr>
        <w:t>风载作用下结构的侧移，对于纯钢结构，最大层间侧移不宜大于楼层高度的1/300；对于钢-混凝土混合结构，最大层间位移不宜大于楼层高度的1/800。</w:t>
      </w:r>
    </w:p>
    <w:p>
      <w:pPr>
        <w:pStyle w:val="44"/>
        <w:numPr>
          <w:ilvl w:val="0"/>
          <w:numId w:val="22"/>
        </w:numPr>
        <w:rPr>
          <w:szCs w:val="21"/>
        </w:rPr>
      </w:pPr>
      <w:r>
        <w:rPr>
          <w:rFonts w:hint="eastAsia"/>
          <w:szCs w:val="21"/>
        </w:rPr>
        <w:t>多遇地震作用时，结构的侧移对于纯钢结构，若采用砌块填充墙或内嵌墙板，最大层间侧移不宜超过楼层高度的1/300，若采用外挂墙板或外贴砌块墙，最大层间侧移不宜超过楼层高度的1/250；对于钢-混凝土混合结构，最大层间位移不宜大于楼层高度的1/800。</w:t>
      </w:r>
    </w:p>
    <w:p>
      <w:pPr>
        <w:pStyle w:val="44"/>
        <w:numPr>
          <w:ilvl w:val="0"/>
          <w:numId w:val="22"/>
        </w:numPr>
        <w:rPr>
          <w:szCs w:val="21"/>
        </w:rPr>
      </w:pPr>
      <w:r>
        <w:rPr>
          <w:rFonts w:hint="eastAsia"/>
          <w:szCs w:val="21"/>
        </w:rPr>
        <w:t>罕遇地震作用时，为防止结构倒塌，结构的侧移对于纯钢结构，最大层间侧移不宜超过层高的1/50；对于钢-混凝土混合结构，最大层间侧移不宜超过层高的1/100。</w:t>
      </w:r>
    </w:p>
    <w:p>
      <w:pPr>
        <w:pStyle w:val="44"/>
        <w:numPr>
          <w:ilvl w:val="0"/>
          <w:numId w:val="22"/>
        </w:numPr>
        <w:rPr>
          <w:szCs w:val="21"/>
        </w:rPr>
      </w:pPr>
      <w:r>
        <w:rPr>
          <w:rFonts w:hint="eastAsia"/>
          <w:szCs w:val="21"/>
        </w:rPr>
        <w:t>在10年一遇的风荷载作用下，顺风向与横风向结构顶点最大加速度</w:t>
      </w:r>
      <m:oMath>
        <m:sSub>
          <m:sSubPr>
            <m:ctrlPr>
              <w:rPr>
                <w:rFonts w:hint="eastAsia" w:ascii="Cambria Math" w:hAnsi="Cambria Math"/>
                <w:szCs w:val="21"/>
              </w:rPr>
            </m:ctrlPr>
          </m:sSubPr>
          <m:e>
            <m:r>
              <m:rPr>
                <m:sty m:val="p"/>
              </m:rPr>
              <w:rPr>
                <w:rFonts w:ascii="Cambria Math" w:hAnsi="Cambria Math"/>
                <w:szCs w:val="21"/>
              </w:rPr>
              <m:t>α</m:t>
            </m:r>
            <m:ctrlPr>
              <w:rPr>
                <w:rFonts w:hint="eastAsia" w:ascii="Cambria Math" w:hAnsi="Cambria Math"/>
                <w:szCs w:val="21"/>
              </w:rPr>
            </m:ctrlPr>
          </m:e>
          <m:sub>
            <m:r>
              <m:rPr>
                <m:sty m:val="p"/>
              </m:rPr>
              <w:rPr>
                <w:rFonts w:hint="eastAsia" w:ascii="Cambria Math"/>
                <w:szCs w:val="21"/>
              </w:rPr>
              <m:t>max</m:t>
            </m:r>
            <m:ctrlPr>
              <w:rPr>
                <w:rFonts w:hint="eastAsia" w:ascii="Cambria Math" w:hAnsi="Cambria Math"/>
                <w:szCs w:val="21"/>
              </w:rPr>
            </m:ctrlPr>
          </m:sub>
        </m:sSub>
      </m:oMath>
      <w:r>
        <w:rPr>
          <w:rFonts w:hint="eastAsia"/>
          <w:szCs w:val="21"/>
        </w:rPr>
        <w:t>不应大于</w:t>
      </w:r>
      <w:r>
        <w:rPr>
          <w:rFonts w:hint="eastAsia" w:hAnsi="Cambria Math"/>
          <w:szCs w:val="21"/>
        </w:rPr>
        <w:t>0.15m/s</w:t>
      </w:r>
      <w:r>
        <w:rPr>
          <w:rFonts w:hint="eastAsia" w:hAnsi="Cambria Math"/>
          <w:szCs w:val="21"/>
          <w:vertAlign w:val="superscript"/>
        </w:rPr>
        <w:t>2</w:t>
      </w:r>
      <w:r>
        <w:rPr>
          <w:rFonts w:hint="eastAsia"/>
          <w:szCs w:val="21"/>
        </w:rPr>
        <w:t>。顺风向与横风向结构顶点最大加速度</w:t>
      </w:r>
      <m:oMath>
        <m:sSub>
          <m:sSubPr>
            <m:ctrlPr>
              <w:rPr>
                <w:rFonts w:hint="eastAsia" w:ascii="Cambria Math" w:hAnsi="Cambria Math"/>
                <w:szCs w:val="21"/>
              </w:rPr>
            </m:ctrlPr>
          </m:sSubPr>
          <m:e>
            <m:r>
              <m:rPr>
                <m:sty m:val="p"/>
              </m:rPr>
              <w:rPr>
                <w:rFonts w:ascii="Cambria Math" w:hAnsi="Cambria Math"/>
                <w:szCs w:val="21"/>
              </w:rPr>
              <m:t>α</m:t>
            </m:r>
            <m:ctrlPr>
              <w:rPr>
                <w:rFonts w:hint="eastAsia" w:ascii="Cambria Math" w:hAnsi="Cambria Math"/>
                <w:szCs w:val="21"/>
              </w:rPr>
            </m:ctrlPr>
          </m:e>
          <m:sub>
            <m:r>
              <m:rPr>
                <m:sty m:val="p"/>
              </m:rPr>
              <w:rPr>
                <w:rFonts w:hint="eastAsia" w:ascii="Cambria Math"/>
                <w:szCs w:val="21"/>
              </w:rPr>
              <m:t>max</m:t>
            </m:r>
            <m:ctrlPr>
              <w:rPr>
                <w:rFonts w:hint="eastAsia" w:ascii="Cambria Math" w:hAnsi="Cambria Math"/>
                <w:szCs w:val="21"/>
              </w:rPr>
            </m:ctrlPr>
          </m:sub>
        </m:sSub>
      </m:oMath>
      <w:r>
        <w:rPr>
          <w:rFonts w:hint="eastAsia"/>
          <w:szCs w:val="21"/>
        </w:rPr>
        <w:t>可按JGJ 99的规定计算。</w:t>
      </w:r>
    </w:p>
    <w:p>
      <w:pPr>
        <w:pStyle w:val="46"/>
        <w:rPr>
          <w:szCs w:val="21"/>
        </w:rPr>
      </w:pPr>
      <w:r>
        <w:rPr>
          <w:rFonts w:hint="eastAsia"/>
          <w:szCs w:val="21"/>
        </w:rPr>
        <w:t>住宅楼盖结构应具有适宜的舒适度。楼盖结构的竖向振动频率不宜小于3Hz，竖向震动峰值加速度不应超过</w:t>
      </w:r>
      <w:r>
        <w:rPr>
          <w:rFonts w:hint="eastAsia" w:hAnsi="Cambria Math" w:cs="Times New Roman"/>
          <w:szCs w:val="21"/>
        </w:rPr>
        <w:t>0.05m/s</w:t>
      </w:r>
      <w:r>
        <w:rPr>
          <w:rFonts w:hint="eastAsia" w:hAnsi="Cambria Math" w:cs="Times New Roman"/>
          <w:szCs w:val="21"/>
          <w:vertAlign w:val="superscript"/>
        </w:rPr>
        <w:t>2</w:t>
      </w:r>
      <w:r>
        <w:rPr>
          <w:rFonts w:hint="eastAsia" w:hAnsi="Cambria Math" w:cs="Times New Roman"/>
          <w:szCs w:val="21"/>
        </w:rPr>
        <w:t>。</w:t>
      </w:r>
    </w:p>
    <w:p>
      <w:pPr>
        <w:pStyle w:val="46"/>
        <w:rPr>
          <w:rFonts w:cs="宋体"/>
          <w:szCs w:val="21"/>
        </w:rPr>
      </w:pPr>
      <w:r>
        <w:rPr>
          <w:rFonts w:hint="eastAsia" w:cs="宋体"/>
          <w:szCs w:val="21"/>
        </w:rPr>
        <w:t>钢梁的挠度不宜超过表1的容许值。</w:t>
      </w:r>
    </w:p>
    <w:p>
      <w:pPr>
        <w:pStyle w:val="45"/>
        <w:spacing w:before="156" w:after="156"/>
      </w:pPr>
      <w:r>
        <w:rPr>
          <w:rFonts w:hint="eastAsia"/>
        </w:rPr>
        <w:t>钢梁挠度容许值</w:t>
      </w:r>
    </w:p>
    <w:tbl>
      <w:tblPr>
        <w:tblStyle w:val="33"/>
        <w:tblW w:w="491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3566"/>
        <w:gridCol w:w="323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388" w:type="pct"/>
            <w:tcBorders>
              <w:top w:val="single" w:color="auto" w:sz="8" w:space="0"/>
              <w:bottom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构件种类</w:t>
            </w:r>
          </w:p>
        </w:tc>
        <w:tc>
          <w:tcPr>
            <w:tcW w:w="1894" w:type="pct"/>
            <w:tcBorders>
              <w:top w:val="single" w:color="auto" w:sz="8" w:space="0"/>
              <w:bottom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永久和可变荷载标准值产生的挠度（如有起拱减去拱度）容许值</w:t>
            </w:r>
          </w:p>
        </w:tc>
        <w:tc>
          <w:tcPr>
            <w:tcW w:w="1718" w:type="pct"/>
            <w:tcBorders>
              <w:top w:val="single" w:color="auto" w:sz="8" w:space="0"/>
              <w:bottom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可变荷载标准值产生的挠度容许值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387" w:type="pct"/>
            <w:tcBorders>
              <w:top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框架梁</w:t>
            </w:r>
          </w:p>
        </w:tc>
        <w:tc>
          <w:tcPr>
            <w:tcW w:w="1894" w:type="pct"/>
            <w:tcBorders>
              <w:top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L</w:t>
            </w:r>
            <w:r>
              <w:rPr>
                <w:rFonts w:hint="eastAsia" w:ascii="宋体" w:hAnsi="宋体" w:cs="宋体"/>
                <w:sz w:val="18"/>
                <w:szCs w:val="18"/>
                <w:vertAlign w:val="subscript"/>
              </w:rPr>
              <w:t>0</w:t>
            </w:r>
            <w:r>
              <w:rPr>
                <w:rFonts w:hint="eastAsia" w:ascii="宋体" w:hAnsi="宋体" w:cs="宋体"/>
                <w:sz w:val="18"/>
                <w:szCs w:val="18"/>
              </w:rPr>
              <w:t>/400</w:t>
            </w:r>
          </w:p>
        </w:tc>
        <w:tc>
          <w:tcPr>
            <w:tcW w:w="1718" w:type="pct"/>
            <w:tcBorders>
              <w:top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L</w:t>
            </w:r>
            <w:r>
              <w:rPr>
                <w:rFonts w:hint="eastAsia" w:ascii="宋体" w:hAnsi="宋体" w:cs="宋体"/>
                <w:sz w:val="18"/>
                <w:szCs w:val="18"/>
                <w:vertAlign w:val="subscript"/>
              </w:rPr>
              <w:t>0</w:t>
            </w:r>
            <w:r>
              <w:rPr>
                <w:rFonts w:hint="eastAsia" w:ascii="宋体" w:hAnsi="宋体" w:cs="宋体"/>
                <w:sz w:val="18"/>
                <w:szCs w:val="18"/>
              </w:rPr>
              <w:t>/500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87" w:type="pct"/>
            <w:vAlign w:val="center"/>
          </w:tcPr>
          <w:p>
            <w:pPr>
              <w:spacing w:line="240" w:lineRule="auto"/>
              <w:jc w:val="center"/>
              <w:rPr>
                <w:rFonts w:ascii="宋体" w:hAnsi="宋体" w:cs="宋体"/>
                <w:sz w:val="18"/>
                <w:szCs w:val="18"/>
              </w:rPr>
            </w:pPr>
            <w:r>
              <w:rPr>
                <w:rFonts w:hint="eastAsia" w:ascii="宋体" w:hAnsi="宋体" w:cs="宋体"/>
                <w:sz w:val="18"/>
                <w:szCs w:val="18"/>
              </w:rPr>
              <w:t>次梁</w:t>
            </w:r>
          </w:p>
        </w:tc>
        <w:tc>
          <w:tcPr>
            <w:tcW w:w="1894" w:type="pct"/>
            <w:vAlign w:val="center"/>
          </w:tcPr>
          <w:p>
            <w:pPr>
              <w:spacing w:line="240" w:lineRule="auto"/>
              <w:jc w:val="center"/>
              <w:rPr>
                <w:rFonts w:ascii="宋体" w:hAnsi="宋体" w:cs="宋体"/>
                <w:sz w:val="18"/>
                <w:szCs w:val="18"/>
              </w:rPr>
            </w:pPr>
            <w:r>
              <w:rPr>
                <w:rFonts w:hint="eastAsia" w:ascii="宋体" w:hAnsi="宋体" w:cs="宋体"/>
                <w:sz w:val="18"/>
                <w:szCs w:val="18"/>
              </w:rPr>
              <w:t>L</w:t>
            </w:r>
            <w:r>
              <w:rPr>
                <w:rFonts w:hint="eastAsia" w:ascii="宋体" w:hAnsi="宋体" w:cs="宋体"/>
                <w:sz w:val="18"/>
                <w:szCs w:val="18"/>
                <w:vertAlign w:val="subscript"/>
              </w:rPr>
              <w:t>0</w:t>
            </w:r>
            <w:r>
              <w:rPr>
                <w:rFonts w:hint="eastAsia" w:ascii="宋体" w:hAnsi="宋体" w:cs="宋体"/>
                <w:sz w:val="18"/>
                <w:szCs w:val="18"/>
              </w:rPr>
              <w:t>/250</w:t>
            </w:r>
          </w:p>
        </w:tc>
        <w:tc>
          <w:tcPr>
            <w:tcW w:w="1718" w:type="pct"/>
            <w:vAlign w:val="center"/>
          </w:tcPr>
          <w:p>
            <w:pPr>
              <w:spacing w:line="240" w:lineRule="auto"/>
              <w:jc w:val="center"/>
              <w:rPr>
                <w:rFonts w:ascii="宋体" w:hAnsi="宋体" w:cs="宋体"/>
                <w:sz w:val="18"/>
                <w:szCs w:val="18"/>
              </w:rPr>
            </w:pPr>
            <w:r>
              <w:rPr>
                <w:rFonts w:hint="eastAsia" w:ascii="宋体" w:hAnsi="宋体" w:cs="宋体"/>
                <w:sz w:val="18"/>
                <w:szCs w:val="18"/>
              </w:rPr>
              <w:t>L</w:t>
            </w:r>
            <w:r>
              <w:rPr>
                <w:rFonts w:hint="eastAsia" w:ascii="宋体" w:hAnsi="宋体" w:cs="宋体"/>
                <w:sz w:val="18"/>
                <w:szCs w:val="18"/>
                <w:vertAlign w:val="subscript"/>
              </w:rPr>
              <w:t>0</w:t>
            </w:r>
            <w:r>
              <w:rPr>
                <w:rFonts w:hint="eastAsia" w:ascii="宋体" w:hAnsi="宋体" w:cs="宋体"/>
                <w:sz w:val="18"/>
                <w:szCs w:val="18"/>
              </w:rPr>
              <w:t>/350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387" w:type="pct"/>
            <w:vAlign w:val="center"/>
          </w:tcPr>
          <w:p>
            <w:pPr>
              <w:spacing w:line="240" w:lineRule="auto"/>
              <w:jc w:val="center"/>
              <w:rPr>
                <w:rFonts w:ascii="宋体" w:hAnsi="宋体" w:cs="宋体"/>
                <w:sz w:val="18"/>
                <w:szCs w:val="18"/>
              </w:rPr>
            </w:pPr>
            <w:r>
              <w:rPr>
                <w:rFonts w:hint="eastAsia" w:ascii="宋体" w:hAnsi="宋体" w:cs="宋体"/>
                <w:sz w:val="18"/>
                <w:szCs w:val="18"/>
              </w:rPr>
              <w:t>悬臂梁</w:t>
            </w:r>
          </w:p>
        </w:tc>
        <w:tc>
          <w:tcPr>
            <w:tcW w:w="1894" w:type="pct"/>
            <w:vAlign w:val="center"/>
          </w:tcPr>
          <w:p>
            <w:pPr>
              <w:spacing w:line="240" w:lineRule="auto"/>
              <w:jc w:val="center"/>
              <w:rPr>
                <w:rFonts w:ascii="宋体" w:hAnsi="宋体" w:cs="宋体"/>
                <w:sz w:val="18"/>
                <w:szCs w:val="18"/>
              </w:rPr>
            </w:pPr>
            <w:r>
              <w:rPr>
                <w:rFonts w:hint="eastAsia" w:ascii="宋体" w:hAnsi="宋体" w:cs="宋体"/>
                <w:sz w:val="18"/>
                <w:szCs w:val="18"/>
              </w:rPr>
              <w:t>L</w:t>
            </w:r>
            <w:r>
              <w:rPr>
                <w:rFonts w:hint="eastAsia" w:ascii="宋体" w:hAnsi="宋体" w:cs="宋体"/>
                <w:sz w:val="18"/>
                <w:szCs w:val="18"/>
                <w:vertAlign w:val="subscript"/>
              </w:rPr>
              <w:t>0</w:t>
            </w:r>
            <w:r>
              <w:rPr>
                <w:rFonts w:hint="eastAsia" w:ascii="宋体" w:hAnsi="宋体" w:cs="宋体"/>
                <w:sz w:val="18"/>
                <w:szCs w:val="18"/>
              </w:rPr>
              <w:t>/200</w:t>
            </w:r>
          </w:p>
        </w:tc>
        <w:tc>
          <w:tcPr>
            <w:tcW w:w="1718" w:type="pct"/>
            <w:vAlign w:val="center"/>
          </w:tcPr>
          <w:p>
            <w:pPr>
              <w:spacing w:line="240" w:lineRule="auto"/>
              <w:jc w:val="center"/>
              <w:rPr>
                <w:rFonts w:ascii="宋体" w:hAnsi="宋体" w:cs="宋体"/>
                <w:sz w:val="18"/>
                <w:szCs w:val="18"/>
              </w:rPr>
            </w:pPr>
            <w:r>
              <w:rPr>
                <w:rFonts w:hint="eastAsia" w:ascii="宋体" w:hAnsi="宋体" w:cs="宋体"/>
                <w:sz w:val="18"/>
                <w:szCs w:val="18"/>
              </w:rPr>
              <w:t>L</w:t>
            </w:r>
            <w:r>
              <w:rPr>
                <w:rFonts w:hint="eastAsia" w:ascii="宋体" w:hAnsi="宋体" w:cs="宋体"/>
                <w:sz w:val="18"/>
                <w:szCs w:val="18"/>
                <w:vertAlign w:val="subscript"/>
              </w:rPr>
              <w:t>0</w:t>
            </w:r>
            <w:r>
              <w:rPr>
                <w:rFonts w:hint="eastAsia" w:ascii="宋体" w:hAnsi="宋体" w:cs="宋体"/>
                <w:sz w:val="18"/>
                <w:szCs w:val="18"/>
              </w:rPr>
              <w:t>/250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 w:type="pct"/>
            <w:gridSpan w:val="3"/>
            <w:vAlign w:val="center"/>
          </w:tcPr>
          <w:p>
            <w:pPr>
              <w:spacing w:line="240" w:lineRule="auto"/>
              <w:ind w:firstLine="360" w:firstLineChars="200"/>
              <w:jc w:val="left"/>
              <w:rPr>
                <w:rFonts w:ascii="宋体" w:hAnsi="宋体" w:cs="宋体"/>
                <w:sz w:val="18"/>
                <w:szCs w:val="18"/>
              </w:rPr>
            </w:pPr>
            <w:r>
              <w:rPr>
                <w:rFonts w:hint="eastAsia" w:ascii="宋体" w:hAnsi="宋体" w:eastAsia="黑体" w:cs="宋体"/>
                <w:sz w:val="18"/>
                <w:szCs w:val="18"/>
              </w:rPr>
              <w:t>注：</w:t>
            </w:r>
            <w:r>
              <w:rPr>
                <w:rFonts w:hint="eastAsia" w:ascii="宋体" w:hAnsi="宋体" w:cs="宋体"/>
                <w:sz w:val="18"/>
                <w:szCs w:val="18"/>
              </w:rPr>
              <w:t>L</w:t>
            </w:r>
            <w:r>
              <w:rPr>
                <w:rFonts w:hint="eastAsia" w:ascii="宋体" w:hAnsi="宋体" w:cs="宋体"/>
                <w:sz w:val="18"/>
                <w:szCs w:val="18"/>
                <w:vertAlign w:val="subscript"/>
              </w:rPr>
              <w:t>0</w:t>
            </w:r>
            <w:r>
              <w:rPr>
                <w:rFonts w:hint="eastAsia" w:ascii="宋体" w:hAnsi="宋体" w:cs="宋体"/>
                <w:sz w:val="18"/>
                <w:szCs w:val="18"/>
              </w:rPr>
              <w:t>为梁计算跨度。</w:t>
            </w:r>
          </w:p>
        </w:tc>
      </w:tr>
    </w:tbl>
    <w:p>
      <w:pPr>
        <w:pStyle w:val="42"/>
        <w:spacing w:beforeLines="0" w:afterLines="0"/>
      </w:pPr>
      <w:bookmarkStart w:id="163" w:name="_Toc241506540"/>
      <w:r>
        <w:rPr>
          <w:rFonts w:hint="eastAsia"/>
        </w:rPr>
        <w:t>结构体系与布置</w:t>
      </w:r>
      <w:bookmarkEnd w:id="163"/>
    </w:p>
    <w:p>
      <w:pPr>
        <w:pStyle w:val="46"/>
        <w:rPr>
          <w:rFonts w:cs="宋体"/>
          <w:szCs w:val="21"/>
        </w:rPr>
      </w:pPr>
      <w:r>
        <w:rPr>
          <w:rFonts w:hint="eastAsia" w:cs="宋体"/>
          <w:szCs w:val="21"/>
        </w:rPr>
        <w:t>装配式钢结构可采用下列钢结构或钢-混凝土混合结构体系。</w:t>
      </w:r>
    </w:p>
    <w:p>
      <w:pPr>
        <w:pStyle w:val="45"/>
        <w:spacing w:before="156" w:after="156"/>
      </w:pPr>
      <w:r>
        <w:rPr>
          <w:rFonts w:hint="eastAsia"/>
        </w:rPr>
        <w:t>装配式钢结构体系</w:t>
      </w:r>
    </w:p>
    <w:tbl>
      <w:tblPr>
        <w:tblStyle w:val="33"/>
        <w:tblW w:w="491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2600"/>
        <w:gridCol w:w="53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144" w:type="pct"/>
            <w:gridSpan w:val="2"/>
            <w:tcBorders>
              <w:top w:val="single" w:color="auto" w:sz="8" w:space="0"/>
              <w:bottom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结构类型</w:t>
            </w:r>
          </w:p>
        </w:tc>
        <w:tc>
          <w:tcPr>
            <w:tcW w:w="2855" w:type="pct"/>
            <w:tcBorders>
              <w:top w:val="single" w:color="auto" w:sz="8" w:space="0"/>
              <w:bottom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62" w:type="pct"/>
            <w:vMerge w:val="restart"/>
            <w:tcBorders>
              <w:top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全钢结构</w:t>
            </w:r>
          </w:p>
        </w:tc>
        <w:tc>
          <w:tcPr>
            <w:tcW w:w="1381" w:type="pct"/>
            <w:tcBorders>
              <w:top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钢框架结构</w:t>
            </w:r>
          </w:p>
        </w:tc>
        <w:tc>
          <w:tcPr>
            <w:tcW w:w="2855" w:type="pct"/>
            <w:tcBorders>
              <w:top w:val="single" w:color="auto" w:sz="8" w:space="0"/>
            </w:tcBorders>
            <w:vAlign w:val="center"/>
          </w:tcPr>
          <w:p>
            <w:pPr>
              <w:spacing w:line="240" w:lineRule="auto"/>
              <w:rPr>
                <w:rFonts w:ascii="宋体" w:hAnsi="宋体" w:cs="宋体"/>
                <w:sz w:val="18"/>
                <w:szCs w:val="18"/>
              </w:rPr>
            </w:pPr>
            <w:r>
              <w:rPr>
                <w:rFonts w:hint="eastAsia" w:ascii="宋体" w:hAnsi="宋体" w:cs="宋体"/>
                <w:sz w:val="18"/>
                <w:szCs w:val="18"/>
              </w:rPr>
              <w:t>框架柱包括钢柱、钢管混凝土柱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62" w:type="pct"/>
            <w:vMerge w:val="continue"/>
            <w:vAlign w:val="center"/>
          </w:tcPr>
          <w:p>
            <w:pPr>
              <w:spacing w:line="240" w:lineRule="auto"/>
              <w:jc w:val="center"/>
              <w:rPr>
                <w:rFonts w:ascii="宋体" w:hAnsi="宋体" w:cs="宋体"/>
                <w:sz w:val="18"/>
                <w:szCs w:val="18"/>
              </w:rPr>
            </w:pPr>
          </w:p>
        </w:tc>
        <w:tc>
          <w:tcPr>
            <w:tcW w:w="1381" w:type="pct"/>
            <w:vAlign w:val="center"/>
          </w:tcPr>
          <w:p>
            <w:pPr>
              <w:spacing w:line="240" w:lineRule="auto"/>
              <w:jc w:val="center"/>
              <w:rPr>
                <w:rFonts w:ascii="宋体" w:hAnsi="宋体" w:cs="宋体"/>
                <w:sz w:val="18"/>
                <w:szCs w:val="18"/>
              </w:rPr>
            </w:pPr>
            <w:r>
              <w:rPr>
                <w:rFonts w:hint="eastAsia" w:ascii="宋体" w:hAnsi="宋体" w:cs="宋体"/>
                <w:sz w:val="18"/>
                <w:szCs w:val="18"/>
              </w:rPr>
              <w:t>钢框架-支撑结构</w:t>
            </w:r>
          </w:p>
        </w:tc>
        <w:tc>
          <w:tcPr>
            <w:tcW w:w="2855" w:type="pct"/>
            <w:vAlign w:val="center"/>
          </w:tcPr>
          <w:p>
            <w:pPr>
              <w:spacing w:line="240" w:lineRule="auto"/>
              <w:rPr>
                <w:rFonts w:ascii="宋体" w:hAnsi="宋体" w:cs="宋体"/>
                <w:sz w:val="18"/>
                <w:szCs w:val="18"/>
              </w:rPr>
            </w:pPr>
            <w:r>
              <w:rPr>
                <w:rFonts w:hint="eastAsia" w:ascii="宋体" w:hAnsi="宋体" w:cs="宋体"/>
                <w:sz w:val="18"/>
                <w:szCs w:val="18"/>
              </w:rPr>
              <w:t>包括钢框架-中心支撑结构、钢框架-偏心支撑结构和钢框架-屈曲约束支撑结构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62" w:type="pct"/>
            <w:vMerge w:val="continue"/>
            <w:vAlign w:val="center"/>
          </w:tcPr>
          <w:p>
            <w:pPr>
              <w:spacing w:line="240" w:lineRule="auto"/>
              <w:jc w:val="center"/>
              <w:rPr>
                <w:rFonts w:ascii="宋体" w:hAnsi="宋体" w:cs="宋体"/>
                <w:sz w:val="18"/>
                <w:szCs w:val="18"/>
              </w:rPr>
            </w:pPr>
          </w:p>
        </w:tc>
        <w:tc>
          <w:tcPr>
            <w:tcW w:w="1381" w:type="pc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轻钢结构</w:t>
            </w:r>
          </w:p>
        </w:tc>
        <w:tc>
          <w:tcPr>
            <w:tcW w:w="2855" w:type="pct"/>
            <w:shd w:val="clear" w:color="auto" w:fill="auto"/>
            <w:vAlign w:val="center"/>
          </w:tcPr>
          <w:p>
            <w:pPr>
              <w:spacing w:line="240" w:lineRule="auto"/>
              <w:rPr>
                <w:rFonts w:ascii="宋体" w:hAnsi="宋体" w:cs="宋体"/>
                <w:sz w:val="18"/>
                <w:szCs w:val="18"/>
              </w:rPr>
            </w:pPr>
            <w:r>
              <w:rPr>
                <w:rFonts w:hint="eastAsia" w:ascii="宋体" w:hAnsi="宋体" w:cs="宋体"/>
                <w:sz w:val="18"/>
                <w:szCs w:val="18"/>
              </w:rPr>
              <w:t>包括冷弯薄壁型钢结构、轻钢截面钢框架结构、轻钢截面钢框架-支撑结构等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62" w:type="pct"/>
            <w:vMerge w:val="continue"/>
            <w:vAlign w:val="center"/>
          </w:tcPr>
          <w:p>
            <w:pPr>
              <w:spacing w:line="240" w:lineRule="auto"/>
              <w:jc w:val="center"/>
              <w:rPr>
                <w:rFonts w:ascii="宋体" w:hAnsi="宋体" w:cs="宋体"/>
                <w:sz w:val="18"/>
                <w:szCs w:val="18"/>
              </w:rPr>
            </w:pPr>
          </w:p>
        </w:tc>
        <w:tc>
          <w:tcPr>
            <w:tcW w:w="1381" w:type="pc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钢框架-钢板剪力墙结构</w:t>
            </w:r>
          </w:p>
        </w:tc>
        <w:tc>
          <w:tcPr>
            <w:tcW w:w="2855" w:type="pct"/>
            <w:shd w:val="clear" w:color="auto" w:fill="auto"/>
            <w:vAlign w:val="center"/>
          </w:tcPr>
          <w:p>
            <w:pPr>
              <w:widowControl/>
              <w:rPr>
                <w:rFonts w:ascii="宋体" w:hAnsi="宋体" w:cs="宋体"/>
                <w:sz w:val="18"/>
                <w:szCs w:val="18"/>
              </w:rPr>
            </w:pPr>
            <w:r>
              <w:rPr>
                <w:rFonts w:hint="eastAsia" w:ascii="宋体" w:hAnsi="宋体" w:cs="宋体"/>
                <w:kern w:val="0"/>
                <w:sz w:val="18"/>
                <w:szCs w:val="18"/>
                <w:lang w:bidi="ar"/>
              </w:rPr>
              <w:t>钢板剪力墙包括加劲钢板剪力墙、防屈曲钢板剪力墙、钢板组合剪力墙及开缝钢板剪力墙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62"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钢-混凝土混合结构</w:t>
            </w:r>
          </w:p>
        </w:tc>
        <w:tc>
          <w:tcPr>
            <w:tcW w:w="1381" w:type="pct"/>
            <w:vAlign w:val="center"/>
          </w:tcPr>
          <w:p>
            <w:pPr>
              <w:spacing w:line="240" w:lineRule="auto"/>
              <w:jc w:val="center"/>
              <w:rPr>
                <w:rFonts w:ascii="宋体" w:hAnsi="宋体" w:cs="宋体"/>
                <w:sz w:val="18"/>
                <w:szCs w:val="18"/>
              </w:rPr>
            </w:pPr>
            <w:r>
              <w:rPr>
                <w:rFonts w:hint="eastAsia" w:ascii="宋体" w:hAnsi="宋体" w:cs="宋体"/>
                <w:sz w:val="18"/>
                <w:szCs w:val="18"/>
              </w:rPr>
              <w:t>钢框架-混凝土剪力墙结构</w:t>
            </w:r>
          </w:p>
        </w:tc>
        <w:tc>
          <w:tcPr>
            <w:tcW w:w="2855" w:type="pct"/>
            <w:vAlign w:val="center"/>
          </w:tcPr>
          <w:p>
            <w:pPr>
              <w:spacing w:line="240" w:lineRule="auto"/>
              <w:rPr>
                <w:rFonts w:ascii="宋体" w:hAnsi="宋体" w:cs="宋体"/>
                <w:sz w:val="18"/>
                <w:szCs w:val="18"/>
              </w:rPr>
            </w:pPr>
            <w:r>
              <w:rPr>
                <w:rFonts w:hint="eastAsia" w:ascii="宋体" w:hAnsi="宋体" w:cs="宋体"/>
                <w:sz w:val="18"/>
                <w:szCs w:val="18"/>
              </w:rPr>
              <w:t>混凝土剪力墙包括钢筋混凝土剪力墙和内置钢板混凝土剪力墙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62" w:type="pct"/>
            <w:vMerge w:val="continue"/>
            <w:vAlign w:val="center"/>
          </w:tcPr>
          <w:p>
            <w:pPr>
              <w:spacing w:line="240" w:lineRule="auto"/>
              <w:jc w:val="center"/>
              <w:rPr>
                <w:rFonts w:ascii="宋体" w:hAnsi="宋体" w:cs="宋体"/>
                <w:sz w:val="18"/>
                <w:szCs w:val="18"/>
              </w:rPr>
            </w:pPr>
          </w:p>
        </w:tc>
        <w:tc>
          <w:tcPr>
            <w:tcW w:w="1381" w:type="pct"/>
            <w:vAlign w:val="center"/>
          </w:tcPr>
          <w:p>
            <w:pPr>
              <w:spacing w:line="240" w:lineRule="auto"/>
              <w:jc w:val="center"/>
              <w:rPr>
                <w:rFonts w:ascii="宋体" w:hAnsi="宋体" w:cs="宋体"/>
                <w:sz w:val="18"/>
                <w:szCs w:val="18"/>
              </w:rPr>
            </w:pPr>
            <w:r>
              <w:rPr>
                <w:rFonts w:hint="eastAsia" w:ascii="宋体" w:hAnsi="宋体" w:cs="宋体"/>
                <w:sz w:val="18"/>
                <w:szCs w:val="18"/>
              </w:rPr>
              <w:t>钢框架-钢板组合剪力墙结构</w:t>
            </w:r>
          </w:p>
        </w:tc>
        <w:tc>
          <w:tcPr>
            <w:tcW w:w="2855" w:type="pct"/>
            <w:vAlign w:val="center"/>
          </w:tcPr>
          <w:p>
            <w:pPr>
              <w:spacing w:line="240" w:lineRule="auto"/>
              <w:rPr>
                <w:rFonts w:ascii="宋体" w:hAnsi="宋体" w:cs="宋体"/>
                <w:sz w:val="18"/>
                <w:szCs w:val="18"/>
              </w:rPr>
            </w:pPr>
            <w:r>
              <w:rPr>
                <w:rFonts w:hint="eastAsia" w:ascii="宋体" w:hAnsi="宋体" w:cs="宋体"/>
                <w:sz w:val="18"/>
                <w:szCs w:val="18"/>
              </w:rPr>
              <w:t>钢板组合剪力墙为外包钢板混凝土组合剪力墙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62" w:type="pct"/>
            <w:vMerge w:val="continue"/>
            <w:vAlign w:val="center"/>
          </w:tcPr>
          <w:p>
            <w:pPr>
              <w:spacing w:line="240" w:lineRule="auto"/>
              <w:jc w:val="center"/>
              <w:rPr>
                <w:rFonts w:ascii="宋体" w:hAnsi="宋体" w:cs="宋体"/>
                <w:sz w:val="18"/>
                <w:szCs w:val="18"/>
              </w:rPr>
            </w:pPr>
          </w:p>
        </w:tc>
        <w:tc>
          <w:tcPr>
            <w:tcW w:w="1381" w:type="pct"/>
            <w:vAlign w:val="center"/>
          </w:tcPr>
          <w:p>
            <w:pPr>
              <w:spacing w:line="240" w:lineRule="auto"/>
              <w:jc w:val="center"/>
              <w:rPr>
                <w:rFonts w:ascii="宋体" w:hAnsi="宋体" w:cs="宋体"/>
                <w:sz w:val="18"/>
                <w:szCs w:val="18"/>
              </w:rPr>
            </w:pPr>
            <w:r>
              <w:rPr>
                <w:rFonts w:hint="eastAsia" w:ascii="宋体" w:hAnsi="宋体" w:cs="宋体"/>
                <w:sz w:val="18"/>
                <w:szCs w:val="18"/>
              </w:rPr>
              <w:t>钢框架-混凝土核心筒结构</w:t>
            </w:r>
          </w:p>
        </w:tc>
        <w:tc>
          <w:tcPr>
            <w:tcW w:w="2855" w:type="pct"/>
            <w:vAlign w:val="center"/>
          </w:tcPr>
          <w:p>
            <w:pPr>
              <w:spacing w:line="240" w:lineRule="auto"/>
              <w:rPr>
                <w:rFonts w:ascii="宋体" w:hAnsi="宋体" w:cs="宋体"/>
                <w:sz w:val="18"/>
                <w:szCs w:val="18"/>
              </w:rPr>
            </w:pPr>
            <w:r>
              <w:rPr>
                <w:rFonts w:hint="eastAsia" w:ascii="宋体" w:hAnsi="宋体" w:cs="宋体"/>
                <w:sz w:val="18"/>
                <w:szCs w:val="18"/>
              </w:rPr>
              <w:t>混凝土核心筒包括钢筋混凝土核心筒及内置钢板混凝土核心筒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62"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模块化钢结构</w:t>
            </w:r>
          </w:p>
        </w:tc>
        <w:tc>
          <w:tcPr>
            <w:tcW w:w="1381" w:type="pct"/>
            <w:vAlign w:val="center"/>
          </w:tcPr>
          <w:p>
            <w:pPr>
              <w:spacing w:line="240" w:lineRule="auto"/>
              <w:jc w:val="center"/>
              <w:rPr>
                <w:rFonts w:ascii="宋体" w:hAnsi="宋体" w:cs="宋体"/>
                <w:sz w:val="18"/>
                <w:szCs w:val="18"/>
              </w:rPr>
            </w:pPr>
            <w:r>
              <w:rPr>
                <w:rFonts w:hint="eastAsia" w:ascii="宋体" w:hAnsi="宋体" w:cs="宋体"/>
                <w:sz w:val="18"/>
                <w:szCs w:val="18"/>
              </w:rPr>
              <w:t>叠箱结构、叠箱-底部框架结构</w:t>
            </w:r>
          </w:p>
        </w:tc>
        <w:tc>
          <w:tcPr>
            <w:tcW w:w="2855" w:type="pct"/>
            <w:vAlign w:val="center"/>
          </w:tcPr>
          <w:p>
            <w:pPr>
              <w:spacing w:line="240" w:lineRule="auto"/>
              <w:rPr>
                <w:rFonts w:ascii="宋体" w:hAnsi="宋体" w:cs="宋体"/>
                <w:sz w:val="18"/>
                <w:szCs w:val="18"/>
              </w:rPr>
            </w:pPr>
            <w:r>
              <w:rPr>
                <w:rFonts w:hint="eastAsia" w:ascii="宋体" w:hAnsi="宋体" w:cs="宋体"/>
                <w:sz w:val="18"/>
                <w:szCs w:val="18"/>
              </w:rPr>
              <w:t>叠箱-底部框架结构中底部框架可采用一层或者多层框架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62" w:type="pct"/>
            <w:vMerge w:val="continue"/>
            <w:vAlign w:val="center"/>
          </w:tcPr>
          <w:p>
            <w:pPr>
              <w:spacing w:line="240" w:lineRule="auto"/>
              <w:jc w:val="center"/>
              <w:rPr>
                <w:rFonts w:ascii="宋体" w:hAnsi="宋体" w:cs="宋体"/>
                <w:sz w:val="18"/>
                <w:szCs w:val="18"/>
              </w:rPr>
            </w:pPr>
          </w:p>
        </w:tc>
        <w:tc>
          <w:tcPr>
            <w:tcW w:w="1381" w:type="pct"/>
            <w:vAlign w:val="center"/>
          </w:tcPr>
          <w:p>
            <w:pPr>
              <w:spacing w:line="240" w:lineRule="auto"/>
              <w:jc w:val="center"/>
              <w:rPr>
                <w:rFonts w:ascii="宋体" w:hAnsi="宋体" w:cs="宋体"/>
                <w:sz w:val="18"/>
                <w:szCs w:val="18"/>
              </w:rPr>
            </w:pPr>
            <w:r>
              <w:rPr>
                <w:rFonts w:hint="eastAsia" w:ascii="宋体" w:hAnsi="宋体" w:cs="宋体"/>
                <w:sz w:val="18"/>
                <w:szCs w:val="18"/>
              </w:rPr>
              <w:t>叠箱-抗侧力结构</w:t>
            </w:r>
          </w:p>
        </w:tc>
        <w:tc>
          <w:tcPr>
            <w:tcW w:w="2855" w:type="pct"/>
            <w:vAlign w:val="center"/>
          </w:tcPr>
          <w:p>
            <w:pPr>
              <w:spacing w:line="240" w:lineRule="auto"/>
              <w:rPr>
                <w:rFonts w:ascii="宋体" w:hAnsi="宋体" w:cs="宋体"/>
                <w:sz w:val="18"/>
                <w:szCs w:val="18"/>
              </w:rPr>
            </w:pPr>
            <w:r>
              <w:rPr>
                <w:rFonts w:hint="eastAsia" w:ascii="宋体" w:hAnsi="宋体" w:cs="宋体"/>
                <w:sz w:val="18"/>
                <w:szCs w:val="18"/>
              </w:rPr>
              <w:t>叠箱-抗侧力结构的抗侧力部分应采用钢框架-支撑、钢框架-钢板剪力墙、混凝土框架-剪力墙、剪力墙、筒体结构等</w:t>
            </w:r>
          </w:p>
        </w:tc>
      </w:tr>
    </w:tbl>
    <w:p>
      <w:pPr>
        <w:pStyle w:val="46"/>
        <w:rPr>
          <w:rFonts w:cs="宋体"/>
          <w:szCs w:val="21"/>
        </w:rPr>
      </w:pPr>
      <w:r>
        <w:rPr>
          <w:rFonts w:hint="eastAsia" w:cs="宋体"/>
          <w:szCs w:val="21"/>
        </w:rPr>
        <w:t>钢结构住宅结构体系宜根据结构高度和设防烈度进行选取，各类结构体系的适用高度宜符合表3的规定。</w:t>
      </w:r>
    </w:p>
    <w:p>
      <w:pPr>
        <w:pStyle w:val="45"/>
        <w:spacing w:before="156" w:after="156"/>
      </w:pPr>
      <w:r>
        <w:rPr>
          <w:rFonts w:hint="eastAsia"/>
        </w:rPr>
        <w:t>结构体系适用高度</w:t>
      </w:r>
    </w:p>
    <w:tbl>
      <w:tblPr>
        <w:tblStyle w:val="33"/>
        <w:tblW w:w="494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072"/>
        <w:gridCol w:w="2664"/>
        <w:gridCol w:w="2318"/>
        <w:gridCol w:w="234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35" w:type="pct"/>
            <w:gridSpan w:val="3"/>
            <w:vMerge w:val="restart"/>
            <w:tcBorders>
              <w:top w:val="single" w:color="auto" w:sz="8" w:space="0"/>
              <w:bottom w:val="single" w:color="auto" w:sz="4"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结构类型</w:t>
            </w:r>
          </w:p>
        </w:tc>
        <w:tc>
          <w:tcPr>
            <w:tcW w:w="2465" w:type="pct"/>
            <w:gridSpan w:val="2"/>
            <w:tcBorders>
              <w:top w:val="single" w:color="auto" w:sz="8" w:space="0"/>
              <w:bottom w:val="single" w:color="auto" w:sz="4"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适用高度（m）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534" w:type="pct"/>
            <w:gridSpan w:val="3"/>
            <w:vMerge w:val="continue"/>
            <w:tcBorders>
              <w:top w:val="single" w:color="auto" w:sz="4" w:space="0"/>
              <w:bottom w:val="single" w:color="auto" w:sz="8" w:space="0"/>
            </w:tcBorders>
            <w:vAlign w:val="center"/>
          </w:tcPr>
          <w:p>
            <w:pPr>
              <w:spacing w:line="240" w:lineRule="auto"/>
              <w:jc w:val="center"/>
              <w:rPr>
                <w:rFonts w:ascii="宋体" w:hAnsi="宋体" w:cs="宋体"/>
                <w:sz w:val="18"/>
                <w:szCs w:val="18"/>
              </w:rPr>
            </w:pPr>
          </w:p>
        </w:tc>
        <w:tc>
          <w:tcPr>
            <w:tcW w:w="1226" w:type="pct"/>
            <w:tcBorders>
              <w:top w:val="single" w:color="auto" w:sz="4" w:space="0"/>
              <w:bottom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6度</w:t>
            </w:r>
          </w:p>
        </w:tc>
        <w:tc>
          <w:tcPr>
            <w:tcW w:w="1239" w:type="pct"/>
            <w:tcBorders>
              <w:top w:val="single" w:color="auto" w:sz="4" w:space="0"/>
              <w:bottom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7度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59" w:type="pct"/>
            <w:vMerge w:val="restart"/>
            <w:tcBorders>
              <w:top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全钢结构</w:t>
            </w:r>
          </w:p>
        </w:tc>
        <w:tc>
          <w:tcPr>
            <w:tcW w:w="1974" w:type="pct"/>
            <w:gridSpan w:val="2"/>
            <w:tcBorders>
              <w:top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钢框架结构</w:t>
            </w:r>
          </w:p>
        </w:tc>
        <w:tc>
          <w:tcPr>
            <w:tcW w:w="1226" w:type="pct"/>
            <w:tcBorders>
              <w:top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70</w:t>
            </w:r>
          </w:p>
        </w:tc>
        <w:tc>
          <w:tcPr>
            <w:tcW w:w="1239" w:type="pct"/>
            <w:tcBorders>
              <w:top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559" w:type="pct"/>
            <w:vMerge w:val="continue"/>
            <w:vAlign w:val="center"/>
          </w:tcPr>
          <w:p>
            <w:pPr>
              <w:spacing w:line="240" w:lineRule="auto"/>
              <w:jc w:val="center"/>
              <w:rPr>
                <w:rFonts w:ascii="宋体" w:hAnsi="宋体" w:cs="宋体"/>
                <w:sz w:val="18"/>
                <w:szCs w:val="18"/>
              </w:rPr>
            </w:pPr>
          </w:p>
        </w:tc>
        <w:tc>
          <w:tcPr>
            <w:tcW w:w="1974" w:type="pct"/>
            <w:gridSpan w:val="2"/>
            <w:vAlign w:val="center"/>
          </w:tcPr>
          <w:p>
            <w:pPr>
              <w:spacing w:line="240" w:lineRule="auto"/>
              <w:jc w:val="center"/>
              <w:rPr>
                <w:rFonts w:ascii="宋体" w:hAnsi="宋体" w:cs="宋体"/>
                <w:sz w:val="18"/>
                <w:szCs w:val="18"/>
              </w:rPr>
            </w:pPr>
            <w:r>
              <w:rPr>
                <w:rFonts w:hint="eastAsia" w:ascii="宋体" w:hAnsi="宋体" w:cs="宋体"/>
                <w:sz w:val="18"/>
                <w:szCs w:val="18"/>
              </w:rPr>
              <w:t>钢框架-支撑结构</w:t>
            </w:r>
          </w:p>
        </w:tc>
        <w:tc>
          <w:tcPr>
            <w:tcW w:w="1226" w:type="pct"/>
            <w:vAlign w:val="center"/>
          </w:tcPr>
          <w:p>
            <w:pPr>
              <w:spacing w:line="240" w:lineRule="auto"/>
              <w:jc w:val="center"/>
              <w:rPr>
                <w:rFonts w:ascii="宋体" w:hAnsi="宋体" w:cs="宋体"/>
                <w:sz w:val="18"/>
                <w:szCs w:val="18"/>
              </w:rPr>
            </w:pPr>
            <w:r>
              <w:rPr>
                <w:rFonts w:hint="eastAsia" w:ascii="宋体" w:hAnsi="宋体" w:cs="宋体"/>
                <w:sz w:val="18"/>
                <w:szCs w:val="18"/>
              </w:rPr>
              <w:t>150</w:t>
            </w:r>
          </w:p>
        </w:tc>
        <w:tc>
          <w:tcPr>
            <w:tcW w:w="1239" w:type="pct"/>
            <w:vAlign w:val="center"/>
          </w:tcPr>
          <w:p>
            <w:pPr>
              <w:spacing w:line="240" w:lineRule="auto"/>
              <w:jc w:val="center"/>
              <w:rPr>
                <w:rFonts w:ascii="宋体" w:hAnsi="宋体" w:cs="宋体"/>
                <w:sz w:val="18"/>
                <w:szCs w:val="18"/>
              </w:rPr>
            </w:pPr>
            <w:r>
              <w:rPr>
                <w:rFonts w:hint="eastAsia" w:ascii="宋体" w:hAnsi="宋体" w:cs="宋体"/>
                <w:sz w:val="18"/>
                <w:szCs w:val="18"/>
              </w:rPr>
              <w:t>130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559" w:type="pct"/>
            <w:vMerge w:val="continue"/>
            <w:vAlign w:val="center"/>
          </w:tcPr>
          <w:p>
            <w:pPr>
              <w:spacing w:line="240" w:lineRule="auto"/>
              <w:jc w:val="center"/>
              <w:rPr>
                <w:rFonts w:ascii="宋体" w:hAnsi="宋体" w:cs="宋体"/>
                <w:sz w:val="18"/>
                <w:szCs w:val="18"/>
              </w:rPr>
            </w:pPr>
          </w:p>
        </w:tc>
        <w:tc>
          <w:tcPr>
            <w:tcW w:w="567" w:type="pct"/>
            <w:vMerge w:val="restar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轻钢结构</w:t>
            </w:r>
          </w:p>
        </w:tc>
        <w:tc>
          <w:tcPr>
            <w:tcW w:w="1407" w:type="pc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冷弯薄壁型钢结构</w:t>
            </w:r>
          </w:p>
        </w:tc>
        <w:tc>
          <w:tcPr>
            <w:tcW w:w="1226" w:type="pc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12</w:t>
            </w:r>
          </w:p>
        </w:tc>
        <w:tc>
          <w:tcPr>
            <w:tcW w:w="1239" w:type="pc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559" w:type="pct"/>
            <w:vMerge w:val="continue"/>
            <w:vAlign w:val="center"/>
          </w:tcPr>
          <w:p>
            <w:pPr>
              <w:spacing w:line="240" w:lineRule="auto"/>
              <w:jc w:val="center"/>
              <w:rPr>
                <w:rFonts w:ascii="宋体" w:hAnsi="宋体" w:cs="宋体"/>
                <w:sz w:val="18"/>
                <w:szCs w:val="18"/>
              </w:rPr>
            </w:pPr>
          </w:p>
        </w:tc>
        <w:tc>
          <w:tcPr>
            <w:tcW w:w="567" w:type="pct"/>
            <w:vMerge w:val="continue"/>
            <w:shd w:val="clear" w:color="auto" w:fill="auto"/>
            <w:vAlign w:val="center"/>
          </w:tcPr>
          <w:p>
            <w:pPr>
              <w:spacing w:line="240" w:lineRule="auto"/>
              <w:jc w:val="center"/>
              <w:rPr>
                <w:rFonts w:ascii="宋体" w:hAnsi="宋体" w:cs="宋体"/>
                <w:sz w:val="18"/>
                <w:szCs w:val="18"/>
              </w:rPr>
            </w:pPr>
          </w:p>
        </w:tc>
        <w:tc>
          <w:tcPr>
            <w:tcW w:w="1407" w:type="pc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轻钢截面钢框架结构</w:t>
            </w:r>
          </w:p>
        </w:tc>
        <w:tc>
          <w:tcPr>
            <w:tcW w:w="1226" w:type="pc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18</w:t>
            </w:r>
          </w:p>
        </w:tc>
        <w:tc>
          <w:tcPr>
            <w:tcW w:w="1239" w:type="pc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59" w:type="pct"/>
            <w:vMerge w:val="continue"/>
            <w:vAlign w:val="center"/>
          </w:tcPr>
          <w:p>
            <w:pPr>
              <w:spacing w:line="240" w:lineRule="auto"/>
              <w:jc w:val="center"/>
              <w:rPr>
                <w:rFonts w:ascii="宋体" w:hAnsi="宋体" w:cs="宋体"/>
                <w:sz w:val="18"/>
                <w:szCs w:val="18"/>
              </w:rPr>
            </w:pPr>
          </w:p>
        </w:tc>
        <w:tc>
          <w:tcPr>
            <w:tcW w:w="1974" w:type="pct"/>
            <w:gridSpan w:val="2"/>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钢框架-钢板剪力墙</w:t>
            </w:r>
          </w:p>
        </w:tc>
        <w:tc>
          <w:tcPr>
            <w:tcW w:w="1226" w:type="pc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160</w:t>
            </w:r>
          </w:p>
        </w:tc>
        <w:tc>
          <w:tcPr>
            <w:tcW w:w="1239" w:type="pct"/>
            <w:shd w:val="clear" w:color="auto" w:fill="auto"/>
            <w:vAlign w:val="center"/>
          </w:tcPr>
          <w:p>
            <w:pPr>
              <w:spacing w:line="240" w:lineRule="auto"/>
              <w:jc w:val="center"/>
              <w:rPr>
                <w:rFonts w:ascii="宋体" w:hAnsi="宋体" w:cs="宋体"/>
                <w:sz w:val="18"/>
                <w:szCs w:val="18"/>
              </w:rPr>
            </w:pPr>
            <w:r>
              <w:rPr>
                <w:rFonts w:hint="eastAsia" w:ascii="宋体" w:hAnsi="宋体" w:cs="宋体"/>
                <w:sz w:val="18"/>
                <w:szCs w:val="18"/>
              </w:rPr>
              <w:t>140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59"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钢-混凝土混合结构</w:t>
            </w:r>
          </w:p>
        </w:tc>
        <w:tc>
          <w:tcPr>
            <w:tcW w:w="1974" w:type="pct"/>
            <w:gridSpan w:val="2"/>
            <w:vAlign w:val="center"/>
          </w:tcPr>
          <w:p>
            <w:pPr>
              <w:spacing w:line="240" w:lineRule="auto"/>
              <w:jc w:val="center"/>
              <w:rPr>
                <w:rFonts w:ascii="宋体" w:hAnsi="宋体" w:cs="宋体"/>
                <w:sz w:val="18"/>
                <w:szCs w:val="18"/>
              </w:rPr>
            </w:pPr>
            <w:r>
              <w:rPr>
                <w:rFonts w:hint="eastAsia" w:ascii="宋体" w:hAnsi="宋体" w:cs="宋体"/>
                <w:sz w:val="18"/>
                <w:szCs w:val="18"/>
              </w:rPr>
              <w:t>钢框架-混凝土剪力墙结构</w:t>
            </w:r>
          </w:p>
        </w:tc>
        <w:tc>
          <w:tcPr>
            <w:tcW w:w="1226" w:type="pct"/>
            <w:vAlign w:val="center"/>
          </w:tcPr>
          <w:p>
            <w:pPr>
              <w:spacing w:line="240" w:lineRule="auto"/>
              <w:jc w:val="center"/>
              <w:rPr>
                <w:rFonts w:ascii="宋体" w:hAnsi="宋体" w:cs="宋体"/>
                <w:sz w:val="18"/>
                <w:szCs w:val="18"/>
              </w:rPr>
            </w:pPr>
            <w:r>
              <w:rPr>
                <w:rFonts w:hint="eastAsia" w:ascii="宋体" w:hAnsi="宋体" w:cs="宋体"/>
                <w:sz w:val="18"/>
                <w:szCs w:val="18"/>
              </w:rPr>
              <w:t>150</w:t>
            </w:r>
          </w:p>
        </w:tc>
        <w:tc>
          <w:tcPr>
            <w:tcW w:w="1239" w:type="pct"/>
            <w:vAlign w:val="center"/>
          </w:tcPr>
          <w:p>
            <w:pPr>
              <w:spacing w:line="240" w:lineRule="auto"/>
              <w:jc w:val="center"/>
              <w:rPr>
                <w:rFonts w:ascii="宋体" w:hAnsi="宋体" w:cs="宋体"/>
                <w:sz w:val="18"/>
                <w:szCs w:val="18"/>
              </w:rPr>
            </w:pPr>
            <w:r>
              <w:rPr>
                <w:rFonts w:hint="eastAsia" w:ascii="宋体" w:hAnsi="宋体" w:cs="宋体"/>
                <w:sz w:val="18"/>
                <w:szCs w:val="18"/>
              </w:rPr>
              <w:t>130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59" w:type="pct"/>
            <w:vMerge w:val="continue"/>
            <w:vAlign w:val="center"/>
          </w:tcPr>
          <w:p>
            <w:pPr>
              <w:spacing w:line="240" w:lineRule="auto"/>
              <w:jc w:val="center"/>
              <w:rPr>
                <w:rFonts w:ascii="宋体" w:hAnsi="宋体" w:cs="宋体"/>
                <w:sz w:val="18"/>
                <w:szCs w:val="18"/>
              </w:rPr>
            </w:pPr>
          </w:p>
        </w:tc>
        <w:tc>
          <w:tcPr>
            <w:tcW w:w="1974" w:type="pct"/>
            <w:gridSpan w:val="2"/>
            <w:vAlign w:val="center"/>
          </w:tcPr>
          <w:p>
            <w:pPr>
              <w:spacing w:line="240" w:lineRule="auto"/>
              <w:jc w:val="center"/>
              <w:rPr>
                <w:rFonts w:ascii="宋体" w:hAnsi="宋体" w:cs="宋体"/>
                <w:sz w:val="18"/>
                <w:szCs w:val="18"/>
              </w:rPr>
            </w:pPr>
            <w:r>
              <w:rPr>
                <w:rFonts w:hint="eastAsia" w:ascii="宋体" w:hAnsi="宋体" w:cs="宋体"/>
                <w:sz w:val="18"/>
                <w:szCs w:val="18"/>
              </w:rPr>
              <w:t>钢框架-钢板组合剪力墙结构</w:t>
            </w:r>
          </w:p>
        </w:tc>
        <w:tc>
          <w:tcPr>
            <w:tcW w:w="1226" w:type="pct"/>
            <w:vAlign w:val="center"/>
          </w:tcPr>
          <w:p>
            <w:pPr>
              <w:spacing w:line="240" w:lineRule="auto"/>
              <w:jc w:val="center"/>
              <w:rPr>
                <w:rFonts w:ascii="宋体" w:hAnsi="宋体" w:cs="宋体"/>
                <w:sz w:val="18"/>
                <w:szCs w:val="18"/>
              </w:rPr>
            </w:pPr>
            <w:r>
              <w:rPr>
                <w:rFonts w:hint="eastAsia" w:ascii="宋体" w:hAnsi="宋体" w:cs="宋体"/>
                <w:sz w:val="18"/>
                <w:szCs w:val="18"/>
              </w:rPr>
              <w:t>160</w:t>
            </w:r>
          </w:p>
        </w:tc>
        <w:tc>
          <w:tcPr>
            <w:tcW w:w="1239" w:type="pct"/>
            <w:vAlign w:val="center"/>
          </w:tcPr>
          <w:p>
            <w:pPr>
              <w:spacing w:line="240" w:lineRule="auto"/>
              <w:jc w:val="center"/>
              <w:rPr>
                <w:rFonts w:ascii="宋体" w:hAnsi="宋体" w:cs="宋体"/>
                <w:sz w:val="18"/>
                <w:szCs w:val="18"/>
              </w:rPr>
            </w:pPr>
            <w:r>
              <w:rPr>
                <w:rFonts w:hint="eastAsia" w:ascii="宋体" w:hAnsi="宋体" w:cs="宋体"/>
                <w:sz w:val="18"/>
                <w:szCs w:val="18"/>
              </w:rPr>
              <w:t>140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59" w:type="pct"/>
            <w:vMerge w:val="continue"/>
            <w:vAlign w:val="center"/>
          </w:tcPr>
          <w:p>
            <w:pPr>
              <w:spacing w:line="240" w:lineRule="auto"/>
              <w:jc w:val="center"/>
              <w:rPr>
                <w:rFonts w:ascii="宋体" w:hAnsi="宋体" w:cs="宋体"/>
                <w:sz w:val="18"/>
                <w:szCs w:val="18"/>
              </w:rPr>
            </w:pPr>
          </w:p>
        </w:tc>
        <w:tc>
          <w:tcPr>
            <w:tcW w:w="1974" w:type="pct"/>
            <w:gridSpan w:val="2"/>
            <w:vAlign w:val="center"/>
          </w:tcPr>
          <w:p>
            <w:pPr>
              <w:spacing w:line="240" w:lineRule="auto"/>
              <w:jc w:val="center"/>
              <w:rPr>
                <w:rFonts w:ascii="宋体" w:hAnsi="宋体" w:cs="宋体"/>
                <w:sz w:val="18"/>
                <w:szCs w:val="18"/>
              </w:rPr>
            </w:pPr>
            <w:r>
              <w:rPr>
                <w:rFonts w:hint="eastAsia" w:ascii="宋体" w:hAnsi="宋体" w:cs="宋体"/>
                <w:sz w:val="18"/>
                <w:szCs w:val="18"/>
              </w:rPr>
              <w:t>钢框架-混凝土核心筒结构</w:t>
            </w:r>
          </w:p>
        </w:tc>
        <w:tc>
          <w:tcPr>
            <w:tcW w:w="1226" w:type="pct"/>
            <w:vAlign w:val="center"/>
          </w:tcPr>
          <w:p>
            <w:pPr>
              <w:spacing w:line="240" w:lineRule="auto"/>
              <w:jc w:val="center"/>
              <w:rPr>
                <w:rFonts w:ascii="宋体" w:hAnsi="宋体" w:cs="宋体"/>
                <w:sz w:val="18"/>
                <w:szCs w:val="18"/>
              </w:rPr>
            </w:pPr>
            <w:r>
              <w:rPr>
                <w:rFonts w:hint="eastAsia" w:ascii="宋体" w:hAnsi="宋体" w:cs="宋体"/>
                <w:sz w:val="18"/>
                <w:szCs w:val="18"/>
              </w:rPr>
              <w:t>200</w:t>
            </w:r>
          </w:p>
        </w:tc>
        <w:tc>
          <w:tcPr>
            <w:tcW w:w="1239" w:type="pct"/>
            <w:vAlign w:val="center"/>
          </w:tcPr>
          <w:p>
            <w:pPr>
              <w:spacing w:line="240" w:lineRule="auto"/>
              <w:jc w:val="center"/>
              <w:rPr>
                <w:rFonts w:ascii="宋体" w:hAnsi="宋体" w:cs="宋体"/>
                <w:sz w:val="18"/>
                <w:szCs w:val="18"/>
              </w:rPr>
            </w:pPr>
            <w:r>
              <w:rPr>
                <w:rFonts w:hint="eastAsia" w:ascii="宋体" w:hAnsi="宋体" w:cs="宋体"/>
                <w:sz w:val="18"/>
                <w:szCs w:val="18"/>
              </w:rPr>
              <w:t>160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59"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钢模块单元结构</w:t>
            </w:r>
          </w:p>
        </w:tc>
        <w:tc>
          <w:tcPr>
            <w:tcW w:w="1974" w:type="pct"/>
            <w:gridSpan w:val="2"/>
            <w:vAlign w:val="center"/>
          </w:tcPr>
          <w:p>
            <w:pPr>
              <w:spacing w:line="240" w:lineRule="auto"/>
              <w:jc w:val="center"/>
              <w:rPr>
                <w:rFonts w:ascii="宋体" w:hAnsi="宋体" w:cs="宋体"/>
                <w:sz w:val="18"/>
                <w:szCs w:val="18"/>
              </w:rPr>
            </w:pPr>
            <w:r>
              <w:rPr>
                <w:rFonts w:hint="eastAsia" w:ascii="宋体" w:hAnsi="宋体" w:cs="宋体"/>
                <w:sz w:val="18"/>
                <w:szCs w:val="18"/>
              </w:rPr>
              <w:t>钢模块单元叠合结构体系</w:t>
            </w:r>
          </w:p>
        </w:tc>
        <w:tc>
          <w:tcPr>
            <w:tcW w:w="1226" w:type="pct"/>
            <w:vAlign w:val="center"/>
          </w:tcPr>
          <w:p>
            <w:pPr>
              <w:spacing w:line="240" w:lineRule="auto"/>
              <w:jc w:val="center"/>
              <w:rPr>
                <w:rFonts w:ascii="宋体" w:hAnsi="宋体" w:cs="宋体"/>
                <w:sz w:val="18"/>
                <w:szCs w:val="18"/>
              </w:rPr>
            </w:pPr>
            <w:r>
              <w:rPr>
                <w:rFonts w:hint="eastAsia" w:ascii="宋体" w:hAnsi="宋体" w:cs="宋体"/>
                <w:sz w:val="18"/>
                <w:szCs w:val="18"/>
              </w:rPr>
              <w:t>15</w:t>
            </w:r>
          </w:p>
        </w:tc>
        <w:tc>
          <w:tcPr>
            <w:tcW w:w="1239" w:type="pct"/>
            <w:vAlign w:val="center"/>
          </w:tcPr>
          <w:p>
            <w:pPr>
              <w:spacing w:line="240" w:lineRule="auto"/>
              <w:jc w:val="center"/>
              <w:rPr>
                <w:rFonts w:ascii="宋体" w:hAnsi="宋体" w:cs="宋体"/>
                <w:sz w:val="18"/>
                <w:szCs w:val="18"/>
              </w:rPr>
            </w:pPr>
            <w:r>
              <w:rPr>
                <w:rFonts w:hint="eastAsia" w:ascii="宋体" w:hAnsi="宋体" w:cs="宋体"/>
                <w:sz w:val="18"/>
                <w:szCs w:val="18"/>
              </w:rPr>
              <w:t>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59" w:type="pct"/>
            <w:vMerge w:val="continue"/>
            <w:vAlign w:val="center"/>
          </w:tcPr>
          <w:p>
            <w:pPr>
              <w:spacing w:line="240" w:lineRule="auto"/>
              <w:jc w:val="center"/>
              <w:rPr>
                <w:rFonts w:ascii="宋体" w:hAnsi="宋体" w:cs="宋体"/>
                <w:sz w:val="18"/>
                <w:szCs w:val="18"/>
              </w:rPr>
            </w:pPr>
          </w:p>
        </w:tc>
        <w:tc>
          <w:tcPr>
            <w:tcW w:w="1974" w:type="pct"/>
            <w:gridSpan w:val="2"/>
            <w:vAlign w:val="center"/>
          </w:tcPr>
          <w:p>
            <w:pPr>
              <w:spacing w:line="240" w:lineRule="auto"/>
              <w:jc w:val="center"/>
              <w:rPr>
                <w:rFonts w:ascii="宋体" w:hAnsi="宋体" w:cs="宋体"/>
                <w:sz w:val="18"/>
                <w:szCs w:val="18"/>
              </w:rPr>
            </w:pPr>
            <w:r>
              <w:rPr>
                <w:rFonts w:hint="eastAsia" w:ascii="宋体" w:hAnsi="宋体" w:cs="宋体"/>
                <w:sz w:val="18"/>
                <w:szCs w:val="18"/>
              </w:rPr>
              <w:t>钢模块单元—底部框架结构体系</w:t>
            </w:r>
          </w:p>
        </w:tc>
        <w:tc>
          <w:tcPr>
            <w:tcW w:w="1226" w:type="pct"/>
            <w:vAlign w:val="center"/>
          </w:tcPr>
          <w:p>
            <w:pPr>
              <w:spacing w:line="240" w:lineRule="auto"/>
              <w:jc w:val="center"/>
              <w:rPr>
                <w:rFonts w:ascii="宋体" w:hAnsi="宋体" w:cs="宋体"/>
                <w:sz w:val="18"/>
                <w:szCs w:val="18"/>
              </w:rPr>
            </w:pPr>
            <w:r>
              <w:rPr>
                <w:rFonts w:hint="eastAsia" w:ascii="宋体" w:hAnsi="宋体" w:cs="宋体"/>
                <w:sz w:val="18"/>
                <w:szCs w:val="18"/>
              </w:rPr>
              <w:t>21</w:t>
            </w:r>
          </w:p>
        </w:tc>
        <w:tc>
          <w:tcPr>
            <w:tcW w:w="1239" w:type="pct"/>
            <w:vAlign w:val="center"/>
          </w:tcPr>
          <w:p>
            <w:pPr>
              <w:spacing w:line="240" w:lineRule="auto"/>
              <w:jc w:val="center"/>
              <w:rPr>
                <w:rFonts w:ascii="宋体" w:hAnsi="宋体" w:cs="宋体"/>
                <w:sz w:val="18"/>
                <w:szCs w:val="18"/>
              </w:rPr>
            </w:pPr>
            <w:r>
              <w:rPr>
                <w:rFonts w:hint="eastAsia" w:ascii="宋体" w:hAnsi="宋体" w:cs="宋体"/>
                <w:sz w:val="18"/>
                <w:szCs w:val="18"/>
              </w:rPr>
              <w:t>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59" w:type="pct"/>
            <w:vMerge w:val="continue"/>
            <w:tcBorders>
              <w:bottom w:val="single" w:color="auto" w:sz="8" w:space="0"/>
            </w:tcBorders>
            <w:vAlign w:val="center"/>
          </w:tcPr>
          <w:p>
            <w:pPr>
              <w:spacing w:line="240" w:lineRule="auto"/>
              <w:jc w:val="center"/>
              <w:rPr>
                <w:rFonts w:ascii="宋体" w:hAnsi="宋体" w:cs="宋体"/>
                <w:sz w:val="18"/>
                <w:szCs w:val="18"/>
              </w:rPr>
            </w:pPr>
          </w:p>
        </w:tc>
        <w:tc>
          <w:tcPr>
            <w:tcW w:w="1974" w:type="pct"/>
            <w:gridSpan w:val="2"/>
            <w:tcBorders>
              <w:bottom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钢模块单元—抗侧力结构体系</w:t>
            </w:r>
          </w:p>
        </w:tc>
        <w:tc>
          <w:tcPr>
            <w:tcW w:w="1226" w:type="pct"/>
            <w:tcBorders>
              <w:bottom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30</w:t>
            </w:r>
          </w:p>
        </w:tc>
        <w:tc>
          <w:tcPr>
            <w:tcW w:w="1239" w:type="pct"/>
            <w:tcBorders>
              <w:bottom w:val="single" w:color="auto" w:sz="8" w:space="0"/>
            </w:tcBorders>
            <w:vAlign w:val="center"/>
          </w:tcPr>
          <w:p>
            <w:pPr>
              <w:spacing w:line="240" w:lineRule="auto"/>
              <w:jc w:val="center"/>
              <w:rPr>
                <w:rFonts w:ascii="宋体" w:hAnsi="宋体" w:cs="宋体"/>
                <w:sz w:val="18"/>
                <w:szCs w:val="18"/>
              </w:rPr>
            </w:pPr>
            <w:r>
              <w:rPr>
                <w:rFonts w:hint="eastAsia" w:ascii="宋体" w:hAnsi="宋体" w:cs="宋体"/>
                <w:sz w:val="18"/>
                <w:szCs w:val="18"/>
              </w:rPr>
              <w:t>24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 w:type="pct"/>
            <w:gridSpan w:val="5"/>
            <w:tcBorders>
              <w:top w:val="single" w:color="auto" w:sz="8" w:space="0"/>
              <w:bottom w:val="single" w:color="auto" w:sz="8" w:space="0"/>
            </w:tcBorders>
            <w:vAlign w:val="center"/>
          </w:tcPr>
          <w:p>
            <w:pPr>
              <w:spacing w:line="240" w:lineRule="auto"/>
              <w:ind w:firstLine="360" w:firstLineChars="200"/>
              <w:jc w:val="left"/>
              <w:rPr>
                <w:rFonts w:ascii="宋体" w:hAnsi="宋体" w:cs="宋体"/>
                <w:sz w:val="18"/>
                <w:szCs w:val="18"/>
              </w:rPr>
            </w:pPr>
            <w:r>
              <w:rPr>
                <w:rFonts w:hint="eastAsia" w:ascii="宋体" w:hAnsi="宋体" w:eastAsia="黑体" w:cs="宋体"/>
                <w:sz w:val="18"/>
                <w:szCs w:val="18"/>
              </w:rPr>
              <w:t>注：</w:t>
            </w:r>
            <w:r>
              <w:rPr>
                <w:rFonts w:hint="eastAsia" w:ascii="宋体" w:hAnsi="宋体" w:cs="宋体"/>
                <w:sz w:val="18"/>
                <w:szCs w:val="18"/>
              </w:rPr>
              <w:t>1 房屋高度指室外地坪到主要屋面板板顶的高度。</w:t>
            </w:r>
          </w:p>
          <w:p>
            <w:pPr>
              <w:spacing w:line="240" w:lineRule="auto"/>
              <w:ind w:firstLine="360" w:firstLineChars="200"/>
              <w:jc w:val="left"/>
              <w:rPr>
                <w:rFonts w:ascii="宋体" w:hAnsi="宋体" w:cs="宋体"/>
                <w:sz w:val="18"/>
                <w:szCs w:val="18"/>
              </w:rPr>
            </w:pPr>
            <w:r>
              <w:rPr>
                <w:rFonts w:hint="eastAsia" w:ascii="宋体" w:hAnsi="宋体" w:cs="宋体"/>
                <w:sz w:val="18"/>
                <w:szCs w:val="18"/>
              </w:rPr>
              <w:t xml:space="preserve">2 钢模块单元—抗侧力结构的抗侧力部分应采用钢框架-支撑、钢框架-延性墙板、混凝土框架-剪力墙、剪力墙、筒体结构。当结构的抗侧力部分为钢框架或混凝土框架结构时，建筑最大适用高度应按叠箱结构选取； </w:t>
            </w:r>
          </w:p>
          <w:p>
            <w:pPr>
              <w:spacing w:line="240" w:lineRule="auto"/>
              <w:ind w:firstLine="360" w:firstLineChars="200"/>
              <w:jc w:val="left"/>
              <w:rPr>
                <w:rFonts w:ascii="宋体" w:hAnsi="宋体" w:cs="宋体"/>
                <w:sz w:val="18"/>
                <w:szCs w:val="18"/>
              </w:rPr>
            </w:pPr>
            <w:r>
              <w:rPr>
                <w:rFonts w:hint="eastAsia" w:ascii="宋体" w:hAnsi="宋体" w:cs="宋体"/>
                <w:sz w:val="18"/>
                <w:szCs w:val="18"/>
              </w:rPr>
              <w:t xml:space="preserve">3 叠箱-底部框架结构中底部框架可采用一层或者多层框架，当上部叠箱结构的总高度不超过普通型叠箱结构的最大适用高度； </w:t>
            </w:r>
          </w:p>
          <w:p>
            <w:pPr>
              <w:spacing w:line="240" w:lineRule="auto"/>
              <w:ind w:firstLine="360" w:firstLineChars="200"/>
              <w:jc w:val="left"/>
              <w:rPr>
                <w:rFonts w:ascii="宋体" w:hAnsi="宋体" w:cs="宋体"/>
                <w:sz w:val="18"/>
                <w:szCs w:val="18"/>
              </w:rPr>
            </w:pPr>
            <w:r>
              <w:rPr>
                <w:rFonts w:hint="eastAsia" w:ascii="宋体" w:hAnsi="宋体" w:cs="宋体"/>
                <w:sz w:val="18"/>
                <w:szCs w:val="18"/>
              </w:rPr>
              <w:t>4 超过表内最大适用高度的建筑，应进行专门研究和论证。</w:t>
            </w:r>
          </w:p>
        </w:tc>
      </w:tr>
    </w:tbl>
    <w:p>
      <w:pPr>
        <w:pStyle w:val="46"/>
        <w:rPr>
          <w:rFonts w:cs="宋体"/>
          <w:szCs w:val="21"/>
        </w:rPr>
      </w:pPr>
      <w:r>
        <w:rPr>
          <w:rFonts w:hint="eastAsia" w:cs="宋体"/>
          <w:szCs w:val="21"/>
        </w:rPr>
        <w:t>钢结构装配式住宅</w:t>
      </w:r>
      <w:r>
        <w:rPr>
          <w:rFonts w:hint="eastAsia"/>
          <w:szCs w:val="21"/>
        </w:rPr>
        <w:t>的抗震等级及抗震措施应分别符合GB 50223和GB 55002的有关规定，</w:t>
      </w:r>
      <w:r>
        <w:rPr>
          <w:rFonts w:hint="eastAsia" w:cs="宋体"/>
          <w:szCs w:val="21"/>
        </w:rPr>
        <w:t>并应符合相应的计算和构造措施要求。</w:t>
      </w:r>
    </w:p>
    <w:p>
      <w:pPr>
        <w:pStyle w:val="46"/>
        <w:rPr>
          <w:rFonts w:cs="宋体"/>
          <w:szCs w:val="21"/>
        </w:rPr>
      </w:pPr>
      <w:r>
        <w:rPr>
          <w:rFonts w:hint="eastAsia" w:cs="宋体"/>
          <w:szCs w:val="21"/>
          <w:lang w:bidi="ar"/>
        </w:rPr>
        <w:t>钢结构装配式住宅建筑可采用减震或隔震技术措施，应符合GB/T 50011、GB/T 51408及JGJ 297的规定。</w:t>
      </w:r>
    </w:p>
    <w:p>
      <w:pPr>
        <w:pStyle w:val="46"/>
      </w:pPr>
      <w:r>
        <w:rPr>
          <w:rFonts w:hint="eastAsia"/>
        </w:rPr>
        <w:t>本规程所列范围之外的创新结构体系应进行专项论证，并按照</w:t>
      </w:r>
      <w:r>
        <w:rPr>
          <w:rFonts w:hint="eastAsia" w:cs="宋体"/>
          <w:szCs w:val="21"/>
          <w:lang w:bidi="ar"/>
        </w:rPr>
        <w:t>GB/T 50011</w:t>
      </w:r>
      <w:r>
        <w:rPr>
          <w:rFonts w:hint="eastAsia"/>
        </w:rPr>
        <w:t>的规定进行罕遇地震作用下的弹塑性变形验算，同时应采取相应的抗震措施。</w:t>
      </w:r>
    </w:p>
    <w:p>
      <w:pPr>
        <w:pStyle w:val="46"/>
        <w:rPr>
          <w:szCs w:val="21"/>
        </w:rPr>
      </w:pPr>
      <w:r>
        <w:rPr>
          <w:rFonts w:hint="eastAsia"/>
          <w:szCs w:val="21"/>
        </w:rPr>
        <w:t>钢结构装配式住宅结构布置应满足下列通用性安全要求：</w:t>
      </w:r>
    </w:p>
    <w:p>
      <w:pPr>
        <w:pStyle w:val="44"/>
        <w:numPr>
          <w:ilvl w:val="0"/>
          <w:numId w:val="23"/>
        </w:numPr>
        <w:rPr>
          <w:szCs w:val="21"/>
        </w:rPr>
      </w:pPr>
      <w:r>
        <w:rPr>
          <w:rFonts w:hint="eastAsia"/>
        </w:rPr>
        <w:t>结构的竖向和水平布置应使结构具有合理的刚度和承载力分布，避免因刚度和承载力突变或结构扭转效应而形成薄弱部位；</w:t>
      </w:r>
    </w:p>
    <w:p>
      <w:pPr>
        <w:pStyle w:val="44"/>
        <w:numPr>
          <w:ilvl w:val="0"/>
          <w:numId w:val="23"/>
        </w:numPr>
        <w:rPr>
          <w:szCs w:val="21"/>
        </w:rPr>
      </w:pPr>
      <w:r>
        <w:rPr>
          <w:rFonts w:hint="eastAsia"/>
          <w:szCs w:val="21"/>
        </w:rPr>
        <w:t>抗震设计时应具有多道防线；</w:t>
      </w:r>
    </w:p>
    <w:p>
      <w:pPr>
        <w:pStyle w:val="44"/>
        <w:numPr>
          <w:ilvl w:val="0"/>
          <w:numId w:val="23"/>
        </w:numPr>
        <w:rPr>
          <w:szCs w:val="21"/>
        </w:rPr>
      </w:pPr>
      <w:r>
        <w:rPr>
          <w:rFonts w:hint="eastAsia"/>
          <w:szCs w:val="21"/>
        </w:rPr>
        <w:t>应具有明确的计算简图和合理的地震作用传递途径；</w:t>
      </w:r>
    </w:p>
    <w:p>
      <w:pPr>
        <w:pStyle w:val="44"/>
        <w:numPr>
          <w:ilvl w:val="0"/>
          <w:numId w:val="23"/>
        </w:numPr>
        <w:rPr>
          <w:szCs w:val="21"/>
        </w:rPr>
      </w:pPr>
      <w:r>
        <w:rPr>
          <w:rFonts w:hint="eastAsia"/>
          <w:szCs w:val="21"/>
        </w:rPr>
        <w:t>应具有必要的承载能力，足够的刚度，良好的变形能力和消耗地震能量的能力；</w:t>
      </w:r>
    </w:p>
    <w:p>
      <w:pPr>
        <w:pStyle w:val="44"/>
        <w:numPr>
          <w:ilvl w:val="0"/>
          <w:numId w:val="23"/>
        </w:numPr>
        <w:rPr>
          <w:szCs w:val="21"/>
        </w:rPr>
      </w:pPr>
      <w:r>
        <w:rPr>
          <w:rFonts w:hint="eastAsia"/>
          <w:szCs w:val="21"/>
        </w:rPr>
        <w:t>应避免因部分结构或构件的破坏而导致整个结构丧失承受重力荷载、风荷载和地震作用的能力；</w:t>
      </w:r>
    </w:p>
    <w:p>
      <w:pPr>
        <w:pStyle w:val="44"/>
        <w:numPr>
          <w:ilvl w:val="0"/>
          <w:numId w:val="23"/>
        </w:numPr>
        <w:rPr>
          <w:szCs w:val="21"/>
        </w:rPr>
      </w:pPr>
      <w:r>
        <w:rPr>
          <w:rFonts w:hint="eastAsia"/>
          <w:szCs w:val="21"/>
        </w:rPr>
        <w:t>对可能出现的薄弱部位，应采取有效的加强措施；</w:t>
      </w:r>
    </w:p>
    <w:p>
      <w:pPr>
        <w:pStyle w:val="44"/>
        <w:numPr>
          <w:ilvl w:val="0"/>
          <w:numId w:val="23"/>
        </w:numPr>
        <w:rPr>
          <w:szCs w:val="21"/>
        </w:rPr>
      </w:pPr>
      <w:r>
        <w:rPr>
          <w:rFonts w:hint="eastAsia"/>
          <w:szCs w:val="21"/>
        </w:rPr>
        <w:t>防屈曲约束支撑、耗能支撑等高变形构件，应布置在方便维修和更换的位置。</w:t>
      </w:r>
    </w:p>
    <w:p>
      <w:pPr>
        <w:pStyle w:val="46"/>
      </w:pPr>
      <w:r>
        <w:rPr>
          <w:rFonts w:hint="eastAsia"/>
        </w:rPr>
        <w:t>钢支撑宜满足如下布置要求，支撑与门窗洞口间的关系如图</w:t>
      </w:r>
      <w:r>
        <w:t>4</w:t>
      </w:r>
      <w:r>
        <w:rPr>
          <w:rFonts w:hint="eastAsia"/>
        </w:rPr>
        <w:t>所示：</w:t>
      </w:r>
    </w:p>
    <w:p>
      <w:pPr>
        <w:pStyle w:val="44"/>
        <w:numPr>
          <w:ilvl w:val="0"/>
          <w:numId w:val="24"/>
        </w:numPr>
      </w:pPr>
      <w:r>
        <w:rPr>
          <w:rFonts w:hint="eastAsia"/>
        </w:rPr>
        <w:t>支撑形式应结合建筑高度、抗震等级、洞口等因素进行选择；</w:t>
      </w:r>
    </w:p>
    <w:p>
      <w:pPr>
        <w:pStyle w:val="44"/>
        <w:numPr>
          <w:ilvl w:val="0"/>
          <w:numId w:val="24"/>
        </w:numPr>
      </w:pPr>
      <w:r>
        <w:rPr>
          <w:rFonts w:hint="eastAsia"/>
        </w:rPr>
        <w:t>支撑宜布置在楼梯间、分户墙、山墙及公共区域隔墙；</w:t>
      </w:r>
    </w:p>
    <w:p>
      <w:pPr>
        <w:pStyle w:val="44"/>
        <w:numPr>
          <w:ilvl w:val="0"/>
          <w:numId w:val="24"/>
        </w:numPr>
      </w:pPr>
      <w:r>
        <w:rPr>
          <w:rFonts w:hint="eastAsia"/>
        </w:rPr>
        <w:t>支撑形式宜优先采用偏心支撑，当无法满足结构刚度计算要求时，中心支撑与偏心支撑也可结合使用；</w:t>
      </w:r>
    </w:p>
    <w:p>
      <w:pPr>
        <w:pStyle w:val="44"/>
        <w:numPr>
          <w:ilvl w:val="0"/>
          <w:numId w:val="24"/>
        </w:numPr>
      </w:pPr>
      <w:r>
        <w:rPr>
          <w:rFonts w:hint="eastAsia"/>
        </w:rPr>
        <w:t>建筑隔墙与支撑重合时，宜进行填充，且应满足建筑隔声性能要求。</w:t>
      </w:r>
    </w:p>
    <w:p>
      <w:pPr>
        <w:pStyle w:val="44"/>
        <w:numPr>
          <w:ilvl w:val="0"/>
          <w:numId w:val="0"/>
        </w:numPr>
        <w:jc w:val="center"/>
      </w:pPr>
      <w:r>
        <w:rPr>
          <w:rFonts w:hint="eastAsia"/>
        </w:rPr>
        <w:drawing>
          <wp:inline distT="0" distB="0" distL="114300" distR="114300">
            <wp:extent cx="4915535" cy="1120775"/>
            <wp:effectExtent l="0" t="0" r="18415" b="0"/>
            <wp:docPr id="34" name="图片 34" descr="绘图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34" descr="绘图1"/>
                    <pic:cNvPicPr>
                      <a:picLocks noChangeAspect="true"/>
                    </pic:cNvPicPr>
                  </pic:nvPicPr>
                  <pic:blipFill>
                    <a:blip r:embed="rId25"/>
                    <a:srcRect l="3386" t="7597" r="3349" b="79730"/>
                    <a:stretch>
                      <a:fillRect/>
                    </a:stretch>
                  </pic:blipFill>
                  <pic:spPr>
                    <a:xfrm>
                      <a:off x="0" y="0"/>
                      <a:ext cx="4915535" cy="1120775"/>
                    </a:xfrm>
                    <a:prstGeom prst="rect">
                      <a:avLst/>
                    </a:prstGeom>
                  </pic:spPr>
                </pic:pic>
              </a:graphicData>
            </a:graphic>
          </wp:inline>
        </w:drawing>
      </w:r>
    </w:p>
    <w:p>
      <w:pPr>
        <w:pStyle w:val="44"/>
        <w:numPr>
          <w:ilvl w:val="0"/>
          <w:numId w:val="0"/>
        </w:numPr>
        <w:jc w:val="center"/>
        <w:rPr>
          <w:color w:val="auto"/>
          <w:sz w:val="18"/>
          <w:szCs w:val="18"/>
        </w:rPr>
      </w:pPr>
      <w:r>
        <w:rPr>
          <w:rFonts w:hint="eastAsia" w:ascii="黑体" w:hAnsi="Times New Roman" w:eastAsia="黑体"/>
          <w:color w:val="auto"/>
          <w:sz w:val="18"/>
          <w:szCs w:val="18"/>
        </w:rPr>
        <w:t>（</w:t>
      </w:r>
      <w:r>
        <w:rPr>
          <w:rFonts w:hint="eastAsia" w:ascii="黑体" w:eastAsia="黑体"/>
          <w:color w:val="auto"/>
          <w:sz w:val="18"/>
          <w:szCs w:val="18"/>
        </w:rPr>
        <w:t>a</w:t>
      </w:r>
      <w:r>
        <w:rPr>
          <w:rFonts w:hint="eastAsia" w:ascii="黑体" w:hAnsi="Times New Roman" w:eastAsia="黑体"/>
          <w:color w:val="auto"/>
          <w:sz w:val="18"/>
          <w:szCs w:val="18"/>
        </w:rPr>
        <w:t>）</w:t>
      </w:r>
      <w:r>
        <w:rPr>
          <w:rFonts w:hint="eastAsia" w:ascii="黑体" w:eastAsia="黑体"/>
          <w:color w:val="auto"/>
          <w:sz w:val="18"/>
          <w:szCs w:val="18"/>
        </w:rPr>
        <w:t>中心支撑与门窗洞口间的关系</w:t>
      </w:r>
    </w:p>
    <w:p>
      <w:pPr>
        <w:pStyle w:val="44"/>
        <w:numPr>
          <w:ilvl w:val="0"/>
          <w:numId w:val="0"/>
        </w:numPr>
        <w:jc w:val="center"/>
        <w:rPr>
          <w:sz w:val="15"/>
          <w:szCs w:val="15"/>
        </w:rPr>
      </w:pPr>
      <w:r>
        <w:rPr>
          <w:rFonts w:hint="eastAsia"/>
          <w:sz w:val="15"/>
          <w:szCs w:val="15"/>
        </w:rPr>
        <w:drawing>
          <wp:inline distT="0" distB="0" distL="114300" distR="114300">
            <wp:extent cx="4869815" cy="1377315"/>
            <wp:effectExtent l="0" t="0" r="6985" b="13335"/>
            <wp:docPr id="35" name="图片 35" descr="绘图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35" descr="绘图1"/>
                    <pic:cNvPicPr>
                      <a:picLocks noChangeAspect="true"/>
                    </pic:cNvPicPr>
                  </pic:nvPicPr>
                  <pic:blipFill>
                    <a:blip r:embed="rId25"/>
                    <a:srcRect l="4289" t="27644" r="3313" b="56782"/>
                    <a:stretch>
                      <a:fillRect/>
                    </a:stretch>
                  </pic:blipFill>
                  <pic:spPr>
                    <a:xfrm>
                      <a:off x="0" y="0"/>
                      <a:ext cx="4869815" cy="1377315"/>
                    </a:xfrm>
                    <a:prstGeom prst="rect">
                      <a:avLst/>
                    </a:prstGeom>
                  </pic:spPr>
                </pic:pic>
              </a:graphicData>
            </a:graphic>
          </wp:inline>
        </w:drawing>
      </w:r>
    </w:p>
    <w:p>
      <w:pPr>
        <w:pStyle w:val="44"/>
        <w:numPr>
          <w:ilvl w:val="0"/>
          <w:numId w:val="0"/>
        </w:numPr>
        <w:jc w:val="center"/>
        <w:rPr>
          <w:rFonts w:ascii="黑体" w:eastAsia="黑体"/>
          <w:color w:val="auto"/>
          <w:sz w:val="18"/>
          <w:szCs w:val="18"/>
        </w:rPr>
      </w:pPr>
      <w:r>
        <w:rPr>
          <w:rFonts w:hint="eastAsia" w:ascii="黑体" w:hAnsi="Times New Roman" w:eastAsia="黑体"/>
          <w:color w:val="auto"/>
          <w:sz w:val="18"/>
          <w:szCs w:val="18"/>
        </w:rPr>
        <w:t>（</w:t>
      </w:r>
      <w:r>
        <w:rPr>
          <w:rFonts w:hint="eastAsia" w:ascii="黑体" w:eastAsia="黑体"/>
          <w:color w:val="auto"/>
          <w:sz w:val="18"/>
          <w:szCs w:val="18"/>
        </w:rPr>
        <w:t>b</w:t>
      </w:r>
      <w:r>
        <w:rPr>
          <w:rFonts w:hint="eastAsia" w:ascii="黑体" w:hAnsi="Times New Roman" w:eastAsia="黑体"/>
          <w:color w:val="auto"/>
          <w:sz w:val="18"/>
          <w:szCs w:val="18"/>
        </w:rPr>
        <w:t>）</w:t>
      </w:r>
      <w:r>
        <w:rPr>
          <w:rFonts w:hint="eastAsia" w:ascii="黑体" w:eastAsia="黑体"/>
          <w:color w:val="auto"/>
          <w:sz w:val="18"/>
          <w:szCs w:val="18"/>
        </w:rPr>
        <w:t>偏心支撑与门窗洞口间的关系</w:t>
      </w:r>
    </w:p>
    <w:p>
      <w:pPr>
        <w:pStyle w:val="55"/>
        <w:spacing w:before="156" w:after="156"/>
      </w:pPr>
      <w:r>
        <w:rPr>
          <w:rFonts w:hint="eastAsia"/>
        </w:rPr>
        <w:t>支撑与门窗洞口间的关系</w:t>
      </w:r>
    </w:p>
    <w:p>
      <w:pPr>
        <w:pStyle w:val="46"/>
      </w:pPr>
      <w:r>
        <w:rPr>
          <w:rFonts w:hint="eastAsia"/>
        </w:rPr>
        <w:t>钢板剪力墙宜满足如下布置要求：</w:t>
      </w:r>
    </w:p>
    <w:p>
      <w:pPr>
        <w:pStyle w:val="44"/>
        <w:numPr>
          <w:ilvl w:val="0"/>
          <w:numId w:val="25"/>
        </w:numPr>
      </w:pPr>
      <w:r>
        <w:rPr>
          <w:rFonts w:hint="eastAsia"/>
        </w:rPr>
        <w:t>钢板剪力墙的平面布置要兼顾建筑功能，优先布置在建筑外墙、分户墙、楼电梯间及其他公共区域；</w:t>
      </w:r>
    </w:p>
    <w:p>
      <w:pPr>
        <w:pStyle w:val="44"/>
        <w:numPr>
          <w:ilvl w:val="0"/>
          <w:numId w:val="25"/>
        </w:numPr>
      </w:pPr>
      <w:r>
        <w:rPr>
          <w:rFonts w:hint="eastAsia"/>
        </w:rPr>
        <w:t>钢板剪力墙的数量应使结构具有足够的侧向刚度，满足结构在地震作用及风荷载作用下侧向变形要求；</w:t>
      </w:r>
    </w:p>
    <w:p>
      <w:pPr>
        <w:pStyle w:val="44"/>
        <w:numPr>
          <w:ilvl w:val="0"/>
          <w:numId w:val="25"/>
        </w:numPr>
      </w:pPr>
      <w:r>
        <w:rPr>
          <w:rFonts w:hint="eastAsia"/>
        </w:rPr>
        <w:t>钢板剪力墙的平面布置应使结构在平面上刚度分布均匀，减小扭转效应；</w:t>
      </w:r>
    </w:p>
    <w:p>
      <w:pPr>
        <w:pStyle w:val="44"/>
        <w:numPr>
          <w:ilvl w:val="0"/>
          <w:numId w:val="25"/>
        </w:numPr>
      </w:pPr>
      <w:r>
        <w:rPr>
          <w:rFonts w:hint="eastAsia"/>
        </w:rPr>
        <w:t>钢板剪力墙的厚度可进行分段变化，上部楼层薄，下部楼层厚；</w:t>
      </w:r>
    </w:p>
    <w:p>
      <w:pPr>
        <w:pStyle w:val="44"/>
        <w:numPr>
          <w:ilvl w:val="0"/>
          <w:numId w:val="25"/>
        </w:numPr>
      </w:pPr>
      <w:r>
        <w:rPr>
          <w:rFonts w:hint="eastAsia"/>
        </w:rPr>
        <w:t>钢板剪力墙宜采用两边连接防屈曲钢板剪力墙；</w:t>
      </w:r>
    </w:p>
    <w:p>
      <w:pPr>
        <w:pStyle w:val="44"/>
        <w:numPr>
          <w:ilvl w:val="0"/>
          <w:numId w:val="25"/>
        </w:numPr>
      </w:pPr>
      <w:r>
        <w:rPr>
          <w:rFonts w:hint="eastAsia"/>
        </w:rPr>
        <w:t>当与钢板剪力墙相连的建筑外围钢梁高度过高时，可采用上反钢梁做法。</w:t>
      </w:r>
    </w:p>
    <w:p>
      <w:pPr>
        <w:pStyle w:val="42"/>
        <w:spacing w:beforeLines="0" w:afterLines="0"/>
      </w:pPr>
      <w:bookmarkStart w:id="164" w:name="_Toc241506541"/>
      <w:r>
        <w:rPr>
          <w:rFonts w:hint="eastAsia"/>
        </w:rPr>
        <w:t>结构分析</w:t>
      </w:r>
      <w:bookmarkEnd w:id="164"/>
    </w:p>
    <w:p>
      <w:pPr>
        <w:pStyle w:val="46"/>
        <w:rPr>
          <w:szCs w:val="21"/>
        </w:rPr>
      </w:pPr>
      <w:r>
        <w:rPr>
          <w:rFonts w:hint="eastAsia"/>
          <w:szCs w:val="21"/>
        </w:rPr>
        <w:t>钢结构装配式住宅结构内力分析及承载力和变形验算时，计算原则、计算假定、计算模型和计算方法等应与结构实际受力、变形的机制相符合，并满足现行国家标准规范的有关规定。</w:t>
      </w:r>
    </w:p>
    <w:p>
      <w:pPr>
        <w:pStyle w:val="46"/>
        <w:rPr>
          <w:szCs w:val="21"/>
        </w:rPr>
      </w:pPr>
      <w:r>
        <w:rPr>
          <w:rFonts w:hint="eastAsia"/>
          <w:szCs w:val="21"/>
        </w:rPr>
        <w:t>在竖向荷载、风荷载以及多遇地震作用下，高层民用建筑钢结构的内力和变形可采用弹性方法计算：罕遇地震作用下，高层民用建筑钢结构的弹塑性变形可采用弹塑性时程分析法或静力弹塑性分析法计算。</w:t>
      </w:r>
    </w:p>
    <w:p>
      <w:pPr>
        <w:pStyle w:val="46"/>
        <w:rPr>
          <w:szCs w:val="21"/>
        </w:rPr>
      </w:pPr>
      <w:r>
        <w:rPr>
          <w:rFonts w:hint="eastAsia"/>
          <w:szCs w:val="21"/>
        </w:rPr>
        <w:t>结构弹性分析时，宜考虑现浇混凝土板对钢梁的刚度提高。对钢梁两侧或一侧有混凝土板时，可将钢梁的截面惯性矩分别乘以1.5或1.2的增大系数，</w:t>
      </w:r>
      <w:r>
        <w:rPr>
          <w:rFonts w:hint="eastAsia" w:cs="宋体"/>
          <w:szCs w:val="21"/>
          <w:lang w:bidi="ar"/>
        </w:rPr>
        <w:t>但应保证钢梁与楼板可靠连接。</w:t>
      </w:r>
      <w:r>
        <w:rPr>
          <w:rFonts w:hint="eastAsia"/>
          <w:szCs w:val="21"/>
        </w:rPr>
        <w:t>结构弹塑性分析时，不考虑此增大系数。</w:t>
      </w:r>
    </w:p>
    <w:p>
      <w:pPr>
        <w:pStyle w:val="46"/>
        <w:rPr>
          <w:szCs w:val="21"/>
        </w:rPr>
      </w:pPr>
      <w:r>
        <w:rPr>
          <w:rFonts w:hint="eastAsia"/>
          <w:szCs w:val="21"/>
        </w:rPr>
        <w:t>钢结构装配式住宅结构的阻尼比宜符合下列规定：</w:t>
      </w:r>
    </w:p>
    <w:p>
      <w:pPr>
        <w:pStyle w:val="44"/>
        <w:numPr>
          <w:ilvl w:val="0"/>
          <w:numId w:val="26"/>
        </w:numPr>
        <w:rPr>
          <w:szCs w:val="21"/>
        </w:rPr>
      </w:pPr>
      <w:r>
        <w:rPr>
          <w:rFonts w:hint="eastAsia"/>
          <w:szCs w:val="21"/>
        </w:rPr>
        <w:t>当计算风载需考虑风振影响时，计算风振系数采用的结构阻尼比宜根据下列情况确定：纯钢结构，用填充墙，取</w:t>
      </w:r>
      <m:oMath>
        <m:r>
          <m:rPr>
            <m:sty m:val="p"/>
          </m:rPr>
          <w:rPr>
            <w:rFonts w:ascii="Cambria Math" w:hAnsi="Cambria Math"/>
            <w:szCs w:val="21"/>
          </w:rPr>
          <m:t>ξ</m:t>
        </m:r>
      </m:oMath>
      <w:r>
        <w:rPr>
          <w:rFonts w:hint="eastAsia"/>
          <w:szCs w:val="21"/>
        </w:rPr>
        <w:t>=0.02；纯钢结构，采用外挂墙板，取</w:t>
      </w:r>
      <m:oMath>
        <m:r>
          <m:rPr>
            <m:sty m:val="p"/>
          </m:rPr>
          <w:rPr>
            <w:rFonts w:ascii="Cambria Math" w:hAnsi="Cambria Math"/>
            <w:szCs w:val="21"/>
          </w:rPr>
          <m:t>ξ</m:t>
        </m:r>
      </m:oMath>
      <w:r>
        <w:rPr>
          <w:rFonts w:hint="eastAsia"/>
          <w:szCs w:val="21"/>
        </w:rPr>
        <w:t>=0.03；钢-混凝土混合结构，采用填充墙，取</w:t>
      </w:r>
      <m:oMath>
        <m:r>
          <m:rPr>
            <m:sty m:val="p"/>
          </m:rPr>
          <w:rPr>
            <w:rFonts w:ascii="Cambria Math" w:hAnsi="Cambria Math"/>
            <w:szCs w:val="21"/>
          </w:rPr>
          <m:t>ξ</m:t>
        </m:r>
      </m:oMath>
      <w:r>
        <w:rPr>
          <w:rFonts w:hint="eastAsia"/>
          <w:szCs w:val="21"/>
        </w:rPr>
        <w:t>=0.04；钢-混凝土混合结构，采用外挂墙板，取</w:t>
      </w:r>
      <m:oMath>
        <m:r>
          <m:rPr>
            <m:sty m:val="p"/>
          </m:rPr>
          <w:rPr>
            <w:rFonts w:ascii="Cambria Math" w:hAnsi="Cambria Math"/>
            <w:szCs w:val="21"/>
          </w:rPr>
          <m:t>ξ</m:t>
        </m:r>
      </m:oMath>
      <w:r>
        <w:rPr>
          <w:rFonts w:hint="eastAsia"/>
          <w:szCs w:val="21"/>
        </w:rPr>
        <w:t>=0.05；</w:t>
      </w:r>
    </w:p>
    <w:p>
      <w:pPr>
        <w:pStyle w:val="44"/>
        <w:numPr>
          <w:ilvl w:val="0"/>
          <w:numId w:val="26"/>
        </w:numPr>
        <w:rPr>
          <w:szCs w:val="21"/>
        </w:rPr>
      </w:pPr>
      <w:r>
        <w:rPr>
          <w:rFonts w:hint="eastAsia"/>
          <w:szCs w:val="21"/>
        </w:rPr>
        <w:t>计算多遇地震作用时，纯钢结构，采用填充墙，高度不大于50m时取</w:t>
      </w:r>
      <m:oMath>
        <m:r>
          <m:rPr>
            <m:sty m:val="p"/>
          </m:rPr>
          <w:rPr>
            <w:rFonts w:ascii="Cambria Math" w:hAnsi="Cambria Math"/>
            <w:szCs w:val="21"/>
          </w:rPr>
          <m:t>ξ</m:t>
        </m:r>
      </m:oMath>
      <w:r>
        <w:rPr>
          <w:rFonts w:hint="eastAsia"/>
          <w:szCs w:val="21"/>
        </w:rPr>
        <w:t>=0.03,高度大于50m时取</w:t>
      </w:r>
      <m:oMath>
        <m:r>
          <m:rPr>
            <m:sty m:val="p"/>
          </m:rPr>
          <w:rPr>
            <w:rFonts w:ascii="Cambria Math" w:hAnsi="Cambria Math"/>
            <w:szCs w:val="21"/>
          </w:rPr>
          <m:t>ξ</m:t>
        </m:r>
      </m:oMath>
      <w:r>
        <w:rPr>
          <w:rFonts w:hint="eastAsia"/>
          <w:szCs w:val="21"/>
        </w:rPr>
        <w:t>=0.025；纯钢结构，采用外挂墙板，高度不大于50m时取</w:t>
      </w:r>
      <m:oMath>
        <m:r>
          <m:rPr>
            <m:sty m:val="p"/>
          </m:rPr>
          <w:rPr>
            <w:rFonts w:ascii="Cambria Math" w:hAnsi="Cambria Math"/>
            <w:szCs w:val="21"/>
          </w:rPr>
          <m:t>ξ</m:t>
        </m:r>
      </m:oMath>
      <w:r>
        <w:rPr>
          <w:rFonts w:hint="eastAsia"/>
          <w:szCs w:val="21"/>
        </w:rPr>
        <w:t>=0.04,高度大于50m时取=0.035；钢—混凝土混合结构，采用填充墙，高度不大于50m时取</w:t>
      </w:r>
      <m:oMath>
        <m:r>
          <m:rPr>
            <m:sty m:val="p"/>
          </m:rPr>
          <w:rPr>
            <w:rFonts w:ascii="Cambria Math" w:hAnsi="Cambria Math"/>
            <w:szCs w:val="21"/>
          </w:rPr>
          <m:t>ξ</m:t>
        </m:r>
      </m:oMath>
      <w:r>
        <w:rPr>
          <w:rFonts w:hint="eastAsia"/>
          <w:szCs w:val="21"/>
        </w:rPr>
        <w:t>=0.045,高度大于50m时取</w:t>
      </w:r>
      <m:oMath>
        <m:r>
          <m:rPr>
            <m:sty m:val="p"/>
          </m:rPr>
          <w:rPr>
            <w:rFonts w:ascii="Cambria Math" w:hAnsi="Cambria Math"/>
            <w:szCs w:val="21"/>
          </w:rPr>
          <m:t>ξ</m:t>
        </m:r>
      </m:oMath>
      <w:r>
        <w:rPr>
          <w:rFonts w:hint="eastAsia"/>
          <w:szCs w:val="21"/>
        </w:rPr>
        <w:t>=0.04；钢—混凝土混合结构，采用外挂墙板，高度不大于50m时取</w:t>
      </w:r>
      <m:oMath>
        <m:r>
          <m:rPr>
            <m:sty m:val="p"/>
          </m:rPr>
          <w:rPr>
            <w:rFonts w:ascii="Cambria Math" w:hAnsi="Cambria Math"/>
            <w:szCs w:val="21"/>
          </w:rPr>
          <m:t>ξ</m:t>
        </m:r>
      </m:oMath>
      <w:r>
        <w:rPr>
          <w:rFonts w:hint="eastAsia"/>
          <w:szCs w:val="21"/>
        </w:rPr>
        <w:t>=0.05,高度大于50m时取</w:t>
      </w:r>
      <m:oMath>
        <m:r>
          <m:rPr>
            <m:sty m:val="p"/>
          </m:rPr>
          <w:rPr>
            <w:rFonts w:ascii="Cambria Math" w:hAnsi="Cambria Math"/>
            <w:szCs w:val="21"/>
          </w:rPr>
          <m:t>ξ</m:t>
        </m:r>
      </m:oMath>
      <w:r>
        <w:rPr>
          <w:rFonts w:hint="eastAsia"/>
          <w:szCs w:val="21"/>
        </w:rPr>
        <w:t>=0.045；</w:t>
      </w:r>
    </w:p>
    <w:p>
      <w:pPr>
        <w:pStyle w:val="44"/>
        <w:numPr>
          <w:ilvl w:val="0"/>
          <w:numId w:val="26"/>
        </w:numPr>
        <w:rPr>
          <w:szCs w:val="21"/>
        </w:rPr>
      </w:pPr>
      <w:r>
        <w:rPr>
          <w:rFonts w:hint="eastAsia"/>
          <w:szCs w:val="21"/>
        </w:rPr>
        <w:t>计算罕遇地震作用时，结构阻尼比均取</w:t>
      </w:r>
      <m:oMath>
        <m:r>
          <m:rPr>
            <m:sty m:val="p"/>
          </m:rPr>
          <w:rPr>
            <w:rFonts w:ascii="Cambria Math" w:hAnsi="Cambria Math"/>
            <w:szCs w:val="21"/>
          </w:rPr>
          <m:t>ξ</m:t>
        </m:r>
      </m:oMath>
      <w:r>
        <w:rPr>
          <w:rFonts w:hint="eastAsia"/>
          <w:szCs w:val="21"/>
        </w:rPr>
        <w:t>=0.05。</w:t>
      </w:r>
    </w:p>
    <w:p>
      <w:pPr>
        <w:pStyle w:val="46"/>
        <w:rPr>
          <w:szCs w:val="21"/>
        </w:rPr>
      </w:pPr>
      <w:r>
        <w:rPr>
          <w:rFonts w:hint="eastAsia"/>
          <w:szCs w:val="21"/>
        </w:rPr>
        <w:t>钢结构装配式住宅结构应具有足够的整体稳定性，</w:t>
      </w:r>
      <w:r>
        <w:rPr>
          <w:rFonts w:hint="eastAsia" w:cs="Times New Roman"/>
          <w:szCs w:val="21"/>
        </w:rPr>
        <w:t>高层住宅的整体稳定性应符合JGJ 99和JGJ 3的有关规定。</w:t>
      </w:r>
    </w:p>
    <w:p>
      <w:pPr>
        <w:pStyle w:val="46"/>
        <w:rPr>
          <w:szCs w:val="21"/>
        </w:rPr>
      </w:pPr>
      <w:r>
        <w:rPr>
          <w:rFonts w:hint="eastAsia" w:cs="宋体"/>
          <w:szCs w:val="21"/>
          <w:lang w:bidi="ar"/>
        </w:rPr>
        <w:t>对体型复杂或结构布置复杂且房屋高度超过 100m的结构，宜采用至少两个不同力学模型的结构分析软件进行整体计算。对结构分析软件的分析结果，应进行分析判断，确认其合理、有效后方可作为工程设计的依据。</w:t>
      </w:r>
    </w:p>
    <w:p>
      <w:pPr>
        <w:pStyle w:val="46"/>
        <w:rPr>
          <w:szCs w:val="21"/>
        </w:rPr>
      </w:pPr>
      <w:r>
        <w:rPr>
          <w:rFonts w:hint="eastAsia"/>
          <w:szCs w:val="21"/>
        </w:rPr>
        <w:t>装配式钢结构住宅应进行施工过程模拟分析，按实际安装顺序逐层加载，考虑临时支撑的作用和拆除顺序对结构内力和变形的影响，并对</w:t>
      </w:r>
      <w:r>
        <w:rPr>
          <w:rFonts w:hint="eastAsia"/>
        </w:rPr>
        <w:t>临时支撑的承载力、稳定性和拆除时机进行验算。</w:t>
      </w:r>
    </w:p>
    <w:p>
      <w:pPr>
        <w:pStyle w:val="42"/>
        <w:spacing w:beforeLines="0" w:afterLines="0"/>
      </w:pPr>
      <w:bookmarkStart w:id="165" w:name="_Toc241506542"/>
      <w:r>
        <w:rPr>
          <w:rFonts w:hAnsi="宋体" w:cs="黑体"/>
          <w:color w:val="000000"/>
          <w:szCs w:val="21"/>
          <w:lang w:bidi="ar"/>
        </w:rPr>
        <w:t>部（构）件设计</w:t>
      </w:r>
      <w:bookmarkEnd w:id="165"/>
    </w:p>
    <w:p>
      <w:pPr>
        <w:pStyle w:val="46"/>
        <w:rPr>
          <w:rFonts w:cs="宋体"/>
          <w:szCs w:val="21"/>
        </w:rPr>
      </w:pPr>
      <w:r>
        <w:rPr>
          <w:rFonts w:hint="eastAsia" w:cs="宋体"/>
          <w:szCs w:val="21"/>
        </w:rPr>
        <w:t>钢结构住宅结构构件的截面形式与尺寸选择应满足结构安全性、适用性、经济性，同时应与构件生产、运输、施工安装相互协调，宜采用标准化和规格化的成品型材，并应符合下列规定：</w:t>
      </w:r>
    </w:p>
    <w:p>
      <w:pPr>
        <w:pStyle w:val="61"/>
        <w:numPr>
          <w:ilvl w:val="0"/>
          <w:numId w:val="27"/>
        </w:numPr>
        <w:ind w:left="850" w:hanging="425"/>
        <w:rPr>
          <w:rFonts w:hAnsi="宋体" w:cs="宋体"/>
          <w:szCs w:val="21"/>
        </w:rPr>
      </w:pPr>
      <w:r>
        <w:rPr>
          <w:rFonts w:hint="eastAsia" w:hAnsi="宋体" w:cs="宋体"/>
          <w:szCs w:val="21"/>
        </w:rPr>
        <w:t>柱宜采用方（矩）形钢管柱、H型钢截面柱、焊接箱形截面柱或由方形钢管、H型钢、T型钢截面、C型钢截面通过焊接形成的组合截面异形柱；采用空心型材时宜灌实。柱</w:t>
      </w:r>
      <w:r>
        <w:rPr>
          <w:rFonts w:hint="eastAsia" w:hAnsi="宋体" w:cs="宋体"/>
          <w:color w:val="000000"/>
          <w:szCs w:val="21"/>
          <w:lang w:bidi="ar"/>
        </w:rPr>
        <w:t>选用箱形截面构件，可采用冷成型方（矩）钢管柱及焊接箱形截面柱；冷成型方（矩）管应选用符合JG/T 178 中I级产品的规定；当柱钢板壁厚大于20mm 时，宜选用四块板组焊的箱形截面；</w:t>
      </w:r>
    </w:p>
    <w:p>
      <w:pPr>
        <w:pStyle w:val="61"/>
        <w:numPr>
          <w:ilvl w:val="0"/>
          <w:numId w:val="27"/>
        </w:numPr>
        <w:ind w:left="850" w:hanging="425"/>
        <w:rPr>
          <w:rFonts w:hAnsi="宋体" w:cs="宋体"/>
          <w:szCs w:val="21"/>
        </w:rPr>
      </w:pPr>
      <w:r>
        <w:rPr>
          <w:rFonts w:hint="eastAsia" w:hAnsi="宋体" w:cs="宋体"/>
          <w:szCs w:val="21"/>
        </w:rPr>
        <w:t>梁宜选用</w:t>
      </w:r>
      <w:r>
        <w:rPr>
          <w:rFonts w:hint="eastAsia" w:hAnsi="宋体" w:cs="宋体"/>
          <w:szCs w:val="21"/>
          <w:lang w:bidi="ar"/>
        </w:rPr>
        <w:t>热轧H型钢或焊接H形截面构件；</w:t>
      </w:r>
    </w:p>
    <w:p>
      <w:pPr>
        <w:pStyle w:val="61"/>
        <w:numPr>
          <w:ilvl w:val="0"/>
          <w:numId w:val="27"/>
        </w:numPr>
        <w:ind w:left="850" w:hanging="425"/>
      </w:pPr>
      <w:r>
        <w:rPr>
          <w:rFonts w:hint="eastAsia" w:hAnsi="宋体" w:cs="宋体"/>
          <w:szCs w:val="21"/>
        </w:rPr>
        <w:t>支撑宜选用H型钢或方（矩）形、圆形钢管，耗能支撑应符合JGJ 297的有关规定；</w:t>
      </w:r>
    </w:p>
    <w:p>
      <w:pPr>
        <w:pStyle w:val="61"/>
        <w:numPr>
          <w:ilvl w:val="0"/>
          <w:numId w:val="27"/>
        </w:numPr>
        <w:ind w:left="850" w:hanging="425"/>
      </w:pPr>
      <w:r>
        <w:rPr>
          <w:rFonts w:hint="eastAsia" w:hAnsi="宋体" w:cs="宋体"/>
          <w:szCs w:val="21"/>
        </w:rPr>
        <w:t>钢板组合剪力墙、钢板剪力墙应符合JGJ 138、JGJ/T 380的有关规定。</w:t>
      </w:r>
    </w:p>
    <w:p>
      <w:pPr>
        <w:pStyle w:val="46"/>
      </w:pPr>
      <w:r>
        <w:rPr>
          <w:rFonts w:hint="eastAsia"/>
        </w:rPr>
        <w:t>构件设计与建筑模数的协调要求应满足下列规定：</w:t>
      </w:r>
    </w:p>
    <w:p>
      <w:pPr>
        <w:pStyle w:val="44"/>
        <w:numPr>
          <w:ilvl w:val="0"/>
          <w:numId w:val="28"/>
        </w:numPr>
      </w:pPr>
      <w:r>
        <w:rPr>
          <w:rFonts w:hint="eastAsia"/>
        </w:rPr>
        <w:t>结构构件应按建筑模数网格的要求，建立结构构件定位网格，确定安装基准面</w:t>
      </w:r>
      <w:r>
        <w:rPr>
          <w:rFonts w:hint="eastAsia" w:cs="宋体"/>
          <w:szCs w:val="21"/>
        </w:rPr>
        <w:t>；</w:t>
      </w:r>
    </w:p>
    <w:p>
      <w:pPr>
        <w:pStyle w:val="44"/>
        <w:numPr>
          <w:ilvl w:val="0"/>
          <w:numId w:val="28"/>
        </w:numPr>
      </w:pPr>
      <w:r>
        <w:rPr>
          <w:rFonts w:hint="eastAsia"/>
        </w:rPr>
        <w:t>应确定结构构件截面的优选尺寸系列，建立结构分模数体系，构件的高、宽模数宜为10，20，25，40和50，并为基准模数M的一倍，为整数；钢构件厚度模数可取2，3，4，5，并为基准模数M的1/m倍，m为整数；构件长度宜为基准模数M的整数倍，或与m分模数的整数倍的和。</w:t>
      </w:r>
    </w:p>
    <w:p>
      <w:pPr>
        <w:pStyle w:val="46"/>
      </w:pPr>
      <w:r>
        <w:rPr>
          <w:rFonts w:hint="eastAsia"/>
        </w:rPr>
        <w:t>框架柱选型应符合下列要求：</w:t>
      </w:r>
    </w:p>
    <w:p>
      <w:pPr>
        <w:pStyle w:val="44"/>
        <w:numPr>
          <w:ilvl w:val="0"/>
          <w:numId w:val="29"/>
        </w:numPr>
      </w:pPr>
      <w:r>
        <w:rPr>
          <w:rFonts w:hint="eastAsia"/>
        </w:rPr>
        <w:t>框架柱截面应结合建筑平面和结构受力分析，优先选择标准型材；当选用钢管截面时，可在钢管截面内灌注混凝土，提高结构刚度，改善钢柱的防火和隔声性能</w:t>
      </w:r>
      <w:r>
        <w:rPr>
          <w:rFonts w:hint="eastAsia" w:cs="宋体"/>
          <w:szCs w:val="21"/>
        </w:rPr>
        <w:t>；</w:t>
      </w:r>
    </w:p>
    <w:p>
      <w:pPr>
        <w:pStyle w:val="44"/>
        <w:numPr>
          <w:ilvl w:val="0"/>
          <w:numId w:val="29"/>
        </w:numPr>
      </w:pPr>
      <w:r>
        <w:rPr>
          <w:rFonts w:hint="eastAsia"/>
        </w:rPr>
        <w:t>框架柱截面规格一般不超过三种，根据受力需要改变壁厚，当外围柱沿竖向截面尺寸变化时，宜保持柱外轮廓尺寸不变</w:t>
      </w:r>
      <w:r>
        <w:rPr>
          <w:rFonts w:hint="eastAsia" w:cs="宋体"/>
          <w:szCs w:val="21"/>
        </w:rPr>
        <w:t>；</w:t>
      </w:r>
    </w:p>
    <w:p>
      <w:pPr>
        <w:pStyle w:val="44"/>
        <w:numPr>
          <w:ilvl w:val="0"/>
          <w:numId w:val="29"/>
        </w:numPr>
      </w:pPr>
      <w:r>
        <w:rPr>
          <w:rFonts w:hint="eastAsia"/>
        </w:rPr>
        <w:t>中高层或高层住宅中，为有效解决钢柱突出墙面的问题，可根据建筑使用功能选用组合异形柱，包括方形钢管组合异形柱、方形钢管+T型钢组合异形柱、方形钢管+C型钢组合异形柱、H型钢组合异形柱和H型钢+T型钢组合异形柱</w:t>
      </w:r>
      <w:r>
        <w:rPr>
          <w:rFonts w:hint="eastAsia" w:cs="宋体"/>
          <w:szCs w:val="21"/>
        </w:rPr>
        <w:t>；</w:t>
      </w:r>
    </w:p>
    <w:p>
      <w:pPr>
        <w:pStyle w:val="44"/>
        <w:numPr>
          <w:ilvl w:val="0"/>
          <w:numId w:val="29"/>
        </w:numPr>
      </w:pPr>
      <w:r>
        <w:rPr>
          <w:rFonts w:hint="eastAsia"/>
        </w:rPr>
        <w:t>组合异形柱截面的分肢厚度的常用取值包括150mm、175mm、200mm和250mm。同一个组合异形柱中，H型钢截面高度、方形钢管截面高度、C型钢截面高度、T型钢截面宽度应保持一致</w:t>
      </w:r>
      <w:r>
        <w:rPr>
          <w:rFonts w:hint="eastAsia" w:cs="宋体"/>
          <w:szCs w:val="21"/>
        </w:rPr>
        <w:t>；</w:t>
      </w:r>
    </w:p>
    <w:p>
      <w:pPr>
        <w:pStyle w:val="44"/>
        <w:numPr>
          <w:ilvl w:val="0"/>
          <w:numId w:val="29"/>
        </w:numPr>
      </w:pPr>
      <w:r>
        <w:rPr>
          <w:rFonts w:hint="eastAsia"/>
        </w:rPr>
        <w:t>框架柱截面钢板厚度不宜小于5mm。当使用环境为腐蚀、潮湿等不利环境时，其钢板厚度及防腐做法需满足国家相关规范要求。</w:t>
      </w:r>
    </w:p>
    <w:p>
      <w:pPr>
        <w:pStyle w:val="46"/>
      </w:pPr>
      <w:r>
        <w:rPr>
          <w:rFonts w:hint="eastAsia"/>
        </w:rPr>
        <w:t>框架梁选型应符合下列要求：</w:t>
      </w:r>
    </w:p>
    <w:p>
      <w:pPr>
        <w:pStyle w:val="44"/>
        <w:numPr>
          <w:ilvl w:val="0"/>
          <w:numId w:val="30"/>
        </w:numPr>
      </w:pPr>
      <w:r>
        <w:rPr>
          <w:rFonts w:hint="eastAsia"/>
        </w:rPr>
        <w:t>梁截面尺寸应结合建筑功能要求和结构受力分析确定，宜选用热轧型钢截面，当热轧型钢不满足要求时选用焊接型钢。截面规格不宜过多，保证构件标准化程度</w:t>
      </w:r>
      <w:r>
        <w:rPr>
          <w:rFonts w:hint="eastAsia" w:cs="宋体"/>
          <w:szCs w:val="21"/>
        </w:rPr>
        <w:t>；</w:t>
      </w:r>
    </w:p>
    <w:p>
      <w:pPr>
        <w:pStyle w:val="44"/>
        <w:numPr>
          <w:ilvl w:val="0"/>
          <w:numId w:val="30"/>
        </w:numPr>
      </w:pPr>
      <w:r>
        <w:rPr>
          <w:rFonts w:hint="eastAsia"/>
        </w:rPr>
        <w:t>连续梁截面不统一时，优先调整翼缘厚度，当正交方向梁高不一致时，高差不宜小于150mm</w:t>
      </w:r>
      <w:r>
        <w:rPr>
          <w:rFonts w:hint="eastAsia" w:cs="宋体"/>
          <w:szCs w:val="21"/>
        </w:rPr>
        <w:t>；</w:t>
      </w:r>
    </w:p>
    <w:p>
      <w:pPr>
        <w:pStyle w:val="44"/>
        <w:numPr>
          <w:ilvl w:val="0"/>
          <w:numId w:val="30"/>
        </w:numPr>
      </w:pPr>
      <w:r>
        <w:rPr>
          <w:rFonts w:hint="eastAsia"/>
        </w:rPr>
        <w:t>选用钢梁截面宽度一般不大于墙厚，需考虑涂装防火涂料厚度对室内空间的影响</w:t>
      </w:r>
      <w:r>
        <w:rPr>
          <w:rFonts w:hint="eastAsia" w:cs="宋体"/>
          <w:szCs w:val="21"/>
        </w:rPr>
        <w:t>；</w:t>
      </w:r>
    </w:p>
    <w:p>
      <w:pPr>
        <w:pStyle w:val="44"/>
        <w:numPr>
          <w:ilvl w:val="0"/>
          <w:numId w:val="30"/>
        </w:numPr>
      </w:pPr>
      <w:r>
        <w:rPr>
          <w:rFonts w:hint="eastAsia"/>
        </w:rPr>
        <w:t>当采用外挂墙板，内侧无楼板时，钢梁宜选用箱型截面梁。</w:t>
      </w:r>
    </w:p>
    <w:p>
      <w:pPr>
        <w:pStyle w:val="46"/>
      </w:pPr>
      <w:r>
        <w:rPr>
          <w:rFonts w:hint="eastAsia"/>
        </w:rPr>
        <w:t>抗侧力构件选型应符合下列要求：</w:t>
      </w:r>
    </w:p>
    <w:p>
      <w:pPr>
        <w:pStyle w:val="44"/>
        <w:numPr>
          <w:ilvl w:val="0"/>
          <w:numId w:val="31"/>
        </w:numPr>
      </w:pPr>
      <w:r>
        <w:rPr>
          <w:rFonts w:hint="eastAsia"/>
        </w:rPr>
        <w:t>抗侧力构件需结合建筑高度、地震设防烈度、建筑洞口、经济性等因素进行合理选择；</w:t>
      </w:r>
    </w:p>
    <w:p>
      <w:pPr>
        <w:pStyle w:val="44"/>
        <w:numPr>
          <w:ilvl w:val="0"/>
          <w:numId w:val="31"/>
        </w:numPr>
      </w:pPr>
      <w:r>
        <w:rPr>
          <w:rFonts w:hint="eastAsia"/>
        </w:rPr>
        <w:t>支撑截面尺寸应结合建筑功能要求和结构受力分析综合确定，宜选用型钢截面</w:t>
      </w:r>
      <w:r>
        <w:rPr>
          <w:rFonts w:hint="eastAsia" w:cs="宋体"/>
          <w:szCs w:val="21"/>
        </w:rPr>
        <w:t>；</w:t>
      </w:r>
    </w:p>
    <w:p>
      <w:pPr>
        <w:pStyle w:val="44"/>
        <w:numPr>
          <w:ilvl w:val="0"/>
          <w:numId w:val="31"/>
        </w:numPr>
      </w:pPr>
      <w:r>
        <w:rPr>
          <w:rFonts w:hint="eastAsia"/>
        </w:rPr>
        <w:t>支撑的耐火等级同结构柱，当支撑处设置外围护系统时，应注意支撑喷涂防火保护层后的宽度不宜大于墙体厚度。</w:t>
      </w:r>
    </w:p>
    <w:p>
      <w:pPr>
        <w:pStyle w:val="46"/>
      </w:pPr>
      <w:r>
        <w:rPr>
          <w:rFonts w:hint="eastAsia"/>
        </w:rPr>
        <w:t>钢柱、钢支撑的长细比，钢梁、钢柱和钢支撑的板件宽厚比应符合国家现行相关标准的规定，并满足构造要求。</w:t>
      </w:r>
    </w:p>
    <w:p>
      <w:pPr>
        <w:pStyle w:val="46"/>
      </w:pPr>
      <w:r>
        <w:rPr>
          <w:rFonts w:hint="eastAsia"/>
        </w:rPr>
        <w:t>除位于地下的结构构件外，其它结构构件不宜采用现场人工浇筑的型钢混凝土部（构）件。当采用钢管混凝土柱时，设计应采取保证混凝土浇筑密实的措施。</w:t>
      </w:r>
    </w:p>
    <w:p>
      <w:pPr>
        <w:pStyle w:val="46"/>
      </w:pPr>
      <w:r>
        <w:rPr>
          <w:rFonts w:hint="eastAsia"/>
        </w:rPr>
        <w:t>楼梯可采用装配式混凝土楼梯、梁式钢楼梯以及钢梁与预制混凝土踏步板混合式楼梯，并宜进行标准化设计。预制楼梯间平台板宜采用装配整体式楼板且厚度不宜小于120mm，预制梯段板厚不应小于120mm，楼梯宜与主体结构柔性连接，不宜参与整体受力。</w:t>
      </w:r>
    </w:p>
    <w:p>
      <w:pPr>
        <w:pStyle w:val="46"/>
      </w:pPr>
      <w:r>
        <w:rPr>
          <w:rFonts w:hint="eastAsia"/>
        </w:rPr>
        <w:t>阳台板、空调板宜采用叠合构件或预制构件。预制构件应与主体结构可靠连接；叠合构件的负弯矩钢筋应在相邻叠合板的后浇混凝土中可靠锚固。</w:t>
      </w:r>
    </w:p>
    <w:p>
      <w:pPr>
        <w:pStyle w:val="46"/>
      </w:pPr>
      <w:r>
        <w:rPr>
          <w:rFonts w:hint="eastAsia"/>
        </w:rPr>
        <w:t>应根据加工、运输、存放、吊装、安装、连接及混凝土浇捣等方面的要求，合理确定部（构）件的分块范围与构件的分段长度。</w:t>
      </w:r>
    </w:p>
    <w:p>
      <w:pPr>
        <w:pStyle w:val="46"/>
      </w:pPr>
      <w:r>
        <w:rPr>
          <w:rFonts w:hint="eastAsia"/>
        </w:rPr>
        <w:t>部（构）件应进行吊装、运输和堆放阶段的承载力和变形验算，动力系数取1.5。</w:t>
      </w:r>
    </w:p>
    <w:p>
      <w:pPr>
        <w:pStyle w:val="42"/>
        <w:spacing w:beforeLines="0" w:afterLines="0"/>
      </w:pPr>
      <w:bookmarkStart w:id="166" w:name="_Toc241506543"/>
      <w:r>
        <w:rPr>
          <w:rFonts w:hint="eastAsia"/>
        </w:rPr>
        <w:t>节点与连接设计</w:t>
      </w:r>
      <w:bookmarkEnd w:id="166"/>
    </w:p>
    <w:p>
      <w:pPr>
        <w:pStyle w:val="46"/>
      </w:pPr>
      <w:r>
        <w:rPr>
          <w:rFonts w:hint="eastAsia"/>
        </w:rPr>
        <w:t>节点设计应符合下列要求：</w:t>
      </w:r>
    </w:p>
    <w:p>
      <w:pPr>
        <w:pStyle w:val="44"/>
        <w:numPr>
          <w:ilvl w:val="0"/>
          <w:numId w:val="32"/>
        </w:numPr>
      </w:pPr>
      <w:r>
        <w:rPr>
          <w:rFonts w:hint="eastAsia"/>
        </w:rPr>
        <w:t>节点设计应根据建筑与设备的要求、住宅结构的受力特点、荷载情况和工作环境等因素，选用适宜的节点形式，应做到安全可靠、传力直接、节约材料、方便建造和标准化；</w:t>
      </w:r>
    </w:p>
    <w:p>
      <w:pPr>
        <w:pStyle w:val="44"/>
        <w:numPr>
          <w:ilvl w:val="0"/>
          <w:numId w:val="32"/>
        </w:numPr>
      </w:pPr>
      <w:r>
        <w:rPr>
          <w:rFonts w:hint="eastAsia"/>
        </w:rPr>
        <w:t>节点设计应满足承载力极限状态要求，防止节点因强度破坏、局部失稳、变形过大、连接开裂等引起节点失效。并应具有必要的延性，避免产生应力集中和过大的焊接约束应力；对复杂节点与新型节点，应进行节点壳单元或实体单元有限元分析，以验算节点的承载力及节点的刚度是否满足要求，有条件时，应进行试验研究；</w:t>
      </w:r>
    </w:p>
    <w:p>
      <w:pPr>
        <w:pStyle w:val="44"/>
        <w:numPr>
          <w:ilvl w:val="0"/>
          <w:numId w:val="32"/>
        </w:numPr>
      </w:pPr>
      <w:r>
        <w:rPr>
          <w:rFonts w:hint="eastAsia"/>
        </w:rPr>
        <w:t>节点设计除按弹性方法进行节点域及连接极限承载力等计算外，尚应按结构进入弹塑性阶段进行节点区梁端、柱端全塑性承载力与节点域屈服承载力的验算；</w:t>
      </w:r>
    </w:p>
    <w:p>
      <w:pPr>
        <w:pStyle w:val="44"/>
        <w:numPr>
          <w:ilvl w:val="0"/>
          <w:numId w:val="32"/>
        </w:numPr>
      </w:pPr>
      <w:r>
        <w:rPr>
          <w:rFonts w:hint="eastAsia"/>
        </w:rPr>
        <w:t>当钢管（方矩形管）与钢梁连接时，应进行局部管壁应力验算，节点的强度、刚度、连接的承载力应不低于连接于节点上各个构件的屈服承载能力，强柱弱梁等验算尚应符合现行相关规范的规定；</w:t>
      </w:r>
    </w:p>
    <w:p>
      <w:pPr>
        <w:pStyle w:val="44"/>
        <w:numPr>
          <w:ilvl w:val="0"/>
          <w:numId w:val="32"/>
        </w:numPr>
      </w:pPr>
      <w:r>
        <w:rPr>
          <w:rFonts w:hint="eastAsia" w:cs="宋体"/>
          <w:color w:val="000000"/>
          <w:szCs w:val="21"/>
          <w:lang w:bidi="ar"/>
        </w:rPr>
        <w:t>梁、柱、支撑等杆件的拼接节点，应按与构件等强度设计其构造，并进行极限承载力验算；</w:t>
      </w:r>
    </w:p>
    <w:p>
      <w:pPr>
        <w:pStyle w:val="44"/>
        <w:numPr>
          <w:ilvl w:val="0"/>
          <w:numId w:val="32"/>
        </w:numPr>
      </w:pPr>
      <w:r>
        <w:rPr>
          <w:rFonts w:hint="eastAsia"/>
        </w:rPr>
        <w:t>节点抗震设计应按</w:t>
      </w:r>
      <w:r>
        <w:rPr>
          <w:rFonts w:hint="eastAsia" w:cs="宋体"/>
          <w:color w:val="auto"/>
          <w:szCs w:val="21"/>
          <w:lang w:bidi="ar"/>
        </w:rPr>
        <w:t>GB/T 50011</w:t>
      </w:r>
      <w:r>
        <w:rPr>
          <w:rFonts w:hint="eastAsia"/>
        </w:rPr>
        <w:t>及JGJ 99进行设计；</w:t>
      </w:r>
    </w:p>
    <w:p>
      <w:pPr>
        <w:pStyle w:val="44"/>
        <w:numPr>
          <w:ilvl w:val="0"/>
          <w:numId w:val="32"/>
        </w:numPr>
      </w:pPr>
      <w:r>
        <w:rPr>
          <w:rFonts w:hint="eastAsia"/>
        </w:rPr>
        <w:t>节点构造应便于制作、运输、安装与维护，并采取可靠的防腐蚀与防火措施。</w:t>
      </w:r>
    </w:p>
    <w:p>
      <w:pPr>
        <w:pStyle w:val="46"/>
      </w:pPr>
      <w:r>
        <w:rPr>
          <w:rFonts w:hint="eastAsia"/>
        </w:rPr>
        <w:t>钢结构装配式住宅节点设计的模数协调应满足下列要求：</w:t>
      </w:r>
    </w:p>
    <w:p>
      <w:pPr>
        <w:pStyle w:val="44"/>
        <w:numPr>
          <w:ilvl w:val="0"/>
          <w:numId w:val="33"/>
        </w:numPr>
      </w:pPr>
      <w:r>
        <w:rPr>
          <w:rFonts w:hint="eastAsia"/>
        </w:rPr>
        <w:t>钢构件节点应满足建筑和结构模数协调的要求，减少、优化节点连接的种类和尺寸、构造；</w:t>
      </w:r>
    </w:p>
    <w:p>
      <w:pPr>
        <w:pStyle w:val="44"/>
        <w:numPr>
          <w:ilvl w:val="0"/>
          <w:numId w:val="33"/>
        </w:numPr>
      </w:pPr>
      <w:r>
        <w:rPr>
          <w:rFonts w:hint="eastAsia"/>
        </w:rPr>
        <w:t>节点连接形式的选取应以提高工厂化、标准化水平为原则，尽量减少现场的焊接工作量；</w:t>
      </w:r>
    </w:p>
    <w:p>
      <w:pPr>
        <w:pStyle w:val="44"/>
        <w:numPr>
          <w:ilvl w:val="0"/>
          <w:numId w:val="33"/>
        </w:numPr>
      </w:pPr>
      <w:r>
        <w:rPr>
          <w:rFonts w:hint="eastAsia"/>
        </w:rPr>
        <w:t>节点连接件的尺寸、孔洞的位置和尺寸应与结构分模数体系协调，并形成规格化的尺寸系列。在结构构件进行调整时，能方便地确定与之匹配的节点连接；</w:t>
      </w:r>
    </w:p>
    <w:p>
      <w:pPr>
        <w:pStyle w:val="44"/>
        <w:numPr>
          <w:ilvl w:val="0"/>
          <w:numId w:val="33"/>
        </w:numPr>
      </w:pPr>
      <w:r>
        <w:rPr>
          <w:rFonts w:hint="eastAsia"/>
        </w:rPr>
        <w:t>构件的节点连接应与建筑部件的安装配合，不应因节点连接形式和尺寸、构造的变化影响建筑部件的安装。</w:t>
      </w:r>
    </w:p>
    <w:p>
      <w:pPr>
        <w:pStyle w:val="46"/>
      </w:pPr>
      <w:r>
        <w:rPr>
          <w:rFonts w:hint="eastAsia"/>
        </w:rPr>
        <w:t>由于建筑净高要求，当采取管线穿梁方案时，钢梁腹板可开洞范围见图</w:t>
      </w:r>
      <w:r>
        <w:t>5</w:t>
      </w:r>
      <w:r>
        <w:rPr>
          <w:rFonts w:hint="eastAsia"/>
        </w:rPr>
        <w:t>所示。腹板圆形孔直径</w:t>
      </w:r>
      <m:oMath>
        <m:r>
          <m:rPr>
            <m:sty m:val="p"/>
          </m:rPr>
          <w:rPr>
            <w:rFonts w:ascii="Cambria Math" w:hAnsi="Cambria Math"/>
          </w:rPr>
          <m:t>≤1/3</m:t>
        </m:r>
      </m:oMath>
      <w:r>
        <w:rPr>
          <w:rFonts w:hint="eastAsia"/>
        </w:rPr>
        <w:t>梁高</w:t>
      </w:r>
      <m:oMath>
        <m:sSub>
          <m:sSubPr>
            <m:ctrlPr>
              <w:rPr>
                <w:rFonts w:ascii="Cambria Math" w:hAnsi="Cambria Math"/>
                <w:i/>
              </w:rPr>
            </m:ctrlPr>
          </m:sSubPr>
          <m:e>
            <m:r>
              <m:rPr/>
              <w:rPr>
                <w:rFonts w:ascii="Cambria Math" w:hAnsi="Cambria Math"/>
              </w:rPr>
              <m:t>ℎ</m:t>
            </m:r>
            <m:ctrlPr>
              <w:rPr>
                <w:rFonts w:ascii="Cambria Math" w:hAnsi="Cambria Math"/>
                <w:i/>
              </w:rPr>
            </m:ctrlPr>
          </m:e>
          <m:sub>
            <m:r>
              <m:rPr/>
              <w:rPr>
                <w:rFonts w:ascii="Cambria Math" w:hAnsi="Cambria Math"/>
              </w:rPr>
              <m:t>b</m:t>
            </m:r>
            <m:ctrlPr>
              <w:rPr>
                <w:rFonts w:ascii="Cambria Math" w:hAnsi="Cambria Math"/>
                <w:i/>
              </w:rPr>
            </m:ctrlPr>
          </m:sub>
        </m:sSub>
      </m:oMath>
      <w:r>
        <w:rPr>
          <w:rFonts w:hint="eastAsia"/>
        </w:rPr>
        <w:t>时，可不予补强；腹板圆形孔直径</w:t>
      </w:r>
      <m:oMath>
        <m:r>
          <m:rPr>
            <m:sty m:val="p"/>
          </m:rPr>
          <w:rPr>
            <w:rFonts w:hint="eastAsia" w:ascii="Cambria Math" w:hAnsi="Cambria Math" w:cs="Times New Roman"/>
          </w:rPr>
          <m:t>&gt;1/3</m:t>
        </m:r>
      </m:oMath>
      <w:r>
        <w:rPr>
          <w:rFonts w:hint="eastAsia"/>
        </w:rPr>
        <w:t>梁高</w:t>
      </w:r>
      <m:oMath>
        <m:sSub>
          <m:sSubPr>
            <m:ctrlPr>
              <w:rPr>
                <w:rFonts w:ascii="Cambria Math" w:hAnsi="Cambria Math"/>
                <w:i/>
              </w:rPr>
            </m:ctrlPr>
          </m:sSubPr>
          <m:e>
            <m:r>
              <m:rPr/>
              <w:rPr>
                <w:rFonts w:ascii="Cambria Math" w:hAnsi="Cambria Math"/>
              </w:rPr>
              <m:t>ℎ</m:t>
            </m:r>
            <m:ctrlPr>
              <w:rPr>
                <w:rFonts w:ascii="Cambria Math" w:hAnsi="Cambria Math"/>
                <w:i/>
              </w:rPr>
            </m:ctrlPr>
          </m:e>
          <m:sub>
            <m:r>
              <m:rPr/>
              <w:rPr>
                <w:rFonts w:ascii="Cambria Math" w:hAnsi="Cambria Math"/>
              </w:rPr>
              <m:t>b</m:t>
            </m:r>
            <m:ctrlPr>
              <w:rPr>
                <w:rFonts w:ascii="Cambria Math" w:hAnsi="Cambria Math"/>
                <w:i/>
              </w:rPr>
            </m:ctrlPr>
          </m:sub>
        </m:sSub>
      </m:oMath>
      <w:r>
        <w:rPr>
          <w:rFonts w:hint="eastAsia"/>
        </w:rPr>
        <w:t>且</w:t>
      </w:r>
      <m:oMath>
        <m:r>
          <m:rPr>
            <m:sty m:val="p"/>
          </m:rPr>
          <w:rPr>
            <w:rFonts w:hint="eastAsia" w:ascii="Cambria Math" w:hAnsi="Cambria Math" w:cs="Times New Roman"/>
          </w:rPr>
          <m:t>≤1/2</m:t>
        </m:r>
      </m:oMath>
      <w:r>
        <w:rPr>
          <w:rFonts w:hint="eastAsia"/>
        </w:rPr>
        <w:t>梁高</w:t>
      </w:r>
      <m:oMath>
        <m:sSub>
          <m:sSubPr>
            <m:ctrlPr>
              <w:rPr>
                <w:rFonts w:ascii="Cambria Math" w:hAnsi="Cambria Math"/>
                <w:i/>
              </w:rPr>
            </m:ctrlPr>
          </m:sSubPr>
          <m:e>
            <m:r>
              <m:rPr/>
              <w:rPr>
                <w:rFonts w:ascii="Cambria Math" w:hAnsi="Cambria Math"/>
              </w:rPr>
              <m:t>ℎ</m:t>
            </m:r>
            <m:ctrlPr>
              <w:rPr>
                <w:rFonts w:ascii="Cambria Math" w:hAnsi="Cambria Math"/>
                <w:i/>
              </w:rPr>
            </m:ctrlPr>
          </m:e>
          <m:sub>
            <m:r>
              <m:rPr/>
              <w:rPr>
                <w:rFonts w:ascii="Cambria Math" w:hAnsi="Cambria Math"/>
              </w:rPr>
              <m:t>b</m:t>
            </m:r>
            <m:ctrlPr>
              <w:rPr>
                <w:rFonts w:ascii="Cambria Math" w:hAnsi="Cambria Math"/>
                <w:i/>
              </w:rPr>
            </m:ctrlPr>
          </m:sub>
        </m:sSub>
      </m:oMath>
      <w:r>
        <w:rPr>
          <w:rFonts w:hint="eastAsia"/>
        </w:rPr>
        <w:t>时应予以补强，且应在工厂进行，常用开洞做法见图</w:t>
      </w:r>
      <w:r>
        <w:t>6</w:t>
      </w:r>
      <w:r>
        <w:rPr>
          <w:rFonts w:hint="eastAsia"/>
        </w:rPr>
        <w:t>。如需现场开洞，应由设计进行确认，并按要求进行补强同时做好施工临时支撑，现场开洞宜采用等离子切割或磁力钻方式。</w:t>
      </w:r>
    </w:p>
    <w:p>
      <w:pPr>
        <w:pStyle w:val="46"/>
        <w:numPr>
          <w:ilvl w:val="3"/>
          <w:numId w:val="0"/>
        </w:numPr>
        <w:jc w:val="center"/>
        <w:rPr>
          <w:b/>
          <w:bCs/>
        </w:rPr>
      </w:pPr>
      <w:r>
        <w:rPr>
          <w:rFonts w:hint="eastAsia"/>
          <w:b/>
          <w:bCs/>
        </w:rPr>
        <w:drawing>
          <wp:inline distT="0" distB="0" distL="114300" distR="114300">
            <wp:extent cx="5269230" cy="1631315"/>
            <wp:effectExtent l="0" t="0" r="0" b="6985"/>
            <wp:docPr id="36" name="图片 36" descr="绘图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36" descr="绘图5"/>
                    <pic:cNvPicPr>
                      <a:picLocks noChangeAspect="true"/>
                    </pic:cNvPicPr>
                  </pic:nvPicPr>
                  <pic:blipFill>
                    <a:blip r:embed="rId26"/>
                    <a:srcRect t="2450" b="74065"/>
                    <a:stretch>
                      <a:fillRect/>
                    </a:stretch>
                  </pic:blipFill>
                  <pic:spPr>
                    <a:xfrm>
                      <a:off x="0" y="0"/>
                      <a:ext cx="5269230" cy="1631315"/>
                    </a:xfrm>
                    <a:prstGeom prst="rect">
                      <a:avLst/>
                    </a:prstGeom>
                  </pic:spPr>
                </pic:pic>
              </a:graphicData>
            </a:graphic>
          </wp:inline>
        </w:drawing>
      </w:r>
    </w:p>
    <w:p>
      <w:pPr>
        <w:pStyle w:val="55"/>
        <w:spacing w:before="156" w:after="156"/>
      </w:pPr>
      <w:r>
        <w:rPr>
          <w:rFonts w:hint="eastAsia"/>
        </w:rPr>
        <w:t>钢梁开洞范围示意图</w:t>
      </w:r>
    </w:p>
    <w:p>
      <w:pPr>
        <w:pStyle w:val="44"/>
        <w:numPr>
          <w:ilvl w:val="0"/>
          <w:numId w:val="0"/>
        </w:numPr>
        <w:jc w:val="center"/>
      </w:pPr>
      <w:r>
        <w:rPr>
          <w:rFonts w:hint="eastAsia"/>
        </w:rPr>
        <w:drawing>
          <wp:inline distT="0" distB="0" distL="114300" distR="114300">
            <wp:extent cx="5269230" cy="1520190"/>
            <wp:effectExtent l="0" t="0" r="0" b="3810"/>
            <wp:docPr id="37" name="图片 37" descr="绘图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37" descr="绘图5"/>
                    <pic:cNvPicPr>
                      <a:picLocks noChangeAspect="true"/>
                    </pic:cNvPicPr>
                  </pic:nvPicPr>
                  <pic:blipFill>
                    <a:blip r:embed="rId26"/>
                    <a:srcRect t="31136" b="46979"/>
                    <a:stretch>
                      <a:fillRect/>
                    </a:stretch>
                  </pic:blipFill>
                  <pic:spPr>
                    <a:xfrm>
                      <a:off x="0" y="0"/>
                      <a:ext cx="5269230" cy="1520190"/>
                    </a:xfrm>
                    <a:prstGeom prst="rect">
                      <a:avLst/>
                    </a:prstGeom>
                  </pic:spPr>
                </pic:pic>
              </a:graphicData>
            </a:graphic>
          </wp:inline>
        </w:drawing>
      </w:r>
    </w:p>
    <w:p>
      <w:pPr>
        <w:pStyle w:val="44"/>
        <w:numPr>
          <w:ilvl w:val="0"/>
          <w:numId w:val="0"/>
        </w:numPr>
        <w:jc w:val="center"/>
        <w:rPr>
          <w:color w:val="auto"/>
          <w:sz w:val="18"/>
          <w:szCs w:val="18"/>
        </w:rPr>
      </w:pPr>
      <w:r>
        <w:rPr>
          <w:rFonts w:hint="eastAsia" w:ascii="黑体" w:eastAsia="黑体"/>
          <w:color w:val="auto"/>
          <w:sz w:val="18"/>
          <w:szCs w:val="18"/>
        </w:rPr>
        <w:t>（a）圆形孔环形板补强做法（一）</w:t>
      </w:r>
    </w:p>
    <w:p>
      <w:pPr>
        <w:pStyle w:val="46"/>
        <w:numPr>
          <w:ilvl w:val="3"/>
          <w:numId w:val="0"/>
        </w:numPr>
        <w:jc w:val="center"/>
      </w:pPr>
      <w:r>
        <w:rPr>
          <w:rFonts w:hint="eastAsia"/>
        </w:rPr>
        <w:drawing>
          <wp:inline distT="0" distB="0" distL="114300" distR="114300">
            <wp:extent cx="5269230" cy="1467485"/>
            <wp:effectExtent l="0" t="0" r="0" b="18415"/>
            <wp:docPr id="38" name="图片 38" descr="绘图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绘图5"/>
                    <pic:cNvPicPr>
                      <a:picLocks noChangeAspect="true"/>
                    </pic:cNvPicPr>
                  </pic:nvPicPr>
                  <pic:blipFill>
                    <a:blip r:embed="rId26"/>
                    <a:srcRect t="55023" b="23850"/>
                    <a:stretch>
                      <a:fillRect/>
                    </a:stretch>
                  </pic:blipFill>
                  <pic:spPr>
                    <a:xfrm>
                      <a:off x="0" y="0"/>
                      <a:ext cx="5269230" cy="1467485"/>
                    </a:xfrm>
                    <a:prstGeom prst="rect">
                      <a:avLst/>
                    </a:prstGeom>
                  </pic:spPr>
                </pic:pic>
              </a:graphicData>
            </a:graphic>
          </wp:inline>
        </w:drawing>
      </w:r>
    </w:p>
    <w:p>
      <w:pPr>
        <w:pStyle w:val="46"/>
        <w:numPr>
          <w:ilvl w:val="3"/>
          <w:numId w:val="0"/>
        </w:numPr>
        <w:jc w:val="center"/>
        <w:rPr>
          <w:sz w:val="18"/>
          <w:szCs w:val="18"/>
        </w:rPr>
      </w:pPr>
      <w:r>
        <w:rPr>
          <w:rFonts w:hint="eastAsia" w:ascii="黑体" w:eastAsia="黑体" w:cs="Times New Roman"/>
          <w:sz w:val="18"/>
          <w:szCs w:val="18"/>
        </w:rPr>
        <w:t>（b）圆形孔套管补强做法（二）</w:t>
      </w:r>
    </w:p>
    <w:p>
      <w:pPr>
        <w:pStyle w:val="46"/>
        <w:numPr>
          <w:ilvl w:val="3"/>
          <w:numId w:val="0"/>
        </w:numPr>
        <w:jc w:val="center"/>
      </w:pPr>
      <w:r>
        <w:rPr>
          <w:rFonts w:hint="eastAsia"/>
        </w:rPr>
        <w:drawing>
          <wp:inline distT="0" distB="0" distL="114300" distR="114300">
            <wp:extent cx="5269230" cy="1303020"/>
            <wp:effectExtent l="0" t="0" r="0" b="0"/>
            <wp:docPr id="39" name="图片 39" descr="绘图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descr="绘图5"/>
                    <pic:cNvPicPr>
                      <a:picLocks noChangeAspect="true"/>
                    </pic:cNvPicPr>
                  </pic:nvPicPr>
                  <pic:blipFill>
                    <a:blip r:embed="rId26"/>
                    <a:srcRect t="79267" b="1975"/>
                    <a:stretch>
                      <a:fillRect/>
                    </a:stretch>
                  </pic:blipFill>
                  <pic:spPr>
                    <a:xfrm>
                      <a:off x="0" y="0"/>
                      <a:ext cx="5269230" cy="1303020"/>
                    </a:xfrm>
                    <a:prstGeom prst="rect">
                      <a:avLst/>
                    </a:prstGeom>
                  </pic:spPr>
                </pic:pic>
              </a:graphicData>
            </a:graphic>
          </wp:inline>
        </w:drawing>
      </w:r>
    </w:p>
    <w:p>
      <w:pPr>
        <w:pStyle w:val="46"/>
        <w:numPr>
          <w:ilvl w:val="3"/>
          <w:numId w:val="0"/>
        </w:numPr>
        <w:jc w:val="center"/>
        <w:rPr>
          <w:sz w:val="18"/>
          <w:szCs w:val="18"/>
        </w:rPr>
      </w:pPr>
      <w:r>
        <w:rPr>
          <w:rFonts w:hint="eastAsia" w:ascii="黑体" w:eastAsia="黑体" w:cs="Times New Roman"/>
          <w:sz w:val="18"/>
          <w:szCs w:val="18"/>
        </w:rPr>
        <w:t>（b）矩形孔加劲肋补强做法（三）</w:t>
      </w:r>
    </w:p>
    <w:p>
      <w:pPr>
        <w:pStyle w:val="55"/>
        <w:spacing w:before="156" w:after="156"/>
      </w:pPr>
      <w:r>
        <w:rPr>
          <w:rFonts w:hint="eastAsia"/>
        </w:rPr>
        <w:t>钢梁腹板开洞做法</w:t>
      </w:r>
    </w:p>
    <w:p>
      <w:pPr>
        <w:pStyle w:val="46"/>
      </w:pPr>
      <w:r>
        <w:rPr>
          <w:rFonts w:hint="eastAsia"/>
        </w:rPr>
        <w:t>钢结构装配式住宅柱脚可分为刚性连接和铰接连接两种形式。当有地下室时，柱脚和地下室底板可采用铰接或刚接的形式；无地下室时，柱脚应采用刚接，但抗侧力体系采用减震钢结构体系时，也可采用铰接的形式。</w:t>
      </w:r>
    </w:p>
    <w:p>
      <w:pPr>
        <w:pStyle w:val="46"/>
      </w:pPr>
      <w:r>
        <w:rPr>
          <w:rFonts w:hint="eastAsia"/>
        </w:rPr>
        <w:t>建筑幕墙等与主体结构的连接构件宜与钢梁上翼缘或楼板连接，其梁与混凝土板之间栓钉抗剪承载力验算时，应考虑幕墙骨架相关作用力的影响；当与钢梁下翼缘或腹板连接时，应通过设置加劲板连接，梁承载力验算时，应充分考虑幕墙等相关作用（包括对梁产生的扭矩）的不利影响。</w:t>
      </w:r>
    </w:p>
    <w:p>
      <w:pPr>
        <w:pStyle w:val="42"/>
        <w:spacing w:beforeLines="0" w:afterLines="0"/>
      </w:pPr>
      <w:bookmarkStart w:id="167" w:name="_Toc241506544"/>
      <w:r>
        <w:rPr>
          <w:rFonts w:hint="eastAsia"/>
        </w:rPr>
        <w:t>楼盖与屋盖结构</w:t>
      </w:r>
      <w:bookmarkEnd w:id="167"/>
    </w:p>
    <w:p>
      <w:pPr>
        <w:pStyle w:val="46"/>
      </w:pPr>
      <w:r>
        <w:rPr>
          <w:rFonts w:hint="eastAsia"/>
        </w:rPr>
        <w:t>钢结构住宅的楼盖与屋盖结构应符合下列规定：</w:t>
      </w:r>
    </w:p>
    <w:p>
      <w:pPr>
        <w:pStyle w:val="44"/>
        <w:numPr>
          <w:ilvl w:val="0"/>
          <w:numId w:val="34"/>
        </w:numPr>
      </w:pPr>
      <w:r>
        <w:rPr>
          <w:rFonts w:hint="eastAsia"/>
        </w:rPr>
        <w:t>楼盖及屋盖结构宜选用装配程度高的整体式结构楼（屋）盖、预制装配楼（屋）盖，可采用现浇混凝土楼板及整间式楼板；</w:t>
      </w:r>
    </w:p>
    <w:p>
      <w:pPr>
        <w:pStyle w:val="44"/>
        <w:numPr>
          <w:ilvl w:val="0"/>
          <w:numId w:val="34"/>
        </w:numPr>
      </w:pPr>
      <w:r>
        <w:rPr>
          <w:rFonts w:hint="eastAsia"/>
        </w:rPr>
        <w:t>楼板和屋面板应与主体结构可靠连接；</w:t>
      </w:r>
    </w:p>
    <w:p>
      <w:pPr>
        <w:pStyle w:val="44"/>
        <w:numPr>
          <w:ilvl w:val="0"/>
          <w:numId w:val="34"/>
        </w:numPr>
      </w:pPr>
      <w:r>
        <w:rPr>
          <w:rFonts w:hint="eastAsia"/>
        </w:rPr>
        <w:t>平面复杂或开洞较大楼层的楼板，以及作为上部结构嵌固部位的地下室顶板宜采用现浇混凝土楼板或组合楼板；</w:t>
      </w:r>
    </w:p>
    <w:p>
      <w:pPr>
        <w:pStyle w:val="44"/>
        <w:numPr>
          <w:ilvl w:val="0"/>
          <w:numId w:val="34"/>
        </w:numPr>
      </w:pPr>
      <w:r>
        <w:rPr>
          <w:rFonts w:hint="eastAsia"/>
        </w:rPr>
        <w:t>房屋高度不超过50m</w:t>
      </w:r>
      <w:r>
        <w:rPr>
          <w:rFonts w:hint="eastAsia" w:cs="宋体"/>
          <w:color w:val="auto"/>
          <w:szCs w:val="21"/>
        </w:rPr>
        <w:t>且抗震设防烈度不超过7度</w:t>
      </w:r>
      <w:r>
        <w:rPr>
          <w:rFonts w:hint="eastAsia"/>
        </w:rPr>
        <w:t>时，可采用无现浇层的预制装配楼盖或轻型楼盖，但应采取有效措施保证楼盖的整体性；</w:t>
      </w:r>
    </w:p>
    <w:p>
      <w:pPr>
        <w:pStyle w:val="44"/>
        <w:numPr>
          <w:ilvl w:val="0"/>
          <w:numId w:val="34"/>
        </w:numPr>
      </w:pPr>
      <w:r>
        <w:rPr>
          <w:rFonts w:hint="eastAsia"/>
        </w:rPr>
        <w:t>楼盖和屋盖结构除满足承载能力、变形及舒适度要求外，还应满足建筑设计对于隔音的要求。</w:t>
      </w:r>
    </w:p>
    <w:p>
      <w:pPr>
        <w:pStyle w:val="46"/>
      </w:pPr>
      <w:r>
        <w:rPr>
          <w:rFonts w:hint="eastAsia"/>
        </w:rPr>
        <w:t>装配整体式楼盖（图</w:t>
      </w:r>
      <w:r>
        <w:t>7</w:t>
      </w:r>
      <w:r>
        <w:rPr>
          <w:rFonts w:hint="eastAsia"/>
        </w:rPr>
        <w:t>）可采用以下方式：</w:t>
      </w:r>
    </w:p>
    <w:p>
      <w:pPr>
        <w:pStyle w:val="44"/>
        <w:numPr>
          <w:ilvl w:val="0"/>
          <w:numId w:val="35"/>
        </w:numPr>
      </w:pPr>
      <w:r>
        <w:rPr>
          <w:rFonts w:hint="eastAsia"/>
        </w:rPr>
        <w:t>可拆式钢筋桁架楼承板，如采用板底吊顶时，可采用焊接式钢筋桁架楼承板；</w:t>
      </w:r>
    </w:p>
    <w:p>
      <w:pPr>
        <w:pStyle w:val="44"/>
        <w:numPr>
          <w:ilvl w:val="0"/>
          <w:numId w:val="35"/>
        </w:numPr>
      </w:pPr>
      <w:r>
        <w:rPr>
          <w:rFonts w:hint="eastAsia"/>
        </w:rPr>
        <w:t>混凝土（预应力）叠合楼板；</w:t>
      </w:r>
    </w:p>
    <w:p>
      <w:pPr>
        <w:pStyle w:val="44"/>
        <w:numPr>
          <w:ilvl w:val="0"/>
          <w:numId w:val="35"/>
        </w:numPr>
      </w:pPr>
      <w:r>
        <w:rPr>
          <w:rFonts w:hint="eastAsia"/>
        </w:rPr>
        <w:t>标准化工具式快拆支撑模板体系；</w:t>
      </w:r>
    </w:p>
    <w:p>
      <w:pPr>
        <w:pStyle w:val="44"/>
        <w:numPr>
          <w:ilvl w:val="0"/>
          <w:numId w:val="35"/>
        </w:numPr>
      </w:pPr>
      <w:r>
        <w:rPr>
          <w:rFonts w:hint="eastAsia"/>
        </w:rPr>
        <w:t>压型钢板组合楼板，楼板下宜进行吊顶处理，压型钢板宜采用闭口型或缩口型；不宜用在屋面及防水要求高的楼盖部位；</w:t>
      </w:r>
    </w:p>
    <w:p>
      <w:pPr>
        <w:pStyle w:val="44"/>
        <w:numPr>
          <w:ilvl w:val="0"/>
          <w:numId w:val="35"/>
        </w:numPr>
      </w:pPr>
      <w:r>
        <w:rPr>
          <w:rFonts w:hint="eastAsia"/>
        </w:rPr>
        <w:t>交叉钢桁架组合楼板（主板架）。</w:t>
      </w:r>
    </w:p>
    <w:p>
      <w:pPr>
        <w:pStyle w:val="44"/>
        <w:numPr>
          <w:ilvl w:val="0"/>
          <w:numId w:val="0"/>
        </w:numPr>
        <w:jc w:val="center"/>
      </w:pPr>
      <w:r>
        <w:drawing>
          <wp:inline distT="0" distB="0" distL="114300" distR="114300">
            <wp:extent cx="6007735" cy="1263650"/>
            <wp:effectExtent l="0" t="0" r="0" b="0"/>
            <wp:docPr id="25" name="图片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true"/>
                    </pic:cNvPicPr>
                  </pic:nvPicPr>
                  <pic:blipFill>
                    <a:blip r:embed="rId27"/>
                    <a:stretch>
                      <a:fillRect/>
                    </a:stretch>
                  </pic:blipFill>
                  <pic:spPr>
                    <a:xfrm>
                      <a:off x="0" y="0"/>
                      <a:ext cx="6025105" cy="1267260"/>
                    </a:xfrm>
                    <a:prstGeom prst="rect">
                      <a:avLst/>
                    </a:prstGeom>
                    <a:noFill/>
                    <a:ln>
                      <a:noFill/>
                    </a:ln>
                  </pic:spPr>
                </pic:pic>
              </a:graphicData>
            </a:graphic>
          </wp:inline>
        </w:drawing>
      </w:r>
    </w:p>
    <w:p>
      <w:pPr>
        <w:pStyle w:val="44"/>
        <w:numPr>
          <w:ilvl w:val="0"/>
          <w:numId w:val="0"/>
        </w:numPr>
        <w:jc w:val="center"/>
        <w:rPr>
          <w:rFonts w:ascii="黑体" w:eastAsia="黑体"/>
          <w:color w:val="auto"/>
          <w:sz w:val="18"/>
          <w:szCs w:val="18"/>
        </w:rPr>
      </w:pPr>
      <w:r>
        <w:rPr>
          <w:rFonts w:hint="eastAsia" w:ascii="黑体" w:eastAsia="黑体"/>
          <w:color w:val="auto"/>
          <w:sz w:val="18"/>
          <w:szCs w:val="18"/>
        </w:rPr>
        <w:t>（a）钢筋桁架组合楼板      （b）压型钢板组合楼板      （c）混凝土叠合楼板</w:t>
      </w:r>
    </w:p>
    <w:p>
      <w:pPr>
        <w:pStyle w:val="55"/>
        <w:spacing w:before="156" w:after="156"/>
        <w:rPr>
          <w:color w:val="auto"/>
        </w:rPr>
      </w:pPr>
      <w:r>
        <w:rPr>
          <w:rFonts w:hint="eastAsia"/>
          <w:color w:val="auto"/>
        </w:rPr>
        <w:t>装配整体式结构楼盖和屋盖类型</w:t>
      </w:r>
    </w:p>
    <w:p>
      <w:pPr>
        <w:pStyle w:val="46"/>
      </w:pPr>
      <w:r>
        <w:rPr>
          <w:rFonts w:hint="eastAsia"/>
        </w:rPr>
        <w:t>预制装配楼盖或轻型楼盖可采用以下方式：</w:t>
      </w:r>
    </w:p>
    <w:p>
      <w:pPr>
        <w:pStyle w:val="44"/>
        <w:numPr>
          <w:ilvl w:val="0"/>
          <w:numId w:val="36"/>
        </w:numPr>
      </w:pPr>
      <w:r>
        <w:rPr>
          <w:rFonts w:hint="eastAsia"/>
        </w:rPr>
        <w:t>混凝土预制板、预应力混凝土预制板和预制混凝土空心楼板；</w:t>
      </w:r>
    </w:p>
    <w:p>
      <w:pPr>
        <w:pStyle w:val="44"/>
        <w:numPr>
          <w:ilvl w:val="0"/>
          <w:numId w:val="36"/>
        </w:numPr>
      </w:pPr>
      <w:r>
        <w:rPr>
          <w:rFonts w:hint="eastAsia"/>
        </w:rPr>
        <w:t>蒸压加气轻质混凝土板、陶粒混凝土板等轻质混凝土预制板；</w:t>
      </w:r>
    </w:p>
    <w:p>
      <w:pPr>
        <w:pStyle w:val="44"/>
        <w:numPr>
          <w:ilvl w:val="0"/>
          <w:numId w:val="36"/>
        </w:numPr>
      </w:pPr>
      <w:r>
        <w:rPr>
          <w:rFonts w:hint="eastAsia"/>
        </w:rPr>
        <w:t>轻钢骨架、交叉钢桁架与定向刨花板、水泥纤维板等防火板材组成的轻质楼盖；</w:t>
      </w:r>
    </w:p>
    <w:p>
      <w:pPr>
        <w:pStyle w:val="44"/>
        <w:numPr>
          <w:ilvl w:val="0"/>
          <w:numId w:val="36"/>
        </w:numPr>
      </w:pPr>
      <w:r>
        <w:rPr>
          <w:rFonts w:hint="eastAsia"/>
        </w:rPr>
        <w:t>其它具有防火性能的轻质楼盖。</w:t>
      </w:r>
    </w:p>
    <w:p>
      <w:pPr>
        <w:pStyle w:val="46"/>
      </w:pPr>
      <w:r>
        <w:rPr>
          <w:rFonts w:hint="eastAsia"/>
        </w:rPr>
        <w:t>施工阶段未设置可靠支撑的现浇混凝土组合楼板、混凝土叠合板，应进行施工阶段设计，按荷载标准组合计算。包括钢筋桁架弦杆和腹杆的承载力、受压的弦杆和腹杆稳定性、钢筋桁架与底板连接点的承载力以及钢筋桁架楼承板的挠度。</w:t>
      </w:r>
    </w:p>
    <w:p>
      <w:pPr>
        <w:pStyle w:val="46"/>
      </w:pPr>
      <w:r>
        <w:rPr>
          <w:rFonts w:hint="eastAsia"/>
        </w:rPr>
        <w:t>现浇混凝土组合楼板、</w:t>
      </w:r>
      <w:r>
        <w:rPr>
          <w:rFonts w:hint="eastAsia" w:cs="宋体"/>
          <w:szCs w:val="21"/>
          <w:lang w:bidi="ar"/>
        </w:rPr>
        <w:t>钢筋桁架混凝土叠合板</w:t>
      </w:r>
      <w:r>
        <w:rPr>
          <w:rFonts w:hint="eastAsia"/>
        </w:rPr>
        <w:t>在施工阶段与正常使用阶段挠度变形应满足下列要求：</w:t>
      </w:r>
    </w:p>
    <w:p>
      <w:pPr>
        <w:pStyle w:val="44"/>
        <w:numPr>
          <w:ilvl w:val="0"/>
          <w:numId w:val="37"/>
        </w:numPr>
      </w:pPr>
      <w:r>
        <w:rPr>
          <w:rFonts w:hint="eastAsia"/>
        </w:rPr>
        <w:t>施工阶段钢筋桁架楼承板或压型钢板的挠度不应大于板跨度的1/180，且不应大于20mm；</w:t>
      </w:r>
    </w:p>
    <w:p>
      <w:pPr>
        <w:pStyle w:val="44"/>
        <w:numPr>
          <w:ilvl w:val="0"/>
          <w:numId w:val="37"/>
        </w:numPr>
        <w:rPr>
          <w:rFonts w:cs="宋体"/>
          <w:color w:val="000000"/>
          <w:szCs w:val="21"/>
          <w:lang w:bidi="ar"/>
        </w:rPr>
      </w:pPr>
      <w:r>
        <w:rPr>
          <w:rFonts w:hint="eastAsia"/>
        </w:rPr>
        <w:t>使用阶段组合楼板的挠度不应大于板跨度的1/200。</w:t>
      </w:r>
    </w:p>
    <w:p>
      <w:pPr>
        <w:pStyle w:val="46"/>
        <w:rPr>
          <w:rFonts w:cs="宋体"/>
          <w:szCs w:val="21"/>
          <w:lang w:bidi="ar"/>
        </w:rPr>
      </w:pPr>
      <w:r>
        <w:rPr>
          <w:rFonts w:hint="eastAsia" w:cs="宋体"/>
          <w:szCs w:val="21"/>
          <w:lang w:bidi="ar"/>
        </w:rPr>
        <w:t>钢筋桁架混凝土叠合板应满足</w:t>
      </w:r>
      <w:r>
        <w:rPr>
          <w:rFonts w:hint="eastAsia" w:cs="宋体"/>
          <w:szCs w:val="21"/>
        </w:rPr>
        <w:t>JGJ 1及</w:t>
      </w:r>
      <w:r>
        <w:rPr>
          <w:rFonts w:hint="eastAsia" w:cs="宋体"/>
          <w:szCs w:val="21"/>
          <w:lang w:bidi="ar"/>
        </w:rPr>
        <w:t>湖北省地方标准DB42/T 1947的有关规定。</w:t>
      </w:r>
    </w:p>
    <w:p>
      <w:pPr>
        <w:pStyle w:val="46"/>
        <w:rPr>
          <w:rFonts w:cs="宋体"/>
          <w:szCs w:val="21"/>
        </w:rPr>
      </w:pPr>
      <w:r>
        <w:rPr>
          <w:rFonts w:hint="eastAsia" w:cs="宋体"/>
          <w:szCs w:val="21"/>
          <w:lang w:bidi="ar"/>
        </w:rPr>
        <w:t>钢筋桁架楼承板的设计与构造应符合</w:t>
      </w:r>
      <w:r>
        <w:rPr>
          <w:rFonts w:hint="eastAsia" w:cs="宋体"/>
          <w:szCs w:val="21"/>
        </w:rPr>
        <w:t>GB/T 50010</w:t>
      </w:r>
      <w:r>
        <w:rPr>
          <w:rFonts w:hint="eastAsia" w:cs="宋体"/>
          <w:szCs w:val="21"/>
          <w:lang w:bidi="ar"/>
        </w:rPr>
        <w:t>、JG/T 368的有关规定。</w:t>
      </w:r>
    </w:p>
    <w:p>
      <w:pPr>
        <w:pStyle w:val="46"/>
        <w:rPr>
          <w:rFonts w:cs="宋体"/>
          <w:color w:val="000000"/>
          <w:szCs w:val="21"/>
          <w:lang w:bidi="ar"/>
        </w:rPr>
      </w:pPr>
      <w:r>
        <w:rPr>
          <w:rFonts w:hint="eastAsia" w:cs="宋体"/>
          <w:szCs w:val="21"/>
        </w:rPr>
        <w:t>现浇混凝土楼板的设计与构造应符合GB/T 50010的有关规定。</w:t>
      </w:r>
    </w:p>
    <w:p>
      <w:pPr>
        <w:pStyle w:val="46"/>
      </w:pPr>
      <w:r>
        <w:rPr>
          <w:rFonts w:hint="eastAsia"/>
        </w:rPr>
        <w:t>交叉钢桁架组合楼板</w:t>
      </w:r>
      <w:r>
        <w:t>(</w:t>
      </w:r>
      <w:r>
        <w:rPr>
          <w:rFonts w:hint="eastAsia"/>
        </w:rPr>
        <w:t>主板</w:t>
      </w:r>
      <w:r>
        <w:t>)</w:t>
      </w:r>
      <w:r>
        <w:rPr>
          <w:rFonts w:hint="eastAsia"/>
        </w:rPr>
        <w:t>，可用于大开间住宅钢结构楼盖使用，连续组合楼板按简支板设计时，支座截面应符合</w:t>
      </w:r>
      <w:r>
        <w:rPr>
          <w:rFonts w:hint="eastAsia" w:cs="宋体"/>
          <w:szCs w:val="21"/>
        </w:rPr>
        <w:t>GB/T 50010</w:t>
      </w:r>
      <w:r>
        <w:rPr>
          <w:rFonts w:hint="eastAsia"/>
        </w:rPr>
        <w:t>的规定。</w:t>
      </w:r>
    </w:p>
    <w:p>
      <w:pPr>
        <w:pStyle w:val="42"/>
        <w:spacing w:beforeLines="0" w:afterLines="0"/>
      </w:pPr>
      <w:bookmarkStart w:id="168" w:name="_Toc241506545"/>
      <w:r>
        <w:rPr>
          <w:rFonts w:hint="eastAsia"/>
        </w:rPr>
        <w:t>地下室及基础设计</w:t>
      </w:r>
      <w:bookmarkEnd w:id="168"/>
    </w:p>
    <w:p>
      <w:pPr>
        <w:pStyle w:val="46"/>
      </w:pPr>
      <w:r>
        <w:rPr>
          <w:rFonts w:hint="eastAsia"/>
        </w:rPr>
        <w:t>基础形式应根据上部结构、工程地质条件、施工条件等因素综合确定。</w:t>
      </w:r>
    </w:p>
    <w:p>
      <w:pPr>
        <w:pStyle w:val="46"/>
      </w:pPr>
      <w:r>
        <w:rPr>
          <w:rFonts w:hint="eastAsia"/>
        </w:rPr>
        <w:t>低层及多层钢结构住宅的基础形式可采用柱下独立基础或条形基础，当有地下室时，可采用筏板基础或独立柱基加防水板的做法，必要时也可采用桩基础。高层钢结构住宅宜设地下室，可采用独立基础加拉梁、筏板基础或桩筏基础。</w:t>
      </w:r>
    </w:p>
    <w:p>
      <w:pPr>
        <w:pStyle w:val="46"/>
      </w:pPr>
      <w:r>
        <w:rPr>
          <w:rFonts w:hint="eastAsia"/>
        </w:rPr>
        <w:t>高层钢结构住宅的基础埋置深度，当采用天然地基时不宜小于H</w:t>
      </w:r>
      <w:r>
        <w:rPr>
          <w:rFonts w:hint="eastAsia"/>
          <w:vertAlign w:val="subscript"/>
        </w:rPr>
        <w:t>0</w:t>
      </w:r>
      <w:r>
        <w:rPr>
          <w:rFonts w:hint="eastAsia"/>
        </w:rPr>
        <w:t>/15，当采用桩基时不宜小于H</w:t>
      </w:r>
      <w:r>
        <w:rPr>
          <w:rFonts w:hint="eastAsia"/>
          <w:vertAlign w:val="subscript"/>
        </w:rPr>
        <w:t>0</w:t>
      </w:r>
      <w:r>
        <w:rPr>
          <w:rFonts w:hint="eastAsia"/>
        </w:rPr>
        <w:t>/18（H</w:t>
      </w:r>
      <w:r>
        <w:rPr>
          <w:rFonts w:hint="eastAsia"/>
          <w:vertAlign w:val="subscript"/>
        </w:rPr>
        <w:t>0</w:t>
      </w:r>
      <w:r>
        <w:rPr>
          <w:rFonts w:hint="eastAsia"/>
        </w:rPr>
        <w:t>为房屋高度，指室外地坪到主要屋面板板顶的高度）。</w:t>
      </w:r>
    </w:p>
    <w:p>
      <w:pPr>
        <w:pStyle w:val="46"/>
      </w:pPr>
      <w:r>
        <w:rPr>
          <w:rFonts w:hint="eastAsia"/>
        </w:rPr>
        <w:t>地基、基础的变形和承载力计算应按GB 50007和JGJ 94的规定执行。</w:t>
      </w:r>
    </w:p>
    <w:p>
      <w:pPr>
        <w:pStyle w:val="46"/>
      </w:pPr>
      <w:r>
        <w:rPr>
          <w:rFonts w:hint="eastAsia"/>
        </w:rPr>
        <w:t>钢结构住宅设置地下室时，框架-支撑（或剪力墙）结构中竖向连续布置的支撑（或剪力墙）宜延伸至基础，从地下室二层开始的支撑（或钢板剪力墙、带竖缝预制混凝土剪力墙等延性墙板），可用钢筋混凝土剪力墙形式置换延伸至基础。</w:t>
      </w:r>
    </w:p>
    <w:p>
      <w:pPr>
        <w:pStyle w:val="46"/>
      </w:pPr>
      <w:r>
        <w:rPr>
          <w:rFonts w:hint="eastAsia"/>
        </w:rPr>
        <w:t>多高层钢结构设置单层地下室时，钢框架柱宜延伸至地下一层，宜采用钢管混凝土柱或型钢混凝土柱；当为多层地下室时，钢框架柱应至少延伸至计算嵌固端以下一层，且宜采用钢管混凝土柱或型钢混凝土柱，再以下可采用钢筋混凝土柱，不应采用钢柱与钢筋混凝土柱直接相连的做法。</w:t>
      </w:r>
    </w:p>
    <w:p>
      <w:pPr>
        <w:pStyle w:val="46"/>
      </w:pPr>
      <w:r>
        <w:rPr>
          <w:rFonts w:hint="eastAsia"/>
        </w:rPr>
        <w:t>地下室采用钢柱时，应以承台（基础）为支座的地梁，其端部钢筋锚入钢柱型钢混凝土中，应伸至钢柱并下弯15d，弯起处可采用单面焊接形式焊在钢柱上，外包混凝土外侧的预留接头，宜位于同一连接区段内的受拉钢筋搭接接头面积百分率不大于50%，宜错开35d。</w:t>
      </w:r>
    </w:p>
    <w:p>
      <w:pPr>
        <w:pStyle w:val="42"/>
        <w:spacing w:beforeLines="0" w:afterLines="0"/>
      </w:pPr>
      <w:bookmarkStart w:id="169" w:name="_Toc241506546"/>
      <w:r>
        <w:rPr>
          <w:rFonts w:hint="eastAsia"/>
        </w:rPr>
        <w:t>钢结构防护</w:t>
      </w:r>
      <w:bookmarkEnd w:id="169"/>
    </w:p>
    <w:p>
      <w:pPr>
        <w:pStyle w:val="46"/>
      </w:pPr>
      <w:r>
        <w:rPr>
          <w:rFonts w:hint="eastAsia" w:cs="宋体"/>
          <w:szCs w:val="21"/>
          <w:lang w:bidi="ar"/>
        </w:rPr>
        <w:t>钢结构装配式住宅应根据环境条件、材质、结构形式、使用要求、施工条件和维护管理条件等进行防腐蚀设计，并应符合现行国家标准JGJ/T 251的规定。</w:t>
      </w:r>
    </w:p>
    <w:p>
      <w:pPr>
        <w:pStyle w:val="46"/>
      </w:pPr>
      <w:r>
        <w:rPr>
          <w:rFonts w:hint="eastAsia"/>
        </w:rPr>
        <w:t>钢结构装配式住宅宜优先采用钢结构的防腐蚀和防火一体化、防腐蚀与装修一体化解决方案，在防腐蚀涂层上涂刷防火涂料时，防火涂料应与防腐蚀涂层相容。</w:t>
      </w:r>
    </w:p>
    <w:p>
      <w:pPr>
        <w:pStyle w:val="46"/>
      </w:pPr>
      <w:r>
        <w:rPr>
          <w:rFonts w:hint="eastAsia"/>
        </w:rPr>
        <w:t>钢结构的防腐蚀设计应遵循安全可靠、经济合理的原则，综合考虑环境腐蚀条件、防腐蚀涂层使用年限、环保、施工和维修条件等因素确定。防腐涂料品种和涂层方案应根据住宅室内、外环境分别确定。</w:t>
      </w:r>
    </w:p>
    <w:p>
      <w:pPr>
        <w:pStyle w:val="46"/>
      </w:pPr>
      <w:r>
        <w:rPr>
          <w:rFonts w:hint="eastAsia"/>
        </w:rPr>
        <w:t>钢材表面原始锈蚀等级不应低于B级，宜采用喷射（丸、砂）方法除锈，钢材表面宜采用喷射（丸、砂）方法除锈，除锈质量等级分别不应低于</w:t>
      </w:r>
      <m:oMath>
        <m:r>
          <m:rPr>
            <m:sty m:val="p"/>
          </m:rPr>
          <w:rPr>
            <w:rFonts w:hint="eastAsia" w:ascii="Cambria Math" w:hAnsi="Cambria Math" w:cs="Times New Roman"/>
          </w:rPr>
          <m:t>Sa2½</m:t>
        </m:r>
      </m:oMath>
      <w:r>
        <w:rPr>
          <w:rFonts w:hint="eastAsia" w:hAnsi="Cambria Math" w:cs="Times New Roman"/>
        </w:rPr>
        <w:t>，</w:t>
      </w:r>
      <w:r>
        <w:rPr>
          <w:rFonts w:hint="eastAsia"/>
        </w:rPr>
        <w:t>局部难以喷砂处理的部位可采用手动或电动工具除锈，除锈质量等级分别不应低于</w:t>
      </w:r>
      <m:oMath>
        <m:r>
          <m:rPr>
            <m:sty m:val="p"/>
          </m:rPr>
          <w:rPr>
            <w:rFonts w:hint="eastAsia" w:ascii="Cambria Math" w:hAnsi="Cambria Math" w:cs="Times New Roman"/>
          </w:rPr>
          <m:t>St2</m:t>
        </m:r>
      </m:oMath>
      <w:r>
        <w:rPr>
          <w:rFonts w:hint="eastAsia"/>
        </w:rPr>
        <w:t>，并应符合GB/T 8923.1的规定。</w:t>
      </w:r>
    </w:p>
    <w:p>
      <w:pPr>
        <w:pStyle w:val="46"/>
      </w:pPr>
      <w:r>
        <w:rPr>
          <w:rFonts w:hint="eastAsia"/>
        </w:rPr>
        <w:t>钢结构采用防腐蚀涂料涂层保护时，应采用复合涂层并应配套使用。根据钢构件的使用环境不同确定相配套的复合涂层厚度，钢结构表面防腐涂层的最小总厚度见表4。</w:t>
      </w:r>
    </w:p>
    <w:p>
      <w:pPr>
        <w:pStyle w:val="45"/>
        <w:spacing w:before="156" w:after="156"/>
        <w:rPr>
          <w:rFonts w:ascii="宋体" w:hAnsi="宋体" w:eastAsia="宋体" w:cs="宋体"/>
          <w:szCs w:val="21"/>
        </w:rPr>
      </w:pPr>
      <w:r>
        <w:rPr>
          <w:rFonts w:hint="eastAsia"/>
        </w:rPr>
        <w:t>钢结构防腐蚀保护层最小厚度</w:t>
      </w:r>
    </w:p>
    <w:tbl>
      <w:tblPr>
        <w:tblStyle w:val="33"/>
        <w:tblW w:w="498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228"/>
        <w:gridCol w:w="1460"/>
        <w:gridCol w:w="1461"/>
        <w:gridCol w:w="1461"/>
        <w:gridCol w:w="1461"/>
        <w:gridCol w:w="146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69" w:type="pct"/>
            <w:vMerge w:val="restart"/>
            <w:tcBorders>
              <w:top w:val="single" w:color="auto" w:sz="8" w:space="0"/>
              <w:bottom w:val="single" w:color="auto" w:sz="4"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防腐蚀保护层设计工作年限（年）</w:t>
            </w:r>
          </w:p>
        </w:tc>
        <w:tc>
          <w:tcPr>
            <w:tcW w:w="3831" w:type="pct"/>
            <w:gridSpan w:val="5"/>
            <w:tcBorders>
              <w:top w:val="single" w:color="auto" w:sz="8" w:space="0"/>
              <w:bottom w:val="single" w:color="auto" w:sz="4"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钢结构防腐蚀保护层最小厚度（</w:t>
            </w:r>
            <m:oMath>
              <m:r>
                <m:rPr/>
                <w:rPr>
                  <w:rFonts w:ascii="Cambria Math" w:hAnsi="Cambria Math" w:cs="宋体" w:eastAsiaTheme="minorEastAsia"/>
                  <w:sz w:val="18"/>
                  <w:szCs w:val="18"/>
                </w:rPr>
                <m:t>μm</m:t>
              </m:r>
            </m:oMath>
            <w:r>
              <w:rPr>
                <w:rFonts w:hint="eastAsia" w:cs="宋体" w:asciiTheme="minorEastAsia" w:hAnsiTheme="minorEastAsia" w:eastAsiaTheme="minorEastAsia"/>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69" w:type="pct"/>
            <w:vMerge w:val="continue"/>
            <w:tcBorders>
              <w:top w:val="single" w:color="auto" w:sz="4" w:space="0"/>
              <w:bottom w:val="single" w:color="auto" w:sz="8" w:space="0"/>
            </w:tcBorders>
            <w:vAlign w:val="center"/>
          </w:tcPr>
          <w:p>
            <w:pPr>
              <w:spacing w:line="240" w:lineRule="auto"/>
              <w:jc w:val="center"/>
              <w:rPr>
                <w:rFonts w:cs="宋体" w:asciiTheme="minorEastAsia" w:hAnsiTheme="minorEastAsia" w:eastAsiaTheme="minorEastAsia"/>
                <w:sz w:val="18"/>
                <w:szCs w:val="18"/>
              </w:rPr>
            </w:pPr>
          </w:p>
        </w:tc>
        <w:tc>
          <w:tcPr>
            <w:tcW w:w="766" w:type="pct"/>
            <w:tcBorders>
              <w:top w:val="single" w:color="auto" w:sz="4" w:space="0"/>
              <w:bottom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腐蚀性等级</w:t>
            </w:r>
          </w:p>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Ⅱ级</w:t>
            </w:r>
          </w:p>
        </w:tc>
        <w:tc>
          <w:tcPr>
            <w:tcW w:w="766" w:type="pct"/>
            <w:tcBorders>
              <w:top w:val="single" w:color="auto" w:sz="4" w:space="0"/>
              <w:bottom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腐蚀性等级</w:t>
            </w:r>
          </w:p>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Ⅲ级</w:t>
            </w:r>
          </w:p>
        </w:tc>
        <w:tc>
          <w:tcPr>
            <w:tcW w:w="766" w:type="pct"/>
            <w:tcBorders>
              <w:top w:val="single" w:color="auto" w:sz="4" w:space="0"/>
              <w:bottom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腐蚀性等级</w:t>
            </w:r>
          </w:p>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Ⅳ级</w:t>
            </w:r>
          </w:p>
        </w:tc>
        <w:tc>
          <w:tcPr>
            <w:tcW w:w="766" w:type="pct"/>
            <w:tcBorders>
              <w:top w:val="single" w:color="auto" w:sz="4" w:space="0"/>
              <w:bottom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腐蚀性等级</w:t>
            </w:r>
          </w:p>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Ⅴ级</w:t>
            </w:r>
          </w:p>
        </w:tc>
        <w:tc>
          <w:tcPr>
            <w:tcW w:w="766" w:type="pct"/>
            <w:tcBorders>
              <w:top w:val="single" w:color="auto" w:sz="4" w:space="0"/>
              <w:bottom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腐蚀性等级</w:t>
            </w:r>
          </w:p>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Ⅵ级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69" w:type="pct"/>
            <w:tcBorders>
              <w:top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w:t>
            </w:r>
            <m:oMath>
              <m:sSub>
                <m:sSubPr>
                  <m:ctrlPr>
                    <w:rPr>
                      <w:rFonts w:hint="eastAsia" w:ascii="Cambria Math" w:hAnsi="Cambria Math" w:cs="宋体" w:eastAsiaTheme="minorEastAsia"/>
                      <w:i/>
                      <w:sz w:val="18"/>
                      <w:szCs w:val="18"/>
                    </w:rPr>
                  </m:ctrlPr>
                </m:sSubPr>
                <m:e>
                  <m:r>
                    <m:rPr/>
                    <w:rPr>
                      <w:rFonts w:ascii="Cambria Math" w:hAnsi="Cambria Math" w:cs="宋体" w:eastAsiaTheme="minorEastAsia"/>
                      <w:sz w:val="18"/>
                      <w:szCs w:val="18"/>
                    </w:rPr>
                    <m:t>t</m:t>
                  </m:r>
                  <m:ctrlPr>
                    <w:rPr>
                      <w:rFonts w:hint="eastAsia" w:ascii="Cambria Math" w:hAnsi="Cambria Math" w:cs="宋体" w:eastAsiaTheme="minorEastAsia"/>
                      <w:i/>
                      <w:sz w:val="18"/>
                      <w:szCs w:val="18"/>
                    </w:rPr>
                  </m:ctrlPr>
                </m:e>
                <m:sub>
                  <m:r>
                    <m:rPr/>
                    <w:rPr>
                      <w:rFonts w:ascii="Cambria Math" w:hAnsi="Cambria Math" w:cs="宋体" w:eastAsiaTheme="minorEastAsia"/>
                      <w:sz w:val="18"/>
                      <w:szCs w:val="18"/>
                    </w:rPr>
                    <m:t>l</m:t>
                  </m:r>
                  <m:ctrlPr>
                    <w:rPr>
                      <w:rFonts w:hint="eastAsia" w:ascii="Cambria Math" w:hAnsi="Cambria Math" w:cs="宋体" w:eastAsiaTheme="minorEastAsia"/>
                      <w:i/>
                      <w:sz w:val="18"/>
                      <w:szCs w:val="18"/>
                    </w:rPr>
                  </m:ctrlPr>
                </m:sub>
              </m:sSub>
            </m:oMath>
            <w:r>
              <w:rPr>
                <w:rFonts w:hint="eastAsia" w:cs="宋体" w:asciiTheme="minorEastAsia" w:hAnsiTheme="minorEastAsia" w:eastAsiaTheme="minorEastAsia"/>
                <w:sz w:val="18"/>
                <w:szCs w:val="18"/>
              </w:rPr>
              <w:t>＜5</w:t>
            </w:r>
          </w:p>
        </w:tc>
        <w:tc>
          <w:tcPr>
            <w:tcW w:w="766" w:type="pct"/>
            <w:tcBorders>
              <w:top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120</w:t>
            </w:r>
          </w:p>
        </w:tc>
        <w:tc>
          <w:tcPr>
            <w:tcW w:w="766" w:type="pct"/>
            <w:tcBorders>
              <w:top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140</w:t>
            </w:r>
          </w:p>
        </w:tc>
        <w:tc>
          <w:tcPr>
            <w:tcW w:w="766" w:type="pct"/>
            <w:tcBorders>
              <w:top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160</w:t>
            </w:r>
          </w:p>
        </w:tc>
        <w:tc>
          <w:tcPr>
            <w:tcW w:w="766" w:type="pct"/>
            <w:tcBorders>
              <w:top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180</w:t>
            </w:r>
          </w:p>
        </w:tc>
        <w:tc>
          <w:tcPr>
            <w:tcW w:w="766" w:type="pct"/>
            <w:tcBorders>
              <w:top w:val="single" w:color="auto" w:sz="8" w:space="0"/>
            </w:tcBorders>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69"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5≤</w:t>
            </w:r>
            <m:oMath>
              <m:sSub>
                <m:sSubPr>
                  <m:ctrlPr>
                    <w:rPr>
                      <w:rFonts w:hint="eastAsia" w:ascii="Cambria Math" w:hAnsi="Cambria Math" w:cs="宋体" w:eastAsiaTheme="minorEastAsia"/>
                      <w:i/>
                      <w:sz w:val="18"/>
                      <w:szCs w:val="18"/>
                    </w:rPr>
                  </m:ctrlPr>
                </m:sSubPr>
                <m:e>
                  <m:r>
                    <m:rPr/>
                    <w:rPr>
                      <w:rFonts w:ascii="Cambria Math" w:hAnsi="Cambria Math" w:cs="宋体" w:eastAsiaTheme="minorEastAsia"/>
                      <w:sz w:val="18"/>
                      <w:szCs w:val="18"/>
                    </w:rPr>
                    <m:t>t</m:t>
                  </m:r>
                  <m:ctrlPr>
                    <w:rPr>
                      <w:rFonts w:hint="eastAsia" w:ascii="Cambria Math" w:hAnsi="Cambria Math" w:cs="宋体" w:eastAsiaTheme="minorEastAsia"/>
                      <w:i/>
                      <w:sz w:val="18"/>
                      <w:szCs w:val="18"/>
                    </w:rPr>
                  </m:ctrlPr>
                </m:e>
                <m:sub>
                  <m:r>
                    <m:rPr/>
                    <w:rPr>
                      <w:rFonts w:ascii="Cambria Math" w:hAnsi="Cambria Math" w:cs="宋体" w:eastAsiaTheme="minorEastAsia"/>
                      <w:sz w:val="18"/>
                      <w:szCs w:val="18"/>
                    </w:rPr>
                    <m:t>l</m:t>
                  </m:r>
                  <m:ctrlPr>
                    <w:rPr>
                      <w:rFonts w:hint="eastAsia" w:ascii="Cambria Math" w:hAnsi="Cambria Math" w:cs="宋体" w:eastAsiaTheme="minorEastAsia"/>
                      <w:i/>
                      <w:sz w:val="18"/>
                      <w:szCs w:val="18"/>
                    </w:rPr>
                  </m:ctrlPr>
                </m:sub>
              </m:sSub>
            </m:oMath>
            <w:r>
              <w:rPr>
                <w:rFonts w:hint="eastAsia" w:cs="宋体" w:asciiTheme="minorEastAsia" w:hAnsiTheme="minorEastAsia" w:eastAsiaTheme="minorEastAsia"/>
                <w:sz w:val="18"/>
                <w:szCs w:val="18"/>
              </w:rPr>
              <w:t>＜10</w:t>
            </w:r>
          </w:p>
        </w:tc>
        <w:tc>
          <w:tcPr>
            <w:tcW w:w="766"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160</w:t>
            </w:r>
          </w:p>
        </w:tc>
        <w:tc>
          <w:tcPr>
            <w:tcW w:w="766"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180</w:t>
            </w:r>
          </w:p>
        </w:tc>
        <w:tc>
          <w:tcPr>
            <w:tcW w:w="766"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200</w:t>
            </w:r>
          </w:p>
        </w:tc>
        <w:tc>
          <w:tcPr>
            <w:tcW w:w="766"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220</w:t>
            </w:r>
          </w:p>
        </w:tc>
        <w:tc>
          <w:tcPr>
            <w:tcW w:w="766"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69"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10≤</w:t>
            </w:r>
            <m:oMath>
              <m:sSub>
                <m:sSubPr>
                  <m:ctrlPr>
                    <w:rPr>
                      <w:rFonts w:hint="eastAsia" w:ascii="Cambria Math" w:hAnsi="Cambria Math" w:cs="宋体" w:eastAsiaTheme="minorEastAsia"/>
                      <w:i/>
                      <w:sz w:val="18"/>
                      <w:szCs w:val="18"/>
                    </w:rPr>
                  </m:ctrlPr>
                </m:sSubPr>
                <m:e>
                  <m:r>
                    <m:rPr/>
                    <w:rPr>
                      <w:rFonts w:ascii="Cambria Math" w:hAnsi="Cambria Math" w:cs="宋体" w:eastAsiaTheme="minorEastAsia"/>
                      <w:sz w:val="18"/>
                      <w:szCs w:val="18"/>
                    </w:rPr>
                    <m:t>t</m:t>
                  </m:r>
                  <m:ctrlPr>
                    <w:rPr>
                      <w:rFonts w:hint="eastAsia" w:ascii="Cambria Math" w:hAnsi="Cambria Math" w:cs="宋体" w:eastAsiaTheme="minorEastAsia"/>
                      <w:i/>
                      <w:sz w:val="18"/>
                      <w:szCs w:val="18"/>
                    </w:rPr>
                  </m:ctrlPr>
                </m:e>
                <m:sub>
                  <m:r>
                    <m:rPr/>
                    <w:rPr>
                      <w:rFonts w:ascii="Cambria Math" w:hAnsi="Cambria Math" w:cs="宋体" w:eastAsiaTheme="minorEastAsia"/>
                      <w:sz w:val="18"/>
                      <w:szCs w:val="18"/>
                    </w:rPr>
                    <m:t>l</m:t>
                  </m:r>
                  <m:ctrlPr>
                    <w:rPr>
                      <w:rFonts w:hint="eastAsia" w:ascii="Cambria Math" w:hAnsi="Cambria Math" w:cs="宋体" w:eastAsiaTheme="minorEastAsia"/>
                      <w:i/>
                      <w:sz w:val="18"/>
                      <w:szCs w:val="18"/>
                    </w:rPr>
                  </m:ctrlPr>
                </m:sub>
              </m:sSub>
            </m:oMath>
            <w:r>
              <w:rPr>
                <w:rFonts w:hint="eastAsia" w:cs="宋体" w:asciiTheme="minorEastAsia" w:hAnsiTheme="minorEastAsia" w:eastAsiaTheme="minorEastAsia"/>
                <w:sz w:val="18"/>
                <w:szCs w:val="18"/>
              </w:rPr>
              <w:t>≤15</w:t>
            </w:r>
          </w:p>
        </w:tc>
        <w:tc>
          <w:tcPr>
            <w:tcW w:w="766"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200</w:t>
            </w:r>
          </w:p>
        </w:tc>
        <w:tc>
          <w:tcPr>
            <w:tcW w:w="766"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220</w:t>
            </w:r>
          </w:p>
        </w:tc>
        <w:tc>
          <w:tcPr>
            <w:tcW w:w="766"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240</w:t>
            </w:r>
          </w:p>
        </w:tc>
        <w:tc>
          <w:tcPr>
            <w:tcW w:w="766"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260</w:t>
            </w:r>
          </w:p>
        </w:tc>
        <w:tc>
          <w:tcPr>
            <w:tcW w:w="766" w:type="pct"/>
            <w:vAlign w:val="center"/>
          </w:tcPr>
          <w:p>
            <w:pPr>
              <w:spacing w:line="240"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 w:type="pct"/>
            <w:gridSpan w:val="6"/>
            <w:vAlign w:val="center"/>
          </w:tcPr>
          <w:p>
            <w:pPr>
              <w:spacing w:line="240" w:lineRule="auto"/>
              <w:ind w:firstLine="360" w:firstLineChars="200"/>
              <w:jc w:val="left"/>
              <w:rPr>
                <w:rFonts w:cs="宋体" w:asciiTheme="minorEastAsia" w:hAnsiTheme="minorEastAsia" w:eastAsiaTheme="minorEastAsia"/>
                <w:sz w:val="18"/>
                <w:szCs w:val="18"/>
              </w:rPr>
            </w:pPr>
            <w:r>
              <w:rPr>
                <w:rFonts w:hint="eastAsia" w:ascii="黑体" w:hAnsi="黑体" w:eastAsia="黑体" w:cs="黑体"/>
                <w:sz w:val="18"/>
                <w:szCs w:val="18"/>
              </w:rPr>
              <w:t>注:</w:t>
            </w:r>
            <w:r>
              <w:rPr>
                <w:rFonts w:hint="eastAsia" w:cs="宋体" w:asciiTheme="minorEastAsia" w:hAnsiTheme="minorEastAsia" w:eastAsiaTheme="minorEastAsia"/>
                <w:sz w:val="18"/>
                <w:szCs w:val="18"/>
              </w:rPr>
              <w:t>1 防腐蚀保护层厚度包括涂料层的厚度或金属层与涂料层复合的厚度;</w:t>
            </w:r>
          </w:p>
          <w:p>
            <w:pPr>
              <w:spacing w:line="240" w:lineRule="auto"/>
              <w:ind w:firstLine="360" w:firstLineChars="200"/>
              <w:jc w:val="left"/>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2 室外工程的涂层厚度宜增加20μm～40μm。</w:t>
            </w:r>
          </w:p>
        </w:tc>
      </w:tr>
    </w:tbl>
    <w:p>
      <w:pPr>
        <w:pStyle w:val="46"/>
      </w:pPr>
      <w:r>
        <w:rPr>
          <w:rFonts w:hint="eastAsia"/>
        </w:rPr>
        <w:t>在厨房、卫生间等潮湿环境下的钢构件和节点，宜采用下列加强防腐措施：</w:t>
      </w:r>
    </w:p>
    <w:p>
      <w:pPr>
        <w:pStyle w:val="44"/>
        <w:numPr>
          <w:ilvl w:val="0"/>
          <w:numId w:val="38"/>
        </w:numPr>
        <w:rPr>
          <w:rFonts w:cs="宋体"/>
          <w:color w:val="000000"/>
          <w:szCs w:val="21"/>
          <w:lang w:bidi="ar"/>
        </w:rPr>
      </w:pPr>
      <w:r>
        <w:rPr>
          <w:rFonts w:hint="eastAsia" w:cs="宋体"/>
          <w:color w:val="000000"/>
          <w:szCs w:val="21"/>
          <w:lang w:bidi="ar"/>
        </w:rPr>
        <w:t>采用整体厨房或装配式厨房、整体卫浴或装配式卫浴；</w:t>
      </w:r>
    </w:p>
    <w:p>
      <w:pPr>
        <w:pStyle w:val="44"/>
        <w:numPr>
          <w:ilvl w:val="0"/>
          <w:numId w:val="38"/>
        </w:numPr>
        <w:rPr>
          <w:rFonts w:cs="宋体"/>
          <w:color w:val="000000"/>
          <w:szCs w:val="21"/>
          <w:lang w:bidi="ar"/>
        </w:rPr>
      </w:pPr>
      <w:r>
        <w:rPr>
          <w:rFonts w:hint="eastAsia" w:cs="宋体"/>
          <w:color w:val="000000"/>
          <w:szCs w:val="21"/>
          <w:lang w:bidi="ar"/>
        </w:rPr>
        <w:t>钢构件和节点进行带钢丝网的混凝土或砂浆保护；</w:t>
      </w:r>
    </w:p>
    <w:p>
      <w:pPr>
        <w:pStyle w:val="44"/>
        <w:numPr>
          <w:ilvl w:val="0"/>
          <w:numId w:val="38"/>
        </w:numPr>
        <w:rPr>
          <w:rFonts w:cs="宋体"/>
          <w:color w:val="000000"/>
          <w:szCs w:val="21"/>
          <w:lang w:bidi="ar"/>
        </w:rPr>
      </w:pPr>
      <w:r>
        <w:rPr>
          <w:rFonts w:hint="eastAsia" w:cs="宋体"/>
          <w:color w:val="000000"/>
          <w:szCs w:val="21"/>
          <w:lang w:bidi="ar"/>
        </w:rPr>
        <w:t>采用耐候钢；</w:t>
      </w:r>
    </w:p>
    <w:p>
      <w:pPr>
        <w:pStyle w:val="44"/>
        <w:numPr>
          <w:ilvl w:val="0"/>
          <w:numId w:val="38"/>
        </w:numPr>
        <w:rPr>
          <w:rFonts w:cs="宋体"/>
          <w:color w:val="000000"/>
          <w:szCs w:val="21"/>
          <w:lang w:bidi="ar"/>
        </w:rPr>
      </w:pPr>
      <w:r>
        <w:rPr>
          <w:rFonts w:hint="eastAsia" w:cs="宋体"/>
          <w:color w:val="000000"/>
          <w:szCs w:val="21"/>
          <w:lang w:bidi="ar"/>
        </w:rPr>
        <w:t>增加钢构件防腐蚀涂层厚度或涂料等级等；</w:t>
      </w:r>
    </w:p>
    <w:p>
      <w:pPr>
        <w:pStyle w:val="44"/>
        <w:numPr>
          <w:ilvl w:val="0"/>
          <w:numId w:val="38"/>
        </w:numPr>
        <w:rPr>
          <w:rFonts w:cs="宋体"/>
          <w:color w:val="000000"/>
          <w:szCs w:val="21"/>
          <w:lang w:bidi="ar"/>
        </w:rPr>
      </w:pPr>
      <w:r>
        <w:rPr>
          <w:rFonts w:hint="eastAsia" w:cs="宋体"/>
          <w:color w:val="000000"/>
          <w:szCs w:val="21"/>
          <w:lang w:bidi="ar"/>
        </w:rPr>
        <w:t>加强使用阶段钢构件检查和维护措施；</w:t>
      </w:r>
    </w:p>
    <w:p>
      <w:pPr>
        <w:pStyle w:val="44"/>
        <w:numPr>
          <w:ilvl w:val="0"/>
          <w:numId w:val="38"/>
        </w:numPr>
        <w:rPr>
          <w:rFonts w:cs="宋体"/>
          <w:color w:val="000000"/>
          <w:szCs w:val="21"/>
          <w:lang w:bidi="ar"/>
        </w:rPr>
      </w:pPr>
      <w:r>
        <w:rPr>
          <w:rFonts w:hint="eastAsia" w:cs="宋体"/>
          <w:color w:val="000000"/>
          <w:szCs w:val="21"/>
          <w:lang w:bidi="ar"/>
        </w:rPr>
        <w:t>在钢构件中易受腐蚀的板件，为保证构件长期使用的安全，设计时可采用增加板件厚度的腐蚀裕量方法，根据JGJ/T 251有关规定计算确定腐蚀裕量。</w:t>
      </w:r>
    </w:p>
    <w:p>
      <w:pPr>
        <w:pStyle w:val="46"/>
        <w:rPr>
          <w:rFonts w:cs="宋体"/>
          <w:szCs w:val="21"/>
        </w:rPr>
      </w:pPr>
      <w:r>
        <w:rPr>
          <w:rFonts w:hint="eastAsia"/>
        </w:rPr>
        <w:t xml:space="preserve"> </w:t>
      </w:r>
      <w:r>
        <w:rPr>
          <w:rFonts w:hint="eastAsia" w:cs="宋体"/>
          <w:szCs w:val="21"/>
        </w:rPr>
        <w:t>钢结构装配式住宅中的各类结构构件应进行防火设计，各构件的耐火极限应符合GB 50016、GB 51249的规定。</w:t>
      </w:r>
    </w:p>
    <w:p>
      <w:pPr>
        <w:pStyle w:val="46"/>
      </w:pPr>
      <w:r>
        <w:rPr>
          <w:rFonts w:hint="eastAsia"/>
        </w:rPr>
        <w:t>钢构件、钢与混凝土组合构件及其连接节点应采取防火保护措施，钢构件、钢与混凝土组合构件的耐火极限可通过抗火计算确定。</w:t>
      </w:r>
      <w:r>
        <w:rPr>
          <w:rFonts w:hint="eastAsia" w:cs="宋体"/>
          <w:szCs w:val="21"/>
        </w:rPr>
        <w:t>结构构件的抗火验算、防火保护措施和构造应按GB 51249的规定进行。</w:t>
      </w:r>
    </w:p>
    <w:p>
      <w:pPr>
        <w:pStyle w:val="46"/>
      </w:pPr>
      <w:r>
        <w:rPr>
          <w:rFonts w:hint="eastAsia"/>
        </w:rPr>
        <w:t>钢结构的防火保护措施应根据钢结构的结构类型、设计耐火极限和使用环境等因素确定：</w:t>
      </w:r>
    </w:p>
    <w:p>
      <w:pPr>
        <w:pStyle w:val="44"/>
        <w:numPr>
          <w:ilvl w:val="0"/>
          <w:numId w:val="39"/>
        </w:numPr>
        <w:rPr>
          <w:rFonts w:cs="宋体"/>
          <w:color w:val="000000"/>
          <w:szCs w:val="21"/>
          <w:lang w:bidi="ar"/>
        </w:rPr>
      </w:pPr>
      <w:r>
        <w:rPr>
          <w:rFonts w:hint="eastAsia" w:cs="宋体"/>
          <w:color w:val="000000"/>
          <w:szCs w:val="21"/>
          <w:lang w:bidi="ar"/>
        </w:rPr>
        <w:t>钢结构节点的防火保护应与被连接构件中防火保护要求最高者相同；</w:t>
      </w:r>
    </w:p>
    <w:p>
      <w:pPr>
        <w:pStyle w:val="44"/>
        <w:numPr>
          <w:ilvl w:val="0"/>
          <w:numId w:val="39"/>
        </w:numPr>
        <w:rPr>
          <w:rFonts w:cs="宋体"/>
          <w:color w:val="000000"/>
          <w:szCs w:val="21"/>
          <w:lang w:bidi="ar"/>
        </w:rPr>
      </w:pPr>
      <w:r>
        <w:rPr>
          <w:rFonts w:hint="eastAsia" w:cs="宋体"/>
          <w:color w:val="000000"/>
          <w:szCs w:val="21"/>
          <w:lang w:bidi="ar"/>
        </w:rPr>
        <w:t>对厨房等易发生火灾区域，宜采用防火板或外包混凝土、金属网抹砂浆等加强措施；</w:t>
      </w:r>
    </w:p>
    <w:p>
      <w:pPr>
        <w:pStyle w:val="44"/>
        <w:numPr>
          <w:ilvl w:val="0"/>
          <w:numId w:val="39"/>
        </w:numPr>
        <w:rPr>
          <w:rFonts w:cs="宋体"/>
          <w:color w:val="000000"/>
          <w:szCs w:val="21"/>
          <w:lang w:bidi="ar"/>
        </w:rPr>
      </w:pPr>
      <w:r>
        <w:rPr>
          <w:rFonts w:hint="eastAsia" w:cs="宋体"/>
          <w:color w:val="000000"/>
          <w:szCs w:val="21"/>
          <w:lang w:bidi="ar"/>
        </w:rPr>
        <w:t>室内隐蔽构件，宜选用非膨胀型防火涂料；</w:t>
      </w:r>
    </w:p>
    <w:p>
      <w:pPr>
        <w:pStyle w:val="44"/>
        <w:numPr>
          <w:ilvl w:val="0"/>
          <w:numId w:val="39"/>
        </w:numPr>
        <w:rPr>
          <w:rFonts w:cs="宋体"/>
          <w:color w:val="000000"/>
          <w:szCs w:val="21"/>
          <w:lang w:bidi="ar"/>
        </w:rPr>
      </w:pPr>
      <w:r>
        <w:rPr>
          <w:rFonts w:hint="eastAsia" w:cs="宋体"/>
          <w:color w:val="000000"/>
          <w:szCs w:val="21"/>
          <w:lang w:bidi="ar"/>
        </w:rPr>
        <w:t>设计耐火极限大于1.50h的构件，不宜选用膨胀型防火涂料；</w:t>
      </w:r>
    </w:p>
    <w:p>
      <w:pPr>
        <w:pStyle w:val="44"/>
        <w:numPr>
          <w:ilvl w:val="0"/>
          <w:numId w:val="39"/>
        </w:numPr>
      </w:pPr>
      <w:r>
        <w:rPr>
          <w:rFonts w:hint="eastAsia" w:cs="宋体"/>
          <w:color w:val="000000"/>
          <w:szCs w:val="21"/>
          <w:lang w:bidi="ar"/>
        </w:rPr>
        <w:t>防火涂料与防腐涂料应相容、匹配；</w:t>
      </w:r>
    </w:p>
    <w:p>
      <w:pPr>
        <w:pStyle w:val="44"/>
        <w:numPr>
          <w:ilvl w:val="0"/>
          <w:numId w:val="39"/>
        </w:numPr>
        <w:rPr>
          <w:rFonts w:cs="宋体"/>
          <w:color w:val="000000"/>
          <w:szCs w:val="21"/>
          <w:lang w:bidi="ar"/>
        </w:rPr>
      </w:pPr>
      <w:r>
        <w:rPr>
          <w:rFonts w:hint="eastAsia" w:cs="宋体"/>
          <w:color w:val="000000"/>
          <w:szCs w:val="21"/>
          <w:lang w:bidi="ar"/>
        </w:rPr>
        <w:t>当构件有外露装饰效果要求时，可选用防火板、膨胀型防火涂料等兼具装饰性的防火保护材料；</w:t>
      </w:r>
    </w:p>
    <w:p>
      <w:pPr>
        <w:pStyle w:val="44"/>
        <w:numPr>
          <w:ilvl w:val="0"/>
          <w:numId w:val="39"/>
        </w:numPr>
        <w:rPr>
          <w:rFonts w:cs="宋体"/>
          <w:color w:val="000000"/>
          <w:szCs w:val="21"/>
          <w:lang w:bidi="ar"/>
        </w:rPr>
      </w:pPr>
      <w:r>
        <w:rPr>
          <w:rFonts w:hint="eastAsia" w:cs="宋体"/>
          <w:color w:val="000000"/>
          <w:szCs w:val="21"/>
          <w:lang w:bidi="ar"/>
        </w:rPr>
        <w:t>高耐火极限要求时，可采用非膨胀型防火涂料加防火板的复合保护构造。</w:t>
      </w:r>
    </w:p>
    <w:p>
      <w:pPr>
        <w:pStyle w:val="46"/>
      </w:pPr>
      <w:r>
        <w:rPr>
          <w:rFonts w:hint="eastAsia"/>
        </w:rPr>
        <w:t>钢结构采用外包混凝土、金属网抹砂浆或砌筑砌体保护时，应符合下列规定：</w:t>
      </w:r>
    </w:p>
    <w:p>
      <w:pPr>
        <w:pStyle w:val="44"/>
        <w:numPr>
          <w:ilvl w:val="0"/>
          <w:numId w:val="40"/>
        </w:numPr>
        <w:rPr>
          <w:rFonts w:cs="宋体"/>
          <w:color w:val="000000"/>
          <w:szCs w:val="21"/>
          <w:lang w:bidi="ar"/>
        </w:rPr>
      </w:pPr>
      <w:r>
        <w:rPr>
          <w:rFonts w:hint="eastAsia" w:cs="宋体"/>
          <w:color w:val="000000"/>
          <w:szCs w:val="21"/>
          <w:lang w:bidi="ar"/>
        </w:rPr>
        <w:t>当采用外包混凝土时，混凝土的强度等级不宜低于C20；</w:t>
      </w:r>
    </w:p>
    <w:p>
      <w:pPr>
        <w:pStyle w:val="44"/>
        <w:numPr>
          <w:ilvl w:val="0"/>
          <w:numId w:val="40"/>
        </w:numPr>
        <w:rPr>
          <w:rFonts w:cs="宋体"/>
          <w:color w:val="000000"/>
          <w:szCs w:val="21"/>
          <w:lang w:bidi="ar"/>
        </w:rPr>
      </w:pPr>
      <w:r>
        <w:rPr>
          <w:rFonts w:hint="eastAsia" w:cs="宋体"/>
          <w:color w:val="000000"/>
          <w:szCs w:val="21"/>
          <w:lang w:bidi="ar"/>
        </w:rPr>
        <w:t>当采用外包金属网抹砂浆时，砂浆的强度等级不宜低于M5；金属丝网的网格不宜大于20mm，丝径不宜小于0.6mm；砂浆最小厚度不宜小于25mm；</w:t>
      </w:r>
    </w:p>
    <w:p>
      <w:pPr>
        <w:pStyle w:val="44"/>
        <w:numPr>
          <w:ilvl w:val="0"/>
          <w:numId w:val="40"/>
        </w:numPr>
      </w:pPr>
      <w:r>
        <w:rPr>
          <w:rFonts w:hint="eastAsia" w:cs="宋体"/>
          <w:color w:val="000000"/>
          <w:szCs w:val="21"/>
          <w:lang w:bidi="ar"/>
        </w:rPr>
        <w:t>当采</w:t>
      </w:r>
      <w:r>
        <w:rPr>
          <w:rFonts w:hint="eastAsia"/>
        </w:rPr>
        <w:t>用砌筑砌体时，砌块的强度等级不宜低于MU10。</w:t>
      </w:r>
    </w:p>
    <w:p>
      <w:pPr>
        <w:pStyle w:val="46"/>
        <w:rPr>
          <w:rFonts w:cs="宋体"/>
          <w:szCs w:val="21"/>
        </w:rPr>
      </w:pPr>
      <w:r>
        <w:rPr>
          <w:rFonts w:hint="eastAsia" w:cs="宋体"/>
          <w:szCs w:val="21"/>
        </w:rPr>
        <w:t>防火涂料的技术性能应符合GB 14907的规定。</w:t>
      </w:r>
    </w:p>
    <w:p>
      <w:pPr>
        <w:pStyle w:val="46"/>
      </w:pPr>
      <w:r>
        <w:rPr>
          <w:rFonts w:hint="eastAsia"/>
        </w:rPr>
        <w:t>仅作模板使用的组合楼板中钢筋保护层的厚度（不含底板厚度）应满足耐火极限要求，楼板的底板可不进行防火保护。</w:t>
      </w:r>
    </w:p>
    <w:p>
      <w:pPr>
        <w:pStyle w:val="46"/>
      </w:pPr>
      <w:r>
        <w:rPr>
          <w:rFonts w:hint="eastAsia"/>
        </w:rPr>
        <w:t>设计与交付验收文件中应注明，在使用过程中对钢结构防火保护和防腐蚀涂层进行定期检查和维修的相关要求。</w:t>
      </w:r>
    </w:p>
    <w:p>
      <w:pPr>
        <w:pStyle w:val="41"/>
        <w:spacing w:before="312" w:after="312"/>
      </w:pPr>
      <w:bookmarkStart w:id="170" w:name="_Toc10538"/>
      <w:bookmarkStart w:id="171" w:name="_Toc241506547"/>
      <w:r>
        <w:rPr>
          <w:rFonts w:hint="eastAsia"/>
        </w:rPr>
        <w:t>外围护系统设计</w:t>
      </w:r>
      <w:bookmarkEnd w:id="170"/>
      <w:bookmarkEnd w:id="171"/>
    </w:p>
    <w:p>
      <w:pPr>
        <w:pStyle w:val="42"/>
        <w:spacing w:before="156" w:after="156"/>
      </w:pPr>
      <w:bookmarkStart w:id="172" w:name="_Toc241506548"/>
      <w:r>
        <w:rPr>
          <w:rFonts w:hint="eastAsia"/>
        </w:rPr>
        <w:t>一般规定</w:t>
      </w:r>
      <w:bookmarkEnd w:id="172"/>
    </w:p>
    <w:p>
      <w:pPr>
        <w:pStyle w:val="46"/>
        <w:rPr>
          <w:rFonts w:hAnsi="Times New Roman" w:cs="Times New Roman"/>
        </w:rPr>
      </w:pPr>
      <w:r>
        <w:rPr>
          <w:rFonts w:hint="eastAsia" w:hAnsi="Times New Roman" w:cs="Times New Roman"/>
        </w:rPr>
        <w:t>钢结构装配式住宅建筑外围护系统应根据湖北省各地区的气候条件、设计使用年限、建筑设计、结构形式等因素确定。</w:t>
      </w:r>
    </w:p>
    <w:p>
      <w:pPr>
        <w:pStyle w:val="46"/>
        <w:rPr>
          <w:rFonts w:hAnsi="Times New Roman" w:cs="Times New Roman"/>
        </w:rPr>
      </w:pPr>
      <w:r>
        <w:rPr>
          <w:rFonts w:hint="eastAsia" w:hAnsi="Times New Roman" w:cs="Times New Roman"/>
        </w:rPr>
        <w:t>外围护系统宜选用绿色、轻质、节能、耐久、低碳、经济的可循环材料。</w:t>
      </w:r>
    </w:p>
    <w:p>
      <w:pPr>
        <w:pStyle w:val="46"/>
        <w:rPr>
          <w:rFonts w:hAnsi="Times New Roman" w:cs="Times New Roman"/>
        </w:rPr>
      </w:pPr>
      <w:r>
        <w:rPr>
          <w:rFonts w:hint="eastAsia" w:hAnsi="Times New Roman" w:cs="Times New Roman"/>
        </w:rPr>
        <w:t>外围护系统应满足抗风、抗震、耐撞击、防火等安全性要求，并满足水密、气密、隔声、热工等功能性要求和耐久性要求。</w:t>
      </w:r>
    </w:p>
    <w:p>
      <w:pPr>
        <w:pStyle w:val="46"/>
        <w:rPr>
          <w:rFonts w:hAnsi="Times New Roman" w:cs="Times New Roman"/>
        </w:rPr>
      </w:pPr>
      <w:r>
        <w:rPr>
          <w:rFonts w:hint="eastAsia" w:hAnsi="Times New Roman" w:cs="Times New Roman"/>
        </w:rPr>
        <w:t>外围护系统的立面设计应综合装配式钢结构建筑的构成条件、装饰颜色与材料质感等设计要求。</w:t>
      </w:r>
    </w:p>
    <w:p>
      <w:pPr>
        <w:pStyle w:val="46"/>
        <w:rPr>
          <w:rFonts w:hAnsi="Times New Roman" w:cs="Times New Roman"/>
        </w:rPr>
      </w:pPr>
      <w:r>
        <w:rPr>
          <w:rFonts w:hint="eastAsia" w:hAnsi="Times New Roman" w:cs="Times New Roman"/>
        </w:rPr>
        <w:t>外围护系统设计应包括下列内容：</w:t>
      </w:r>
    </w:p>
    <w:p>
      <w:pPr>
        <w:pStyle w:val="44"/>
        <w:numPr>
          <w:ilvl w:val="0"/>
          <w:numId w:val="41"/>
        </w:numPr>
      </w:pPr>
      <w:r>
        <w:rPr>
          <w:rFonts w:hint="eastAsia"/>
        </w:rPr>
        <w:t>外围护系统的安全性、防火性能、适用性、耐久性、热工性能、抗风压性能等性能要求；</w:t>
      </w:r>
    </w:p>
    <w:p>
      <w:pPr>
        <w:pStyle w:val="44"/>
        <w:numPr>
          <w:ilvl w:val="0"/>
          <w:numId w:val="41"/>
        </w:numPr>
      </w:pPr>
      <w:r>
        <w:rPr>
          <w:rFonts w:hint="eastAsia"/>
        </w:rPr>
        <w:t>满足模数协调和标准化要求；</w:t>
      </w:r>
    </w:p>
    <w:p>
      <w:pPr>
        <w:pStyle w:val="44"/>
        <w:numPr>
          <w:ilvl w:val="0"/>
          <w:numId w:val="41"/>
        </w:numPr>
      </w:pPr>
      <w:r>
        <w:rPr>
          <w:rFonts w:hint="eastAsia"/>
        </w:rPr>
        <w:t>满足建筑立面效果、制作工艺、运输及施工安装的条件；</w:t>
      </w:r>
    </w:p>
    <w:p>
      <w:pPr>
        <w:pStyle w:val="44"/>
        <w:numPr>
          <w:ilvl w:val="0"/>
          <w:numId w:val="41"/>
        </w:numPr>
      </w:pPr>
      <w:r>
        <w:rPr>
          <w:rFonts w:hint="eastAsia"/>
        </w:rPr>
        <w:t>屋面结构支承构造节点；外墙板连接、接缝及外门窗洞口等构造节点；阳台、空调板、装饰件等连接构造节点设计；</w:t>
      </w:r>
    </w:p>
    <w:p>
      <w:pPr>
        <w:pStyle w:val="44"/>
        <w:numPr>
          <w:ilvl w:val="0"/>
          <w:numId w:val="41"/>
        </w:numPr>
      </w:pPr>
      <w:r>
        <w:rPr>
          <w:rFonts w:hint="eastAsia"/>
        </w:rPr>
        <w:t>外围护系统选型与设计；</w:t>
      </w:r>
    </w:p>
    <w:p>
      <w:pPr>
        <w:pStyle w:val="44"/>
        <w:numPr>
          <w:ilvl w:val="0"/>
          <w:numId w:val="41"/>
        </w:numPr>
      </w:pPr>
      <w:r>
        <w:rPr>
          <w:rFonts w:hint="eastAsia"/>
        </w:rPr>
        <w:t>与主体结构的连接设计；</w:t>
      </w:r>
    </w:p>
    <w:p>
      <w:pPr>
        <w:pStyle w:val="44"/>
        <w:numPr>
          <w:ilvl w:val="0"/>
          <w:numId w:val="41"/>
        </w:numPr>
      </w:pPr>
      <w:r>
        <w:rPr>
          <w:rFonts w:hint="eastAsia"/>
        </w:rPr>
        <w:t>接缝防水与密封设计；</w:t>
      </w:r>
    </w:p>
    <w:p>
      <w:pPr>
        <w:pStyle w:val="44"/>
        <w:numPr>
          <w:ilvl w:val="0"/>
          <w:numId w:val="41"/>
        </w:numPr>
      </w:pPr>
      <w:r>
        <w:rPr>
          <w:rFonts w:hint="eastAsia"/>
        </w:rPr>
        <w:t>外门窗系统设计；</w:t>
      </w:r>
    </w:p>
    <w:p>
      <w:pPr>
        <w:pStyle w:val="44"/>
        <w:numPr>
          <w:ilvl w:val="0"/>
          <w:numId w:val="41"/>
        </w:numPr>
      </w:pPr>
      <w:r>
        <w:rPr>
          <w:rFonts w:hint="eastAsia"/>
        </w:rPr>
        <w:t>材料与部品选择；</w:t>
      </w:r>
    </w:p>
    <w:p>
      <w:pPr>
        <w:pStyle w:val="46"/>
        <w:rPr>
          <w:rFonts w:hAnsi="Times New Roman" w:cs="Times New Roman"/>
        </w:rPr>
      </w:pPr>
      <w:r>
        <w:rPr>
          <w:rFonts w:hint="eastAsia" w:hAnsi="Times New Roman" w:cs="Times New Roman"/>
        </w:rPr>
        <w:t>外围护系统选型应根据外墙系统与结构系统的连接形式可采用内嵌式、外挂式、嵌挂结合等方式。</w:t>
      </w:r>
    </w:p>
    <w:p>
      <w:pPr>
        <w:pStyle w:val="46"/>
        <w:rPr>
          <w:rFonts w:hAnsi="Times New Roman" w:cs="Times New Roman"/>
        </w:rPr>
      </w:pPr>
      <w:r>
        <w:rPr>
          <w:rFonts w:hint="eastAsia" w:hAnsi="Times New Roman" w:cs="Times New Roman"/>
        </w:rPr>
        <w:t>外围护系统的热工性能应符合现行国家标准GB 50176的规定，</w:t>
      </w:r>
      <w:r>
        <w:rPr>
          <w:rFonts w:hAnsi="Times New Roman" w:cs="Times New Roman"/>
        </w:rPr>
        <w:t>窗墙面积比、外门窗传热系数、太阳得热系数、可开启面积等热工性能参数应满足</w:t>
      </w:r>
      <w:r>
        <w:rPr>
          <w:rFonts w:hint="eastAsia" w:hAnsi="Times New Roman" w:cs="Times New Roman"/>
        </w:rPr>
        <w:t>湖北省</w:t>
      </w:r>
      <w:r>
        <w:rPr>
          <w:rFonts w:hAnsi="Times New Roman" w:cs="Times New Roman"/>
        </w:rPr>
        <w:t>节能设计要求。当相关参数不满足要求时，应进行外围护系统热工性能的综合计算，热工参数应提供检测报告或热工计算书。</w:t>
      </w:r>
    </w:p>
    <w:p>
      <w:pPr>
        <w:pStyle w:val="46"/>
        <w:rPr>
          <w:rFonts w:hAnsi="Times New Roman" w:cs="Times New Roman"/>
        </w:rPr>
      </w:pPr>
      <w:r>
        <w:rPr>
          <w:rFonts w:hint="eastAsia" w:hAnsi="Times New Roman" w:cs="Times New Roman"/>
        </w:rPr>
        <w:t>外围护系统应根据建筑所在地气候条件的耐火等级确定。</w:t>
      </w:r>
    </w:p>
    <w:p>
      <w:pPr>
        <w:pStyle w:val="46"/>
        <w:rPr>
          <w:rFonts w:hAnsi="Times New Roman" w:cs="Times New Roman"/>
        </w:rPr>
      </w:pPr>
      <w:r>
        <w:rPr>
          <w:rFonts w:hint="eastAsia" w:hAnsi="Times New Roman" w:cs="Times New Roman"/>
        </w:rPr>
        <w:t>外围护系统的隔声减噪设计应符合现行国家标准GB 50118的规定。</w:t>
      </w:r>
    </w:p>
    <w:p>
      <w:pPr>
        <w:pStyle w:val="46"/>
        <w:rPr>
          <w:rFonts w:hAnsi="Times New Roman" w:cs="Times New Roman"/>
        </w:rPr>
      </w:pPr>
      <w:r>
        <w:rPr>
          <w:rFonts w:hint="eastAsia" w:hAnsi="Times New Roman" w:cs="Times New Roman"/>
        </w:rPr>
        <w:t>计算外围护构件及其连接的风荷载作用及组合，应符合现行国家标准GB 50009的规定；计算外围护系统构件及其连接的地震作用及组合，应符合现行行业标准JGJ 339的规定。</w:t>
      </w:r>
    </w:p>
    <w:p>
      <w:pPr>
        <w:pStyle w:val="46"/>
        <w:rPr>
          <w:rFonts w:hAnsi="Times New Roman" w:cs="Times New Roman"/>
        </w:rPr>
      </w:pPr>
      <w:r>
        <w:rPr>
          <w:rFonts w:hint="eastAsia" w:hAnsi="Times New Roman" w:cs="Times New Roman"/>
        </w:rPr>
        <w:t>外围护系统应根据湖北省气候条件满足防水、透气、防潮、隔汽等构造要求。</w:t>
      </w:r>
    </w:p>
    <w:p>
      <w:pPr>
        <w:pStyle w:val="42"/>
        <w:spacing w:before="156" w:after="156"/>
      </w:pPr>
      <w:bookmarkStart w:id="173" w:name="_Toc241506549"/>
      <w:r>
        <w:rPr>
          <w:rFonts w:hint="eastAsia"/>
        </w:rPr>
        <w:t>材料与部品</w:t>
      </w:r>
      <w:bookmarkEnd w:id="173"/>
    </w:p>
    <w:p>
      <w:pPr>
        <w:pStyle w:val="46"/>
        <w:rPr>
          <w:rFonts w:hAnsi="Times New Roman" w:cs="Times New Roman"/>
        </w:rPr>
      </w:pPr>
      <w:r>
        <w:rPr>
          <w:rFonts w:hint="eastAsia" w:hAnsi="Times New Roman" w:cs="Times New Roman"/>
        </w:rPr>
        <w:t>钢结构装配式住宅建筑外墙围护系统的外墙板应综合建筑防火、防水、保温、隔声、抗震、抗风、耐候、美观的要求，选用部品体系配套成熟的轻质墙板或集成墙板等部品。</w:t>
      </w:r>
    </w:p>
    <w:p>
      <w:pPr>
        <w:pStyle w:val="46"/>
        <w:rPr>
          <w:rFonts w:hAnsi="Times New Roman" w:cs="Times New Roman"/>
        </w:rPr>
      </w:pPr>
      <w:r>
        <w:rPr>
          <w:rFonts w:hint="eastAsia" w:hAnsi="Times New Roman" w:cs="Times New Roman"/>
        </w:rPr>
        <w:t>外围护系统的材料与部品的放射性核素限量应符合现行国家标准GB 55016、GB 6566的有关规定；室内侧材料与部品的性能应符合现行国家标准GB 50325的规定。</w:t>
      </w:r>
    </w:p>
    <w:p>
      <w:pPr>
        <w:pStyle w:val="46"/>
        <w:rPr>
          <w:rFonts w:hAnsi="Times New Roman" w:cs="Times New Roman"/>
        </w:rPr>
      </w:pPr>
      <w:r>
        <w:rPr>
          <w:rFonts w:hint="eastAsia" w:hAnsi="Times New Roman" w:cs="Times New Roman"/>
        </w:rPr>
        <w:t>外围护系统的钢骨架及钢质组件、连接件应采用热浸镀锌或其他等防腐措施。</w:t>
      </w:r>
    </w:p>
    <w:p>
      <w:pPr>
        <w:pStyle w:val="46"/>
        <w:rPr>
          <w:rFonts w:hAnsi="Times New Roman" w:cs="Times New Roman"/>
        </w:rPr>
      </w:pPr>
      <w:r>
        <w:rPr>
          <w:rFonts w:hint="eastAsia" w:hAnsi="Times New Roman" w:cs="Times New Roman"/>
        </w:rPr>
        <w:t>外门窗的性能应符合现行国家标准GB/T 31433的规定；设计文件应注明外门窗抗风压、气密、水密、保温、空气声隔声等性能的要求，且应注明门窗材料、颜色、玻璃品种及开启方式等要求。</w:t>
      </w:r>
    </w:p>
    <w:p>
      <w:pPr>
        <w:pStyle w:val="46"/>
        <w:rPr>
          <w:rFonts w:hAnsi="Times New Roman" w:cs="Times New Roman"/>
        </w:rPr>
      </w:pPr>
      <w:r>
        <w:rPr>
          <w:rFonts w:hint="eastAsia" w:hAnsi="Times New Roman" w:cs="Times New Roman"/>
        </w:rPr>
        <w:t>外围护系统的防水、涂装、防裂等材料应符合下列规定：</w:t>
      </w:r>
    </w:p>
    <w:p>
      <w:pPr>
        <w:pStyle w:val="44"/>
        <w:numPr>
          <w:ilvl w:val="0"/>
          <w:numId w:val="42"/>
        </w:numPr>
      </w:pPr>
      <w:r>
        <w:t>外墙围护系统的材料性能应符合现行</w:t>
      </w:r>
      <w:r>
        <w:rPr>
          <w:rFonts w:hint="eastAsia"/>
        </w:rPr>
        <w:t>国家标准GB 55030和</w:t>
      </w:r>
      <w:r>
        <w:t>行业标准JGJ/T</w:t>
      </w:r>
      <w:r>
        <w:rPr>
          <w:rFonts w:hint="eastAsia"/>
        </w:rPr>
        <w:t xml:space="preserve"> </w:t>
      </w:r>
      <w:r>
        <w:t>235的规定，并应注明防水透汽</w:t>
      </w:r>
      <w:r>
        <w:rPr>
          <w:rFonts w:hint="eastAsia"/>
        </w:rPr>
        <w:t>、</w:t>
      </w:r>
      <w:r>
        <w:t>耐老化、防开裂等技术参数要求</w:t>
      </w:r>
      <w:r>
        <w:rPr>
          <w:rFonts w:hint="eastAsia"/>
        </w:rPr>
        <w:t>；</w:t>
      </w:r>
    </w:p>
    <w:p>
      <w:pPr>
        <w:pStyle w:val="44"/>
        <w:numPr>
          <w:ilvl w:val="0"/>
          <w:numId w:val="42"/>
        </w:numPr>
      </w:pPr>
      <w:r>
        <w:t>屋面围护系统的材料应根据建筑物重要程度、屋面防水等级选用，防水材料性能应符合现行国家标准GB 50345 的规定</w:t>
      </w:r>
      <w:r>
        <w:rPr>
          <w:rFonts w:hint="eastAsia"/>
        </w:rPr>
        <w:t>；</w:t>
      </w:r>
    </w:p>
    <w:p>
      <w:pPr>
        <w:pStyle w:val="44"/>
        <w:numPr>
          <w:ilvl w:val="0"/>
          <w:numId w:val="42"/>
        </w:numPr>
      </w:pPr>
      <w:r>
        <w:t>坡屋面材料性能应符合现行国家标准GB 50693的规定</w:t>
      </w:r>
      <w:r>
        <w:rPr>
          <w:rFonts w:hint="eastAsia"/>
        </w:rPr>
        <w:t>；</w:t>
      </w:r>
    </w:p>
    <w:p>
      <w:pPr>
        <w:pStyle w:val="44"/>
        <w:numPr>
          <w:ilvl w:val="0"/>
          <w:numId w:val="42"/>
        </w:numPr>
      </w:pPr>
      <w:r>
        <w:t>种植屋面材料性能应符合现行行业标准JGJ</w:t>
      </w:r>
      <w:r>
        <w:rPr>
          <w:rFonts w:hint="eastAsia"/>
        </w:rPr>
        <w:t xml:space="preserve"> </w:t>
      </w:r>
      <w:r>
        <w:t>155的规定。</w:t>
      </w:r>
    </w:p>
    <w:p>
      <w:pPr>
        <w:pStyle w:val="46"/>
        <w:rPr>
          <w:rFonts w:hAnsi="Times New Roman" w:cs="Times New Roman"/>
        </w:rPr>
      </w:pPr>
      <w:r>
        <w:rPr>
          <w:rFonts w:hint="eastAsia" w:hAnsi="Times New Roman" w:cs="Times New Roman"/>
        </w:rPr>
        <w:t>建筑外围护系统的密封胶应根据基材界面材料和使用要求选用，其伸长率、压缩率、拉伸模量、相容性、耐污染性、耐久性应满足外围护系统的使用要求。</w:t>
      </w:r>
    </w:p>
    <w:p>
      <w:pPr>
        <w:pStyle w:val="46"/>
        <w:rPr>
          <w:rFonts w:hAnsi="Times New Roman" w:cs="Times New Roman"/>
        </w:rPr>
      </w:pPr>
      <w:r>
        <w:rPr>
          <w:rFonts w:hint="eastAsia" w:hAnsi="Times New Roman" w:cs="Times New Roman"/>
        </w:rPr>
        <w:t>保温材料、防火隔离带材料、防火封堵材料等性能应符合现行国家标准GB 50016、GB 51249的规定。</w:t>
      </w:r>
    </w:p>
    <w:p>
      <w:pPr>
        <w:pStyle w:val="46"/>
      </w:pPr>
      <w:r>
        <w:rPr>
          <w:rFonts w:hint="eastAsia" w:hAnsi="Times New Roman" w:cs="Times New Roman"/>
        </w:rPr>
        <w:t>保温材料及其厚度、导热系数和蓄热系数应满足湖北省现行节能标准的要求。</w:t>
      </w:r>
    </w:p>
    <w:p>
      <w:pPr>
        <w:pStyle w:val="42"/>
        <w:spacing w:before="156" w:after="156"/>
      </w:pPr>
      <w:bookmarkStart w:id="174" w:name="_Toc241506550"/>
      <w:r>
        <w:rPr>
          <w:rFonts w:hint="eastAsia"/>
        </w:rPr>
        <w:t>外墙围护系统</w:t>
      </w:r>
      <w:bookmarkEnd w:id="174"/>
    </w:p>
    <w:p>
      <w:pPr>
        <w:pStyle w:val="46"/>
        <w:rPr>
          <w:rFonts w:hAnsi="Times New Roman" w:cs="Times New Roman"/>
        </w:rPr>
      </w:pPr>
      <w:r>
        <w:rPr>
          <w:rFonts w:hint="eastAsia" w:hAnsi="Times New Roman" w:cs="Times New Roman"/>
        </w:rPr>
        <w:t>装配式钢结构住宅建筑外墙围护系统包含自承重外墙和非承重，外墙围护系统立面设计应与部品构成相协调、减少非功能性外墙装饰部品，并应便于运输安装及维护。</w:t>
      </w:r>
    </w:p>
    <w:p>
      <w:pPr>
        <w:pStyle w:val="46"/>
        <w:rPr>
          <w:rFonts w:hAnsi="Times New Roman" w:cs="Times New Roman"/>
        </w:rPr>
      </w:pPr>
      <w:r>
        <w:rPr>
          <w:rFonts w:hint="eastAsia" w:hAnsi="Times New Roman" w:cs="Times New Roman"/>
        </w:rPr>
        <w:t>外墙维护系统应选用合适的构成及安装方式，可选用下列外墙维护系统：</w:t>
      </w:r>
    </w:p>
    <w:p>
      <w:pPr>
        <w:pStyle w:val="44"/>
        <w:numPr>
          <w:ilvl w:val="0"/>
          <w:numId w:val="43"/>
        </w:numPr>
      </w:pPr>
      <w:r>
        <w:t>装配式轻型条板外墙系统；</w:t>
      </w:r>
    </w:p>
    <w:p>
      <w:pPr>
        <w:pStyle w:val="44"/>
        <w:numPr>
          <w:ilvl w:val="0"/>
          <w:numId w:val="43"/>
        </w:numPr>
      </w:pPr>
      <w:r>
        <w:t>装配式骨架复合板外墙系统</w:t>
      </w:r>
      <w:r>
        <w:rPr>
          <w:rFonts w:hint="eastAsia"/>
        </w:rPr>
        <w:t>；</w:t>
      </w:r>
    </w:p>
    <w:p>
      <w:pPr>
        <w:pStyle w:val="44"/>
        <w:numPr>
          <w:ilvl w:val="0"/>
          <w:numId w:val="43"/>
        </w:numPr>
      </w:pPr>
      <w:r>
        <w:t>装配式预制</w:t>
      </w:r>
      <w:r>
        <w:rPr>
          <w:rFonts w:hint="eastAsia"/>
        </w:rPr>
        <w:t>（混凝土）</w:t>
      </w:r>
      <w:r>
        <w:t>外挂墙板系统；</w:t>
      </w:r>
    </w:p>
    <w:p>
      <w:pPr>
        <w:pStyle w:val="44"/>
        <w:numPr>
          <w:ilvl w:val="0"/>
          <w:numId w:val="43"/>
        </w:numPr>
      </w:pPr>
      <w:r>
        <w:t>装配式复合外墙系统或其他系统</w:t>
      </w:r>
      <w:r>
        <w:rPr>
          <w:rFonts w:hint="eastAsia"/>
        </w:rPr>
        <w:t>。</w:t>
      </w:r>
    </w:p>
    <w:p>
      <w:pPr>
        <w:pStyle w:val="46"/>
        <w:rPr>
          <w:rFonts w:hAnsi="Times New Roman" w:cs="Times New Roman"/>
        </w:rPr>
      </w:pPr>
      <w:r>
        <w:rPr>
          <w:rFonts w:hint="eastAsia" w:hAnsi="Times New Roman" w:cs="Times New Roman"/>
        </w:rPr>
        <w:t>外墙板可采用内嵌式、外挂式、嵌挂结合式等形式与主体结构连接，并宜分层悬挂或承托或与主体结构连接。</w:t>
      </w:r>
    </w:p>
    <w:p>
      <w:pPr>
        <w:pStyle w:val="46"/>
        <w:rPr>
          <w:rFonts w:hAnsi="Times New Roman" w:cs="Times New Roman"/>
        </w:rPr>
      </w:pPr>
      <w:r>
        <w:rPr>
          <w:rFonts w:hint="eastAsia" w:hAnsi="Times New Roman" w:cs="Times New Roman"/>
        </w:rPr>
        <w:t>装配式轻型条板外墙应符合下列规定：</w:t>
      </w:r>
    </w:p>
    <w:p>
      <w:pPr>
        <w:pStyle w:val="44"/>
        <w:numPr>
          <w:ilvl w:val="0"/>
          <w:numId w:val="44"/>
        </w:numPr>
      </w:pPr>
      <w:r>
        <w:rPr>
          <w:rFonts w:hint="eastAsia"/>
        </w:rPr>
        <w:t>轻型</w:t>
      </w:r>
      <w:r>
        <w:t>条板外墙</w:t>
      </w:r>
      <w:r>
        <w:rPr>
          <w:rFonts w:hint="eastAsia"/>
        </w:rPr>
        <w:t>应</w:t>
      </w:r>
      <w:r>
        <w:t>采用内嵌式或嵌挂结合在结构梁柱构件内时，与框架梁柱的连接部位采用弹性连接设计；</w:t>
      </w:r>
    </w:p>
    <w:p>
      <w:pPr>
        <w:pStyle w:val="44"/>
        <w:numPr>
          <w:ilvl w:val="0"/>
          <w:numId w:val="44"/>
        </w:numPr>
      </w:pPr>
      <w:r>
        <w:rPr>
          <w:rFonts w:hint="eastAsia"/>
        </w:rPr>
        <w:t>轻型</w:t>
      </w:r>
      <w:r>
        <w:t>条板应与结构通过连接件进行固定，连接件有可靠的防松弛、防滑脱措施；</w:t>
      </w:r>
    </w:p>
    <w:p>
      <w:pPr>
        <w:pStyle w:val="44"/>
        <w:numPr>
          <w:ilvl w:val="0"/>
          <w:numId w:val="44"/>
        </w:numPr>
      </w:pPr>
      <w:r>
        <w:rPr>
          <w:rFonts w:hint="eastAsia"/>
        </w:rPr>
        <w:t>轻型</w:t>
      </w:r>
      <w:r>
        <w:t>条板墙体上需要吊挂重物或设备时，在设计时考虑加固措施</w:t>
      </w:r>
      <w:r>
        <w:rPr>
          <w:rFonts w:hint="eastAsia"/>
        </w:rPr>
        <w:t>。</w:t>
      </w:r>
    </w:p>
    <w:p>
      <w:pPr>
        <w:pStyle w:val="46"/>
        <w:rPr>
          <w:rFonts w:hAnsi="Times New Roman" w:cs="Times New Roman"/>
        </w:rPr>
      </w:pPr>
      <w:r>
        <w:rPr>
          <w:rFonts w:hint="eastAsia"/>
        </w:rPr>
        <w:t xml:space="preserve"> 装配式骨架复合板外墙应符合下列规定：</w:t>
      </w:r>
    </w:p>
    <w:p>
      <w:pPr>
        <w:pStyle w:val="44"/>
        <w:numPr>
          <w:ilvl w:val="0"/>
          <w:numId w:val="45"/>
        </w:numPr>
      </w:pPr>
      <w:r>
        <w:t>应根据墙体强度、隔声性能、设备设施安装、外观性能等要求，确定墙体的厚度及面板、填充物和骨架的材料与规格型号等；装饰、结构、保温、设备管线、门窗洞口等</w:t>
      </w:r>
      <w:r>
        <w:rPr>
          <w:rFonts w:hint="eastAsia"/>
        </w:rPr>
        <w:t>应</w:t>
      </w:r>
      <w:r>
        <w:t>一体化设计和工厂化集成；</w:t>
      </w:r>
    </w:p>
    <w:p>
      <w:pPr>
        <w:pStyle w:val="44"/>
        <w:numPr>
          <w:ilvl w:val="0"/>
          <w:numId w:val="45"/>
        </w:numPr>
      </w:pPr>
      <w:r>
        <w:t xml:space="preserve">当采用轻钢龙骨式复合墙板时，应形成包括承重立柱、支撑、拉条和撑杆等受力结构体系，承载能力与各功能性指标要求，应通过计算及试验进行确定； </w:t>
      </w:r>
    </w:p>
    <w:p>
      <w:pPr>
        <w:pStyle w:val="44"/>
        <w:numPr>
          <w:ilvl w:val="0"/>
          <w:numId w:val="45"/>
        </w:numPr>
      </w:pPr>
      <w:r>
        <w:t>轻钢龙骨式复合墙体与主体结构连接宜采用螺栓及连接件等方式，连接强度应满足风荷载与地震作用的极限承载力要求，应满足抗撞击性能要求；</w:t>
      </w:r>
    </w:p>
    <w:p>
      <w:pPr>
        <w:pStyle w:val="44"/>
        <w:numPr>
          <w:ilvl w:val="0"/>
          <w:numId w:val="45"/>
        </w:numPr>
      </w:pPr>
      <w:r>
        <w:t>轻钢龙骨式复合墙体宜采取墙面整体防水，设置防水透气膜层。轻钢龙骨骨架应采取有效的防腐蚀措施</w:t>
      </w:r>
      <w:r>
        <w:rPr>
          <w:rFonts w:hint="eastAsia"/>
        </w:rPr>
        <w:t>。</w:t>
      </w:r>
    </w:p>
    <w:p>
      <w:pPr>
        <w:pStyle w:val="46"/>
        <w:rPr>
          <w:rFonts w:hAnsi="Times New Roman" w:cs="Times New Roman"/>
        </w:rPr>
      </w:pPr>
      <w:r>
        <w:rPr>
          <w:rFonts w:hint="eastAsia" w:hAnsi="Times New Roman" w:cs="Times New Roman"/>
        </w:rPr>
        <w:t>装配式预制（混凝土）外挂墙板应符合下列规定：</w:t>
      </w:r>
    </w:p>
    <w:p>
      <w:pPr>
        <w:pStyle w:val="44"/>
        <w:numPr>
          <w:ilvl w:val="0"/>
          <w:numId w:val="46"/>
        </w:numPr>
      </w:pPr>
      <w:r>
        <w:t>外墙板应进行结构、保温隔热、装饰一体化设计，采用外挂或嵌挂结合方式，与主体结构采取以干式法为主的连接方式；</w:t>
      </w:r>
    </w:p>
    <w:p>
      <w:pPr>
        <w:pStyle w:val="44"/>
        <w:numPr>
          <w:ilvl w:val="0"/>
          <w:numId w:val="46"/>
        </w:numPr>
      </w:pPr>
      <w:r>
        <w:t>外墙板应按非承重构件设计，连接节点具备适应钢结构主体变形能力要求；</w:t>
      </w:r>
    </w:p>
    <w:p>
      <w:pPr>
        <w:pStyle w:val="44"/>
        <w:numPr>
          <w:ilvl w:val="0"/>
          <w:numId w:val="46"/>
        </w:numPr>
      </w:pPr>
      <w:r>
        <w:t>外墙板采用涂料或块材等饰面处理，保温、装饰、外门窗（框）、预埋管线盒和预置吊点等在工厂集成生产。</w:t>
      </w:r>
    </w:p>
    <w:p>
      <w:pPr>
        <w:pStyle w:val="46"/>
        <w:rPr>
          <w:rFonts w:hAnsi="Times New Roman" w:cs="Times New Roman"/>
        </w:rPr>
      </w:pPr>
      <w:r>
        <w:rPr>
          <w:rFonts w:hint="eastAsia" w:hAnsi="Times New Roman" w:cs="Times New Roman"/>
        </w:rPr>
        <w:t xml:space="preserve"> 装配式幕墙应符合下列规定：</w:t>
      </w:r>
    </w:p>
    <w:p>
      <w:pPr>
        <w:pStyle w:val="44"/>
        <w:numPr>
          <w:ilvl w:val="0"/>
          <w:numId w:val="47"/>
        </w:numPr>
      </w:pPr>
      <w:r>
        <w:t>应根据建筑使用功能、造型、使用要求和成本控制，合理选择幕墙形式；</w:t>
      </w:r>
    </w:p>
    <w:p>
      <w:pPr>
        <w:pStyle w:val="44"/>
        <w:numPr>
          <w:ilvl w:val="0"/>
          <w:numId w:val="47"/>
        </w:numPr>
      </w:pPr>
      <w:r>
        <w:t>应根据不同的材质和饰面效果，合理选择面板材料、构造方式和配套材料；</w:t>
      </w:r>
    </w:p>
    <w:p>
      <w:pPr>
        <w:pStyle w:val="44"/>
        <w:numPr>
          <w:ilvl w:val="0"/>
          <w:numId w:val="47"/>
        </w:numPr>
      </w:pPr>
      <w:r>
        <w:t>幕墙应具有适应主体结构层间变形的能力，主体结构中连接幕墙的预埋件、锚固件应能承受幕墙传递的荷载和作用，连接件与主体结构的锚固承载力设计值应大于连接件本身的承载力设计值</w:t>
      </w:r>
      <w:r>
        <w:rPr>
          <w:rFonts w:hint="eastAsia"/>
        </w:rPr>
        <w:t>；</w:t>
      </w:r>
    </w:p>
    <w:p>
      <w:pPr>
        <w:pStyle w:val="44"/>
        <w:numPr>
          <w:ilvl w:val="0"/>
          <w:numId w:val="47"/>
        </w:numPr>
      </w:pPr>
      <w:r>
        <w:t>玻璃幕墙的设计应符合行业标准JGJ 102的规定；金属与石材幕墙的设计应符合行业标准JGJ 133 的规定；人造板材幕墙的设计应符合行业标准JGJ 336 的规定</w:t>
      </w:r>
      <w:r>
        <w:rPr>
          <w:rFonts w:hint="eastAsia"/>
        </w:rPr>
        <w:t>。</w:t>
      </w:r>
    </w:p>
    <w:p>
      <w:pPr>
        <w:pStyle w:val="46"/>
        <w:rPr>
          <w:rFonts w:hAnsi="Times New Roman" w:cs="Times New Roman"/>
        </w:rPr>
      </w:pPr>
      <w:r>
        <w:rPr>
          <w:rFonts w:hint="eastAsia" w:hAnsi="Times New Roman" w:cs="Times New Roman"/>
        </w:rPr>
        <w:t>外墙围护系统部品的保温构造形式，可采用外墙外保温系统构造、外墙夹芯保温系统构造、外墙内保温系统构造和外墙单一材料自保温系统构造等。</w:t>
      </w:r>
    </w:p>
    <w:p>
      <w:pPr>
        <w:pStyle w:val="46"/>
        <w:rPr>
          <w:rFonts w:hAnsi="Times New Roman" w:cs="Times New Roman"/>
        </w:rPr>
      </w:pPr>
      <w:r>
        <w:rPr>
          <w:rFonts w:hint="eastAsia" w:hAnsi="Times New Roman" w:cs="Times New Roman"/>
        </w:rPr>
        <w:t>外墙外保温可选用保温装饰一体化板材，其材料及系统性能应符合现行行业标准JG/T 480和JG/T 287的规定。</w:t>
      </w:r>
    </w:p>
    <w:p>
      <w:pPr>
        <w:pStyle w:val="46"/>
        <w:rPr>
          <w:rFonts w:hAnsi="Times New Roman" w:cs="Times New Roman"/>
        </w:rPr>
      </w:pPr>
      <w:r>
        <w:rPr>
          <w:rFonts w:hint="eastAsia" w:hAnsi="Times New Roman" w:cs="Times New Roman"/>
        </w:rPr>
        <w:t>外挂墙板与主体结构的连接应符合下列规定：</w:t>
      </w:r>
    </w:p>
    <w:p>
      <w:pPr>
        <w:pStyle w:val="44"/>
        <w:numPr>
          <w:ilvl w:val="0"/>
          <w:numId w:val="48"/>
        </w:numPr>
      </w:pPr>
      <w:r>
        <w:t>墙体部（构）件及其连接的承载力与变形能力应符合设计要求，当遭受多遇地震影响时，外挂墙板及其接缝不应损坏或不需修理即可继续使用；</w:t>
      </w:r>
    </w:p>
    <w:p>
      <w:pPr>
        <w:pStyle w:val="44"/>
        <w:numPr>
          <w:ilvl w:val="0"/>
          <w:numId w:val="48"/>
        </w:numPr>
      </w:pPr>
      <w:r>
        <w:t>当遭受设防烈度地震影响时，节点连接件不应损坏，外挂墙板及其接缝可能发生损坏，但经一般性修理后仍可继续使用；</w:t>
      </w:r>
    </w:p>
    <w:p>
      <w:pPr>
        <w:pStyle w:val="44"/>
        <w:numPr>
          <w:ilvl w:val="0"/>
          <w:numId w:val="48"/>
        </w:numPr>
      </w:pPr>
      <w:r>
        <w:t>当遭受预估的罕遇地震作用时，外挂墙板不应脱落，节点连接件不应失效。</w:t>
      </w:r>
    </w:p>
    <w:p>
      <w:pPr>
        <w:pStyle w:val="46"/>
        <w:rPr>
          <w:rFonts w:hAnsi="Times New Roman" w:cs="Times New Roman"/>
        </w:rPr>
      </w:pPr>
      <w:r>
        <w:rPr>
          <w:rFonts w:hint="eastAsia" w:hAnsi="Times New Roman" w:cs="Times New Roman"/>
        </w:rPr>
        <w:t>外墙围护系统设计文件应注明检验与测试要求，设置的连接件和主体结构的连接承载力设计值应通过现场抽样测试验证。</w:t>
      </w:r>
    </w:p>
    <w:p>
      <w:pPr>
        <w:pStyle w:val="46"/>
        <w:rPr>
          <w:rFonts w:hAnsi="Times New Roman" w:cs="Times New Roman"/>
        </w:rPr>
      </w:pPr>
      <w:r>
        <w:rPr>
          <w:rFonts w:hint="eastAsia" w:hAnsi="Times New Roman" w:cs="Times New Roman"/>
        </w:rPr>
        <w:t>设置在外墙围护系统中的户内管线，宜利用墙体空腔布置或结合户内装修装饰层设置，不得在施工现场开槽埋设，并应便于检修和更换。</w:t>
      </w:r>
    </w:p>
    <w:p>
      <w:pPr>
        <w:pStyle w:val="46"/>
        <w:rPr>
          <w:rFonts w:hAnsi="Times New Roman" w:cs="Times New Roman"/>
        </w:rPr>
      </w:pPr>
      <w:r>
        <w:rPr>
          <w:rFonts w:hint="eastAsia" w:hAnsi="Times New Roman" w:cs="Times New Roman"/>
        </w:rPr>
        <w:t>设置在外墙围护系统上的附属部（构）件应进行构造设计与承载验算。建筑遮阳、雨篷、空调板、栏杆、装饰件、雨水管等应与主体结构或外围护系统可靠连接，并应加强连接部位的保温防水构造。</w:t>
      </w:r>
    </w:p>
    <w:p>
      <w:pPr>
        <w:pStyle w:val="46"/>
        <w:rPr>
          <w:rFonts w:hAnsi="Times New Roman" w:cs="Times New Roman"/>
        </w:rPr>
      </w:pPr>
      <w:r>
        <w:rPr>
          <w:rFonts w:hint="eastAsia" w:hAnsi="Times New Roman" w:cs="Times New Roman"/>
        </w:rPr>
        <w:t>穿越外墙围护系统的管线、洞口，应采取防水构造措施；穿越外围护系统的管线、洞口及有可能产生声桥和振动的部位，应采取隔声降噪等构造措施。</w:t>
      </w:r>
    </w:p>
    <w:p>
      <w:pPr>
        <w:pStyle w:val="42"/>
        <w:spacing w:before="156" w:after="156"/>
      </w:pPr>
      <w:bookmarkStart w:id="175" w:name="_Toc241506551"/>
      <w:r>
        <w:rPr>
          <w:rFonts w:hint="eastAsia"/>
        </w:rPr>
        <w:t>屋面围护系统</w:t>
      </w:r>
      <w:bookmarkEnd w:id="175"/>
    </w:p>
    <w:p>
      <w:pPr>
        <w:pStyle w:val="46"/>
        <w:rPr>
          <w:rFonts w:hAnsi="Times New Roman" w:cs="Times New Roman"/>
        </w:rPr>
      </w:pPr>
      <w:r>
        <w:rPr>
          <w:rFonts w:hint="eastAsia" w:hAnsi="Times New Roman" w:cs="Times New Roman"/>
        </w:rPr>
        <w:t>钢结构装配式住宅建筑屋面围护系统的防水等级应根据建筑造型、重要程度、所处环境条件确定。屋面围护系统设计应包含材料部品的选用要求、构造设计、排水设计、防雷设计等内容。</w:t>
      </w:r>
    </w:p>
    <w:p>
      <w:pPr>
        <w:pStyle w:val="46"/>
        <w:rPr>
          <w:rFonts w:hAnsi="Times New Roman" w:cs="Times New Roman"/>
        </w:rPr>
      </w:pPr>
      <w:r>
        <w:rPr>
          <w:rFonts w:hint="eastAsia" w:hAnsi="Times New Roman" w:cs="Times New Roman"/>
        </w:rPr>
        <w:t>当屋盖结构板采用钢筋混凝土板时，屋面保护层或架空隔热层、保温层、防水层、找平层、找坡层等设计构造要求应符合现行国家标准GB 50345的规定。</w:t>
      </w:r>
    </w:p>
    <w:p>
      <w:pPr>
        <w:pStyle w:val="46"/>
        <w:rPr>
          <w:rFonts w:hAnsi="Times New Roman" w:cs="Times New Roman"/>
        </w:rPr>
      </w:pPr>
      <w:r>
        <w:rPr>
          <w:rFonts w:hint="eastAsia" w:hAnsi="Times New Roman" w:cs="Times New Roman"/>
        </w:rPr>
        <w:t>采用金属板屋面、瓦屋面等的轻型屋面围护系统，其承载力、刚度、稳定性和变形能力应符合设计要求，材料选用、系统构造应符合现行国家标准GB 50345和GB 50693的规定。</w:t>
      </w:r>
    </w:p>
    <w:p>
      <w:pPr>
        <w:pStyle w:val="46"/>
      </w:pPr>
      <w:r>
        <w:rPr>
          <w:rFonts w:hint="eastAsia" w:hAnsi="Times New Roman" w:cs="Times New Roman"/>
        </w:rPr>
        <w:t>屋面维护系统热工设计应符合国家标准GB 50176的规定，屋面围护系统、导热系数和蓄热系数应满足湖北省现行节能标准的要求。</w:t>
      </w:r>
    </w:p>
    <w:p>
      <w:pPr>
        <w:pStyle w:val="41"/>
        <w:spacing w:before="312" w:after="312"/>
      </w:pPr>
      <w:bookmarkStart w:id="176" w:name="_Toc18626"/>
      <w:bookmarkStart w:id="177" w:name="_Toc241506552"/>
      <w:r>
        <w:rPr>
          <w:rFonts w:hint="eastAsia"/>
        </w:rPr>
        <w:t>设备与管线系统设计</w:t>
      </w:r>
      <w:bookmarkEnd w:id="176"/>
      <w:bookmarkEnd w:id="177"/>
    </w:p>
    <w:p>
      <w:pPr>
        <w:pStyle w:val="42"/>
        <w:spacing w:before="156" w:after="156"/>
      </w:pPr>
      <w:bookmarkStart w:id="178" w:name="_Toc241506553"/>
      <w:r>
        <w:rPr>
          <w:rFonts w:hint="eastAsia"/>
        </w:rPr>
        <w:t>一般规定</w:t>
      </w:r>
      <w:bookmarkEnd w:id="178"/>
    </w:p>
    <w:p>
      <w:pPr>
        <w:pStyle w:val="46"/>
        <w:rPr>
          <w:rFonts w:cs="宋体"/>
          <w:szCs w:val="21"/>
          <w:lang w:bidi="ar"/>
        </w:rPr>
      </w:pPr>
      <w:r>
        <w:rPr>
          <w:rFonts w:hint="eastAsia" w:cs="宋体"/>
          <w:szCs w:val="21"/>
          <w:lang w:bidi="ar"/>
        </w:rPr>
        <w:t>钢结构装配式住宅设备与管线系统设计，应符合现行国家、行业及地方标准的规定。</w:t>
      </w:r>
    </w:p>
    <w:p>
      <w:pPr>
        <w:pStyle w:val="46"/>
        <w:rPr>
          <w:rFonts w:cs="宋体"/>
          <w:szCs w:val="21"/>
          <w:lang w:bidi="ar"/>
        </w:rPr>
      </w:pPr>
      <w:r>
        <w:rPr>
          <w:rFonts w:hint="eastAsia" w:cs="宋体"/>
          <w:szCs w:val="21"/>
          <w:lang w:bidi="ar"/>
        </w:rPr>
        <w:t>设备与管线系统应综合设计、合理选型、准确定位；不应影响主体结构安全，宜采用管线分离的设置方式，并宜采用机械或半机械安装、非焊接方式组装。</w:t>
      </w:r>
    </w:p>
    <w:p>
      <w:pPr>
        <w:pStyle w:val="46"/>
        <w:rPr>
          <w:rFonts w:cs="宋体"/>
          <w:szCs w:val="21"/>
          <w:lang w:bidi="ar"/>
        </w:rPr>
      </w:pPr>
      <w:r>
        <w:rPr>
          <w:rFonts w:hint="eastAsia" w:cs="宋体"/>
          <w:szCs w:val="21"/>
          <w:lang w:bidi="ar"/>
        </w:rPr>
        <w:t>公共设备、管线、阀门、用于总体调节和检修的部件、计量仪表、电表箱、公共强弱电配电箱等应设置在公共区域。</w:t>
      </w:r>
    </w:p>
    <w:p>
      <w:pPr>
        <w:pStyle w:val="46"/>
        <w:rPr>
          <w:rFonts w:cs="宋体"/>
          <w:szCs w:val="21"/>
          <w:lang w:bidi="ar"/>
        </w:rPr>
      </w:pPr>
      <w:r>
        <w:rPr>
          <w:rFonts w:hint="eastAsia" w:cs="宋体"/>
          <w:szCs w:val="21"/>
          <w:lang w:bidi="ar"/>
        </w:rPr>
        <w:t xml:space="preserve"> 设备与管线安装应满足结构设计要求，不得在预制结构构件安装后开槽、钻孔、开洞。设备与管线在结构梁、板上预留孔洞时，应满足以下要求：</w:t>
      </w:r>
    </w:p>
    <w:p>
      <w:pPr>
        <w:pStyle w:val="44"/>
        <w:numPr>
          <w:ilvl w:val="0"/>
          <w:numId w:val="49"/>
        </w:numPr>
      </w:pPr>
      <w:r>
        <w:rPr>
          <w:rFonts w:hint="eastAsia"/>
        </w:rPr>
        <w:t>设备与管线在结构梁、板上预留孔洞应统筹布置，合理选型、准确定位，并减少预留孔洞数量与规格类型；</w:t>
      </w:r>
    </w:p>
    <w:p>
      <w:pPr>
        <w:pStyle w:val="44"/>
        <w:numPr>
          <w:ilvl w:val="0"/>
          <w:numId w:val="49"/>
        </w:numPr>
      </w:pPr>
      <w:r>
        <w:rPr>
          <w:rFonts w:hint="eastAsia"/>
        </w:rPr>
        <w:t>孔洞应在构件生产过程中一次加工成型，并满足结构安全要求，不应在结构构件安装后开槽、钻孔、打洞；</w:t>
      </w:r>
    </w:p>
    <w:p>
      <w:pPr>
        <w:pStyle w:val="44"/>
        <w:numPr>
          <w:ilvl w:val="0"/>
          <w:numId w:val="50"/>
        </w:numPr>
        <w:rPr>
          <w:rFonts w:cs="宋体"/>
          <w:color w:val="auto"/>
          <w:szCs w:val="21"/>
          <w:lang w:bidi="ar"/>
        </w:rPr>
      </w:pPr>
      <w:r>
        <w:rPr>
          <w:rFonts w:hint="eastAsia"/>
        </w:rPr>
        <w:t>管线与预留孔洞之间应留有安装空隙，在空隙处填充柔性封堵材料。</w:t>
      </w:r>
    </w:p>
    <w:p>
      <w:pPr>
        <w:pStyle w:val="46"/>
        <w:rPr>
          <w:rFonts w:cs="宋体"/>
          <w:szCs w:val="21"/>
          <w:lang w:bidi="ar"/>
        </w:rPr>
      </w:pPr>
      <w:r>
        <w:rPr>
          <w:rFonts w:hint="eastAsia" w:cs="宋体"/>
          <w:szCs w:val="21"/>
          <w:lang w:bidi="ar"/>
        </w:rPr>
        <w:t>管道及设备支吊架安装时，不应损坏钢结构的防火及防腐性能，宜选择免焊接装配式支吊架，与钢结构构件连接时，采用钢梁卡件系列夹具抱卡（箍）的方式进行安装固定。</w:t>
      </w:r>
    </w:p>
    <w:p>
      <w:pPr>
        <w:pStyle w:val="46"/>
        <w:rPr>
          <w:rFonts w:cs="宋体"/>
          <w:szCs w:val="21"/>
          <w:lang w:bidi="ar"/>
        </w:rPr>
      </w:pPr>
      <w:r>
        <w:rPr>
          <w:rFonts w:hint="eastAsia" w:cs="宋体"/>
          <w:szCs w:val="21"/>
          <w:lang w:bidi="ar"/>
        </w:rPr>
        <w:t>设备与管线的抗震设计应符合现行国家标准GB 50981的规定。</w:t>
      </w:r>
    </w:p>
    <w:p>
      <w:pPr>
        <w:pStyle w:val="46"/>
        <w:rPr>
          <w:rFonts w:cs="宋体"/>
          <w:szCs w:val="21"/>
          <w:lang w:bidi="ar"/>
        </w:rPr>
      </w:pPr>
      <w:r>
        <w:rPr>
          <w:rFonts w:hint="eastAsia" w:cs="宋体"/>
          <w:szCs w:val="21"/>
          <w:lang w:bidi="ar"/>
        </w:rPr>
        <w:t>各类设备与管线宜采用建筑信息化模型技术并协同设计，减少平面交叉，合理利用空间。</w:t>
      </w:r>
    </w:p>
    <w:p>
      <w:pPr>
        <w:pStyle w:val="46"/>
        <w:rPr>
          <w:rFonts w:cs="宋体"/>
          <w:szCs w:val="21"/>
          <w:lang w:bidi="ar"/>
        </w:rPr>
      </w:pPr>
      <w:r>
        <w:rPr>
          <w:rFonts w:hint="eastAsia" w:cs="宋体"/>
          <w:szCs w:val="21"/>
          <w:lang w:bidi="ar"/>
        </w:rPr>
        <w:t>设备及管线宜选用装配化集成部品，其接口宜标准化，并满足通用性和互换性的要求。</w:t>
      </w:r>
    </w:p>
    <w:p>
      <w:pPr>
        <w:pStyle w:val="42"/>
        <w:spacing w:before="156" w:after="156"/>
      </w:pPr>
      <w:bookmarkStart w:id="179" w:name="_Toc241506554"/>
      <w:r>
        <w:rPr>
          <w:rFonts w:hint="eastAsia"/>
        </w:rPr>
        <w:t>给水排水</w:t>
      </w:r>
      <w:bookmarkEnd w:id="179"/>
    </w:p>
    <w:p>
      <w:pPr>
        <w:pStyle w:val="46"/>
        <w:rPr>
          <w:rFonts w:cs="宋体"/>
          <w:szCs w:val="21"/>
          <w:lang w:bidi="ar"/>
        </w:rPr>
      </w:pPr>
      <w:r>
        <w:rPr>
          <w:rFonts w:hint="eastAsia" w:cs="宋体"/>
          <w:szCs w:val="21"/>
          <w:lang w:bidi="ar"/>
        </w:rPr>
        <w:t>住户水表宜设于户外。住宅单元的给水系统和消防系统总阀门应设置在住户套外公用部位。</w:t>
      </w:r>
    </w:p>
    <w:p>
      <w:pPr>
        <w:pStyle w:val="46"/>
        <w:rPr>
          <w:rFonts w:cs="宋体"/>
          <w:szCs w:val="21"/>
          <w:lang w:bidi="ar"/>
        </w:rPr>
      </w:pPr>
      <w:r>
        <w:rPr>
          <w:rFonts w:cs="宋体"/>
          <w:spacing w:val="-6"/>
          <w:szCs w:val="21"/>
        </w:rPr>
        <w:t>给水总干管、雨水管和</w:t>
      </w:r>
      <w:r>
        <w:rPr>
          <w:rFonts w:hint="eastAsia" w:cs="宋体"/>
          <w:spacing w:val="-6"/>
          <w:szCs w:val="21"/>
        </w:rPr>
        <w:t>公用</w:t>
      </w:r>
      <w:r>
        <w:rPr>
          <w:rFonts w:cs="宋体"/>
          <w:spacing w:val="-6"/>
          <w:szCs w:val="21"/>
        </w:rPr>
        <w:t>消防管不应布置在住户套内。</w:t>
      </w:r>
    </w:p>
    <w:p>
      <w:pPr>
        <w:pStyle w:val="46"/>
        <w:rPr>
          <w:rFonts w:cs="宋体"/>
          <w:spacing w:val="-6"/>
          <w:szCs w:val="21"/>
        </w:rPr>
      </w:pPr>
      <w:r>
        <w:rPr>
          <w:rFonts w:hint="eastAsia" w:cs="宋体"/>
          <w:spacing w:val="-6"/>
          <w:szCs w:val="21"/>
        </w:rPr>
        <w:t>管材、管件及阀门设备应选用耐腐蚀、寿命长、降噪性能优良、便于安装及更换、连接可靠、密封性能优良的部件，</w:t>
      </w:r>
      <w:r>
        <w:rPr>
          <w:rFonts w:cs="宋体"/>
          <w:spacing w:val="-3"/>
          <w:szCs w:val="21"/>
        </w:rPr>
        <w:t>给水系统与配水管道、配水管道与部品的接口形式及位置</w:t>
      </w:r>
      <w:r>
        <w:rPr>
          <w:rFonts w:cs="宋体"/>
          <w:spacing w:val="-2"/>
          <w:szCs w:val="21"/>
        </w:rPr>
        <w:t>应便于维修更换</w:t>
      </w:r>
      <w:r>
        <w:rPr>
          <w:rFonts w:hint="eastAsia" w:cs="宋体"/>
          <w:spacing w:val="-6"/>
          <w:szCs w:val="21"/>
        </w:rPr>
        <w:t>。</w:t>
      </w:r>
    </w:p>
    <w:p>
      <w:pPr>
        <w:pStyle w:val="46"/>
        <w:rPr>
          <w:rFonts w:cs="宋体"/>
          <w:spacing w:val="-6"/>
          <w:szCs w:val="21"/>
        </w:rPr>
      </w:pPr>
      <w:r>
        <w:rPr>
          <w:rFonts w:hint="eastAsia" w:cs="宋体"/>
          <w:spacing w:val="-6"/>
          <w:szCs w:val="21"/>
        </w:rPr>
        <w:t>当设置太阳能热水系统时，集热器、储水罐等应与主体结构、外围护系统、内装系统一体化设计，并做好预留预埋。</w:t>
      </w:r>
    </w:p>
    <w:p>
      <w:pPr>
        <w:pStyle w:val="46"/>
        <w:rPr>
          <w:rFonts w:cs="宋体"/>
          <w:spacing w:val="-6"/>
          <w:szCs w:val="21"/>
        </w:rPr>
      </w:pPr>
      <w:r>
        <w:rPr>
          <w:rFonts w:hint="eastAsia" w:cs="宋体"/>
          <w:spacing w:val="-6"/>
          <w:szCs w:val="21"/>
        </w:rPr>
        <w:t>装配式住宅套内给水排水管道宜敷设在墙体、吊顶或楼地面的架空层或空腔中，并应采取隔声减噪和防结露等措施。</w:t>
      </w:r>
    </w:p>
    <w:p>
      <w:pPr>
        <w:pStyle w:val="46"/>
        <w:rPr>
          <w:rFonts w:cs="宋体"/>
          <w:spacing w:val="-6"/>
          <w:szCs w:val="21"/>
        </w:rPr>
      </w:pPr>
      <w:r>
        <w:rPr>
          <w:rFonts w:hint="eastAsia" w:cs="宋体"/>
          <w:spacing w:val="-6"/>
          <w:szCs w:val="21"/>
        </w:rPr>
        <w:t xml:space="preserve">装配式住宅宜采用同层排水设计。同层排水设计应符合现行行业标准CJJ 232 的有关规定，并应符合下列规定： </w:t>
      </w:r>
    </w:p>
    <w:p>
      <w:pPr>
        <w:pStyle w:val="44"/>
        <w:numPr>
          <w:ilvl w:val="0"/>
          <w:numId w:val="51"/>
        </w:numPr>
      </w:pPr>
      <w:r>
        <w:rPr>
          <w:rFonts w:hint="eastAsia"/>
        </w:rPr>
        <w:t xml:space="preserve">应满足建筑层高、楼板跨度、设备及管线等设计要求； </w:t>
      </w:r>
    </w:p>
    <w:p>
      <w:pPr>
        <w:pStyle w:val="44"/>
        <w:numPr>
          <w:ilvl w:val="0"/>
          <w:numId w:val="51"/>
        </w:numPr>
      </w:pPr>
      <w:r>
        <w:rPr>
          <w:rFonts w:hint="eastAsia"/>
        </w:rPr>
        <w:t xml:space="preserve">同层排水的卫生间地面应有防渗漏水措施； </w:t>
      </w:r>
    </w:p>
    <w:p>
      <w:pPr>
        <w:pStyle w:val="44"/>
        <w:numPr>
          <w:ilvl w:val="0"/>
          <w:numId w:val="51"/>
        </w:numPr>
      </w:pPr>
      <w:r>
        <w:rPr>
          <w:rFonts w:hint="eastAsia"/>
        </w:rPr>
        <w:t xml:space="preserve">集成式卫生间同层排水管道和给水管道应预留外部管道接口位置； </w:t>
      </w:r>
    </w:p>
    <w:p>
      <w:pPr>
        <w:pStyle w:val="44"/>
        <w:numPr>
          <w:ilvl w:val="0"/>
          <w:numId w:val="52"/>
        </w:numPr>
      </w:pPr>
      <w:r>
        <w:rPr>
          <w:rFonts w:hint="eastAsia"/>
        </w:rPr>
        <w:t>同层排水设计应满足维护检修的要求。</w:t>
      </w:r>
    </w:p>
    <w:p>
      <w:pPr>
        <w:pStyle w:val="46"/>
        <w:rPr>
          <w:rFonts w:cs="宋体"/>
          <w:szCs w:val="21"/>
          <w:lang w:bidi="ar"/>
        </w:rPr>
      </w:pPr>
      <w:r>
        <w:rPr>
          <w:rFonts w:cs="宋体"/>
          <w:szCs w:val="21"/>
          <w:lang w:bidi="ar"/>
        </w:rPr>
        <w:t>高层钢结构住宅塑料排水管管径大于等于110mm，在穿越以下部位时，必须设置防止火势蔓延的阻火圈：</w:t>
      </w:r>
    </w:p>
    <w:p>
      <w:pPr>
        <w:pStyle w:val="44"/>
        <w:numPr>
          <w:ilvl w:val="0"/>
          <w:numId w:val="53"/>
        </w:numPr>
      </w:pPr>
      <w:r>
        <w:t>不设管道井或管窿的立管穿越楼板时的楼板下侧管道上</w:t>
      </w:r>
      <w:r>
        <w:rPr>
          <w:rFonts w:hint="eastAsia"/>
        </w:rPr>
        <w:t>；</w:t>
      </w:r>
    </w:p>
    <w:p>
      <w:pPr>
        <w:pStyle w:val="44"/>
        <w:numPr>
          <w:ilvl w:val="0"/>
          <w:numId w:val="53"/>
        </w:numPr>
      </w:pPr>
      <w:r>
        <w:t>横管穿越防火分区隔墙和防火墙的两侧的管道上</w:t>
      </w:r>
      <w:r>
        <w:rPr>
          <w:rFonts w:hint="eastAsia"/>
        </w:rPr>
        <w:t>；</w:t>
      </w:r>
    </w:p>
    <w:p>
      <w:pPr>
        <w:pStyle w:val="44"/>
        <w:numPr>
          <w:ilvl w:val="0"/>
          <w:numId w:val="54"/>
        </w:numPr>
      </w:pPr>
      <w:r>
        <w:t>横管穿越管道井或管窿时的井壁外侧管道上。</w:t>
      </w:r>
    </w:p>
    <w:p>
      <w:pPr>
        <w:pStyle w:val="42"/>
        <w:spacing w:before="156" w:after="156"/>
      </w:pPr>
      <w:bookmarkStart w:id="180" w:name="_Toc241506555"/>
      <w:r>
        <w:rPr>
          <w:rFonts w:hint="eastAsia"/>
        </w:rPr>
        <w:t>电气和智能化</w:t>
      </w:r>
      <w:bookmarkEnd w:id="180"/>
    </w:p>
    <w:p>
      <w:pPr>
        <w:pStyle w:val="46"/>
        <w:rPr>
          <w:rFonts w:cs="宋体"/>
          <w:spacing w:val="-6"/>
          <w:szCs w:val="21"/>
        </w:rPr>
      </w:pPr>
      <w:r>
        <w:rPr>
          <w:rFonts w:hint="eastAsia" w:cs="宋体"/>
          <w:spacing w:val="-6"/>
          <w:szCs w:val="21"/>
        </w:rPr>
        <w:t>电气各管线系统在公共区域均采用集中布置，竖向电气管线集中在强、弱电井中布置，电气管线与主体结构分离。</w:t>
      </w:r>
    </w:p>
    <w:p>
      <w:pPr>
        <w:pStyle w:val="46"/>
        <w:rPr>
          <w:rFonts w:cs="宋体"/>
          <w:spacing w:val="-6"/>
          <w:szCs w:val="21"/>
        </w:rPr>
      </w:pPr>
      <w:r>
        <w:rPr>
          <w:rFonts w:hint="eastAsia" w:cs="宋体"/>
          <w:spacing w:val="-6"/>
          <w:szCs w:val="21"/>
        </w:rPr>
        <w:t>电表箱、公共区域照明箱以及弱电配线箱均集中设置在电井内，电井内电缆线路、弱电线路均沿桥架或金属线槽进行敷设。</w:t>
      </w:r>
    </w:p>
    <w:p>
      <w:pPr>
        <w:pStyle w:val="46"/>
        <w:rPr>
          <w:rFonts w:cs="宋体"/>
          <w:spacing w:val="-6"/>
          <w:szCs w:val="21"/>
        </w:rPr>
      </w:pPr>
      <w:r>
        <w:rPr>
          <w:rFonts w:hint="eastAsia" w:cs="宋体"/>
          <w:spacing w:val="-6"/>
          <w:szCs w:val="21"/>
        </w:rPr>
        <w:t>电气线路在住宅套内敷设时宜敷设在架空地板、吊顶内和隔墙空腔内等部位。</w:t>
      </w:r>
    </w:p>
    <w:p>
      <w:pPr>
        <w:pStyle w:val="46"/>
        <w:rPr>
          <w:rFonts w:cs="宋体"/>
          <w:spacing w:val="-6"/>
          <w:szCs w:val="21"/>
        </w:rPr>
      </w:pPr>
      <w:r>
        <w:rPr>
          <w:rFonts w:hint="eastAsia" w:cs="宋体"/>
          <w:spacing w:val="-6"/>
          <w:szCs w:val="21"/>
        </w:rPr>
        <w:t>电气线路穿越竖井井壁、防火隔墙和楼板处的空隙应采取防火封堵措施。防火封堵组件的耐火性能不应低于防火分隔部位的耐火性能要求。</w:t>
      </w:r>
    </w:p>
    <w:p>
      <w:pPr>
        <w:pStyle w:val="46"/>
        <w:rPr>
          <w:rFonts w:cs="宋体"/>
          <w:spacing w:val="-6"/>
          <w:szCs w:val="21"/>
        </w:rPr>
      </w:pPr>
      <w:r>
        <w:rPr>
          <w:rFonts w:hint="eastAsia" w:cs="宋体"/>
          <w:spacing w:val="-6"/>
          <w:szCs w:val="21"/>
        </w:rPr>
        <w:t>电气和智能化设备应采用模数化设计，并应满足准确定位要求。</w:t>
      </w:r>
    </w:p>
    <w:p>
      <w:pPr>
        <w:pStyle w:val="46"/>
        <w:rPr>
          <w:rFonts w:cs="宋体"/>
          <w:spacing w:val="-6"/>
          <w:szCs w:val="21"/>
        </w:rPr>
      </w:pPr>
      <w:r>
        <w:rPr>
          <w:rFonts w:hint="eastAsia" w:cs="宋体"/>
          <w:spacing w:val="-6"/>
          <w:szCs w:val="21"/>
        </w:rPr>
        <w:t>防雷分类应符合现行国家标准GB 50057的规定，并应按防雷分类设置防雷设施。电子信息系统应符合现行国家标准GB 50343的规定。</w:t>
      </w:r>
    </w:p>
    <w:p>
      <w:pPr>
        <w:pStyle w:val="46"/>
        <w:rPr>
          <w:rFonts w:cs="宋体"/>
          <w:spacing w:val="-6"/>
          <w:szCs w:val="21"/>
        </w:rPr>
      </w:pPr>
      <w:r>
        <w:rPr>
          <w:rFonts w:hint="eastAsia" w:cs="宋体"/>
          <w:spacing w:val="-6"/>
          <w:szCs w:val="21"/>
        </w:rPr>
        <w:t>配电间、弱电间、监控室、各设备机房、竖井和设洗浴设施的卫生间等应设等电位联接，接地端子应与建筑物本身的钢结构金属物连接。</w:t>
      </w:r>
    </w:p>
    <w:p>
      <w:pPr>
        <w:pStyle w:val="42"/>
        <w:spacing w:before="156" w:after="156"/>
      </w:pPr>
      <w:bookmarkStart w:id="181" w:name="_Toc241506556"/>
      <w:r>
        <w:rPr>
          <w:rFonts w:hint="eastAsia"/>
        </w:rPr>
        <w:t>供暖、通风、空调及燃气</w:t>
      </w:r>
      <w:bookmarkEnd w:id="181"/>
    </w:p>
    <w:p>
      <w:pPr>
        <w:pStyle w:val="46"/>
        <w:rPr>
          <w:rFonts w:cs="宋体"/>
          <w:spacing w:val="-6"/>
          <w:szCs w:val="21"/>
        </w:rPr>
      </w:pPr>
      <w:r>
        <w:rPr>
          <w:rFonts w:hint="eastAsia" w:cs="宋体"/>
          <w:spacing w:val="-6"/>
          <w:szCs w:val="21"/>
        </w:rPr>
        <w:t>建筑供暖、通风、空调系统形式及冷热源选择，应结合湖北省夏热冬冷气候条件、区域能源禀赋、装配式钢结构建筑特点开展技术经济比选，并满足下列要求：</w:t>
      </w:r>
    </w:p>
    <w:p>
      <w:pPr>
        <w:pStyle w:val="44"/>
        <w:numPr>
          <w:ilvl w:val="0"/>
          <w:numId w:val="55"/>
        </w:numPr>
      </w:pPr>
      <w:r>
        <w:rPr>
          <w:rFonts w:hint="eastAsia"/>
        </w:rPr>
        <w:t>室内设计参数：冬季供暖室内计算温度不应低于18℃，夏季空调室内计算温度不应高于26℃，室内相对湿度宜控制在40%～65%；</w:t>
      </w:r>
    </w:p>
    <w:p>
      <w:pPr>
        <w:pStyle w:val="44"/>
        <w:numPr>
          <w:ilvl w:val="0"/>
          <w:numId w:val="55"/>
        </w:numPr>
      </w:pPr>
      <w:r>
        <w:rPr>
          <w:rFonts w:hint="eastAsia"/>
        </w:rPr>
        <w:t>冷热源设备能效：名义制冷量不大于14000W风冷热泵型多联机，全年性能系数APF不宜小于 4.40；额定制冷量不大于4500W的热泵型分体房间空调器，全年性能系数APF不宜小于4.50；具备条件时优先采用市政集中冷热、空气源热泵等低碳能源系统，鼓励配套建筑光伏系统；</w:t>
      </w:r>
    </w:p>
    <w:p>
      <w:pPr>
        <w:pStyle w:val="44"/>
        <w:numPr>
          <w:ilvl w:val="0"/>
          <w:numId w:val="56"/>
        </w:numPr>
      </w:pPr>
      <w:r>
        <w:rPr>
          <w:rFonts w:hint="eastAsia"/>
        </w:rPr>
        <w:t>系统选型应采用定型化、集成化设备及管线，减少钢结构构件开孔，系统设计应兼顾全生命周期投资、能耗与维护成本，缓解钢结构冷热桥及潮湿腐蚀风险。</w:t>
      </w:r>
    </w:p>
    <w:p>
      <w:pPr>
        <w:pStyle w:val="46"/>
        <w:rPr>
          <w:rFonts w:cs="宋体"/>
          <w:spacing w:val="-6"/>
          <w:szCs w:val="21"/>
        </w:rPr>
      </w:pPr>
      <w:r>
        <w:rPr>
          <w:rFonts w:hint="eastAsia" w:cs="宋体"/>
          <w:spacing w:val="-6"/>
          <w:szCs w:val="21"/>
        </w:rPr>
        <w:t>不设置户式新风系统的新建住宅宜预留设置户式新风系统的土建安装条件。设置户式新风系统时，建筑的新风量应能满足室内卫生要求，并应充分利用自然通风。新风系统设备与管线设计宜采用标准化设计，优先采用标准化程度高、可实现装配式安装、性能优良、维护更换便捷的模块化、集成化部品部件。</w:t>
      </w:r>
    </w:p>
    <w:p>
      <w:pPr>
        <w:pStyle w:val="46"/>
        <w:rPr>
          <w:rFonts w:cs="宋体"/>
          <w:spacing w:val="-6"/>
          <w:szCs w:val="21"/>
        </w:rPr>
      </w:pPr>
      <w:r>
        <w:rPr>
          <w:rFonts w:hint="eastAsia" w:cs="宋体"/>
          <w:spacing w:val="-6"/>
          <w:szCs w:val="21"/>
        </w:rPr>
        <w:t>新建住宅室内设置供暖系统时，应符合下列规定：</w:t>
      </w:r>
    </w:p>
    <w:p>
      <w:pPr>
        <w:pStyle w:val="44"/>
        <w:numPr>
          <w:ilvl w:val="0"/>
          <w:numId w:val="57"/>
        </w:numPr>
      </w:pPr>
      <w:r>
        <w:rPr>
          <w:rFonts w:hint="eastAsia"/>
        </w:rPr>
        <w:t>宜选用干式低温热水地板辐射供暖系统；</w:t>
      </w:r>
    </w:p>
    <w:p>
      <w:pPr>
        <w:pStyle w:val="44"/>
        <w:numPr>
          <w:ilvl w:val="0"/>
          <w:numId w:val="58"/>
        </w:numPr>
      </w:pPr>
      <w:r>
        <w:rPr>
          <w:rFonts w:hint="eastAsia"/>
        </w:rPr>
        <w:t>当室内采用散热器供暖时，供回水管宜选用干法施工，安装散热器的墙板部件应采取加强措施。</w:t>
      </w:r>
    </w:p>
    <w:p>
      <w:pPr>
        <w:pStyle w:val="46"/>
        <w:rPr>
          <w:rFonts w:cs="宋体"/>
          <w:spacing w:val="-6"/>
          <w:szCs w:val="21"/>
        </w:rPr>
      </w:pPr>
      <w:r>
        <w:rPr>
          <w:rFonts w:hint="eastAsia" w:cs="宋体"/>
          <w:spacing w:val="-6"/>
          <w:szCs w:val="21"/>
        </w:rPr>
        <w:t>卫生间应设置防止倒流的机械排风系统或预留安装机械通风系统的条件。室外排风口应采取避风、防雨、防止污染墙面等措施；如采用竖向排气道集中排放，排气道应满足排气舒畅、防火、不串味、不倒灌等功能，排气道应遵循集成化设计原则，并满足构件和施工的装配化要求。</w:t>
      </w:r>
    </w:p>
    <w:p>
      <w:pPr>
        <w:pStyle w:val="46"/>
        <w:rPr>
          <w:rFonts w:cs="宋体"/>
          <w:spacing w:val="-6"/>
          <w:szCs w:val="21"/>
        </w:rPr>
      </w:pPr>
      <w:r>
        <w:rPr>
          <w:rFonts w:hint="eastAsia" w:cs="宋体"/>
          <w:spacing w:val="-6"/>
          <w:szCs w:val="21"/>
        </w:rPr>
        <w:t>厨房应采用成品厨房排油烟道竖向集中排放，同一层内厨房烟道应单独设置。厨房排油烟道应满足排烟顺畅、防火、不串烟串味、不倒灌等功能，排油烟道应遵循集成化设计原则，并满足构件和施工的装配化要求。</w:t>
      </w:r>
    </w:p>
    <w:p>
      <w:pPr>
        <w:pStyle w:val="46"/>
        <w:rPr>
          <w:rFonts w:cs="宋体"/>
          <w:spacing w:val="-6"/>
          <w:szCs w:val="21"/>
        </w:rPr>
      </w:pPr>
      <w:r>
        <w:rPr>
          <w:rFonts w:hint="eastAsia" w:cs="宋体"/>
          <w:spacing w:val="-6"/>
          <w:szCs w:val="21"/>
        </w:rPr>
        <w:t>供暖通风及空调系统管道布置应采取防结露和绝热措施。冷热水管道固定于梁柱等钢构件时，应采取绝热支架。</w:t>
      </w:r>
    </w:p>
    <w:p>
      <w:pPr>
        <w:pStyle w:val="46"/>
        <w:rPr>
          <w:rFonts w:cs="宋体"/>
          <w:spacing w:val="-6"/>
          <w:szCs w:val="21"/>
        </w:rPr>
      </w:pPr>
      <w:r>
        <w:rPr>
          <w:rFonts w:hint="eastAsia" w:cs="宋体"/>
          <w:spacing w:val="-6"/>
          <w:szCs w:val="21"/>
        </w:rPr>
        <w:t>设备基础和部（构）件应与主体结构牢固连接，并应按设备技术要求预留孔洞及采取减振措施。供暖通风及空调管道应采取牢固的支吊架，并应有防颤措施。</w:t>
      </w:r>
    </w:p>
    <w:p>
      <w:pPr>
        <w:pStyle w:val="46"/>
        <w:rPr>
          <w:rFonts w:cs="宋体"/>
          <w:spacing w:val="-6"/>
          <w:szCs w:val="21"/>
        </w:rPr>
      </w:pPr>
      <w:r>
        <w:rPr>
          <w:rFonts w:hint="eastAsia" w:cs="宋体"/>
          <w:spacing w:val="-6"/>
          <w:szCs w:val="21"/>
        </w:rPr>
        <w:t>设备及管道直接或间接地固定在钢结构上时，应考虑管道热膨胀推力对钢结构的影响。</w:t>
      </w:r>
    </w:p>
    <w:p>
      <w:pPr>
        <w:pStyle w:val="46"/>
        <w:rPr>
          <w:rFonts w:cs="宋体"/>
          <w:spacing w:val="-6"/>
          <w:szCs w:val="21"/>
        </w:rPr>
      </w:pPr>
      <w:r>
        <w:rPr>
          <w:rFonts w:hint="eastAsia" w:cs="宋体"/>
          <w:spacing w:val="-6"/>
          <w:szCs w:val="21"/>
        </w:rPr>
        <w:t>装配式钢结构住宅的供暖通风和空调等设备应选用能效比高的节能型产品。</w:t>
      </w:r>
    </w:p>
    <w:p>
      <w:pPr>
        <w:pStyle w:val="46"/>
        <w:rPr>
          <w:rFonts w:cs="宋体"/>
          <w:spacing w:val="-6"/>
          <w:szCs w:val="21"/>
        </w:rPr>
      </w:pPr>
      <w:r>
        <w:rPr>
          <w:rFonts w:hint="eastAsia" w:cs="宋体"/>
          <w:spacing w:val="-6"/>
          <w:szCs w:val="21"/>
        </w:rPr>
        <w:t>燃气系统设计应符合现行国家标准GB 50028的规定。</w:t>
      </w:r>
    </w:p>
    <w:p>
      <w:pPr>
        <w:pStyle w:val="41"/>
        <w:spacing w:before="312" w:after="312"/>
      </w:pPr>
      <w:bookmarkStart w:id="182" w:name="_Toc241506557"/>
      <w:bookmarkStart w:id="183" w:name="_Toc28596"/>
      <w:r>
        <w:rPr>
          <w:rFonts w:hint="eastAsia"/>
        </w:rPr>
        <w:t>内装系统设计</w:t>
      </w:r>
      <w:bookmarkEnd w:id="182"/>
      <w:bookmarkEnd w:id="183"/>
    </w:p>
    <w:p>
      <w:pPr>
        <w:pStyle w:val="42"/>
        <w:spacing w:before="156" w:after="156"/>
      </w:pPr>
      <w:bookmarkStart w:id="184" w:name="_Toc241506558"/>
      <w:r>
        <w:t>一般规定</w:t>
      </w:r>
      <w:bookmarkEnd w:id="184"/>
    </w:p>
    <w:p>
      <w:pPr>
        <w:pStyle w:val="46"/>
        <w:rPr>
          <w:rFonts w:cs="宋体"/>
          <w:spacing w:val="-6"/>
          <w:szCs w:val="21"/>
        </w:rPr>
      </w:pPr>
      <w:r>
        <w:rPr>
          <w:rFonts w:hint="eastAsia" w:cs="宋体"/>
          <w:spacing w:val="-6"/>
          <w:szCs w:val="21"/>
        </w:rPr>
        <w:t>内装系统设计应遵循标准化设计、工厂化生产、装配化施工、一体化装修的原则，采用集成化、模块化的内装部品，并应采用干式工法施工。</w:t>
      </w:r>
    </w:p>
    <w:p>
      <w:pPr>
        <w:pStyle w:val="46"/>
        <w:rPr>
          <w:rFonts w:cs="宋体"/>
          <w:spacing w:val="-6"/>
          <w:szCs w:val="21"/>
        </w:rPr>
      </w:pPr>
      <w:r>
        <w:rPr>
          <w:rFonts w:hint="eastAsia" w:cs="宋体"/>
          <w:spacing w:val="-6"/>
          <w:szCs w:val="21"/>
        </w:rPr>
        <w:t>内装系统设计应满足建筑全寿命期内使用功能的可变性要求。</w:t>
      </w:r>
    </w:p>
    <w:p>
      <w:pPr>
        <w:pStyle w:val="46"/>
        <w:rPr>
          <w:rFonts w:cs="宋体"/>
          <w:spacing w:val="-6"/>
          <w:szCs w:val="21"/>
        </w:rPr>
      </w:pPr>
      <w:r>
        <w:rPr>
          <w:rFonts w:hint="eastAsia" w:cs="宋体"/>
          <w:spacing w:val="-6"/>
          <w:szCs w:val="21"/>
        </w:rPr>
        <w:t>套内非承重隔墙及收纳部品宜采用可拆装构造。</w:t>
      </w:r>
    </w:p>
    <w:p>
      <w:pPr>
        <w:pStyle w:val="46"/>
        <w:rPr>
          <w:rFonts w:cs="宋体"/>
          <w:spacing w:val="-6"/>
          <w:szCs w:val="21"/>
        </w:rPr>
      </w:pPr>
      <w:r>
        <w:rPr>
          <w:rFonts w:hint="eastAsia" w:cs="宋体"/>
          <w:spacing w:val="-6"/>
          <w:szCs w:val="21"/>
        </w:rPr>
        <w:t>内装系统应与结构系统、外围护系统、设备与管线系统一体化协同设计，并应符合下列规定：</w:t>
      </w:r>
    </w:p>
    <w:p>
      <w:pPr>
        <w:pStyle w:val="44"/>
        <w:numPr>
          <w:ilvl w:val="0"/>
          <w:numId w:val="59"/>
        </w:numPr>
      </w:pPr>
      <w:r>
        <w:rPr>
          <w:rFonts w:hint="eastAsia"/>
        </w:rPr>
        <w:t>应在建筑方案设计阶段完成装配式装修技术策划、部品部件选型及模数协调；</w:t>
      </w:r>
    </w:p>
    <w:p>
      <w:pPr>
        <w:pStyle w:val="44"/>
      </w:pPr>
      <w:r>
        <w:rPr>
          <w:rFonts w:hint="eastAsia"/>
        </w:rPr>
        <w:t>应明确各专业点位、孔洞、预埋件、连接件及接口的位置和尺寸；</w:t>
      </w:r>
    </w:p>
    <w:p>
      <w:pPr>
        <w:pStyle w:val="44"/>
      </w:pPr>
      <w:r>
        <w:rPr>
          <w:rFonts w:hint="eastAsia"/>
        </w:rPr>
        <w:t>应在吊顶、墙面、楼地面及收纳系统内预留检修条件。</w:t>
      </w:r>
    </w:p>
    <w:p>
      <w:pPr>
        <w:pStyle w:val="46"/>
      </w:pPr>
      <w:r>
        <w:rPr>
          <w:rFonts w:hint="eastAsia"/>
        </w:rPr>
        <w:t>内装系统设计应符合现行国家标准GB 50016、GB 50222、GB 50118、GB 55038 和现行行业标准JGJ 367、JGJ/T 491的有关规定。</w:t>
      </w:r>
    </w:p>
    <w:p>
      <w:pPr>
        <w:pStyle w:val="46"/>
      </w:pPr>
      <w:r>
        <w:rPr>
          <w:rFonts w:hint="eastAsia"/>
        </w:rPr>
        <w:t>内装系统设计应遵循管线与结构分离、管线与部品分离及可逆安装的原则。</w:t>
      </w:r>
    </w:p>
    <w:p>
      <w:pPr>
        <w:pStyle w:val="46"/>
      </w:pPr>
      <w:r>
        <w:rPr>
          <w:rFonts w:hint="eastAsia"/>
        </w:rPr>
        <w:t>设备与管线应敷设于吊顶、架空楼地面、架空墙面或隔墙空腔内，不应埋设于结构构件及楼板内。</w:t>
      </w:r>
    </w:p>
    <w:p>
      <w:pPr>
        <w:pStyle w:val="46"/>
      </w:pPr>
      <w:r>
        <w:rPr>
          <w:rFonts w:hint="eastAsia"/>
        </w:rPr>
        <w:t>共用内装部品不应设置于套内专用空间内。</w:t>
      </w:r>
    </w:p>
    <w:p>
      <w:pPr>
        <w:pStyle w:val="46"/>
      </w:pPr>
      <w:r>
        <w:rPr>
          <w:rFonts w:hint="eastAsia"/>
        </w:rPr>
        <w:t>内装部品部件的规格尺寸应与建筑模数相协调，并应符合下列规定：</w:t>
      </w:r>
    </w:p>
    <w:p>
      <w:pPr>
        <w:pStyle w:val="44"/>
        <w:numPr>
          <w:ilvl w:val="0"/>
          <w:numId w:val="60"/>
        </w:numPr>
      </w:pPr>
      <w:r>
        <w:rPr>
          <w:rFonts w:hint="eastAsia"/>
        </w:rPr>
        <w:t>部品部件的设计尺寸应与建筑开间、进深、层高的基本模数及扩大模数相适应；</w:t>
      </w:r>
    </w:p>
    <w:p>
      <w:pPr>
        <w:pStyle w:val="44"/>
      </w:pPr>
      <w:r>
        <w:rPr>
          <w:rFonts w:hint="eastAsia"/>
        </w:rPr>
        <w:t>部品部件之间及其与设备管线之间应采用通用型构造节点连接，接口位置应固定、拆装应方便；</w:t>
      </w:r>
    </w:p>
    <w:p>
      <w:pPr>
        <w:pStyle w:val="44"/>
      </w:pPr>
      <w:r>
        <w:rPr>
          <w:rFonts w:hint="eastAsia"/>
        </w:rPr>
        <w:t>内装系统的模数协调应符合现行国家标准GB/T 50002和现行行业标准JGJ/T 445的有关规定。</w:t>
      </w:r>
    </w:p>
    <w:p>
      <w:pPr>
        <w:pStyle w:val="46"/>
      </w:pPr>
      <w:r>
        <w:rPr>
          <w:rFonts w:hint="eastAsia"/>
        </w:rPr>
        <w:t>内装部品部件的设计尺寸宜与原材料规格尺寸相匹配，提高材料利用率。</w:t>
      </w:r>
    </w:p>
    <w:p>
      <w:pPr>
        <w:pStyle w:val="46"/>
      </w:pPr>
      <w:r>
        <w:rPr>
          <w:rFonts w:hint="eastAsia"/>
        </w:rPr>
        <w:t>设计使用年限较短的部品，其维修和更换不应破坏设计使用年限较长的部品及主体结构。</w:t>
      </w:r>
    </w:p>
    <w:p>
      <w:pPr>
        <w:pStyle w:val="46"/>
      </w:pPr>
      <w:r>
        <w:rPr>
          <w:rFonts w:hint="eastAsia"/>
        </w:rPr>
        <w:t>套内内装部品的维修和更换不应影响共用部品及其他套内内装部品的使用。</w:t>
      </w:r>
    </w:p>
    <w:p>
      <w:pPr>
        <w:pStyle w:val="46"/>
      </w:pPr>
      <w:r>
        <w:rPr>
          <w:rFonts w:hint="eastAsia"/>
        </w:rPr>
        <w:t>厨房、卫生间、设有配水点的封闭阳台等房间的部品和材料应满足防水、防潮、防霉要求。</w:t>
      </w:r>
    </w:p>
    <w:p>
      <w:pPr>
        <w:pStyle w:val="46"/>
      </w:pPr>
      <w:r>
        <w:rPr>
          <w:rFonts w:hint="eastAsia"/>
        </w:rPr>
        <w:t>隐蔽部位的金属构件、紧固件及连接件应采取防腐处理。</w:t>
      </w:r>
    </w:p>
    <w:p>
      <w:pPr>
        <w:pStyle w:val="46"/>
      </w:pPr>
      <w:r>
        <w:rPr>
          <w:rFonts w:hint="eastAsia"/>
        </w:rPr>
        <w:t>内装系统设计应采取减振和隔声构造措施，并应符合下列规定：</w:t>
      </w:r>
    </w:p>
    <w:p>
      <w:pPr>
        <w:pStyle w:val="44"/>
        <w:numPr>
          <w:ilvl w:val="0"/>
          <w:numId w:val="61"/>
        </w:numPr>
      </w:pPr>
      <w:r>
        <w:rPr>
          <w:rFonts w:hint="eastAsia"/>
        </w:rPr>
        <w:t>钢构件、设备管道等易形成声桥的部位，应采用包覆、隔断或弹性垫层等措施；</w:t>
      </w:r>
    </w:p>
    <w:p>
      <w:pPr>
        <w:pStyle w:val="44"/>
      </w:pPr>
      <w:r>
        <w:rPr>
          <w:rFonts w:hint="eastAsia"/>
        </w:rPr>
        <w:t>内装部品与主体结构之间不应采用刚性通长连接。</w:t>
      </w:r>
    </w:p>
    <w:p>
      <w:pPr>
        <w:pStyle w:val="46"/>
      </w:pPr>
      <w:r>
        <w:rPr>
          <w:rFonts w:hint="eastAsia"/>
        </w:rPr>
        <w:t>内装系统设计应采取适应主体结构层间变形及温度变形的构造措施，并应符合下列规定：</w:t>
      </w:r>
    </w:p>
    <w:p>
      <w:pPr>
        <w:pStyle w:val="44"/>
        <w:numPr>
          <w:ilvl w:val="0"/>
          <w:numId w:val="62"/>
        </w:numPr>
      </w:pPr>
      <w:r>
        <w:rPr>
          <w:rFonts w:hint="eastAsia"/>
        </w:rPr>
        <w:t>隔墙、墙面、吊顶与主体结构的连接应采用弹性连接或滑动连接；</w:t>
      </w:r>
    </w:p>
    <w:p>
      <w:pPr>
        <w:pStyle w:val="44"/>
      </w:pPr>
      <w:r>
        <w:rPr>
          <w:rFonts w:hint="eastAsia"/>
        </w:rPr>
        <w:t>吊顶与墙面、墙面与楼地面交接处应设置工艺缝、伸缩缝或收口线脚；</w:t>
      </w:r>
    </w:p>
    <w:p>
      <w:pPr>
        <w:pStyle w:val="44"/>
      </w:pPr>
      <w:r>
        <w:rPr>
          <w:rFonts w:hint="eastAsia"/>
        </w:rPr>
        <w:t>接缝的允许变形量应与主体结构弹性阶段的层间位移角相协调。</w:t>
      </w:r>
    </w:p>
    <w:p>
      <w:pPr>
        <w:pStyle w:val="46"/>
      </w:pPr>
      <w:r>
        <w:rPr>
          <w:rFonts w:hint="eastAsia"/>
        </w:rPr>
        <w:t>内装系统与钢构件的连接不应削弱钢构件截面，且不应破坏钢结构的防火、防腐保护层。管线及连接件穿越防火保护层时，应按原耐火极限要求设置封堵构造。</w:t>
      </w:r>
    </w:p>
    <w:p>
      <w:pPr>
        <w:pStyle w:val="46"/>
      </w:pPr>
      <w:r>
        <w:rPr>
          <w:rFonts w:hint="eastAsia"/>
        </w:rPr>
        <w:t>内装部品与钢构件、混凝土构件等易结露部位之间应设置防潮隔汽构造。</w:t>
      </w:r>
    </w:p>
    <w:p>
      <w:pPr>
        <w:pStyle w:val="46"/>
      </w:pPr>
      <w:r>
        <w:rPr>
          <w:rFonts w:hint="eastAsia"/>
        </w:rPr>
        <w:t>结合湖北省工业副产石膏资源条件，非承重隔墙、吊顶及地面找平层宜采用以磷石膏、脱硫石膏为原料的石膏基建材。</w:t>
      </w:r>
    </w:p>
    <w:p>
      <w:pPr>
        <w:pStyle w:val="46"/>
      </w:pPr>
      <w:r>
        <w:rPr>
          <w:rFonts w:hint="eastAsia"/>
        </w:rPr>
        <w:t>采用石膏基建材时，应符合下列规定：</w:t>
      </w:r>
    </w:p>
    <w:p>
      <w:pPr>
        <w:pStyle w:val="44"/>
        <w:numPr>
          <w:ilvl w:val="0"/>
          <w:numId w:val="63"/>
        </w:numPr>
      </w:pPr>
      <w:r>
        <w:rPr>
          <w:rFonts w:hint="eastAsia"/>
        </w:rPr>
        <w:t>产品性能应符合湖北省现行DB42/T 2376地方标准的规定；</w:t>
      </w:r>
    </w:p>
    <w:p>
      <w:pPr>
        <w:pStyle w:val="44"/>
      </w:pPr>
      <w:r>
        <w:rPr>
          <w:rFonts w:hint="eastAsia"/>
        </w:rPr>
        <w:t>不应应用于厨房、卫生间、设有配水点的封闭阳台及其他有防水、防潮要求的部位；</w:t>
      </w:r>
    </w:p>
    <w:p>
      <w:pPr>
        <w:pStyle w:val="44"/>
      </w:pPr>
      <w:r>
        <w:rPr>
          <w:rFonts w:hint="eastAsia"/>
        </w:rPr>
        <w:t>石膏基隔墙条板、砌块的板缝及与楼地面交接部位应作防潮封闭处理。</w:t>
      </w:r>
    </w:p>
    <w:p>
      <w:pPr>
        <w:pStyle w:val="42"/>
        <w:spacing w:before="156" w:after="156"/>
      </w:pPr>
      <w:bookmarkStart w:id="185" w:name="_Toc241506559"/>
      <w:r>
        <w:t>隔墙与墙面系统</w:t>
      </w:r>
      <w:bookmarkEnd w:id="185"/>
    </w:p>
    <w:p>
      <w:pPr>
        <w:pStyle w:val="46"/>
        <w:rPr>
          <w:rFonts w:cs="宋体"/>
          <w:spacing w:val="-6"/>
          <w:szCs w:val="21"/>
        </w:rPr>
      </w:pPr>
      <w:r>
        <w:rPr>
          <w:rFonts w:hint="eastAsia"/>
        </w:rPr>
        <w:t>内隔墙应采用非砌筑、免抹灰的轻质墙体，可采用龙骨隔墙、条板隔墙、复合板隔墙或饰面一体化隔墙</w:t>
      </w:r>
      <w:r>
        <w:rPr>
          <w:rFonts w:hint="eastAsia" w:cs="宋体"/>
          <w:spacing w:val="-6"/>
          <w:szCs w:val="21"/>
        </w:rPr>
        <w:t>。</w:t>
      </w:r>
    </w:p>
    <w:p>
      <w:pPr>
        <w:pStyle w:val="46"/>
        <w:rPr>
          <w:rFonts w:cs="宋体"/>
          <w:spacing w:val="-6"/>
          <w:szCs w:val="21"/>
        </w:rPr>
      </w:pPr>
      <w:r>
        <w:rPr>
          <w:rFonts w:hint="eastAsia"/>
        </w:rPr>
        <w:t>隔墙与钢结构主体结构及相邻墙体的连接应符合下列规定</w:t>
      </w:r>
      <w:r>
        <w:rPr>
          <w:rFonts w:hint="eastAsia" w:cs="宋体"/>
          <w:spacing w:val="-6"/>
          <w:szCs w:val="21"/>
        </w:rPr>
        <w:t>：</w:t>
      </w:r>
    </w:p>
    <w:p>
      <w:pPr>
        <w:pStyle w:val="44"/>
        <w:numPr>
          <w:ilvl w:val="0"/>
          <w:numId w:val="64"/>
        </w:numPr>
      </w:pPr>
      <w:r>
        <w:rPr>
          <w:rFonts w:hint="eastAsia"/>
        </w:rPr>
        <w:t>连接构造应稳固、可靠，并应满足承载力和稳定性要求</w:t>
      </w:r>
      <w:r>
        <w:t>；</w:t>
      </w:r>
    </w:p>
    <w:p>
      <w:pPr>
        <w:pStyle w:val="44"/>
        <w:numPr>
          <w:ilvl w:val="0"/>
          <w:numId w:val="64"/>
        </w:numPr>
      </w:pPr>
      <w:r>
        <w:rPr>
          <w:rFonts w:hint="eastAsia"/>
        </w:rPr>
        <w:t>隔墙与主体结构之间应采用弹性连接或滑动连接</w:t>
      </w:r>
      <w:r>
        <w:t>；</w:t>
      </w:r>
    </w:p>
    <w:p>
      <w:pPr>
        <w:pStyle w:val="44"/>
        <w:numPr>
          <w:ilvl w:val="0"/>
          <w:numId w:val="64"/>
        </w:numPr>
      </w:pPr>
      <w:r>
        <w:rPr>
          <w:rFonts w:hint="eastAsia"/>
        </w:rPr>
        <w:t>不同材质墙体交接处的板缝应采用弹性密封材料密封</w:t>
      </w:r>
      <w:r>
        <w:t>；</w:t>
      </w:r>
    </w:p>
    <w:p>
      <w:pPr>
        <w:pStyle w:val="44"/>
      </w:pPr>
      <w:r>
        <w:rPr>
          <w:rFonts w:hint="eastAsia"/>
        </w:rPr>
        <w:t>门窗洞口周边应采取加强措施</w:t>
      </w:r>
      <w:r>
        <w:t>。</w:t>
      </w:r>
    </w:p>
    <w:p>
      <w:pPr>
        <w:pStyle w:val="46"/>
        <w:rPr>
          <w:rFonts w:cs="宋体"/>
          <w:spacing w:val="-6"/>
          <w:szCs w:val="21"/>
        </w:rPr>
      </w:pPr>
      <w:r>
        <w:rPr>
          <w:rFonts w:hint="eastAsia"/>
        </w:rPr>
        <w:t>隔墙的空气声隔声性能应符合现行国家标准GB 50118和GB 55038的有关规定。</w:t>
      </w:r>
    </w:p>
    <w:p>
      <w:pPr>
        <w:pStyle w:val="46"/>
        <w:rPr>
          <w:rFonts w:cs="宋体"/>
          <w:spacing w:val="-6"/>
          <w:szCs w:val="21"/>
        </w:rPr>
      </w:pPr>
      <w:r>
        <w:rPr>
          <w:rFonts w:hint="eastAsia"/>
        </w:rPr>
        <w:t>有防水、防潮要求的房间，其隔墙应符合下列规定：</w:t>
      </w:r>
    </w:p>
    <w:p>
      <w:pPr>
        <w:pStyle w:val="44"/>
        <w:numPr>
          <w:ilvl w:val="0"/>
          <w:numId w:val="65"/>
        </w:numPr>
        <w:rPr>
          <w:rFonts w:cs="宋体"/>
          <w:spacing w:val="-6"/>
          <w:szCs w:val="21"/>
        </w:rPr>
      </w:pPr>
      <w:r>
        <w:rPr>
          <w:rFonts w:hint="eastAsia"/>
        </w:rPr>
        <w:t>墙面板应采用耐水型饰面一体化集成板；</w:t>
      </w:r>
    </w:p>
    <w:p>
      <w:pPr>
        <w:pStyle w:val="44"/>
        <w:numPr>
          <w:ilvl w:val="0"/>
          <w:numId w:val="65"/>
        </w:numPr>
        <w:rPr>
          <w:rFonts w:cs="宋体"/>
          <w:color w:val="auto"/>
          <w:spacing w:val="-6"/>
          <w:szCs w:val="21"/>
        </w:rPr>
      </w:pPr>
      <w:r>
        <w:rPr>
          <w:rFonts w:hint="eastAsia"/>
        </w:rPr>
        <w:t>隔墙底部应设置混凝土翻边，混凝土强度等级不应低于C20，导墙高度</w:t>
      </w:r>
      <w:r>
        <w:rPr>
          <w:rFonts w:hint="eastAsia"/>
          <w:color w:val="auto"/>
        </w:rPr>
        <w:t>不应小于150mm；</w:t>
      </w:r>
    </w:p>
    <w:p>
      <w:pPr>
        <w:pStyle w:val="44"/>
      </w:pPr>
      <w:r>
        <w:rPr>
          <w:rFonts w:hint="eastAsia"/>
        </w:rPr>
        <w:t>门与板交界处及板缝处应作防水处理</w:t>
      </w:r>
      <w:r>
        <w:t>。</w:t>
      </w:r>
    </w:p>
    <w:p>
      <w:pPr>
        <w:pStyle w:val="46"/>
      </w:pPr>
      <w:r>
        <w:rPr>
          <w:rFonts w:hint="eastAsia"/>
        </w:rPr>
        <w:t>隔墙设计应统筹开关、插座、配电箱及设备管线的安装需求，并应符合下列规定</w:t>
      </w:r>
      <w:r>
        <w:t>：</w:t>
      </w:r>
    </w:p>
    <w:p>
      <w:pPr>
        <w:pStyle w:val="44"/>
        <w:numPr>
          <w:ilvl w:val="0"/>
          <w:numId w:val="66"/>
        </w:numPr>
      </w:pPr>
      <w:r>
        <w:rPr>
          <w:rFonts w:hint="eastAsia"/>
        </w:rPr>
        <w:t>管线应敷设于隔墙空腔内，不应采用墙板开槽敷设的构造，当墙体无空腔时，应采用工厂预开孔、预留套管或明装等方式</w:t>
      </w:r>
      <w:r>
        <w:t>；</w:t>
      </w:r>
    </w:p>
    <w:p>
      <w:pPr>
        <w:pStyle w:val="44"/>
      </w:pPr>
      <w:r>
        <w:rPr>
          <w:rFonts w:hint="eastAsia"/>
        </w:rPr>
        <w:t>设备管线安装于隔墙或墙面时，应采取加固、隔声、减振和防火封堵措施</w:t>
      </w:r>
      <w:r>
        <w:t>。</w:t>
      </w:r>
    </w:p>
    <w:p>
      <w:pPr>
        <w:pStyle w:val="46"/>
        <w:rPr>
          <w:rFonts w:cs="宋体"/>
          <w:spacing w:val="-6"/>
          <w:szCs w:val="21"/>
        </w:rPr>
      </w:pPr>
      <w:r>
        <w:rPr>
          <w:rFonts w:hint="eastAsia"/>
        </w:rPr>
        <w:t>隔墙上固定或吊挂设备、洁具、橱柜及其他重物时，应符合下列规定：</w:t>
      </w:r>
    </w:p>
    <w:p>
      <w:pPr>
        <w:pStyle w:val="44"/>
        <w:numPr>
          <w:ilvl w:val="0"/>
          <w:numId w:val="67"/>
        </w:numPr>
        <w:rPr>
          <w:rFonts w:cs="宋体"/>
          <w:spacing w:val="-6"/>
          <w:szCs w:val="21"/>
        </w:rPr>
      </w:pPr>
      <w:r>
        <w:rPr>
          <w:rFonts w:hint="eastAsia"/>
        </w:rPr>
        <w:t>应根据吊挂荷载选用具有相应承载能力的墙板，或在吊挂位置设置加强龙骨、加固板、预埋件；</w:t>
      </w:r>
    </w:p>
    <w:p>
      <w:pPr>
        <w:pStyle w:val="44"/>
        <w:numPr>
          <w:ilvl w:val="0"/>
          <w:numId w:val="67"/>
        </w:numPr>
        <w:rPr>
          <w:rFonts w:cs="宋体"/>
          <w:spacing w:val="-6"/>
          <w:szCs w:val="21"/>
        </w:rPr>
      </w:pPr>
      <w:r>
        <w:rPr>
          <w:rFonts w:hint="eastAsia"/>
        </w:rPr>
        <w:t>吊挂重物应直接与龙骨、加固构件或主体结构连接；</w:t>
      </w:r>
    </w:p>
    <w:p>
      <w:pPr>
        <w:pStyle w:val="44"/>
      </w:pPr>
      <w:r>
        <w:rPr>
          <w:rFonts w:hint="eastAsia"/>
        </w:rPr>
        <w:t>设计文件应标明吊挂位置、吊挂荷载限值及连接构造。</w:t>
      </w:r>
    </w:p>
    <w:p>
      <w:pPr>
        <w:pStyle w:val="46"/>
        <w:rPr>
          <w:rFonts w:cs="宋体"/>
          <w:spacing w:val="-6"/>
          <w:szCs w:val="21"/>
        </w:rPr>
      </w:pPr>
      <w:r>
        <w:rPr>
          <w:rFonts w:hint="eastAsia"/>
        </w:rPr>
        <w:t>墙面</w:t>
      </w:r>
      <w:r>
        <w:t>在</w:t>
      </w:r>
      <w:r>
        <w:rPr>
          <w:rFonts w:hint="eastAsia"/>
        </w:rPr>
        <w:t>管线接口、阀门等需检修部件集中处，宜预留检修口，检修口宜采用标准化尺寸</w:t>
      </w:r>
      <w:r>
        <w:rPr>
          <w:rFonts w:hint="eastAsia" w:cs="宋体"/>
          <w:spacing w:val="-6"/>
          <w:szCs w:val="21"/>
        </w:rPr>
        <w:t>。</w:t>
      </w:r>
    </w:p>
    <w:p>
      <w:pPr>
        <w:pStyle w:val="46"/>
        <w:rPr>
          <w:rFonts w:cs="宋体"/>
          <w:spacing w:val="-6"/>
          <w:szCs w:val="21"/>
        </w:rPr>
      </w:pPr>
      <w:r>
        <w:rPr>
          <w:rFonts w:hint="eastAsia"/>
        </w:rPr>
        <w:t>龙骨隔墙设计应符合下列规定：</w:t>
      </w:r>
    </w:p>
    <w:p>
      <w:pPr>
        <w:pStyle w:val="44"/>
        <w:numPr>
          <w:ilvl w:val="0"/>
          <w:numId w:val="68"/>
        </w:numPr>
        <w:rPr>
          <w:rFonts w:cs="宋体"/>
          <w:spacing w:val="-6"/>
          <w:szCs w:val="21"/>
        </w:rPr>
      </w:pPr>
      <w:r>
        <w:rPr>
          <w:rFonts w:hint="eastAsia"/>
        </w:rPr>
        <w:t>墙体构造组成、龙骨规格及墙体厚度应根据防火、隔声及空腔内设备管线安装的要求确定；</w:t>
      </w:r>
    </w:p>
    <w:p>
      <w:pPr>
        <w:pStyle w:val="44"/>
        <w:numPr>
          <w:ilvl w:val="0"/>
          <w:numId w:val="68"/>
        </w:numPr>
        <w:rPr>
          <w:rFonts w:cs="宋体"/>
          <w:spacing w:val="-6"/>
          <w:szCs w:val="21"/>
        </w:rPr>
      </w:pPr>
      <w:r>
        <w:rPr>
          <w:rFonts w:hint="eastAsia"/>
        </w:rPr>
        <w:t>龙骨布置应满足墙体强度要求，龙骨强度不满足要求时应进行验算并采取加强措施；</w:t>
      </w:r>
    </w:p>
    <w:p>
      <w:pPr>
        <w:pStyle w:val="44"/>
        <w:numPr>
          <w:ilvl w:val="0"/>
          <w:numId w:val="68"/>
        </w:numPr>
        <w:rPr>
          <w:rFonts w:cs="宋体"/>
          <w:spacing w:val="-6"/>
          <w:szCs w:val="21"/>
        </w:rPr>
      </w:pPr>
      <w:r>
        <w:rPr>
          <w:rFonts w:hint="eastAsia"/>
        </w:rPr>
        <w:t>空腔内防火、保温、隔声填充材料应采用岩棉、玻璃棉等不燃材料；</w:t>
      </w:r>
    </w:p>
    <w:p>
      <w:pPr>
        <w:pStyle w:val="44"/>
        <w:numPr>
          <w:ilvl w:val="0"/>
          <w:numId w:val="68"/>
        </w:numPr>
        <w:rPr>
          <w:rFonts w:cs="宋体"/>
          <w:spacing w:val="-6"/>
          <w:szCs w:val="21"/>
        </w:rPr>
      </w:pPr>
      <w:r>
        <w:rPr>
          <w:rFonts w:hint="eastAsia"/>
        </w:rPr>
        <w:t>门窗洞口、墙体转角及不同种类墙体交接处的龙骨应进行加强处理。</w:t>
      </w:r>
    </w:p>
    <w:p>
      <w:pPr>
        <w:pStyle w:val="46"/>
        <w:rPr>
          <w:rFonts w:cs="宋体"/>
          <w:spacing w:val="-6"/>
          <w:szCs w:val="21"/>
        </w:rPr>
      </w:pPr>
      <w:r>
        <w:rPr>
          <w:rFonts w:hint="eastAsia"/>
        </w:rPr>
        <w:t>条板隔墙设计应符合下列规定：</w:t>
      </w:r>
    </w:p>
    <w:p>
      <w:pPr>
        <w:pStyle w:val="44"/>
        <w:numPr>
          <w:ilvl w:val="0"/>
          <w:numId w:val="69"/>
        </w:numPr>
        <w:rPr>
          <w:rFonts w:cs="宋体"/>
          <w:spacing w:val="-6"/>
          <w:szCs w:val="21"/>
        </w:rPr>
      </w:pPr>
      <w:r>
        <w:rPr>
          <w:rFonts w:hint="eastAsia"/>
        </w:rPr>
        <w:t>应根据使用功能、使用部位及隔声、防火要求确定条板的材料、类型和厚度，并应与设备管线敷设相结合，不应现场开槽敷设；</w:t>
      </w:r>
    </w:p>
    <w:p>
      <w:pPr>
        <w:pStyle w:val="44"/>
        <w:numPr>
          <w:ilvl w:val="0"/>
          <w:numId w:val="69"/>
        </w:numPr>
        <w:rPr>
          <w:rFonts w:cs="宋体"/>
          <w:spacing w:val="-6"/>
          <w:szCs w:val="21"/>
        </w:rPr>
      </w:pPr>
      <w:r>
        <w:rPr>
          <w:rFonts w:hint="eastAsia"/>
        </w:rPr>
        <w:t>单层条板隔墙用作分户墙时墙体厚度不应小于120mm，用作户内分室隔墙时墙体厚度不宜小于 60mm；</w:t>
      </w:r>
    </w:p>
    <w:p>
      <w:pPr>
        <w:pStyle w:val="44"/>
        <w:numPr>
          <w:ilvl w:val="0"/>
          <w:numId w:val="69"/>
        </w:numPr>
        <w:rPr>
          <w:rFonts w:cs="宋体"/>
          <w:spacing w:val="-6"/>
          <w:szCs w:val="21"/>
        </w:rPr>
      </w:pPr>
      <w:r>
        <w:rPr>
          <w:rFonts w:hint="eastAsia"/>
        </w:rPr>
        <w:t>双层条板隔墙的条板厚度不宜小于60mm，两层板的竖向接缝应错开布置，错开净距不应小于 200mm，板间应设置连接及加强固定措施；</w:t>
      </w:r>
    </w:p>
    <w:p>
      <w:pPr>
        <w:pStyle w:val="44"/>
        <w:numPr>
          <w:ilvl w:val="0"/>
          <w:numId w:val="69"/>
        </w:numPr>
        <w:rPr>
          <w:rFonts w:cs="宋体"/>
          <w:spacing w:val="-6"/>
          <w:szCs w:val="21"/>
        </w:rPr>
      </w:pPr>
      <w:r>
        <w:rPr>
          <w:rFonts w:hint="eastAsia"/>
        </w:rPr>
        <w:t>条板之间、条板与相邻墙体之间的接缝应采取隔声和防开裂措施。</w:t>
      </w:r>
    </w:p>
    <w:p>
      <w:pPr>
        <w:pStyle w:val="44"/>
        <w:numPr>
          <w:ilvl w:val="0"/>
          <w:numId w:val="69"/>
        </w:numPr>
        <w:rPr>
          <w:rFonts w:cs="宋体"/>
          <w:spacing w:val="-6"/>
          <w:szCs w:val="21"/>
        </w:rPr>
      </w:pPr>
      <w:r>
        <w:rPr>
          <w:rFonts w:hint="eastAsia"/>
        </w:rPr>
        <w:t>接缝材料</w:t>
      </w:r>
      <w:r>
        <w:rPr>
          <w:rFonts w:hint="eastAsia"/>
          <w:b/>
          <w:bCs/>
        </w:rPr>
        <w:t>宜</w:t>
      </w:r>
      <w:r>
        <w:rPr>
          <w:rFonts w:hint="eastAsia"/>
        </w:rPr>
        <w:t>采用与条板性能相近的增强材料或产品配套专用材料。</w:t>
      </w:r>
    </w:p>
    <w:p>
      <w:pPr>
        <w:pStyle w:val="46"/>
        <w:rPr>
          <w:rFonts w:cs="宋体"/>
          <w:spacing w:val="-6"/>
          <w:szCs w:val="21"/>
        </w:rPr>
      </w:pPr>
      <w:r>
        <w:rPr>
          <w:rFonts w:hint="eastAsia"/>
        </w:rPr>
        <w:t>复合板隔墙、饰面一体化隔墙应与机电管线及设备末端进行集成设计，并应符合下列规定：</w:t>
      </w:r>
    </w:p>
    <w:p>
      <w:pPr>
        <w:pStyle w:val="44"/>
        <w:numPr>
          <w:ilvl w:val="0"/>
          <w:numId w:val="70"/>
        </w:numPr>
        <w:rPr>
          <w:rFonts w:cs="宋体"/>
          <w:spacing w:val="-6"/>
          <w:szCs w:val="21"/>
        </w:rPr>
      </w:pPr>
      <w:r>
        <w:rPr>
          <w:rFonts w:hint="eastAsia"/>
        </w:rPr>
        <w:t>应在工厂内完成预开孔、预埋件设置及饰面加工；</w:t>
      </w:r>
    </w:p>
    <w:p>
      <w:pPr>
        <w:pStyle w:val="44"/>
        <w:numPr>
          <w:ilvl w:val="0"/>
          <w:numId w:val="70"/>
        </w:numPr>
        <w:rPr>
          <w:rFonts w:cs="宋体"/>
          <w:spacing w:val="-6"/>
          <w:szCs w:val="21"/>
        </w:rPr>
      </w:pPr>
      <w:r>
        <w:rPr>
          <w:rFonts w:hint="eastAsia"/>
        </w:rPr>
        <w:t>构造设计应适应使用期间功能调整的需要。</w:t>
      </w:r>
    </w:p>
    <w:p>
      <w:pPr>
        <w:pStyle w:val="46"/>
        <w:rPr>
          <w:rFonts w:cs="宋体"/>
          <w:spacing w:val="-6"/>
          <w:szCs w:val="21"/>
        </w:rPr>
      </w:pPr>
      <w:r>
        <w:rPr>
          <w:rFonts w:hint="eastAsia"/>
        </w:rPr>
        <w:t>墙面宜采用带集成饰面层的部品，饰面层宜在工厂内完成，并宜选用耐撞击、易清洁、易修复的材料。</w:t>
      </w:r>
    </w:p>
    <w:p>
      <w:pPr>
        <w:pStyle w:val="42"/>
        <w:spacing w:before="156" w:after="156"/>
      </w:pPr>
      <w:bookmarkStart w:id="186" w:name="_Toc241506560"/>
      <w:r>
        <w:t>地面系统</w:t>
      </w:r>
      <w:bookmarkEnd w:id="186"/>
    </w:p>
    <w:p>
      <w:pPr>
        <w:pStyle w:val="46"/>
        <w:rPr>
          <w:rFonts w:cs="宋体"/>
          <w:spacing w:val="-6"/>
          <w:szCs w:val="21"/>
        </w:rPr>
      </w:pPr>
      <w:r>
        <w:t>钢结构装配式住宅地面系统</w:t>
      </w:r>
      <w:r>
        <w:rPr>
          <w:rFonts w:hint="eastAsia"/>
        </w:rPr>
        <w:t>宜采用架空楼地面、非架空干铺楼地面或其他干式工法施工的楼地面</w:t>
      </w:r>
      <w:r>
        <w:rPr>
          <w:rFonts w:hint="eastAsia" w:cs="宋体"/>
          <w:spacing w:val="-6"/>
          <w:szCs w:val="21"/>
        </w:rPr>
        <w:t>。</w:t>
      </w:r>
    </w:p>
    <w:p>
      <w:pPr>
        <w:pStyle w:val="46"/>
        <w:rPr>
          <w:rFonts w:cs="宋体"/>
          <w:spacing w:val="-6"/>
          <w:szCs w:val="21"/>
        </w:rPr>
      </w:pPr>
      <w:r>
        <w:rPr>
          <w:rFonts w:hint="eastAsia"/>
        </w:rPr>
        <w:t>楼地面系统应满足承载、防水、防滑、隔声和平整度要求，并应符合下列规定</w:t>
      </w:r>
      <w:r>
        <w:rPr>
          <w:rFonts w:hint="eastAsia" w:cs="宋体"/>
          <w:spacing w:val="-6"/>
          <w:szCs w:val="21"/>
        </w:rPr>
        <w:t>：</w:t>
      </w:r>
    </w:p>
    <w:p>
      <w:pPr>
        <w:pStyle w:val="44"/>
        <w:numPr>
          <w:ilvl w:val="0"/>
          <w:numId w:val="71"/>
        </w:numPr>
      </w:pPr>
      <w:r>
        <w:rPr>
          <w:rFonts w:hint="eastAsia"/>
        </w:rPr>
        <w:t>放置重物的部位应采取加强措施；</w:t>
      </w:r>
    </w:p>
    <w:p>
      <w:pPr>
        <w:pStyle w:val="44"/>
        <w:numPr>
          <w:ilvl w:val="0"/>
          <w:numId w:val="71"/>
        </w:numPr>
      </w:pPr>
      <w:r>
        <w:rPr>
          <w:rFonts w:hint="eastAsia"/>
        </w:rPr>
        <w:t>楼地面与地面辐射供暖（供冷）、电气、给水排水、新风等系统的管线应进行集成设计。</w:t>
      </w:r>
    </w:p>
    <w:p>
      <w:pPr>
        <w:pStyle w:val="46"/>
      </w:pPr>
      <w:r>
        <w:rPr>
          <w:rFonts w:hint="eastAsia"/>
        </w:rPr>
        <w:t>楼地面系统的空气声隔声性能、撞击声隔声性能应符合现行国家标准GB 50118 和GB 55038的有关规定。</w:t>
      </w:r>
    </w:p>
    <w:p>
      <w:pPr>
        <w:pStyle w:val="46"/>
      </w:pPr>
      <w:r>
        <w:rPr>
          <w:rFonts w:hint="eastAsia"/>
        </w:rPr>
        <w:t>钢构件在套型之间及户内空间易形成声桥的部位，应采用隔声材料或轻质混凝土填充、包覆。</w:t>
      </w:r>
    </w:p>
    <w:p>
      <w:pPr>
        <w:pStyle w:val="46"/>
      </w:pPr>
      <w:r>
        <w:rPr>
          <w:rFonts w:hint="eastAsia"/>
        </w:rPr>
        <w:t>楼地面系统与主体结构应有可靠连接，连接构造不应破坏主体结构、不应削弱钢构件和楼板的承载力。</w:t>
      </w:r>
    </w:p>
    <w:p>
      <w:pPr>
        <w:pStyle w:val="46"/>
      </w:pPr>
      <w:r>
        <w:rPr>
          <w:rFonts w:hint="eastAsia"/>
        </w:rPr>
        <w:t>楼地面与钢构件直接接触的部位应设置隔离、防潮构造。</w:t>
      </w:r>
    </w:p>
    <w:p>
      <w:pPr>
        <w:pStyle w:val="46"/>
        <w:rPr>
          <w:rFonts w:cs="宋体"/>
          <w:spacing w:val="-6"/>
          <w:szCs w:val="21"/>
        </w:rPr>
      </w:pPr>
      <w:r>
        <w:rPr>
          <w:rFonts w:hint="eastAsia" w:cs="宋体"/>
          <w:spacing w:val="-6"/>
          <w:szCs w:val="21"/>
        </w:rPr>
        <w:t>有防水、防潮要求的楼地面设计应符合下列规定：</w:t>
      </w:r>
    </w:p>
    <w:p>
      <w:pPr>
        <w:pStyle w:val="44"/>
        <w:numPr>
          <w:ilvl w:val="0"/>
          <w:numId w:val="72"/>
        </w:numPr>
      </w:pPr>
      <w:r>
        <w:rPr>
          <w:rFonts w:hint="eastAsia"/>
        </w:rPr>
        <w:t>厨房、卫生间及设有配水点的封闭阳台等房间的楼地面应设置防水层，防水设计应符合现行行业标准JGJ 298的有关规定</w:t>
      </w:r>
      <w:r>
        <w:t>；</w:t>
      </w:r>
    </w:p>
    <w:p>
      <w:pPr>
        <w:pStyle w:val="44"/>
        <w:numPr>
          <w:ilvl w:val="0"/>
          <w:numId w:val="72"/>
        </w:numPr>
      </w:pPr>
      <w:r>
        <w:rPr>
          <w:rFonts w:hint="eastAsia"/>
        </w:rPr>
        <w:t>防水层应与墙面防水层搭接闭合，形成连续封闭的防水体系</w:t>
      </w:r>
      <w:r>
        <w:t>；</w:t>
      </w:r>
    </w:p>
    <w:p>
      <w:pPr>
        <w:pStyle w:val="44"/>
        <w:numPr>
          <w:ilvl w:val="0"/>
          <w:numId w:val="72"/>
        </w:numPr>
      </w:pPr>
      <w:r>
        <w:rPr>
          <w:rFonts w:hint="eastAsia"/>
        </w:rPr>
        <w:t>穿过楼板的管道、地漏、防水底盘与楼地面交接部位应做加强防水处理</w:t>
      </w:r>
      <w:r>
        <w:t>；</w:t>
      </w:r>
    </w:p>
    <w:p>
      <w:pPr>
        <w:pStyle w:val="44"/>
        <w:numPr>
          <w:ilvl w:val="0"/>
          <w:numId w:val="72"/>
        </w:numPr>
      </w:pPr>
      <w:r>
        <w:rPr>
          <w:rFonts w:hint="eastAsia"/>
        </w:rPr>
        <w:t>楼地面应向地漏或排水沟找坡，坡度应由设计确定，并应在设计文件中明确，不应倒坡</w:t>
      </w:r>
      <w:r>
        <w:t>。</w:t>
      </w:r>
    </w:p>
    <w:p>
      <w:pPr>
        <w:pStyle w:val="46"/>
        <w:rPr>
          <w:rFonts w:cs="宋体"/>
          <w:spacing w:val="-6"/>
          <w:szCs w:val="21"/>
        </w:rPr>
      </w:pPr>
      <w:r>
        <w:rPr>
          <w:rFonts w:hint="eastAsia" w:cs="宋体"/>
          <w:spacing w:val="-6"/>
          <w:szCs w:val="21"/>
        </w:rPr>
        <w:t>架空楼地面设计应符合下列规定：</w:t>
      </w:r>
    </w:p>
    <w:p>
      <w:pPr>
        <w:pStyle w:val="44"/>
        <w:numPr>
          <w:ilvl w:val="0"/>
          <w:numId w:val="73"/>
        </w:numPr>
        <w:rPr>
          <w:rFonts w:cs="宋体"/>
          <w:spacing w:val="-6"/>
          <w:szCs w:val="21"/>
        </w:rPr>
      </w:pPr>
      <w:r>
        <w:rPr>
          <w:rFonts w:hint="eastAsia" w:cs="宋体"/>
          <w:spacing w:val="-6"/>
          <w:szCs w:val="21"/>
        </w:rPr>
        <w:t>架空层高度应根据设备管线的数量、管径、坡度、交叉情况及地面荷载经计算确定，并应满足管线安装和维护的要求；</w:t>
      </w:r>
    </w:p>
    <w:p>
      <w:pPr>
        <w:pStyle w:val="44"/>
        <w:numPr>
          <w:ilvl w:val="0"/>
          <w:numId w:val="73"/>
        </w:numPr>
        <w:rPr>
          <w:rFonts w:cs="宋体"/>
          <w:spacing w:val="-6"/>
          <w:szCs w:val="21"/>
        </w:rPr>
      </w:pPr>
      <w:r>
        <w:rPr>
          <w:rFonts w:hint="eastAsia" w:cs="宋体"/>
          <w:spacing w:val="-6"/>
          <w:szCs w:val="21"/>
        </w:rPr>
        <w:t>采用地面辐射供暖（供冷）系统时，架空层高度尚应满足加热管（供冷管）及保温层的敷设要求；</w:t>
      </w:r>
    </w:p>
    <w:p>
      <w:pPr>
        <w:pStyle w:val="44"/>
        <w:numPr>
          <w:ilvl w:val="0"/>
          <w:numId w:val="73"/>
        </w:numPr>
        <w:rPr>
          <w:rFonts w:cs="宋体"/>
          <w:spacing w:val="-6"/>
          <w:szCs w:val="21"/>
        </w:rPr>
      </w:pPr>
      <w:r>
        <w:rPr>
          <w:rFonts w:hint="eastAsia" w:cs="宋体"/>
          <w:spacing w:val="-6"/>
          <w:szCs w:val="21"/>
        </w:rPr>
        <w:t>管线密集及接口集中处应设置检修口，或采用便于拆装的构造；</w:t>
      </w:r>
    </w:p>
    <w:p>
      <w:pPr>
        <w:pStyle w:val="44"/>
        <w:numPr>
          <w:ilvl w:val="0"/>
          <w:numId w:val="73"/>
        </w:numPr>
        <w:rPr>
          <w:rFonts w:cs="宋体"/>
          <w:spacing w:val="-6"/>
          <w:szCs w:val="21"/>
        </w:rPr>
      </w:pPr>
      <w:r>
        <w:rPr>
          <w:rFonts w:hint="eastAsia" w:cs="宋体"/>
          <w:spacing w:val="-6"/>
          <w:szCs w:val="21"/>
        </w:rPr>
        <w:t>架空楼地面与墙体交接处应设置伸缩缝；</w:t>
      </w:r>
    </w:p>
    <w:p>
      <w:pPr>
        <w:pStyle w:val="44"/>
        <w:numPr>
          <w:ilvl w:val="0"/>
          <w:numId w:val="73"/>
        </w:numPr>
        <w:rPr>
          <w:rFonts w:cs="宋体"/>
          <w:spacing w:val="-6"/>
          <w:szCs w:val="21"/>
        </w:rPr>
      </w:pPr>
      <w:r>
        <w:rPr>
          <w:rFonts w:hint="eastAsia" w:cs="宋体"/>
          <w:spacing w:val="-6"/>
          <w:szCs w:val="21"/>
        </w:rPr>
        <w:t>架空空间应采取防水、防虫、防潮、防霉及易清扫、易维护的措施。</w:t>
      </w:r>
    </w:p>
    <w:p>
      <w:pPr>
        <w:pStyle w:val="46"/>
        <w:rPr>
          <w:rFonts w:cs="宋体"/>
          <w:spacing w:val="-6"/>
          <w:szCs w:val="21"/>
        </w:rPr>
      </w:pPr>
      <w:r>
        <w:rPr>
          <w:rFonts w:hint="eastAsia" w:cs="宋体"/>
          <w:spacing w:val="-6"/>
          <w:szCs w:val="21"/>
        </w:rPr>
        <w:t>架空楼地面与墙体交接处的伸缩缝宜采取美化遮盖措施。</w:t>
      </w:r>
    </w:p>
    <w:p>
      <w:pPr>
        <w:pStyle w:val="46"/>
        <w:rPr>
          <w:rFonts w:cs="宋体"/>
          <w:spacing w:val="-6"/>
          <w:szCs w:val="21"/>
        </w:rPr>
      </w:pPr>
      <w:r>
        <w:rPr>
          <w:rFonts w:hint="eastAsia" w:cs="宋体"/>
          <w:spacing w:val="-6"/>
          <w:szCs w:val="21"/>
        </w:rPr>
        <w:t>干铺楼地面设计应符合下列规定：</w:t>
      </w:r>
    </w:p>
    <w:p>
      <w:pPr>
        <w:pStyle w:val="44"/>
        <w:numPr>
          <w:ilvl w:val="0"/>
          <w:numId w:val="74"/>
        </w:numPr>
        <w:rPr>
          <w:rFonts w:cs="宋体"/>
          <w:spacing w:val="-6"/>
          <w:szCs w:val="21"/>
        </w:rPr>
      </w:pPr>
      <w:r>
        <w:rPr>
          <w:rFonts w:hint="eastAsia" w:cs="宋体"/>
          <w:spacing w:val="-6"/>
          <w:szCs w:val="21"/>
        </w:rPr>
        <w:t>基层应平整、干燥、洁净，其平整度和含水率应满足面层铺设要求；</w:t>
      </w:r>
    </w:p>
    <w:p>
      <w:pPr>
        <w:pStyle w:val="44"/>
        <w:numPr>
          <w:ilvl w:val="0"/>
          <w:numId w:val="74"/>
        </w:numPr>
        <w:rPr>
          <w:rFonts w:cs="宋体"/>
          <w:spacing w:val="-6"/>
          <w:szCs w:val="21"/>
        </w:rPr>
      </w:pPr>
      <w:r>
        <w:rPr>
          <w:rFonts w:hint="eastAsia" w:cs="宋体"/>
          <w:spacing w:val="-6"/>
          <w:szCs w:val="21"/>
        </w:rPr>
        <w:t>填充构造层的承载能力不应小于楼地面设计荷载；</w:t>
      </w:r>
    </w:p>
    <w:p>
      <w:pPr>
        <w:pStyle w:val="44"/>
        <w:numPr>
          <w:ilvl w:val="0"/>
          <w:numId w:val="74"/>
        </w:numPr>
        <w:rPr>
          <w:rFonts w:cs="宋体"/>
          <w:spacing w:val="-6"/>
          <w:szCs w:val="21"/>
        </w:rPr>
      </w:pPr>
      <w:r>
        <w:rPr>
          <w:rFonts w:hint="eastAsia" w:cs="宋体"/>
          <w:spacing w:val="-6"/>
          <w:szCs w:val="21"/>
        </w:rPr>
        <w:t>填充层采用易压缩变形材料时，应采取防止局部受压凹陷的加强措施；</w:t>
      </w:r>
    </w:p>
    <w:p>
      <w:pPr>
        <w:pStyle w:val="44"/>
        <w:numPr>
          <w:ilvl w:val="0"/>
          <w:numId w:val="74"/>
        </w:numPr>
        <w:rPr>
          <w:rFonts w:cs="宋体"/>
          <w:spacing w:val="-6"/>
          <w:szCs w:val="21"/>
        </w:rPr>
      </w:pPr>
      <w:r>
        <w:rPr>
          <w:rFonts w:hint="eastAsia" w:cs="宋体"/>
          <w:spacing w:val="-6"/>
          <w:szCs w:val="21"/>
        </w:rPr>
        <w:t>与地面辐射供暖（供冷）系统结合设置时，绝热层应能承受施工及使用荷载，其压缩强度应符合相应产品标准的规定，且不应低于设计荷载作用下的要求值。</w:t>
      </w:r>
    </w:p>
    <w:p>
      <w:pPr>
        <w:pStyle w:val="46"/>
        <w:rPr>
          <w:rFonts w:cs="宋体"/>
          <w:spacing w:val="-6"/>
          <w:szCs w:val="21"/>
        </w:rPr>
      </w:pPr>
      <w:r>
        <w:rPr>
          <w:rFonts w:hint="eastAsia" w:cs="宋体"/>
          <w:spacing w:val="-6"/>
          <w:szCs w:val="21"/>
        </w:rPr>
        <w:t>干铺楼地面与地面辐射供暖（供冷）系统结合设置时，宜选用模块式集成部品。</w:t>
      </w:r>
    </w:p>
    <w:p>
      <w:pPr>
        <w:pStyle w:val="46"/>
        <w:rPr>
          <w:rFonts w:cs="宋体"/>
          <w:spacing w:val="-6"/>
          <w:szCs w:val="21"/>
        </w:rPr>
      </w:pPr>
      <w:r>
        <w:rPr>
          <w:rFonts w:hint="eastAsia" w:cs="宋体"/>
          <w:spacing w:val="-6"/>
          <w:szCs w:val="21"/>
        </w:rPr>
        <w:t>薄贴楼地面设计应符合下列规定：</w:t>
      </w:r>
    </w:p>
    <w:p>
      <w:pPr>
        <w:pStyle w:val="44"/>
        <w:numPr>
          <w:ilvl w:val="0"/>
          <w:numId w:val="75"/>
        </w:numPr>
        <w:rPr>
          <w:rFonts w:cs="宋体"/>
          <w:spacing w:val="-6"/>
          <w:szCs w:val="21"/>
        </w:rPr>
      </w:pPr>
      <w:r>
        <w:rPr>
          <w:rFonts w:hint="eastAsia" w:cs="宋体"/>
          <w:spacing w:val="-6"/>
          <w:szCs w:val="21"/>
        </w:rPr>
        <w:t>基层应坚实、平整；</w:t>
      </w:r>
    </w:p>
    <w:p>
      <w:pPr>
        <w:pStyle w:val="44"/>
        <w:numPr>
          <w:ilvl w:val="0"/>
          <w:numId w:val="75"/>
        </w:numPr>
        <w:rPr>
          <w:rFonts w:cs="宋体"/>
          <w:spacing w:val="-6"/>
          <w:szCs w:val="21"/>
        </w:rPr>
      </w:pPr>
      <w:r>
        <w:rPr>
          <w:rFonts w:hint="eastAsia" w:cs="宋体"/>
          <w:spacing w:val="-6"/>
          <w:szCs w:val="21"/>
        </w:rPr>
        <w:t>粘结层厚度不应大于8mm；</w:t>
      </w:r>
    </w:p>
    <w:p>
      <w:pPr>
        <w:pStyle w:val="44"/>
        <w:numPr>
          <w:ilvl w:val="0"/>
          <w:numId w:val="75"/>
        </w:numPr>
        <w:rPr>
          <w:rFonts w:cs="宋体"/>
          <w:spacing w:val="-6"/>
          <w:szCs w:val="21"/>
        </w:rPr>
      </w:pPr>
      <w:r>
        <w:rPr>
          <w:rFonts w:hint="eastAsia" w:cs="宋体"/>
          <w:spacing w:val="-6"/>
          <w:szCs w:val="21"/>
        </w:rPr>
        <w:t>饰面材料应采用尺寸稳定的成品块材。</w:t>
      </w:r>
    </w:p>
    <w:p>
      <w:pPr>
        <w:pStyle w:val="46"/>
        <w:rPr>
          <w:rFonts w:cs="宋体"/>
          <w:spacing w:val="-6"/>
          <w:szCs w:val="21"/>
        </w:rPr>
      </w:pPr>
      <w:r>
        <w:rPr>
          <w:rFonts w:hint="eastAsia" w:cs="宋体"/>
          <w:spacing w:val="-6"/>
          <w:szCs w:val="21"/>
        </w:rPr>
        <w:t>采用干式低温热水地面辐射供暖系统时，应明确加热管敷设方式、填充层构造及伸缩缝设置要求。</w:t>
      </w:r>
    </w:p>
    <w:p>
      <w:pPr>
        <w:pStyle w:val="42"/>
        <w:spacing w:before="156" w:after="156"/>
      </w:pPr>
      <w:bookmarkStart w:id="187" w:name="_Toc241506561"/>
      <w:r>
        <w:t>吊顶系统</w:t>
      </w:r>
      <w:bookmarkEnd w:id="187"/>
    </w:p>
    <w:p>
      <w:pPr>
        <w:pStyle w:val="46"/>
        <w:rPr>
          <w:rFonts w:cs="宋体"/>
          <w:spacing w:val="-6"/>
          <w:szCs w:val="21"/>
        </w:rPr>
      </w:pPr>
      <w:r>
        <w:rPr>
          <w:rFonts w:hint="eastAsia" w:cs="宋体"/>
          <w:spacing w:val="-6"/>
          <w:szCs w:val="21"/>
        </w:rPr>
        <w:t>钢结构装配式住宅的吊顶宜采用干式吊顶系统，</w:t>
      </w:r>
      <w:r>
        <w:rPr>
          <w:rFonts w:hint="eastAsia"/>
        </w:rPr>
        <w:t>可采用明龙骨、暗龙骨、无龙骨吊顶或软膜天花等形式</w:t>
      </w:r>
      <w:r>
        <w:rPr>
          <w:rFonts w:hint="eastAsia" w:cs="宋体"/>
          <w:spacing w:val="-6"/>
          <w:szCs w:val="21"/>
        </w:rPr>
        <w:t>。</w:t>
      </w:r>
    </w:p>
    <w:p>
      <w:pPr>
        <w:pStyle w:val="46"/>
        <w:rPr>
          <w:rFonts w:cs="宋体"/>
          <w:spacing w:val="-6"/>
          <w:szCs w:val="21"/>
        </w:rPr>
      </w:pPr>
      <w:r>
        <w:rPr>
          <w:rFonts w:hint="eastAsia" w:cs="宋体"/>
          <w:spacing w:val="-6"/>
          <w:szCs w:val="21"/>
        </w:rPr>
        <w:t>吊顶系统的构造设计应符合下列规定：</w:t>
      </w:r>
    </w:p>
    <w:p>
      <w:pPr>
        <w:pStyle w:val="44"/>
        <w:numPr>
          <w:ilvl w:val="0"/>
          <w:numId w:val="76"/>
        </w:numPr>
      </w:pPr>
      <w:r>
        <w:rPr>
          <w:rFonts w:hint="eastAsia"/>
        </w:rPr>
        <w:t>吊顶龙骨应与主体结构可靠连接，吊杆、吊件应经荷载计算确定</w:t>
      </w:r>
      <w:r>
        <w:t>；</w:t>
      </w:r>
    </w:p>
    <w:p>
      <w:pPr>
        <w:pStyle w:val="44"/>
        <w:numPr>
          <w:ilvl w:val="0"/>
          <w:numId w:val="76"/>
        </w:numPr>
      </w:pPr>
      <w:r>
        <w:rPr>
          <w:rFonts w:hint="eastAsia"/>
        </w:rPr>
        <w:t>吊顶系统与设备管线应各自设置独立的吊挂（支承）构造，并应经荷载计算确定</w:t>
      </w:r>
      <w:r>
        <w:t>；</w:t>
      </w:r>
    </w:p>
    <w:p>
      <w:pPr>
        <w:pStyle w:val="44"/>
        <w:numPr>
          <w:ilvl w:val="0"/>
          <w:numId w:val="76"/>
        </w:numPr>
      </w:pPr>
      <w:r>
        <w:rPr>
          <w:rFonts w:hint="eastAsia"/>
        </w:rPr>
        <w:t>质量较大的灯具、风口、电扇及其他设备应吊挂于楼板或承重结构构件上，不得直接固定在吊顶龙骨或饰面板上</w:t>
      </w:r>
      <w:r>
        <w:t>；</w:t>
      </w:r>
    </w:p>
    <w:p>
      <w:pPr>
        <w:pStyle w:val="44"/>
        <w:numPr>
          <w:ilvl w:val="0"/>
          <w:numId w:val="76"/>
        </w:numPr>
      </w:pPr>
      <w:r>
        <w:rPr>
          <w:rFonts w:hint="eastAsia"/>
        </w:rPr>
        <w:t>主龙骨不应被设备管线、风口、灯具、检修口等切断，不可避免时，应采取加强措施并保持龙骨体系连续受力</w:t>
      </w:r>
      <w:r>
        <w:t>。</w:t>
      </w:r>
    </w:p>
    <w:p>
      <w:pPr>
        <w:pStyle w:val="46"/>
        <w:rPr>
          <w:rFonts w:cs="宋体"/>
          <w:spacing w:val="-6"/>
          <w:szCs w:val="21"/>
        </w:rPr>
      </w:pPr>
      <w:r>
        <w:rPr>
          <w:rFonts w:hint="eastAsia" w:cs="宋体"/>
          <w:spacing w:val="-6"/>
          <w:szCs w:val="21"/>
        </w:rPr>
        <w:t>吊顶与墙、梁及相邻部品交接处应设置伸缩缝、工艺缝或收口线脚。</w:t>
      </w:r>
    </w:p>
    <w:p>
      <w:pPr>
        <w:pStyle w:val="46"/>
        <w:rPr>
          <w:rFonts w:cs="宋体"/>
          <w:spacing w:val="-6"/>
          <w:szCs w:val="21"/>
        </w:rPr>
      </w:pPr>
      <w:r>
        <w:rPr>
          <w:rFonts w:hint="eastAsia" w:cs="宋体"/>
          <w:spacing w:val="-6"/>
          <w:szCs w:val="21"/>
        </w:rPr>
        <w:t>吊顶应与设备、管线协同设计，并应符合下列规定：</w:t>
      </w:r>
    </w:p>
    <w:p>
      <w:pPr>
        <w:pStyle w:val="44"/>
        <w:numPr>
          <w:ilvl w:val="0"/>
          <w:numId w:val="77"/>
        </w:numPr>
      </w:pPr>
      <w:r>
        <w:rPr>
          <w:rFonts w:hint="eastAsia"/>
        </w:rPr>
        <w:t>吊顶内预留空间应满足通风、新风、给水、消防、电气等管道管线的敷设要求</w:t>
      </w:r>
      <w:r>
        <w:t>；</w:t>
      </w:r>
    </w:p>
    <w:p>
      <w:pPr>
        <w:pStyle w:val="44"/>
        <w:numPr>
          <w:ilvl w:val="0"/>
          <w:numId w:val="77"/>
        </w:numPr>
      </w:pPr>
      <w:r>
        <w:rPr>
          <w:rFonts w:hint="eastAsia"/>
        </w:rPr>
        <w:t>管道密集或交叉部位应核算并加大吊顶净空</w:t>
      </w:r>
      <w:r>
        <w:t>；</w:t>
      </w:r>
    </w:p>
    <w:p>
      <w:pPr>
        <w:pStyle w:val="44"/>
        <w:numPr>
          <w:ilvl w:val="0"/>
          <w:numId w:val="77"/>
        </w:numPr>
      </w:pPr>
      <w:r>
        <w:rPr>
          <w:rFonts w:hint="eastAsia"/>
        </w:rPr>
        <w:t>管线密集和接口集中部位应设置检修口，检修口的位置和尺寸应满足检修操作要求</w:t>
      </w:r>
      <w:r>
        <w:t>。</w:t>
      </w:r>
    </w:p>
    <w:p>
      <w:pPr>
        <w:pStyle w:val="46"/>
        <w:rPr>
          <w:rFonts w:cs="宋体"/>
          <w:spacing w:val="-6"/>
          <w:szCs w:val="21"/>
        </w:rPr>
      </w:pPr>
      <w:r>
        <w:rPr>
          <w:rFonts w:hint="eastAsia" w:cs="宋体"/>
          <w:spacing w:val="-6"/>
          <w:szCs w:val="21"/>
        </w:rPr>
        <w:t>吊顶宜与灯具、风口、喷淋、烟感等末端设备进行集成设计。需在饰面板上开孔的部品宜在工厂内完成预加工。</w:t>
      </w:r>
    </w:p>
    <w:p>
      <w:pPr>
        <w:pStyle w:val="46"/>
        <w:rPr>
          <w:rFonts w:cs="宋体"/>
          <w:spacing w:val="-6"/>
          <w:szCs w:val="21"/>
        </w:rPr>
      </w:pPr>
      <w:r>
        <w:rPr>
          <w:rFonts w:hint="eastAsia" w:cs="宋体"/>
          <w:spacing w:val="-6"/>
          <w:szCs w:val="21"/>
        </w:rPr>
        <w:t>吊顶内敷设给水排水管道时，应采取防结露、防渗漏措施。</w:t>
      </w:r>
    </w:p>
    <w:p>
      <w:pPr>
        <w:pStyle w:val="46"/>
        <w:rPr>
          <w:rFonts w:cs="宋体"/>
          <w:spacing w:val="-6"/>
          <w:szCs w:val="21"/>
        </w:rPr>
      </w:pPr>
      <w:r>
        <w:rPr>
          <w:rFonts w:hint="eastAsia" w:cs="宋体"/>
          <w:spacing w:val="-6"/>
          <w:szCs w:val="21"/>
        </w:rPr>
        <w:t>厨房、卫生间的吊顶应符合下列规定：</w:t>
      </w:r>
    </w:p>
    <w:p>
      <w:pPr>
        <w:pStyle w:val="44"/>
        <w:numPr>
          <w:ilvl w:val="0"/>
          <w:numId w:val="78"/>
        </w:numPr>
      </w:pPr>
      <w:r>
        <w:rPr>
          <w:rFonts w:hint="eastAsia"/>
        </w:rPr>
        <w:t>饰面材料和构造应满足防水、防潮、耐热、易清洁要求；</w:t>
      </w:r>
    </w:p>
    <w:p>
      <w:pPr>
        <w:pStyle w:val="44"/>
        <w:numPr>
          <w:ilvl w:val="0"/>
          <w:numId w:val="78"/>
        </w:numPr>
      </w:pPr>
      <w:r>
        <w:rPr>
          <w:rFonts w:hint="eastAsia"/>
        </w:rPr>
        <w:t>管线集中部位应设置检修口；</w:t>
      </w:r>
    </w:p>
    <w:p>
      <w:pPr>
        <w:pStyle w:val="44"/>
        <w:numPr>
          <w:ilvl w:val="0"/>
          <w:numId w:val="78"/>
        </w:numPr>
      </w:pPr>
      <w:r>
        <w:rPr>
          <w:rFonts w:hint="eastAsia"/>
        </w:rPr>
        <w:t>吊顶标高应满足排风、排水管道的坡度要求。</w:t>
      </w:r>
    </w:p>
    <w:p>
      <w:pPr>
        <w:pStyle w:val="42"/>
        <w:spacing w:before="156" w:after="156"/>
      </w:pPr>
      <w:bookmarkStart w:id="188" w:name="_Toc241506562"/>
      <w:r>
        <w:t>厨房与卫生间集成</w:t>
      </w:r>
      <w:bookmarkEnd w:id="188"/>
    </w:p>
    <w:p>
      <w:pPr>
        <w:pStyle w:val="46"/>
        <w:rPr>
          <w:rFonts w:cs="宋体"/>
          <w:spacing w:val="-6"/>
          <w:szCs w:val="21"/>
        </w:rPr>
      </w:pPr>
      <w:r>
        <w:rPr>
          <w:rFonts w:hint="eastAsia" w:cs="宋体"/>
          <w:spacing w:val="-6"/>
          <w:szCs w:val="21"/>
        </w:rPr>
        <w:t>厨房宜采用集成厨房，卫生间宜采用集成式卫生间。</w:t>
      </w:r>
    </w:p>
    <w:p>
      <w:pPr>
        <w:pStyle w:val="46"/>
        <w:rPr>
          <w:rFonts w:cs="宋体"/>
          <w:spacing w:val="-6"/>
          <w:szCs w:val="21"/>
        </w:rPr>
      </w:pPr>
      <w:r>
        <w:rPr>
          <w:rFonts w:hint="eastAsia" w:cs="宋体"/>
          <w:spacing w:val="-6"/>
          <w:szCs w:val="21"/>
        </w:rPr>
        <w:t>厨房、卫生间设计应遵循人体工程学原理，协调建筑、结构、内装、给水排水、暖通、电气、燃气等专业，合理确定平面布局、部品尺寸、管线敷设方式与路径、结构预留孔洞及管道井位置</w:t>
      </w:r>
      <w:r>
        <w:rPr>
          <w:rFonts w:hint="eastAsia" w:cs="Times New Roman"/>
        </w:rPr>
        <w:t>。</w:t>
      </w:r>
    </w:p>
    <w:p>
      <w:pPr>
        <w:pStyle w:val="46"/>
        <w:rPr>
          <w:rFonts w:cs="宋体"/>
          <w:spacing w:val="-6"/>
          <w:szCs w:val="21"/>
        </w:rPr>
      </w:pPr>
      <w:r>
        <w:rPr>
          <w:rFonts w:hint="eastAsia" w:cs="宋体"/>
          <w:spacing w:val="-6"/>
          <w:szCs w:val="21"/>
        </w:rPr>
        <w:t>集成厨房设计应包括厨房楼地面、吊顶、墙面、橱柜及厨房设备与管线的设计，并应与内装系统其他部品协同设计。</w:t>
      </w:r>
    </w:p>
    <w:p>
      <w:pPr>
        <w:pStyle w:val="46"/>
        <w:rPr>
          <w:rFonts w:cs="宋体"/>
          <w:spacing w:val="-6"/>
          <w:szCs w:val="21"/>
        </w:rPr>
      </w:pPr>
      <w:r>
        <w:rPr>
          <w:rFonts w:hint="eastAsia" w:cs="宋体"/>
          <w:spacing w:val="-6"/>
          <w:szCs w:val="21"/>
        </w:rPr>
        <w:t>厨房部品宜模数化、标准化、系列化。</w:t>
      </w:r>
    </w:p>
    <w:p>
      <w:pPr>
        <w:pStyle w:val="46"/>
        <w:rPr>
          <w:rFonts w:cs="宋体"/>
          <w:spacing w:val="-6"/>
          <w:szCs w:val="21"/>
        </w:rPr>
      </w:pPr>
      <w:r>
        <w:rPr>
          <w:rFonts w:hint="eastAsia" w:cs="宋体"/>
          <w:spacing w:val="-6"/>
          <w:szCs w:val="21"/>
        </w:rPr>
        <w:t>集成厨房设计应符合下列规定：</w:t>
      </w:r>
    </w:p>
    <w:p>
      <w:pPr>
        <w:pStyle w:val="44"/>
        <w:numPr>
          <w:ilvl w:val="0"/>
          <w:numId w:val="79"/>
        </w:numPr>
      </w:pPr>
      <w:r>
        <w:t>应预留厨房电器、燃气设备的安装位置及接口；</w:t>
      </w:r>
    </w:p>
    <w:p>
      <w:pPr>
        <w:pStyle w:val="44"/>
        <w:numPr>
          <w:ilvl w:val="0"/>
          <w:numId w:val="79"/>
        </w:numPr>
      </w:pPr>
      <w:r>
        <w:t>给水排水、燃气等管线应集中设置、合理定位，并应便于查表和检修；</w:t>
      </w:r>
    </w:p>
    <w:p>
      <w:pPr>
        <w:pStyle w:val="44"/>
        <w:numPr>
          <w:ilvl w:val="0"/>
          <w:numId w:val="79"/>
        </w:numPr>
      </w:pPr>
      <w:r>
        <w:t>应设置热水器的安装位置及预留孔</w:t>
      </w:r>
      <w:r>
        <w:rPr>
          <w:rFonts w:hint="eastAsia"/>
        </w:rPr>
        <w:t>，</w:t>
      </w:r>
      <w:r>
        <w:t>燃气热水器应预留排烟口，排烟口应直接对外并采取防倒灌措施；</w:t>
      </w:r>
    </w:p>
    <w:p>
      <w:pPr>
        <w:pStyle w:val="44"/>
        <w:numPr>
          <w:ilvl w:val="0"/>
          <w:numId w:val="79"/>
        </w:numPr>
      </w:pPr>
      <w:r>
        <w:t>吊柜、厨房电器等应与主体结构或加强构件可靠连接</w:t>
      </w:r>
      <w:r>
        <w:rPr>
          <w:rFonts w:hint="eastAsia"/>
        </w:rPr>
        <w:t>，</w:t>
      </w:r>
      <w:r>
        <w:t>悬挂于轻质隔墙时应采取加强措施；</w:t>
      </w:r>
    </w:p>
    <w:p>
      <w:pPr>
        <w:pStyle w:val="44"/>
        <w:numPr>
          <w:ilvl w:val="0"/>
          <w:numId w:val="79"/>
        </w:numPr>
      </w:pPr>
      <w:r>
        <w:t>设备管线更新、维护部位应设置检修口或检修门。</w:t>
      </w:r>
    </w:p>
    <w:p>
      <w:pPr>
        <w:pStyle w:val="46"/>
        <w:rPr>
          <w:rFonts w:cs="宋体"/>
          <w:spacing w:val="-6"/>
          <w:szCs w:val="21"/>
        </w:rPr>
      </w:pPr>
      <w:r>
        <w:rPr>
          <w:rFonts w:hint="eastAsia" w:cs="宋体"/>
          <w:spacing w:val="-6"/>
          <w:szCs w:val="21"/>
        </w:rPr>
        <w:t>集成厨房吊顶、墙面及地面材料的燃烧性能等级不应低于 A 级。地面材料尚应满足防滑、耐磨、低吸水率、易清洁要求。</w:t>
      </w:r>
    </w:p>
    <w:p>
      <w:pPr>
        <w:pStyle w:val="46"/>
        <w:rPr>
          <w:rFonts w:cs="宋体"/>
          <w:spacing w:val="-6"/>
          <w:szCs w:val="21"/>
        </w:rPr>
      </w:pPr>
      <w:r>
        <w:rPr>
          <w:rFonts w:hint="eastAsia" w:cs="宋体"/>
          <w:spacing w:val="-6"/>
          <w:szCs w:val="21"/>
        </w:rPr>
        <w:t>卫生间设计应与建筑、结构、给水排水、暖通、电气等专业协同，结合结构形式、建筑尺寸、排水方式确定部品尺寸和技术方案。</w:t>
      </w:r>
    </w:p>
    <w:p>
      <w:pPr>
        <w:pStyle w:val="46"/>
        <w:rPr>
          <w:rFonts w:cs="宋体"/>
          <w:spacing w:val="-6"/>
          <w:szCs w:val="21"/>
        </w:rPr>
      </w:pPr>
      <w:r>
        <w:rPr>
          <w:rFonts w:hint="eastAsia" w:cs="宋体"/>
          <w:spacing w:val="-6"/>
          <w:szCs w:val="21"/>
        </w:rPr>
        <w:t>卫生间宜采用同层排水方式，设计应符合下列规定：</w:t>
      </w:r>
    </w:p>
    <w:p>
      <w:pPr>
        <w:pStyle w:val="44"/>
        <w:numPr>
          <w:ilvl w:val="0"/>
          <w:numId w:val="80"/>
        </w:numPr>
      </w:pPr>
      <w:r>
        <w:t>降板区域应根据排水防水方案、管道敷设路径及检修要求确定；</w:t>
      </w:r>
    </w:p>
    <w:p>
      <w:pPr>
        <w:pStyle w:val="44"/>
        <w:numPr>
          <w:ilvl w:val="0"/>
          <w:numId w:val="80"/>
        </w:numPr>
      </w:pPr>
      <w:r>
        <w:t>降板高度应由设计确定，并应在设计文件中明确；</w:t>
      </w:r>
    </w:p>
    <w:p>
      <w:pPr>
        <w:pStyle w:val="44"/>
        <w:rPr>
          <w:rFonts w:cs="宋体"/>
          <w:spacing w:val="-6"/>
          <w:szCs w:val="21"/>
        </w:rPr>
      </w:pPr>
      <w:r>
        <w:rPr>
          <w:rFonts w:hint="eastAsia" w:cs="宋体"/>
          <w:spacing w:val="-6"/>
          <w:szCs w:val="21"/>
        </w:rPr>
        <w:t>同层排水管道的敷设不应影响楼板的承载力、防水性能和隔声性能。</w:t>
      </w:r>
    </w:p>
    <w:p>
      <w:pPr>
        <w:pStyle w:val="46"/>
        <w:rPr>
          <w:rFonts w:cs="宋体"/>
          <w:spacing w:val="-6"/>
          <w:szCs w:val="21"/>
        </w:rPr>
      </w:pPr>
      <w:r>
        <w:rPr>
          <w:rFonts w:hint="eastAsia" w:cs="宋体"/>
          <w:spacing w:val="-6"/>
          <w:szCs w:val="21"/>
        </w:rPr>
        <w:t>集成式卫生间设计应符合下列规定：</w:t>
      </w:r>
    </w:p>
    <w:p>
      <w:pPr>
        <w:pStyle w:val="44"/>
        <w:numPr>
          <w:ilvl w:val="0"/>
          <w:numId w:val="81"/>
        </w:numPr>
      </w:pPr>
      <w:r>
        <w:t>应采用干式工法，卫浴部品应采用模数化、标准化、系列化产品；</w:t>
      </w:r>
    </w:p>
    <w:p>
      <w:pPr>
        <w:pStyle w:val="44"/>
        <w:numPr>
          <w:ilvl w:val="0"/>
          <w:numId w:val="81"/>
        </w:numPr>
      </w:pPr>
      <w:r>
        <w:t>应统筹设置洗衣机、排气扇（管）、暖风机等设备的位置，给水排水、通风、电气等管道管线应在其预留空间内敷设；</w:t>
      </w:r>
    </w:p>
    <w:p>
      <w:pPr>
        <w:pStyle w:val="44"/>
        <w:numPr>
          <w:ilvl w:val="0"/>
          <w:numId w:val="81"/>
        </w:numPr>
      </w:pPr>
      <w:r>
        <w:t>预留管线接口处应设置检修口；</w:t>
      </w:r>
    </w:p>
    <w:p>
      <w:pPr>
        <w:pStyle w:val="44"/>
        <w:numPr>
          <w:ilvl w:val="0"/>
          <w:numId w:val="81"/>
        </w:numPr>
      </w:pPr>
      <w:r>
        <w:t>应设置等电位联结，接地端子应与建筑物钢结构可靠连接；</w:t>
      </w:r>
    </w:p>
    <w:p>
      <w:pPr>
        <w:pStyle w:val="44"/>
        <w:numPr>
          <w:ilvl w:val="0"/>
          <w:numId w:val="81"/>
        </w:numPr>
      </w:pPr>
      <w:r>
        <w:t>采用防水底盘时，底盘材料应满足防水、防滑、耐腐蚀、易清洁要求，固定安装不应破坏结构防水层，并应采取降噪措施防止踩踏空鼓响声；</w:t>
      </w:r>
    </w:p>
    <w:p>
      <w:pPr>
        <w:pStyle w:val="44"/>
        <w:numPr>
          <w:ilvl w:val="0"/>
          <w:numId w:val="81"/>
        </w:numPr>
      </w:pPr>
      <w:r>
        <w:t>墙面板（壁板）与防水底盘、门槛石及外窗洞口交接处应做好收口和防水处理，接缝构造应具备防渗漏功能；</w:t>
      </w:r>
    </w:p>
    <w:p>
      <w:pPr>
        <w:pStyle w:val="44"/>
        <w:numPr>
          <w:ilvl w:val="0"/>
          <w:numId w:val="81"/>
        </w:numPr>
      </w:pPr>
      <w:r>
        <w:t>门框、门套应与防水底盘、墙面板（壁板）及墙体做好收口和防水处理。</w:t>
      </w:r>
    </w:p>
    <w:p>
      <w:pPr>
        <w:pStyle w:val="46"/>
        <w:rPr>
          <w:rFonts w:cs="宋体"/>
          <w:spacing w:val="-6"/>
          <w:szCs w:val="21"/>
        </w:rPr>
      </w:pPr>
      <w:r>
        <w:rPr>
          <w:rFonts w:hint="eastAsia" w:cs="宋体"/>
          <w:spacing w:val="-6"/>
          <w:szCs w:val="21"/>
        </w:rPr>
        <w:t>整体式卫生间设计应符合下列规定：</w:t>
      </w:r>
    </w:p>
    <w:p>
      <w:pPr>
        <w:pStyle w:val="44"/>
        <w:numPr>
          <w:ilvl w:val="0"/>
          <w:numId w:val="82"/>
        </w:numPr>
      </w:pPr>
      <w:r>
        <w:t>选型应在建筑方案设计阶段进行，并应符合现行行业标准JGJ/T 467的有关规定；</w:t>
      </w:r>
    </w:p>
    <w:p>
      <w:pPr>
        <w:pStyle w:val="44"/>
        <w:numPr>
          <w:ilvl w:val="0"/>
          <w:numId w:val="82"/>
        </w:numPr>
      </w:pPr>
      <w:r>
        <w:t>壁板与周边墙体之间无管线敷设时，安装空间不应大于50mm；存在管线敷设时，安装空间不应大于80mm；</w:t>
      </w:r>
    </w:p>
    <w:p>
      <w:pPr>
        <w:pStyle w:val="44"/>
        <w:numPr>
          <w:ilvl w:val="0"/>
          <w:numId w:val="82"/>
        </w:numPr>
      </w:pPr>
      <w:r>
        <w:t>底盘四周挡水立边的最低高度应满足蓄水要求，门槛石与防水底盘的收口构造应保证水密性；</w:t>
      </w:r>
    </w:p>
    <w:p>
      <w:pPr>
        <w:pStyle w:val="44"/>
        <w:numPr>
          <w:ilvl w:val="0"/>
          <w:numId w:val="82"/>
        </w:numPr>
      </w:pPr>
      <w:r>
        <w:t>设备管线密集及接口集中处应设置检修口或检修门；</w:t>
      </w:r>
    </w:p>
    <w:p>
      <w:pPr>
        <w:pStyle w:val="44"/>
        <w:numPr>
          <w:ilvl w:val="0"/>
          <w:numId w:val="82"/>
        </w:numPr>
        <w:rPr>
          <w:rFonts w:cs="宋体"/>
          <w:spacing w:val="-6"/>
          <w:szCs w:val="21"/>
        </w:rPr>
      </w:pPr>
      <w:r>
        <w:t>整体卫生间内不应安装燃气热水器。</w:t>
      </w:r>
    </w:p>
    <w:p>
      <w:pPr>
        <w:pStyle w:val="42"/>
        <w:spacing w:before="156" w:after="156"/>
      </w:pPr>
      <w:bookmarkStart w:id="189" w:name="_Toc241506563"/>
      <w:r>
        <w:t>收纳系统</w:t>
      </w:r>
      <w:bookmarkEnd w:id="189"/>
    </w:p>
    <w:p>
      <w:pPr>
        <w:pStyle w:val="46"/>
        <w:rPr>
          <w:rFonts w:cs="宋体"/>
          <w:spacing w:val="-6"/>
          <w:szCs w:val="21"/>
        </w:rPr>
      </w:pPr>
      <w:r>
        <w:rPr>
          <w:rFonts w:hint="eastAsia" w:cs="宋体"/>
          <w:spacing w:val="-6"/>
          <w:szCs w:val="21"/>
        </w:rPr>
        <w:t>收纳系统应在建筑方案设计阶段结合套型设计进行部品选型与布点，并按使用功能确定收纳物品的种类、数量和尺寸。</w:t>
      </w:r>
    </w:p>
    <w:p>
      <w:pPr>
        <w:pStyle w:val="46"/>
        <w:rPr>
          <w:rFonts w:cs="宋体"/>
          <w:spacing w:val="-6"/>
          <w:szCs w:val="21"/>
        </w:rPr>
      </w:pPr>
      <w:r>
        <w:rPr>
          <w:rFonts w:hint="eastAsia" w:cs="宋体"/>
          <w:spacing w:val="-6"/>
          <w:szCs w:val="21"/>
        </w:rPr>
        <w:t>收纳系统宜与隔墙、吊顶及设备管线进行一体化设计。</w:t>
      </w:r>
    </w:p>
    <w:p>
      <w:pPr>
        <w:pStyle w:val="46"/>
        <w:rPr>
          <w:rFonts w:cs="宋体"/>
          <w:spacing w:val="-6"/>
          <w:szCs w:val="21"/>
        </w:rPr>
      </w:pPr>
      <w:r>
        <w:rPr>
          <w:rFonts w:hint="eastAsia" w:cs="宋体"/>
          <w:spacing w:val="-6"/>
          <w:szCs w:val="21"/>
        </w:rPr>
        <w:t>收纳部品宜采用工厂生产的标准化、模块化产品，其位置和尺寸选型宜与被收纳物品的尺寸及内装整体风格相协调。</w:t>
      </w:r>
    </w:p>
    <w:p>
      <w:pPr>
        <w:pStyle w:val="46"/>
        <w:rPr>
          <w:rFonts w:cs="宋体"/>
          <w:spacing w:val="-6"/>
          <w:szCs w:val="21"/>
        </w:rPr>
      </w:pPr>
      <w:r>
        <w:rPr>
          <w:rFonts w:hint="eastAsia" w:cs="宋体"/>
          <w:spacing w:val="-6"/>
          <w:szCs w:val="21"/>
        </w:rPr>
        <w:t>收纳系统设计应符合下列规定：</w:t>
      </w:r>
    </w:p>
    <w:p>
      <w:pPr>
        <w:pStyle w:val="44"/>
        <w:numPr>
          <w:ilvl w:val="0"/>
          <w:numId w:val="83"/>
        </w:numPr>
        <w:rPr>
          <w:rFonts w:cs="宋体"/>
          <w:spacing w:val="-6"/>
          <w:szCs w:val="21"/>
        </w:rPr>
      </w:pPr>
      <w:r>
        <w:rPr>
          <w:rFonts w:hint="eastAsia" w:cs="宋体"/>
          <w:spacing w:val="-6"/>
          <w:szCs w:val="21"/>
        </w:rPr>
        <w:t>应结合使用功能和使用习惯进行分区分层布置；</w:t>
      </w:r>
    </w:p>
    <w:p>
      <w:pPr>
        <w:pStyle w:val="44"/>
        <w:numPr>
          <w:ilvl w:val="0"/>
          <w:numId w:val="83"/>
        </w:numPr>
        <w:rPr>
          <w:rFonts w:cs="宋体"/>
          <w:spacing w:val="-6"/>
          <w:szCs w:val="21"/>
        </w:rPr>
      </w:pPr>
      <w:r>
        <w:rPr>
          <w:rFonts w:hint="eastAsia" w:cs="宋体"/>
          <w:spacing w:val="-6"/>
          <w:szCs w:val="21"/>
        </w:rPr>
        <w:t>应按最不利工况对收纳荷载进行计算；</w:t>
      </w:r>
    </w:p>
    <w:p>
      <w:pPr>
        <w:pStyle w:val="44"/>
        <w:numPr>
          <w:ilvl w:val="0"/>
          <w:numId w:val="83"/>
        </w:numPr>
        <w:rPr>
          <w:rFonts w:cs="宋体"/>
          <w:spacing w:val="-6"/>
          <w:szCs w:val="21"/>
        </w:rPr>
      </w:pPr>
      <w:r>
        <w:rPr>
          <w:rFonts w:hint="eastAsia" w:cs="宋体"/>
          <w:spacing w:val="-6"/>
          <w:szCs w:val="21"/>
        </w:rPr>
        <w:t>设计文件应标明承载限定值。</w:t>
      </w:r>
    </w:p>
    <w:p>
      <w:pPr>
        <w:pStyle w:val="46"/>
        <w:rPr>
          <w:rFonts w:cs="宋体"/>
          <w:spacing w:val="-6"/>
          <w:szCs w:val="21"/>
        </w:rPr>
      </w:pPr>
      <w:r>
        <w:rPr>
          <w:rFonts w:hint="eastAsia" w:cs="宋体"/>
          <w:spacing w:val="-6"/>
          <w:szCs w:val="21"/>
        </w:rPr>
        <w:t>收纳系统内设置电器、电线时，其板材燃烧性能等级不应低于 B1 级，并应满足电气安全和散热要求。</w:t>
      </w:r>
    </w:p>
    <w:p>
      <w:pPr>
        <w:pStyle w:val="46"/>
        <w:rPr>
          <w:rFonts w:cs="宋体"/>
          <w:spacing w:val="-6"/>
          <w:szCs w:val="21"/>
        </w:rPr>
      </w:pPr>
      <w:r>
        <w:rPr>
          <w:rFonts w:hint="eastAsia" w:cs="宋体"/>
          <w:spacing w:val="-6"/>
          <w:szCs w:val="21"/>
        </w:rPr>
        <w:t>厨房、卫生间等有防水、防潮要求房间的收纳部品应采用防水、防潮、防腐、防蛀的材料，木质部品应进行防潮、防腐处理。</w:t>
      </w:r>
    </w:p>
    <w:p>
      <w:pPr>
        <w:pStyle w:val="46"/>
        <w:rPr>
          <w:rFonts w:cs="宋体"/>
          <w:spacing w:val="-6"/>
          <w:szCs w:val="21"/>
        </w:rPr>
      </w:pPr>
      <w:r>
        <w:rPr>
          <w:rFonts w:hint="eastAsia" w:cs="宋体"/>
          <w:spacing w:val="-6"/>
          <w:szCs w:val="21"/>
        </w:rPr>
        <w:t>厨房、卫生间等房间的收纳部品宜采取离地、架空等构造措施。</w:t>
      </w:r>
    </w:p>
    <w:p>
      <w:pPr>
        <w:pStyle w:val="46"/>
        <w:rPr>
          <w:rFonts w:cs="宋体"/>
          <w:spacing w:val="-6"/>
          <w:szCs w:val="21"/>
        </w:rPr>
      </w:pPr>
      <w:r>
        <w:rPr>
          <w:rFonts w:hint="eastAsia" w:cs="宋体"/>
          <w:spacing w:val="-6"/>
          <w:szCs w:val="21"/>
        </w:rPr>
        <w:t>收纳系统与主体结构或基层墙体应有可靠连接。悬挂式储物部品的连接承载力应经计算确定，吊挂重物时不应仅由轻质墙面板受力。</w:t>
      </w:r>
    </w:p>
    <w:p>
      <w:pPr>
        <w:pStyle w:val="42"/>
        <w:spacing w:before="156" w:after="156"/>
      </w:pPr>
      <w:bookmarkStart w:id="190" w:name="_Toc241506564"/>
      <w:r>
        <w:rPr>
          <w:rFonts w:hint="eastAsia"/>
        </w:rPr>
        <w:t>内</w:t>
      </w:r>
      <w:r>
        <w:t>门窗系统</w:t>
      </w:r>
      <w:bookmarkEnd w:id="190"/>
    </w:p>
    <w:p>
      <w:pPr>
        <w:pStyle w:val="46"/>
        <w:rPr>
          <w:rFonts w:cs="宋体"/>
          <w:spacing w:val="-6"/>
          <w:szCs w:val="21"/>
        </w:rPr>
      </w:pPr>
      <w:r>
        <w:rPr>
          <w:rFonts w:hint="eastAsia" w:cs="宋体"/>
          <w:spacing w:val="-6"/>
          <w:szCs w:val="21"/>
        </w:rPr>
        <w:t>户内门宜选用标准化成品门，规格标准化，与隔墙开口尺寸相协调。</w:t>
      </w:r>
    </w:p>
    <w:p>
      <w:pPr>
        <w:pStyle w:val="46"/>
        <w:rPr>
          <w:rFonts w:cs="宋体"/>
          <w:spacing w:val="-6"/>
          <w:szCs w:val="21"/>
        </w:rPr>
      </w:pPr>
      <w:r>
        <w:rPr>
          <w:rFonts w:hint="eastAsia" w:cs="宋体"/>
          <w:spacing w:val="-6"/>
          <w:szCs w:val="21"/>
        </w:rPr>
        <w:t>门窗与钢结构构件的连接应符合下列规定：</w:t>
      </w:r>
    </w:p>
    <w:p>
      <w:pPr>
        <w:pStyle w:val="44"/>
        <w:numPr>
          <w:ilvl w:val="0"/>
          <w:numId w:val="84"/>
        </w:numPr>
      </w:pPr>
      <w:r>
        <w:t>门框与轻钢龙骨隔墙连接应采用专用连接件固定于龙骨上；</w:t>
      </w:r>
    </w:p>
    <w:p>
      <w:pPr>
        <w:pStyle w:val="44"/>
        <w:numPr>
          <w:ilvl w:val="0"/>
          <w:numId w:val="84"/>
        </w:numPr>
      </w:pPr>
      <w:r>
        <w:t>窗框与外围护系统连接应采用预埋连接件或专用锚栓，连接处应设置防水密封条；</w:t>
      </w:r>
    </w:p>
    <w:p>
      <w:pPr>
        <w:pStyle w:val="44"/>
        <w:numPr>
          <w:ilvl w:val="0"/>
          <w:numId w:val="84"/>
        </w:numPr>
      </w:pPr>
      <w:r>
        <w:t>门窗洞口上方有钢梁时，窗框与钢梁之间应设置弹性连接构造。</w:t>
      </w:r>
    </w:p>
    <w:p>
      <w:pPr>
        <w:pStyle w:val="42"/>
        <w:spacing w:before="156" w:after="156"/>
      </w:pPr>
      <w:bookmarkStart w:id="191" w:name="_Toc241506565"/>
      <w:r>
        <w:t>部品接口与连接设计</w:t>
      </w:r>
      <w:bookmarkEnd w:id="191"/>
    </w:p>
    <w:p>
      <w:pPr>
        <w:pStyle w:val="46"/>
        <w:rPr>
          <w:rFonts w:cs="宋体"/>
          <w:spacing w:val="-6"/>
          <w:szCs w:val="21"/>
        </w:rPr>
      </w:pPr>
      <w:r>
        <w:rPr>
          <w:rFonts w:hint="eastAsia" w:cs="宋体"/>
          <w:spacing w:val="-6"/>
          <w:szCs w:val="21"/>
        </w:rPr>
        <w:t>不同内装部品之间、内装部品与主体结构之间的连接应采用标准化接口，接口形式宜采用卡扣式、插接式或螺栓连接。</w:t>
      </w:r>
    </w:p>
    <w:p>
      <w:pPr>
        <w:pStyle w:val="46"/>
        <w:rPr>
          <w:rFonts w:cs="宋体"/>
          <w:spacing w:val="-6"/>
          <w:szCs w:val="21"/>
        </w:rPr>
      </w:pPr>
      <w:r>
        <w:rPr>
          <w:rFonts w:hint="eastAsia" w:cs="宋体"/>
          <w:spacing w:val="-6"/>
          <w:szCs w:val="21"/>
        </w:rPr>
        <w:t>内装部品的连接节点应满足下列要求：</w:t>
      </w:r>
    </w:p>
    <w:p>
      <w:pPr>
        <w:pStyle w:val="44"/>
        <w:numPr>
          <w:ilvl w:val="0"/>
          <w:numId w:val="85"/>
        </w:numPr>
      </w:pPr>
      <w:r>
        <w:t>具有足够的强度和刚度，承受自重及使用荷载；</w:t>
      </w:r>
    </w:p>
    <w:p>
      <w:pPr>
        <w:pStyle w:val="44"/>
        <w:numPr>
          <w:ilvl w:val="0"/>
          <w:numId w:val="85"/>
        </w:numPr>
      </w:pPr>
      <w:r>
        <w:t>适应钢结构在温度变化及风荷载作用下的弹性变形；</w:t>
      </w:r>
    </w:p>
    <w:p>
      <w:pPr>
        <w:pStyle w:val="44"/>
        <w:numPr>
          <w:ilvl w:val="0"/>
          <w:numId w:val="85"/>
        </w:numPr>
      </w:pPr>
      <w:r>
        <w:t>便于拆装和更换，满足全生命周期维护要求；</w:t>
      </w:r>
    </w:p>
    <w:p>
      <w:pPr>
        <w:pStyle w:val="44"/>
        <w:numPr>
          <w:ilvl w:val="0"/>
          <w:numId w:val="85"/>
        </w:numPr>
      </w:pPr>
      <w:r>
        <w:t>连接节点处宜设置弹性垫片或减振垫块，减少固体传声。</w:t>
      </w:r>
    </w:p>
    <w:p>
      <w:pPr>
        <w:pStyle w:val="46"/>
      </w:pPr>
      <w:r>
        <w:rPr>
          <w:rFonts w:hint="eastAsia" w:cs="宋体"/>
          <w:spacing w:val="-6"/>
          <w:szCs w:val="21"/>
        </w:rPr>
        <w:t>不同材料交接处（如墙面与地面、墙面与吊顶、不同隔墙材料交接处）应设置变形缝或收口条，防止开裂。</w:t>
      </w:r>
    </w:p>
    <w:p>
      <w:pPr>
        <w:pStyle w:val="41"/>
        <w:spacing w:before="312" w:after="312"/>
      </w:pPr>
      <w:bookmarkStart w:id="192" w:name="_Toc13594"/>
      <w:bookmarkStart w:id="193" w:name="_Toc241506566"/>
      <w:r>
        <w:rPr>
          <w:rFonts w:hint="eastAsia"/>
        </w:rPr>
        <w:t>构件生产</w:t>
      </w:r>
      <w:bookmarkEnd w:id="192"/>
      <w:bookmarkEnd w:id="193"/>
    </w:p>
    <w:p>
      <w:pPr>
        <w:pStyle w:val="42"/>
        <w:spacing w:before="156" w:after="156"/>
      </w:pPr>
      <w:bookmarkStart w:id="194" w:name="_Toc241506567"/>
      <w:r>
        <w:rPr>
          <w:rFonts w:hint="eastAsia"/>
        </w:rPr>
        <w:t>一般规定</w:t>
      </w:r>
      <w:bookmarkEnd w:id="194"/>
    </w:p>
    <w:p>
      <w:pPr>
        <w:pStyle w:val="46"/>
      </w:pPr>
      <w:r>
        <w:rPr>
          <w:rFonts w:hint="eastAsia"/>
        </w:rPr>
        <w:t>构件、部品、部件生产单位应具有固定的生产车间和自动化生产线设备，宜具备深化设计、运输安装一体化能力；应建立技术标准体系及安全、质量、环境管理体系。</w:t>
      </w:r>
    </w:p>
    <w:p>
      <w:pPr>
        <w:pStyle w:val="46"/>
      </w:pPr>
      <w:r>
        <w:rPr>
          <w:rFonts w:hint="eastAsia"/>
        </w:rPr>
        <w:t>构件、部品、部件应在工厂车间生产，生产过程及管理宜应用信息管理技术，生产工序宜形成流水作业。装配式住宅部品部件生产应优先采用标准化、模数化、系列化部品，减少规格种类，提高组合适应性。</w:t>
      </w:r>
    </w:p>
    <w:p>
      <w:pPr>
        <w:pStyle w:val="46"/>
      </w:pPr>
      <w:r>
        <w:rPr>
          <w:rFonts w:hint="eastAsia"/>
        </w:rPr>
        <w:t>构件、部品、部件生产前，应根据设计要求和生产条件编制生产工艺方案，明确生产工艺流程、质量控制要点、检验标准和成品保护措施。对构造复杂或新型的部品、构件宜进行工艺性试验，验证工艺可行性后方可批量生产。</w:t>
      </w:r>
    </w:p>
    <w:p>
      <w:pPr>
        <w:pStyle w:val="46"/>
      </w:pPr>
      <w:r>
        <w:rPr>
          <w:rFonts w:hint="eastAsia"/>
        </w:rPr>
        <w:t>构件、部品、部件生产前，应有经批准的构件深化设计图或产品设计图，设计深度应满足生产、运输和安装等技术要求。深化设计文件应经设计单位或原设计单位确认批准。生产单位不得擅自修改设计文件，确需修改的，应由主体设计单位先行完成相应设计变更。</w:t>
      </w:r>
    </w:p>
    <w:p>
      <w:pPr>
        <w:pStyle w:val="46"/>
      </w:pPr>
      <w:r>
        <w:rPr>
          <w:rFonts w:hint="eastAsia"/>
        </w:rPr>
        <w:t>生产过程质量检验控制应符合下列规定：</w:t>
      </w:r>
    </w:p>
    <w:p>
      <w:pPr>
        <w:pStyle w:val="44"/>
        <w:numPr>
          <w:ilvl w:val="0"/>
          <w:numId w:val="86"/>
        </w:numPr>
      </w:pPr>
      <w:r>
        <w:rPr>
          <w:rFonts w:hint="eastAsia"/>
        </w:rPr>
        <w:t>首批（件）产品加工应进行自检、互检、专检，产品经检验合格形成检验记录后方可进行批量生产；</w:t>
      </w:r>
    </w:p>
    <w:p>
      <w:pPr>
        <w:pStyle w:val="44"/>
        <w:numPr>
          <w:ilvl w:val="0"/>
          <w:numId w:val="86"/>
        </w:numPr>
      </w:pPr>
      <w:r>
        <w:rPr>
          <w:rFonts w:hint="eastAsia"/>
        </w:rPr>
        <w:t>首批（件）产品检验合格后，应对产品生产加工工序、特别是重要工序进行巡回检验；</w:t>
      </w:r>
    </w:p>
    <w:p>
      <w:pPr>
        <w:pStyle w:val="44"/>
        <w:numPr>
          <w:ilvl w:val="0"/>
          <w:numId w:val="86"/>
        </w:numPr>
      </w:pPr>
      <w:r>
        <w:rPr>
          <w:rFonts w:hint="eastAsia"/>
        </w:rPr>
        <w:t>产品生产加工完成后，应由专业检验人员根据图纸资料、施工单等对生产产品按批次进行检查，做好产品检验记录；对检验中发现的不合格产品应做好记录，并应增加抽样检测样本数量或频次；</w:t>
      </w:r>
    </w:p>
    <w:p>
      <w:pPr>
        <w:pStyle w:val="44"/>
        <w:numPr>
          <w:ilvl w:val="0"/>
          <w:numId w:val="86"/>
        </w:numPr>
      </w:pPr>
      <w:r>
        <w:rPr>
          <w:rFonts w:hint="eastAsia"/>
        </w:rPr>
        <w:t>检验人员应严格按照图样及工艺技术要求对产品外观质量、规格尺寸等进行出厂检验，做好各项检查记录，签署产品合格证后方可入库，无合格证产品不得入库。</w:t>
      </w:r>
    </w:p>
    <w:p>
      <w:pPr>
        <w:pStyle w:val="46"/>
      </w:pPr>
      <w:r>
        <w:rPr>
          <w:rFonts w:hint="eastAsia"/>
        </w:rPr>
        <w:t>构件、部品、部件生产应按下列规定进行质量过程控制：</w:t>
      </w:r>
    </w:p>
    <w:p>
      <w:pPr>
        <w:pStyle w:val="44"/>
        <w:numPr>
          <w:ilvl w:val="0"/>
          <w:numId w:val="87"/>
        </w:numPr>
      </w:pPr>
      <w:r>
        <w:rPr>
          <w:rFonts w:hint="eastAsia"/>
        </w:rPr>
        <w:t>凡涉及安全、功能的原材料，应按现行国家标准规定进行复验，见证取样、送样；</w:t>
      </w:r>
    </w:p>
    <w:p>
      <w:pPr>
        <w:pStyle w:val="44"/>
        <w:numPr>
          <w:ilvl w:val="0"/>
          <w:numId w:val="87"/>
        </w:numPr>
      </w:pPr>
      <w:r>
        <w:rPr>
          <w:rFonts w:hint="eastAsia"/>
        </w:rPr>
        <w:t>各工序应按生产工艺要求进行质量控制，实行工序检验；</w:t>
      </w:r>
    </w:p>
    <w:p>
      <w:pPr>
        <w:pStyle w:val="44"/>
        <w:numPr>
          <w:ilvl w:val="0"/>
          <w:numId w:val="87"/>
        </w:numPr>
      </w:pPr>
      <w:r>
        <w:rPr>
          <w:rFonts w:hint="eastAsia"/>
        </w:rPr>
        <w:t>相关专业工种之间应进行交接检验；</w:t>
      </w:r>
    </w:p>
    <w:p>
      <w:pPr>
        <w:pStyle w:val="44"/>
        <w:numPr>
          <w:ilvl w:val="0"/>
          <w:numId w:val="87"/>
        </w:numPr>
      </w:pPr>
      <w:r>
        <w:rPr>
          <w:rFonts w:hint="eastAsia"/>
        </w:rPr>
        <w:t>隐蔽工程在封闭前应进行质量验收，并形成验收记录。</w:t>
      </w:r>
    </w:p>
    <w:p>
      <w:pPr>
        <w:pStyle w:val="46"/>
      </w:pPr>
      <w:r>
        <w:rPr>
          <w:rFonts w:hint="eastAsia"/>
        </w:rPr>
        <w:t>构件、部品、部件生产检验合格后，生产厂家应提供出厂产品质量检验合格证明。建筑部品部件应符合设计和国家现行有关标准的规定，并应提供产品执行标准的说明、出厂检验合格证明文件、质量保证书和使用说明书。</w:t>
      </w:r>
    </w:p>
    <w:p>
      <w:pPr>
        <w:pStyle w:val="46"/>
      </w:pPr>
      <w:r>
        <w:rPr>
          <w:rFonts w:hint="eastAsia"/>
        </w:rPr>
        <w:t>构件、部品、部件的运输方式应根据构件、部品、部件特点、工程要求等确定。出厂时，应有构件、部品、部件重量、重心位置、吊点位置、能否倒置等标志。</w:t>
      </w:r>
    </w:p>
    <w:p>
      <w:pPr>
        <w:pStyle w:val="46"/>
      </w:pPr>
      <w:r>
        <w:rPr>
          <w:rFonts w:hint="eastAsia"/>
        </w:rPr>
        <w:t>生产厂家宜建立质量可追溯的信息化管理系统和编码标识系统，对原材料、生产过程、检验数据进行全过程记录，实现构件级质量追溯。宜采用二维码、RFID等标识技术，并与BIM模型关联。</w:t>
      </w:r>
    </w:p>
    <w:p>
      <w:pPr>
        <w:pStyle w:val="46"/>
      </w:pPr>
      <w:r>
        <w:rPr>
          <w:rFonts w:hint="eastAsia"/>
        </w:rPr>
        <w:t>构件、部品、部件生产应综合利用BIM、AI等数字化、智能化技术和制造机器人等装备，提升生产作业和管理的数字化、智能化水平。宜采用自动化生产线、智能检测设备，减少人为误差，提高生产效率和产品质量一致性。</w:t>
      </w:r>
    </w:p>
    <w:p>
      <w:pPr>
        <w:pStyle w:val="46"/>
      </w:pPr>
      <w:r>
        <w:rPr>
          <w:rFonts w:hint="eastAsia"/>
        </w:rPr>
        <w:t>装配式住宅的构件、部品、部件生产宜建立产品数据模型（PDM）和产品族模型，实现设计、生产、施工、运维全生命周期的数据贯通。生产单位的BIM模型应与设计单位、施工单位的模型保持数据协同。</w:t>
      </w:r>
    </w:p>
    <w:p>
      <w:pPr>
        <w:pStyle w:val="46"/>
      </w:pPr>
      <w:r>
        <w:rPr>
          <w:rFonts w:hint="eastAsia"/>
        </w:rPr>
        <w:t>构件、部品、部件生产应建立安全生产责任制，明确各岗位安全职责，编制安全操作规程和应急预案，并应符合下列规定：</w:t>
      </w:r>
    </w:p>
    <w:p>
      <w:pPr>
        <w:pStyle w:val="44"/>
        <w:numPr>
          <w:ilvl w:val="0"/>
          <w:numId w:val="88"/>
        </w:numPr>
      </w:pPr>
      <w:r>
        <w:rPr>
          <w:rFonts w:hint="eastAsia"/>
        </w:rPr>
        <w:t>生产单位应建立安全生产责任制，明确主要负责人、分管负责人、安全管理人员及各岗位作业人员的安全职责；</w:t>
      </w:r>
    </w:p>
    <w:p>
      <w:pPr>
        <w:pStyle w:val="44"/>
        <w:numPr>
          <w:ilvl w:val="0"/>
          <w:numId w:val="88"/>
        </w:numPr>
      </w:pPr>
      <w:r>
        <w:rPr>
          <w:rFonts w:hint="eastAsia"/>
        </w:rPr>
        <w:t>应编制各工序安全操作规程，并对从业人员进行安全生产和职业卫生健康教育培训，建立培训档案。特殊工种或岗位人员应持证上岗；</w:t>
      </w:r>
    </w:p>
    <w:p>
      <w:pPr>
        <w:pStyle w:val="44"/>
        <w:numPr>
          <w:ilvl w:val="0"/>
          <w:numId w:val="88"/>
        </w:numPr>
      </w:pPr>
      <w:r>
        <w:rPr>
          <w:rFonts w:hint="eastAsia"/>
        </w:rPr>
        <w:t>生产单位应为从业人员提供符合国家现行标准的劳动防护用品，并监督、教育从业人员正确佩戴使用；</w:t>
      </w:r>
    </w:p>
    <w:p>
      <w:pPr>
        <w:pStyle w:val="44"/>
        <w:numPr>
          <w:ilvl w:val="0"/>
          <w:numId w:val="88"/>
        </w:numPr>
      </w:pPr>
      <w:r>
        <w:rPr>
          <w:rFonts w:hint="eastAsia"/>
        </w:rPr>
        <w:t>应制定生产安全事故应急预案，配备必要的应急救援器材和设备，并定期组织应急演练；</w:t>
      </w:r>
    </w:p>
    <w:p>
      <w:pPr>
        <w:pStyle w:val="44"/>
        <w:numPr>
          <w:ilvl w:val="0"/>
          <w:numId w:val="88"/>
        </w:numPr>
      </w:pPr>
      <w:r>
        <w:rPr>
          <w:rFonts w:hint="eastAsia"/>
        </w:rPr>
        <w:t>应建立健全职业病防护责任制，采取措施控制和处理工作场所的粉尘、废气、废水、固体废弃物以及噪声、振动对人和环境的污染和危害。</w:t>
      </w:r>
    </w:p>
    <w:p>
      <w:pPr>
        <w:pStyle w:val="46"/>
      </w:pPr>
      <w:r>
        <w:rPr>
          <w:rFonts w:hint="eastAsia"/>
        </w:rPr>
        <w:t>焊接与切割作业安全防护应符合下列规定：</w:t>
      </w:r>
    </w:p>
    <w:p>
      <w:pPr>
        <w:pStyle w:val="44"/>
        <w:numPr>
          <w:ilvl w:val="0"/>
          <w:numId w:val="89"/>
        </w:numPr>
      </w:pPr>
      <w:r>
        <w:rPr>
          <w:rFonts w:hint="eastAsia"/>
        </w:rPr>
        <w:t>焊接与切割作业应符合现行国家标准GB 9448的规定。作业区应设置防护屏或防护挡板，隔离飞溅物和弧光辐射；</w:t>
      </w:r>
    </w:p>
    <w:p>
      <w:pPr>
        <w:pStyle w:val="44"/>
        <w:numPr>
          <w:ilvl w:val="0"/>
          <w:numId w:val="89"/>
        </w:numPr>
      </w:pPr>
      <w:r>
        <w:rPr>
          <w:rFonts w:hint="eastAsia"/>
        </w:rPr>
        <w:t>焊接与切割作业前应清除作业区及周边10m范围内的易燃易爆物品。在放有易燃物区域进行动火作业时，应办理动火审批手续，并设置持证警戒员，配备灭火器材；</w:t>
      </w:r>
    </w:p>
    <w:p>
      <w:pPr>
        <w:pStyle w:val="44"/>
        <w:numPr>
          <w:ilvl w:val="0"/>
          <w:numId w:val="89"/>
        </w:numPr>
      </w:pPr>
      <w:r>
        <w:rPr>
          <w:rFonts w:hint="eastAsia"/>
        </w:rPr>
        <w:t>焊接与切割作业区应配置通风除尘设施，及时排除焊接烟尘和有害气体。密闭或半密闭空间作业时，应加强机械通风，通风量应满足稀释有害物质浓度的要求；</w:t>
      </w:r>
    </w:p>
    <w:p>
      <w:pPr>
        <w:pStyle w:val="44"/>
        <w:numPr>
          <w:ilvl w:val="0"/>
          <w:numId w:val="89"/>
        </w:numPr>
      </w:pPr>
      <w:r>
        <w:rPr>
          <w:rFonts w:hint="eastAsia"/>
        </w:rPr>
        <w:t>焊工应佩戴防护面罩、焊接防护手套、阻燃防护服、钢包头皮鞋等劳动防护用品；电焊作业人员应佩戴防焊尘口罩；打磨作业人员应佩戴防护眼镜和防护口罩；</w:t>
      </w:r>
    </w:p>
    <w:p>
      <w:pPr>
        <w:pStyle w:val="44"/>
        <w:numPr>
          <w:ilvl w:val="0"/>
          <w:numId w:val="89"/>
        </w:numPr>
      </w:pPr>
      <w:r>
        <w:rPr>
          <w:rFonts w:hint="eastAsia"/>
        </w:rPr>
        <w:t>气焊、气割作业应检查气瓶及管路的气密性，乙炔瓶与氧气瓶的间距不应小于5m，与明火的距离不应小于10m。气瓶应直立存放并固定牢固；</w:t>
      </w:r>
    </w:p>
    <w:p>
      <w:pPr>
        <w:pStyle w:val="44"/>
        <w:numPr>
          <w:ilvl w:val="0"/>
          <w:numId w:val="89"/>
        </w:numPr>
      </w:pPr>
      <w:r>
        <w:rPr>
          <w:rFonts w:hint="eastAsia"/>
        </w:rPr>
        <w:t>焊接设备应设置漏电保护装置，焊钳和焊接电缆应绝缘良好，焊接回路不应搭接在气瓶、管道或其他设备上。</w:t>
      </w:r>
    </w:p>
    <w:p>
      <w:pPr>
        <w:pStyle w:val="46"/>
      </w:pPr>
      <w:r>
        <w:rPr>
          <w:rFonts w:hint="eastAsia"/>
        </w:rPr>
        <w:t>涂装作业安全防护应符合下列规定：</w:t>
      </w:r>
    </w:p>
    <w:p>
      <w:pPr>
        <w:pStyle w:val="44"/>
        <w:numPr>
          <w:ilvl w:val="0"/>
          <w:numId w:val="90"/>
        </w:numPr>
      </w:pPr>
      <w:r>
        <w:rPr>
          <w:rFonts w:hint="eastAsia"/>
        </w:rPr>
        <w:t>涂装作业应符合现行国家标准GB 6514和GB 7691的规定。涂装作业应在专用喷漆房或通风良好的区域进行；</w:t>
      </w:r>
    </w:p>
    <w:p>
      <w:pPr>
        <w:pStyle w:val="44"/>
        <w:numPr>
          <w:ilvl w:val="0"/>
          <w:numId w:val="90"/>
        </w:numPr>
      </w:pPr>
      <w:r>
        <w:rPr>
          <w:rFonts w:hint="eastAsia"/>
        </w:rPr>
        <w:t>涂装作业场所严禁烟火，电气设备应符合防爆要求。涂装区内一般不设置电气设备，确需设置时应采用防爆型。调漆、喷漆区应采取防静电、防爆措施，作业区应设置可燃气体检测仪，报警浓度不应大于爆炸下限的25%；</w:t>
      </w:r>
    </w:p>
    <w:p>
      <w:pPr>
        <w:pStyle w:val="44"/>
        <w:numPr>
          <w:ilvl w:val="0"/>
          <w:numId w:val="90"/>
        </w:numPr>
      </w:pPr>
      <w:r>
        <w:rPr>
          <w:rFonts w:hint="eastAsia"/>
        </w:rPr>
        <w:t>涂装作业场所应设置有效的通风系统，保证作业区空气中有害物质浓度低于职业接触限值。通风系统应定期检查和维护，确保正常运行；</w:t>
      </w:r>
    </w:p>
    <w:p>
      <w:pPr>
        <w:pStyle w:val="44"/>
        <w:numPr>
          <w:ilvl w:val="0"/>
          <w:numId w:val="90"/>
        </w:numPr>
      </w:pPr>
      <w:r>
        <w:rPr>
          <w:rFonts w:hint="eastAsia"/>
        </w:rPr>
        <w:t>涂装现场或车间内严禁堆放其他易燃物品，涂料存放量不应超过当天使用量，并应远离易燃物品仓库。废弃涂料、溶剂应分类收集处理，不得随意排放；</w:t>
      </w:r>
    </w:p>
    <w:p>
      <w:pPr>
        <w:pStyle w:val="44"/>
        <w:numPr>
          <w:ilvl w:val="0"/>
          <w:numId w:val="90"/>
        </w:numPr>
      </w:pPr>
      <w:r>
        <w:rPr>
          <w:rFonts w:hint="eastAsia"/>
        </w:rPr>
        <w:t>涂装作业人员应佩戴防毒面罩、防护服、防护手套等劳动防护用品。接触溶剂型涂料的作业人员应佩戴防有机气体滤毒盒的防毒面罩；</w:t>
      </w:r>
    </w:p>
    <w:p>
      <w:pPr>
        <w:pStyle w:val="44"/>
        <w:numPr>
          <w:ilvl w:val="0"/>
          <w:numId w:val="90"/>
        </w:numPr>
      </w:pPr>
      <w:r>
        <w:rPr>
          <w:rFonts w:hint="eastAsia"/>
        </w:rPr>
        <w:t>涂层烘干室的使用应符合现行国家标准GB 14443的规定，可燃气体监测报警点应设置在爆炸下限的25%，并应设置连续在线监测和温度超温保护装置；</w:t>
      </w:r>
    </w:p>
    <w:p>
      <w:pPr>
        <w:pStyle w:val="44"/>
        <w:numPr>
          <w:ilvl w:val="0"/>
          <w:numId w:val="90"/>
        </w:numPr>
      </w:pPr>
      <w:r>
        <w:rPr>
          <w:rFonts w:hint="eastAsia"/>
        </w:rPr>
        <w:t>采用静电喷涂时，静电喷漆枪与接地设备和接地零件的最小间距应大于静电喷漆枪与工件间距离的三倍。供漆管道周围800mm空间内，不应设置其他导体和电缆，并应悬挂安全标志。</w:t>
      </w:r>
    </w:p>
    <w:p>
      <w:pPr>
        <w:pStyle w:val="46"/>
      </w:pPr>
      <w:r>
        <w:rPr>
          <w:rFonts w:hint="eastAsia"/>
        </w:rPr>
        <w:t>除锈、打磨及机械加工安全防护应符合下列规定：</w:t>
      </w:r>
    </w:p>
    <w:p>
      <w:pPr>
        <w:pStyle w:val="44"/>
        <w:numPr>
          <w:ilvl w:val="0"/>
          <w:numId w:val="91"/>
        </w:numPr>
      </w:pPr>
      <w:r>
        <w:rPr>
          <w:rFonts w:hint="eastAsia"/>
        </w:rPr>
        <w:t>抛丸、喷砂除锈作业应在封闭或半封闭的专用设备中进行，作业区应设置防尘、降噪设施。作业人员应佩戴防尘口罩、护目镜、耳塞等劳动防护用品；</w:t>
      </w:r>
    </w:p>
    <w:p>
      <w:pPr>
        <w:pStyle w:val="44"/>
        <w:numPr>
          <w:ilvl w:val="0"/>
          <w:numId w:val="91"/>
        </w:numPr>
      </w:pPr>
      <w:r>
        <w:rPr>
          <w:rFonts w:hint="eastAsia"/>
        </w:rPr>
        <w:t>对可能产生粉尘积聚的设备设施，如抛丸除尘设备、集砂基坑、吸风管道等，应定期清扫。粉尘爆炸危险场所检修时应使用防爆工具，严禁各类明火；</w:t>
      </w:r>
    </w:p>
    <w:p>
      <w:pPr>
        <w:pStyle w:val="44"/>
        <w:numPr>
          <w:ilvl w:val="0"/>
          <w:numId w:val="91"/>
        </w:numPr>
      </w:pPr>
      <w:r>
        <w:rPr>
          <w:rFonts w:hint="eastAsia"/>
        </w:rPr>
        <w:t>机械加工设备应设置安全防护装置，剪切、冲压、切割等设备的危险区域应设置防护罩或防护栅栏。操作人员应经培训合格，严禁违规操作；</w:t>
      </w:r>
    </w:p>
    <w:p>
      <w:pPr>
        <w:pStyle w:val="44"/>
        <w:numPr>
          <w:ilvl w:val="0"/>
          <w:numId w:val="91"/>
        </w:numPr>
      </w:pPr>
      <w:r>
        <w:rPr>
          <w:rFonts w:hint="eastAsia"/>
        </w:rPr>
        <w:t>操纵旋转机床（如钻床、车床等）的人员严禁戴帆布或纱手套。从事制孔、切削、切割、构件打磨或敲击等工作时，必须佩戴防护眼镜；</w:t>
      </w:r>
    </w:p>
    <w:p>
      <w:pPr>
        <w:pStyle w:val="44"/>
        <w:numPr>
          <w:ilvl w:val="0"/>
          <w:numId w:val="91"/>
        </w:numPr>
      </w:pPr>
      <w:r>
        <w:rPr>
          <w:rFonts w:hint="eastAsia"/>
        </w:rPr>
        <w:t>加工产生的铁屑、边角料等应及时清理，放置在规定的容器内或指定地点。作业场所的通道必须保持畅通，不得堆放工件、材料。</w:t>
      </w:r>
    </w:p>
    <w:p>
      <w:pPr>
        <w:pStyle w:val="46"/>
      </w:pPr>
      <w:r>
        <w:rPr>
          <w:rFonts w:hint="eastAsia"/>
        </w:rPr>
        <w:t>有限空间作业及起重吊运安全防护应符合下列规定：</w:t>
      </w:r>
    </w:p>
    <w:p>
      <w:pPr>
        <w:pStyle w:val="44"/>
        <w:numPr>
          <w:ilvl w:val="0"/>
          <w:numId w:val="92"/>
        </w:numPr>
      </w:pPr>
      <w:r>
        <w:rPr>
          <w:rFonts w:hint="eastAsia"/>
        </w:rPr>
        <w:t>有限空间作业应执行“先通风、再检测、后作业”的原则。作业前应进行风险评估和作业审批，对有限空间内的氧气、可燃气体、有毒有害气体浓度进行检测，检测合格后方可进入；</w:t>
      </w:r>
    </w:p>
    <w:p>
      <w:pPr>
        <w:pStyle w:val="44"/>
        <w:numPr>
          <w:ilvl w:val="0"/>
          <w:numId w:val="92"/>
        </w:numPr>
      </w:pPr>
      <w:r>
        <w:rPr>
          <w:rFonts w:hint="eastAsia"/>
        </w:rPr>
        <w:t>有限空间作业应设专人监护，监护人不得离开作业现场。作业过程中应保持持续通风，并实时监测气体浓度变化。应配备应急救援设备和通讯设备；</w:t>
      </w:r>
    </w:p>
    <w:p>
      <w:pPr>
        <w:pStyle w:val="44"/>
        <w:numPr>
          <w:ilvl w:val="0"/>
          <w:numId w:val="92"/>
        </w:numPr>
      </w:pPr>
      <w:r>
        <w:rPr>
          <w:rFonts w:hint="eastAsia"/>
        </w:rPr>
        <w:t>起重吊装作业应设置警戒区，由专人指挥。吊装物吊离地面200mm～300mm时，应进行全面检查，确认无误后再正式起吊。当风速达到10m/s时，宜停止吊装作业；</w:t>
      </w:r>
    </w:p>
    <w:p>
      <w:pPr>
        <w:pStyle w:val="44"/>
        <w:numPr>
          <w:ilvl w:val="0"/>
          <w:numId w:val="92"/>
        </w:numPr>
      </w:pPr>
      <w:r>
        <w:rPr>
          <w:rFonts w:hint="eastAsia"/>
        </w:rPr>
        <w:t>起重设备应进行合理的负荷分配，构件重量不得超过两台起重设备额定起重量总和的75%，单台起重设备的负荷量不得超过额定起重量的80%。起重机的行驶道路必须坚实可靠，严禁超载吊装和斜吊；</w:t>
      </w:r>
    </w:p>
    <w:p>
      <w:pPr>
        <w:pStyle w:val="44"/>
        <w:numPr>
          <w:ilvl w:val="0"/>
          <w:numId w:val="92"/>
        </w:numPr>
      </w:pPr>
      <w:r>
        <w:rPr>
          <w:rFonts w:hint="eastAsia"/>
        </w:rPr>
        <w:t>对可能倾倒、滚动的构件和材料应采取临时措施固定。指挥吊装、遥控操作起重机械的人员，必须跟踪和监护吊物的作业方位、运行方向，严禁人员闯入或滞留在起吊、翻身的危险区域内；</w:t>
      </w:r>
    </w:p>
    <w:p>
      <w:pPr>
        <w:pStyle w:val="44"/>
        <w:numPr>
          <w:ilvl w:val="0"/>
          <w:numId w:val="92"/>
        </w:numPr>
      </w:pPr>
      <w:r>
        <w:rPr>
          <w:rFonts w:hint="eastAsia"/>
        </w:rPr>
        <w:t>钢结构制造企业应明确安全生产、消防、职业病防护等责任制。对下料、制孔、剪切、打磨、矫正、成型、抛丸、喷涂等设备，切割、焊接、喷涂等工序，以及起重、吊装、预拼装、高空作业、转运等危险作业，应制订相应的安全生产制度和操作规程。</w:t>
      </w:r>
    </w:p>
    <w:p>
      <w:pPr>
        <w:pStyle w:val="42"/>
        <w:spacing w:before="156" w:after="156"/>
      </w:pPr>
      <w:bookmarkStart w:id="195" w:name="_Toc241506568"/>
      <w:r>
        <w:rPr>
          <w:rFonts w:hint="eastAsia"/>
        </w:rPr>
        <w:t>结构构件生产</w:t>
      </w:r>
      <w:bookmarkEnd w:id="195"/>
    </w:p>
    <w:p>
      <w:pPr>
        <w:pStyle w:val="46"/>
      </w:pPr>
      <w:r>
        <w:rPr>
          <w:rFonts w:hint="eastAsia"/>
        </w:rPr>
        <w:t>钢构件加工制作工艺和质量应符合现行国家标准GB 55006、GB 50755和GB 50205的规定。钢与混凝土组合构件的混凝土部分的工厂预制应符合现行国家标准GB 55008、GB 50666及GB 50204的有关规定。</w:t>
      </w:r>
    </w:p>
    <w:p>
      <w:pPr>
        <w:pStyle w:val="46"/>
      </w:pPr>
      <w:r>
        <w:rPr>
          <w:rFonts w:hint="eastAsia"/>
        </w:rPr>
        <w:t>钢构件和装配式楼板深化设计图应根据设计图和其他有关技术文件进行编制，其内容应包括设计说明、构件清单、布置图、加工详图、安装节点详图等。对于装配式钢结构住宅，深化设计还应包括与外围护部品、内装部品、设备管线连接的预留预埋和接口定位。</w:t>
      </w:r>
    </w:p>
    <w:p>
      <w:pPr>
        <w:pStyle w:val="46"/>
      </w:pPr>
      <w:r>
        <w:rPr>
          <w:rFonts w:hint="eastAsia"/>
        </w:rPr>
        <w:t>钢构件宜采用自动化生产线进行加工制作，应尽量减少手工作业。钢板下料、制孔、切割等工序应优先采用数控设备，焊接机器人宜用于规则焊缝的施焊。</w:t>
      </w:r>
    </w:p>
    <w:p>
      <w:pPr>
        <w:pStyle w:val="46"/>
      </w:pPr>
      <w:r>
        <w:rPr>
          <w:rFonts w:hint="eastAsia"/>
        </w:rPr>
        <w:t>钢构件与墙板、内装部品的连接件宜在工厂与钢构件一起加工制作，确保连接件与钢构件的整体精度。</w:t>
      </w:r>
    </w:p>
    <w:p>
      <w:pPr>
        <w:pStyle w:val="46"/>
      </w:pPr>
      <w:r>
        <w:rPr>
          <w:rFonts w:hint="eastAsia"/>
        </w:rPr>
        <w:t>工厂钢构件及其拆分件的焊接宜采用自动焊接或半自动焊接，并应按评定合格的工艺进行焊接。焊缝质量应符合现行国家标准GB 50205及GB 50661的规定。重要节点焊缝应编制专项焊接工艺，并进行工艺评定。住宅钢构件节点焊缝宜采用机器人焊接，提高焊缝质量和一致性。焊接与切割作业安全防护应符合10.1.13的规定。</w:t>
      </w:r>
    </w:p>
    <w:p>
      <w:pPr>
        <w:pStyle w:val="46"/>
      </w:pPr>
      <w:r>
        <w:rPr>
          <w:rFonts w:hint="eastAsia"/>
        </w:rPr>
        <w:t>高强度螺栓孔宜采用数控钻床制孔、套模制孔和激光割孔，制孔质量应符合现行国家标准GB 50205的规定。孔位偏差应严格控制，确保现场螺栓群穿入率满足装配要求。制孔作业安全防护应符合10.1.15的规定。</w:t>
      </w:r>
    </w:p>
    <w:p>
      <w:pPr>
        <w:pStyle w:val="46"/>
      </w:pPr>
      <w:r>
        <w:rPr>
          <w:rFonts w:hint="eastAsia"/>
        </w:rPr>
        <w:t>钢构件除锈宜在室内进行，除锈方法及等级应符合设计要求。当设计无要求时，宜选用喷砂或抛丸除锈方法，除锈等级不应低于Sa2.5级，并应符合现行国家标准GB 8923和现行行业标准JGJ/T 251的有关规定。除锈与打磨作业安全防护应符合10.1.15的规定。</w:t>
      </w:r>
    </w:p>
    <w:p>
      <w:pPr>
        <w:pStyle w:val="46"/>
      </w:pPr>
      <w:r>
        <w:rPr>
          <w:rFonts w:hint="eastAsia"/>
        </w:rPr>
        <w:t>钢构件防腐涂装应符合下列规定：</w:t>
      </w:r>
    </w:p>
    <w:p>
      <w:pPr>
        <w:pStyle w:val="44"/>
        <w:numPr>
          <w:ilvl w:val="0"/>
          <w:numId w:val="93"/>
        </w:numPr>
      </w:pPr>
      <w:r>
        <w:rPr>
          <w:rFonts w:hint="eastAsia"/>
        </w:rPr>
        <w:t>宜在室内进行防腐涂装；</w:t>
      </w:r>
    </w:p>
    <w:p>
      <w:pPr>
        <w:pStyle w:val="44"/>
        <w:numPr>
          <w:ilvl w:val="0"/>
          <w:numId w:val="93"/>
        </w:numPr>
      </w:pPr>
      <w:r>
        <w:rPr>
          <w:rFonts w:hint="eastAsia"/>
        </w:rPr>
        <w:t>防腐涂装应按设计文件的规定执行，当设计文件未规定时，应依据建筑不同部位对应环境要求进行防腐涂装系统设计，沿海城市室外外露构件宜采用金属热喷涂或热浸镀锌防腐；</w:t>
      </w:r>
    </w:p>
    <w:p>
      <w:pPr>
        <w:pStyle w:val="44"/>
        <w:numPr>
          <w:ilvl w:val="0"/>
          <w:numId w:val="93"/>
        </w:numPr>
      </w:pPr>
      <w:r>
        <w:rPr>
          <w:rFonts w:hint="eastAsia"/>
        </w:rPr>
        <w:t>涂装作业应按现行国家标准GB 50755的规定执行；</w:t>
      </w:r>
    </w:p>
    <w:p>
      <w:pPr>
        <w:pStyle w:val="44"/>
        <w:numPr>
          <w:ilvl w:val="0"/>
          <w:numId w:val="93"/>
        </w:numPr>
      </w:pPr>
      <w:r>
        <w:rPr>
          <w:rFonts w:hint="eastAsia"/>
        </w:rPr>
        <w:t>涂装作业宜提高自动化、智能化水平，采用自动喷涂或机器人喷涂。涂装作业安全防护应符合10.1.14的规定。</w:t>
      </w:r>
    </w:p>
    <w:p>
      <w:pPr>
        <w:pStyle w:val="46"/>
      </w:pPr>
      <w:r>
        <w:rPr>
          <w:rFonts w:hint="eastAsia"/>
        </w:rPr>
        <w:t>必要时，钢构件宜在出厂前进行预拼装，构件预拼装可采用实体预拼装或数字模拟预拼装。对构造复杂、精度要求高的节点或构件单元，宜优先采用数字模拟预拼装，并结合首件实体预拼装进行验证。</w:t>
      </w:r>
    </w:p>
    <w:p>
      <w:pPr>
        <w:pStyle w:val="46"/>
      </w:pPr>
      <w:r>
        <w:rPr>
          <w:rFonts w:hint="eastAsia"/>
        </w:rPr>
        <w:t>装配式楼板生产应符合下列规定：</w:t>
      </w:r>
    </w:p>
    <w:p>
      <w:pPr>
        <w:pStyle w:val="44"/>
        <w:numPr>
          <w:ilvl w:val="0"/>
          <w:numId w:val="94"/>
        </w:numPr>
      </w:pPr>
      <w:r>
        <w:rPr>
          <w:rFonts w:hint="eastAsia"/>
        </w:rPr>
        <w:t>压型钢板应采用成型机加工，成型后基板不应有裂纹；</w:t>
      </w:r>
    </w:p>
    <w:p>
      <w:pPr>
        <w:pStyle w:val="44"/>
        <w:numPr>
          <w:ilvl w:val="0"/>
          <w:numId w:val="94"/>
        </w:numPr>
      </w:pPr>
      <w:r>
        <w:rPr>
          <w:rFonts w:hint="eastAsia"/>
        </w:rPr>
        <w:t>钢筋桁架楼承板应采用专用设备加工，保证钢筋间距、桁架高度及焊接质量符合要求；</w:t>
      </w:r>
    </w:p>
    <w:p>
      <w:pPr>
        <w:pStyle w:val="44"/>
        <w:numPr>
          <w:ilvl w:val="0"/>
          <w:numId w:val="94"/>
        </w:numPr>
      </w:pPr>
      <w:r>
        <w:rPr>
          <w:rFonts w:hint="eastAsia"/>
        </w:rPr>
        <w:t>钢筋混凝土预制楼板加工应符合现行行业标准JGJ 1的规定；</w:t>
      </w:r>
    </w:p>
    <w:p>
      <w:pPr>
        <w:pStyle w:val="44"/>
        <w:numPr>
          <w:ilvl w:val="0"/>
          <w:numId w:val="94"/>
        </w:numPr>
      </w:pPr>
      <w:r>
        <w:rPr>
          <w:rFonts w:hint="eastAsia"/>
        </w:rPr>
        <w:t>金属骨架组合楼板系统中的金属骨架、专用楼层板、配件、辅材等宜采用标准化部品，并符合相关的产品标准和技术规程要求；</w:t>
      </w:r>
    </w:p>
    <w:p>
      <w:pPr>
        <w:pStyle w:val="44"/>
        <w:numPr>
          <w:ilvl w:val="0"/>
          <w:numId w:val="94"/>
        </w:numPr>
      </w:pPr>
      <w:r>
        <w:rPr>
          <w:rFonts w:hint="eastAsia"/>
        </w:rPr>
        <w:t>预制混凝土叠合楼板的粗糙面处理、预埋件定位、预留洞口位置应符合设计要求。脱模、起吊、翻转时的混凝土强度等级不应小于15N/mm²,且不应低于设计强度的50%；出厂时的混凝土强度等级不应低于设计强度的75%。混凝土浇筑、养护及起吊翻转作业安全防护应符合10.1.16的规定。</w:t>
      </w:r>
    </w:p>
    <w:p>
      <w:pPr>
        <w:pStyle w:val="46"/>
      </w:pPr>
      <w:r>
        <w:rPr>
          <w:rFonts w:hint="eastAsia"/>
        </w:rPr>
        <w:t>钢管混凝土构件的钢管制作应符合现行国家标准GB 50205的规定，管内混凝土浇筑宜在工厂完成，应保证混凝土浇筑密实，并预留排气孔。工厂预制混凝土部分时，尚应符合现行国家标准GB 50204的规定。管内混凝土浇筑作业安全防护应符合10.1.16的规定。</w:t>
      </w:r>
    </w:p>
    <w:p>
      <w:pPr>
        <w:pStyle w:val="46"/>
      </w:pPr>
      <w:r>
        <w:rPr>
          <w:rFonts w:hint="eastAsia"/>
        </w:rPr>
        <w:t>部分包覆钢-混凝土组合构件中的混凝土部分宜在工厂预制，预制部分与钢构件的连接界面应进行粗糙化处理，确保共同工作性能。混凝土预制作业安全防护应符合10.1.16的规定。</w:t>
      </w:r>
    </w:p>
    <w:p>
      <w:pPr>
        <w:pStyle w:val="42"/>
        <w:spacing w:before="156" w:after="156"/>
      </w:pPr>
      <w:bookmarkStart w:id="196" w:name="_Toc241506569"/>
      <w:r>
        <w:rPr>
          <w:rFonts w:hint="eastAsia"/>
        </w:rPr>
        <w:t>外围护部品生产</w:t>
      </w:r>
      <w:bookmarkEnd w:id="196"/>
    </w:p>
    <w:p>
      <w:pPr>
        <w:pStyle w:val="46"/>
      </w:pPr>
      <w:r>
        <w:rPr>
          <w:rFonts w:hint="eastAsia"/>
        </w:rPr>
        <w:t>外围护部品生产前应编制生产预案，并应进行深化设计。外围护部品应优先采用标准化、模数化、系列化部品，减少规格种类，提高组合适应性；应提高集成化、模块化程度，宜建立部品和配件模型，提高生产、施工安装和使用维护的便利性。生产过程宜采用柔性制造和同步配套组织。切割、打磨、涂装等作业安全防护应符合10.1.13、10.1.14、10.1.15的规定。</w:t>
      </w:r>
    </w:p>
    <w:p>
      <w:pPr>
        <w:pStyle w:val="46"/>
      </w:pPr>
      <w:r>
        <w:rPr>
          <w:rFonts w:hint="eastAsia"/>
        </w:rPr>
        <w:t>外围护部品应采用节能环保的材料，材料应符合现行国家标准GB 50325和GB 6566的规定，外围护部品室内侧材料尚应满足室内建筑装饰材料有害物质限量的要求。</w:t>
      </w:r>
    </w:p>
    <w:p>
      <w:pPr>
        <w:pStyle w:val="46"/>
      </w:pPr>
      <w:r>
        <w:rPr>
          <w:rFonts w:hint="eastAsia"/>
        </w:rPr>
        <w:t>外围护部品生产，应对尺寸偏差和外观质量进行控制，并应具备容错性。宜采用高精度模具和自动化加工设备，保证部品尺寸一致性和表面平整度。</w:t>
      </w:r>
    </w:p>
    <w:p>
      <w:pPr>
        <w:pStyle w:val="46"/>
      </w:pPr>
      <w:r>
        <w:rPr>
          <w:rFonts w:hint="eastAsia"/>
        </w:rPr>
        <w:t>保温装饰一体板应在工厂一次复合成型，保温芯材、饰面层、锚固件预埋等应符合设计要求。出厂时应提供系统耐候性、抗风压、粘结强度等性能检验报告。不同金属的接触面应避免电化学腐蚀，采取隔离措施。复合及成型作业安全防护应符合10.1.14、10.1.15的规定。</w:t>
      </w:r>
    </w:p>
    <w:p>
      <w:pPr>
        <w:pStyle w:val="46"/>
      </w:pPr>
      <w:r>
        <w:rPr>
          <w:rFonts w:hint="eastAsia"/>
        </w:rPr>
        <w:t>预制类外墙部品生产时，应符合下列规定：</w:t>
      </w:r>
    </w:p>
    <w:p>
      <w:pPr>
        <w:pStyle w:val="44"/>
        <w:numPr>
          <w:ilvl w:val="0"/>
          <w:numId w:val="95"/>
        </w:numPr>
      </w:pPr>
      <w:r>
        <w:rPr>
          <w:rFonts w:hint="eastAsia"/>
        </w:rPr>
        <w:t>外门窗的预埋件设置应在工厂完成，预埋位置偏差应符合设计要求；</w:t>
      </w:r>
    </w:p>
    <w:p>
      <w:pPr>
        <w:pStyle w:val="44"/>
        <w:numPr>
          <w:ilvl w:val="0"/>
          <w:numId w:val="95"/>
        </w:numPr>
      </w:pPr>
      <w:r>
        <w:rPr>
          <w:rFonts w:hint="eastAsia"/>
        </w:rPr>
        <w:t>不同金属的接触面应避免电化学腐蚀；</w:t>
      </w:r>
    </w:p>
    <w:p>
      <w:pPr>
        <w:pStyle w:val="44"/>
        <w:numPr>
          <w:ilvl w:val="0"/>
          <w:numId w:val="95"/>
        </w:numPr>
      </w:pPr>
      <w:r>
        <w:rPr>
          <w:rFonts w:hint="eastAsia"/>
        </w:rPr>
        <w:t>蒸压加气混凝土条板（ALC/NALC）的生产应符合现行国家标准GB 15762及现行行业标准JGJ/T 17的规定；</w:t>
      </w:r>
    </w:p>
    <w:p>
      <w:pPr>
        <w:pStyle w:val="44"/>
        <w:numPr>
          <w:ilvl w:val="0"/>
          <w:numId w:val="95"/>
        </w:numPr>
      </w:pPr>
      <w:r>
        <w:rPr>
          <w:rFonts w:hint="eastAsia"/>
        </w:rPr>
        <w:t>预制混凝土外墙板的生产应符合现行行业标准JGJ 1的规定；</w:t>
      </w:r>
    </w:p>
    <w:p>
      <w:pPr>
        <w:pStyle w:val="44"/>
        <w:numPr>
          <w:ilvl w:val="0"/>
          <w:numId w:val="95"/>
        </w:numPr>
      </w:pPr>
      <w:r>
        <w:rPr>
          <w:rFonts w:hint="eastAsia"/>
        </w:rPr>
        <w:t>复合夹芯条板的生产应符合现行行业标准JG/T 169的规定。切割、开槽及吊运作业安全防护应符合10.1.15、10.1.16的规定。</w:t>
      </w:r>
    </w:p>
    <w:p>
      <w:pPr>
        <w:pStyle w:val="46"/>
      </w:pPr>
      <w:r>
        <w:rPr>
          <w:rFonts w:hint="eastAsia"/>
        </w:rPr>
        <w:t>组装骨架类外墙的骨架、基层墙板、填充材料应在工厂生产和集成，并应按装配顺序进行编号和包装。</w:t>
      </w:r>
    </w:p>
    <w:p>
      <w:pPr>
        <w:pStyle w:val="46"/>
      </w:pPr>
      <w:r>
        <w:rPr>
          <w:rFonts w:hint="eastAsia"/>
        </w:rPr>
        <w:t>建筑幕墙的加工制作应符合现行行业标准JGJ 102、JGJ 133、JGJ 336的规定。</w:t>
      </w:r>
    </w:p>
    <w:p>
      <w:pPr>
        <w:pStyle w:val="46"/>
      </w:pPr>
      <w:r>
        <w:rPr>
          <w:rFonts w:hint="eastAsia"/>
        </w:rPr>
        <w:t>外围护部品应进行与主体结构连接件的预装配或匹配性检查，确保连接节点精度和适配性。对于采用新型保温装饰一体板、ALC条板等部品的，尚应核查其型式检验报告及有效期内的相关认证证书。</w:t>
      </w:r>
    </w:p>
    <w:p>
      <w:pPr>
        <w:pStyle w:val="42"/>
        <w:spacing w:before="156" w:after="156"/>
      </w:pPr>
      <w:bookmarkStart w:id="197" w:name="_Toc241506570"/>
      <w:r>
        <w:rPr>
          <w:rFonts w:hint="eastAsia"/>
        </w:rPr>
        <w:t>内装部品生产</w:t>
      </w:r>
      <w:bookmarkEnd w:id="197"/>
    </w:p>
    <w:p>
      <w:pPr>
        <w:pStyle w:val="46"/>
      </w:pPr>
      <w:r>
        <w:rPr>
          <w:rFonts w:hint="eastAsia"/>
        </w:rPr>
        <w:t>内装部品的生产加工应包括深化设计、制造或组装、检测及验收，并应符合下列规定：</w:t>
      </w:r>
    </w:p>
    <w:p>
      <w:pPr>
        <w:pStyle w:val="44"/>
        <w:numPr>
          <w:ilvl w:val="0"/>
          <w:numId w:val="96"/>
        </w:numPr>
      </w:pPr>
      <w:r>
        <w:rPr>
          <w:rFonts w:hint="eastAsia"/>
        </w:rPr>
        <w:t>内装部品生产前应复核相应结构系统及外围护系统上预留洞口的位置、规格等数据；</w:t>
      </w:r>
    </w:p>
    <w:p>
      <w:pPr>
        <w:pStyle w:val="44"/>
        <w:numPr>
          <w:ilvl w:val="0"/>
          <w:numId w:val="96"/>
        </w:numPr>
      </w:pPr>
      <w:r>
        <w:rPr>
          <w:rFonts w:hint="eastAsia"/>
        </w:rPr>
        <w:t>生产厂家应对出厂部品中每个部品进行编码，并宜采用信息化技术对部品进行质量追溯；</w:t>
      </w:r>
    </w:p>
    <w:p>
      <w:pPr>
        <w:pStyle w:val="44"/>
        <w:numPr>
          <w:ilvl w:val="0"/>
          <w:numId w:val="96"/>
        </w:numPr>
      </w:pPr>
      <w:r>
        <w:rPr>
          <w:rFonts w:hint="eastAsia"/>
        </w:rPr>
        <w:t>在生产时宜适度预留公差，并应进行标识，标识系统应包含部品编码、使用位置、生产规格、材质、颜色等信息。</w:t>
      </w:r>
    </w:p>
    <w:p>
      <w:pPr>
        <w:pStyle w:val="46"/>
      </w:pPr>
      <w:r>
        <w:rPr>
          <w:rFonts w:hint="eastAsia"/>
        </w:rPr>
        <w:t>内装部品生产应使用节能环保的材料，并应符合现行国家标准GB 50325的有关规定。</w:t>
      </w:r>
    </w:p>
    <w:p>
      <w:pPr>
        <w:pStyle w:val="46"/>
      </w:pPr>
      <w:r>
        <w:rPr>
          <w:rFonts w:hint="eastAsia"/>
        </w:rPr>
        <w:t>内装部品生产加工要求应根据设计图纸进行深化，满足性能指标要求，并应协调与结构、外围护、设备管线的接口关系。</w:t>
      </w:r>
    </w:p>
    <w:p>
      <w:pPr>
        <w:pStyle w:val="46"/>
      </w:pPr>
      <w:r>
        <w:rPr>
          <w:rFonts w:hint="eastAsia"/>
        </w:rPr>
        <w:t>内装部品宜进行模数协调和规模化生产，通过部品的标准化、系列化、配套化，实现内装修部品、厨卫部品、设备部品和智能化部品等的产业化集成。集成厨房、集成卫浴、整体收纳、装配式隔墙、吊顶、架空地面等部品宜在工厂集成，减少现场湿作业。切割、开孔、预埋管线及胶粘剂使用等作业安全防护应符合10.1.14、10.1.15的规定。</w:t>
      </w:r>
    </w:p>
    <w:p>
      <w:pPr>
        <w:pStyle w:val="46"/>
      </w:pPr>
      <w:r>
        <w:rPr>
          <w:rFonts w:hint="eastAsia"/>
        </w:rPr>
        <w:t>集成厨房、集成卫浴等成套部品应在工厂进行预拼装和通水、通电试验，检验合格后方可出厂。出厂时应提供安装说明书和接口定位图。通水、通电试验作业安全防护应符合10.1.16的规定。</w:t>
      </w:r>
    </w:p>
    <w:p>
      <w:pPr>
        <w:pStyle w:val="46"/>
      </w:pPr>
      <w:r>
        <w:rPr>
          <w:rFonts w:hint="eastAsia"/>
        </w:rPr>
        <w:t>内隔墙部品宜采用轻质条板、龙骨隔墙等，并在工厂完成切割、开孔、预埋管线等工序，现场采用干式工法安装，减少现场切割和湿作业。</w:t>
      </w:r>
    </w:p>
    <w:p>
      <w:pPr>
        <w:pStyle w:val="42"/>
        <w:spacing w:before="156" w:after="156"/>
      </w:pPr>
      <w:bookmarkStart w:id="198" w:name="_Toc241506571"/>
      <w:r>
        <w:rPr>
          <w:rFonts w:hint="eastAsia"/>
        </w:rPr>
        <w:t>包装、运输与堆放</w:t>
      </w:r>
      <w:bookmarkEnd w:id="198"/>
    </w:p>
    <w:p>
      <w:pPr>
        <w:pStyle w:val="46"/>
      </w:pPr>
      <w:r>
        <w:rPr>
          <w:rFonts w:hint="eastAsia"/>
        </w:rPr>
        <w:t>构件、部品、部件出厂前应进行包装，保障其在运输及堆放过程中不破损、不变形。包装应进行检验，合格后方可发运出厂。包装清单应与实物相一致，以便接货、检验、验收。</w:t>
      </w:r>
    </w:p>
    <w:p>
      <w:pPr>
        <w:pStyle w:val="46"/>
      </w:pPr>
      <w:r>
        <w:rPr>
          <w:rFonts w:hint="eastAsia"/>
        </w:rPr>
        <w:t>构件、部品、部件包装应根据产品性能要求、结构形状、尺寸及重量、刚度和路程、运输方式（铁路、公路、水路）及地区气候条件等具体情况确定，并应符合国家有关车、船运输法规的规定。</w:t>
      </w:r>
    </w:p>
    <w:p>
      <w:pPr>
        <w:pStyle w:val="46"/>
      </w:pPr>
      <w:r>
        <w:rPr>
          <w:rFonts w:hint="eastAsia"/>
        </w:rPr>
        <w:t>包装选用的形式、结构尺寸应科学合理、重量适宜，应便于封装、开启、搬运、堆放，并经济美观；且应具有足够的强度，保证能够经受多次装卸，运输无损坏、变形，能够安全运抵目的地。</w:t>
      </w:r>
    </w:p>
    <w:p>
      <w:pPr>
        <w:pStyle w:val="46"/>
      </w:pPr>
      <w:r>
        <w:rPr>
          <w:rFonts w:hint="eastAsia"/>
        </w:rPr>
        <w:t>钢构件的包装运输应在涂层干燥后进行，包装应保护钢构件涂层不受损伤，保证构件、零件不变形、不损坏、不丢失。</w:t>
      </w:r>
    </w:p>
    <w:p>
      <w:pPr>
        <w:pStyle w:val="46"/>
      </w:pPr>
      <w:r>
        <w:rPr>
          <w:rFonts w:hint="eastAsia"/>
        </w:rPr>
        <w:t>构件、部品、部件的运输应满足合同的进度要求，应按合同规定和施工安装单位确定的施工、吊装先后顺序要求制定详细的运输方案、运输计划，并符合下列规定：</w:t>
      </w:r>
    </w:p>
    <w:p>
      <w:pPr>
        <w:pStyle w:val="44"/>
        <w:numPr>
          <w:ilvl w:val="0"/>
          <w:numId w:val="97"/>
        </w:numPr>
      </w:pPr>
      <w:r>
        <w:rPr>
          <w:rFonts w:hint="eastAsia"/>
        </w:rPr>
        <w:t>钢构件应根据钢结构的安装顺序分单元成套（批、节、段、区域）运输至工地，同一安装批应尽量安排同期、同批运输，如同一安装批构件不能同批运输，则宜从安装顺序考虑，先运钢柱，后运钢梁，再运钢支撑、钢楼梯等；</w:t>
      </w:r>
    </w:p>
    <w:p>
      <w:pPr>
        <w:pStyle w:val="44"/>
        <w:numPr>
          <w:ilvl w:val="0"/>
          <w:numId w:val="97"/>
        </w:numPr>
      </w:pPr>
      <w:r>
        <w:rPr>
          <w:rFonts w:hint="eastAsia"/>
        </w:rPr>
        <w:t>运输应按收货地点（市内、市外、境外）及构件、部品、部件几何形状、重量确定运输形式（铁路、公路、水路）；</w:t>
      </w:r>
    </w:p>
    <w:p>
      <w:pPr>
        <w:pStyle w:val="44"/>
        <w:numPr>
          <w:ilvl w:val="0"/>
          <w:numId w:val="97"/>
        </w:numPr>
      </w:pPr>
      <w:r>
        <w:rPr>
          <w:rFonts w:hint="eastAsia"/>
        </w:rPr>
        <w:t>公路运输时应根据构件、部品、部件的长度、重量、形状选用车辆，运输过程中应采取有效措施，绑捆稳固，确保不发生变形，不损伤涂层；</w:t>
      </w:r>
    </w:p>
    <w:p>
      <w:pPr>
        <w:pStyle w:val="44"/>
        <w:numPr>
          <w:ilvl w:val="0"/>
          <w:numId w:val="97"/>
        </w:numPr>
      </w:pPr>
      <w:r>
        <w:rPr>
          <w:rFonts w:hint="eastAsia"/>
        </w:rPr>
        <w:t>运输构件时宜采用远程监控无线传输技术；</w:t>
      </w:r>
    </w:p>
    <w:p>
      <w:pPr>
        <w:pStyle w:val="44"/>
        <w:numPr>
          <w:ilvl w:val="0"/>
          <w:numId w:val="97"/>
        </w:numPr>
      </w:pPr>
      <w:r>
        <w:rPr>
          <w:rFonts w:hint="eastAsia"/>
        </w:rPr>
        <w:t>运输时必须遵守国家对水路、陆路、铁路运输管理的相关规定。</w:t>
      </w:r>
    </w:p>
    <w:p>
      <w:pPr>
        <w:pStyle w:val="46"/>
      </w:pPr>
      <w:r>
        <w:rPr>
          <w:rFonts w:hint="eastAsia"/>
        </w:rPr>
        <w:t>对超高、超宽、形状特殊的大型构件的运输和堆放应制定专门的方案，运输应事先做路线踏勘，并应符合《超限运输车辆行驶公路管理规定》及湖北省相关道路运输管理规定。</w:t>
      </w:r>
    </w:p>
    <w:p>
      <w:pPr>
        <w:pStyle w:val="46"/>
      </w:pPr>
      <w:r>
        <w:rPr>
          <w:rFonts w:hint="eastAsia"/>
        </w:rPr>
        <w:t>选用的运输车辆应满足构件、部品、部件的尺寸、重量等要求，装卸与运输时应符合下列规定：</w:t>
      </w:r>
    </w:p>
    <w:p>
      <w:pPr>
        <w:pStyle w:val="44"/>
        <w:numPr>
          <w:ilvl w:val="0"/>
          <w:numId w:val="98"/>
        </w:numPr>
      </w:pPr>
      <w:r>
        <w:rPr>
          <w:rFonts w:hint="eastAsia"/>
        </w:rPr>
        <w:t>装卸时应采取保证车体平衡的措施；</w:t>
      </w:r>
    </w:p>
    <w:p>
      <w:pPr>
        <w:pStyle w:val="44"/>
        <w:numPr>
          <w:ilvl w:val="0"/>
          <w:numId w:val="98"/>
        </w:numPr>
      </w:pPr>
      <w:r>
        <w:rPr>
          <w:rFonts w:hint="eastAsia"/>
        </w:rPr>
        <w:t>应采取防止构件移动、倾倒、变形等的固定措施；</w:t>
      </w:r>
    </w:p>
    <w:p>
      <w:pPr>
        <w:pStyle w:val="44"/>
        <w:numPr>
          <w:ilvl w:val="0"/>
          <w:numId w:val="98"/>
        </w:numPr>
      </w:pPr>
      <w:r>
        <w:rPr>
          <w:rFonts w:hint="eastAsia"/>
        </w:rPr>
        <w:t>运输时应采取防止部品部件损坏的措施，对构件边角部或链索接触处宜设置保护衬垫。</w:t>
      </w:r>
    </w:p>
    <w:p>
      <w:pPr>
        <w:pStyle w:val="46"/>
      </w:pPr>
      <w:r>
        <w:rPr>
          <w:rFonts w:hint="eastAsia"/>
        </w:rPr>
        <w:t>构件装卸、吊运应符合下列规定：</w:t>
      </w:r>
    </w:p>
    <w:p>
      <w:pPr>
        <w:pStyle w:val="44"/>
        <w:numPr>
          <w:ilvl w:val="0"/>
          <w:numId w:val="99"/>
        </w:numPr>
      </w:pPr>
      <w:r>
        <w:rPr>
          <w:rFonts w:hint="eastAsia"/>
        </w:rPr>
        <w:t>应根据构件的形状、尺寸、重量和作业半径等要求选择吊具和起重设备，所采用的吊具和起重设备及其操作，应符合国家现行有关标准及产品应用技术手册的规定；</w:t>
      </w:r>
    </w:p>
    <w:p>
      <w:pPr>
        <w:pStyle w:val="44"/>
        <w:numPr>
          <w:ilvl w:val="0"/>
          <w:numId w:val="99"/>
        </w:numPr>
      </w:pPr>
      <w:r>
        <w:rPr>
          <w:rFonts w:hint="eastAsia"/>
        </w:rPr>
        <w:t>吊点数量、位置应经计算确定，应保证吊具连接可靠，应采取保证起重设备的主钩位置、吊具及构件重心在竖直方向上重合的措施；</w:t>
      </w:r>
    </w:p>
    <w:p>
      <w:pPr>
        <w:pStyle w:val="44"/>
        <w:numPr>
          <w:ilvl w:val="0"/>
          <w:numId w:val="99"/>
        </w:numPr>
      </w:pPr>
      <w:r>
        <w:rPr>
          <w:rFonts w:hint="eastAsia"/>
        </w:rPr>
        <w:t>吊索水平夹角不宜小于60°,不应小于45°;</w:t>
      </w:r>
    </w:p>
    <w:p>
      <w:pPr>
        <w:pStyle w:val="44"/>
        <w:numPr>
          <w:ilvl w:val="0"/>
          <w:numId w:val="99"/>
        </w:numPr>
      </w:pPr>
      <w:r>
        <w:rPr>
          <w:rFonts w:hint="eastAsia"/>
        </w:rPr>
        <w:t>应采用慢起、稳身、缓放的操作方式，吊运过程应保持稳定，不得偏斜、摇摆和扭转，严禁吊装构件长时间悬停在空中；</w:t>
      </w:r>
    </w:p>
    <w:p>
      <w:pPr>
        <w:pStyle w:val="44"/>
        <w:numPr>
          <w:ilvl w:val="0"/>
          <w:numId w:val="99"/>
        </w:numPr>
      </w:pPr>
      <w:r>
        <w:rPr>
          <w:rFonts w:hint="eastAsia"/>
        </w:rPr>
        <w:t>吊装大型构件、薄壁构件或形状复杂的构件时，应使用分配梁或分配桁架类吊具，并采取避免构件变形和损伤的临时加固措施。</w:t>
      </w:r>
    </w:p>
    <w:p>
      <w:pPr>
        <w:pStyle w:val="46"/>
      </w:pPr>
      <w:r>
        <w:rPr>
          <w:rFonts w:hint="eastAsia"/>
        </w:rPr>
        <w:t>构件在运输过程中应做好安全和产品防护，并应符合下列规定：</w:t>
      </w:r>
    </w:p>
    <w:p>
      <w:pPr>
        <w:pStyle w:val="44"/>
        <w:numPr>
          <w:ilvl w:val="0"/>
          <w:numId w:val="100"/>
        </w:numPr>
      </w:pPr>
      <w:r>
        <w:rPr>
          <w:rFonts w:hint="eastAsia"/>
        </w:rPr>
        <w:t>应根据构件、包装种类采取可靠的固定措施；</w:t>
      </w:r>
    </w:p>
    <w:p>
      <w:pPr>
        <w:pStyle w:val="44"/>
        <w:numPr>
          <w:ilvl w:val="0"/>
          <w:numId w:val="100"/>
        </w:numPr>
      </w:pPr>
      <w:r>
        <w:rPr>
          <w:rFonts w:hint="eastAsia"/>
        </w:rPr>
        <w:t>对于超高、超宽、形状特殊的大型构件的运输和存放应制定专门的质量安全保证措施；</w:t>
      </w:r>
    </w:p>
    <w:p>
      <w:pPr>
        <w:pStyle w:val="44"/>
        <w:numPr>
          <w:ilvl w:val="0"/>
          <w:numId w:val="100"/>
        </w:numPr>
      </w:pPr>
      <w:r>
        <w:rPr>
          <w:rFonts w:hint="eastAsia"/>
        </w:rPr>
        <w:t>运输时宜采取设置柔性垫片、塑料薄膜包裹、局部塑料贴膜、设置临时防护支架等防护措施，避免出现构件边角部位损伤、外观污染；</w:t>
      </w:r>
    </w:p>
    <w:p>
      <w:pPr>
        <w:pStyle w:val="44"/>
        <w:numPr>
          <w:ilvl w:val="0"/>
          <w:numId w:val="100"/>
        </w:numPr>
      </w:pPr>
      <w:r>
        <w:rPr>
          <w:rFonts w:hint="eastAsia"/>
        </w:rPr>
        <w:t>应根据构件特点采用不同的运输形式，运输托架、靠放架、插放架应进行专门设计，其强度、稳定性和刚度应符合要求。</w:t>
      </w:r>
    </w:p>
    <w:p>
      <w:pPr>
        <w:pStyle w:val="46"/>
      </w:pPr>
      <w:r>
        <w:rPr>
          <w:rFonts w:hint="eastAsia"/>
        </w:rPr>
        <w:t>构件、部品、部件堆放应符合下列规定：</w:t>
      </w:r>
    </w:p>
    <w:p>
      <w:pPr>
        <w:pStyle w:val="44"/>
        <w:numPr>
          <w:ilvl w:val="0"/>
          <w:numId w:val="101"/>
        </w:numPr>
      </w:pPr>
      <w:r>
        <w:rPr>
          <w:rFonts w:hint="eastAsia"/>
        </w:rPr>
        <w:t>堆放场地应平整、坚实，并按部品部件的保管技术要求采用相应的防雨、防潮、防暴晒、防污染和排水等措施；</w:t>
      </w:r>
    </w:p>
    <w:p>
      <w:pPr>
        <w:pStyle w:val="44"/>
        <w:numPr>
          <w:ilvl w:val="0"/>
          <w:numId w:val="101"/>
        </w:numPr>
      </w:pPr>
      <w:r>
        <w:rPr>
          <w:rFonts w:hint="eastAsia"/>
        </w:rPr>
        <w:t>构件支垫应坚实，垫块在构件下的位置宜与脱模、吊装时的起吊位置一致；</w:t>
      </w:r>
    </w:p>
    <w:p>
      <w:pPr>
        <w:pStyle w:val="44"/>
        <w:numPr>
          <w:ilvl w:val="0"/>
          <w:numId w:val="101"/>
        </w:numPr>
      </w:pPr>
      <w:r>
        <w:rPr>
          <w:rFonts w:hint="eastAsia"/>
        </w:rPr>
        <w:t>重叠堆放构件时，每层构件间的垫块应上下对齐，堆垛层数应根据构件、垫块的承载力确定，并应根据需要采取防止堆垛倾覆的措施。</w:t>
      </w:r>
    </w:p>
    <w:p>
      <w:pPr>
        <w:pStyle w:val="46"/>
      </w:pPr>
      <w:r>
        <w:rPr>
          <w:rFonts w:hint="eastAsia"/>
        </w:rPr>
        <w:t>墙板运输与堆放尚应符合下列规定：</w:t>
      </w:r>
    </w:p>
    <w:p>
      <w:pPr>
        <w:pStyle w:val="44"/>
        <w:numPr>
          <w:ilvl w:val="0"/>
          <w:numId w:val="102"/>
        </w:numPr>
      </w:pPr>
      <w:r>
        <w:rPr>
          <w:rFonts w:hint="eastAsia"/>
        </w:rPr>
        <w:t>当采用靠放架堆放或运输时，靠放架应具有足够的承载力和刚度，与地面倾斜角度宜大于80°；墙板宜对称放置且外饰面朝外，墙板上部宜采用木垫块隔开；运输时应固定牢固；</w:t>
      </w:r>
    </w:p>
    <w:p>
      <w:pPr>
        <w:pStyle w:val="44"/>
        <w:numPr>
          <w:ilvl w:val="0"/>
          <w:numId w:val="102"/>
        </w:numPr>
      </w:pPr>
      <w:r>
        <w:rPr>
          <w:rFonts w:hint="eastAsia"/>
        </w:rPr>
        <w:t>当采用插放架直立堆放或运输时，宜采取直立方式运输；插放架应有足够的承载力和刚度，并应支垫稳固；</w:t>
      </w:r>
    </w:p>
    <w:p>
      <w:pPr>
        <w:pStyle w:val="44"/>
        <w:numPr>
          <w:ilvl w:val="0"/>
          <w:numId w:val="102"/>
        </w:numPr>
      </w:pPr>
      <w:r>
        <w:rPr>
          <w:rFonts w:hint="eastAsia"/>
        </w:rPr>
        <w:t>采用叠层平放的方式堆放或运输时，应采取防止产生损坏的措施。</w:t>
      </w:r>
    </w:p>
    <w:p>
      <w:pPr>
        <w:pStyle w:val="46"/>
      </w:pPr>
      <w:r>
        <w:rPr>
          <w:rFonts w:hint="eastAsia"/>
        </w:rPr>
        <w:t>构件、部品、部件宜采用信息化物流管理系统，实现运输过程跟踪、到货检验、交接确认的数字化管理。采用二维码、RFID等标识的构件，现场收验时应扫码核验，并与BIM模型、质量追溯系统关联。</w:t>
      </w:r>
    </w:p>
    <w:p>
      <w:pPr>
        <w:pStyle w:val="41"/>
        <w:spacing w:before="312" w:after="312"/>
      </w:pPr>
      <w:bookmarkStart w:id="199" w:name="_Toc241506572"/>
      <w:bookmarkStart w:id="200" w:name="_Toc5095"/>
      <w:r>
        <w:rPr>
          <w:rFonts w:hint="eastAsia"/>
        </w:rPr>
        <w:t>施工安装</w:t>
      </w:r>
      <w:bookmarkEnd w:id="199"/>
      <w:bookmarkEnd w:id="200"/>
    </w:p>
    <w:p>
      <w:pPr>
        <w:pStyle w:val="42"/>
        <w:spacing w:before="156" w:after="156"/>
      </w:pPr>
      <w:bookmarkStart w:id="201" w:name="_Toc241506573"/>
      <w:r>
        <w:rPr>
          <w:rFonts w:hint="eastAsia"/>
        </w:rPr>
        <w:t>一般规定</w:t>
      </w:r>
      <w:bookmarkEnd w:id="201"/>
    </w:p>
    <w:p>
      <w:pPr>
        <w:pStyle w:val="46"/>
      </w:pPr>
      <w:r>
        <w:rPr>
          <w:rFonts w:hint="eastAsia"/>
        </w:rPr>
        <w:t>装配式钢结构住宅施工单位应建立完善的安全、质量、环境和职业健康管理体系。</w:t>
      </w:r>
    </w:p>
    <w:p>
      <w:pPr>
        <w:pStyle w:val="46"/>
      </w:pPr>
      <w:r>
        <w:rPr>
          <w:rFonts w:hint="eastAsia"/>
        </w:rPr>
        <w:t>施工前，施工单位应编制下列技术文件，并按规定进行审批和论证：</w:t>
      </w:r>
    </w:p>
    <w:p>
      <w:pPr>
        <w:pStyle w:val="44"/>
        <w:numPr>
          <w:ilvl w:val="0"/>
          <w:numId w:val="103"/>
        </w:numPr>
      </w:pPr>
      <w:r>
        <w:rPr>
          <w:rFonts w:hint="eastAsia"/>
        </w:rPr>
        <w:t>施工组织设计及配套的装配式施工专项方案；</w:t>
      </w:r>
    </w:p>
    <w:p>
      <w:pPr>
        <w:pStyle w:val="44"/>
        <w:numPr>
          <w:ilvl w:val="0"/>
          <w:numId w:val="103"/>
        </w:numPr>
      </w:pPr>
      <w:r>
        <w:rPr>
          <w:rFonts w:hint="eastAsia"/>
        </w:rPr>
        <w:t>安全专项方案；</w:t>
      </w:r>
    </w:p>
    <w:p>
      <w:pPr>
        <w:pStyle w:val="44"/>
        <w:numPr>
          <w:ilvl w:val="0"/>
          <w:numId w:val="103"/>
        </w:numPr>
      </w:pPr>
      <w:r>
        <w:rPr>
          <w:rFonts w:hint="eastAsia"/>
        </w:rPr>
        <w:t>绿色施工与环境保护专项方案。</w:t>
      </w:r>
    </w:p>
    <w:p>
      <w:pPr>
        <w:pStyle w:val="46"/>
      </w:pPr>
      <w:r>
        <w:rPr>
          <w:rFonts w:hint="eastAsia"/>
        </w:rPr>
        <w:t>施工单位应根据装配式钢结构住宅的特点，选择合适的施工方法，制定合理的施工顺序，并应尽量减少现场支模和脚手架用量，提高施工效率。</w:t>
      </w:r>
    </w:p>
    <w:p>
      <w:pPr>
        <w:pStyle w:val="46"/>
      </w:pPr>
      <w:r>
        <w:rPr>
          <w:rFonts w:hint="eastAsia"/>
        </w:rPr>
        <w:t>施工用的设备、机具、工具和计量器具应满足施工要求，并应在合格检定有效期内。</w:t>
      </w:r>
    </w:p>
    <w:p>
      <w:pPr>
        <w:pStyle w:val="46"/>
      </w:pPr>
      <w:r>
        <w:rPr>
          <w:rFonts w:hint="eastAsia"/>
        </w:rPr>
        <w:t>装配式钢结构住宅宜采用BIM技术，对安全、质量、技术、施工进度等进行全过程的信息化协同管理。宜采用BIM技术对结构构件、建筑部品和设备管线等进行虚拟建造。</w:t>
      </w:r>
    </w:p>
    <w:p>
      <w:pPr>
        <w:pStyle w:val="46"/>
      </w:pPr>
      <w:r>
        <w:rPr>
          <w:rFonts w:hint="eastAsia"/>
        </w:rPr>
        <w:t>钢结构装配式住宅建筑应遵守国家环境保护的法规和标准，采取有效措施减少各种粉尘、废弃物、噪声等对周围环境造成的污染和危害；并应采取可靠有效的防火等安全措施。</w:t>
      </w:r>
    </w:p>
    <w:p>
      <w:pPr>
        <w:pStyle w:val="46"/>
      </w:pPr>
      <w:r>
        <w:rPr>
          <w:rFonts w:hint="eastAsia"/>
        </w:rPr>
        <w:t>施工单位应对装配式钢结构住宅现场施工人员进行装配式建造技术、施工工艺及安全操作等方面的专项培训与技术交底。</w:t>
      </w:r>
    </w:p>
    <w:p>
      <w:pPr>
        <w:pStyle w:val="46"/>
      </w:pPr>
      <w:r>
        <w:rPr>
          <w:rFonts w:hint="eastAsia"/>
        </w:rPr>
        <w:t>施工单位应对进场的原材料或部品部（构）件进行检查和验收，合格后方可使用。</w:t>
      </w:r>
    </w:p>
    <w:p>
      <w:pPr>
        <w:pStyle w:val="46"/>
      </w:pPr>
      <w:r>
        <w:rPr>
          <w:rFonts w:hint="eastAsia"/>
        </w:rPr>
        <w:t>施工安装现场应设置专门的部品部（构）件堆场，应有防止部品部（构）件表面污染、损伤及安全保护的措施。</w:t>
      </w:r>
    </w:p>
    <w:p>
      <w:pPr>
        <w:pStyle w:val="46"/>
      </w:pPr>
      <w:r>
        <w:rPr>
          <w:rFonts w:hint="eastAsia"/>
        </w:rPr>
        <w:t>当在混凝土中安装预埋件和预埋螺栓时，宜采用定位支架将其与混凝土结构中的主钢筋相连，并应在混凝土初凝前再次测量复校。</w:t>
      </w:r>
    </w:p>
    <w:p>
      <w:pPr>
        <w:pStyle w:val="46"/>
      </w:pPr>
      <w:r>
        <w:rPr>
          <w:rFonts w:hint="eastAsia"/>
        </w:rPr>
        <w:t>全面施工前，应选择具有代表性的单元进行工艺样板间或实体样板施工，样板间应经设计、建设及监理单位确认后方可大面积展开施工。</w:t>
      </w:r>
    </w:p>
    <w:p>
      <w:pPr>
        <w:pStyle w:val="42"/>
        <w:spacing w:before="156" w:after="156"/>
      </w:pPr>
      <w:bookmarkStart w:id="202" w:name="_Toc241506574"/>
      <w:r>
        <w:rPr>
          <w:rFonts w:hint="eastAsia"/>
        </w:rPr>
        <w:t>结构系统施工与安装</w:t>
      </w:r>
      <w:bookmarkEnd w:id="202"/>
    </w:p>
    <w:p>
      <w:pPr>
        <w:pStyle w:val="46"/>
      </w:pPr>
      <w:r>
        <w:rPr>
          <w:rFonts w:hint="eastAsia"/>
        </w:rPr>
        <w:t>钢结构施工应符合现行国家标准国家标准GB 50755和GB 50205的规定。</w:t>
      </w:r>
    </w:p>
    <w:p>
      <w:pPr>
        <w:pStyle w:val="46"/>
      </w:pPr>
      <w:r>
        <w:rPr>
          <w:rFonts w:hint="eastAsia"/>
        </w:rPr>
        <w:t>钢结构施工前应进行施工阶段验算分析，选用的设计指标应符合设计文件和现行国家标准GB 50017等的规定。施工阶段结构分析的荷载效应组合和荷载分项系数取值，应符合现行国家标准GB 50009和GB 50755的规定。</w:t>
      </w:r>
    </w:p>
    <w:p>
      <w:pPr>
        <w:pStyle w:val="46"/>
      </w:pPr>
      <w:r>
        <w:rPr>
          <w:rFonts w:hint="eastAsia"/>
        </w:rPr>
        <w:t>钢结构应根据结构特点选择合理顺序进行安装。必要时应增加临时支撑或临时措施，重型构件所用的临时支承结构应进行结构安全计算。</w:t>
      </w:r>
    </w:p>
    <w:p>
      <w:pPr>
        <w:pStyle w:val="46"/>
      </w:pPr>
      <w:r>
        <w:rPr>
          <w:rFonts w:hint="eastAsia"/>
        </w:rPr>
        <w:t>高层钢结构安装时应计入竖向压缩变形对结构的影响，并应根据结构特点和影响程度采取预调安装标高、设置后连续构件等措施。</w:t>
      </w:r>
    </w:p>
    <w:p>
      <w:pPr>
        <w:pStyle w:val="46"/>
      </w:pPr>
      <w:r>
        <w:rPr>
          <w:rFonts w:hint="eastAsia"/>
        </w:rPr>
        <w:t>钢结构施工期间，应对结构变形、环境变化等进行过程监测，监测方法、内容及部位应根据设计或结构特点确定。</w:t>
      </w:r>
    </w:p>
    <w:p>
      <w:pPr>
        <w:pStyle w:val="46"/>
      </w:pPr>
      <w:r>
        <w:rPr>
          <w:rFonts w:hint="eastAsia"/>
        </w:rPr>
        <w:t>钢结构现场焊接工艺和质量应符合现行国家标准GB 50661和GB 50205的规定。</w:t>
      </w:r>
    </w:p>
    <w:p>
      <w:pPr>
        <w:pStyle w:val="46"/>
      </w:pPr>
      <w:r>
        <w:rPr>
          <w:rFonts w:hint="eastAsia"/>
        </w:rPr>
        <w:t>钢结构紧固件连接工艺和质量应符合国家现行标准GB 50755、GB 50205和JGJ 82的规定。</w:t>
      </w:r>
    </w:p>
    <w:p>
      <w:pPr>
        <w:pStyle w:val="46"/>
      </w:pPr>
      <w:r>
        <w:rPr>
          <w:rFonts w:hint="eastAsia"/>
        </w:rPr>
        <w:t>钢结构现场涂装应符合下列规定：</w:t>
      </w:r>
    </w:p>
    <w:p>
      <w:pPr>
        <w:pStyle w:val="44"/>
        <w:numPr>
          <w:ilvl w:val="0"/>
          <w:numId w:val="104"/>
        </w:numPr>
      </w:pPr>
      <w:r>
        <w:rPr>
          <w:rFonts w:hint="eastAsia"/>
        </w:rPr>
        <w:t>构件在运输、存放和安装过程中损坏的涂层以及安装连接部位的涂层应进行现场补漆，并应符合原涂装工艺要求；</w:t>
      </w:r>
    </w:p>
    <w:p>
      <w:pPr>
        <w:pStyle w:val="44"/>
        <w:numPr>
          <w:ilvl w:val="0"/>
          <w:numId w:val="104"/>
        </w:numPr>
      </w:pPr>
      <w:r>
        <w:rPr>
          <w:rFonts w:hint="eastAsia"/>
        </w:rPr>
        <w:t>构件表面的涂装系统应相互兼容；</w:t>
      </w:r>
    </w:p>
    <w:p>
      <w:pPr>
        <w:pStyle w:val="44"/>
        <w:numPr>
          <w:ilvl w:val="0"/>
          <w:numId w:val="104"/>
        </w:numPr>
      </w:pPr>
      <w:r>
        <w:rPr>
          <w:rFonts w:hint="eastAsia"/>
        </w:rPr>
        <w:t>防火涂料应符合国家现行有关标准的规定；</w:t>
      </w:r>
    </w:p>
    <w:p>
      <w:pPr>
        <w:pStyle w:val="44"/>
        <w:numPr>
          <w:ilvl w:val="0"/>
          <w:numId w:val="104"/>
        </w:numPr>
      </w:pPr>
      <w:r>
        <w:rPr>
          <w:rFonts w:hint="eastAsia"/>
        </w:rPr>
        <w:t>现场防腐和防火涂装应符合现行国家标准GB 50755和GB 50205的规定。</w:t>
      </w:r>
    </w:p>
    <w:p>
      <w:pPr>
        <w:pStyle w:val="46"/>
      </w:pPr>
      <w:r>
        <w:rPr>
          <w:rFonts w:hint="eastAsia"/>
        </w:rPr>
        <w:t>钢管内的混凝土浇筑应符合现行国家标准GB 50936和GB 50901的规定。混凝土最大倾落高度宜根据组合构件类型由试验确定。宜采用自密实混凝土，粗骨料粒径不宜大于20mm，最大倾落高度不宜大于9m；倾落高度大于9m时，应采用串筒、溜槽、溜管等辅助装置进行浇筑。浇筑过程应采取必要措施保证混凝土浇筑质量。</w:t>
      </w:r>
    </w:p>
    <w:p>
      <w:pPr>
        <w:pStyle w:val="46"/>
      </w:pPr>
      <w:r>
        <w:rPr>
          <w:rFonts w:hint="eastAsia"/>
        </w:rPr>
        <w:t>压型钢板组合楼板和钢筋桁架楼承板组合楼板的施工应按现行国家标准GB</w:t>
      </w:r>
      <w:r>
        <w:t xml:space="preserve"> </w:t>
      </w:r>
      <w:r>
        <w:rPr>
          <w:rFonts w:hint="eastAsia"/>
        </w:rPr>
        <w:t>50901执行。组合楼板混凝土施工与钢结构构件安装应流水进行，两项作业相差层数不宜超过6层。</w:t>
      </w:r>
    </w:p>
    <w:p>
      <w:pPr>
        <w:pStyle w:val="46"/>
      </w:pPr>
      <w:r>
        <w:rPr>
          <w:rFonts w:hint="eastAsia"/>
        </w:rPr>
        <w:t>混凝土叠合板施工应符合下列规定：</w:t>
      </w:r>
    </w:p>
    <w:p>
      <w:pPr>
        <w:pStyle w:val="44"/>
        <w:numPr>
          <w:ilvl w:val="0"/>
          <w:numId w:val="105"/>
        </w:numPr>
      </w:pPr>
      <w:r>
        <w:rPr>
          <w:rFonts w:hint="eastAsia"/>
        </w:rPr>
        <w:t>应根据设计要求或施工方案设置临时支撑；</w:t>
      </w:r>
    </w:p>
    <w:p>
      <w:pPr>
        <w:pStyle w:val="44"/>
        <w:numPr>
          <w:ilvl w:val="0"/>
          <w:numId w:val="105"/>
        </w:numPr>
      </w:pPr>
      <w:r>
        <w:rPr>
          <w:rFonts w:hint="eastAsia"/>
        </w:rPr>
        <w:t>施工荷载应均匀布置，且不超过设计规定；</w:t>
      </w:r>
    </w:p>
    <w:p>
      <w:pPr>
        <w:pStyle w:val="44"/>
        <w:numPr>
          <w:ilvl w:val="0"/>
          <w:numId w:val="105"/>
        </w:numPr>
      </w:pPr>
      <w:r>
        <w:rPr>
          <w:rFonts w:hint="eastAsia"/>
        </w:rPr>
        <w:t>端部的搁置长度应符合设计或国家现行有关标准的规定；</w:t>
      </w:r>
    </w:p>
    <w:p>
      <w:pPr>
        <w:pStyle w:val="44"/>
        <w:numPr>
          <w:ilvl w:val="0"/>
          <w:numId w:val="105"/>
        </w:numPr>
      </w:pPr>
      <w:r>
        <w:rPr>
          <w:rFonts w:hint="eastAsia"/>
        </w:rPr>
        <w:t>叠合板混凝土浇筑前，应按设计要求检查结合面的粗糙度及外露钢筋。</w:t>
      </w:r>
    </w:p>
    <w:p>
      <w:pPr>
        <w:pStyle w:val="46"/>
      </w:pPr>
      <w:r>
        <w:rPr>
          <w:rFonts w:hint="eastAsia"/>
        </w:rPr>
        <w:t>预制楼板、预制混凝土楼梯的安装应符合现行国家标准GB 50666和现行行业标准JGJ 1的有关规定，并应在专业人员指导下按照专项施工方案和产品说明书施工。</w:t>
      </w:r>
    </w:p>
    <w:p>
      <w:pPr>
        <w:pStyle w:val="46"/>
      </w:pPr>
      <w:r>
        <w:rPr>
          <w:rFonts w:hint="eastAsia"/>
        </w:rPr>
        <w:t>楼梯、阳台板与空调板安装应符合下列规定：</w:t>
      </w:r>
    </w:p>
    <w:p>
      <w:pPr>
        <w:pStyle w:val="44"/>
        <w:numPr>
          <w:ilvl w:val="0"/>
          <w:numId w:val="106"/>
        </w:numPr>
      </w:pPr>
      <w:r>
        <w:rPr>
          <w:rFonts w:hint="eastAsia"/>
        </w:rPr>
        <w:t>预制混凝土楼梯的安装应符合下列规定：</w:t>
      </w:r>
    </w:p>
    <w:p>
      <w:pPr>
        <w:pStyle w:val="73"/>
      </w:pPr>
      <w:r>
        <w:rPr>
          <w:rFonts w:hint="eastAsia"/>
        </w:rPr>
        <w:t>宜一端设置固定铰，另一端设置滑动铰；</w:t>
      </w:r>
    </w:p>
    <w:p>
      <w:pPr>
        <w:pStyle w:val="73"/>
      </w:pPr>
      <w:r>
        <w:rPr>
          <w:rFonts w:hint="eastAsia"/>
        </w:rPr>
        <w:t>滑动铰端部应采取防止滑落的构造措施；</w:t>
      </w:r>
    </w:p>
    <w:p>
      <w:pPr>
        <w:pStyle w:val="73"/>
      </w:pPr>
      <w:r>
        <w:rPr>
          <w:rFonts w:hint="eastAsia"/>
        </w:rPr>
        <w:t>在支承构件上的最小搁置长度不宜小于100mm；</w:t>
      </w:r>
    </w:p>
    <w:p>
      <w:pPr>
        <w:pStyle w:val="73"/>
      </w:pPr>
      <w:r>
        <w:rPr>
          <w:rFonts w:hint="eastAsia"/>
        </w:rPr>
        <w:t>预制楼梯与钢梯梁之间的间隙可采用后灌浆填实。</w:t>
      </w:r>
    </w:p>
    <w:p>
      <w:pPr>
        <w:pStyle w:val="44"/>
        <w:numPr>
          <w:ilvl w:val="0"/>
          <w:numId w:val="106"/>
        </w:numPr>
      </w:pPr>
      <w:r>
        <w:rPr>
          <w:rFonts w:hint="eastAsia"/>
        </w:rPr>
        <w:t>钢楼梯的安装应符合下列规定：</w:t>
      </w:r>
    </w:p>
    <w:p>
      <w:pPr>
        <w:pStyle w:val="73"/>
      </w:pPr>
      <w:r>
        <w:rPr>
          <w:rFonts w:hint="eastAsia"/>
        </w:rPr>
        <w:t>与主体结构宜采用不传递水平作用的连接形式；</w:t>
      </w:r>
    </w:p>
    <w:p>
      <w:pPr>
        <w:pStyle w:val="73"/>
      </w:pPr>
      <w:r>
        <w:rPr>
          <w:rFonts w:hint="eastAsia"/>
        </w:rPr>
        <w:t>安装完成后应对连接节点进行防腐防火补涂。</w:t>
      </w:r>
    </w:p>
    <w:p>
      <w:pPr>
        <w:pStyle w:val="44"/>
        <w:numPr>
          <w:ilvl w:val="0"/>
          <w:numId w:val="106"/>
        </w:numPr>
      </w:pPr>
      <w:r>
        <w:rPr>
          <w:rFonts w:hint="eastAsia"/>
        </w:rPr>
        <w:t>预制飘窗的安装应符合下列规定：</w:t>
      </w:r>
    </w:p>
    <w:p>
      <w:pPr>
        <w:pStyle w:val="73"/>
      </w:pPr>
      <w:r>
        <w:rPr>
          <w:rFonts w:hint="eastAsia"/>
        </w:rPr>
        <w:t>与主体结构连接应设置可调斜拉装置，实现精确定位和临时固定；</w:t>
      </w:r>
    </w:p>
    <w:p>
      <w:pPr>
        <w:pStyle w:val="73"/>
      </w:pPr>
      <w:r>
        <w:rPr>
          <w:rFonts w:hint="eastAsia"/>
        </w:rPr>
        <w:t>连接节点应采取可靠的防腐处理；</w:t>
      </w:r>
    </w:p>
    <w:p>
      <w:pPr>
        <w:pStyle w:val="73"/>
      </w:pPr>
      <w:r>
        <w:rPr>
          <w:rFonts w:hint="eastAsia"/>
        </w:rPr>
        <w:t>飘窗内侧与楼板连接处应在混凝土浇筑时形成整体。</w:t>
      </w:r>
    </w:p>
    <w:p>
      <w:pPr>
        <w:pStyle w:val="44"/>
        <w:numPr>
          <w:ilvl w:val="0"/>
          <w:numId w:val="106"/>
        </w:numPr>
      </w:pPr>
      <w:r>
        <w:rPr>
          <w:rFonts w:hint="eastAsia"/>
        </w:rPr>
        <w:t>预制空调板的安装应符合下列规定：</w:t>
      </w:r>
    </w:p>
    <w:p>
      <w:pPr>
        <w:pStyle w:val="73"/>
      </w:pPr>
      <w:r>
        <w:rPr>
          <w:rFonts w:hint="eastAsia"/>
        </w:rPr>
        <w:t>宜采用预埋连接件限位固定和可调斜拉装置；</w:t>
      </w:r>
    </w:p>
    <w:p>
      <w:pPr>
        <w:pStyle w:val="73"/>
      </w:pPr>
      <w:r>
        <w:rPr>
          <w:rFonts w:hint="eastAsia"/>
        </w:rPr>
        <w:t>无支撑安装时应进行吊装验算并采取可靠的临时固定措施。</w:t>
      </w:r>
    </w:p>
    <w:p>
      <w:pPr>
        <w:pStyle w:val="46"/>
      </w:pPr>
      <w:r>
        <w:rPr>
          <w:rFonts w:hint="eastAsia"/>
        </w:rPr>
        <w:t>钢结构集成模块单元安装应符合下列规定：</w:t>
      </w:r>
    </w:p>
    <w:p>
      <w:pPr>
        <w:pStyle w:val="44"/>
        <w:numPr>
          <w:ilvl w:val="0"/>
          <w:numId w:val="107"/>
        </w:numPr>
      </w:pPr>
      <w:r>
        <w:rPr>
          <w:rFonts w:hint="eastAsia"/>
        </w:rPr>
        <w:t>模块单元安装宜按建筑物的平面形状、结构及连接节点形式、安装机械的规格数量、现场施工条件等因素，划分吊装流水段，确定安装顺序；</w:t>
      </w:r>
    </w:p>
    <w:p>
      <w:pPr>
        <w:pStyle w:val="44"/>
        <w:numPr>
          <w:ilvl w:val="0"/>
          <w:numId w:val="107"/>
        </w:numPr>
      </w:pPr>
      <w:r>
        <w:rPr>
          <w:rFonts w:hint="eastAsia"/>
        </w:rPr>
        <w:t>模块单元的吊点位置应严格按设计点位布置，严禁随意变更，确需变动时应由设计单位复核并同意；</w:t>
      </w:r>
    </w:p>
    <w:p>
      <w:pPr>
        <w:pStyle w:val="44"/>
        <w:numPr>
          <w:ilvl w:val="0"/>
          <w:numId w:val="107"/>
        </w:numPr>
      </w:pPr>
      <w:r>
        <w:rPr>
          <w:rFonts w:hint="eastAsia"/>
        </w:rPr>
        <w:t>尺寸较大或形状复杂的模块单元吊装时，应选择设置分配梁或分配桁架的吊具，并应保证起重设备主钩位置、吊具及模块单元重心在竖直方向上重合，可采取下列构造措施：</w:t>
      </w:r>
    </w:p>
    <w:p>
      <w:pPr>
        <w:pStyle w:val="73"/>
      </w:pPr>
      <w:r>
        <w:rPr>
          <w:rFonts w:hint="eastAsia"/>
        </w:rPr>
        <w:t>通过单独的横梁进行提升，图</w:t>
      </w:r>
      <w:r>
        <w:t>8</w:t>
      </w:r>
      <w:r>
        <w:rPr>
          <w:rFonts w:hint="eastAsia"/>
        </w:rPr>
        <w:t>（b）；</w:t>
      </w:r>
    </w:p>
    <w:p>
      <w:pPr>
        <w:pStyle w:val="73"/>
      </w:pPr>
      <w:r>
        <w:rPr>
          <w:rFonts w:hint="eastAsia"/>
        </w:rPr>
        <w:t>通过独立的二级框架进行提升，图</w:t>
      </w:r>
      <w:r>
        <w:t>8</w:t>
      </w:r>
      <w:r>
        <w:rPr>
          <w:rFonts w:hint="eastAsia"/>
        </w:rPr>
        <w:t>（c）；</w:t>
      </w:r>
    </w:p>
    <w:p>
      <w:pPr>
        <w:pStyle w:val="73"/>
      </w:pPr>
      <w:r>
        <w:rPr>
          <w:rFonts w:hint="eastAsia"/>
        </w:rPr>
        <w:t>通过等尺寸的重型框架进行提升，图</w:t>
      </w:r>
      <w:r>
        <w:t>8</w:t>
      </w:r>
      <w:r>
        <w:rPr>
          <w:rFonts w:hint="eastAsia"/>
        </w:rPr>
        <w:t>（d）。</w:t>
      </w:r>
    </w:p>
    <w:p>
      <w:pPr>
        <w:pStyle w:val="39"/>
        <w:ind w:firstLine="0" w:firstLineChars="0"/>
        <w:jc w:val="center"/>
      </w:pPr>
      <w:r>
        <w:drawing>
          <wp:inline distT="0" distB="0" distL="114300" distR="114300">
            <wp:extent cx="2443480" cy="1727835"/>
            <wp:effectExtent l="0" t="0" r="0" b="5715"/>
            <wp:docPr id="331" name="图片 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1" name="图片 31"/>
                    <pic:cNvPicPr>
                      <a:picLocks noChangeAspect="true"/>
                    </pic:cNvPicPr>
                  </pic:nvPicPr>
                  <pic:blipFill>
                    <a:blip r:embed="rId28"/>
                    <a:srcRect l="4625" t="1" r="50832" b="60954"/>
                    <a:stretch>
                      <a:fillRect/>
                    </a:stretch>
                  </pic:blipFill>
                  <pic:spPr>
                    <a:xfrm>
                      <a:off x="0" y="0"/>
                      <a:ext cx="2443617" cy="1728000"/>
                    </a:xfrm>
                    <a:prstGeom prst="rect">
                      <a:avLst/>
                    </a:prstGeom>
                    <a:noFill/>
                    <a:ln>
                      <a:noFill/>
                    </a:ln>
                  </pic:spPr>
                </pic:pic>
              </a:graphicData>
            </a:graphic>
          </wp:inline>
        </w:drawing>
      </w:r>
      <w:r>
        <w:drawing>
          <wp:inline distT="0" distB="0" distL="114300" distR="114300">
            <wp:extent cx="2320925" cy="1727835"/>
            <wp:effectExtent l="0" t="0" r="3175" b="5715"/>
            <wp:docPr id="1" name="图片 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31"/>
                    <pic:cNvPicPr>
                      <a:picLocks noChangeAspect="true"/>
                    </pic:cNvPicPr>
                  </pic:nvPicPr>
                  <pic:blipFill>
                    <a:blip r:embed="rId28"/>
                    <a:srcRect l="40079" r="15287" b="58820"/>
                    <a:stretch>
                      <a:fillRect/>
                    </a:stretch>
                  </pic:blipFill>
                  <pic:spPr>
                    <a:xfrm>
                      <a:off x="0" y="0"/>
                      <a:ext cx="2321531" cy="1728000"/>
                    </a:xfrm>
                    <a:prstGeom prst="rect">
                      <a:avLst/>
                    </a:prstGeom>
                    <a:noFill/>
                    <a:ln>
                      <a:noFill/>
                    </a:ln>
                  </pic:spPr>
                </pic:pic>
              </a:graphicData>
            </a:graphic>
          </wp:inline>
        </w:drawing>
      </w:r>
    </w:p>
    <w:p>
      <w:pPr>
        <w:pStyle w:val="39"/>
        <w:ind w:firstLine="0" w:firstLineChars="0"/>
        <w:jc w:val="center"/>
        <w:rPr>
          <w:sz w:val="18"/>
          <w:szCs w:val="18"/>
        </w:rPr>
      </w:pPr>
      <w:r>
        <w:rPr>
          <w:rFonts w:hint="eastAsia"/>
          <w:sz w:val="18"/>
          <w:szCs w:val="18"/>
        </w:rPr>
        <w:t xml:space="preserve">（a）模块单元直接进行提升 </w:t>
      </w:r>
      <w:r>
        <w:rPr>
          <w:sz w:val="18"/>
          <w:szCs w:val="18"/>
        </w:rPr>
        <w:t xml:space="preserve">        </w:t>
      </w:r>
      <w:r>
        <w:rPr>
          <w:rFonts w:hint="eastAsia"/>
          <w:sz w:val="18"/>
          <w:szCs w:val="18"/>
        </w:rPr>
        <w:t>（b）通过单独的横梁进行提升</w:t>
      </w:r>
    </w:p>
    <w:p>
      <w:pPr>
        <w:pStyle w:val="39"/>
        <w:ind w:firstLine="0" w:firstLineChars="0"/>
        <w:jc w:val="center"/>
      </w:pPr>
      <w:r>
        <w:drawing>
          <wp:inline distT="0" distB="0" distL="114300" distR="114300">
            <wp:extent cx="2301240" cy="1727835"/>
            <wp:effectExtent l="0" t="0" r="3810" b="5715"/>
            <wp:docPr id="11" name="图片 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31"/>
                    <pic:cNvPicPr>
                      <a:picLocks noChangeAspect="true"/>
                    </pic:cNvPicPr>
                  </pic:nvPicPr>
                  <pic:blipFill>
                    <a:blip r:embed="rId28"/>
                    <a:srcRect l="4624" t="50090" r="50852" b="8468"/>
                    <a:stretch>
                      <a:fillRect/>
                    </a:stretch>
                  </pic:blipFill>
                  <pic:spPr>
                    <a:xfrm>
                      <a:off x="0" y="0"/>
                      <a:ext cx="2301365" cy="1728000"/>
                    </a:xfrm>
                    <a:prstGeom prst="rect">
                      <a:avLst/>
                    </a:prstGeom>
                    <a:noFill/>
                    <a:ln>
                      <a:noFill/>
                    </a:ln>
                  </pic:spPr>
                </pic:pic>
              </a:graphicData>
            </a:graphic>
          </wp:inline>
        </w:drawing>
      </w:r>
      <w:r>
        <w:drawing>
          <wp:inline distT="0" distB="0" distL="114300" distR="114300">
            <wp:extent cx="2440305" cy="1727835"/>
            <wp:effectExtent l="0" t="0" r="0" b="5715"/>
            <wp:docPr id="16" name="图片 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31"/>
                    <pic:cNvPicPr>
                      <a:picLocks noChangeAspect="true"/>
                    </pic:cNvPicPr>
                  </pic:nvPicPr>
                  <pic:blipFill>
                    <a:blip r:embed="rId28"/>
                    <a:srcRect l="40085" t="53822" r="14978" b="6736"/>
                    <a:stretch>
                      <a:fillRect/>
                    </a:stretch>
                  </pic:blipFill>
                  <pic:spPr>
                    <a:xfrm>
                      <a:off x="0" y="0"/>
                      <a:ext cx="2440834" cy="1728000"/>
                    </a:xfrm>
                    <a:prstGeom prst="rect">
                      <a:avLst/>
                    </a:prstGeom>
                    <a:noFill/>
                    <a:ln>
                      <a:noFill/>
                    </a:ln>
                  </pic:spPr>
                </pic:pic>
              </a:graphicData>
            </a:graphic>
          </wp:inline>
        </w:drawing>
      </w:r>
    </w:p>
    <w:p>
      <w:pPr>
        <w:pStyle w:val="39"/>
        <w:ind w:firstLine="0" w:firstLineChars="0"/>
        <w:jc w:val="center"/>
        <w:rPr>
          <w:sz w:val="18"/>
          <w:szCs w:val="18"/>
        </w:rPr>
      </w:pPr>
      <w:r>
        <w:rPr>
          <w:rFonts w:hint="eastAsia"/>
          <w:sz w:val="18"/>
          <w:szCs w:val="18"/>
        </w:rPr>
        <w:t xml:space="preserve">（c）通过独立的二级框架进行提升 </w:t>
      </w:r>
      <w:r>
        <w:rPr>
          <w:sz w:val="18"/>
          <w:szCs w:val="18"/>
        </w:rPr>
        <w:t xml:space="preserve">       </w:t>
      </w:r>
      <w:r>
        <w:rPr>
          <w:rFonts w:hint="eastAsia"/>
          <w:sz w:val="18"/>
          <w:szCs w:val="18"/>
        </w:rPr>
        <w:t>（d）通过等尺寸的重型框架进行提升</w:t>
      </w:r>
    </w:p>
    <w:p>
      <w:pPr>
        <w:pStyle w:val="55"/>
        <w:spacing w:before="156" w:after="156"/>
      </w:pPr>
      <w:r>
        <w:rPr>
          <w:rFonts w:hint="eastAsia"/>
        </w:rPr>
        <w:t>模块单元吊装方法</w:t>
      </w:r>
    </w:p>
    <w:p>
      <w:pPr>
        <w:pStyle w:val="44"/>
        <w:numPr>
          <w:ilvl w:val="0"/>
          <w:numId w:val="56"/>
        </w:numPr>
      </w:pPr>
      <w:r>
        <w:rPr>
          <w:rFonts w:hint="eastAsia"/>
        </w:rPr>
        <w:t>模块单元间连接件在安装过程出现损伤应立即矫正修补，对无法矫正修补的模块单元不应使用；</w:t>
      </w:r>
    </w:p>
    <w:p>
      <w:pPr>
        <w:pStyle w:val="44"/>
        <w:numPr>
          <w:ilvl w:val="0"/>
          <w:numId w:val="56"/>
        </w:numPr>
      </w:pPr>
      <w:r>
        <w:rPr>
          <w:rFonts w:hint="eastAsia"/>
        </w:rPr>
        <w:t>未经设计单位允许不得对模块单元进行切割、开孔等。不得利用已安装就位的模块单元结构作为起吊其他重物的吊点或支撑点，不得在主要受力部位加焊其他物件。</w:t>
      </w:r>
    </w:p>
    <w:p>
      <w:pPr>
        <w:pStyle w:val="46"/>
      </w:pPr>
      <w:r>
        <w:rPr>
          <w:rFonts w:hint="eastAsia"/>
        </w:rPr>
        <w:t>钢结构工程测量应符合下列规定：</w:t>
      </w:r>
    </w:p>
    <w:p>
      <w:pPr>
        <w:pStyle w:val="44"/>
        <w:numPr>
          <w:ilvl w:val="0"/>
          <w:numId w:val="108"/>
        </w:numPr>
      </w:pPr>
      <w:r>
        <w:rPr>
          <w:rFonts w:hint="eastAsia"/>
        </w:rPr>
        <w:t>钢结构安装前应设置施工控制网，施工测量前，应根据设计图和安装方案，编制测量专项方案；</w:t>
      </w:r>
    </w:p>
    <w:p>
      <w:pPr>
        <w:pStyle w:val="44"/>
        <w:numPr>
          <w:ilvl w:val="0"/>
          <w:numId w:val="108"/>
        </w:numPr>
      </w:pPr>
      <w:r>
        <w:rPr>
          <w:rFonts w:hint="eastAsia"/>
        </w:rPr>
        <w:t>施工阶段的测量应包括平面控制、高程控制和细部测量。</w:t>
      </w:r>
    </w:p>
    <w:p>
      <w:pPr>
        <w:pStyle w:val="42"/>
        <w:spacing w:before="156" w:after="156"/>
      </w:pPr>
      <w:bookmarkStart w:id="203" w:name="_Toc241506575"/>
      <w:r>
        <w:rPr>
          <w:rFonts w:hint="eastAsia"/>
        </w:rPr>
        <w:t>外围护系统安装</w:t>
      </w:r>
      <w:bookmarkEnd w:id="203"/>
    </w:p>
    <w:p>
      <w:pPr>
        <w:pStyle w:val="46"/>
      </w:pPr>
      <w:r>
        <w:rPr>
          <w:rFonts w:hint="eastAsia"/>
        </w:rPr>
        <w:t>外围护部品安装宜与主体结构同步进行，可在安装部位的主体结构验收合格后进行。外围护系统可在一个流水段主体结构分项工程验收合格后，与主体结构同步施工，但应采取可靠防护措施，避免施工过程中损坏已安装墙体及保证作业人员安全。</w:t>
      </w:r>
    </w:p>
    <w:p>
      <w:pPr>
        <w:pStyle w:val="46"/>
      </w:pPr>
      <w:r>
        <w:rPr>
          <w:rFonts w:hint="eastAsia"/>
        </w:rPr>
        <w:t>安装前的准备工作应符合下列规定：</w:t>
      </w:r>
    </w:p>
    <w:p>
      <w:pPr>
        <w:pStyle w:val="44"/>
        <w:numPr>
          <w:ilvl w:val="0"/>
          <w:numId w:val="109"/>
        </w:numPr>
      </w:pPr>
      <w:r>
        <w:rPr>
          <w:rFonts w:hint="eastAsia"/>
        </w:rPr>
        <w:t>对所有进场部品、零配件及辅助材料应按设计规定的品种、规格、尺寸和外观要求进行检查，并应有合格证和性能检测报告；</w:t>
      </w:r>
    </w:p>
    <w:p>
      <w:pPr>
        <w:pStyle w:val="44"/>
        <w:numPr>
          <w:ilvl w:val="0"/>
          <w:numId w:val="109"/>
        </w:numPr>
      </w:pPr>
      <w:r>
        <w:rPr>
          <w:rFonts w:hint="eastAsia"/>
        </w:rPr>
        <w:t>应进行技术交底；</w:t>
      </w:r>
    </w:p>
    <w:p>
      <w:pPr>
        <w:pStyle w:val="44"/>
        <w:numPr>
          <w:ilvl w:val="0"/>
          <w:numId w:val="109"/>
        </w:numPr>
      </w:pPr>
      <w:r>
        <w:rPr>
          <w:rFonts w:hint="eastAsia"/>
        </w:rPr>
        <w:t>应将部品连接面清理干净，并对预埋件和连接件进行清理和防护；</w:t>
      </w:r>
    </w:p>
    <w:p>
      <w:pPr>
        <w:pStyle w:val="44"/>
        <w:numPr>
          <w:ilvl w:val="0"/>
          <w:numId w:val="109"/>
        </w:numPr>
      </w:pPr>
      <w:r>
        <w:rPr>
          <w:rFonts w:hint="eastAsia"/>
        </w:rPr>
        <w:t>应按部品排板图进行测量放线。</w:t>
      </w:r>
    </w:p>
    <w:p>
      <w:pPr>
        <w:pStyle w:val="46"/>
      </w:pPr>
      <w:r>
        <w:rPr>
          <w:rFonts w:hint="eastAsia"/>
        </w:rPr>
        <w:t>部品吊装应采用专用吊具，起吊和就位应平稳，防止磕碰。</w:t>
      </w:r>
    </w:p>
    <w:p>
      <w:pPr>
        <w:pStyle w:val="46"/>
      </w:pPr>
      <w:r>
        <w:rPr>
          <w:rFonts w:hint="eastAsia"/>
        </w:rPr>
        <w:t>预制外挂墙板安装应符合下列规定：</w:t>
      </w:r>
    </w:p>
    <w:p>
      <w:pPr>
        <w:pStyle w:val="44"/>
        <w:numPr>
          <w:ilvl w:val="0"/>
          <w:numId w:val="110"/>
        </w:numPr>
      </w:pPr>
      <w:r>
        <w:rPr>
          <w:rFonts w:hint="eastAsia"/>
        </w:rPr>
        <w:t>墙板应设置临时固定和调整装置；</w:t>
      </w:r>
    </w:p>
    <w:p>
      <w:pPr>
        <w:pStyle w:val="44"/>
        <w:numPr>
          <w:ilvl w:val="0"/>
          <w:numId w:val="110"/>
        </w:numPr>
      </w:pPr>
      <w:r>
        <w:rPr>
          <w:rFonts w:hint="eastAsia"/>
        </w:rPr>
        <w:t>墙板应在轴线、标高和垂直度调校合格后方可永久固定；</w:t>
      </w:r>
    </w:p>
    <w:p>
      <w:pPr>
        <w:pStyle w:val="44"/>
        <w:numPr>
          <w:ilvl w:val="0"/>
          <w:numId w:val="110"/>
        </w:numPr>
      </w:pPr>
      <w:r>
        <w:rPr>
          <w:rFonts w:hint="eastAsia"/>
        </w:rPr>
        <w:t>确保施工安全，墙板永久固定前起重设备不得松钩；</w:t>
      </w:r>
    </w:p>
    <w:p>
      <w:pPr>
        <w:pStyle w:val="44"/>
        <w:numPr>
          <w:ilvl w:val="0"/>
          <w:numId w:val="110"/>
        </w:numPr>
      </w:pPr>
      <w:r>
        <w:rPr>
          <w:rFonts w:hint="eastAsia"/>
        </w:rPr>
        <w:t>预制混凝土外挂墙板吊装应采用专用吊具，起吊和就位应平稳，防止磕碰。</w:t>
      </w:r>
    </w:p>
    <w:p>
      <w:pPr>
        <w:pStyle w:val="46"/>
      </w:pPr>
      <w:r>
        <w:rPr>
          <w:rFonts w:hint="eastAsia"/>
        </w:rPr>
        <w:t>轻质条板及砌块外墙安装应符合下列规定：</w:t>
      </w:r>
    </w:p>
    <w:p>
      <w:pPr>
        <w:pStyle w:val="44"/>
        <w:numPr>
          <w:ilvl w:val="0"/>
          <w:numId w:val="111"/>
        </w:numPr>
      </w:pPr>
      <w:r>
        <w:rPr>
          <w:rFonts w:hint="eastAsia"/>
        </w:rPr>
        <w:t>外墙连接节点应根据设计要求选用钩头螺栓法、滑动螺栓法、内置锚法或摇摆型工法；</w:t>
      </w:r>
    </w:p>
    <w:p>
      <w:pPr>
        <w:pStyle w:val="44"/>
        <w:numPr>
          <w:ilvl w:val="0"/>
          <w:numId w:val="111"/>
        </w:numPr>
      </w:pPr>
      <w:r>
        <w:rPr>
          <w:rFonts w:hint="eastAsia"/>
        </w:rPr>
        <w:t>内墙连接节点宜采用管卡或U型卡连接，连接件应有可靠的防松弛、防滑脱措施；</w:t>
      </w:r>
    </w:p>
    <w:p>
      <w:pPr>
        <w:pStyle w:val="44"/>
        <w:numPr>
          <w:ilvl w:val="0"/>
          <w:numId w:val="111"/>
        </w:numPr>
      </w:pPr>
      <w:r>
        <w:rPr>
          <w:rFonts w:hint="eastAsia"/>
        </w:rPr>
        <w:t>与钢梁、钢柱连接处应采用柔性节点，预留10mm～20mm变形缝；</w:t>
      </w:r>
    </w:p>
    <w:p>
      <w:pPr>
        <w:pStyle w:val="44"/>
        <w:numPr>
          <w:ilvl w:val="0"/>
          <w:numId w:val="111"/>
        </w:numPr>
      </w:pPr>
      <w:r>
        <w:rPr>
          <w:rFonts w:hint="eastAsia"/>
        </w:rPr>
        <w:t>板缝应填充PE棒和PU发泡剂，表面打专用密封胶；</w:t>
      </w:r>
    </w:p>
    <w:p>
      <w:pPr>
        <w:pStyle w:val="44"/>
        <w:numPr>
          <w:ilvl w:val="0"/>
          <w:numId w:val="111"/>
        </w:numPr>
      </w:pPr>
      <w:r>
        <w:rPr>
          <w:rFonts w:hint="eastAsia"/>
        </w:rPr>
        <w:t>外墙面应用专用防水界面剂全面涂刷；</w:t>
      </w:r>
    </w:p>
    <w:p>
      <w:pPr>
        <w:pStyle w:val="44"/>
        <w:numPr>
          <w:ilvl w:val="0"/>
          <w:numId w:val="111"/>
        </w:numPr>
      </w:pPr>
      <w:r>
        <w:rPr>
          <w:rFonts w:hint="eastAsia"/>
        </w:rPr>
        <w:t>门窗洞口处应采用嵌入板缝之间的、与主体结构可靠连接的扁钢或角钢进行加固，洞口底部宜增设披水板；</w:t>
      </w:r>
    </w:p>
    <w:p>
      <w:pPr>
        <w:pStyle w:val="44"/>
        <w:numPr>
          <w:ilvl w:val="0"/>
          <w:numId w:val="111"/>
        </w:numPr>
      </w:pPr>
      <w:r>
        <w:rPr>
          <w:rFonts w:hint="eastAsia"/>
        </w:rPr>
        <w:t>当条板采用双层墙板安装时，内、外层墙板的拼缝宜错开；</w:t>
      </w:r>
    </w:p>
    <w:p>
      <w:pPr>
        <w:pStyle w:val="44"/>
        <w:numPr>
          <w:ilvl w:val="0"/>
          <w:numId w:val="111"/>
        </w:numPr>
      </w:pPr>
      <w:r>
        <w:rPr>
          <w:rFonts w:hint="eastAsia"/>
        </w:rPr>
        <w:t>蒸压加气混凝土条板、大规格尺寸蒸压加气混凝土砌块的施工应符合现行行业标准JGJ/T 17的规定。</w:t>
      </w:r>
    </w:p>
    <w:p>
      <w:pPr>
        <w:pStyle w:val="46"/>
      </w:pPr>
      <w:r>
        <w:rPr>
          <w:rFonts w:hint="eastAsia"/>
        </w:rPr>
        <w:t>现场组合骨架外墙安装应符合下列规定：</w:t>
      </w:r>
    </w:p>
    <w:p>
      <w:pPr>
        <w:pStyle w:val="44"/>
        <w:numPr>
          <w:ilvl w:val="0"/>
          <w:numId w:val="112"/>
        </w:numPr>
      </w:pPr>
      <w:r>
        <w:rPr>
          <w:rFonts w:hint="eastAsia"/>
        </w:rPr>
        <w:t>竖向龙骨安装应平直，不得扭曲，间距应符合设计要求；</w:t>
      </w:r>
    </w:p>
    <w:p>
      <w:pPr>
        <w:pStyle w:val="44"/>
        <w:numPr>
          <w:ilvl w:val="0"/>
          <w:numId w:val="112"/>
        </w:numPr>
      </w:pPr>
      <w:r>
        <w:rPr>
          <w:rFonts w:hint="eastAsia"/>
        </w:rPr>
        <w:t>空腔内的保温材料应连续、密实，并应在隐蔽验收合格后方可进行面板安装；</w:t>
      </w:r>
    </w:p>
    <w:p>
      <w:pPr>
        <w:pStyle w:val="44"/>
        <w:numPr>
          <w:ilvl w:val="0"/>
          <w:numId w:val="112"/>
        </w:numPr>
      </w:pPr>
      <w:r>
        <w:rPr>
          <w:rFonts w:hint="eastAsia"/>
        </w:rPr>
        <w:t>面板安装方向及拼缝位置应符合设计要求，内外侧接缝不宜在同一根竖向龙骨上；</w:t>
      </w:r>
    </w:p>
    <w:p>
      <w:pPr>
        <w:pStyle w:val="44"/>
        <w:numPr>
          <w:ilvl w:val="0"/>
          <w:numId w:val="112"/>
        </w:numPr>
      </w:pPr>
      <w:r>
        <w:rPr>
          <w:rFonts w:hint="eastAsia"/>
        </w:rPr>
        <w:t>木骨架组合墙体施工应符合现行国家标准GB/T 50361 的规定；</w:t>
      </w:r>
    </w:p>
    <w:p>
      <w:pPr>
        <w:pStyle w:val="44"/>
        <w:numPr>
          <w:ilvl w:val="0"/>
          <w:numId w:val="112"/>
        </w:numPr>
      </w:pPr>
      <w:r>
        <w:rPr>
          <w:rFonts w:hint="eastAsia"/>
        </w:rPr>
        <w:t>轻钢龙骨式复合墙板安装：</w:t>
      </w:r>
    </w:p>
    <w:p>
      <w:pPr>
        <w:pStyle w:val="73"/>
      </w:pPr>
      <w:r>
        <w:rPr>
          <w:rFonts w:hint="eastAsia"/>
        </w:rPr>
        <w:t>钢龙骨与上、下导轨应采用自钻自攻螺钉连接；</w:t>
      </w:r>
    </w:p>
    <w:p>
      <w:pPr>
        <w:pStyle w:val="73"/>
      </w:pPr>
      <w:r>
        <w:rPr>
          <w:rFonts w:hint="eastAsia"/>
        </w:rPr>
        <w:t>导轨的壁厚不宜小于1.0mm；</w:t>
      </w:r>
    </w:p>
    <w:p>
      <w:pPr>
        <w:pStyle w:val="73"/>
      </w:pPr>
      <w:r>
        <w:rPr>
          <w:rFonts w:hint="eastAsia"/>
        </w:rPr>
        <w:t>导轨与主体结构连接的自钻自攻螺钉规格不宜小于ST5.5，自钻自攻螺钉宜双排布置且间距不宜超过600mm；</w:t>
      </w:r>
    </w:p>
    <w:p>
      <w:pPr>
        <w:pStyle w:val="73"/>
      </w:pPr>
      <w:r>
        <w:rPr>
          <w:rFonts w:hint="eastAsia"/>
        </w:rPr>
        <w:t>钢龙骨的大小、排列间距、龙骨壁厚、与导轨的连接方式应定型；</w:t>
      </w:r>
    </w:p>
    <w:p>
      <w:pPr>
        <w:pStyle w:val="73"/>
      </w:pPr>
      <w:r>
        <w:rPr>
          <w:rFonts w:hint="eastAsia"/>
        </w:rPr>
        <w:t>轻钢龙骨式复合墙板装配允许偏差范围应符合表</w:t>
      </w:r>
      <w:r>
        <w:t>5</w:t>
      </w:r>
      <w:r>
        <w:rPr>
          <w:rFonts w:hint="eastAsia"/>
        </w:rPr>
        <w:t>的规定。</w:t>
      </w:r>
    </w:p>
    <w:p>
      <w:pPr>
        <w:pStyle w:val="45"/>
        <w:spacing w:before="156" w:after="156"/>
      </w:pPr>
      <w:r>
        <w:rPr>
          <w:rFonts w:hint="eastAsia"/>
        </w:rPr>
        <w:t>装配允许偏差范围</w:t>
      </w:r>
    </w:p>
    <w:tbl>
      <w:tblPr>
        <w:tblStyle w:val="33"/>
        <w:tblW w:w="5000"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2735"/>
        <w:gridCol w:w="3416"/>
        <w:gridCol w:w="3419"/>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c>
          <w:tcPr>
            <w:tcW w:w="1429" w:type="pct"/>
            <w:tcBorders>
              <w:top w:val="single" w:color="000000" w:sz="8" w:space="0"/>
              <w:bottom w:val="single" w:color="000000" w:sz="8" w:space="0"/>
            </w:tcBorders>
            <w:vAlign w:val="center"/>
          </w:tcPr>
          <w:p>
            <w:pPr>
              <w:autoSpaceDE w:val="0"/>
              <w:autoSpaceDN w:val="0"/>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单幅墙体高度h（m）</w:t>
            </w:r>
          </w:p>
        </w:tc>
        <w:tc>
          <w:tcPr>
            <w:tcW w:w="1785" w:type="pct"/>
            <w:tcBorders>
              <w:top w:val="single" w:color="000000" w:sz="8" w:space="0"/>
              <w:bottom w:val="single" w:color="000000" w:sz="8" w:space="0"/>
            </w:tcBorders>
            <w:vAlign w:val="center"/>
          </w:tcPr>
          <w:p>
            <w:pPr>
              <w:autoSpaceDE w:val="0"/>
              <w:autoSpaceDN w:val="0"/>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竖向允许调节偏差（mm）</w:t>
            </w:r>
          </w:p>
        </w:tc>
        <w:tc>
          <w:tcPr>
            <w:tcW w:w="1786" w:type="pct"/>
            <w:tcBorders>
              <w:top w:val="single" w:color="000000" w:sz="8" w:space="0"/>
              <w:bottom w:val="single" w:color="000000" w:sz="8" w:space="0"/>
            </w:tcBorders>
            <w:vAlign w:val="center"/>
          </w:tcPr>
          <w:p>
            <w:pPr>
              <w:autoSpaceDE w:val="0"/>
              <w:autoSpaceDN w:val="0"/>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横向允许调节偏差（mm）</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c>
          <w:tcPr>
            <w:tcW w:w="1429" w:type="pct"/>
            <w:tcBorders>
              <w:top w:val="single" w:color="000000" w:sz="8" w:space="0"/>
            </w:tcBorders>
            <w:vAlign w:val="center"/>
          </w:tcPr>
          <w:p>
            <w:pPr>
              <w:autoSpaceDE w:val="0"/>
              <w:autoSpaceDN w:val="0"/>
              <w:spacing w:line="240" w:lineRule="auto"/>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H≤</w:t>
            </w:r>
            <w:r>
              <w:rPr>
                <w:rFonts w:asciiTheme="minorEastAsia" w:hAnsiTheme="minorEastAsia" w:eastAsiaTheme="minorEastAsia"/>
                <w:sz w:val="18"/>
                <w:szCs w:val="18"/>
              </w:rPr>
              <w:t>4.5</w:t>
            </w:r>
          </w:p>
        </w:tc>
        <w:tc>
          <w:tcPr>
            <w:tcW w:w="1785" w:type="pct"/>
            <w:tcBorders>
              <w:top w:val="single" w:color="000000" w:sz="8" w:space="0"/>
            </w:tcBorders>
            <w:vAlign w:val="center"/>
          </w:tcPr>
          <w:p>
            <w:pPr>
              <w:autoSpaceDE w:val="0"/>
              <w:autoSpaceDN w:val="0"/>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0</w:t>
            </w:r>
            <w:r>
              <w:rPr>
                <w:rFonts w:hint="eastAsia" w:asciiTheme="minorEastAsia" w:hAnsiTheme="minorEastAsia" w:eastAsiaTheme="minorEastAsia"/>
                <w:sz w:val="18"/>
                <w:szCs w:val="18"/>
              </w:rPr>
              <w:t>～</w:t>
            </w:r>
            <w:r>
              <w:rPr>
                <w:rFonts w:asciiTheme="minorEastAsia" w:hAnsiTheme="minorEastAsia" w:eastAsiaTheme="minorEastAsia"/>
                <w:sz w:val="18"/>
                <w:szCs w:val="18"/>
              </w:rPr>
              <w:t>-5</w:t>
            </w:r>
          </w:p>
        </w:tc>
        <w:tc>
          <w:tcPr>
            <w:tcW w:w="1786" w:type="pct"/>
            <w:tcBorders>
              <w:top w:val="single" w:color="000000" w:sz="8" w:space="0"/>
            </w:tcBorders>
            <w:vAlign w:val="center"/>
          </w:tcPr>
          <w:p>
            <w:pPr>
              <w:autoSpaceDE w:val="0"/>
              <w:autoSpaceDN w:val="0"/>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c>
          <w:tcPr>
            <w:tcW w:w="1429" w:type="pct"/>
            <w:vAlign w:val="center"/>
          </w:tcPr>
          <w:p>
            <w:pPr>
              <w:autoSpaceDE w:val="0"/>
              <w:autoSpaceDN w:val="0"/>
              <w:spacing w:line="240" w:lineRule="auto"/>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4.5＜</w:t>
            </w:r>
            <w:r>
              <w:rPr>
                <w:rFonts w:asciiTheme="minorEastAsia" w:hAnsiTheme="minorEastAsia" w:eastAsiaTheme="minorEastAsia"/>
                <w:sz w:val="18"/>
                <w:szCs w:val="18"/>
              </w:rPr>
              <w:t>h</w:t>
            </w:r>
            <w:r>
              <w:rPr>
                <w:rFonts w:hint="eastAsia" w:asciiTheme="minorEastAsia" w:hAnsiTheme="minorEastAsia" w:eastAsiaTheme="minorEastAsia"/>
                <w:sz w:val="18"/>
                <w:szCs w:val="18"/>
              </w:rPr>
              <w:t>＜6</w:t>
            </w:r>
          </w:p>
        </w:tc>
        <w:tc>
          <w:tcPr>
            <w:tcW w:w="1785" w:type="pct"/>
            <w:vAlign w:val="center"/>
          </w:tcPr>
          <w:p>
            <w:pPr>
              <w:autoSpaceDE w:val="0"/>
              <w:autoSpaceDN w:val="0"/>
              <w:spacing w:line="240" w:lineRule="auto"/>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w:t>
            </w:r>
          </w:p>
        </w:tc>
        <w:tc>
          <w:tcPr>
            <w:tcW w:w="1786" w:type="pct"/>
            <w:vAlign w:val="center"/>
          </w:tcPr>
          <w:p>
            <w:pPr>
              <w:autoSpaceDE w:val="0"/>
              <w:autoSpaceDN w:val="0"/>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c>
          <w:tcPr>
            <w:tcW w:w="1429" w:type="pct"/>
            <w:vAlign w:val="center"/>
          </w:tcPr>
          <w:p>
            <w:pPr>
              <w:autoSpaceDE w:val="0"/>
              <w:autoSpaceDN w:val="0"/>
              <w:spacing w:line="240" w:lineRule="auto"/>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H＞6</w:t>
            </w:r>
          </w:p>
        </w:tc>
        <w:tc>
          <w:tcPr>
            <w:tcW w:w="1785" w:type="pct"/>
            <w:vAlign w:val="center"/>
          </w:tcPr>
          <w:p>
            <w:pPr>
              <w:autoSpaceDE w:val="0"/>
              <w:autoSpaceDN w:val="0"/>
              <w:spacing w:line="240" w:lineRule="auto"/>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0～-10</w:t>
            </w:r>
          </w:p>
        </w:tc>
        <w:tc>
          <w:tcPr>
            <w:tcW w:w="1786" w:type="pct"/>
            <w:vAlign w:val="center"/>
          </w:tcPr>
          <w:p>
            <w:pPr>
              <w:autoSpaceDE w:val="0"/>
              <w:autoSpaceDN w:val="0"/>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bl>
    <w:p>
      <w:pPr>
        <w:pStyle w:val="46"/>
      </w:pPr>
      <w:r>
        <w:rPr>
          <w:rFonts w:hint="eastAsia"/>
        </w:rPr>
        <w:t>保温装饰一体板/幕墙施工应符合下列规定：</w:t>
      </w:r>
    </w:p>
    <w:p>
      <w:pPr>
        <w:pStyle w:val="44"/>
        <w:numPr>
          <w:ilvl w:val="0"/>
          <w:numId w:val="113"/>
        </w:numPr>
      </w:pPr>
      <w:r>
        <w:rPr>
          <w:rFonts w:hint="eastAsia"/>
        </w:rPr>
        <w:t>保温装饰一体板的安装应符合下列规定：</w:t>
      </w:r>
    </w:p>
    <w:p>
      <w:pPr>
        <w:pStyle w:val="73"/>
      </w:pPr>
      <w:r>
        <w:rPr>
          <w:rFonts w:hint="eastAsia"/>
        </w:rPr>
        <w:t>6层及以下可采用粘锚连接方式；</w:t>
      </w:r>
    </w:p>
    <w:p>
      <w:pPr>
        <w:pStyle w:val="73"/>
      </w:pPr>
      <w:r>
        <w:rPr>
          <w:rFonts w:hint="eastAsia"/>
        </w:rPr>
        <w:t>7层及以上宜采用龙骨干挂方式，锚固件应固定在基层墙体或主体结构上；</w:t>
      </w:r>
    </w:p>
    <w:p>
      <w:pPr>
        <w:pStyle w:val="73"/>
      </w:pPr>
      <w:r>
        <w:rPr>
          <w:rFonts w:hint="eastAsia"/>
        </w:rPr>
        <w:t>龙骨干挂时，龙骨与主体结构连接应牢固，龙骨间距应满足设计要求。</w:t>
      </w:r>
    </w:p>
    <w:p>
      <w:pPr>
        <w:pStyle w:val="44"/>
        <w:numPr>
          <w:ilvl w:val="0"/>
          <w:numId w:val="9"/>
        </w:numPr>
      </w:pPr>
      <w:r>
        <w:rPr>
          <w:rFonts w:hint="eastAsia"/>
        </w:rPr>
        <w:t>外墙防水构造应符合下列规定：</w:t>
      </w:r>
    </w:p>
    <w:p>
      <w:pPr>
        <w:pStyle w:val="73"/>
      </w:pPr>
      <w:r>
        <w:rPr>
          <w:rFonts w:hint="eastAsia"/>
        </w:rPr>
        <w:t>横缝应采用外低内高的企口构造；</w:t>
      </w:r>
    </w:p>
    <w:p>
      <w:pPr>
        <w:pStyle w:val="73"/>
      </w:pPr>
      <w:r>
        <w:rPr>
          <w:rFonts w:hint="eastAsia"/>
        </w:rPr>
        <w:t>板缝应填充PE棒并打硅酮耐候密封胶；</w:t>
      </w:r>
    </w:p>
    <w:p>
      <w:pPr>
        <w:pStyle w:val="73"/>
      </w:pPr>
      <w:r>
        <w:rPr>
          <w:rFonts w:hint="eastAsia"/>
        </w:rPr>
        <w:t>窗洞四周应采用整体折弯防水处理；</w:t>
      </w:r>
    </w:p>
    <w:p>
      <w:pPr>
        <w:pStyle w:val="73"/>
      </w:pPr>
      <w:r>
        <w:rPr>
          <w:rFonts w:hint="eastAsia"/>
        </w:rPr>
        <w:t>每层楼板处的空腔内应设置柔性防水导水层，板缝处设置排水管。</w:t>
      </w:r>
    </w:p>
    <w:p>
      <w:pPr>
        <w:pStyle w:val="44"/>
        <w:numPr>
          <w:ilvl w:val="0"/>
          <w:numId w:val="9"/>
        </w:numPr>
      </w:pPr>
      <w:r>
        <w:rPr>
          <w:rFonts w:hint="eastAsia"/>
        </w:rPr>
        <w:t>断热桥处理应符合下列规定：</w:t>
      </w:r>
    </w:p>
    <w:p>
      <w:pPr>
        <w:pStyle w:val="73"/>
      </w:pPr>
      <w:r>
        <w:rPr>
          <w:rFonts w:hint="eastAsia"/>
        </w:rPr>
        <w:t>钢柱外侧应连续包封保温材料；</w:t>
      </w:r>
    </w:p>
    <w:p>
      <w:pPr>
        <w:pStyle w:val="73"/>
      </w:pPr>
      <w:r>
        <w:rPr>
          <w:rFonts w:hint="eastAsia"/>
        </w:rPr>
        <w:t>钢梁上下翼缘外侧应设置保温层；</w:t>
      </w:r>
    </w:p>
    <w:p>
      <w:pPr>
        <w:pStyle w:val="73"/>
      </w:pPr>
      <w:r>
        <w:rPr>
          <w:rFonts w:hint="eastAsia"/>
        </w:rPr>
        <w:t>阳台等外挑构件根部应采取保温隔断措施。</w:t>
      </w:r>
    </w:p>
    <w:p>
      <w:pPr>
        <w:pStyle w:val="44"/>
        <w:numPr>
          <w:ilvl w:val="0"/>
          <w:numId w:val="9"/>
        </w:numPr>
      </w:pPr>
      <w:r>
        <w:rPr>
          <w:rFonts w:hint="eastAsia"/>
        </w:rPr>
        <w:t>玻璃幕墙施工应符合现行行业标准JGJ 102的规定；</w:t>
      </w:r>
    </w:p>
    <w:p>
      <w:pPr>
        <w:pStyle w:val="44"/>
        <w:numPr>
          <w:ilvl w:val="0"/>
          <w:numId w:val="9"/>
        </w:numPr>
      </w:pPr>
      <w:r>
        <w:rPr>
          <w:rFonts w:hint="eastAsia"/>
        </w:rPr>
        <w:t>金属与石材幕墙施工应符合现行行业标准JGJ 133 的规定；</w:t>
      </w:r>
    </w:p>
    <w:p>
      <w:pPr>
        <w:pStyle w:val="44"/>
        <w:numPr>
          <w:ilvl w:val="0"/>
          <w:numId w:val="9"/>
        </w:numPr>
      </w:pPr>
      <w:r>
        <w:rPr>
          <w:rFonts w:hint="eastAsia"/>
        </w:rPr>
        <w:t>人造板材幕墙施工应符合现行行业标准JGJ 336的规定。</w:t>
      </w:r>
    </w:p>
    <w:p>
      <w:pPr>
        <w:pStyle w:val="46"/>
      </w:pPr>
      <w:r>
        <w:rPr>
          <w:rFonts w:hint="eastAsia"/>
        </w:rPr>
        <w:t>门窗安装应符合下列规定：</w:t>
      </w:r>
    </w:p>
    <w:p>
      <w:pPr>
        <w:pStyle w:val="44"/>
        <w:numPr>
          <w:ilvl w:val="0"/>
          <w:numId w:val="114"/>
        </w:numPr>
      </w:pPr>
      <w:r>
        <w:rPr>
          <w:rFonts w:hint="eastAsia"/>
        </w:rPr>
        <w:t>外门窗应采用标准化系列部品，宜采用带有披水板的配套系列部品；</w:t>
      </w:r>
    </w:p>
    <w:p>
      <w:pPr>
        <w:pStyle w:val="44"/>
        <w:numPr>
          <w:ilvl w:val="0"/>
          <w:numId w:val="114"/>
        </w:numPr>
      </w:pPr>
      <w:r>
        <w:rPr>
          <w:rFonts w:hint="eastAsia"/>
        </w:rPr>
        <w:t>门窗洞口与外门窗框接缝处应采用柔性填缝材料填充，室外侧应打密封胶；</w:t>
      </w:r>
    </w:p>
    <w:p>
      <w:pPr>
        <w:pStyle w:val="44"/>
        <w:numPr>
          <w:ilvl w:val="0"/>
          <w:numId w:val="114"/>
        </w:numPr>
      </w:pPr>
      <w:r>
        <w:rPr>
          <w:rFonts w:hint="eastAsia"/>
        </w:rPr>
        <w:t>外门窗可采用预装法或后装法施工。采用后装法时，预制外墙的门窗洞口应设置预埋件；</w:t>
      </w:r>
    </w:p>
    <w:p>
      <w:pPr>
        <w:pStyle w:val="44"/>
        <w:numPr>
          <w:ilvl w:val="0"/>
          <w:numId w:val="114"/>
        </w:numPr>
      </w:pPr>
      <w:r>
        <w:rPr>
          <w:rFonts w:hint="eastAsia"/>
        </w:rPr>
        <w:t>外门窗安装应满足气密性、水密性要求，安装完成后应进行淋水试验；</w:t>
      </w:r>
    </w:p>
    <w:p>
      <w:pPr>
        <w:pStyle w:val="44"/>
        <w:numPr>
          <w:ilvl w:val="0"/>
          <w:numId w:val="114"/>
        </w:numPr>
      </w:pPr>
      <w:r>
        <w:rPr>
          <w:rFonts w:hint="eastAsia"/>
        </w:rPr>
        <w:t>铝合金门窗安装应符合现行行业标准JGJ</w:t>
      </w:r>
      <w:r>
        <w:t xml:space="preserve"> </w:t>
      </w:r>
      <w:r>
        <w:rPr>
          <w:rFonts w:hint="eastAsia"/>
        </w:rPr>
        <w:t>214的规定；</w:t>
      </w:r>
    </w:p>
    <w:p>
      <w:pPr>
        <w:pStyle w:val="44"/>
        <w:numPr>
          <w:ilvl w:val="0"/>
          <w:numId w:val="114"/>
        </w:numPr>
      </w:pPr>
      <w:r>
        <w:rPr>
          <w:rFonts w:hint="eastAsia"/>
        </w:rPr>
        <w:t>塑料门窗安装应符合现行行业标准JGJ 103的规定。</w:t>
      </w:r>
    </w:p>
    <w:p>
      <w:pPr>
        <w:pStyle w:val="46"/>
      </w:pPr>
      <w:r>
        <w:rPr>
          <w:rFonts w:hint="eastAsia"/>
        </w:rPr>
        <w:t>宜结合钢结构装配式住宅的结构优势，采用轻量化智能建造施工平台，集成多项功能提高外围护系统安装的便利性和安全性。</w:t>
      </w:r>
    </w:p>
    <w:p>
      <w:pPr>
        <w:pStyle w:val="46"/>
      </w:pPr>
      <w:r>
        <w:rPr>
          <w:rFonts w:hint="eastAsia"/>
        </w:rPr>
        <w:t>安装完成后应及时清理并做好成品保护。</w:t>
      </w:r>
    </w:p>
    <w:p>
      <w:pPr>
        <w:pStyle w:val="42"/>
        <w:spacing w:before="156" w:after="156"/>
      </w:pPr>
      <w:bookmarkStart w:id="204" w:name="_Toc241506576"/>
      <w:r>
        <w:rPr>
          <w:rFonts w:hint="eastAsia"/>
        </w:rPr>
        <w:t>设备与管线系统安装</w:t>
      </w:r>
      <w:bookmarkEnd w:id="204"/>
    </w:p>
    <w:p>
      <w:pPr>
        <w:pStyle w:val="46"/>
      </w:pPr>
      <w:r>
        <w:rPr>
          <w:rFonts w:hint="eastAsia"/>
        </w:rPr>
        <w:t>一般规定</w:t>
      </w:r>
    </w:p>
    <w:p>
      <w:pPr>
        <w:pStyle w:val="44"/>
        <w:numPr>
          <w:ilvl w:val="0"/>
          <w:numId w:val="115"/>
        </w:numPr>
      </w:pPr>
      <w:r>
        <w:rPr>
          <w:rFonts w:hint="eastAsia"/>
        </w:rPr>
        <w:t>设备与管线系统安装前应对通风空调、给水排水、强弱电、末端设施布置及装修等进行综合考虑，并绘制深化加工图；</w:t>
      </w:r>
    </w:p>
    <w:p>
      <w:pPr>
        <w:pStyle w:val="44"/>
        <w:numPr>
          <w:ilvl w:val="0"/>
          <w:numId w:val="115"/>
        </w:numPr>
      </w:pPr>
      <w:r>
        <w:rPr>
          <w:rFonts w:hint="eastAsia"/>
        </w:rPr>
        <w:t>施工前应按设计文件核对设备及管线参数，并对结构构件预埋套管及预留孔洞的尺寸、位置进行复核，合格后方可施工；</w:t>
      </w:r>
    </w:p>
    <w:p>
      <w:pPr>
        <w:pStyle w:val="44"/>
        <w:numPr>
          <w:ilvl w:val="0"/>
          <w:numId w:val="115"/>
        </w:numPr>
      </w:pPr>
      <w:r>
        <w:rPr>
          <w:rFonts w:hint="eastAsia"/>
        </w:rPr>
        <w:t>设备与管线安装宜采用管线分离的方式，管线宜敷设在吊顶内、架空地板内或墙体空腔内；</w:t>
      </w:r>
    </w:p>
    <w:p>
      <w:pPr>
        <w:pStyle w:val="44"/>
        <w:numPr>
          <w:ilvl w:val="0"/>
          <w:numId w:val="115"/>
        </w:numPr>
      </w:pPr>
      <w:r>
        <w:rPr>
          <w:rFonts w:hint="eastAsia"/>
        </w:rPr>
        <w:t>严禁在预制混凝土构件和钢结构构件安装后凿剔沟槽、开孔、开洞等作业。设备与管线和钢结构构件连接时宜采用预留埋件的连接方式；当采用其他连接方式时，不得影响结构的安全性；</w:t>
      </w:r>
    </w:p>
    <w:p>
      <w:pPr>
        <w:pStyle w:val="44"/>
        <w:numPr>
          <w:ilvl w:val="0"/>
          <w:numId w:val="115"/>
        </w:numPr>
      </w:pPr>
      <w:r>
        <w:rPr>
          <w:rFonts w:hint="eastAsia"/>
        </w:rPr>
        <w:t>设备与管线施工质量应符合设计文件及现行国家标准GB 50242、GB 50243、GB 50303、GB 50606、GB 50339和GB 50166 的规定；</w:t>
      </w:r>
    </w:p>
    <w:p>
      <w:pPr>
        <w:pStyle w:val="44"/>
        <w:numPr>
          <w:ilvl w:val="0"/>
          <w:numId w:val="115"/>
        </w:numPr>
      </w:pPr>
      <w:r>
        <w:rPr>
          <w:rFonts w:hint="eastAsia"/>
        </w:rPr>
        <w:t>施工过程中及完工后应做好成品保护。</w:t>
      </w:r>
    </w:p>
    <w:p>
      <w:pPr>
        <w:pStyle w:val="46"/>
      </w:pPr>
      <w:r>
        <w:rPr>
          <w:rFonts w:hint="eastAsia"/>
        </w:rPr>
        <w:t>预留预埋</w:t>
      </w:r>
    </w:p>
    <w:p>
      <w:pPr>
        <w:pStyle w:val="44"/>
        <w:numPr>
          <w:ilvl w:val="0"/>
          <w:numId w:val="116"/>
        </w:numPr>
      </w:pPr>
      <w:r>
        <w:rPr>
          <w:rFonts w:hint="eastAsia"/>
        </w:rPr>
        <w:t>各专业所需的预留孔洞、预埋套管及预埋件，应在预制混凝土构件和钢构件的加工制作阶段一并完成，并进行质量验收；</w:t>
      </w:r>
    </w:p>
    <w:p>
      <w:pPr>
        <w:pStyle w:val="44"/>
        <w:numPr>
          <w:ilvl w:val="0"/>
          <w:numId w:val="116"/>
        </w:numPr>
      </w:pPr>
      <w:r>
        <w:rPr>
          <w:rFonts w:hint="eastAsia"/>
        </w:rPr>
        <w:t>预制混凝土构件中穿越管线时，应在工厂预留孔洞或预埋套管；</w:t>
      </w:r>
    </w:p>
    <w:p>
      <w:pPr>
        <w:pStyle w:val="44"/>
        <w:numPr>
          <w:ilvl w:val="0"/>
          <w:numId w:val="116"/>
        </w:numPr>
      </w:pPr>
      <w:r>
        <w:rPr>
          <w:rFonts w:hint="eastAsia"/>
        </w:rPr>
        <w:t>需要穿过钢梁的管线，应提前在设计阶段确定开孔位置，在工厂加工制作阶段完成开孔及洞口补强；钢梁腹板开洞时应加设钢套管或环板补强，翼缘开洞时应采用翼缘环板补强并加设竖向加劲板；</w:t>
      </w:r>
    </w:p>
    <w:p>
      <w:pPr>
        <w:pStyle w:val="44"/>
        <w:numPr>
          <w:ilvl w:val="0"/>
          <w:numId w:val="116"/>
        </w:numPr>
      </w:pPr>
      <w:r>
        <w:rPr>
          <w:rFonts w:hint="eastAsia"/>
        </w:rPr>
        <w:t>管道波纹补偿器、法兰及焊接接口不应设置在钢梁或钢柱的预留孔中。</w:t>
      </w:r>
    </w:p>
    <w:p>
      <w:pPr>
        <w:pStyle w:val="46"/>
      </w:pPr>
      <w:r>
        <w:rPr>
          <w:rFonts w:hint="eastAsia"/>
        </w:rPr>
        <w:t>给排水与供暖管道安装</w:t>
      </w:r>
    </w:p>
    <w:p>
      <w:pPr>
        <w:pStyle w:val="44"/>
        <w:numPr>
          <w:ilvl w:val="0"/>
          <w:numId w:val="117"/>
        </w:numPr>
      </w:pPr>
      <w:r>
        <w:rPr>
          <w:rFonts w:hint="eastAsia"/>
        </w:rPr>
        <w:t>卫生间宜采用同层排水方式；降板敷设时应采取防渗漏及积水排出措施；</w:t>
      </w:r>
    </w:p>
    <w:p>
      <w:pPr>
        <w:pStyle w:val="44"/>
        <w:numPr>
          <w:ilvl w:val="0"/>
          <w:numId w:val="117"/>
        </w:numPr>
      </w:pPr>
      <w:r>
        <w:rPr>
          <w:rFonts w:hint="eastAsia"/>
        </w:rPr>
        <w:t>管道穿过楼板、墙体时，应采取防火封堵措施，并在管道穿墙处做密封隔声处理；</w:t>
      </w:r>
    </w:p>
    <w:p>
      <w:pPr>
        <w:pStyle w:val="44"/>
        <w:numPr>
          <w:ilvl w:val="0"/>
          <w:numId w:val="117"/>
        </w:numPr>
      </w:pPr>
      <w:r>
        <w:rPr>
          <w:rFonts w:hint="eastAsia"/>
        </w:rPr>
        <w:t>冷热水管道应采取防结露绝热措施，固定于钢构件上时，应采用绝热支架；</w:t>
      </w:r>
    </w:p>
    <w:p>
      <w:pPr>
        <w:pStyle w:val="44"/>
        <w:numPr>
          <w:ilvl w:val="0"/>
          <w:numId w:val="117"/>
        </w:numPr>
      </w:pPr>
      <w:r>
        <w:rPr>
          <w:rFonts w:hint="eastAsia"/>
        </w:rPr>
        <w:t>在架空地板内敷设给水排水管道时，应设置管道支（托）架，并与结构可靠连接；</w:t>
      </w:r>
    </w:p>
    <w:p>
      <w:pPr>
        <w:pStyle w:val="44"/>
        <w:numPr>
          <w:ilvl w:val="0"/>
          <w:numId w:val="117"/>
        </w:numPr>
      </w:pPr>
      <w:r>
        <w:rPr>
          <w:rFonts w:hint="eastAsia"/>
        </w:rPr>
        <w:t>室内供暖管道敷设在墙板或地面架空层内时，阀门部位应设检修口。</w:t>
      </w:r>
    </w:p>
    <w:p>
      <w:pPr>
        <w:pStyle w:val="46"/>
      </w:pPr>
      <w:r>
        <w:rPr>
          <w:rFonts w:hint="eastAsia"/>
        </w:rPr>
        <w:t>电气与智能化</w:t>
      </w:r>
    </w:p>
    <w:p>
      <w:pPr>
        <w:pStyle w:val="44"/>
        <w:numPr>
          <w:ilvl w:val="0"/>
          <w:numId w:val="118"/>
        </w:numPr>
      </w:pPr>
      <w:r>
        <w:rPr>
          <w:rFonts w:hint="eastAsia"/>
        </w:rPr>
        <w:t>防雷引下线和共用接地装置应利用钢结构自身作为防雷接地装置；构件连接部位应有永久性明显标记，防雷装置端头应可靠连接；防雷引下线、防侧出雷等电位联结施工应与钢构件安装做好施工配合；</w:t>
      </w:r>
    </w:p>
    <w:p>
      <w:pPr>
        <w:pStyle w:val="44"/>
        <w:numPr>
          <w:ilvl w:val="0"/>
          <w:numId w:val="118"/>
        </w:numPr>
      </w:pPr>
      <w:r>
        <w:rPr>
          <w:rFonts w:hint="eastAsia"/>
        </w:rPr>
        <w:t>隔墙两侧的电气和智能化设备不应直接连通设置；管线连接处宜采用可弯曲的电气导管；</w:t>
      </w:r>
    </w:p>
    <w:p>
      <w:pPr>
        <w:pStyle w:val="44"/>
        <w:numPr>
          <w:ilvl w:val="0"/>
          <w:numId w:val="118"/>
        </w:numPr>
      </w:pPr>
      <w:r>
        <w:rPr>
          <w:rFonts w:hint="eastAsia"/>
        </w:rPr>
        <w:t>配电间、弱电间、设洗浴设施的卫生间等应设等电位连接。</w:t>
      </w:r>
    </w:p>
    <w:p>
      <w:pPr>
        <w:pStyle w:val="46"/>
      </w:pPr>
      <w:r>
        <w:rPr>
          <w:rFonts w:hint="eastAsia"/>
        </w:rPr>
        <w:t>支吊架安装</w:t>
      </w:r>
    </w:p>
    <w:p>
      <w:pPr>
        <w:pStyle w:val="44"/>
        <w:numPr>
          <w:ilvl w:val="0"/>
          <w:numId w:val="119"/>
        </w:numPr>
      </w:pPr>
      <w:r>
        <w:rPr>
          <w:rFonts w:hint="eastAsia"/>
        </w:rPr>
        <w:t>在有防腐防火保护层的钢结构上安装管道或设备支（吊）架时，宜采用非焊接方式固定，如采用免焊接装配式支吊架；当采用焊接方式固定时，应对被损坏的防腐防火保护层进行修补；</w:t>
      </w:r>
    </w:p>
    <w:p>
      <w:pPr>
        <w:pStyle w:val="44"/>
        <w:numPr>
          <w:ilvl w:val="0"/>
          <w:numId w:val="119"/>
        </w:numPr>
      </w:pPr>
      <w:r>
        <w:rPr>
          <w:rFonts w:hint="eastAsia"/>
        </w:rPr>
        <w:t>空调风管及冷热水管道与支（吊）架之间应设绝热衬垫，其厚度不应小于绝热层厚度，宽度应不小于支（吊）架支承面的宽度。</w:t>
      </w:r>
    </w:p>
    <w:p>
      <w:pPr>
        <w:pStyle w:val="46"/>
      </w:pPr>
      <w:r>
        <w:rPr>
          <w:rFonts w:hint="eastAsia"/>
        </w:rPr>
        <w:t>隐蔽验收与成品保护</w:t>
      </w:r>
    </w:p>
    <w:p>
      <w:pPr>
        <w:pStyle w:val="44"/>
        <w:numPr>
          <w:ilvl w:val="0"/>
          <w:numId w:val="120"/>
        </w:numPr>
      </w:pPr>
      <w:r>
        <w:rPr>
          <w:rFonts w:hint="eastAsia"/>
        </w:rPr>
        <w:t>设备与管线系统施工安装后、隐蔽前，必须进行隐蔽检查及验收，合格后方可进行后续工序施工；</w:t>
      </w:r>
    </w:p>
    <w:p>
      <w:pPr>
        <w:pStyle w:val="44"/>
        <w:numPr>
          <w:ilvl w:val="0"/>
          <w:numId w:val="120"/>
        </w:numPr>
      </w:pPr>
      <w:r>
        <w:rPr>
          <w:rFonts w:hint="eastAsia"/>
        </w:rPr>
        <w:t>设备与管线施工过程中应做好成品保护。</w:t>
      </w:r>
    </w:p>
    <w:p>
      <w:pPr>
        <w:pStyle w:val="42"/>
        <w:spacing w:before="156" w:after="156"/>
      </w:pPr>
      <w:bookmarkStart w:id="205" w:name="_Toc241506577"/>
      <w:r>
        <w:rPr>
          <w:rFonts w:hint="eastAsia"/>
        </w:rPr>
        <w:t>内装系统安装</w:t>
      </w:r>
      <w:bookmarkEnd w:id="205"/>
    </w:p>
    <w:p>
      <w:pPr>
        <w:pStyle w:val="46"/>
      </w:pPr>
      <w:r>
        <w:rPr>
          <w:rFonts w:hint="eastAsia"/>
        </w:rPr>
        <w:t>一般规定</w:t>
      </w:r>
    </w:p>
    <w:p>
      <w:pPr>
        <w:pStyle w:val="44"/>
        <w:numPr>
          <w:ilvl w:val="0"/>
          <w:numId w:val="121"/>
        </w:numPr>
      </w:pPr>
      <w:r>
        <w:rPr>
          <w:rFonts w:hint="eastAsia"/>
        </w:rPr>
        <w:t>内装系统安装应在主体结构工程质量验收合格后进行；</w:t>
      </w:r>
    </w:p>
    <w:p>
      <w:pPr>
        <w:pStyle w:val="44"/>
        <w:numPr>
          <w:ilvl w:val="0"/>
          <w:numId w:val="121"/>
        </w:numPr>
      </w:pPr>
      <w:r>
        <w:rPr>
          <w:rFonts w:hint="eastAsia"/>
        </w:rPr>
        <w:t>内装部品施工前，应对进场部品品种、规格、性能进行检查，主要部品应提供产品合格证书或性能检测报告；</w:t>
      </w:r>
    </w:p>
    <w:p>
      <w:pPr>
        <w:pStyle w:val="44"/>
        <w:numPr>
          <w:ilvl w:val="0"/>
          <w:numId w:val="121"/>
        </w:numPr>
      </w:pPr>
      <w:r>
        <w:rPr>
          <w:rFonts w:hint="eastAsia"/>
        </w:rPr>
        <w:t>安装过程中应进行隐蔽工程检查和分段（分户）验收，并形成检验记录。</w:t>
      </w:r>
    </w:p>
    <w:p>
      <w:pPr>
        <w:pStyle w:val="46"/>
      </w:pPr>
      <w:r>
        <w:rPr>
          <w:rFonts w:hint="eastAsia"/>
        </w:rPr>
        <w:t>钢构件防火防腐包覆一体化</w:t>
      </w:r>
    </w:p>
    <w:p>
      <w:pPr>
        <w:pStyle w:val="44"/>
        <w:numPr>
          <w:ilvl w:val="0"/>
          <w:numId w:val="122"/>
        </w:numPr>
      </w:pPr>
      <w:r>
        <w:rPr>
          <w:rFonts w:hint="eastAsia"/>
        </w:rPr>
        <w:t>钢梁、钢柱、钢支撑的防火保护施工应符合下列规定：</w:t>
      </w:r>
    </w:p>
    <w:p>
      <w:pPr>
        <w:pStyle w:val="73"/>
      </w:pPr>
      <w:r>
        <w:rPr>
          <w:rFonts w:hint="eastAsia"/>
        </w:rPr>
        <w:t>防火涂料与防腐底漆应相容，两者应具有良好的附着力；</w:t>
      </w:r>
    </w:p>
    <w:p>
      <w:pPr>
        <w:pStyle w:val="73"/>
      </w:pPr>
      <w:r>
        <w:rPr>
          <w:rFonts w:hint="eastAsia"/>
        </w:rPr>
        <w:t>使用膨胀型防火涂料时，内装面层应预留防火涂料的膨胀空间；</w:t>
      </w:r>
    </w:p>
    <w:p>
      <w:pPr>
        <w:pStyle w:val="73"/>
      </w:pPr>
      <w:r>
        <w:rPr>
          <w:rFonts w:hint="eastAsia"/>
        </w:rPr>
        <w:t>采用防火板包覆时，支撑件应固定牢固，防火板安装应牢固稳定、封闭良好；</w:t>
      </w:r>
    </w:p>
    <w:p>
      <w:pPr>
        <w:pStyle w:val="73"/>
        <w:rPr>
          <w:rFonts w:hAnsi="Times New Roman"/>
        </w:rPr>
      </w:pPr>
      <w:r>
        <w:rPr>
          <w:rFonts w:hint="eastAsia"/>
        </w:rPr>
        <w:t>分层包覆时应分层固定、相互压缝，接缝应严密顺直；</w:t>
      </w:r>
    </w:p>
    <w:p>
      <w:pPr>
        <w:pStyle w:val="73"/>
      </w:pPr>
      <w:r>
        <w:rPr>
          <w:rFonts w:hint="eastAsia"/>
        </w:rPr>
        <w:t>采用复合防火保护时，填充的防火材料应为不燃材料，且不得有空鼓、外露。</w:t>
      </w:r>
    </w:p>
    <w:p>
      <w:pPr>
        <w:pStyle w:val="44"/>
        <w:numPr>
          <w:ilvl w:val="0"/>
          <w:numId w:val="9"/>
        </w:numPr>
      </w:pPr>
      <w:r>
        <w:rPr>
          <w:rFonts w:hint="eastAsia"/>
        </w:rPr>
        <w:t>防火防腐包覆宜与内装系统进行一体化设计，实现装饰、防火、防腐功能的集成；</w:t>
      </w:r>
    </w:p>
    <w:p>
      <w:pPr>
        <w:pStyle w:val="44"/>
        <w:numPr>
          <w:ilvl w:val="0"/>
          <w:numId w:val="9"/>
        </w:numPr>
        <w:rPr>
          <w:rFonts w:hAnsi="Times New Roman"/>
        </w:rPr>
      </w:pPr>
      <w:r>
        <w:rPr>
          <w:rFonts w:hint="eastAsia"/>
        </w:rPr>
        <w:t>设备与管线穿越防火保护层时，应按原耐火极限进行有效封堵。</w:t>
      </w:r>
    </w:p>
    <w:p>
      <w:pPr>
        <w:pStyle w:val="46"/>
      </w:pPr>
      <w:r>
        <w:rPr>
          <w:rFonts w:hint="eastAsia"/>
        </w:rPr>
        <w:t>装配式内隔墙安装</w:t>
      </w:r>
    </w:p>
    <w:p>
      <w:pPr>
        <w:pStyle w:val="44"/>
        <w:numPr>
          <w:ilvl w:val="0"/>
          <w:numId w:val="123"/>
        </w:numPr>
      </w:pPr>
      <w:r>
        <w:rPr>
          <w:rFonts w:hint="eastAsia"/>
        </w:rPr>
        <w:t>龙骨隔墙系统安装应符合下列规定：</w:t>
      </w:r>
    </w:p>
    <w:p>
      <w:pPr>
        <w:pStyle w:val="73"/>
      </w:pPr>
      <w:r>
        <w:rPr>
          <w:rFonts w:hint="eastAsia"/>
        </w:rPr>
        <w:t>龙骨骨架与主体结构连接应采用柔性连接，并应竖直、平整、位置准确；</w:t>
      </w:r>
    </w:p>
    <w:p>
      <w:pPr>
        <w:pStyle w:val="73"/>
      </w:pPr>
      <w:r>
        <w:rPr>
          <w:rFonts w:hint="eastAsia"/>
        </w:rPr>
        <w:t>面板安装前，隔墙内管线、填充材料应进行隐蔽工程验收；</w:t>
      </w:r>
    </w:p>
    <w:p>
      <w:pPr>
        <w:pStyle w:val="73"/>
        <w:rPr>
          <w:rFonts w:hAnsi="Times New Roman"/>
        </w:rPr>
      </w:pPr>
      <w:r>
        <w:rPr>
          <w:rFonts w:hint="eastAsia"/>
        </w:rPr>
        <w:t>面板拼缝应错缝设置，采用双层面板时上下层板的接缝应错开。</w:t>
      </w:r>
    </w:p>
    <w:p>
      <w:pPr>
        <w:pStyle w:val="44"/>
        <w:numPr>
          <w:ilvl w:val="0"/>
          <w:numId w:val="9"/>
        </w:numPr>
      </w:pPr>
      <w:r>
        <w:rPr>
          <w:rFonts w:hint="eastAsia"/>
        </w:rPr>
        <w:t>轻质条板隔墙安装应符合下列规定：</w:t>
      </w:r>
    </w:p>
    <w:p>
      <w:pPr>
        <w:pStyle w:val="73"/>
      </w:pPr>
      <w:r>
        <w:rPr>
          <w:rFonts w:hint="eastAsia"/>
        </w:rPr>
        <w:t>墙板安装宜减少裁切，电盒预埋等位置宜提前套割成型；</w:t>
      </w:r>
    </w:p>
    <w:p>
      <w:pPr>
        <w:pStyle w:val="73"/>
      </w:pPr>
      <w:r>
        <w:rPr>
          <w:rFonts w:hint="eastAsia"/>
        </w:rPr>
        <w:t>门窗框板安装时，应按排版图标出的门窗洞口位置，先定位门窗框板，再从洞口向两侧安装；</w:t>
      </w:r>
    </w:p>
    <w:p>
      <w:pPr>
        <w:pStyle w:val="73"/>
      </w:pPr>
      <w:r>
        <w:rPr>
          <w:rFonts w:hint="eastAsia"/>
        </w:rPr>
        <w:t>水电管线敷设应在条板隔墙安装完成7天后进行。</w:t>
      </w:r>
    </w:p>
    <w:p>
      <w:pPr>
        <w:pStyle w:val="44"/>
        <w:numPr>
          <w:ilvl w:val="0"/>
          <w:numId w:val="9"/>
        </w:numPr>
      </w:pPr>
      <w:r>
        <w:rPr>
          <w:rFonts w:hint="eastAsia"/>
        </w:rPr>
        <w:t>有防水要求的轻质隔墙底部应设置高度不小于300mm的现浇混凝土导墙，并应做泛水处理。</w:t>
      </w:r>
    </w:p>
    <w:p>
      <w:pPr>
        <w:pStyle w:val="44"/>
        <w:numPr>
          <w:ilvl w:val="0"/>
          <w:numId w:val="9"/>
        </w:numPr>
      </w:pPr>
      <w:r>
        <w:rPr>
          <w:rFonts w:hint="eastAsia"/>
        </w:rPr>
        <w:t>分户墙内的钢支撑位置应采用隔声材料填充或包覆，两侧采用双层墙板错缝布置。</w:t>
      </w:r>
    </w:p>
    <w:p>
      <w:pPr>
        <w:pStyle w:val="46"/>
      </w:pPr>
      <w:r>
        <w:rPr>
          <w:rFonts w:hint="eastAsia"/>
        </w:rPr>
        <w:t>装配式吊顶安装</w:t>
      </w:r>
    </w:p>
    <w:p>
      <w:pPr>
        <w:pStyle w:val="44"/>
        <w:numPr>
          <w:ilvl w:val="0"/>
          <w:numId w:val="124"/>
        </w:numPr>
      </w:pPr>
      <w:r>
        <w:rPr>
          <w:rFonts w:hint="eastAsia"/>
        </w:rPr>
        <w:t>吊顶龙骨与主体结构应固定牢靠；</w:t>
      </w:r>
    </w:p>
    <w:p>
      <w:pPr>
        <w:pStyle w:val="44"/>
        <w:numPr>
          <w:ilvl w:val="0"/>
          <w:numId w:val="124"/>
        </w:numPr>
      </w:pPr>
      <w:r>
        <w:rPr>
          <w:rFonts w:hint="eastAsia"/>
        </w:rPr>
        <w:t>超过3kg的灯具、电扇及其他设备应设置独立吊挂结构；</w:t>
      </w:r>
    </w:p>
    <w:p>
      <w:pPr>
        <w:pStyle w:val="44"/>
        <w:numPr>
          <w:ilvl w:val="0"/>
          <w:numId w:val="124"/>
        </w:numPr>
      </w:pPr>
      <w:r>
        <w:rPr>
          <w:rFonts w:hint="eastAsia"/>
        </w:rPr>
        <w:t>饰面板安装前应完成吊顶内管道管线施工，并应经隐蔽验收合格；</w:t>
      </w:r>
    </w:p>
    <w:p>
      <w:pPr>
        <w:pStyle w:val="44"/>
        <w:numPr>
          <w:ilvl w:val="0"/>
          <w:numId w:val="124"/>
        </w:numPr>
      </w:pPr>
      <w:r>
        <w:rPr>
          <w:rFonts w:hint="eastAsia"/>
        </w:rPr>
        <w:t>厨房、卫生间的吊顶应设有检修口。</w:t>
      </w:r>
    </w:p>
    <w:p>
      <w:pPr>
        <w:pStyle w:val="46"/>
      </w:pPr>
      <w:r>
        <w:rPr>
          <w:rFonts w:hint="eastAsia"/>
        </w:rPr>
        <w:t>装配式楼地面安装</w:t>
      </w:r>
    </w:p>
    <w:p>
      <w:pPr>
        <w:pStyle w:val="44"/>
        <w:numPr>
          <w:ilvl w:val="0"/>
          <w:numId w:val="125"/>
        </w:numPr>
      </w:pPr>
      <w:r>
        <w:rPr>
          <w:rFonts w:hint="eastAsia"/>
        </w:rPr>
        <w:t>架空地板部品安装应符合下列规定：</w:t>
      </w:r>
    </w:p>
    <w:p>
      <w:pPr>
        <w:pStyle w:val="73"/>
      </w:pPr>
      <w:r>
        <w:rPr>
          <w:rFonts w:hint="eastAsia"/>
        </w:rPr>
        <w:t>安装前应完成架空层内管线敷设，并应经隐蔽验收合格；</w:t>
      </w:r>
    </w:p>
    <w:p>
      <w:pPr>
        <w:pStyle w:val="73"/>
      </w:pPr>
      <w:r>
        <w:rPr>
          <w:rFonts w:hint="eastAsia"/>
        </w:rPr>
        <w:t>架空地板系统宜独立设置，与周边墙体宜采用柔性连接，并采取隔声减振措施；</w:t>
      </w:r>
    </w:p>
    <w:p>
      <w:pPr>
        <w:pStyle w:val="73"/>
      </w:pPr>
      <w:r>
        <w:rPr>
          <w:rFonts w:hint="eastAsia"/>
        </w:rPr>
        <w:t>管线集中连接处应设置检修口或采用便于拆装的构造方式。</w:t>
      </w:r>
    </w:p>
    <w:p>
      <w:pPr>
        <w:pStyle w:val="44"/>
        <w:numPr>
          <w:ilvl w:val="0"/>
          <w:numId w:val="9"/>
        </w:numPr>
      </w:pPr>
      <w:r>
        <w:rPr>
          <w:rFonts w:hint="eastAsia"/>
        </w:rPr>
        <w:t>当采用地板辐射供暖系统时，应对地暖加热管进行水压试验并隐蔽验收合格后铺设面层。</w:t>
      </w:r>
    </w:p>
    <w:p>
      <w:pPr>
        <w:pStyle w:val="46"/>
      </w:pPr>
      <w:r>
        <w:rPr>
          <w:rFonts w:hint="eastAsia"/>
        </w:rPr>
        <w:t>集成厨房与卫生间安装</w:t>
      </w:r>
    </w:p>
    <w:p>
      <w:pPr>
        <w:pStyle w:val="44"/>
        <w:numPr>
          <w:ilvl w:val="0"/>
          <w:numId w:val="126"/>
        </w:numPr>
      </w:pPr>
      <w:r>
        <w:rPr>
          <w:rFonts w:hint="eastAsia"/>
        </w:rPr>
        <w:t>集成式卫生间部品安装前应先进行地面基层和墙面防水处理，并应做闭水试验。</w:t>
      </w:r>
    </w:p>
    <w:p>
      <w:pPr>
        <w:pStyle w:val="44"/>
        <w:numPr>
          <w:ilvl w:val="0"/>
          <w:numId w:val="126"/>
        </w:numPr>
      </w:pPr>
      <w:r>
        <w:rPr>
          <w:rFonts w:hint="eastAsia"/>
        </w:rPr>
        <w:t>集成式厨房部品安装应符合下列规定：</w:t>
      </w:r>
    </w:p>
    <w:p>
      <w:pPr>
        <w:pStyle w:val="73"/>
      </w:pPr>
      <w:r>
        <w:rPr>
          <w:rFonts w:hint="eastAsia"/>
        </w:rPr>
        <w:t>橱柜安装应牢固，地脚调整应从地面水平最高点向最低点或从转角向两侧调整；</w:t>
      </w:r>
    </w:p>
    <w:p>
      <w:pPr>
        <w:pStyle w:val="73"/>
      </w:pPr>
      <w:r>
        <w:rPr>
          <w:rFonts w:hint="eastAsia"/>
        </w:rPr>
        <w:t>采用油烟同层直排设备时，风帽应安装牢固，与外墙之间的缝隙应密封；</w:t>
      </w:r>
    </w:p>
    <w:p>
      <w:pPr>
        <w:pStyle w:val="73"/>
      </w:pPr>
      <w:r>
        <w:rPr>
          <w:rFonts w:hint="eastAsia"/>
        </w:rPr>
        <w:t>集成厨房、卫生间应与结构系统、外围护系统、公共设备与管线系统协同施工，设备管线接口的预留位置应准确，并应设置检修口。</w:t>
      </w:r>
    </w:p>
    <w:p>
      <w:pPr>
        <w:pStyle w:val="42"/>
        <w:spacing w:before="156" w:after="156"/>
      </w:pPr>
      <w:bookmarkStart w:id="206" w:name="_Toc241506578"/>
      <w:r>
        <w:rPr>
          <w:rFonts w:hint="eastAsia"/>
        </w:rPr>
        <w:t>安全文明与成品保护</w:t>
      </w:r>
      <w:bookmarkEnd w:id="206"/>
    </w:p>
    <w:p>
      <w:pPr>
        <w:pStyle w:val="46"/>
      </w:pPr>
      <w:r>
        <w:rPr>
          <w:rFonts w:hint="eastAsia"/>
        </w:rPr>
        <w:t>施工安全</w:t>
      </w:r>
    </w:p>
    <w:p>
      <w:pPr>
        <w:pStyle w:val="44"/>
        <w:numPr>
          <w:ilvl w:val="0"/>
          <w:numId w:val="127"/>
        </w:numPr>
      </w:pPr>
      <w:r>
        <w:rPr>
          <w:rFonts w:hint="eastAsia"/>
        </w:rPr>
        <w:t>装配式钢结构住宅施工应符合国家现行安全生产法律法规和标准的规定。</w:t>
      </w:r>
    </w:p>
    <w:p>
      <w:pPr>
        <w:pStyle w:val="44"/>
        <w:numPr>
          <w:ilvl w:val="0"/>
          <w:numId w:val="127"/>
        </w:numPr>
      </w:pPr>
      <w:r>
        <w:rPr>
          <w:rFonts w:hint="eastAsia"/>
        </w:rPr>
        <w:t>楼层临边、洞口应设置定型化或工具式安全防护设施。</w:t>
      </w:r>
    </w:p>
    <w:p>
      <w:pPr>
        <w:pStyle w:val="44"/>
        <w:numPr>
          <w:ilvl w:val="0"/>
          <w:numId w:val="127"/>
        </w:numPr>
      </w:pPr>
      <w:r>
        <w:rPr>
          <w:rFonts w:hint="eastAsia"/>
        </w:rPr>
        <w:t>外围护系统安装时，外防护架宜选用悬挑式脚手架或附着式升降脚手架（爬架），应编制专项施工方案，经验收合格后方可使用。</w:t>
      </w:r>
    </w:p>
    <w:p>
      <w:pPr>
        <w:pStyle w:val="44"/>
        <w:numPr>
          <w:ilvl w:val="0"/>
          <w:numId w:val="127"/>
        </w:numPr>
      </w:pPr>
      <w:r>
        <w:rPr>
          <w:rFonts w:hint="eastAsia"/>
        </w:rPr>
        <w:t>悬挑层外防护架搭设期间，该层外围护墙板安装宜在后拆架阶段补充施工。</w:t>
      </w:r>
    </w:p>
    <w:p>
      <w:pPr>
        <w:pStyle w:val="44"/>
        <w:numPr>
          <w:ilvl w:val="0"/>
          <w:numId w:val="127"/>
        </w:numPr>
      </w:pPr>
      <w:r>
        <w:rPr>
          <w:rFonts w:hint="eastAsia"/>
        </w:rPr>
        <w:t>部品吊装应使用专用吊具，起吊和就位应平稳，吊装区域应设置安全警戒。</w:t>
      </w:r>
    </w:p>
    <w:p>
      <w:pPr>
        <w:pStyle w:val="46"/>
      </w:pPr>
      <w:r>
        <w:rPr>
          <w:rFonts w:hint="eastAsia"/>
        </w:rPr>
        <w:t>成品保护</w:t>
      </w:r>
    </w:p>
    <w:p>
      <w:pPr>
        <w:pStyle w:val="44"/>
        <w:numPr>
          <w:ilvl w:val="0"/>
          <w:numId w:val="128"/>
        </w:numPr>
      </w:pPr>
      <w:r>
        <w:rPr>
          <w:rFonts w:hint="eastAsia"/>
        </w:rPr>
        <w:t>构件在运输、存放和安装过程中损坏的涂层以及安装连接部位的涂层应及时进行现场补漆，并应符合原涂装工艺要求。</w:t>
      </w:r>
    </w:p>
    <w:p>
      <w:pPr>
        <w:pStyle w:val="44"/>
        <w:numPr>
          <w:ilvl w:val="0"/>
          <w:numId w:val="128"/>
        </w:numPr>
      </w:pPr>
      <w:r>
        <w:rPr>
          <w:rFonts w:hint="eastAsia"/>
        </w:rPr>
        <w:t>已安装完成的钢构件、外围护墙板、内装部品在多工序穿插施工期间应采取覆盖、围挡等保护措施。</w:t>
      </w:r>
    </w:p>
    <w:p>
      <w:pPr>
        <w:pStyle w:val="44"/>
        <w:numPr>
          <w:ilvl w:val="0"/>
          <w:numId w:val="128"/>
        </w:numPr>
      </w:pPr>
      <w:r>
        <w:rPr>
          <w:rFonts w:hint="eastAsia"/>
        </w:rPr>
        <w:t>施工过程中不得在已安装的墙板上开槽、钻孔、凿洞或作为脚手架支点。</w:t>
      </w:r>
    </w:p>
    <w:p>
      <w:pPr>
        <w:pStyle w:val="44"/>
        <w:numPr>
          <w:ilvl w:val="0"/>
          <w:numId w:val="128"/>
        </w:numPr>
      </w:pPr>
      <w:r>
        <w:rPr>
          <w:rFonts w:hint="eastAsia"/>
        </w:rPr>
        <w:t>已完成的防水层、保温层应采取保护措施，后续施工时不得损坏。</w:t>
      </w:r>
    </w:p>
    <w:p>
      <w:pPr>
        <w:pStyle w:val="44"/>
        <w:numPr>
          <w:ilvl w:val="0"/>
          <w:numId w:val="128"/>
        </w:numPr>
      </w:pPr>
      <w:r>
        <w:rPr>
          <w:rFonts w:hint="eastAsia"/>
        </w:rPr>
        <w:t>成品保护宜纳入施工组织设计和各专业施工方案，并明确责任人和保护措施。</w:t>
      </w:r>
    </w:p>
    <w:p>
      <w:pPr>
        <w:pStyle w:val="41"/>
        <w:spacing w:before="312" w:after="312"/>
      </w:pPr>
      <w:bookmarkStart w:id="207" w:name="_Toc241506579"/>
      <w:bookmarkStart w:id="208" w:name="_Toc4472"/>
      <w:r>
        <w:rPr>
          <w:rFonts w:hint="eastAsia"/>
        </w:rPr>
        <w:t>检验检测与验收</w:t>
      </w:r>
      <w:bookmarkEnd w:id="207"/>
      <w:bookmarkEnd w:id="208"/>
    </w:p>
    <w:p>
      <w:pPr>
        <w:pStyle w:val="42"/>
        <w:spacing w:before="156" w:after="156"/>
      </w:pPr>
      <w:bookmarkStart w:id="209" w:name="_Toc241506580"/>
      <w:bookmarkStart w:id="210" w:name="OLE_LINK6"/>
      <w:r>
        <w:rPr>
          <w:rFonts w:hint="eastAsia"/>
        </w:rPr>
        <w:t>一般规定</w:t>
      </w:r>
      <w:bookmarkEnd w:id="209"/>
    </w:p>
    <w:p>
      <w:pPr>
        <w:pStyle w:val="46"/>
      </w:pPr>
      <w:r>
        <w:rPr>
          <w:rFonts w:hint="eastAsia"/>
        </w:rPr>
        <w:t>钢结构装配式住宅工程施工质量验收应在施工单位自检合格的基础上，按检验批、分项工程、分部（子分部）工程分别进行验收，并应符合现行国家标准GB 50300的规定。</w:t>
      </w:r>
    </w:p>
    <w:p>
      <w:pPr>
        <w:pStyle w:val="46"/>
      </w:pPr>
      <w:r>
        <w:rPr>
          <w:rFonts w:hint="eastAsia"/>
        </w:rPr>
        <w:t>钢结构装配式住宅中的主体结构为钢结构时，应按钢结构分部工程进行竣工验收；当主体结构中同时存在钢筋混凝土结构或砌体结构时，钢结构应按子分部工程进行验收。</w:t>
      </w:r>
    </w:p>
    <w:p>
      <w:pPr>
        <w:pStyle w:val="46"/>
      </w:pPr>
      <w:r>
        <w:rPr>
          <w:rFonts w:hint="eastAsia"/>
        </w:rPr>
        <w:t>工程施工质量验收所用的计量器具应经计量检定、校准合格，并应在有效期内使用。检测仪器的精度等级不应低于相应检验项目的要求。</w:t>
      </w:r>
    </w:p>
    <w:p>
      <w:pPr>
        <w:pStyle w:val="46"/>
      </w:pPr>
      <w:r>
        <w:rPr>
          <w:rFonts w:hint="eastAsia"/>
        </w:rPr>
        <w:t>施工质量的验收除应符合本文件外，尚应符合现行国家标准GB 50205、GB 55006等的规定。</w:t>
      </w:r>
    </w:p>
    <w:p>
      <w:pPr>
        <w:pStyle w:val="46"/>
      </w:pPr>
      <w:r>
        <w:rPr>
          <w:rFonts w:hint="eastAsia"/>
        </w:rPr>
        <w:t>检验检测工作应贯穿工程全过程，包括原材料及成品进场检验、施工过程检验和竣工验收检验。</w:t>
      </w:r>
    </w:p>
    <w:p>
      <w:pPr>
        <w:pStyle w:val="46"/>
      </w:pPr>
      <w:r>
        <w:rPr>
          <w:rFonts w:hint="eastAsia"/>
        </w:rPr>
        <w:t>当施工质量不符合要求时，应按下列规定处理：</w:t>
      </w:r>
    </w:p>
    <w:p>
      <w:pPr>
        <w:pStyle w:val="44"/>
        <w:numPr>
          <w:ilvl w:val="0"/>
          <w:numId w:val="129"/>
        </w:numPr>
      </w:pPr>
      <w:r>
        <w:rPr>
          <w:rFonts w:hint="eastAsia"/>
        </w:rPr>
        <w:t>经返修或更换构（配）件的检验批，应重新验收；</w:t>
      </w:r>
    </w:p>
    <w:p>
      <w:pPr>
        <w:pStyle w:val="44"/>
        <w:numPr>
          <w:ilvl w:val="0"/>
          <w:numId w:val="129"/>
        </w:numPr>
      </w:pPr>
      <w:r>
        <w:rPr>
          <w:rFonts w:hint="eastAsia"/>
        </w:rPr>
        <w:t>经有资质的检测单位检测鉴定达到设计要求的检验批，应予以验收；</w:t>
      </w:r>
    </w:p>
    <w:p>
      <w:pPr>
        <w:pStyle w:val="44"/>
        <w:numPr>
          <w:ilvl w:val="0"/>
          <w:numId w:val="129"/>
        </w:numPr>
      </w:pPr>
      <w:r>
        <w:rPr>
          <w:rFonts w:hint="eastAsia"/>
        </w:rPr>
        <w:t>经检测鉴定达不到设计要求，但经原设计单位核算并确认满足结构安全和使用功能的检验批，可予以验收；</w:t>
      </w:r>
    </w:p>
    <w:p>
      <w:pPr>
        <w:pStyle w:val="44"/>
        <w:numPr>
          <w:ilvl w:val="0"/>
          <w:numId w:val="129"/>
        </w:numPr>
      </w:pPr>
      <w:r>
        <w:rPr>
          <w:rFonts w:hint="eastAsia"/>
        </w:rPr>
        <w:t>经返修或加固处理的分项、分部工程，满足安全使用要求并形成处理方案和协商文件后，可按相关文件验收；</w:t>
      </w:r>
    </w:p>
    <w:p>
      <w:pPr>
        <w:pStyle w:val="44"/>
        <w:numPr>
          <w:ilvl w:val="0"/>
          <w:numId w:val="129"/>
        </w:numPr>
      </w:pPr>
      <w:r>
        <w:rPr>
          <w:rFonts w:hint="eastAsia"/>
        </w:rPr>
        <w:t>通过返修或加固处理仍不满足安全使用要求的工程，严禁验收。</w:t>
      </w:r>
    </w:p>
    <w:p>
      <w:pPr>
        <w:pStyle w:val="46"/>
      </w:pPr>
      <w:r>
        <w:rPr>
          <w:rFonts w:hint="eastAsia"/>
        </w:rPr>
        <w:t>钢结构装配式住宅正式施工前，应选择有代表性的单元进行试安装，并应形成试安装验收记录，试安装合格后方可展开全面施工。</w:t>
      </w:r>
    </w:p>
    <w:p>
      <w:pPr>
        <w:pStyle w:val="42"/>
        <w:spacing w:before="156" w:after="156"/>
      </w:pPr>
      <w:bookmarkStart w:id="211" w:name="_Toc241506581"/>
      <w:r>
        <w:rPr>
          <w:rFonts w:hint="eastAsia"/>
        </w:rPr>
        <w:t>分部工程、分项工程与检验批的划分</w:t>
      </w:r>
      <w:bookmarkEnd w:id="211"/>
    </w:p>
    <w:p>
      <w:pPr>
        <w:pStyle w:val="46"/>
      </w:pPr>
      <w:r>
        <w:rPr>
          <w:rFonts w:hint="eastAsia"/>
        </w:rPr>
        <w:t>钢结构装配式住宅建筑工程质量验收的分部工程应按表</w:t>
      </w:r>
      <w:r>
        <w:t>6</w:t>
      </w:r>
      <w:r>
        <w:rPr>
          <w:rFonts w:hint="eastAsia"/>
        </w:rPr>
        <w:t>划分，相应的分项工程和检验批应按表</w:t>
      </w:r>
      <w:r>
        <w:t>6</w:t>
      </w:r>
      <w:r>
        <w:rPr>
          <w:rFonts w:hint="eastAsia"/>
        </w:rPr>
        <w:t>所列的工程验收标准确定。国家现行标准没有规定的验收项目，应由建设单位组织设计、施工、监理等相关单位共同制定验收要求。</w:t>
      </w:r>
    </w:p>
    <w:p>
      <w:pPr>
        <w:pStyle w:val="45"/>
        <w:spacing w:before="156" w:after="156"/>
        <w:rPr>
          <w:rFonts w:cstheme="minorBidi"/>
          <w:szCs w:val="21"/>
        </w:rPr>
      </w:pPr>
      <w:r>
        <w:rPr>
          <w:rFonts w:cstheme="minorBidi"/>
          <w:szCs w:val="21"/>
        </w:rPr>
        <w:t>钢结构装配式住宅建筑工程质量验收的分部工程划分及验收标准</w:t>
      </w:r>
    </w:p>
    <w:tbl>
      <w:tblPr>
        <w:tblStyle w:val="32"/>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15" w:type="dxa"/>
          <w:left w:w="15" w:type="dxa"/>
          <w:bottom w:w="15" w:type="dxa"/>
          <w:right w:w="15" w:type="dxa"/>
        </w:tblCellMar>
      </w:tblPr>
      <w:tblGrid>
        <w:gridCol w:w="773"/>
        <w:gridCol w:w="2456"/>
        <w:gridCol w:w="6365"/>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tblHeader/>
          <w:jc w:val="center"/>
        </w:trPr>
        <w:tc>
          <w:tcPr>
            <w:tcW w:w="403" w:type="pct"/>
            <w:tcBorders>
              <w:top w:val="single" w:color="000000" w:sz="8" w:space="0"/>
              <w:bottom w:val="single" w:color="000000" w:sz="8" w:space="0"/>
            </w:tcBorders>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序号</w:t>
            </w:r>
          </w:p>
        </w:tc>
        <w:tc>
          <w:tcPr>
            <w:tcW w:w="1280" w:type="pct"/>
            <w:tcBorders>
              <w:top w:val="single" w:color="000000" w:sz="8" w:space="0"/>
              <w:bottom w:val="single" w:color="000000" w:sz="8" w:space="0"/>
            </w:tcBorders>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分部工程</w:t>
            </w:r>
          </w:p>
        </w:tc>
        <w:tc>
          <w:tcPr>
            <w:tcW w:w="3317" w:type="pct"/>
            <w:tcBorders>
              <w:top w:val="single" w:color="000000" w:sz="8" w:space="0"/>
              <w:bottom w:val="single" w:color="000000" w:sz="8" w:space="0"/>
            </w:tcBorders>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质量验收标准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403" w:type="pct"/>
            <w:tcBorders>
              <w:top w:val="single" w:color="000000" w:sz="8" w:space="0"/>
            </w:tcBorders>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1</w:t>
            </w:r>
          </w:p>
        </w:tc>
        <w:tc>
          <w:tcPr>
            <w:tcW w:w="1280" w:type="pct"/>
            <w:tcBorders>
              <w:top w:val="single" w:color="000000" w:sz="8" w:space="0"/>
            </w:tcBorders>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地基与基础</w:t>
            </w:r>
          </w:p>
        </w:tc>
        <w:tc>
          <w:tcPr>
            <w:tcW w:w="3317" w:type="pct"/>
            <w:tcBorders>
              <w:top w:val="single" w:color="000000" w:sz="8" w:space="0"/>
            </w:tcBorders>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《建筑地基工程施工质量验收标准》GB 50202</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403"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1280"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主体工程</w:t>
            </w:r>
          </w:p>
        </w:tc>
        <w:tc>
          <w:tcPr>
            <w:tcW w:w="3317"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《钢结构工程施工质量验收标准》</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50205</w:t>
            </w:r>
          </w:p>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《钢管混凝土工程施工质量验收规范》</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50628</w:t>
            </w:r>
          </w:p>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《混凝土结构工程施工质量验收规范》</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50204</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403"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1280"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建筑装饰装修</w:t>
            </w:r>
          </w:p>
        </w:tc>
        <w:tc>
          <w:tcPr>
            <w:tcW w:w="3317"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《建筑装饰装修工程质量验收标准》</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50210</w:t>
            </w:r>
          </w:p>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《住宅室内装饰装修工程质量验收规范》</w:t>
            </w:r>
            <w:r>
              <w:rPr>
                <w:rFonts w:asciiTheme="minorEastAsia" w:hAnsiTheme="minorEastAsia" w:eastAsiaTheme="minorEastAsia"/>
                <w:sz w:val="18"/>
                <w:szCs w:val="18"/>
              </w:rPr>
              <w:t>JGJ</w:t>
            </w:r>
            <w:r>
              <w:rPr>
                <w:rFonts w:asciiTheme="minorEastAsia" w:hAnsiTheme="minorEastAsia" w:eastAsiaTheme="minorEastAsia" w:cstheme="minorBidi"/>
                <w:sz w:val="18"/>
                <w:szCs w:val="18"/>
              </w:rPr>
              <w:t>/</w:t>
            </w:r>
            <w:r>
              <w:rPr>
                <w:rFonts w:asciiTheme="minorEastAsia" w:hAnsiTheme="minorEastAsia" w:eastAsiaTheme="minorEastAsia"/>
                <w:sz w:val="18"/>
                <w:szCs w:val="18"/>
              </w:rPr>
              <w:t>T</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304</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403"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4</w:t>
            </w:r>
          </w:p>
        </w:tc>
        <w:tc>
          <w:tcPr>
            <w:tcW w:w="1280"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屋面及围护系统</w:t>
            </w:r>
          </w:p>
        </w:tc>
        <w:tc>
          <w:tcPr>
            <w:tcW w:w="3317"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《屋面工程质量验收标准》</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50207</w:t>
            </w:r>
          </w:p>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《建筑节能工程施工质量验收标准》</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50411</w:t>
            </w:r>
          </w:p>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经评审备案的企业产品及其技术标准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403"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c>
          <w:tcPr>
            <w:tcW w:w="1280"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建筑给水排水及采暖</w:t>
            </w:r>
          </w:p>
        </w:tc>
        <w:tc>
          <w:tcPr>
            <w:tcW w:w="3317"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《建筑给水排水及采暖工程施工质量验收规范》</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50242</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403"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6</w:t>
            </w:r>
          </w:p>
        </w:tc>
        <w:tc>
          <w:tcPr>
            <w:tcW w:w="1280"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通风与空调</w:t>
            </w:r>
          </w:p>
        </w:tc>
        <w:tc>
          <w:tcPr>
            <w:tcW w:w="3317"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《通风与空调工程施工质量验收规范》</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50243</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403"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7</w:t>
            </w:r>
          </w:p>
        </w:tc>
        <w:tc>
          <w:tcPr>
            <w:tcW w:w="1280"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建筑电气</w:t>
            </w:r>
          </w:p>
        </w:tc>
        <w:tc>
          <w:tcPr>
            <w:tcW w:w="3317"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《建筑电气工程施工质量验收规范》</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50303</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403"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8</w:t>
            </w:r>
          </w:p>
        </w:tc>
        <w:tc>
          <w:tcPr>
            <w:tcW w:w="1280"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智能建筑</w:t>
            </w:r>
          </w:p>
        </w:tc>
        <w:tc>
          <w:tcPr>
            <w:tcW w:w="3317"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《智能建筑工程施工质量验收规范》</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50339</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403"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sz w:val="18"/>
                <w:szCs w:val="18"/>
              </w:rPr>
            </w:pPr>
            <w:r>
              <w:rPr>
                <w:rFonts w:asciiTheme="minorEastAsia" w:hAnsiTheme="minorEastAsia" w:eastAsiaTheme="minorEastAsia"/>
                <w:sz w:val="18"/>
                <w:szCs w:val="18"/>
              </w:rPr>
              <w:t>9</w:t>
            </w:r>
          </w:p>
        </w:tc>
        <w:tc>
          <w:tcPr>
            <w:tcW w:w="1280"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建筑节能</w:t>
            </w:r>
          </w:p>
        </w:tc>
        <w:tc>
          <w:tcPr>
            <w:tcW w:w="3317"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《建筑节能工程施工质量验收标准》</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50411</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403"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sz w:val="18"/>
                <w:szCs w:val="18"/>
              </w:rPr>
              <w:t>10</w:t>
            </w:r>
          </w:p>
        </w:tc>
        <w:tc>
          <w:tcPr>
            <w:tcW w:w="1280"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电梯</w:t>
            </w:r>
          </w:p>
        </w:tc>
        <w:tc>
          <w:tcPr>
            <w:tcW w:w="3317" w:type="pct"/>
            <w:tcMar>
              <w:top w:w="0" w:type="dxa"/>
              <w:left w:w="120" w:type="dxa"/>
              <w:bottom w:w="0" w:type="dxa"/>
              <w:right w:w="120" w:type="dxa"/>
            </w:tcMar>
            <w:vAlign w:val="center"/>
          </w:tcPr>
          <w:p>
            <w:pPr>
              <w:adjustRightInd/>
              <w:spacing w:line="240" w:lineRule="auto"/>
              <w:jc w:val="center"/>
              <w:rPr>
                <w:rFonts w:asciiTheme="minorEastAsia" w:hAnsiTheme="minorEastAsia" w:eastAsiaTheme="minorEastAsia" w:cstheme="minorBidi"/>
                <w:sz w:val="18"/>
                <w:szCs w:val="18"/>
              </w:rPr>
            </w:pPr>
            <w:r>
              <w:rPr>
                <w:rFonts w:asciiTheme="minorEastAsia" w:hAnsiTheme="minorEastAsia" w:eastAsiaTheme="minorEastAsia" w:cstheme="minorBidi"/>
                <w:sz w:val="18"/>
                <w:szCs w:val="18"/>
              </w:rPr>
              <w:t>《电梯工程施工质量验收规范》</w:t>
            </w:r>
            <w:r>
              <w:rPr>
                <w:rFonts w:asciiTheme="minorEastAsia" w:hAnsiTheme="minorEastAsia" w:eastAsiaTheme="minorEastAsia"/>
                <w:sz w:val="18"/>
                <w:szCs w:val="18"/>
              </w:rPr>
              <w:t>GB</w:t>
            </w:r>
            <w:r>
              <w:rPr>
                <w:rFonts w:asciiTheme="minorEastAsia" w:hAnsiTheme="minorEastAsia" w:eastAsiaTheme="minorEastAsia" w:cstheme="minorBidi"/>
                <w:sz w:val="18"/>
                <w:szCs w:val="18"/>
              </w:rPr>
              <w:t xml:space="preserve"> </w:t>
            </w:r>
            <w:r>
              <w:rPr>
                <w:rFonts w:asciiTheme="minorEastAsia" w:hAnsiTheme="minorEastAsia" w:eastAsiaTheme="minorEastAsia"/>
                <w:sz w:val="18"/>
                <w:szCs w:val="18"/>
              </w:rPr>
              <w:t>50310</w:t>
            </w:r>
          </w:p>
        </w:tc>
      </w:tr>
    </w:tbl>
    <w:p>
      <w:pPr>
        <w:pStyle w:val="46"/>
      </w:pPr>
      <w:r>
        <w:rPr>
          <w:rFonts w:hint="eastAsia"/>
        </w:rPr>
        <w:t>钢结构装配式住宅工程的分部（子分部）工程、分项工程应按表</w:t>
      </w:r>
      <w:r>
        <w:t>7</w:t>
      </w:r>
      <w:r>
        <w:rPr>
          <w:rFonts w:hint="eastAsia"/>
        </w:rPr>
        <w:t>的规定进行划分。</w:t>
      </w:r>
    </w:p>
    <w:p>
      <w:pPr>
        <w:pStyle w:val="45"/>
        <w:spacing w:before="156" w:after="156"/>
      </w:pPr>
      <w:r>
        <w:rPr>
          <w:rFonts w:hint="eastAsia"/>
        </w:rPr>
        <w:t>钢结构装配式住宅分部（子分部）工程、分项工程划分</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6"/>
        <w:gridCol w:w="6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2" w:type="pct"/>
            <w:tcBorders>
              <w:top w:val="single" w:color="000000" w:sz="8" w:space="0"/>
              <w:left w:val="single" w:color="000000" w:sz="8" w:space="0"/>
              <w:bottom w:val="single" w:color="000000" w:sz="8" w:space="0"/>
            </w:tcBorders>
            <w:vAlign w:val="center"/>
          </w:tcPr>
          <w:p>
            <w:pPr>
              <w:spacing w:line="240" w:lineRule="auto"/>
              <w:jc w:val="center"/>
              <w:rPr>
                <w:rFonts w:ascii="Times New Roman" w:hAnsi="Times New Roman"/>
                <w:sz w:val="18"/>
                <w:szCs w:val="18"/>
              </w:rPr>
            </w:pPr>
            <w:r>
              <w:rPr>
                <w:rFonts w:hint="eastAsia" w:ascii="Times New Roman" w:hAnsi="Times New Roman"/>
                <w:sz w:val="18"/>
                <w:szCs w:val="18"/>
              </w:rPr>
              <w:t>分部（子分部）工程</w:t>
            </w:r>
          </w:p>
        </w:tc>
        <w:tc>
          <w:tcPr>
            <w:tcW w:w="3628" w:type="pct"/>
            <w:tcBorders>
              <w:top w:val="single" w:color="000000" w:sz="8" w:space="0"/>
              <w:bottom w:val="single" w:color="000000" w:sz="8" w:space="0"/>
              <w:right w:val="single" w:color="000000" w:sz="8" w:space="0"/>
            </w:tcBorders>
            <w:vAlign w:val="center"/>
          </w:tcPr>
          <w:p>
            <w:pPr>
              <w:spacing w:line="240" w:lineRule="auto"/>
              <w:jc w:val="center"/>
              <w:rPr>
                <w:rFonts w:ascii="Times New Roman" w:hAnsi="Times New Roman"/>
                <w:sz w:val="18"/>
                <w:szCs w:val="18"/>
              </w:rPr>
            </w:pPr>
            <w:r>
              <w:rPr>
                <w:rFonts w:hint="eastAsia" w:ascii="Times New Roman" w:hAnsi="Times New Roman"/>
                <w:sz w:val="18"/>
                <w:szCs w:val="18"/>
              </w:rPr>
              <w:t>分项工程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2" w:type="pct"/>
            <w:tcBorders>
              <w:top w:val="single" w:color="000000" w:sz="8" w:space="0"/>
              <w:left w:val="single" w:color="000000" w:sz="8" w:space="0"/>
            </w:tcBorders>
            <w:vAlign w:val="center"/>
          </w:tcPr>
          <w:p>
            <w:pPr>
              <w:spacing w:line="240" w:lineRule="auto"/>
              <w:jc w:val="center"/>
              <w:rPr>
                <w:rFonts w:ascii="Times New Roman" w:hAnsi="Times New Roman"/>
                <w:sz w:val="18"/>
                <w:szCs w:val="18"/>
              </w:rPr>
            </w:pPr>
            <w:r>
              <w:rPr>
                <w:rFonts w:hint="eastAsia" w:ascii="Times New Roman" w:hAnsi="Times New Roman"/>
                <w:sz w:val="18"/>
                <w:szCs w:val="18"/>
              </w:rPr>
              <w:t>主体结构（钢结构）</w:t>
            </w:r>
          </w:p>
        </w:tc>
        <w:tc>
          <w:tcPr>
            <w:tcW w:w="3628" w:type="pct"/>
            <w:tcBorders>
              <w:top w:val="single" w:color="000000" w:sz="8" w:space="0"/>
              <w:right w:val="single" w:color="000000" w:sz="8" w:space="0"/>
            </w:tcBorders>
            <w:vAlign w:val="center"/>
          </w:tcPr>
          <w:p>
            <w:pPr>
              <w:spacing w:line="240" w:lineRule="auto"/>
              <w:jc w:val="center"/>
              <w:rPr>
                <w:rFonts w:ascii="Times New Roman" w:hAnsi="Times New Roman"/>
                <w:sz w:val="18"/>
                <w:szCs w:val="18"/>
              </w:rPr>
            </w:pPr>
            <w:r>
              <w:rPr>
                <w:rFonts w:hint="eastAsia" w:ascii="Times New Roman" w:hAnsi="Times New Roman"/>
                <w:sz w:val="18"/>
                <w:szCs w:val="18"/>
              </w:rPr>
              <w:t>钢结构焊接工程、紧固件连接工程、钢零件及钢部件加工工程、钢构件组装工程、钢构件预拼装工程、钢结构安装工程、钢结构涂装工程、压型金属板工程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2" w:type="pct"/>
            <w:tcBorders>
              <w:left w:val="single" w:color="000000" w:sz="8" w:space="0"/>
            </w:tcBorders>
            <w:shd w:val="clear" w:color="auto" w:fill="auto"/>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楼板结构</w:t>
            </w:r>
          </w:p>
        </w:tc>
        <w:tc>
          <w:tcPr>
            <w:tcW w:w="3628" w:type="pct"/>
            <w:tcBorders>
              <w:right w:val="single" w:color="000000" w:sz="8" w:space="0"/>
            </w:tcBorders>
            <w:shd w:val="clear" w:color="auto" w:fill="auto"/>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压型金属板、钢筋桁架板、预制混凝土叠合楼板、模板、钢筋、混凝土、抗剪栓钉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72" w:type="pct"/>
            <w:tcBorders>
              <w:left w:val="single" w:color="000000" w:sz="8" w:space="0"/>
            </w:tcBorders>
            <w:shd w:val="clear" w:color="auto" w:fill="auto"/>
            <w:vAlign w:val="center"/>
          </w:tcPr>
          <w:p>
            <w:pPr>
              <w:adjustRightInd/>
              <w:spacing w:line="240" w:lineRule="auto"/>
              <w:jc w:val="center"/>
              <w:rPr>
                <w:rFonts w:ascii="宋体" w:hAnsi="宋体" w:cstheme="minorBidi"/>
                <w:sz w:val="18"/>
                <w:szCs w:val="18"/>
              </w:rPr>
            </w:pPr>
            <w:r>
              <w:rPr>
                <w:rFonts w:ascii="宋体" w:hAnsi="宋体" w:cstheme="minorBidi"/>
                <w:sz w:val="18"/>
                <w:szCs w:val="18"/>
              </w:rPr>
              <w:t>钢管混凝土结构</w:t>
            </w:r>
          </w:p>
        </w:tc>
        <w:tc>
          <w:tcPr>
            <w:tcW w:w="3628" w:type="pct"/>
            <w:tcBorders>
              <w:right w:val="single" w:color="000000" w:sz="8" w:space="0"/>
            </w:tcBorders>
            <w:shd w:val="clear" w:color="auto" w:fill="auto"/>
            <w:vAlign w:val="center"/>
          </w:tcPr>
          <w:p>
            <w:pPr>
              <w:adjustRightInd/>
              <w:spacing w:line="240" w:lineRule="auto"/>
              <w:jc w:val="center"/>
              <w:rPr>
                <w:rFonts w:ascii="宋体" w:hAnsi="宋体" w:cstheme="minorBidi"/>
                <w:sz w:val="18"/>
                <w:szCs w:val="18"/>
              </w:rPr>
            </w:pPr>
            <w:r>
              <w:rPr>
                <w:rFonts w:ascii="宋体" w:hAnsi="宋体" w:cstheme="minorBidi"/>
                <w:sz w:val="18"/>
                <w:szCs w:val="18"/>
              </w:rPr>
              <w:t>钢管焊接、螺栓连接、钢筋、钢管制作与安装、混凝土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2" w:type="pct"/>
            <w:tcBorders>
              <w:left w:val="single" w:color="000000" w:sz="8" w:space="0"/>
            </w:tcBorders>
            <w:shd w:val="clear" w:color="auto" w:fill="auto"/>
            <w:vAlign w:val="center"/>
          </w:tcPr>
          <w:p>
            <w:pPr>
              <w:spacing w:line="240" w:lineRule="auto"/>
              <w:jc w:val="center"/>
              <w:rPr>
                <w:rFonts w:ascii="Times New Roman" w:hAnsi="Times New Roman"/>
                <w:sz w:val="18"/>
                <w:szCs w:val="18"/>
              </w:rPr>
            </w:pPr>
            <w:r>
              <w:rPr>
                <w:rFonts w:hint="eastAsia" w:ascii="Times New Roman" w:hAnsi="Times New Roman"/>
                <w:sz w:val="18"/>
                <w:szCs w:val="18"/>
              </w:rPr>
              <w:t>外围护系统</w:t>
            </w:r>
          </w:p>
        </w:tc>
        <w:tc>
          <w:tcPr>
            <w:tcW w:w="3628" w:type="pct"/>
            <w:tcBorders>
              <w:right w:val="single" w:color="000000" w:sz="8" w:space="0"/>
            </w:tcBorders>
            <w:shd w:val="clear" w:color="auto" w:fill="auto"/>
            <w:vAlign w:val="center"/>
          </w:tcPr>
          <w:p>
            <w:pPr>
              <w:spacing w:line="240" w:lineRule="auto"/>
              <w:jc w:val="center"/>
              <w:rPr>
                <w:rFonts w:ascii="Times New Roman" w:hAnsi="Times New Roman"/>
                <w:sz w:val="18"/>
                <w:szCs w:val="18"/>
              </w:rPr>
            </w:pPr>
            <w:r>
              <w:rPr>
                <w:rFonts w:hint="eastAsia" w:ascii="Times New Roman" w:hAnsi="Times New Roman"/>
                <w:sz w:val="18"/>
                <w:szCs w:val="18"/>
              </w:rPr>
              <w:t>外墙围护结构安装工程、屋面围护系统安装工程、门窗安装工程、节能工程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2" w:type="pct"/>
            <w:tcBorders>
              <w:left w:val="single" w:color="000000" w:sz="8" w:space="0"/>
            </w:tcBorders>
            <w:shd w:val="clear" w:color="auto" w:fill="auto"/>
            <w:vAlign w:val="center"/>
          </w:tcPr>
          <w:p>
            <w:pPr>
              <w:spacing w:line="240" w:lineRule="auto"/>
              <w:jc w:val="center"/>
              <w:rPr>
                <w:rFonts w:ascii="Times New Roman" w:hAnsi="Times New Roman"/>
                <w:sz w:val="18"/>
                <w:szCs w:val="18"/>
              </w:rPr>
            </w:pPr>
            <w:r>
              <w:rPr>
                <w:rFonts w:hint="eastAsia" w:ascii="Times New Roman" w:hAnsi="Times New Roman"/>
                <w:sz w:val="18"/>
                <w:szCs w:val="18"/>
              </w:rPr>
              <w:t>内装系统</w:t>
            </w:r>
          </w:p>
        </w:tc>
        <w:tc>
          <w:tcPr>
            <w:tcW w:w="3628" w:type="pct"/>
            <w:tcBorders>
              <w:right w:val="single" w:color="000000" w:sz="8" w:space="0"/>
            </w:tcBorders>
            <w:shd w:val="clear" w:color="auto" w:fill="auto"/>
            <w:vAlign w:val="center"/>
          </w:tcPr>
          <w:p>
            <w:pPr>
              <w:spacing w:line="240" w:lineRule="auto"/>
              <w:jc w:val="center"/>
              <w:rPr>
                <w:rFonts w:ascii="Times New Roman" w:hAnsi="Times New Roman"/>
                <w:sz w:val="18"/>
                <w:szCs w:val="18"/>
              </w:rPr>
            </w:pPr>
            <w:r>
              <w:rPr>
                <w:rFonts w:hint="eastAsia" w:ascii="Times New Roman" w:hAnsi="Times New Roman"/>
                <w:sz w:val="18"/>
                <w:szCs w:val="18"/>
              </w:rPr>
              <w:t>隔墙安装工程、吊顶安装工程、楼地面安装工程、厨房安装工程、卫浴安装工程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2" w:type="pct"/>
            <w:tcBorders>
              <w:left w:val="single" w:color="000000" w:sz="8" w:space="0"/>
              <w:bottom w:val="single" w:color="000000" w:sz="8" w:space="0"/>
            </w:tcBorders>
            <w:shd w:val="clear" w:color="auto" w:fill="auto"/>
            <w:vAlign w:val="center"/>
          </w:tcPr>
          <w:p>
            <w:pPr>
              <w:spacing w:line="240" w:lineRule="auto"/>
              <w:jc w:val="center"/>
              <w:rPr>
                <w:rFonts w:ascii="Times New Roman" w:hAnsi="Times New Roman"/>
                <w:sz w:val="18"/>
                <w:szCs w:val="18"/>
              </w:rPr>
            </w:pPr>
            <w:r>
              <w:rPr>
                <w:rFonts w:hint="eastAsia" w:ascii="Times New Roman" w:hAnsi="Times New Roman"/>
                <w:sz w:val="18"/>
                <w:szCs w:val="18"/>
              </w:rPr>
              <w:t>设备与管线系统</w:t>
            </w:r>
          </w:p>
        </w:tc>
        <w:tc>
          <w:tcPr>
            <w:tcW w:w="3628" w:type="pct"/>
            <w:tcBorders>
              <w:bottom w:val="single" w:color="000000" w:sz="8" w:space="0"/>
              <w:right w:val="single" w:color="000000" w:sz="8" w:space="0"/>
            </w:tcBorders>
            <w:shd w:val="clear" w:color="auto" w:fill="auto"/>
            <w:vAlign w:val="center"/>
          </w:tcPr>
          <w:p>
            <w:pPr>
              <w:spacing w:line="240" w:lineRule="auto"/>
              <w:jc w:val="center"/>
              <w:rPr>
                <w:rFonts w:ascii="Times New Roman" w:hAnsi="Times New Roman"/>
                <w:sz w:val="18"/>
                <w:szCs w:val="18"/>
              </w:rPr>
            </w:pPr>
            <w:r>
              <w:rPr>
                <w:rFonts w:hint="eastAsia" w:ascii="Times New Roman" w:hAnsi="Times New Roman"/>
                <w:sz w:val="18"/>
                <w:szCs w:val="18"/>
              </w:rPr>
              <w:t>给排水及供暖工程、通风与空调工程、电气工程、智能化工程</w:t>
            </w:r>
          </w:p>
        </w:tc>
      </w:tr>
    </w:tbl>
    <w:p>
      <w:pPr>
        <w:pStyle w:val="46"/>
      </w:pPr>
      <w:r>
        <w:rPr>
          <w:rFonts w:hint="eastAsia"/>
        </w:rPr>
        <w:t>分项工程的检验批应符合下列规定：</w:t>
      </w:r>
    </w:p>
    <w:p>
      <w:pPr>
        <w:pStyle w:val="44"/>
        <w:numPr>
          <w:ilvl w:val="0"/>
          <w:numId w:val="130"/>
        </w:numPr>
      </w:pPr>
      <w:r>
        <w:rPr>
          <w:rFonts w:hint="eastAsia"/>
        </w:rPr>
        <w:t>原材料及成品进场的检验批，应与各分项工程检验批一致，也可根据工程规模及进料批次划分；</w:t>
      </w:r>
    </w:p>
    <w:p>
      <w:pPr>
        <w:pStyle w:val="44"/>
        <w:numPr>
          <w:ilvl w:val="0"/>
          <w:numId w:val="130"/>
        </w:numPr>
      </w:pPr>
      <w:r>
        <w:rPr>
          <w:rFonts w:hint="eastAsia"/>
        </w:rPr>
        <w:t>钢结构焊接工程可按相应的钢结构制作或安装工程检验批划分；</w:t>
      </w:r>
    </w:p>
    <w:p>
      <w:pPr>
        <w:pStyle w:val="44"/>
        <w:numPr>
          <w:ilvl w:val="0"/>
          <w:numId w:val="130"/>
        </w:numPr>
      </w:pPr>
      <w:r>
        <w:rPr>
          <w:rFonts w:hint="eastAsia"/>
        </w:rPr>
        <w:t>紧固件连接工程、钢零件及钢部件加工工程、钢构件组装工程、钢构件预拼装工程，可按加工或安装流水段划分；</w:t>
      </w:r>
    </w:p>
    <w:p>
      <w:pPr>
        <w:pStyle w:val="44"/>
        <w:numPr>
          <w:ilvl w:val="0"/>
          <w:numId w:val="130"/>
        </w:numPr>
      </w:pPr>
      <w:r>
        <w:rPr>
          <w:rFonts w:hint="eastAsia"/>
        </w:rPr>
        <w:t>多层及高层钢结构安装工程可按楼层或施工段划分检验批；</w:t>
      </w:r>
    </w:p>
    <w:p>
      <w:pPr>
        <w:pStyle w:val="44"/>
        <w:numPr>
          <w:ilvl w:val="0"/>
          <w:numId w:val="130"/>
        </w:numPr>
      </w:pPr>
      <w:r>
        <w:rPr>
          <w:rFonts w:hint="eastAsia"/>
        </w:rPr>
        <w:t>压型金属板工程可按变形缝、楼层、屋面、墙面或施工段划分检验批；</w:t>
      </w:r>
    </w:p>
    <w:p>
      <w:pPr>
        <w:pStyle w:val="44"/>
        <w:numPr>
          <w:ilvl w:val="0"/>
          <w:numId w:val="130"/>
        </w:numPr>
      </w:pPr>
      <w:r>
        <w:rPr>
          <w:rFonts w:hint="eastAsia"/>
        </w:rPr>
        <w:t>钢结构涂装工程可按制作或安装检验批划分；</w:t>
      </w:r>
    </w:p>
    <w:p>
      <w:pPr>
        <w:pStyle w:val="44"/>
        <w:numPr>
          <w:ilvl w:val="0"/>
          <w:numId w:val="130"/>
        </w:numPr>
      </w:pPr>
      <w:r>
        <w:rPr>
          <w:rFonts w:hint="eastAsia"/>
        </w:rPr>
        <w:t>外围护系统、内装系统和设备与管线系统应按楼层、单元或施工段划分检验批。</w:t>
      </w:r>
    </w:p>
    <w:p>
      <w:pPr>
        <w:pStyle w:val="46"/>
      </w:pPr>
      <w:r>
        <w:rPr>
          <w:rFonts w:hint="eastAsia"/>
        </w:rPr>
        <w:t>检验批的划分应经监理工程师（建设单位技术负责人）确认并形成记录。</w:t>
      </w:r>
    </w:p>
    <w:p>
      <w:pPr>
        <w:pStyle w:val="42"/>
        <w:spacing w:before="156" w:after="156"/>
      </w:pPr>
      <w:bookmarkStart w:id="212" w:name="_Toc241506582"/>
      <w:r>
        <w:rPr>
          <w:rFonts w:hint="eastAsia"/>
        </w:rPr>
        <w:t>检验检测</w:t>
      </w:r>
      <w:bookmarkEnd w:id="212"/>
    </w:p>
    <w:p>
      <w:pPr>
        <w:pStyle w:val="46"/>
      </w:pPr>
      <w:r>
        <w:rPr>
          <w:rFonts w:hint="eastAsia"/>
        </w:rPr>
        <w:t>原材料及成品进场检验应符合下列规定：</w:t>
      </w:r>
    </w:p>
    <w:p>
      <w:pPr>
        <w:pStyle w:val="44"/>
        <w:numPr>
          <w:ilvl w:val="0"/>
          <w:numId w:val="131"/>
        </w:numPr>
      </w:pPr>
      <w:r>
        <w:rPr>
          <w:rFonts w:hint="eastAsia"/>
        </w:rPr>
        <w:t>钢材、焊接材料、紧固件、涂装材料等进场时，应核对质量合格证明文件，并按设计及现行国家标准进行抽样复验；</w:t>
      </w:r>
    </w:p>
    <w:p>
      <w:pPr>
        <w:pStyle w:val="44"/>
        <w:numPr>
          <w:ilvl w:val="0"/>
          <w:numId w:val="131"/>
        </w:numPr>
      </w:pPr>
      <w:r>
        <w:rPr>
          <w:rFonts w:hint="eastAsia"/>
        </w:rPr>
        <w:t>高强度螺栓连接副应按包装箱抽查5%且不应少于3箱，检验扭矩系数或紧固轴力；对安全等级为一级的结构，尚应按规格抽查8只进行硬度试验；</w:t>
      </w:r>
    </w:p>
    <w:p>
      <w:pPr>
        <w:pStyle w:val="44"/>
        <w:numPr>
          <w:ilvl w:val="0"/>
          <w:numId w:val="131"/>
        </w:numPr>
      </w:pPr>
      <w:r>
        <w:rPr>
          <w:rFonts w:hint="eastAsia"/>
        </w:rPr>
        <w:t>焊接材料应按批号检验，受潮、药皮脱落或锈蚀的焊条严禁使用；</w:t>
      </w:r>
    </w:p>
    <w:p>
      <w:pPr>
        <w:pStyle w:val="44"/>
        <w:numPr>
          <w:ilvl w:val="0"/>
          <w:numId w:val="131"/>
        </w:numPr>
      </w:pPr>
      <w:r>
        <w:rPr>
          <w:rFonts w:hint="eastAsia"/>
        </w:rPr>
        <w:t>防腐涂料、防火涂料应检查品种、型号、规格、性能，并应具有型式检验报告。</w:t>
      </w:r>
    </w:p>
    <w:p>
      <w:pPr>
        <w:pStyle w:val="46"/>
      </w:pPr>
      <w:r>
        <w:rPr>
          <w:rFonts w:hint="eastAsia"/>
        </w:rPr>
        <w:t>施工过程检验应符合下列规定：</w:t>
      </w:r>
    </w:p>
    <w:p>
      <w:pPr>
        <w:pStyle w:val="44"/>
        <w:numPr>
          <w:ilvl w:val="0"/>
          <w:numId w:val="132"/>
        </w:numPr>
      </w:pPr>
      <w:r>
        <w:rPr>
          <w:rFonts w:hint="eastAsia"/>
        </w:rPr>
        <w:t>焊接工程：全熔透一级焊缝应进行100%超声波无损检测；二级焊缝抽检比例不应少于20%，且不应少于3条焊缝；检测方法应符合现行国家标准GB/T 11345的规定；</w:t>
      </w:r>
    </w:p>
    <w:p>
      <w:pPr>
        <w:pStyle w:val="44"/>
        <w:numPr>
          <w:ilvl w:val="0"/>
          <w:numId w:val="132"/>
        </w:numPr>
      </w:pPr>
      <w:r>
        <w:rPr>
          <w:rFonts w:hint="eastAsia"/>
        </w:rPr>
        <w:t>高强度螺栓连接：应执行初拧、复拧、终拧工序，终拧扭矩应按现行国家标准GB/T 50621的规定进行检测，每个检验批抽查数量不应少于节点数的10%，且不应少于10个节点；被抽查的节点应按螺栓数抽查10%，且不少于2个；</w:t>
      </w:r>
    </w:p>
    <w:p>
      <w:pPr>
        <w:pStyle w:val="44"/>
        <w:numPr>
          <w:ilvl w:val="0"/>
          <w:numId w:val="132"/>
        </w:numPr>
      </w:pPr>
      <w:r>
        <w:rPr>
          <w:rFonts w:hint="eastAsia"/>
        </w:rPr>
        <w:t>构件安装：定位轴线、标高、垂直度应在施工过程中进行跟踪测量，测量数据应记录在案；</w:t>
      </w:r>
    </w:p>
    <w:p>
      <w:pPr>
        <w:pStyle w:val="44"/>
        <w:numPr>
          <w:ilvl w:val="0"/>
          <w:numId w:val="132"/>
        </w:numPr>
      </w:pPr>
      <w:r>
        <w:rPr>
          <w:rFonts w:hint="eastAsia"/>
        </w:rPr>
        <w:t>压型金属板：安装后应检查固定牢固性、搭接长度、连接构造，并形成隐蔽验收记录。</w:t>
      </w:r>
    </w:p>
    <w:p>
      <w:pPr>
        <w:pStyle w:val="46"/>
      </w:pPr>
      <w:r>
        <w:rPr>
          <w:rFonts w:hint="eastAsia"/>
        </w:rPr>
        <w:t>主体结构构件位置与变形检测，应符合下列规定：</w:t>
      </w:r>
    </w:p>
    <w:p>
      <w:pPr>
        <w:pStyle w:val="44"/>
        <w:numPr>
          <w:ilvl w:val="0"/>
          <w:numId w:val="133"/>
        </w:numPr>
      </w:pPr>
      <w:r>
        <w:rPr>
          <w:rFonts w:hint="eastAsia"/>
        </w:rPr>
        <w:t>建筑定位轴线、基础轴线和标高、柱的支承面、地脚螺栓（锚栓）位置，应符合设计要求；当设计无要求时，允许偏差应符合表</w:t>
      </w:r>
      <w:r>
        <w:t>8</w:t>
      </w:r>
      <w:r>
        <w:rPr>
          <w:rFonts w:hint="eastAsia"/>
        </w:rPr>
        <w:t>的规定；</w:t>
      </w:r>
    </w:p>
    <w:p>
      <w:pPr>
        <w:pStyle w:val="45"/>
        <w:spacing w:before="156" w:after="156"/>
      </w:pPr>
      <w:r>
        <w:t>建筑定位轴线、基础轴线和标高、柱的支承面、地脚螺栓（锚栓）位置的允许偏差</w:t>
      </w:r>
    </w:p>
    <w:tbl>
      <w:tblPr>
        <w:tblStyle w:val="32"/>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4558"/>
        <w:gridCol w:w="4816"/>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tblHeader/>
          <w:jc w:val="center"/>
        </w:trPr>
        <w:tc>
          <w:tcPr>
            <w:tcW w:w="2431" w:type="pct"/>
            <w:tcBorders>
              <w:top w:val="single" w:color="000000" w:sz="8" w:space="0"/>
              <w:bottom w:val="single" w:color="000000" w:sz="8" w:space="0"/>
            </w:tcBorders>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检验项目</w:t>
            </w:r>
          </w:p>
        </w:tc>
        <w:tc>
          <w:tcPr>
            <w:tcW w:w="2569" w:type="pct"/>
            <w:tcBorders>
              <w:top w:val="single" w:color="000000" w:sz="8" w:space="0"/>
              <w:bottom w:val="single" w:color="000000" w:sz="8" w:space="0"/>
            </w:tcBorders>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允许偏差（mm）</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431" w:type="pct"/>
            <w:tcBorders>
              <w:top w:val="single" w:color="000000" w:sz="8" w:space="0"/>
            </w:tcBorders>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建筑定位轴线</w:t>
            </w:r>
          </w:p>
        </w:tc>
        <w:tc>
          <w:tcPr>
            <w:tcW w:w="2569" w:type="pct"/>
            <w:tcBorders>
              <w:top w:val="single" w:color="000000" w:sz="8" w:space="0"/>
            </w:tcBorders>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L/2000，且不应大于 3.0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431"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基础定位轴线</w:t>
            </w:r>
          </w:p>
        </w:tc>
        <w:tc>
          <w:tcPr>
            <w:tcW w:w="2569"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1.0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431"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支承面标高</w:t>
            </w:r>
          </w:p>
        </w:tc>
        <w:tc>
          <w:tcPr>
            <w:tcW w:w="2569"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±3.0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431"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支承面水平度</w:t>
            </w:r>
          </w:p>
        </w:tc>
        <w:tc>
          <w:tcPr>
            <w:tcW w:w="2569"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L/1000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431"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基础上柱底标高</w:t>
            </w:r>
          </w:p>
        </w:tc>
        <w:tc>
          <w:tcPr>
            <w:tcW w:w="2569"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±2.0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431"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地脚螺栓（锚栓）位移</w:t>
            </w:r>
          </w:p>
        </w:tc>
        <w:tc>
          <w:tcPr>
            <w:tcW w:w="2569"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5.0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431"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预留孔中心偏移</w:t>
            </w:r>
          </w:p>
        </w:tc>
        <w:tc>
          <w:tcPr>
            <w:tcW w:w="2569" w:type="pct"/>
            <w:tcMar>
              <w:top w:w="0" w:type="dxa"/>
              <w:left w:w="0" w:type="dxa"/>
              <w:bottom w:w="0" w:type="dxa"/>
              <w:right w:w="0" w:type="dxa"/>
            </w:tcMar>
            <w:vAlign w:val="center"/>
          </w:tcPr>
          <w:p>
            <w:pPr>
              <w:spacing w:line="240" w:lineRule="auto"/>
              <w:jc w:val="center"/>
              <w:rPr>
                <w:rFonts w:ascii="Times New Roman" w:hAnsi="Times New Roman"/>
                <w:sz w:val="18"/>
                <w:szCs w:val="18"/>
              </w:rPr>
            </w:pPr>
            <w:r>
              <w:rPr>
                <w:rFonts w:ascii="Times New Roman" w:hAnsi="Times New Roman"/>
                <w:sz w:val="18"/>
                <w:szCs w:val="18"/>
              </w:rPr>
              <w:t>10.0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1" w:type="pct"/>
            <w:gridSpan w:val="2"/>
            <w:tcMar>
              <w:top w:w="0" w:type="dxa"/>
              <w:left w:w="0" w:type="dxa"/>
              <w:bottom w:w="0" w:type="dxa"/>
              <w:right w:w="0" w:type="dxa"/>
            </w:tcMar>
            <w:vAlign w:val="center"/>
          </w:tcPr>
          <w:p>
            <w:pPr>
              <w:spacing w:line="240" w:lineRule="auto"/>
              <w:ind w:firstLine="360" w:firstLineChars="200"/>
              <w:jc w:val="left"/>
              <w:rPr>
                <w:rFonts w:ascii="Times New Roman" w:hAnsi="Times New Roman"/>
                <w:sz w:val="18"/>
                <w:szCs w:val="18"/>
              </w:rPr>
            </w:pPr>
            <w:r>
              <w:rPr>
                <w:rFonts w:hint="eastAsia" w:ascii="Times New Roman" w:hAnsi="Times New Roman" w:eastAsia="黑体"/>
                <w:sz w:val="18"/>
                <w:szCs w:val="18"/>
              </w:rPr>
              <w:t>注：</w:t>
            </w:r>
            <w:r>
              <w:rPr>
                <w:rFonts w:hint="eastAsia" w:ascii="Times New Roman" w:hAnsi="Times New Roman"/>
                <w:sz w:val="18"/>
                <w:szCs w:val="18"/>
              </w:rPr>
              <w:t>L 为轴线间距。</w:t>
            </w:r>
          </w:p>
        </w:tc>
      </w:tr>
    </w:tbl>
    <w:p>
      <w:pPr>
        <w:pStyle w:val="44"/>
        <w:numPr>
          <w:ilvl w:val="0"/>
          <w:numId w:val="9"/>
        </w:numPr>
      </w:pPr>
      <w:r>
        <w:rPr>
          <w:rFonts w:hint="eastAsia"/>
        </w:rPr>
        <w:t>钢柱安装的允许偏差，应符合表</w:t>
      </w:r>
      <w:r>
        <w:t>9</w:t>
      </w:r>
      <w:r>
        <w:rPr>
          <w:rFonts w:hint="eastAsia"/>
        </w:rPr>
        <w:t>的规定；</w:t>
      </w:r>
    </w:p>
    <w:p>
      <w:pPr>
        <w:pStyle w:val="45"/>
        <w:spacing w:before="156" w:after="156"/>
      </w:pPr>
      <w:r>
        <w:t>钢柱安装的允许偏差</w:t>
      </w:r>
    </w:p>
    <w:tbl>
      <w:tblPr>
        <w:tblStyle w:val="32"/>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5" w:type="dxa"/>
          <w:bottom w:w="0" w:type="dxa"/>
          <w:right w:w="15" w:type="dxa"/>
        </w:tblCellMar>
      </w:tblPr>
      <w:tblGrid>
        <w:gridCol w:w="1599"/>
        <w:gridCol w:w="1600"/>
        <w:gridCol w:w="1600"/>
        <w:gridCol w:w="4585"/>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5" w:type="dxa"/>
            <w:bottom w:w="0" w:type="dxa"/>
            <w:right w:w="15" w:type="dxa"/>
          </w:tblCellMar>
        </w:tblPrEx>
        <w:trPr>
          <w:trHeight w:val="20" w:hRule="atLeast"/>
          <w:tblHeader/>
          <w:jc w:val="center"/>
        </w:trPr>
        <w:tc>
          <w:tcPr>
            <w:tcW w:w="4801" w:type="dxa"/>
            <w:gridSpan w:val="3"/>
            <w:tcBorders>
              <w:top w:val="single" w:color="000000" w:sz="8" w:space="0"/>
              <w:bottom w:val="single" w:color="000000" w:sz="8" w:space="0"/>
            </w:tcBorders>
            <w:vAlign w:val="center"/>
          </w:tcPr>
          <w:p>
            <w:pPr>
              <w:adjustRightInd/>
              <w:spacing w:line="240" w:lineRule="auto"/>
              <w:jc w:val="center"/>
              <w:rPr>
                <w:rFonts w:ascii="宋体" w:hAnsi="宋体" w:cstheme="minorBidi"/>
                <w:sz w:val="18"/>
                <w:szCs w:val="20"/>
              </w:rPr>
            </w:pPr>
            <w:r>
              <w:rPr>
                <w:rFonts w:ascii="宋体" w:hAnsi="宋体" w:cstheme="minorBidi"/>
                <w:sz w:val="18"/>
                <w:szCs w:val="20"/>
              </w:rPr>
              <w:t>检验项目</w:t>
            </w:r>
          </w:p>
        </w:tc>
        <w:tc>
          <w:tcPr>
            <w:tcW w:w="4583" w:type="dxa"/>
            <w:tcBorders>
              <w:top w:val="single" w:color="000000" w:sz="8" w:space="0"/>
              <w:bottom w:val="single" w:color="000000" w:sz="8" w:space="0"/>
            </w:tcBorders>
            <w:vAlign w:val="center"/>
          </w:tcPr>
          <w:p>
            <w:pPr>
              <w:adjustRightInd/>
              <w:spacing w:line="240" w:lineRule="auto"/>
              <w:jc w:val="center"/>
              <w:rPr>
                <w:rFonts w:ascii="宋体" w:hAnsi="宋体" w:cstheme="minorBidi"/>
                <w:sz w:val="18"/>
                <w:szCs w:val="20"/>
              </w:rPr>
            </w:pPr>
            <w:r>
              <w:rPr>
                <w:rFonts w:ascii="宋体" w:hAnsi="宋体" w:cstheme="minorBidi"/>
                <w:sz w:val="18"/>
                <w:szCs w:val="20"/>
              </w:rPr>
              <w:t>允许偏差（</w:t>
            </w:r>
            <w:r>
              <w:rPr>
                <w:rFonts w:ascii="Times New Roman" w:hAnsi="Times New Roman"/>
                <w:sz w:val="18"/>
                <w:szCs w:val="20"/>
              </w:rPr>
              <w:t>mm</w:t>
            </w:r>
            <w:r>
              <w:rPr>
                <w:rFonts w:ascii="宋体" w:hAnsi="宋体" w:cstheme="minorBidi"/>
                <w:sz w:val="18"/>
                <w:szCs w:val="20"/>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5" w:type="dxa"/>
            <w:bottom w:w="0" w:type="dxa"/>
            <w:right w:w="15" w:type="dxa"/>
          </w:tblCellMar>
        </w:tblPrEx>
        <w:trPr>
          <w:trHeight w:val="20" w:hRule="atLeast"/>
          <w:jc w:val="center"/>
        </w:trPr>
        <w:tc>
          <w:tcPr>
            <w:tcW w:w="4985" w:type="dxa"/>
            <w:gridSpan w:val="3"/>
            <w:tcBorders>
              <w:top w:val="single" w:color="000000" w:sz="8" w:space="0"/>
            </w:tcBorders>
            <w:vAlign w:val="center"/>
          </w:tcPr>
          <w:p>
            <w:pPr>
              <w:adjustRightInd/>
              <w:spacing w:line="240" w:lineRule="auto"/>
              <w:jc w:val="center"/>
              <w:rPr>
                <w:rFonts w:ascii="宋体" w:hAnsi="宋体" w:cstheme="minorBidi"/>
                <w:sz w:val="18"/>
                <w:szCs w:val="20"/>
              </w:rPr>
            </w:pPr>
            <w:r>
              <w:rPr>
                <w:rFonts w:ascii="宋体" w:hAnsi="宋体" w:cstheme="minorBidi"/>
                <w:sz w:val="18"/>
                <w:szCs w:val="20"/>
              </w:rPr>
              <w:t>底层柱柱底轴线对定位轴线偏移</w:t>
            </w:r>
          </w:p>
        </w:tc>
        <w:tc>
          <w:tcPr>
            <w:tcW w:w="4751" w:type="dxa"/>
            <w:tcBorders>
              <w:top w:val="single" w:color="000000" w:sz="8" w:space="0"/>
            </w:tcBorders>
            <w:vAlign w:val="center"/>
          </w:tcPr>
          <w:p>
            <w:pPr>
              <w:adjustRightInd/>
              <w:spacing w:line="240" w:lineRule="auto"/>
              <w:jc w:val="center"/>
              <w:rPr>
                <w:rFonts w:ascii="宋体" w:hAnsi="宋体" w:cstheme="minorBidi"/>
                <w:sz w:val="18"/>
                <w:szCs w:val="20"/>
              </w:rPr>
            </w:pPr>
            <w:r>
              <w:rPr>
                <w:rFonts w:ascii="Times New Roman" w:hAnsi="Times New Roman"/>
                <w:sz w:val="18"/>
                <w:szCs w:val="20"/>
              </w:rPr>
              <w:t>3</w:t>
            </w:r>
            <w:r>
              <w:rPr>
                <w:rFonts w:ascii="宋体" w:hAnsi="宋体" w:cstheme="minorBidi"/>
                <w:sz w:val="18"/>
                <w:szCs w:val="20"/>
              </w:rPr>
              <w:t>.</w:t>
            </w:r>
            <w:r>
              <w:rPr>
                <w:rFonts w:ascii="Times New Roman" w:hAnsi="Times New Roman"/>
                <w:sz w:val="18"/>
                <w:szCs w:val="20"/>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0" w:hRule="atLeast"/>
          <w:jc w:val="center"/>
        </w:trPr>
        <w:tc>
          <w:tcPr>
            <w:tcW w:w="4985" w:type="dxa"/>
            <w:gridSpan w:val="3"/>
            <w:vAlign w:val="center"/>
          </w:tcPr>
          <w:p>
            <w:pPr>
              <w:adjustRightInd/>
              <w:spacing w:line="240" w:lineRule="auto"/>
              <w:jc w:val="center"/>
              <w:rPr>
                <w:rFonts w:ascii="宋体" w:hAnsi="宋体" w:cstheme="minorBidi"/>
                <w:sz w:val="18"/>
                <w:szCs w:val="20"/>
              </w:rPr>
            </w:pPr>
            <w:r>
              <w:rPr>
                <w:rFonts w:ascii="宋体" w:hAnsi="宋体" w:cstheme="minorBidi"/>
                <w:sz w:val="18"/>
                <w:szCs w:val="20"/>
              </w:rPr>
              <w:t>柱子定位轴线</w:t>
            </w:r>
          </w:p>
        </w:tc>
        <w:tc>
          <w:tcPr>
            <w:tcW w:w="4751" w:type="dxa"/>
            <w:vAlign w:val="center"/>
          </w:tcPr>
          <w:p>
            <w:pPr>
              <w:adjustRightInd/>
              <w:spacing w:line="240" w:lineRule="auto"/>
              <w:jc w:val="center"/>
              <w:rPr>
                <w:rFonts w:ascii="宋体" w:hAnsi="宋体" w:cstheme="minorBidi"/>
                <w:sz w:val="18"/>
                <w:szCs w:val="20"/>
              </w:rPr>
            </w:pPr>
            <w:r>
              <w:rPr>
                <w:rFonts w:ascii="Times New Roman" w:hAnsi="Times New Roman"/>
                <w:sz w:val="18"/>
                <w:szCs w:val="20"/>
              </w:rPr>
              <w:t>1</w:t>
            </w:r>
            <w:r>
              <w:rPr>
                <w:rFonts w:ascii="宋体" w:hAnsi="宋体" w:cstheme="minorBidi"/>
                <w:sz w:val="18"/>
                <w:szCs w:val="20"/>
              </w:rPr>
              <w:t>.</w:t>
            </w:r>
            <w:r>
              <w:rPr>
                <w:rFonts w:ascii="Times New Roman" w:hAnsi="Times New Roman"/>
                <w:sz w:val="18"/>
                <w:szCs w:val="20"/>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0" w:hRule="atLeast"/>
          <w:jc w:val="center"/>
        </w:trPr>
        <w:tc>
          <w:tcPr>
            <w:tcW w:w="4985" w:type="dxa"/>
            <w:gridSpan w:val="3"/>
            <w:vAlign w:val="center"/>
          </w:tcPr>
          <w:p>
            <w:pPr>
              <w:adjustRightInd/>
              <w:spacing w:line="240" w:lineRule="auto"/>
              <w:jc w:val="center"/>
              <w:rPr>
                <w:rFonts w:ascii="宋体" w:hAnsi="宋体" w:cstheme="minorBidi"/>
                <w:sz w:val="18"/>
                <w:szCs w:val="20"/>
              </w:rPr>
            </w:pPr>
            <w:r>
              <w:rPr>
                <w:rFonts w:ascii="宋体" w:hAnsi="宋体" w:cstheme="minorBidi"/>
                <w:sz w:val="18"/>
                <w:szCs w:val="20"/>
              </w:rPr>
              <w:t>上下柱连接处的错口</w:t>
            </w:r>
          </w:p>
        </w:tc>
        <w:tc>
          <w:tcPr>
            <w:tcW w:w="4751" w:type="dxa"/>
            <w:vAlign w:val="center"/>
          </w:tcPr>
          <w:p>
            <w:pPr>
              <w:adjustRightInd/>
              <w:spacing w:line="240" w:lineRule="auto"/>
              <w:jc w:val="center"/>
              <w:rPr>
                <w:rFonts w:ascii="宋体" w:hAnsi="宋体" w:cstheme="minorBidi"/>
                <w:sz w:val="18"/>
                <w:szCs w:val="20"/>
              </w:rPr>
            </w:pPr>
            <w:r>
              <w:rPr>
                <w:rFonts w:ascii="Times New Roman" w:hAnsi="Times New Roman"/>
                <w:sz w:val="18"/>
                <w:szCs w:val="20"/>
              </w:rPr>
              <w:t>3</w:t>
            </w:r>
            <w:r>
              <w:rPr>
                <w:rFonts w:ascii="宋体" w:hAnsi="宋体" w:cstheme="minorBidi"/>
                <w:sz w:val="18"/>
                <w:szCs w:val="20"/>
              </w:rPr>
              <w:t>.</w:t>
            </w:r>
            <w:r>
              <w:rPr>
                <w:rFonts w:ascii="Times New Roman" w:hAnsi="Times New Roman"/>
                <w:sz w:val="18"/>
                <w:szCs w:val="20"/>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5" w:type="dxa"/>
            <w:bottom w:w="0" w:type="dxa"/>
            <w:right w:w="15" w:type="dxa"/>
          </w:tblCellMar>
        </w:tblPrEx>
        <w:trPr>
          <w:trHeight w:val="20" w:hRule="atLeast"/>
          <w:jc w:val="center"/>
        </w:trPr>
        <w:tc>
          <w:tcPr>
            <w:tcW w:w="4985" w:type="dxa"/>
            <w:gridSpan w:val="3"/>
            <w:vAlign w:val="center"/>
          </w:tcPr>
          <w:p>
            <w:pPr>
              <w:adjustRightInd/>
              <w:spacing w:line="240" w:lineRule="auto"/>
              <w:jc w:val="center"/>
              <w:rPr>
                <w:rFonts w:ascii="宋体" w:hAnsi="宋体" w:cstheme="minorBidi"/>
                <w:sz w:val="18"/>
                <w:szCs w:val="20"/>
              </w:rPr>
            </w:pPr>
            <w:r>
              <w:rPr>
                <w:rFonts w:ascii="宋体" w:hAnsi="宋体" w:cstheme="minorBidi"/>
                <w:sz w:val="18"/>
                <w:szCs w:val="20"/>
              </w:rPr>
              <w:t>同一层柱的各柱顶高度差</w:t>
            </w:r>
          </w:p>
        </w:tc>
        <w:tc>
          <w:tcPr>
            <w:tcW w:w="4751" w:type="dxa"/>
            <w:vAlign w:val="center"/>
          </w:tcPr>
          <w:p>
            <w:pPr>
              <w:adjustRightInd/>
              <w:spacing w:line="240" w:lineRule="auto"/>
              <w:jc w:val="center"/>
              <w:rPr>
                <w:rFonts w:ascii="宋体" w:hAnsi="宋体" w:cstheme="minorBidi"/>
                <w:sz w:val="18"/>
                <w:szCs w:val="20"/>
              </w:rPr>
            </w:pPr>
            <w:r>
              <w:rPr>
                <w:rFonts w:ascii="Times New Roman" w:hAnsi="Times New Roman"/>
                <w:sz w:val="18"/>
                <w:szCs w:val="20"/>
              </w:rPr>
              <w:t>5</w:t>
            </w:r>
            <w:r>
              <w:rPr>
                <w:rFonts w:ascii="宋体" w:hAnsi="宋体" w:cstheme="minorBidi"/>
                <w:sz w:val="18"/>
                <w:szCs w:val="20"/>
              </w:rPr>
              <w:t>.</w:t>
            </w:r>
            <w:r>
              <w:rPr>
                <w:rFonts w:ascii="Times New Roman" w:hAnsi="Times New Roman"/>
                <w:sz w:val="18"/>
                <w:szCs w:val="20"/>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5" w:type="dxa"/>
            <w:bottom w:w="0" w:type="dxa"/>
            <w:right w:w="15" w:type="dxa"/>
          </w:tblCellMar>
        </w:tblPrEx>
        <w:trPr>
          <w:trHeight w:val="20" w:hRule="atLeast"/>
          <w:jc w:val="center"/>
        </w:trPr>
        <w:tc>
          <w:tcPr>
            <w:tcW w:w="1661" w:type="dxa"/>
            <w:vMerge w:val="restart"/>
            <w:vAlign w:val="center"/>
          </w:tcPr>
          <w:p>
            <w:pPr>
              <w:adjustRightInd/>
              <w:spacing w:line="240" w:lineRule="auto"/>
              <w:jc w:val="center"/>
              <w:rPr>
                <w:rFonts w:ascii="宋体" w:hAnsi="宋体" w:cstheme="minorBidi"/>
                <w:sz w:val="18"/>
                <w:szCs w:val="20"/>
              </w:rPr>
            </w:pPr>
            <w:r>
              <w:rPr>
                <w:rFonts w:ascii="宋体" w:hAnsi="宋体" w:cstheme="minorBidi"/>
                <w:sz w:val="18"/>
                <w:szCs w:val="20"/>
              </w:rPr>
              <w:t>单节柱垂直度</w:t>
            </w:r>
          </w:p>
        </w:tc>
        <w:tc>
          <w:tcPr>
            <w:tcW w:w="3324" w:type="dxa"/>
            <w:gridSpan w:val="2"/>
            <w:vMerge w:val="restart"/>
            <w:vAlign w:val="center"/>
          </w:tcPr>
          <w:p>
            <w:pPr>
              <w:adjustRightInd/>
              <w:spacing w:line="240" w:lineRule="auto"/>
              <w:jc w:val="center"/>
              <w:rPr>
                <w:rFonts w:ascii="宋体" w:hAnsi="宋体" w:cstheme="minorBidi"/>
                <w:sz w:val="18"/>
                <w:szCs w:val="20"/>
              </w:rPr>
            </w:pPr>
            <w:r>
              <w:rPr>
                <w:rFonts w:ascii="宋体" w:hAnsi="宋体" w:cstheme="minorBidi"/>
                <w:sz w:val="18"/>
                <w:szCs w:val="20"/>
              </w:rPr>
              <w:t>单层柱</w:t>
            </w:r>
          </w:p>
        </w:tc>
        <w:tc>
          <w:tcPr>
            <w:tcW w:w="4751" w:type="dxa"/>
            <w:vAlign w:val="center"/>
          </w:tcPr>
          <w:p>
            <w:pPr>
              <w:adjustRightInd/>
              <w:spacing w:line="240" w:lineRule="auto"/>
              <w:jc w:val="center"/>
              <w:rPr>
                <w:rFonts w:ascii="宋体" w:hAnsi="宋体" w:cstheme="minorBidi"/>
                <w:sz w:val="18"/>
                <w:szCs w:val="20"/>
              </w:rPr>
            </w:pPr>
            <w:r>
              <w:rPr>
                <w:rFonts w:ascii="Times New Roman" w:hAnsi="Times New Roman"/>
                <w:sz w:val="18"/>
                <w:szCs w:val="20"/>
              </w:rPr>
              <w:t>H</w:t>
            </w:r>
            <w:r>
              <w:rPr>
                <w:rFonts w:ascii="宋体" w:hAnsi="宋体" w:cstheme="minorBidi"/>
                <w:sz w:val="18"/>
                <w:szCs w:val="20"/>
              </w:rPr>
              <w:t>/</w:t>
            </w:r>
            <w:r>
              <w:rPr>
                <w:rFonts w:ascii="Times New Roman" w:hAnsi="Times New Roman"/>
                <w:sz w:val="18"/>
                <w:szCs w:val="20"/>
              </w:rPr>
              <w:t>1000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0" w:hRule="atLeast"/>
          <w:jc w:val="center"/>
        </w:trPr>
        <w:tc>
          <w:tcPr>
            <w:tcW w:w="1661" w:type="dxa"/>
            <w:vMerge w:val="continue"/>
            <w:vAlign w:val="center"/>
          </w:tcPr>
          <w:p>
            <w:pPr>
              <w:adjustRightInd/>
              <w:spacing w:line="240" w:lineRule="auto"/>
              <w:jc w:val="center"/>
              <w:rPr>
                <w:rFonts w:ascii="宋体" w:hAnsi="宋体" w:cstheme="minorBidi"/>
                <w:sz w:val="18"/>
                <w:szCs w:val="20"/>
              </w:rPr>
            </w:pPr>
          </w:p>
        </w:tc>
        <w:tc>
          <w:tcPr>
            <w:tcW w:w="3324" w:type="dxa"/>
            <w:gridSpan w:val="2"/>
            <w:vMerge w:val="continue"/>
            <w:vAlign w:val="center"/>
          </w:tcPr>
          <w:p>
            <w:pPr>
              <w:adjustRightInd/>
              <w:spacing w:line="240" w:lineRule="auto"/>
              <w:rPr>
                <w:rFonts w:ascii="宋体" w:hAnsi="宋体" w:cstheme="minorBidi"/>
                <w:sz w:val="18"/>
                <w:szCs w:val="20"/>
              </w:rPr>
            </w:pPr>
          </w:p>
        </w:tc>
        <w:tc>
          <w:tcPr>
            <w:tcW w:w="4751" w:type="dxa"/>
            <w:vAlign w:val="center"/>
          </w:tcPr>
          <w:p>
            <w:pPr>
              <w:adjustRightInd/>
              <w:spacing w:line="240" w:lineRule="auto"/>
              <w:jc w:val="center"/>
              <w:rPr>
                <w:rFonts w:ascii="宋体" w:hAnsi="宋体" w:cstheme="minorBidi"/>
                <w:sz w:val="18"/>
                <w:szCs w:val="20"/>
              </w:rPr>
            </w:pPr>
            <w:r>
              <w:rPr>
                <w:rFonts w:ascii="Times New Roman" w:hAnsi="Times New Roman"/>
                <w:sz w:val="18"/>
                <w:szCs w:val="20"/>
              </w:rPr>
              <w:t>H</w:t>
            </w:r>
            <w:r>
              <w:rPr>
                <w:rFonts w:ascii="宋体" w:hAnsi="宋体" w:cstheme="minorBidi"/>
                <w:sz w:val="18"/>
                <w:szCs w:val="20"/>
              </w:rPr>
              <w:t>/</w:t>
            </w:r>
            <w:r>
              <w:rPr>
                <w:rFonts w:ascii="Times New Roman" w:hAnsi="Times New Roman"/>
                <w:sz w:val="18"/>
                <w:szCs w:val="20"/>
              </w:rPr>
              <w:t>1000</w:t>
            </w:r>
            <w:r>
              <w:rPr>
                <w:rFonts w:ascii="宋体" w:hAnsi="宋体" w:cstheme="minorBidi"/>
                <w:sz w:val="18"/>
                <w:szCs w:val="20"/>
              </w:rPr>
              <w:t xml:space="preserve">，且不应大于 </w:t>
            </w:r>
            <w:r>
              <w:rPr>
                <w:rFonts w:ascii="Times New Roman" w:hAnsi="Times New Roman"/>
                <w:sz w:val="18"/>
                <w:szCs w:val="20"/>
              </w:rPr>
              <w:t>10</w:t>
            </w:r>
            <w:r>
              <w:rPr>
                <w:rFonts w:ascii="宋体" w:hAnsi="宋体" w:cstheme="minorBidi"/>
                <w:sz w:val="18"/>
                <w:szCs w:val="20"/>
              </w:rPr>
              <w:t>.</w:t>
            </w:r>
            <w:r>
              <w:rPr>
                <w:rFonts w:ascii="Times New Roman" w:hAnsi="Times New Roman"/>
                <w:sz w:val="18"/>
                <w:szCs w:val="20"/>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20" w:hRule="atLeast"/>
          <w:jc w:val="center"/>
        </w:trPr>
        <w:tc>
          <w:tcPr>
            <w:tcW w:w="1661" w:type="dxa"/>
            <w:vMerge w:val="continue"/>
            <w:vAlign w:val="center"/>
          </w:tcPr>
          <w:p>
            <w:pPr>
              <w:adjustRightInd/>
              <w:spacing w:line="240" w:lineRule="auto"/>
              <w:jc w:val="center"/>
              <w:rPr>
                <w:rFonts w:ascii="宋体" w:hAnsi="宋体" w:cstheme="minorBidi"/>
                <w:sz w:val="18"/>
                <w:szCs w:val="20"/>
              </w:rPr>
            </w:pPr>
          </w:p>
        </w:tc>
        <w:tc>
          <w:tcPr>
            <w:tcW w:w="1662" w:type="dxa"/>
            <w:vMerge w:val="restart"/>
            <w:vAlign w:val="center"/>
          </w:tcPr>
          <w:p>
            <w:pPr>
              <w:adjustRightInd/>
              <w:spacing w:line="240" w:lineRule="auto"/>
              <w:jc w:val="center"/>
              <w:rPr>
                <w:rFonts w:ascii="宋体" w:hAnsi="宋体" w:cstheme="minorBidi"/>
                <w:sz w:val="18"/>
                <w:szCs w:val="20"/>
              </w:rPr>
            </w:pPr>
            <w:r>
              <w:rPr>
                <w:rFonts w:ascii="宋体" w:hAnsi="宋体" w:cstheme="minorBidi"/>
                <w:sz w:val="18"/>
                <w:szCs w:val="20"/>
              </w:rPr>
              <w:t>多节柱</w:t>
            </w:r>
          </w:p>
        </w:tc>
        <w:tc>
          <w:tcPr>
            <w:tcW w:w="1662" w:type="dxa"/>
            <w:vAlign w:val="center"/>
          </w:tcPr>
          <w:p>
            <w:pPr>
              <w:adjustRightInd/>
              <w:spacing w:line="240" w:lineRule="auto"/>
              <w:jc w:val="center"/>
              <w:rPr>
                <w:rFonts w:ascii="宋体" w:hAnsi="宋体" w:cstheme="minorBidi"/>
                <w:sz w:val="18"/>
                <w:szCs w:val="20"/>
              </w:rPr>
            </w:pPr>
            <w:r>
              <w:rPr>
                <w:rFonts w:ascii="宋体" w:hAnsi="宋体" w:cstheme="minorBidi"/>
                <w:sz w:val="18"/>
                <w:szCs w:val="20"/>
              </w:rPr>
              <w:t>单节</w:t>
            </w:r>
            <w:r>
              <w:rPr>
                <w:rFonts w:hint="eastAsia" w:ascii="宋体" w:hAnsi="宋体" w:cstheme="minorBidi"/>
                <w:sz w:val="18"/>
                <w:szCs w:val="20"/>
              </w:rPr>
              <w:t>柱</w:t>
            </w:r>
          </w:p>
        </w:tc>
        <w:tc>
          <w:tcPr>
            <w:tcW w:w="4751" w:type="dxa"/>
            <w:vAlign w:val="center"/>
          </w:tcPr>
          <w:p>
            <w:pPr>
              <w:adjustRightInd/>
              <w:spacing w:line="240" w:lineRule="auto"/>
              <w:jc w:val="center"/>
              <w:rPr>
                <w:rFonts w:ascii="宋体" w:hAnsi="宋体" w:cstheme="minorBidi"/>
                <w:sz w:val="18"/>
                <w:szCs w:val="20"/>
              </w:rPr>
            </w:pPr>
            <w:r>
              <w:rPr>
                <w:rFonts w:hint="eastAsia" w:ascii="Times New Roman" w:hAnsi="Times New Roman"/>
                <w:sz w:val="18"/>
                <w:szCs w:val="20"/>
              </w:rPr>
              <w:t>h</w:t>
            </w:r>
            <w:r>
              <w:rPr>
                <w:rFonts w:ascii="宋体" w:hAnsi="宋体" w:cstheme="minorBidi"/>
                <w:sz w:val="18"/>
                <w:szCs w:val="20"/>
              </w:rPr>
              <w:t>/</w:t>
            </w:r>
            <w:r>
              <w:rPr>
                <w:rFonts w:ascii="Times New Roman" w:hAnsi="Times New Roman"/>
                <w:sz w:val="18"/>
                <w:szCs w:val="20"/>
              </w:rPr>
              <w:t>1000</w:t>
            </w:r>
            <w:r>
              <w:rPr>
                <w:rFonts w:ascii="宋体" w:hAnsi="宋体" w:cstheme="minorBidi"/>
                <w:sz w:val="18"/>
                <w:szCs w:val="20"/>
              </w:rPr>
              <w:t xml:space="preserve">，且不应大于 </w:t>
            </w:r>
            <w:r>
              <w:rPr>
                <w:rFonts w:ascii="Times New Roman" w:hAnsi="Times New Roman"/>
                <w:sz w:val="18"/>
                <w:szCs w:val="20"/>
              </w:rPr>
              <w:t>10</w:t>
            </w:r>
            <w:r>
              <w:rPr>
                <w:rFonts w:ascii="宋体" w:hAnsi="宋体" w:cstheme="minorBidi"/>
                <w:sz w:val="18"/>
                <w:szCs w:val="20"/>
              </w:rPr>
              <w:t>.</w:t>
            </w:r>
            <w:r>
              <w:rPr>
                <w:rFonts w:ascii="Times New Roman" w:hAnsi="Times New Roman"/>
                <w:sz w:val="18"/>
                <w:szCs w:val="20"/>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5" w:type="dxa"/>
            <w:bottom w:w="0" w:type="dxa"/>
            <w:right w:w="15" w:type="dxa"/>
          </w:tblCellMar>
        </w:tblPrEx>
        <w:trPr>
          <w:trHeight w:val="20" w:hRule="atLeast"/>
          <w:jc w:val="center"/>
        </w:trPr>
        <w:tc>
          <w:tcPr>
            <w:tcW w:w="1661" w:type="dxa"/>
            <w:vMerge w:val="continue"/>
            <w:vAlign w:val="center"/>
          </w:tcPr>
          <w:p>
            <w:pPr>
              <w:adjustRightInd/>
              <w:spacing w:line="240" w:lineRule="auto"/>
              <w:jc w:val="center"/>
              <w:rPr>
                <w:rFonts w:ascii="宋体" w:hAnsi="宋体" w:cstheme="minorBidi"/>
                <w:sz w:val="18"/>
                <w:szCs w:val="20"/>
              </w:rPr>
            </w:pPr>
          </w:p>
        </w:tc>
        <w:tc>
          <w:tcPr>
            <w:tcW w:w="1662" w:type="dxa"/>
            <w:vMerge w:val="continue"/>
            <w:vAlign w:val="center"/>
          </w:tcPr>
          <w:p>
            <w:pPr>
              <w:adjustRightInd/>
              <w:spacing w:line="240" w:lineRule="auto"/>
              <w:jc w:val="center"/>
              <w:rPr>
                <w:rFonts w:ascii="宋体" w:hAnsi="宋体" w:cstheme="minorBidi"/>
                <w:sz w:val="18"/>
                <w:szCs w:val="20"/>
              </w:rPr>
            </w:pPr>
          </w:p>
        </w:tc>
        <w:tc>
          <w:tcPr>
            <w:tcW w:w="1662" w:type="dxa"/>
            <w:vAlign w:val="center"/>
          </w:tcPr>
          <w:p>
            <w:pPr>
              <w:adjustRightInd/>
              <w:spacing w:line="240" w:lineRule="auto"/>
              <w:jc w:val="center"/>
              <w:rPr>
                <w:rFonts w:ascii="宋体" w:hAnsi="宋体" w:cstheme="minorBidi"/>
                <w:sz w:val="18"/>
                <w:szCs w:val="20"/>
              </w:rPr>
            </w:pPr>
            <w:r>
              <w:rPr>
                <w:rFonts w:hint="eastAsia" w:ascii="宋体" w:hAnsi="宋体" w:cstheme="minorBidi"/>
                <w:sz w:val="18"/>
                <w:szCs w:val="20"/>
              </w:rPr>
              <w:t>柱全高</w:t>
            </w:r>
          </w:p>
        </w:tc>
        <w:tc>
          <w:tcPr>
            <w:tcW w:w="4751" w:type="dxa"/>
            <w:vAlign w:val="center"/>
          </w:tcPr>
          <w:p>
            <w:pPr>
              <w:adjustRightInd/>
              <w:spacing w:line="240" w:lineRule="auto"/>
              <w:jc w:val="center"/>
              <w:rPr>
                <w:rFonts w:ascii="宋体" w:hAnsi="宋体" w:cstheme="minorBidi"/>
                <w:sz w:val="18"/>
                <w:szCs w:val="20"/>
              </w:rPr>
            </w:pPr>
            <w:r>
              <w:rPr>
                <w:rFonts w:ascii="Times New Roman" w:hAnsi="Times New Roman"/>
                <w:sz w:val="18"/>
                <w:szCs w:val="20"/>
              </w:rPr>
              <w:t>15</w:t>
            </w:r>
            <w:r>
              <w:rPr>
                <w:rFonts w:ascii="宋体" w:hAnsi="宋体" w:cstheme="minorBidi"/>
                <w:sz w:val="18"/>
                <w:szCs w:val="20"/>
              </w:rPr>
              <w:t>.</w:t>
            </w:r>
            <w:r>
              <w:rPr>
                <w:rFonts w:ascii="Times New Roman" w:hAnsi="Times New Roman"/>
                <w:sz w:val="18"/>
                <w:szCs w:val="20"/>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5" w:type="dxa"/>
            <w:bottom w:w="0" w:type="dxa"/>
            <w:right w:w="15" w:type="dxa"/>
          </w:tblCellMar>
        </w:tblPrEx>
        <w:trPr>
          <w:trHeight w:val="20" w:hRule="atLeast"/>
          <w:jc w:val="center"/>
        </w:trPr>
        <w:tc>
          <w:tcPr>
            <w:tcW w:w="9384" w:type="dxa"/>
            <w:gridSpan w:val="4"/>
            <w:vAlign w:val="center"/>
          </w:tcPr>
          <w:p>
            <w:pPr>
              <w:adjustRightInd/>
              <w:spacing w:line="240" w:lineRule="auto"/>
              <w:ind w:firstLine="360" w:firstLineChars="200"/>
              <w:jc w:val="left"/>
              <w:rPr>
                <w:rFonts w:ascii="Times New Roman" w:hAnsi="Times New Roman"/>
                <w:sz w:val="18"/>
                <w:szCs w:val="20"/>
              </w:rPr>
            </w:pPr>
            <w:r>
              <w:rPr>
                <w:rFonts w:hint="eastAsia" w:ascii="Times New Roman" w:hAnsi="Times New Roman" w:eastAsia="黑体"/>
                <w:sz w:val="18"/>
                <w:szCs w:val="20"/>
              </w:rPr>
              <w:t>注：</w:t>
            </w:r>
            <w:r>
              <w:rPr>
                <w:rFonts w:hint="eastAsia" w:ascii="Times New Roman" w:hAnsi="Times New Roman"/>
                <w:sz w:val="18"/>
                <w:szCs w:val="20"/>
              </w:rPr>
              <w:t>H 为单层柱高度；h 为多节柱中单节柱高度。</w:t>
            </w:r>
          </w:p>
        </w:tc>
      </w:tr>
    </w:tbl>
    <w:p>
      <w:pPr>
        <w:pStyle w:val="44"/>
        <w:numPr>
          <w:ilvl w:val="0"/>
          <w:numId w:val="9"/>
        </w:numPr>
      </w:pPr>
      <w:r>
        <w:rPr>
          <w:rFonts w:hint="eastAsia"/>
        </w:rPr>
        <w:t>构件变形应符合设计要求，当设计无要求时，应符合现行国家标准GB 50205及GB 50017等的有关规定；</w:t>
      </w:r>
    </w:p>
    <w:p>
      <w:pPr>
        <w:pStyle w:val="44"/>
        <w:numPr>
          <w:ilvl w:val="0"/>
          <w:numId w:val="9"/>
        </w:numPr>
      </w:pPr>
      <w:r>
        <w:rPr>
          <w:rFonts w:hint="eastAsia"/>
        </w:rPr>
        <w:t>主体结构的整体垂直度和整体平面弯曲偏差，应符合现行国家标准GB 50205的规定。</w:t>
      </w:r>
    </w:p>
    <w:p>
      <w:pPr>
        <w:pStyle w:val="46"/>
      </w:pPr>
      <w:r>
        <w:rPr>
          <w:rFonts w:hint="eastAsia"/>
        </w:rPr>
        <w:t>涂层厚度检测，应符合下列规定：</w:t>
      </w:r>
    </w:p>
    <w:p>
      <w:pPr>
        <w:pStyle w:val="44"/>
        <w:numPr>
          <w:ilvl w:val="0"/>
          <w:numId w:val="134"/>
        </w:numPr>
      </w:pPr>
      <w:r>
        <w:rPr>
          <w:rFonts w:hint="eastAsia"/>
        </w:rPr>
        <w:t>防腐涂层厚度应符合设计要求；当设计无要求时，应符合现行国家标准GB 55006要求；</w:t>
      </w:r>
    </w:p>
    <w:p>
      <w:pPr>
        <w:pStyle w:val="44"/>
        <w:numPr>
          <w:ilvl w:val="0"/>
          <w:numId w:val="134"/>
        </w:numPr>
      </w:pPr>
      <w:r>
        <w:rPr>
          <w:rFonts w:hint="eastAsia"/>
        </w:rPr>
        <w:t>防火涂层厚度应符合设计要求。</w:t>
      </w:r>
    </w:p>
    <w:p>
      <w:pPr>
        <w:pStyle w:val="46"/>
      </w:pPr>
      <w:r>
        <w:rPr>
          <w:rFonts w:hint="eastAsia"/>
        </w:rPr>
        <w:t>外围护系统的施工质量应按一个分部工程验收，该分部工程应包含外墙、内墙、屋面和门窗等若干个分项工程。</w:t>
      </w:r>
    </w:p>
    <w:p>
      <w:pPr>
        <w:pStyle w:val="46"/>
      </w:pPr>
      <w:r>
        <w:rPr>
          <w:rFonts w:hint="eastAsia"/>
        </w:rPr>
        <w:t>外围护墙体质量检验，应符合下列规定：</w:t>
      </w:r>
    </w:p>
    <w:p>
      <w:pPr>
        <w:pStyle w:val="44"/>
        <w:numPr>
          <w:ilvl w:val="0"/>
          <w:numId w:val="135"/>
        </w:numPr>
      </w:pPr>
      <w:r>
        <w:rPr>
          <w:rFonts w:hint="eastAsia"/>
        </w:rPr>
        <w:t>外围护墙体部品部（构）件出厂应有原材料质保书、原材料复验报告和出厂合格证，其性能应满足设计要求；</w:t>
      </w:r>
    </w:p>
    <w:p>
      <w:pPr>
        <w:pStyle w:val="44"/>
        <w:numPr>
          <w:ilvl w:val="0"/>
          <w:numId w:val="135"/>
        </w:numPr>
      </w:pPr>
      <w:r>
        <w:rPr>
          <w:rFonts w:hint="eastAsia"/>
        </w:rPr>
        <w:t>外挂墙板安装尺寸允许偏差及检验方法应符合表</w:t>
      </w:r>
      <w:r>
        <w:t>10</w:t>
      </w:r>
      <w:r>
        <w:rPr>
          <w:rFonts w:hint="eastAsia"/>
        </w:rPr>
        <w:t>的规定；</w:t>
      </w:r>
    </w:p>
    <w:p>
      <w:pPr>
        <w:pStyle w:val="45"/>
        <w:spacing w:before="156" w:after="156"/>
      </w:pPr>
      <w:r>
        <w:t>外挂墙板安装尺寸允许偏差及检验方法</w:t>
      </w:r>
    </w:p>
    <w:tbl>
      <w:tblPr>
        <w:tblStyle w:val="32"/>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5" w:type="dxa"/>
          <w:bottom w:w="0" w:type="dxa"/>
          <w:right w:w="15" w:type="dxa"/>
        </w:tblCellMar>
      </w:tblPr>
      <w:tblGrid>
        <w:gridCol w:w="1137"/>
        <w:gridCol w:w="569"/>
        <w:gridCol w:w="569"/>
        <w:gridCol w:w="1139"/>
        <w:gridCol w:w="2939"/>
        <w:gridCol w:w="3031"/>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blHeader/>
          <w:jc w:val="center"/>
        </w:trPr>
        <w:tc>
          <w:tcPr>
            <w:tcW w:w="1819" w:type="pct"/>
            <w:gridSpan w:val="4"/>
            <w:tcBorders>
              <w:top w:val="single" w:color="000000" w:sz="8" w:space="0"/>
              <w:bottom w:val="single" w:color="000000" w:sz="8" w:space="0"/>
            </w:tcBorders>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检验项目</w:t>
            </w:r>
          </w:p>
        </w:tc>
        <w:tc>
          <w:tcPr>
            <w:tcW w:w="1566" w:type="pct"/>
            <w:tcBorders>
              <w:top w:val="single" w:color="000000" w:sz="8" w:space="0"/>
              <w:bottom w:val="single" w:color="000000" w:sz="8" w:space="0"/>
            </w:tcBorders>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允许偏差（</w:t>
            </w:r>
            <w:r>
              <w:rPr>
                <w:rFonts w:ascii="Times New Roman" w:hAnsi="Times New Roman"/>
                <w:sz w:val="18"/>
                <w:szCs w:val="18"/>
              </w:rPr>
              <w:t>mm</w:t>
            </w:r>
            <w:r>
              <w:rPr>
                <w:rFonts w:ascii="宋体" w:hAnsi="宋体" w:cstheme="minorBidi"/>
                <w:sz w:val="18"/>
                <w:szCs w:val="18"/>
              </w:rPr>
              <w:t>）</w:t>
            </w:r>
          </w:p>
        </w:tc>
        <w:tc>
          <w:tcPr>
            <w:tcW w:w="1615" w:type="pct"/>
            <w:tcBorders>
              <w:top w:val="single" w:color="000000" w:sz="8" w:space="0"/>
              <w:bottom w:val="single" w:color="000000" w:sz="8" w:space="0"/>
            </w:tcBorders>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检验方法</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1819" w:type="pct"/>
            <w:gridSpan w:val="4"/>
            <w:tcBorders>
              <w:top w:val="single" w:color="000000" w:sz="8" w:space="0"/>
            </w:tcBorders>
            <w:vAlign w:val="center"/>
          </w:tcPr>
          <w:p>
            <w:pPr>
              <w:adjustRightInd/>
              <w:spacing w:line="240" w:lineRule="auto"/>
              <w:jc w:val="center"/>
              <w:rPr>
                <w:rFonts w:ascii="宋体" w:hAnsi="宋体" w:cstheme="minorBidi"/>
                <w:sz w:val="18"/>
                <w:szCs w:val="18"/>
              </w:rPr>
            </w:pPr>
            <w:r>
              <w:rPr>
                <w:rFonts w:ascii="宋体" w:hAnsi="宋体" w:cstheme="minorBidi"/>
                <w:sz w:val="18"/>
                <w:szCs w:val="18"/>
              </w:rPr>
              <w:t>中心线对轴线位置</w:t>
            </w:r>
          </w:p>
        </w:tc>
        <w:tc>
          <w:tcPr>
            <w:tcW w:w="1566" w:type="pct"/>
            <w:tcBorders>
              <w:top w:val="single" w:color="000000" w:sz="8" w:space="0"/>
            </w:tcBorders>
            <w:vAlign w:val="center"/>
          </w:tcPr>
          <w:p>
            <w:pPr>
              <w:adjustRightInd/>
              <w:spacing w:line="240" w:lineRule="auto"/>
              <w:jc w:val="center"/>
              <w:rPr>
                <w:rFonts w:ascii="宋体" w:hAnsi="宋体" w:cstheme="minorBidi"/>
                <w:sz w:val="18"/>
                <w:szCs w:val="18"/>
              </w:rPr>
            </w:pPr>
            <w:r>
              <w:rPr>
                <w:rFonts w:ascii="Times New Roman" w:hAnsi="Times New Roman"/>
                <w:sz w:val="18"/>
                <w:szCs w:val="18"/>
              </w:rPr>
              <w:t>3</w:t>
            </w:r>
            <w:r>
              <w:rPr>
                <w:rFonts w:ascii="宋体" w:hAnsi="宋体" w:cstheme="minorBidi"/>
                <w:sz w:val="18"/>
                <w:szCs w:val="18"/>
              </w:rPr>
              <w:t>.</w:t>
            </w:r>
            <w:r>
              <w:rPr>
                <w:rFonts w:ascii="Times New Roman" w:hAnsi="Times New Roman"/>
                <w:sz w:val="18"/>
                <w:szCs w:val="18"/>
              </w:rPr>
              <w:t>0</w:t>
            </w:r>
          </w:p>
        </w:tc>
        <w:tc>
          <w:tcPr>
            <w:tcW w:w="1615" w:type="pct"/>
            <w:tcBorders>
              <w:top w:val="single" w:color="000000" w:sz="8" w:space="0"/>
            </w:tcBorders>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尺量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1819" w:type="pct"/>
            <w:gridSpan w:val="4"/>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标高</w:t>
            </w:r>
          </w:p>
        </w:tc>
        <w:tc>
          <w:tcPr>
            <w:tcW w:w="1566"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r>
              <w:rPr>
                <w:rFonts w:ascii="Times New Roman" w:hAnsi="Times New Roman"/>
                <w:sz w:val="18"/>
                <w:szCs w:val="18"/>
              </w:rPr>
              <w:t>3</w:t>
            </w:r>
            <w:r>
              <w:rPr>
                <w:rFonts w:ascii="宋体" w:hAnsi="宋体" w:cstheme="minorBidi"/>
                <w:sz w:val="18"/>
                <w:szCs w:val="18"/>
              </w:rPr>
              <w:t>.</w:t>
            </w:r>
            <w:r>
              <w:rPr>
                <w:rFonts w:ascii="Times New Roman" w:hAnsi="Times New Roman"/>
                <w:sz w:val="18"/>
                <w:szCs w:val="18"/>
              </w:rPr>
              <w:t>0</w:t>
            </w:r>
          </w:p>
        </w:tc>
        <w:tc>
          <w:tcPr>
            <w:tcW w:w="1615"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水准仪或尺量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606" w:type="pct"/>
            <w:vMerge w:val="restar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垂直度</w:t>
            </w:r>
          </w:p>
        </w:tc>
        <w:tc>
          <w:tcPr>
            <w:tcW w:w="606" w:type="pct"/>
            <w:gridSpan w:val="2"/>
            <w:vMerge w:val="restar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每层</w:t>
            </w:r>
          </w:p>
        </w:tc>
        <w:tc>
          <w:tcPr>
            <w:tcW w:w="607"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r>
              <w:rPr>
                <w:rFonts w:ascii="Times New Roman" w:hAnsi="Times New Roman"/>
                <w:sz w:val="18"/>
                <w:szCs w:val="18"/>
              </w:rPr>
              <w:t>3m</w:t>
            </w:r>
          </w:p>
        </w:tc>
        <w:tc>
          <w:tcPr>
            <w:tcW w:w="1566" w:type="pct"/>
            <w:vAlign w:val="center"/>
          </w:tcPr>
          <w:p>
            <w:pPr>
              <w:adjustRightInd/>
              <w:spacing w:line="240" w:lineRule="auto"/>
              <w:jc w:val="center"/>
              <w:rPr>
                <w:rFonts w:ascii="宋体" w:hAnsi="宋体" w:cstheme="minorBidi"/>
                <w:sz w:val="18"/>
                <w:szCs w:val="18"/>
              </w:rPr>
            </w:pPr>
            <w:r>
              <w:rPr>
                <w:rFonts w:ascii="Times New Roman" w:hAnsi="Times New Roman"/>
                <w:sz w:val="18"/>
                <w:szCs w:val="18"/>
              </w:rPr>
              <w:t>3</w:t>
            </w:r>
            <w:r>
              <w:rPr>
                <w:rFonts w:ascii="宋体" w:hAnsi="宋体" w:cstheme="minorBidi"/>
                <w:sz w:val="18"/>
                <w:szCs w:val="18"/>
              </w:rPr>
              <w:t>.</w:t>
            </w:r>
            <w:r>
              <w:rPr>
                <w:rFonts w:ascii="Times New Roman" w:hAnsi="Times New Roman"/>
                <w:sz w:val="18"/>
                <w:szCs w:val="18"/>
              </w:rPr>
              <w:t>0</w:t>
            </w:r>
          </w:p>
        </w:tc>
        <w:tc>
          <w:tcPr>
            <w:tcW w:w="1615"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全站仪或经纬仪</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606" w:type="pct"/>
            <w:vMerge w:val="continue"/>
            <w:vAlign w:val="center"/>
          </w:tcPr>
          <w:p>
            <w:pPr>
              <w:adjustRightInd/>
              <w:spacing w:line="240" w:lineRule="auto"/>
              <w:jc w:val="center"/>
              <w:rPr>
                <w:rFonts w:ascii="宋体" w:hAnsi="宋体" w:cstheme="minorBidi"/>
                <w:sz w:val="18"/>
                <w:szCs w:val="18"/>
              </w:rPr>
            </w:pPr>
          </w:p>
        </w:tc>
        <w:tc>
          <w:tcPr>
            <w:tcW w:w="606" w:type="pct"/>
            <w:gridSpan w:val="2"/>
            <w:vMerge w:val="continue"/>
            <w:vAlign w:val="center"/>
          </w:tcPr>
          <w:p>
            <w:pPr>
              <w:adjustRightInd/>
              <w:spacing w:line="240" w:lineRule="auto"/>
              <w:jc w:val="center"/>
              <w:rPr>
                <w:rFonts w:ascii="宋体" w:hAnsi="宋体" w:cstheme="minorBidi"/>
                <w:sz w:val="18"/>
                <w:szCs w:val="18"/>
              </w:rPr>
            </w:pPr>
          </w:p>
        </w:tc>
        <w:tc>
          <w:tcPr>
            <w:tcW w:w="607"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r>
              <w:rPr>
                <w:rFonts w:ascii="Times New Roman" w:hAnsi="Times New Roman"/>
                <w:sz w:val="18"/>
                <w:szCs w:val="18"/>
              </w:rPr>
              <w:t>3m</w:t>
            </w:r>
          </w:p>
        </w:tc>
        <w:tc>
          <w:tcPr>
            <w:tcW w:w="1566" w:type="pct"/>
            <w:vAlign w:val="center"/>
          </w:tcPr>
          <w:p>
            <w:pPr>
              <w:adjustRightInd/>
              <w:spacing w:line="240" w:lineRule="auto"/>
              <w:jc w:val="center"/>
              <w:rPr>
                <w:rFonts w:ascii="宋体" w:hAnsi="宋体" w:cstheme="minorBidi"/>
                <w:sz w:val="18"/>
                <w:szCs w:val="18"/>
              </w:rPr>
            </w:pPr>
            <w:r>
              <w:rPr>
                <w:rFonts w:ascii="Times New Roman" w:hAnsi="Times New Roman"/>
                <w:sz w:val="18"/>
                <w:szCs w:val="18"/>
              </w:rPr>
              <w:t>5</w:t>
            </w:r>
            <w:r>
              <w:rPr>
                <w:rFonts w:ascii="宋体" w:hAnsi="宋体" w:cstheme="minorBidi"/>
                <w:sz w:val="18"/>
                <w:szCs w:val="18"/>
              </w:rPr>
              <w:t>.</w:t>
            </w:r>
            <w:r>
              <w:rPr>
                <w:rFonts w:ascii="Times New Roman" w:hAnsi="Times New Roman"/>
                <w:sz w:val="18"/>
                <w:szCs w:val="18"/>
              </w:rPr>
              <w:t>0</w:t>
            </w:r>
          </w:p>
        </w:tc>
        <w:tc>
          <w:tcPr>
            <w:tcW w:w="1615"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全站仪或经纬仪</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606" w:type="pct"/>
            <w:vMerge w:val="continue"/>
            <w:vAlign w:val="center"/>
          </w:tcPr>
          <w:p>
            <w:pPr>
              <w:adjustRightInd/>
              <w:spacing w:line="240" w:lineRule="auto"/>
              <w:jc w:val="center"/>
              <w:rPr>
                <w:rFonts w:ascii="宋体" w:hAnsi="宋体" w:cstheme="minorBidi"/>
                <w:sz w:val="18"/>
                <w:szCs w:val="18"/>
              </w:rPr>
            </w:pPr>
          </w:p>
        </w:tc>
        <w:tc>
          <w:tcPr>
            <w:tcW w:w="606" w:type="pct"/>
            <w:gridSpan w:val="2"/>
            <w:vMerge w:val="restar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全高</w:t>
            </w:r>
          </w:p>
        </w:tc>
        <w:tc>
          <w:tcPr>
            <w:tcW w:w="607"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r>
              <w:rPr>
                <w:rFonts w:ascii="Times New Roman" w:hAnsi="Times New Roman"/>
                <w:sz w:val="18"/>
                <w:szCs w:val="18"/>
              </w:rPr>
              <w:t>10m</w:t>
            </w:r>
          </w:p>
        </w:tc>
        <w:tc>
          <w:tcPr>
            <w:tcW w:w="1566" w:type="pct"/>
            <w:vAlign w:val="center"/>
          </w:tcPr>
          <w:p>
            <w:pPr>
              <w:adjustRightInd/>
              <w:spacing w:line="240" w:lineRule="auto"/>
              <w:jc w:val="center"/>
              <w:rPr>
                <w:rFonts w:ascii="宋体" w:hAnsi="宋体" w:cstheme="minorBidi"/>
                <w:sz w:val="18"/>
                <w:szCs w:val="18"/>
              </w:rPr>
            </w:pPr>
            <w:r>
              <w:rPr>
                <w:rFonts w:ascii="Times New Roman" w:hAnsi="Times New Roman"/>
                <w:sz w:val="18"/>
                <w:szCs w:val="18"/>
              </w:rPr>
              <w:t>5</w:t>
            </w:r>
            <w:r>
              <w:rPr>
                <w:rFonts w:ascii="宋体" w:hAnsi="宋体" w:cstheme="minorBidi"/>
                <w:sz w:val="18"/>
                <w:szCs w:val="18"/>
              </w:rPr>
              <w:t>.</w:t>
            </w:r>
            <w:r>
              <w:rPr>
                <w:rFonts w:ascii="Times New Roman" w:hAnsi="Times New Roman"/>
                <w:sz w:val="18"/>
                <w:szCs w:val="18"/>
              </w:rPr>
              <w:t>0</w:t>
            </w:r>
          </w:p>
        </w:tc>
        <w:tc>
          <w:tcPr>
            <w:tcW w:w="1615"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606" w:type="pct"/>
            <w:vMerge w:val="continue"/>
            <w:vAlign w:val="center"/>
          </w:tcPr>
          <w:p>
            <w:pPr>
              <w:adjustRightInd/>
              <w:spacing w:line="240" w:lineRule="auto"/>
              <w:jc w:val="center"/>
              <w:rPr>
                <w:rFonts w:ascii="宋体" w:hAnsi="宋体" w:cstheme="minorBidi"/>
                <w:sz w:val="18"/>
                <w:szCs w:val="18"/>
              </w:rPr>
            </w:pPr>
          </w:p>
        </w:tc>
        <w:tc>
          <w:tcPr>
            <w:tcW w:w="606" w:type="pct"/>
            <w:gridSpan w:val="2"/>
            <w:vMerge w:val="continue"/>
            <w:vAlign w:val="center"/>
          </w:tcPr>
          <w:p>
            <w:pPr>
              <w:adjustRightInd/>
              <w:spacing w:line="240" w:lineRule="auto"/>
              <w:jc w:val="center"/>
              <w:rPr>
                <w:rFonts w:ascii="宋体" w:hAnsi="宋体" w:cstheme="minorBidi"/>
                <w:sz w:val="18"/>
                <w:szCs w:val="18"/>
              </w:rPr>
            </w:pPr>
          </w:p>
        </w:tc>
        <w:tc>
          <w:tcPr>
            <w:tcW w:w="607"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r>
              <w:rPr>
                <w:rFonts w:ascii="Times New Roman" w:hAnsi="Times New Roman"/>
                <w:sz w:val="18"/>
                <w:szCs w:val="18"/>
              </w:rPr>
              <w:t>10m</w:t>
            </w:r>
          </w:p>
        </w:tc>
        <w:tc>
          <w:tcPr>
            <w:tcW w:w="1566" w:type="pct"/>
            <w:vAlign w:val="center"/>
          </w:tcPr>
          <w:p>
            <w:pPr>
              <w:adjustRightInd/>
              <w:spacing w:line="240" w:lineRule="auto"/>
              <w:jc w:val="center"/>
              <w:rPr>
                <w:rFonts w:ascii="宋体" w:hAnsi="宋体" w:cstheme="minorBidi"/>
                <w:sz w:val="18"/>
                <w:szCs w:val="18"/>
              </w:rPr>
            </w:pPr>
            <w:r>
              <w:rPr>
                <w:rFonts w:ascii="Times New Roman" w:hAnsi="Times New Roman"/>
                <w:sz w:val="18"/>
                <w:szCs w:val="18"/>
              </w:rPr>
              <w:t>10</w:t>
            </w:r>
            <w:r>
              <w:rPr>
                <w:rFonts w:ascii="宋体" w:hAnsi="宋体" w:cstheme="minorBidi"/>
                <w:sz w:val="18"/>
                <w:szCs w:val="18"/>
              </w:rPr>
              <w:t>.</w:t>
            </w:r>
            <w:r>
              <w:rPr>
                <w:rFonts w:ascii="Times New Roman" w:hAnsi="Times New Roman"/>
                <w:sz w:val="18"/>
                <w:szCs w:val="18"/>
              </w:rPr>
              <w:t>0</w:t>
            </w:r>
          </w:p>
        </w:tc>
        <w:tc>
          <w:tcPr>
            <w:tcW w:w="1615"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1819" w:type="pct"/>
            <w:gridSpan w:val="4"/>
            <w:vAlign w:val="center"/>
          </w:tcPr>
          <w:p>
            <w:pPr>
              <w:adjustRightInd/>
              <w:spacing w:line="240" w:lineRule="auto"/>
              <w:jc w:val="center"/>
              <w:rPr>
                <w:rFonts w:ascii="宋体" w:hAnsi="宋体" w:cstheme="minorBidi"/>
                <w:sz w:val="18"/>
                <w:szCs w:val="18"/>
              </w:rPr>
            </w:pPr>
            <w:r>
              <w:rPr>
                <w:rFonts w:ascii="宋体" w:hAnsi="宋体" w:cstheme="minorBidi"/>
                <w:sz w:val="18"/>
                <w:szCs w:val="18"/>
              </w:rPr>
              <w:t>相邻单元板平整度</w:t>
            </w:r>
          </w:p>
        </w:tc>
        <w:tc>
          <w:tcPr>
            <w:tcW w:w="1566" w:type="pct"/>
            <w:vAlign w:val="center"/>
          </w:tcPr>
          <w:p>
            <w:pPr>
              <w:adjustRightInd/>
              <w:spacing w:line="240" w:lineRule="auto"/>
              <w:jc w:val="center"/>
              <w:rPr>
                <w:rFonts w:ascii="宋体" w:hAnsi="宋体" w:cstheme="minorBidi"/>
                <w:sz w:val="18"/>
                <w:szCs w:val="18"/>
              </w:rPr>
            </w:pPr>
            <w:r>
              <w:rPr>
                <w:rFonts w:ascii="Times New Roman" w:hAnsi="Times New Roman"/>
                <w:sz w:val="18"/>
                <w:szCs w:val="18"/>
              </w:rPr>
              <w:t>2</w:t>
            </w:r>
            <w:r>
              <w:rPr>
                <w:rFonts w:ascii="宋体" w:hAnsi="宋体" w:cstheme="minorBidi"/>
                <w:sz w:val="18"/>
                <w:szCs w:val="18"/>
              </w:rPr>
              <w:t>.</w:t>
            </w:r>
            <w:r>
              <w:rPr>
                <w:rFonts w:ascii="Times New Roman" w:hAnsi="Times New Roman"/>
                <w:sz w:val="18"/>
                <w:szCs w:val="18"/>
              </w:rPr>
              <w:t>0</w:t>
            </w:r>
          </w:p>
        </w:tc>
        <w:tc>
          <w:tcPr>
            <w:tcW w:w="1615"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钢尺、塞尺</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909" w:type="pct"/>
            <w:gridSpan w:val="2"/>
            <w:vMerge w:val="restar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板接缝</w:t>
            </w:r>
          </w:p>
        </w:tc>
        <w:tc>
          <w:tcPr>
            <w:tcW w:w="909" w:type="pct"/>
            <w:gridSpan w:val="2"/>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宽度</w:t>
            </w:r>
          </w:p>
        </w:tc>
        <w:tc>
          <w:tcPr>
            <w:tcW w:w="1566" w:type="pct"/>
            <w:vMerge w:val="restar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r>
              <w:rPr>
                <w:rFonts w:ascii="Times New Roman" w:hAnsi="Times New Roman"/>
                <w:sz w:val="18"/>
                <w:szCs w:val="18"/>
              </w:rPr>
              <w:t>3</w:t>
            </w:r>
            <w:r>
              <w:rPr>
                <w:rFonts w:ascii="宋体" w:hAnsi="宋体" w:cstheme="minorBidi"/>
                <w:sz w:val="18"/>
                <w:szCs w:val="18"/>
              </w:rPr>
              <w:t>.</w:t>
            </w:r>
            <w:r>
              <w:rPr>
                <w:rFonts w:ascii="Times New Roman" w:hAnsi="Times New Roman"/>
                <w:sz w:val="18"/>
                <w:szCs w:val="18"/>
              </w:rPr>
              <w:t>0</w:t>
            </w:r>
          </w:p>
        </w:tc>
        <w:tc>
          <w:tcPr>
            <w:tcW w:w="1615" w:type="pct"/>
            <w:vMerge w:val="restar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尺量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909" w:type="pct"/>
            <w:gridSpan w:val="2"/>
            <w:vMerge w:val="continue"/>
            <w:vAlign w:val="center"/>
          </w:tcPr>
          <w:p>
            <w:pPr>
              <w:adjustRightInd/>
              <w:spacing w:line="240" w:lineRule="auto"/>
              <w:jc w:val="center"/>
              <w:rPr>
                <w:rFonts w:ascii="宋体" w:hAnsi="宋体" w:cstheme="minorBidi"/>
                <w:sz w:val="18"/>
                <w:szCs w:val="18"/>
              </w:rPr>
            </w:pPr>
          </w:p>
        </w:tc>
        <w:tc>
          <w:tcPr>
            <w:tcW w:w="909" w:type="pct"/>
            <w:gridSpan w:val="2"/>
            <w:vAlign w:val="center"/>
          </w:tcPr>
          <w:p>
            <w:pPr>
              <w:adjustRightInd/>
              <w:spacing w:line="240" w:lineRule="auto"/>
              <w:jc w:val="center"/>
              <w:rPr>
                <w:rFonts w:ascii="宋体" w:hAnsi="宋体" w:cstheme="minorBidi"/>
                <w:sz w:val="18"/>
                <w:szCs w:val="18"/>
              </w:rPr>
            </w:pPr>
            <w:r>
              <w:rPr>
                <w:rFonts w:ascii="宋体" w:hAnsi="宋体" w:cstheme="minorBidi"/>
                <w:sz w:val="18"/>
                <w:szCs w:val="18"/>
              </w:rPr>
              <w:t>中心线位置</w:t>
            </w:r>
          </w:p>
        </w:tc>
        <w:tc>
          <w:tcPr>
            <w:tcW w:w="1566" w:type="pct"/>
            <w:vMerge w:val="continue"/>
            <w:vAlign w:val="center"/>
          </w:tcPr>
          <w:p>
            <w:pPr>
              <w:adjustRightInd/>
              <w:spacing w:line="240" w:lineRule="auto"/>
              <w:jc w:val="center"/>
              <w:rPr>
                <w:rFonts w:ascii="宋体" w:hAnsi="宋体" w:cstheme="minorBidi"/>
                <w:sz w:val="18"/>
                <w:szCs w:val="18"/>
              </w:rPr>
            </w:pPr>
          </w:p>
        </w:tc>
        <w:tc>
          <w:tcPr>
            <w:tcW w:w="1615" w:type="pct"/>
            <w:vMerge w:val="continue"/>
            <w:vAlign w:val="center"/>
          </w:tcPr>
          <w:p>
            <w:pPr>
              <w:adjustRightInd/>
              <w:spacing w:line="240" w:lineRule="auto"/>
              <w:jc w:val="center"/>
              <w:rPr>
                <w:rFonts w:ascii="宋体" w:hAnsi="宋体" w:cstheme="minorBidi"/>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1819" w:type="pct"/>
            <w:gridSpan w:val="4"/>
            <w:vAlign w:val="center"/>
          </w:tcPr>
          <w:p>
            <w:pPr>
              <w:adjustRightInd/>
              <w:spacing w:line="240" w:lineRule="auto"/>
              <w:jc w:val="center"/>
              <w:rPr>
                <w:rFonts w:ascii="宋体" w:hAnsi="宋体" w:cstheme="minorBidi"/>
                <w:sz w:val="18"/>
                <w:szCs w:val="18"/>
              </w:rPr>
            </w:pPr>
            <w:r>
              <w:rPr>
                <w:rFonts w:ascii="宋体" w:hAnsi="宋体" w:cstheme="minorBidi"/>
                <w:sz w:val="18"/>
                <w:szCs w:val="18"/>
              </w:rPr>
              <w:t>门窗洞口尺寸</w:t>
            </w:r>
          </w:p>
        </w:tc>
        <w:tc>
          <w:tcPr>
            <w:tcW w:w="1566"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r>
              <w:rPr>
                <w:rFonts w:ascii="Times New Roman" w:hAnsi="Times New Roman"/>
                <w:sz w:val="18"/>
                <w:szCs w:val="18"/>
              </w:rPr>
              <w:t>5</w:t>
            </w:r>
            <w:r>
              <w:rPr>
                <w:rFonts w:ascii="宋体" w:hAnsi="宋体" w:cstheme="minorBidi"/>
                <w:sz w:val="18"/>
                <w:szCs w:val="18"/>
              </w:rPr>
              <w:t>.</w:t>
            </w:r>
            <w:r>
              <w:rPr>
                <w:rFonts w:ascii="Times New Roman" w:hAnsi="Times New Roman"/>
                <w:sz w:val="18"/>
                <w:szCs w:val="18"/>
              </w:rPr>
              <w:t>0</w:t>
            </w:r>
          </w:p>
        </w:tc>
        <w:tc>
          <w:tcPr>
            <w:tcW w:w="1615"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尺量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1819" w:type="pct"/>
            <w:gridSpan w:val="4"/>
            <w:vAlign w:val="center"/>
          </w:tcPr>
          <w:p>
            <w:pPr>
              <w:adjustRightInd/>
              <w:spacing w:line="240" w:lineRule="auto"/>
              <w:jc w:val="center"/>
              <w:rPr>
                <w:rFonts w:ascii="宋体" w:hAnsi="宋体" w:cstheme="minorBidi"/>
                <w:sz w:val="18"/>
                <w:szCs w:val="18"/>
              </w:rPr>
            </w:pPr>
            <w:r>
              <w:rPr>
                <w:rFonts w:ascii="宋体" w:hAnsi="宋体" w:cstheme="minorBidi"/>
                <w:sz w:val="18"/>
                <w:szCs w:val="18"/>
              </w:rPr>
              <w:t>上下层门窗洞口偏移</w:t>
            </w:r>
          </w:p>
        </w:tc>
        <w:tc>
          <w:tcPr>
            <w:tcW w:w="1566"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r>
              <w:rPr>
                <w:rFonts w:ascii="Times New Roman" w:hAnsi="Times New Roman"/>
                <w:sz w:val="18"/>
                <w:szCs w:val="18"/>
              </w:rPr>
              <w:t>3</w:t>
            </w:r>
            <w:r>
              <w:rPr>
                <w:rFonts w:ascii="宋体" w:hAnsi="宋体" w:cstheme="minorBidi"/>
                <w:sz w:val="18"/>
                <w:szCs w:val="18"/>
              </w:rPr>
              <w:t>.</w:t>
            </w:r>
            <w:r>
              <w:rPr>
                <w:rFonts w:ascii="Times New Roman" w:hAnsi="Times New Roman"/>
                <w:sz w:val="18"/>
                <w:szCs w:val="18"/>
              </w:rPr>
              <w:t>0</w:t>
            </w:r>
          </w:p>
        </w:tc>
        <w:tc>
          <w:tcPr>
            <w:tcW w:w="1615" w:type="pct"/>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垂线和尺量</w:t>
            </w:r>
          </w:p>
        </w:tc>
      </w:tr>
    </w:tbl>
    <w:p>
      <w:pPr>
        <w:pStyle w:val="44"/>
        <w:numPr>
          <w:ilvl w:val="0"/>
          <w:numId w:val="9"/>
        </w:numPr>
      </w:pPr>
      <w:r>
        <w:rPr>
          <w:rFonts w:hint="eastAsia"/>
        </w:rPr>
        <w:t>内隔墙安装尺寸允许偏差及检验方法，应符合表</w:t>
      </w:r>
      <w:r>
        <w:t>11</w:t>
      </w:r>
      <w:r>
        <w:rPr>
          <w:rFonts w:hint="eastAsia"/>
        </w:rPr>
        <w:t>的规定。</w:t>
      </w:r>
    </w:p>
    <w:p>
      <w:pPr>
        <w:pStyle w:val="45"/>
        <w:spacing w:before="156" w:after="156"/>
      </w:pPr>
      <w:r>
        <w:t>内隔墙安装尺寸允许偏差及检验方法</w:t>
      </w:r>
    </w:p>
    <w:tbl>
      <w:tblPr>
        <w:tblStyle w:val="32"/>
        <w:tblW w:w="5000"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15" w:type="dxa"/>
          <w:left w:w="15" w:type="dxa"/>
          <w:bottom w:w="15" w:type="dxa"/>
          <w:right w:w="15" w:type="dxa"/>
        </w:tblCellMar>
      </w:tblPr>
      <w:tblGrid>
        <w:gridCol w:w="749"/>
        <w:gridCol w:w="2535"/>
        <w:gridCol w:w="2876"/>
        <w:gridCol w:w="3214"/>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rPr>
          <w:tblHeader/>
        </w:trPr>
        <w:tc>
          <w:tcPr>
            <w:tcW w:w="0" w:type="auto"/>
            <w:tcBorders>
              <w:top w:val="single" w:color="000000" w:sz="8" w:space="0"/>
              <w:bottom w:val="single" w:color="000000" w:sz="8" w:space="0"/>
            </w:tcBorders>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项次</w:t>
            </w:r>
          </w:p>
        </w:tc>
        <w:tc>
          <w:tcPr>
            <w:tcW w:w="0" w:type="auto"/>
            <w:tcBorders>
              <w:top w:val="single" w:color="000000" w:sz="8" w:space="0"/>
              <w:bottom w:val="single" w:color="000000" w:sz="8" w:space="0"/>
            </w:tcBorders>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检验项目</w:t>
            </w:r>
          </w:p>
        </w:tc>
        <w:tc>
          <w:tcPr>
            <w:tcW w:w="0" w:type="auto"/>
            <w:tcBorders>
              <w:top w:val="single" w:color="000000" w:sz="8" w:space="0"/>
              <w:bottom w:val="single" w:color="000000" w:sz="8" w:space="0"/>
            </w:tcBorders>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允许偏差（</w:t>
            </w:r>
            <w:r>
              <w:rPr>
                <w:rFonts w:ascii="Times New Roman" w:hAnsi="Times New Roman"/>
                <w:sz w:val="18"/>
                <w:szCs w:val="18"/>
              </w:rPr>
              <w:t>mm</w:t>
            </w:r>
            <w:r>
              <w:rPr>
                <w:rFonts w:ascii="宋体" w:hAnsi="宋体" w:cstheme="minorBidi"/>
                <w:sz w:val="18"/>
                <w:szCs w:val="18"/>
              </w:rPr>
              <w:t>）</w:t>
            </w:r>
          </w:p>
        </w:tc>
        <w:tc>
          <w:tcPr>
            <w:tcW w:w="0" w:type="auto"/>
            <w:tcBorders>
              <w:top w:val="single" w:color="000000" w:sz="8" w:space="0"/>
              <w:bottom w:val="single" w:color="000000" w:sz="8" w:space="0"/>
            </w:tcBorders>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检验方法</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c>
          <w:tcPr>
            <w:tcW w:w="0" w:type="auto"/>
            <w:tcBorders>
              <w:top w:val="single" w:color="000000" w:sz="8" w:space="0"/>
            </w:tcBorders>
            <w:tcMar>
              <w:top w:w="0" w:type="dxa"/>
              <w:left w:w="0" w:type="dxa"/>
              <w:bottom w:w="0" w:type="dxa"/>
              <w:right w:w="0" w:type="dxa"/>
            </w:tcMar>
            <w:vAlign w:val="center"/>
          </w:tcPr>
          <w:p>
            <w:pPr>
              <w:adjustRightInd/>
              <w:spacing w:line="240" w:lineRule="auto"/>
              <w:jc w:val="center"/>
              <w:rPr>
                <w:rFonts w:ascii="Times New Roman" w:hAnsi="Times New Roman"/>
                <w:sz w:val="18"/>
                <w:szCs w:val="18"/>
              </w:rPr>
            </w:pPr>
            <w:r>
              <w:rPr>
                <w:rFonts w:ascii="Times New Roman" w:hAnsi="Times New Roman"/>
                <w:sz w:val="18"/>
                <w:szCs w:val="18"/>
              </w:rPr>
              <w:t>1</w:t>
            </w:r>
          </w:p>
        </w:tc>
        <w:tc>
          <w:tcPr>
            <w:tcW w:w="0" w:type="auto"/>
            <w:tcBorders>
              <w:top w:val="single" w:color="000000" w:sz="8" w:space="0"/>
            </w:tcBorders>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墙面轴线位置</w:t>
            </w:r>
          </w:p>
        </w:tc>
        <w:tc>
          <w:tcPr>
            <w:tcW w:w="0" w:type="auto"/>
            <w:tcBorders>
              <w:top w:val="single" w:color="000000" w:sz="8" w:space="0"/>
            </w:tcBorders>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Times New Roman" w:hAnsi="Times New Roman"/>
                <w:sz w:val="18"/>
                <w:szCs w:val="18"/>
              </w:rPr>
              <w:t>3</w:t>
            </w:r>
            <w:r>
              <w:rPr>
                <w:rFonts w:ascii="宋体" w:hAnsi="宋体" w:cstheme="minorBidi"/>
                <w:sz w:val="18"/>
                <w:szCs w:val="18"/>
              </w:rPr>
              <w:t>.</w:t>
            </w:r>
            <w:r>
              <w:rPr>
                <w:rFonts w:ascii="Times New Roman" w:hAnsi="Times New Roman"/>
                <w:sz w:val="18"/>
                <w:szCs w:val="18"/>
              </w:rPr>
              <w:t>0</w:t>
            </w:r>
          </w:p>
        </w:tc>
        <w:tc>
          <w:tcPr>
            <w:tcW w:w="0" w:type="auto"/>
            <w:tcBorders>
              <w:top w:val="single" w:color="000000" w:sz="8" w:space="0"/>
            </w:tcBorders>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经纬拉线、尺量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c>
          <w:tcPr>
            <w:tcW w:w="0" w:type="auto"/>
            <w:tcMar>
              <w:top w:w="0" w:type="dxa"/>
              <w:left w:w="0" w:type="dxa"/>
              <w:bottom w:w="0" w:type="dxa"/>
              <w:right w:w="0" w:type="dxa"/>
            </w:tcMar>
            <w:vAlign w:val="center"/>
          </w:tcPr>
          <w:p>
            <w:pPr>
              <w:adjustRightInd/>
              <w:spacing w:line="240" w:lineRule="auto"/>
              <w:jc w:val="center"/>
              <w:rPr>
                <w:rFonts w:ascii="Times New Roman" w:hAnsi="Times New Roman"/>
                <w:sz w:val="18"/>
                <w:szCs w:val="18"/>
              </w:rPr>
            </w:pPr>
            <w:r>
              <w:rPr>
                <w:rFonts w:ascii="Times New Roman" w:hAnsi="Times New Roman"/>
                <w:sz w:val="18"/>
                <w:szCs w:val="18"/>
              </w:rPr>
              <w:t>2</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层间墙面垂直度</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Times New Roman" w:hAnsi="Times New Roman"/>
                <w:sz w:val="18"/>
                <w:szCs w:val="18"/>
              </w:rPr>
              <w:t>3</w:t>
            </w:r>
            <w:r>
              <w:rPr>
                <w:rFonts w:ascii="宋体" w:hAnsi="宋体" w:cstheme="minorBidi"/>
                <w:sz w:val="18"/>
                <w:szCs w:val="18"/>
              </w:rPr>
              <w:t>.</w:t>
            </w:r>
            <w:r>
              <w:rPr>
                <w:rFonts w:ascii="Times New Roman" w:hAnsi="Times New Roman"/>
                <w:sz w:val="18"/>
                <w:szCs w:val="18"/>
              </w:rPr>
              <w:t>0</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Times New Roman" w:hAnsi="Times New Roman"/>
                <w:sz w:val="18"/>
                <w:szCs w:val="18"/>
              </w:rPr>
              <w:t>2m</w:t>
            </w:r>
            <w:r>
              <w:rPr>
                <w:rFonts w:ascii="宋体" w:hAnsi="宋体" w:cstheme="minorBidi"/>
                <w:sz w:val="18"/>
                <w:szCs w:val="18"/>
              </w:rPr>
              <w:t>托线板、吊垂线</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c>
          <w:tcPr>
            <w:tcW w:w="0" w:type="auto"/>
            <w:tcMar>
              <w:top w:w="0" w:type="dxa"/>
              <w:left w:w="0" w:type="dxa"/>
              <w:bottom w:w="0" w:type="dxa"/>
              <w:right w:w="0" w:type="dxa"/>
            </w:tcMar>
            <w:vAlign w:val="center"/>
          </w:tcPr>
          <w:p>
            <w:pPr>
              <w:adjustRightInd/>
              <w:spacing w:line="240" w:lineRule="auto"/>
              <w:jc w:val="center"/>
              <w:rPr>
                <w:rFonts w:ascii="Times New Roman" w:hAnsi="Times New Roman"/>
                <w:sz w:val="18"/>
                <w:szCs w:val="18"/>
              </w:rPr>
            </w:pPr>
            <w:r>
              <w:rPr>
                <w:rFonts w:ascii="Times New Roman" w:hAnsi="Times New Roman"/>
                <w:sz w:val="18"/>
                <w:szCs w:val="18"/>
              </w:rPr>
              <w:t>3</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板缝垂直度</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Times New Roman" w:hAnsi="Times New Roman"/>
                <w:sz w:val="18"/>
                <w:szCs w:val="18"/>
              </w:rPr>
              <w:t>3</w:t>
            </w:r>
            <w:r>
              <w:rPr>
                <w:rFonts w:ascii="宋体" w:hAnsi="宋体" w:cstheme="minorBidi"/>
                <w:sz w:val="18"/>
                <w:szCs w:val="18"/>
              </w:rPr>
              <w:t>.</w:t>
            </w:r>
            <w:r>
              <w:rPr>
                <w:rFonts w:ascii="Times New Roman" w:hAnsi="Times New Roman"/>
                <w:sz w:val="18"/>
                <w:szCs w:val="18"/>
              </w:rPr>
              <w:t>0</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Times New Roman" w:hAnsi="Times New Roman"/>
                <w:sz w:val="18"/>
                <w:szCs w:val="18"/>
              </w:rPr>
              <w:t>2m</w:t>
            </w:r>
            <w:r>
              <w:rPr>
                <w:rFonts w:ascii="宋体" w:hAnsi="宋体" w:cstheme="minorBidi"/>
                <w:sz w:val="18"/>
                <w:szCs w:val="18"/>
              </w:rPr>
              <w:t>托线板、吊垂线</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c>
          <w:tcPr>
            <w:tcW w:w="0" w:type="auto"/>
            <w:tcMar>
              <w:top w:w="0" w:type="dxa"/>
              <w:left w:w="0" w:type="dxa"/>
              <w:bottom w:w="0" w:type="dxa"/>
              <w:right w:w="0" w:type="dxa"/>
            </w:tcMar>
            <w:vAlign w:val="center"/>
          </w:tcPr>
          <w:p>
            <w:pPr>
              <w:adjustRightInd/>
              <w:spacing w:line="240" w:lineRule="auto"/>
              <w:jc w:val="center"/>
              <w:rPr>
                <w:rFonts w:ascii="Times New Roman" w:hAnsi="Times New Roman"/>
                <w:sz w:val="18"/>
                <w:szCs w:val="18"/>
              </w:rPr>
            </w:pPr>
            <w:r>
              <w:rPr>
                <w:rFonts w:ascii="Times New Roman" w:hAnsi="Times New Roman"/>
                <w:sz w:val="18"/>
                <w:szCs w:val="18"/>
              </w:rPr>
              <w:t>4</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板缝水平度</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Times New Roman" w:hAnsi="Times New Roman"/>
                <w:sz w:val="18"/>
                <w:szCs w:val="18"/>
              </w:rPr>
              <w:t>3</w:t>
            </w:r>
            <w:r>
              <w:rPr>
                <w:rFonts w:ascii="宋体" w:hAnsi="宋体" w:cstheme="minorBidi"/>
                <w:sz w:val="18"/>
                <w:szCs w:val="18"/>
              </w:rPr>
              <w:t>.</w:t>
            </w:r>
            <w:r>
              <w:rPr>
                <w:rFonts w:ascii="Times New Roman" w:hAnsi="Times New Roman"/>
                <w:sz w:val="18"/>
                <w:szCs w:val="18"/>
              </w:rPr>
              <w:t>0</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拉线、尺量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c>
          <w:tcPr>
            <w:tcW w:w="0" w:type="auto"/>
            <w:tcMar>
              <w:top w:w="0" w:type="dxa"/>
              <w:left w:w="0" w:type="dxa"/>
              <w:bottom w:w="0" w:type="dxa"/>
              <w:right w:w="0" w:type="dxa"/>
            </w:tcMar>
            <w:vAlign w:val="center"/>
          </w:tcPr>
          <w:p>
            <w:pPr>
              <w:adjustRightInd/>
              <w:spacing w:line="240" w:lineRule="auto"/>
              <w:jc w:val="center"/>
              <w:rPr>
                <w:rFonts w:ascii="Times New Roman" w:hAnsi="Times New Roman"/>
                <w:sz w:val="18"/>
                <w:szCs w:val="18"/>
              </w:rPr>
            </w:pPr>
            <w:r>
              <w:rPr>
                <w:rFonts w:ascii="Times New Roman" w:hAnsi="Times New Roman"/>
                <w:sz w:val="18"/>
                <w:szCs w:val="18"/>
              </w:rPr>
              <w:t>5</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表面平整度</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Times New Roman" w:hAnsi="Times New Roman"/>
                <w:sz w:val="18"/>
                <w:szCs w:val="18"/>
              </w:rPr>
              <w:t>2</w:t>
            </w:r>
            <w:r>
              <w:rPr>
                <w:rFonts w:ascii="宋体" w:hAnsi="宋体" w:cstheme="minorBidi"/>
                <w:sz w:val="18"/>
                <w:szCs w:val="18"/>
              </w:rPr>
              <w:t>.</w:t>
            </w:r>
            <w:r>
              <w:rPr>
                <w:rFonts w:ascii="Times New Roman" w:hAnsi="Times New Roman"/>
                <w:sz w:val="18"/>
                <w:szCs w:val="18"/>
              </w:rPr>
              <w:t>0</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Times New Roman" w:hAnsi="Times New Roman"/>
                <w:sz w:val="18"/>
                <w:szCs w:val="18"/>
              </w:rPr>
              <w:t>2m</w:t>
            </w:r>
            <w:r>
              <w:rPr>
                <w:rFonts w:ascii="宋体" w:hAnsi="宋体" w:cstheme="minorBidi"/>
                <w:sz w:val="18"/>
                <w:szCs w:val="18"/>
              </w:rPr>
              <w:t>靠尺、塞尺</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15" w:type="dxa"/>
            <w:left w:w="15" w:type="dxa"/>
            <w:bottom w:w="15" w:type="dxa"/>
            <w:right w:w="15" w:type="dxa"/>
          </w:tblCellMar>
        </w:tblPrEx>
        <w:tc>
          <w:tcPr>
            <w:tcW w:w="0" w:type="auto"/>
            <w:tcMar>
              <w:top w:w="0" w:type="dxa"/>
              <w:left w:w="0" w:type="dxa"/>
              <w:bottom w:w="0" w:type="dxa"/>
              <w:right w:w="0" w:type="dxa"/>
            </w:tcMar>
            <w:vAlign w:val="center"/>
          </w:tcPr>
          <w:p>
            <w:pPr>
              <w:adjustRightInd/>
              <w:spacing w:line="240" w:lineRule="auto"/>
              <w:jc w:val="center"/>
              <w:rPr>
                <w:rFonts w:ascii="Times New Roman" w:hAnsi="Times New Roman"/>
                <w:sz w:val="18"/>
                <w:szCs w:val="18"/>
              </w:rPr>
            </w:pPr>
            <w:r>
              <w:rPr>
                <w:rFonts w:ascii="Times New Roman" w:hAnsi="Times New Roman"/>
                <w:sz w:val="18"/>
                <w:szCs w:val="18"/>
              </w:rPr>
              <w:t>6</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拼缝误差</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Times New Roman" w:hAnsi="Times New Roman"/>
                <w:sz w:val="18"/>
                <w:szCs w:val="18"/>
              </w:rPr>
              <w:t>1</w:t>
            </w:r>
            <w:r>
              <w:rPr>
                <w:rFonts w:ascii="宋体" w:hAnsi="宋体" w:cstheme="minorBidi"/>
                <w:sz w:val="18"/>
                <w:szCs w:val="18"/>
              </w:rPr>
              <w:t>.</w:t>
            </w:r>
            <w:r>
              <w:rPr>
                <w:rFonts w:ascii="Times New Roman" w:hAnsi="Times New Roman"/>
                <w:sz w:val="18"/>
                <w:szCs w:val="18"/>
              </w:rPr>
              <w:t>0</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尺量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c>
          <w:tcPr>
            <w:tcW w:w="0" w:type="auto"/>
            <w:tcMar>
              <w:top w:w="0" w:type="dxa"/>
              <w:left w:w="0" w:type="dxa"/>
              <w:bottom w:w="0" w:type="dxa"/>
              <w:right w:w="0" w:type="dxa"/>
            </w:tcMar>
            <w:vAlign w:val="center"/>
          </w:tcPr>
          <w:p>
            <w:pPr>
              <w:adjustRightInd/>
              <w:spacing w:line="240" w:lineRule="auto"/>
              <w:jc w:val="center"/>
              <w:rPr>
                <w:rFonts w:ascii="Times New Roman" w:hAnsi="Times New Roman"/>
                <w:sz w:val="18"/>
                <w:szCs w:val="18"/>
              </w:rPr>
            </w:pPr>
            <w:r>
              <w:rPr>
                <w:rFonts w:ascii="Times New Roman" w:hAnsi="Times New Roman"/>
                <w:sz w:val="18"/>
                <w:szCs w:val="18"/>
              </w:rPr>
              <w:t>7</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洞口位移</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w:t>
            </w:r>
            <w:r>
              <w:rPr>
                <w:rFonts w:ascii="Times New Roman" w:hAnsi="Times New Roman"/>
                <w:sz w:val="18"/>
                <w:szCs w:val="18"/>
              </w:rPr>
              <w:t>3</w:t>
            </w:r>
            <w:r>
              <w:rPr>
                <w:rFonts w:ascii="宋体" w:hAnsi="宋体" w:cstheme="minorBidi"/>
                <w:sz w:val="18"/>
                <w:szCs w:val="18"/>
              </w:rPr>
              <w:t>.</w:t>
            </w:r>
            <w:r>
              <w:rPr>
                <w:rFonts w:ascii="Times New Roman" w:hAnsi="Times New Roman"/>
                <w:sz w:val="18"/>
                <w:szCs w:val="18"/>
              </w:rPr>
              <w:t>0</w:t>
            </w:r>
          </w:p>
        </w:tc>
        <w:tc>
          <w:tcPr>
            <w:tcW w:w="0" w:type="auto"/>
            <w:tcMar>
              <w:top w:w="0" w:type="dxa"/>
              <w:left w:w="0" w:type="dxa"/>
              <w:bottom w:w="0" w:type="dxa"/>
              <w:right w:w="0" w:type="dxa"/>
            </w:tcMar>
            <w:vAlign w:val="center"/>
          </w:tcPr>
          <w:p>
            <w:pPr>
              <w:adjustRightInd/>
              <w:spacing w:line="240" w:lineRule="auto"/>
              <w:jc w:val="center"/>
              <w:rPr>
                <w:rFonts w:ascii="宋体" w:hAnsi="宋体" w:cstheme="minorBidi"/>
                <w:sz w:val="18"/>
                <w:szCs w:val="18"/>
              </w:rPr>
            </w:pPr>
            <w:r>
              <w:rPr>
                <w:rFonts w:ascii="宋体" w:hAnsi="宋体" w:cstheme="minorBidi"/>
                <w:sz w:val="18"/>
                <w:szCs w:val="18"/>
              </w:rPr>
              <w:t>尺量</w:t>
            </w:r>
          </w:p>
        </w:tc>
      </w:tr>
    </w:tbl>
    <w:p>
      <w:pPr>
        <w:pStyle w:val="46"/>
      </w:pPr>
      <w:r>
        <w:rPr>
          <w:rFonts w:hint="eastAsia"/>
        </w:rPr>
        <w:t>墙体、楼板和门窗安装质量检验应符合下列规定：</w:t>
      </w:r>
    </w:p>
    <w:p>
      <w:pPr>
        <w:pStyle w:val="44"/>
        <w:numPr>
          <w:ilvl w:val="0"/>
          <w:numId w:val="136"/>
        </w:numPr>
      </w:pPr>
      <w:r>
        <w:rPr>
          <w:rFonts w:hint="eastAsia"/>
        </w:rPr>
        <w:t>应实测墙体、楼板的隔声参数数值以及楼板的自振频率；</w:t>
      </w:r>
    </w:p>
    <w:p>
      <w:pPr>
        <w:pStyle w:val="44"/>
        <w:numPr>
          <w:ilvl w:val="0"/>
          <w:numId w:val="136"/>
        </w:numPr>
      </w:pPr>
      <w:r>
        <w:rPr>
          <w:rFonts w:hint="eastAsia"/>
        </w:rPr>
        <w:t>应实测外墙及门窗的传热系数；</w:t>
      </w:r>
    </w:p>
    <w:p>
      <w:pPr>
        <w:pStyle w:val="44"/>
        <w:numPr>
          <w:ilvl w:val="0"/>
          <w:numId w:val="136"/>
        </w:numPr>
      </w:pPr>
      <w:r>
        <w:rPr>
          <w:rFonts w:hint="eastAsia"/>
        </w:rPr>
        <w:t>上述实测数值应符合设计规定。</w:t>
      </w:r>
    </w:p>
    <w:p>
      <w:pPr>
        <w:pStyle w:val="46"/>
      </w:pPr>
      <w:r>
        <w:rPr>
          <w:rFonts w:hint="eastAsia"/>
        </w:rPr>
        <w:t>分项工程质量检验应符合下列规定：</w:t>
      </w:r>
    </w:p>
    <w:p>
      <w:pPr>
        <w:pStyle w:val="44"/>
        <w:numPr>
          <w:ilvl w:val="0"/>
          <w:numId w:val="137"/>
        </w:numPr>
      </w:pPr>
      <w:r>
        <w:rPr>
          <w:rFonts w:hint="eastAsia"/>
        </w:rPr>
        <w:t>各检验批应质量验收合格且质量验收文件齐全；</w:t>
      </w:r>
    </w:p>
    <w:p>
      <w:pPr>
        <w:pStyle w:val="44"/>
        <w:numPr>
          <w:ilvl w:val="0"/>
          <w:numId w:val="137"/>
        </w:numPr>
      </w:pPr>
      <w:r>
        <w:rPr>
          <w:rFonts w:hint="eastAsia"/>
        </w:rPr>
        <w:t>观感质量验收应合格；</w:t>
      </w:r>
    </w:p>
    <w:p>
      <w:pPr>
        <w:pStyle w:val="44"/>
        <w:numPr>
          <w:ilvl w:val="0"/>
          <w:numId w:val="137"/>
        </w:numPr>
      </w:pPr>
      <w:r>
        <w:rPr>
          <w:rFonts w:hint="eastAsia"/>
        </w:rPr>
        <w:t>结构材料进场检验资料应齐全，并应符合设计要求。</w:t>
      </w:r>
    </w:p>
    <w:p>
      <w:pPr>
        <w:pStyle w:val="46"/>
      </w:pPr>
      <w:r>
        <w:rPr>
          <w:rFonts w:hint="eastAsia"/>
        </w:rPr>
        <w:t>检测机构与人员应符合下列规定：</w:t>
      </w:r>
    </w:p>
    <w:p>
      <w:pPr>
        <w:pStyle w:val="39"/>
        <w:ind w:firstLine="420"/>
        <w:rPr>
          <w:rFonts w:ascii="Times New Roman"/>
        </w:rPr>
      </w:pPr>
      <w:r>
        <w:rPr>
          <w:rFonts w:hint="eastAsia" w:ascii="Times New Roman"/>
        </w:rPr>
        <w:t>检测机构应具有相应资质，检测人员应持证上岗，检测仪器设备应在检定有效期内。</w:t>
      </w:r>
    </w:p>
    <w:p>
      <w:pPr>
        <w:pStyle w:val="42"/>
        <w:spacing w:before="156" w:after="156"/>
      </w:pPr>
      <w:bookmarkStart w:id="213" w:name="_Toc241506583"/>
      <w:r>
        <w:rPr>
          <w:rFonts w:hint="eastAsia"/>
        </w:rPr>
        <w:t>质量验收</w:t>
      </w:r>
      <w:bookmarkEnd w:id="213"/>
    </w:p>
    <w:p>
      <w:pPr>
        <w:pStyle w:val="46"/>
      </w:pPr>
      <w:r>
        <w:rPr>
          <w:rFonts w:hint="eastAsia" w:ascii="Times New Roman" w:hAnsi="Times New Roman" w:cs="Times New Roman"/>
        </w:rPr>
        <w:t>一般规定</w:t>
      </w:r>
    </w:p>
    <w:p>
      <w:pPr>
        <w:pStyle w:val="44"/>
        <w:numPr>
          <w:ilvl w:val="0"/>
          <w:numId w:val="138"/>
        </w:numPr>
      </w:pPr>
      <w:r>
        <w:rPr>
          <w:rFonts w:hint="eastAsia"/>
        </w:rPr>
        <w:t>钢结构装配式住宅工程质量验收，技术判定应执行GB 50300、GB 50205、GB/T 51232、GB 55032等国家现行工程建设标准及湖北省装配式建筑地方标准；验收组织程序、数字化管控、质量追溯、分户验收及竣工专项核查等管理工作应执行省级管理文件。本规程在国家及省级通用标准基础上，细化钢结构装配式住宅专项验收技术要求，统一省内专项验收技术尺度；</w:t>
      </w:r>
    </w:p>
    <w:p>
      <w:pPr>
        <w:pStyle w:val="44"/>
        <w:numPr>
          <w:ilvl w:val="0"/>
          <w:numId w:val="138"/>
        </w:numPr>
      </w:pPr>
      <w:r>
        <w:rPr>
          <w:rFonts w:hint="eastAsia"/>
        </w:rPr>
        <w:t>本节立足钢结构装配式住宅专业特性，补齐通用标准针对性不足，细化节点连接、围护防水、防腐耐久、部品集成、智能数字化验收等专项管控要求。本规程规定的验收指标不得低于国家及湖北省现行工程建设标准，构建适配湖北省钢结构装配式住宅的专项验收技术体系；</w:t>
      </w:r>
    </w:p>
    <w:p>
      <w:pPr>
        <w:pStyle w:val="44"/>
        <w:numPr>
          <w:ilvl w:val="0"/>
          <w:numId w:val="138"/>
        </w:numPr>
      </w:pPr>
      <w:r>
        <w:rPr>
          <w:rFonts w:hint="eastAsia"/>
        </w:rPr>
        <w:t>钢结构装配式住宅质量验收实行全过程闭环管控，覆盖部品部件进场核验、隐蔽工程验收、系统性能验收、装配式专项核查及竣工联合验收，落实部品部件全链条可追溯、BIM数字化验收归档管理要求；验收资料应同步形成电子档案；</w:t>
      </w:r>
    </w:p>
    <w:p>
      <w:pPr>
        <w:pStyle w:val="44"/>
        <w:numPr>
          <w:ilvl w:val="0"/>
          <w:numId w:val="138"/>
        </w:numPr>
      </w:pPr>
      <w:r>
        <w:rPr>
          <w:rFonts w:hint="eastAsia"/>
        </w:rPr>
        <w:t>对于新型钢结构连接节点、模块化装配构造、新型围护及内装集成部品，暂无国家、行业标准明确验收依据的，由建设单位组织设计、施工、监理及相关专业专家开展专项技术论证，确定验收方法与判定标准，论证文件经各方签字确认后作为验收依据，并报项目工程质量监督机构备案。备案不代表工程质量监督机构对论证结论予以认可。</w:t>
      </w:r>
    </w:p>
    <w:p>
      <w:pPr>
        <w:pStyle w:val="44"/>
        <w:numPr>
          <w:ilvl w:val="0"/>
          <w:numId w:val="138"/>
        </w:numPr>
      </w:pPr>
      <w:r>
        <w:rPr>
          <w:rFonts w:hint="eastAsia"/>
        </w:rPr>
        <w:t>部品部件进场检验、实体质量验收不合格的，不得进入下道工序；装配式专项核查不合格的项目，不得组织竣工联合验收。</w:t>
      </w:r>
    </w:p>
    <w:p>
      <w:pPr>
        <w:pStyle w:val="46"/>
      </w:pPr>
      <w:r>
        <w:rPr>
          <w:rFonts w:hint="eastAsia"/>
        </w:rPr>
        <w:t>验收划分与验收组织</w:t>
      </w:r>
    </w:p>
    <w:p>
      <w:pPr>
        <w:pStyle w:val="44"/>
        <w:numPr>
          <w:ilvl w:val="0"/>
          <w:numId w:val="139"/>
        </w:numPr>
      </w:pPr>
      <w:r>
        <w:rPr>
          <w:rFonts w:hint="eastAsia"/>
        </w:rPr>
        <w:t>钢结构装配式住宅分部、子分部、分项工程划分，除应符合GB 50300、GB 50205规定外，装配式专项内容应增设对应的分项检验项目。分项、子分部、分部工程质量验收的组织形式、参与单位、监督管理及验收流程，应遵照湖北省相关管理规定执行；由建设单位牵头组织，设计、施工、监理、预制构件生产单位共同参与，工程质量监督机构对验收全过程实施监督；</w:t>
      </w:r>
    </w:p>
    <w:p>
      <w:pPr>
        <w:pStyle w:val="44"/>
        <w:numPr>
          <w:ilvl w:val="0"/>
          <w:numId w:val="139"/>
        </w:numPr>
      </w:pPr>
      <w:r>
        <w:rPr>
          <w:rFonts w:hint="eastAsia"/>
        </w:rPr>
        <w:t>验收应遵循先专项、后综合的程序，依次开展装配式部品部件质量核验、结构系统专项验收、外围护系统专项验收、设备管线系统专项验收、装配式内装系统专项验收；完成实体质量专项验收合格后，开展装配式建筑装配率专项核查；所有实体专项验收合格、装配率核查达标，方可组织工程竣工验收。装配率专项核查属于装配式政策落实核查项，不属于工程实体质量验收分项；</w:t>
      </w:r>
    </w:p>
    <w:p>
      <w:pPr>
        <w:pStyle w:val="44"/>
        <w:numPr>
          <w:ilvl w:val="0"/>
          <w:numId w:val="139"/>
        </w:numPr>
      </w:pPr>
      <w:r>
        <w:rPr>
          <w:rFonts w:hint="eastAsia"/>
        </w:rPr>
        <w:t>建设单位应严格落实工程质量首要责任，全面执行湖北省相关管理规定，在竣工验收前组织开展钢结构装配式住宅分户质量验收；结合全省“好房子”建设专项要求，重点核查结构安全、防水防渗、隔声节能、室内环境质量、居住舒适度等关键品质指标，提升住宅工程综合质量水平；分户验收记录作为竣工验收必备资料。</w:t>
      </w:r>
    </w:p>
    <w:p>
      <w:pPr>
        <w:pStyle w:val="46"/>
      </w:pPr>
      <w:r>
        <w:rPr>
          <w:rFonts w:hint="eastAsia"/>
        </w:rPr>
        <w:t>部品部件质量验收</w:t>
      </w:r>
    </w:p>
    <w:p>
      <w:pPr>
        <w:pStyle w:val="44"/>
        <w:numPr>
          <w:ilvl w:val="0"/>
          <w:numId w:val="140"/>
        </w:numPr>
      </w:pPr>
      <w:r>
        <w:rPr>
          <w:rFonts w:hint="eastAsia"/>
        </w:rPr>
        <w:t>钢构件、预制围护部品、装配式内装集成部品、模块化设备管线部品进场验收时，应核查产品合格证、出厂检验报告、型式检验报告、构件唯一标识及追溯台账；构件唯一标识应包含生产单位、型号、生产批次、安装位置编码，追溯台账应可关联出厂资料、进场检验记录。资料完整、性能指标符合标准及设计要求，方可验收准入。不合格部品部件应按规定退场，严禁使用；</w:t>
      </w:r>
    </w:p>
    <w:p>
      <w:pPr>
        <w:pStyle w:val="44"/>
        <w:numPr>
          <w:ilvl w:val="0"/>
          <w:numId w:val="140"/>
        </w:numPr>
      </w:pPr>
      <w:r>
        <w:rPr>
          <w:rFonts w:hint="eastAsia"/>
        </w:rPr>
        <w:t>构件标准化、接口通用化质量应纳入验收核心核查内容，落实</w:t>
      </w:r>
      <w:bookmarkStart w:id="214" w:name="OLE_LINK10"/>
      <w:bookmarkStart w:id="215" w:name="OLE_LINK2"/>
      <w:r>
        <w:rPr>
          <w:rFonts w:hint="eastAsia"/>
        </w:rPr>
        <w:t>湖北省相关政策要求</w:t>
      </w:r>
      <w:bookmarkEnd w:id="214"/>
      <w:bookmarkEnd w:id="215"/>
      <w:r>
        <w:rPr>
          <w:rFonts w:hint="eastAsia"/>
        </w:rPr>
        <w:t>；依据湖北省有关全过程构件追溯与实体质量管控规定，重点核查钢结构节点拼接精度、防腐防火涂层完整性、密封构造可靠性，满足本省高湿多雨气候条件下结构耐久、防水抗渗使用要求。接口尺寸公差应纳入进场检验项目。</w:t>
      </w:r>
    </w:p>
    <w:p>
      <w:pPr>
        <w:pStyle w:val="46"/>
      </w:pPr>
      <w:r>
        <w:rPr>
          <w:rFonts w:hint="eastAsia"/>
        </w:rPr>
        <w:t>结构系统质量验收</w:t>
      </w:r>
    </w:p>
    <w:p>
      <w:pPr>
        <w:pStyle w:val="44"/>
        <w:numPr>
          <w:ilvl w:val="0"/>
          <w:numId w:val="141"/>
        </w:numPr>
      </w:pPr>
      <w:r>
        <w:rPr>
          <w:rFonts w:hint="eastAsia"/>
        </w:rPr>
        <w:t>钢结构主体连接节点、高强度螺栓连接、焊接质量、防腐防火保护、隐蔽工程构造的验收记录应完整；实体质量按现行标准规定抽样检验，隐蔽构造应全数检查。安装精度、节点构造应满足装配式钢结构住宅安全耐久及标准化建造要求；</w:t>
      </w:r>
    </w:p>
    <w:p>
      <w:pPr>
        <w:pStyle w:val="44"/>
        <w:numPr>
          <w:ilvl w:val="0"/>
          <w:numId w:val="141"/>
        </w:numPr>
      </w:pPr>
      <w:r>
        <w:rPr>
          <w:rFonts w:hint="eastAsia"/>
        </w:rPr>
        <w:t>结构系统验收应同步校核BIM竣工模型与实体工程一致性，严格落实湖北省绿色智能建造数字化管控政策要求；BIM竣工模型深度、信息粒度应满足湖北省智能建造数字化交付要求，执行湖北省装配式建筑数字化验收、动态更新、模型归档管理规定，实现质量验收全过程可追溯、可复盘。</w:t>
      </w:r>
    </w:p>
    <w:p>
      <w:pPr>
        <w:pStyle w:val="46"/>
      </w:pPr>
      <w:r>
        <w:rPr>
          <w:rFonts w:hint="eastAsia"/>
        </w:rPr>
        <w:t>外围护系统质量验收</w:t>
      </w:r>
    </w:p>
    <w:p>
      <w:pPr>
        <w:pStyle w:val="39"/>
        <w:ind w:firstLine="420"/>
      </w:pPr>
      <w:r>
        <w:rPr>
          <w:rFonts w:hint="eastAsia"/>
        </w:rPr>
        <w:t>预制保温一体化外墙、墙板接缝防水、密封构造、排水及变形适配构造应作为主控项目验收；外墙水密性能、气密性能应进行现场抽样检测，满足湖北省区域湿热气候适配要求。</w:t>
      </w:r>
    </w:p>
    <w:p>
      <w:pPr>
        <w:pStyle w:val="46"/>
      </w:pPr>
      <w:r>
        <w:rPr>
          <w:rFonts w:hint="eastAsia"/>
        </w:rPr>
        <w:t>设备管线系统质量验收</w:t>
      </w:r>
    </w:p>
    <w:p>
      <w:pPr>
        <w:pStyle w:val="44"/>
        <w:numPr>
          <w:ilvl w:val="0"/>
          <w:numId w:val="142"/>
        </w:numPr>
      </w:pPr>
      <w:r>
        <w:rPr>
          <w:rFonts w:hint="eastAsia"/>
        </w:rPr>
        <w:t>装配式钢结构住宅管线宜采用管线分离技术；设备管线接口、支吊架固定、管线穿越围护及结构节点的密封、变形适配构造应重点检查；</w:t>
      </w:r>
    </w:p>
    <w:p>
      <w:pPr>
        <w:pStyle w:val="44"/>
        <w:numPr>
          <w:ilvl w:val="0"/>
          <w:numId w:val="142"/>
        </w:numPr>
      </w:pPr>
      <w:r>
        <w:rPr>
          <w:rFonts w:hint="eastAsia"/>
        </w:rPr>
        <w:t>设备管线安装应核查与主体结构、外围护系统协同衔接质量，管线系统性能检测应符合现行国家及地方标准，管线安装资料应同步挂接至BIM竣工模型。</w:t>
      </w:r>
    </w:p>
    <w:p>
      <w:pPr>
        <w:pStyle w:val="46"/>
      </w:pPr>
      <w:r>
        <w:rPr>
          <w:rFonts w:hint="eastAsia"/>
        </w:rPr>
        <w:t>装配式内装系统质量验收</w:t>
      </w:r>
    </w:p>
    <w:p>
      <w:pPr>
        <w:pStyle w:val="39"/>
        <w:ind w:firstLine="420"/>
      </w:pPr>
      <w:r>
        <w:rPr>
          <w:rFonts w:hint="eastAsia"/>
        </w:rPr>
        <w:t>装配式隔墙、架空地面、集成厨卫等内装系统，应核查其与主体结构、外围护系统的协同衔接、连接可靠性、密封防水及变形适配质量；内装接缝、厨卫区域防水应作为重点检查项目，保障住宅整体建造品质与使用耐久性。</w:t>
      </w:r>
    </w:p>
    <w:p>
      <w:pPr>
        <w:pStyle w:val="46"/>
      </w:pPr>
      <w:r>
        <w:rPr>
          <w:rFonts w:hint="eastAsia"/>
        </w:rPr>
        <w:t>竣工验收专项核查</w:t>
      </w:r>
    </w:p>
    <w:p>
      <w:pPr>
        <w:pStyle w:val="44"/>
        <w:numPr>
          <w:ilvl w:val="0"/>
          <w:numId w:val="143"/>
        </w:numPr>
      </w:pPr>
      <w:r>
        <w:rPr>
          <w:rFonts w:hint="eastAsia"/>
        </w:rPr>
        <w:t>工程竣工验收阶段，除执行国家现行标准常规验收内容外，须依据省级监管政策，专项核查装配式建筑装配率达标情况、部品部件全流程追溯台账、全过程BIM验收归档资料、智能建造实施记录，上述内容作为湖北省钢结构装配式住宅竣工验收必备核查项。</w:t>
      </w:r>
      <w:bookmarkEnd w:id="210"/>
    </w:p>
    <w:p>
      <w:pPr>
        <w:pStyle w:val="44"/>
        <w:numPr>
          <w:ilvl w:val="0"/>
          <w:numId w:val="143"/>
        </w:numPr>
      </w:pPr>
      <w:r>
        <w:rPr>
          <w:rFonts w:hint="eastAsia"/>
        </w:rPr>
        <w:t>所有装配式专项验收资料、数字化验收资料、性能检测报告应统一归档，纳入工程竣工联合验收体系；装配式专项核查不合格的项目，不得组织竣工联合验收。</w:t>
      </w:r>
    </w:p>
    <w:p>
      <w:pPr>
        <w:pStyle w:val="41"/>
        <w:spacing w:before="312" w:after="312"/>
      </w:pPr>
      <w:bookmarkStart w:id="216" w:name="_Toc241506584"/>
      <w:bookmarkStart w:id="217" w:name="_Toc5641"/>
      <w:r>
        <w:rPr>
          <w:rFonts w:hint="eastAsia"/>
        </w:rPr>
        <w:t>绿色智能建造</w:t>
      </w:r>
      <w:bookmarkEnd w:id="216"/>
      <w:bookmarkEnd w:id="217"/>
    </w:p>
    <w:p>
      <w:pPr>
        <w:pStyle w:val="42"/>
        <w:spacing w:before="156" w:after="156"/>
      </w:pPr>
      <w:bookmarkStart w:id="218" w:name="_Toc241506585"/>
      <w:r>
        <w:rPr>
          <w:rFonts w:hint="eastAsia"/>
        </w:rPr>
        <w:t>一般规定</w:t>
      </w:r>
      <w:bookmarkEnd w:id="218"/>
    </w:p>
    <w:p>
      <w:pPr>
        <w:pStyle w:val="46"/>
      </w:pPr>
      <w:r>
        <w:rPr>
          <w:rFonts w:hint="eastAsia"/>
        </w:rPr>
        <w:t>钢结构装配式住宅应贯彻绿色智能建造理念，以工业化为基础，融合数字化、网络化、智能化技术，实现设计、生产、施工、运维全过程绿色化、数字化协同与精益化管理。</w:t>
      </w:r>
    </w:p>
    <w:p>
      <w:pPr>
        <w:pStyle w:val="46"/>
      </w:pPr>
      <w:r>
        <w:rPr>
          <w:rFonts w:hint="eastAsia"/>
        </w:rPr>
        <w:t>绿色智能建造应采用建筑信息模型（BIM）技术作为核心数据载体，建立贯穿勘察、设计、生产、施工、验收、运维、消纳等环节的数据贯通机制，确保数据同源、可追溯。BIM模型数据应遵循湖北省工程建设管理BIM云平台的数据标准，项目数据应接入湖北省绿色智能建造产业互联网平台，实现与行业监管和服务平台的数据互通。</w:t>
      </w:r>
    </w:p>
    <w:p>
      <w:pPr>
        <w:pStyle w:val="46"/>
      </w:pPr>
      <w:r>
        <w:rPr>
          <w:rFonts w:hint="eastAsia"/>
        </w:rPr>
        <w:t>数字化管理平台应集成设计、生产、施工、运维等阶段数据，推动产业互联网与大数据、人工智能等技术融合应用，实现多参与方协同与资源优化配置。</w:t>
      </w:r>
    </w:p>
    <w:p>
      <w:pPr>
        <w:pStyle w:val="46"/>
      </w:pPr>
      <w:r>
        <w:rPr>
          <w:rFonts w:hint="eastAsia"/>
        </w:rPr>
        <w:t>绿色智能建造应体现节能、节材、节水、节地、环保（“四节一环保”）要求，通过智能化手段优化建造过程，降低碳排放，提升建筑全生命期的绿色性能。</w:t>
      </w:r>
    </w:p>
    <w:p>
      <w:pPr>
        <w:pStyle w:val="46"/>
      </w:pPr>
      <w:r>
        <w:rPr>
          <w:rFonts w:hint="eastAsia"/>
        </w:rPr>
        <w:t>鼓励采用人工智能算法、数字孪生、建筑机器人、智能装备等先进技术，提升建造效率与质量，减少人工干预，实现少人化、无人化作业场景。</w:t>
      </w:r>
    </w:p>
    <w:p>
      <w:pPr>
        <w:pStyle w:val="42"/>
        <w:spacing w:before="156" w:after="156"/>
      </w:pPr>
      <w:bookmarkStart w:id="219" w:name="_Toc241506586"/>
      <w:r>
        <w:rPr>
          <w:rFonts w:hint="eastAsia"/>
        </w:rPr>
        <w:t>数字化协同设计</w:t>
      </w:r>
      <w:bookmarkEnd w:id="219"/>
    </w:p>
    <w:p>
      <w:pPr>
        <w:pStyle w:val="46"/>
      </w:pPr>
      <w:r>
        <w:rPr>
          <w:rFonts w:hint="eastAsia"/>
        </w:rPr>
        <w:t>钢结构装配式住宅设计宜采用正向设计方法，以BIM、AI等数据模型为载体，实现工程项目设计成果的数字化交付，促进项目全专业、各参与方之间数据的高效传递和共享。宜采用面向制造和装配的设计（DFMA）方法，使设计成果更好地适配工厂生产和现场装配。</w:t>
      </w:r>
    </w:p>
    <w:p>
      <w:pPr>
        <w:pStyle w:val="46"/>
      </w:pPr>
      <w:r>
        <w:rPr>
          <w:rFonts w:hint="eastAsia"/>
        </w:rPr>
        <w:t>设计阶段</w:t>
      </w:r>
      <w:r>
        <w:t>宜</w:t>
      </w:r>
      <w:r>
        <w:rPr>
          <w:rFonts w:hint="eastAsia"/>
        </w:rPr>
        <w:t>建立全专业BIM模型，并基于协同设计平台实现建筑、结构、机电、内装、幕墙等专业的实时协同与数据共享。模型深度应满足后续生产、施工、运维各阶段应用要求。</w:t>
      </w:r>
    </w:p>
    <w:p>
      <w:pPr>
        <w:pStyle w:val="46"/>
      </w:pPr>
      <w:r>
        <w:rPr>
          <w:rFonts w:hint="eastAsia"/>
        </w:rPr>
        <w:t>规划与方案设计阶段</w:t>
      </w:r>
      <w:r>
        <w:t>宜</w:t>
      </w:r>
      <w:r>
        <w:rPr>
          <w:rFonts w:hint="eastAsia"/>
        </w:rPr>
        <w:t>采用BIM技术对场地环境、物理环境、出入口、人车流动、建筑性能等方面进行模拟分析，从适用、经济、绿色、美观四个方面对设计方案进行论证和优化。</w:t>
      </w:r>
    </w:p>
    <w:p>
      <w:pPr>
        <w:pStyle w:val="46"/>
      </w:pPr>
      <w:r>
        <w:rPr>
          <w:rFonts w:hint="eastAsia"/>
        </w:rPr>
        <w:t>初步设计阶段</w:t>
      </w:r>
      <w:r>
        <w:t>宜</w:t>
      </w:r>
      <w:r>
        <w:rPr>
          <w:rFonts w:hint="eastAsia"/>
        </w:rPr>
        <w:t>采用BIM技术开展技术方案可行性研究，通过结构安全分析、建筑性能分析、机电管线分析等工作，论证技术方案的适用性、可靠性和经济合理性。</w:t>
      </w:r>
    </w:p>
    <w:p>
      <w:pPr>
        <w:pStyle w:val="46"/>
      </w:pPr>
      <w:r>
        <w:rPr>
          <w:rFonts w:hint="eastAsia"/>
        </w:rPr>
        <w:t>施工图设计阶段</w:t>
      </w:r>
      <w:r>
        <w:t>宜</w:t>
      </w:r>
      <w:r>
        <w:rPr>
          <w:rFonts w:hint="eastAsia"/>
        </w:rPr>
        <w:t>将各专业设计规范和技术要求嵌入BIM模型，开展碰撞检查、图纸校核等工作，及时发现设计错误，解决空间关系冲突，提高施工图设计质量。</w:t>
      </w:r>
    </w:p>
    <w:p>
      <w:pPr>
        <w:pStyle w:val="46"/>
      </w:pPr>
      <w:r>
        <w:rPr>
          <w:rFonts w:hint="eastAsia"/>
        </w:rPr>
        <w:t>深化设计阶段</w:t>
      </w:r>
      <w:r>
        <w:t>宜</w:t>
      </w:r>
      <w:r>
        <w:rPr>
          <w:rFonts w:hint="eastAsia"/>
        </w:rPr>
        <w:t>采用BIM技术对钢结构节点、预制构件连接及安装、机电管线、装饰装修等方面进行专项深化设计，将施工操作规范与施工工艺融入深化设计模型，满足施工作业需求。钢结构装配式住宅的深化设计应在生产前完成，生成完整加工模型后交付工厂生产。加工图设计应与施工图设计同步开展，并应包含结构、设备管线、装修等专业内容。</w:t>
      </w:r>
    </w:p>
    <w:p>
      <w:pPr>
        <w:pStyle w:val="46"/>
      </w:pPr>
      <w:r>
        <w:rPr>
          <w:rFonts w:hint="eastAsia"/>
        </w:rPr>
        <w:t>可采用智能化设计工具，如基于人工智能的参数化设计、生成式设计、模块拆分优化算法等，自动生成满足标准化、模数化要求的模块组合方案，探索AI辅助设计。</w:t>
      </w:r>
    </w:p>
    <w:p>
      <w:pPr>
        <w:pStyle w:val="46"/>
      </w:pPr>
      <w:r>
        <w:rPr>
          <w:rFonts w:hint="eastAsia"/>
        </w:rPr>
        <w:t>设计模型应集成物料信息，支持一键导出精确的物料清单（BOM）、深化设计图纸及数控加工指令，实现设计数据向生产环节的无缝传递。</w:t>
      </w:r>
    </w:p>
    <w:p>
      <w:pPr>
        <w:pStyle w:val="46"/>
      </w:pPr>
      <w:r>
        <w:rPr>
          <w:rFonts w:hint="eastAsia"/>
        </w:rPr>
        <w:t>设计阶段</w:t>
      </w:r>
      <w:r>
        <w:t>宜</w:t>
      </w:r>
      <w:r>
        <w:rPr>
          <w:rFonts w:hint="eastAsia"/>
        </w:rPr>
        <w:t>进行基于BIM的性能化分析，包括结构分析、能耗模拟、日照通风、碳排放测算等，并利用分析结果优化设计方案，提升建筑绿色性能。</w:t>
      </w:r>
    </w:p>
    <w:p>
      <w:pPr>
        <w:pStyle w:val="46"/>
      </w:pPr>
      <w:r>
        <w:rPr>
          <w:rFonts w:hint="eastAsia"/>
        </w:rPr>
        <w:t>设计成果</w:t>
      </w:r>
      <w:r>
        <w:t>宜</w:t>
      </w:r>
      <w:r>
        <w:rPr>
          <w:rFonts w:hint="eastAsia"/>
        </w:rPr>
        <w:t>采用数字化交付，交付内容包含BIM模型、设计图纸、计算书及相关数据文件，并应符合数字化图审及归档要求。</w:t>
      </w:r>
    </w:p>
    <w:p>
      <w:pPr>
        <w:pStyle w:val="42"/>
        <w:spacing w:before="156" w:after="156"/>
      </w:pPr>
      <w:bookmarkStart w:id="220" w:name="_Toc241506587"/>
      <w:r>
        <w:rPr>
          <w:rFonts w:hint="eastAsia"/>
        </w:rPr>
        <w:t>智能化生产与加工</w:t>
      </w:r>
      <w:bookmarkEnd w:id="220"/>
    </w:p>
    <w:p>
      <w:pPr>
        <w:pStyle w:val="46"/>
      </w:pPr>
      <w:r>
        <w:rPr>
          <w:rFonts w:hint="eastAsia"/>
        </w:rPr>
        <w:t>数据驱动生产</w:t>
      </w:r>
    </w:p>
    <w:p>
      <w:pPr>
        <w:pStyle w:val="39"/>
        <w:ind w:firstLine="420"/>
      </w:pPr>
      <w:r>
        <w:rPr>
          <w:rFonts w:hint="eastAsia"/>
        </w:rPr>
        <w:t>智能化生产管理系统应能接收设计阶段BIM模型数据，实现自动排产、任务分配、进度监控及质量追溯。关键生产设备应具备数据接口，能够接收加工指令并自动完成切割、焊接、钻孔、装配等工序。</w:t>
      </w:r>
    </w:p>
    <w:p>
      <w:pPr>
        <w:pStyle w:val="46"/>
      </w:pPr>
      <w:r>
        <w:rPr>
          <w:rFonts w:hint="eastAsia"/>
        </w:rPr>
        <w:t>钢构件智能生产线</w:t>
      </w:r>
    </w:p>
    <w:p>
      <w:pPr>
        <w:pStyle w:val="39"/>
        <w:ind w:firstLine="420"/>
      </w:pPr>
      <w:r>
        <w:rPr>
          <w:rFonts w:hint="eastAsia"/>
        </w:rPr>
        <w:t>钢构件智能生产线应集成以下设备及系统，实现下料、坡口开设、焊接等工序的自动化、智能化：</w:t>
      </w:r>
    </w:p>
    <w:p>
      <w:pPr>
        <w:pStyle w:val="44"/>
        <w:numPr>
          <w:ilvl w:val="0"/>
          <w:numId w:val="144"/>
        </w:numPr>
      </w:pPr>
      <w:r>
        <w:rPr>
          <w:rFonts w:hint="eastAsia"/>
        </w:rPr>
        <w:t>板材加工中心与激光下料中心：采用自动定位校准、自动排距、自动切断设备，高效完成零件和主材下料；</w:t>
      </w:r>
    </w:p>
    <w:p>
      <w:pPr>
        <w:pStyle w:val="44"/>
        <w:numPr>
          <w:ilvl w:val="0"/>
          <w:numId w:val="144"/>
        </w:numPr>
      </w:pPr>
      <w:r>
        <w:rPr>
          <w:rFonts w:hint="eastAsia"/>
        </w:rPr>
        <w:t>智能坡口机器人：通过离线编程和三维激光扫描技术，自动完成各类坡口开设；</w:t>
      </w:r>
    </w:p>
    <w:p>
      <w:pPr>
        <w:pStyle w:val="44"/>
        <w:numPr>
          <w:ilvl w:val="0"/>
          <w:numId w:val="144"/>
        </w:numPr>
      </w:pPr>
      <w:r>
        <w:rPr>
          <w:rFonts w:hint="eastAsia"/>
        </w:rPr>
        <w:t>零件智能识别与配送：采用三维激光扫描技术识别零件特征，通过“5G+超宽带”定位技术，实现零件指定工位智能配送；</w:t>
      </w:r>
    </w:p>
    <w:p>
      <w:pPr>
        <w:pStyle w:val="44"/>
        <w:numPr>
          <w:ilvl w:val="0"/>
          <w:numId w:val="144"/>
        </w:numPr>
      </w:pPr>
      <w:r>
        <w:rPr>
          <w:rFonts w:hint="eastAsia"/>
        </w:rPr>
        <w:t>总装焊接一体化工作站：配备自动上下料顶升装置、翻转变位机等，实现钢结构装配焊接无人化，自动识别零件、自动校准装配位置、自动完成装配和焊接工作。</w:t>
      </w:r>
    </w:p>
    <w:p>
      <w:pPr>
        <w:pStyle w:val="44"/>
        <w:numPr>
          <w:ilvl w:val="0"/>
          <w:numId w:val="144"/>
        </w:numPr>
      </w:pPr>
      <w:r>
        <w:rPr>
          <w:rFonts w:hint="eastAsia"/>
        </w:rPr>
        <w:t>应采用激光切割设备、智能检测设备等自动化装备。</w:t>
      </w:r>
    </w:p>
    <w:p>
      <w:pPr>
        <w:pStyle w:val="46"/>
      </w:pPr>
      <w:r>
        <w:rPr>
          <w:rFonts w:hint="eastAsia"/>
        </w:rPr>
        <w:t xml:space="preserve">工程物联网与标识管理 </w:t>
      </w:r>
    </w:p>
    <w:p>
      <w:pPr>
        <w:pStyle w:val="39"/>
        <w:ind w:firstLine="420"/>
      </w:pPr>
      <w:r>
        <w:rPr>
          <w:rFonts w:hint="eastAsia"/>
        </w:rPr>
        <w:t>宜通过条形码、二维码、无线射频（RFID）等标识技术对部品部件进行分类编码，赋予其可流通、可共享、可附加的“数字身份”，实现全过程信息追溯。</w:t>
      </w:r>
    </w:p>
    <w:p>
      <w:pPr>
        <w:pStyle w:val="46"/>
      </w:pPr>
      <w:r>
        <w:rPr>
          <w:rFonts w:hint="eastAsia"/>
        </w:rPr>
        <w:t xml:space="preserve">数据转换与生产管理集成 </w:t>
      </w:r>
    </w:p>
    <w:p>
      <w:pPr>
        <w:pStyle w:val="39"/>
        <w:ind w:firstLine="420"/>
      </w:pPr>
      <w:r>
        <w:rPr>
          <w:rFonts w:hint="eastAsia"/>
        </w:rPr>
        <w:t>宜采用数据转换插件或功能模块，将设计模型数据转化为智能生产装备所需的数据，并通过生产执行系统实现以下功能：</w:t>
      </w:r>
    </w:p>
    <w:p>
      <w:pPr>
        <w:pStyle w:val="44"/>
        <w:numPr>
          <w:ilvl w:val="0"/>
          <w:numId w:val="145"/>
        </w:numPr>
      </w:pPr>
      <w:r>
        <w:rPr>
          <w:rFonts w:hint="eastAsia"/>
        </w:rPr>
        <w:t>计划排程：根据项目需求进行自动化排产，支持快速重排、快速补单、快速应变；</w:t>
      </w:r>
    </w:p>
    <w:p>
      <w:pPr>
        <w:pStyle w:val="44"/>
        <w:numPr>
          <w:ilvl w:val="0"/>
          <w:numId w:val="145"/>
        </w:numPr>
      </w:pPr>
      <w:r>
        <w:rPr>
          <w:rFonts w:hint="eastAsia"/>
        </w:rPr>
        <w:t>物料管理：实现物料按批次出入库的全周期管理，物料供给与生产消耗信息联动；</w:t>
      </w:r>
    </w:p>
    <w:p>
      <w:pPr>
        <w:pStyle w:val="44"/>
        <w:numPr>
          <w:ilvl w:val="0"/>
          <w:numId w:val="11"/>
        </w:numPr>
      </w:pPr>
      <w:r>
        <w:rPr>
          <w:rFonts w:hint="eastAsia"/>
        </w:rPr>
        <w:t>智能工厂驾驶舱：实现产能统计、节拍统计、设备状态等要素的在线、可视、透明化展示。</w:t>
      </w:r>
    </w:p>
    <w:p>
      <w:pPr>
        <w:pStyle w:val="46"/>
      </w:pPr>
      <w:r>
        <w:rPr>
          <w:rFonts w:hint="eastAsia"/>
        </w:rPr>
        <w:t xml:space="preserve">智能物流管理 </w:t>
      </w:r>
    </w:p>
    <w:p>
      <w:pPr>
        <w:pStyle w:val="39"/>
        <w:ind w:firstLine="420"/>
      </w:pPr>
      <w:r>
        <w:rPr>
          <w:rFonts w:hint="eastAsia"/>
        </w:rPr>
        <w:t>宜采用智能物流管理系统，统筹部品部件订货收货、物流状态跟踪、智能调度、交付确认和数据追溯等工作，并采用以下智能装备实现物流自动化作业：</w:t>
      </w:r>
    </w:p>
    <w:p>
      <w:pPr>
        <w:pStyle w:val="44"/>
        <w:numPr>
          <w:ilvl w:val="0"/>
          <w:numId w:val="146"/>
        </w:numPr>
      </w:pPr>
      <w:r>
        <w:rPr>
          <w:rFonts w:hint="eastAsia"/>
        </w:rPr>
        <w:t>智能堆场装备：采用自动码垛机、自动吊板码垛设备、构件专用自装卸运输车等，完成工厂内产品的自动抓取、转运、摆放；</w:t>
      </w:r>
    </w:p>
    <w:p>
      <w:pPr>
        <w:pStyle w:val="44"/>
        <w:numPr>
          <w:ilvl w:val="0"/>
          <w:numId w:val="146"/>
        </w:numPr>
      </w:pPr>
      <w:r>
        <w:rPr>
          <w:rFonts w:hint="eastAsia"/>
        </w:rPr>
        <w:t>自动运输设备：采用自动导引车（AGV）、有轨制导车辆（RGV）、智能制导车辆（IGV）等，进行原材料、零件、构件的物流运输；</w:t>
      </w:r>
    </w:p>
    <w:p>
      <w:pPr>
        <w:pStyle w:val="44"/>
        <w:numPr>
          <w:ilvl w:val="0"/>
          <w:numId w:val="11"/>
        </w:numPr>
      </w:pPr>
      <w:r>
        <w:rPr>
          <w:rFonts w:hint="eastAsia"/>
        </w:rPr>
        <w:t>智能运输调度：实现物流配送管理和车货集中动态控制，联通道路交通信息、线路诱导和天气状况等信息，优化运输方案。</w:t>
      </w:r>
    </w:p>
    <w:p>
      <w:pPr>
        <w:pStyle w:val="46"/>
      </w:pPr>
      <w:r>
        <w:rPr>
          <w:rFonts w:hint="eastAsia"/>
        </w:rPr>
        <w:t xml:space="preserve">数字化交付 </w:t>
      </w:r>
    </w:p>
    <w:p>
      <w:pPr>
        <w:pStyle w:val="39"/>
        <w:ind w:firstLine="420"/>
      </w:pPr>
      <w:r>
        <w:rPr>
          <w:rFonts w:hint="eastAsia"/>
        </w:rPr>
        <w:t>生产信息数字化交付应明确交付内容及深度、数据接口、数据安全、工作流程及成果形式要求，并构建数据模型，实现数据与模型的整体交付、验收与存档。</w:t>
      </w:r>
    </w:p>
    <w:p>
      <w:pPr>
        <w:pStyle w:val="42"/>
        <w:spacing w:before="156" w:after="156"/>
      </w:pPr>
      <w:bookmarkStart w:id="221" w:name="_Toc241506588"/>
      <w:r>
        <w:rPr>
          <w:rFonts w:hint="eastAsia"/>
        </w:rPr>
        <w:t>智能化安装与绿色施工</w:t>
      </w:r>
      <w:bookmarkEnd w:id="221"/>
    </w:p>
    <w:p>
      <w:pPr>
        <w:pStyle w:val="46"/>
      </w:pPr>
      <w:r>
        <w:rPr>
          <w:rFonts w:hint="eastAsia"/>
        </w:rPr>
        <w:t xml:space="preserve">施工模拟与优化 </w:t>
      </w:r>
    </w:p>
    <w:p>
      <w:pPr>
        <w:pStyle w:val="39"/>
        <w:ind w:firstLine="420"/>
      </w:pPr>
      <w:r>
        <w:rPr>
          <w:rFonts w:hint="eastAsia"/>
        </w:rPr>
        <w:t>施工阶段宜基于BIM模型进行施工组织模拟和工艺仿真，优化场地布置、施工流水、大型设备选型及施工措施，提前发现并解决潜在问题。模拟内容应包括可视化施工交底、施工过程数字测绘、虚拟验收等。</w:t>
      </w:r>
    </w:p>
    <w:p>
      <w:pPr>
        <w:pStyle w:val="46"/>
      </w:pPr>
      <w:r>
        <w:rPr>
          <w:rFonts w:hint="eastAsia"/>
        </w:rPr>
        <w:t>数据驱动安装</w:t>
      </w:r>
    </w:p>
    <w:p>
      <w:pPr>
        <w:pStyle w:val="39"/>
        <w:ind w:firstLine="420"/>
      </w:pPr>
      <w:r>
        <w:rPr>
          <w:rFonts w:hint="eastAsia"/>
        </w:rPr>
        <w:t>钢结构装配式住宅部品部件装配式安装</w:t>
      </w:r>
      <w:r>
        <w:t>宜</w:t>
      </w:r>
      <w:r>
        <w:rPr>
          <w:rFonts w:hint="eastAsia"/>
        </w:rPr>
        <w:t>符合下列规定：</w:t>
      </w:r>
    </w:p>
    <w:p>
      <w:pPr>
        <w:pStyle w:val="44"/>
        <w:numPr>
          <w:ilvl w:val="0"/>
          <w:numId w:val="147"/>
        </w:numPr>
      </w:pPr>
      <w:r>
        <w:rPr>
          <w:rFonts w:hint="eastAsia"/>
        </w:rPr>
        <w:t>各专业深化设计模型在生产前完成，应作为施工安装的唯一数据源；</w:t>
      </w:r>
    </w:p>
    <w:p>
      <w:pPr>
        <w:pStyle w:val="44"/>
        <w:numPr>
          <w:ilvl w:val="0"/>
          <w:numId w:val="147"/>
        </w:numPr>
      </w:pPr>
      <w:r>
        <w:rPr>
          <w:rFonts w:hint="eastAsia"/>
        </w:rPr>
        <w:t>基于全专业集成的深化模型，驱动现场安装作业，包括部品部件吊装定位、节点连接顺序、安装精度控制等；</w:t>
      </w:r>
    </w:p>
    <w:p>
      <w:pPr>
        <w:pStyle w:val="44"/>
        <w:numPr>
          <w:ilvl w:val="0"/>
          <w:numId w:val="11"/>
        </w:numPr>
      </w:pPr>
      <w:r>
        <w:rPr>
          <w:rFonts w:hint="eastAsia"/>
        </w:rPr>
        <w:t>安装过程中实时采集安装数据与模型进行比对，发现偏差及时调整，确保安装精度符合设计要求；</w:t>
      </w:r>
    </w:p>
    <w:p>
      <w:pPr>
        <w:pStyle w:val="44"/>
        <w:numPr>
          <w:ilvl w:val="0"/>
          <w:numId w:val="11"/>
        </w:numPr>
      </w:pPr>
      <w:r>
        <w:rPr>
          <w:rFonts w:hint="eastAsia"/>
        </w:rPr>
        <w:t>可采用增强现实（AR）/虚拟现实（VR）技术进行安装指导，实现“所见即所得”的精准安装。</w:t>
      </w:r>
    </w:p>
    <w:p>
      <w:pPr>
        <w:pStyle w:val="46"/>
      </w:pPr>
      <w:r>
        <w:rPr>
          <w:rFonts w:hint="eastAsia"/>
        </w:rPr>
        <w:t xml:space="preserve">建筑机器人及智能装备应用 </w:t>
      </w:r>
    </w:p>
    <w:p>
      <w:pPr>
        <w:pStyle w:val="39"/>
        <w:ind w:firstLine="420"/>
      </w:pPr>
      <w:r>
        <w:rPr>
          <w:rFonts w:hint="eastAsia"/>
        </w:rPr>
        <w:t>在“危、繁、脏、重”施工环节，</w:t>
      </w:r>
      <w:r>
        <w:t>宜</w:t>
      </w:r>
      <w:r>
        <w:rPr>
          <w:rFonts w:hint="eastAsia"/>
        </w:rPr>
        <w:t>大力推广应用智能建造装备及建筑机器人，提高施工质量和效率，保障人员安全：</w:t>
      </w:r>
      <w:r>
        <w:t xml:space="preserve"> </w:t>
      </w:r>
    </w:p>
    <w:p>
      <w:pPr>
        <w:pStyle w:val="44"/>
        <w:numPr>
          <w:ilvl w:val="0"/>
          <w:numId w:val="148"/>
        </w:numPr>
      </w:pPr>
      <w:r>
        <w:rPr>
          <w:rFonts w:hint="eastAsia"/>
        </w:rPr>
        <w:t>焊接与除锈：应统筹采用协作焊接机器人、柔性焊接机器人、便携式激光除锈机等适用现场作业的智能装备；</w:t>
      </w:r>
      <w:r>
        <w:t xml:space="preserve"> </w:t>
      </w:r>
    </w:p>
    <w:p>
      <w:pPr>
        <w:pStyle w:val="44"/>
        <w:numPr>
          <w:ilvl w:val="0"/>
          <w:numId w:val="148"/>
        </w:numPr>
      </w:pPr>
      <w:r>
        <w:rPr>
          <w:rFonts w:hint="eastAsia"/>
        </w:rPr>
        <w:t>垂直运输：应采用智能施工升降机，实现超载超重识别、笼顶防撞、层门防夹、双笼联动和故障诊断提醒；</w:t>
      </w:r>
    </w:p>
    <w:p>
      <w:pPr>
        <w:pStyle w:val="44"/>
        <w:numPr>
          <w:ilvl w:val="0"/>
          <w:numId w:val="11"/>
        </w:numPr>
      </w:pPr>
      <w:r>
        <w:rPr>
          <w:rFonts w:hint="eastAsia"/>
        </w:rPr>
        <w:t>塔吊智能管控：可采用5G、激光雷达、视觉相机、北斗定位等技术，实现塔吊的场景感知、自动建模、路径规划、远程驾驶、智能避险和紧急制动；</w:t>
      </w:r>
    </w:p>
    <w:p>
      <w:pPr>
        <w:pStyle w:val="44"/>
        <w:numPr>
          <w:ilvl w:val="0"/>
          <w:numId w:val="11"/>
        </w:numPr>
      </w:pPr>
      <w:r>
        <w:rPr>
          <w:rFonts w:hint="eastAsia"/>
        </w:rPr>
        <w:t>测量检测：可采用多机协作测量机器人、三维激光扫描仪等设备，实现构件安装位置的自动化测量和精度校核；</w:t>
      </w:r>
    </w:p>
    <w:p>
      <w:pPr>
        <w:pStyle w:val="44"/>
        <w:numPr>
          <w:ilvl w:val="0"/>
          <w:numId w:val="11"/>
        </w:numPr>
      </w:pPr>
      <w:r>
        <w:rPr>
          <w:rFonts w:hint="eastAsia"/>
        </w:rPr>
        <w:t>集成施工平台：可采用轻量化智能建造施工平台，集成悬挂式布料机、水平运输设备、设备控制与监测平台等，实现多工序协同作业。</w:t>
      </w:r>
    </w:p>
    <w:p>
      <w:pPr>
        <w:pStyle w:val="46"/>
      </w:pPr>
      <w:r>
        <w:rPr>
          <w:rFonts w:hint="eastAsia"/>
        </w:rPr>
        <w:t xml:space="preserve">施工物联网与智慧工地 </w:t>
      </w:r>
    </w:p>
    <w:p>
      <w:pPr>
        <w:pStyle w:val="39"/>
        <w:ind w:firstLine="420"/>
      </w:pPr>
      <w:r>
        <w:rPr>
          <w:rFonts w:hint="eastAsia"/>
        </w:rPr>
        <w:t>工程物联网宜组建高速、稳定、低延迟的通信网络，为智能建造装备协同作业、路径规划、导航及调度提供保障，并构建智慧工地管理系统，实现施工现场“人机料法环”全要素的智能化管控：</w:t>
      </w:r>
    </w:p>
    <w:p>
      <w:pPr>
        <w:pStyle w:val="44"/>
        <w:numPr>
          <w:ilvl w:val="0"/>
          <w:numId w:val="149"/>
        </w:numPr>
      </w:pPr>
      <w:r>
        <w:rPr>
          <w:rFonts w:hint="eastAsia"/>
        </w:rPr>
        <w:t>人员管理：应按照人员从进入施工大门到离开的流程进行全过程闭环管理，具体包括：进场时通过集成考勤闸机、人脸识别、电子围栏等智能门禁系统自动校验入场权限并进行实名登记；在场期间通过定位芯片植入安全帽或工作牌等可穿戴设备实现位置共享和轨迹记录，通过数字化管理平台进行电子派工、自动校验记工单数据和实名制考勤数据，经三方线上确认后线上发薪；离场时自动办理退场手续并归档人员从业记录；</w:t>
      </w:r>
    </w:p>
    <w:p>
      <w:pPr>
        <w:pStyle w:val="44"/>
        <w:numPr>
          <w:ilvl w:val="0"/>
          <w:numId w:val="149"/>
        </w:numPr>
      </w:pPr>
      <w:r>
        <w:rPr>
          <w:rFonts w:hint="eastAsia"/>
        </w:rPr>
        <w:t>机械管理：实时监测施工机械设备的位置信息和运行状态，实现智能化管理；宜探索应用AI自主运行技术，实现无人化多机协作调度、智能路径规划和任务自主分配，提升机械作业效率与安全性；</w:t>
      </w:r>
    </w:p>
    <w:p>
      <w:pPr>
        <w:pStyle w:val="44"/>
        <w:numPr>
          <w:ilvl w:val="0"/>
          <w:numId w:val="11"/>
        </w:numPr>
      </w:pPr>
      <w:r>
        <w:rPr>
          <w:rFonts w:hint="eastAsia"/>
        </w:rPr>
        <w:t>物料管理：应采用二维码、RFID等技术，实现物资材料扫码入库、出库和盘点全过程管理；宜联合应用智能地磅系统自动记录大宗物料进出场的数量和时间，实现物料信息的自动采集与结算；</w:t>
      </w:r>
      <w:r>
        <w:t xml:space="preserve"> </w:t>
      </w:r>
    </w:p>
    <w:p>
      <w:pPr>
        <w:pStyle w:val="44"/>
        <w:numPr>
          <w:ilvl w:val="0"/>
          <w:numId w:val="11"/>
        </w:numPr>
      </w:pPr>
      <w:r>
        <w:rPr>
          <w:rFonts w:hint="eastAsia"/>
        </w:rPr>
        <w:t>技术管理：应利用BIM、大数据、AI等技术实现技术方案的智能化管理，包括智能方案编制与审核、AI辅助进行超危大工程方案编制与验算、可视化技术交底、施工过程数字测绘与虚拟验收、基于AI视觉识别的质量安全智能检测等；</w:t>
      </w:r>
    </w:p>
    <w:p>
      <w:pPr>
        <w:pStyle w:val="44"/>
        <w:numPr>
          <w:ilvl w:val="0"/>
          <w:numId w:val="11"/>
        </w:numPr>
      </w:pPr>
      <w:r>
        <w:rPr>
          <w:rFonts w:hint="eastAsia"/>
        </w:rPr>
        <w:t>环境与能耗管理：应部署传感器实时监测扬尘、噪声、烟雾、水位等，实现自动报警与联动控制；应安装智能照明系统、智能电表等，实现节能降耗；宜积极应用新能源施工设备，包括电动挖掘机、电动混凝土搅拌运输车、电动升降机等，减少施工现场化石能源消耗和碳排放。</w:t>
      </w:r>
    </w:p>
    <w:p>
      <w:pPr>
        <w:pStyle w:val="46"/>
      </w:pPr>
      <w:r>
        <w:rPr>
          <w:rFonts w:hint="eastAsia"/>
        </w:rPr>
        <w:t>绿色施工</w:t>
      </w:r>
    </w:p>
    <w:p>
      <w:pPr>
        <w:pStyle w:val="39"/>
        <w:ind w:firstLine="420"/>
      </w:pPr>
      <w:r>
        <w:rPr>
          <w:rFonts w:hint="eastAsia"/>
        </w:rPr>
        <w:t>应全面贯彻绿色施工理念，施工过程中应实时采集能耗、扬尘、噪声、废水排放等环境数据，并与自动降尘、降噪设备联动。全过程的碳排放控制应符合下列规定：</w:t>
      </w:r>
    </w:p>
    <w:p>
      <w:pPr>
        <w:pStyle w:val="44"/>
        <w:numPr>
          <w:ilvl w:val="0"/>
          <w:numId w:val="150"/>
        </w:numPr>
      </w:pPr>
      <w:r>
        <w:rPr>
          <w:rFonts w:hint="eastAsia"/>
        </w:rPr>
        <w:t>应建立施工全过程碳排放核算体系，按以下公式计算施工碳排放强度：</w:t>
      </w:r>
    </w:p>
    <w:p>
      <w:pPr>
        <w:pStyle w:val="39"/>
        <w:tabs>
          <w:tab w:val="left" w:pos="4200"/>
          <w:tab w:val="left" w:pos="4678"/>
          <w:tab w:val="right" w:leader="dot" w:pos="9356"/>
        </w:tabs>
        <w:ind w:firstLine="0" w:firstLineChars="0"/>
      </w:pPr>
      <w:r>
        <w:rPr>
          <w:rFonts w:hAnsi="宋体"/>
        </w:rPr>
        <w:tab/>
      </w:r>
      <m:oMath>
        <m:r>
          <m:rPr/>
          <w:rPr>
            <w:rFonts w:hint="eastAsia" w:ascii="Cambria Math" w:hAnsi="Cambria Math"/>
          </w:rPr>
          <m:t>q</m:t>
        </m:r>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3</m:t>
                </m:r>
                <m:ctrlPr>
                  <w:rPr>
                    <w:rFonts w:ascii="Cambria Math" w:hAnsi="Cambria Math"/>
                    <w:i/>
                  </w:rPr>
                </m:ctrlPr>
              </m:sub>
            </m:sSub>
            <m:ctrlPr>
              <w:rPr>
                <w:rFonts w:ascii="Cambria Math" w:hAnsi="Cambria Math"/>
                <w:i/>
              </w:rPr>
            </m:ctrlPr>
          </m:num>
          <m:den>
            <m:r>
              <m:rPr/>
              <w:rPr>
                <w:rFonts w:ascii="Cambria Math" w:hAnsi="Cambria Math"/>
              </w:rPr>
              <m:t>W</m:t>
            </m:r>
            <m:ctrlPr>
              <w:rPr>
                <w:rFonts w:ascii="Cambria Math" w:hAnsi="Cambria Math"/>
                <w:i/>
              </w:rPr>
            </m:ctrlPr>
          </m:den>
        </m:f>
      </m:oMath>
      <w:r>
        <w:rPr>
          <w:rFonts w:hAnsi="宋体"/>
        </w:rPr>
        <w:tab/>
      </w:r>
      <w:r>
        <w:rPr>
          <w:rFonts w:hint="eastAsia" w:hAnsi="宋体"/>
        </w:rPr>
        <w:t>（1）</w:t>
      </w:r>
    </w:p>
    <w:p>
      <w:pPr>
        <w:pStyle w:val="39"/>
        <w:ind w:firstLine="420"/>
      </w:pPr>
      <w:r>
        <w:rPr>
          <w:rFonts w:hint="eastAsia"/>
        </w:rPr>
        <w:t>其中：</w:t>
      </w:r>
      <w:r>
        <w:t>q</w:t>
      </w:r>
      <w:r>
        <w:rPr>
          <w:rFonts w:hint="eastAsia"/>
        </w:rPr>
        <w:t>——含范围 3</w:t>
      </w:r>
      <w:r>
        <w:t xml:space="preserve"> </w:t>
      </w:r>
      <w:r>
        <w:rPr>
          <w:rFonts w:hint="eastAsia"/>
        </w:rPr>
        <w:t>碳排放强度（kgCO</w:t>
      </w:r>
      <w:r>
        <w:rPr>
          <w:vertAlign w:val="subscript"/>
        </w:rPr>
        <w:t>2</w:t>
      </w:r>
      <w:r>
        <w:rPr>
          <w:rFonts w:hint="eastAsia"/>
        </w:rPr>
        <w:t>e/万元）；</w:t>
      </w:r>
    </w:p>
    <w:p>
      <w:pPr>
        <w:pStyle w:val="39"/>
        <w:ind w:firstLine="420"/>
      </w:pPr>
      <w:r>
        <w:rPr>
          <w:rFonts w:hint="eastAsia"/>
        </w:rPr>
        <w:t xml:space="preserve">      </w:t>
      </w:r>
      <w:r>
        <w:t>Q</w:t>
      </w:r>
      <w:r>
        <w:rPr>
          <w:vertAlign w:val="subscript"/>
        </w:rPr>
        <w:t>1</w:t>
      </w:r>
      <w:r>
        <w:rPr>
          <w:rFonts w:hint="eastAsia"/>
        </w:rPr>
        <w:t>——范围 1 碳排放量（kgCO</w:t>
      </w:r>
      <w:r>
        <w:rPr>
          <w:rFonts w:hint="eastAsia"/>
          <w:vertAlign w:val="subscript"/>
        </w:rPr>
        <w:t>2</w:t>
      </w:r>
      <w:r>
        <w:rPr>
          <w:rFonts w:hint="eastAsia"/>
        </w:rPr>
        <w:t>e），指施工现场直接产生的碳排放，即项目自有或控制的排放源所产生的温室气体排放，主要包括施工机械设备（挖掘机、起重机等）消耗的柴油、汽油等化石燃料燃烧产生的排放；焊接、切割等工艺过程中使用的乙炔、丙烷等气体燃烧排放；施工现场临时设施（如生活锅炉）的燃料燃烧排放。</w:t>
      </w:r>
    </w:p>
    <w:p>
      <w:pPr>
        <w:pStyle w:val="39"/>
        <w:ind w:left="105" w:leftChars="50" w:firstLine="315" w:firstLineChars="150"/>
      </w:pPr>
      <w:r>
        <w:rPr>
          <w:rFonts w:hint="eastAsia"/>
        </w:rPr>
        <w:t xml:space="preserve">      </w:t>
      </w:r>
      <w:r>
        <w:t>Q</w:t>
      </w:r>
      <w:r>
        <w:rPr>
          <w:vertAlign w:val="subscript"/>
        </w:rPr>
        <w:t>2</w:t>
      </w:r>
      <w:r>
        <w:rPr>
          <w:rFonts w:hint="eastAsia"/>
        </w:rPr>
        <w:t xml:space="preserve">——范围 </w:t>
      </w:r>
      <w:r>
        <w:t>2</w:t>
      </w:r>
      <w:r>
        <w:rPr>
          <w:rFonts w:hint="eastAsia"/>
        </w:rPr>
        <w:t xml:space="preserve"> 碳排放量（kgCO</w:t>
      </w:r>
      <w:r>
        <w:rPr>
          <w:rFonts w:hint="eastAsia"/>
          <w:vertAlign w:val="subscript"/>
        </w:rPr>
        <w:t>2</w:t>
      </w:r>
      <w:r>
        <w:rPr>
          <w:rFonts w:hint="eastAsia"/>
        </w:rPr>
        <w:t>e），指项目外购的电力、热力、蒸汽等能源所产生的间接碳排放，主要包括：施工现场施工用电（塔吊、升降机、焊机、照明等设备用电）；项目部办公区、生活区的用电；外购热力（如冬季施工临时供暖）。</w:t>
      </w:r>
    </w:p>
    <w:p>
      <w:pPr>
        <w:pStyle w:val="39"/>
        <w:ind w:left="105" w:leftChars="50" w:firstLine="315" w:firstLineChars="150"/>
      </w:pPr>
      <w:r>
        <w:rPr>
          <w:rFonts w:hint="eastAsia"/>
        </w:rPr>
        <w:t xml:space="preserve"> </w:t>
      </w:r>
      <w:r>
        <w:t xml:space="preserve">     Q</w:t>
      </w:r>
      <w:r>
        <w:rPr>
          <w:vertAlign w:val="subscript"/>
        </w:rPr>
        <w:t>3</w:t>
      </w:r>
      <w:r>
        <w:rPr>
          <w:rFonts w:hint="eastAsia"/>
        </w:rPr>
        <w:t xml:space="preserve">——范围 </w:t>
      </w:r>
      <w:r>
        <w:t>3</w:t>
      </w:r>
      <w:r>
        <w:rPr>
          <w:rFonts w:hint="eastAsia"/>
        </w:rPr>
        <w:t xml:space="preserve"> 碳排放量（kgCO</w:t>
      </w:r>
      <w:r>
        <w:rPr>
          <w:rFonts w:hint="eastAsia"/>
          <w:vertAlign w:val="subscript"/>
        </w:rPr>
        <w:t>2</w:t>
      </w:r>
      <w:r>
        <w:rPr>
          <w:rFonts w:hint="eastAsia"/>
        </w:rPr>
        <w:t>e），指除范围2之外的其他间接碳排放，主要涵盖项目价值链上下游的排放。在施工企业碳排放核算中，主要包括建材生产碳排放（钢筋、混凝土、钢结构构件等主要建材在生产过程中的碳排放）；建材运输碳排放（材料从工厂到施工现场的运输过程排放）；施工人员通勤、废弃物运输等其他间接排放。</w:t>
      </w:r>
    </w:p>
    <w:p>
      <w:pPr>
        <w:pStyle w:val="39"/>
        <w:ind w:firstLine="420"/>
      </w:pPr>
      <w:r>
        <w:rPr>
          <w:rFonts w:hint="eastAsia"/>
        </w:rPr>
        <w:t xml:space="preserve">      </w:t>
      </w:r>
      <w:r>
        <w:t>W</w:t>
      </w:r>
      <w:r>
        <w:rPr>
          <w:rFonts w:hint="eastAsia"/>
        </w:rPr>
        <w:t>——受评项目总产值（万元）；</w:t>
      </w:r>
    </w:p>
    <w:p>
      <w:pPr>
        <w:pStyle w:val="44"/>
        <w:numPr>
          <w:ilvl w:val="0"/>
          <w:numId w:val="134"/>
        </w:numPr>
      </w:pPr>
      <w:r>
        <w:rPr>
          <w:rFonts w:hint="eastAsia"/>
        </w:rPr>
        <w:t>评分等级：</w:t>
      </w:r>
    </w:p>
    <w:p>
      <w:pPr>
        <w:pStyle w:val="39"/>
        <w:ind w:firstLine="420"/>
      </w:pPr>
      <w:r>
        <w:rPr>
          <w:rFonts w:hint="eastAsia"/>
        </w:rPr>
        <w:t>A：q ≤ 1100 kgCO</w:t>
      </w:r>
      <w:r>
        <w:rPr>
          <w:rFonts w:hint="eastAsia"/>
          <w:vertAlign w:val="subscript"/>
        </w:rPr>
        <w:t>2</w:t>
      </w:r>
      <w:r>
        <w:rPr>
          <w:rFonts w:hint="eastAsia"/>
        </w:rPr>
        <w:t>e/万元</w:t>
      </w:r>
    </w:p>
    <w:p>
      <w:pPr>
        <w:pStyle w:val="39"/>
        <w:ind w:firstLine="420"/>
      </w:pPr>
      <w:r>
        <w:rPr>
          <w:rFonts w:hint="eastAsia"/>
        </w:rPr>
        <w:t>B：1100 kgCO</w:t>
      </w:r>
      <w:r>
        <w:rPr>
          <w:rFonts w:hint="eastAsia"/>
          <w:vertAlign w:val="subscript"/>
        </w:rPr>
        <w:t>2</w:t>
      </w:r>
      <w:r>
        <w:rPr>
          <w:rFonts w:hint="eastAsia"/>
        </w:rPr>
        <w:t>e/万元&lt; q ≤ 1200 kgCO</w:t>
      </w:r>
      <w:r>
        <w:rPr>
          <w:rFonts w:hint="eastAsia"/>
          <w:vertAlign w:val="subscript"/>
        </w:rPr>
        <w:t>2</w:t>
      </w:r>
      <w:r>
        <w:rPr>
          <w:rFonts w:hint="eastAsia"/>
        </w:rPr>
        <w:t>e/万元</w:t>
      </w:r>
    </w:p>
    <w:p>
      <w:pPr>
        <w:pStyle w:val="39"/>
        <w:ind w:firstLine="420"/>
      </w:pPr>
      <w:r>
        <w:rPr>
          <w:rFonts w:hint="eastAsia"/>
        </w:rPr>
        <w:t>C：1200 kgCO</w:t>
      </w:r>
      <w:r>
        <w:rPr>
          <w:rFonts w:hint="eastAsia"/>
          <w:vertAlign w:val="subscript"/>
        </w:rPr>
        <w:t>2</w:t>
      </w:r>
      <w:r>
        <w:rPr>
          <w:rFonts w:hint="eastAsia"/>
        </w:rPr>
        <w:t>e/万元&lt; q ≤ 1300 kgCO</w:t>
      </w:r>
      <w:r>
        <w:rPr>
          <w:rFonts w:hint="eastAsia"/>
          <w:vertAlign w:val="subscript"/>
        </w:rPr>
        <w:t>2</w:t>
      </w:r>
      <w:r>
        <w:rPr>
          <w:rFonts w:hint="eastAsia"/>
        </w:rPr>
        <w:t>e/万元</w:t>
      </w:r>
    </w:p>
    <w:p>
      <w:pPr>
        <w:pStyle w:val="39"/>
        <w:ind w:firstLine="420"/>
      </w:pPr>
      <w:r>
        <w:rPr>
          <w:rFonts w:hint="eastAsia"/>
        </w:rPr>
        <w:t>D：1300 kgCO</w:t>
      </w:r>
      <w:r>
        <w:rPr>
          <w:rFonts w:hint="eastAsia"/>
          <w:vertAlign w:val="subscript"/>
        </w:rPr>
        <w:t>2</w:t>
      </w:r>
      <w:r>
        <w:rPr>
          <w:rFonts w:hint="eastAsia"/>
        </w:rPr>
        <w:t>e/万元&lt; q ≤ 1400 kgCO</w:t>
      </w:r>
      <w:r>
        <w:rPr>
          <w:rFonts w:hint="eastAsia"/>
          <w:vertAlign w:val="subscript"/>
        </w:rPr>
        <w:t>2</w:t>
      </w:r>
      <w:r>
        <w:rPr>
          <w:rFonts w:hint="eastAsia"/>
        </w:rPr>
        <w:t>e/万元</w:t>
      </w:r>
    </w:p>
    <w:p>
      <w:pPr>
        <w:pStyle w:val="39"/>
        <w:ind w:firstLine="420"/>
      </w:pPr>
      <w:r>
        <w:rPr>
          <w:rFonts w:hint="eastAsia"/>
        </w:rPr>
        <w:t>E：q&gt;1400 kgCO</w:t>
      </w:r>
      <w:r>
        <w:rPr>
          <w:rFonts w:hint="eastAsia"/>
          <w:vertAlign w:val="subscript"/>
        </w:rPr>
        <w:t>2</w:t>
      </w:r>
      <w:r>
        <w:rPr>
          <w:rFonts w:hint="eastAsia"/>
        </w:rPr>
        <w:t>e/万元</w:t>
      </w:r>
    </w:p>
    <w:p>
      <w:pPr>
        <w:pStyle w:val="39"/>
        <w:ind w:firstLine="420"/>
      </w:pPr>
      <w:r>
        <w:rPr>
          <w:rFonts w:hint="eastAsia"/>
        </w:rPr>
        <w:t>装配式钢结构住宅项目碳排放强度评分等级应达C级以上。</w:t>
      </w:r>
    </w:p>
    <w:p>
      <w:pPr>
        <w:pStyle w:val="44"/>
        <w:numPr>
          <w:ilvl w:val="0"/>
          <w:numId w:val="134"/>
        </w:numPr>
      </w:pPr>
      <w:r>
        <w:rPr>
          <w:rFonts w:hint="eastAsia"/>
        </w:rPr>
        <w:t>材料选用：应优先选用高强钢材、绿色建材、低碳混凝土等低碳排放材料，材料进场前应提供碳足迹数据；</w:t>
      </w:r>
    </w:p>
    <w:p>
      <w:pPr>
        <w:pStyle w:val="44"/>
        <w:numPr>
          <w:ilvl w:val="0"/>
          <w:numId w:val="134"/>
        </w:numPr>
      </w:pPr>
      <w:r>
        <w:rPr>
          <w:rFonts w:hint="eastAsia"/>
        </w:rPr>
        <w:t>构件制造：应采用节能工艺，提高钢材利用率，降低单位产量碳排放强度；</w:t>
      </w:r>
    </w:p>
    <w:p>
      <w:pPr>
        <w:pStyle w:val="44"/>
        <w:numPr>
          <w:ilvl w:val="0"/>
          <w:numId w:val="134"/>
        </w:numPr>
      </w:pPr>
      <w:r>
        <w:rPr>
          <w:rFonts w:hint="eastAsia"/>
        </w:rPr>
        <w:t>构件运输：应优化运输路线，提高运输效率，减少运输过程中的碳排放，宜采用新能源运输车辆；</w:t>
      </w:r>
    </w:p>
    <w:p>
      <w:pPr>
        <w:pStyle w:val="44"/>
        <w:numPr>
          <w:ilvl w:val="0"/>
          <w:numId w:val="134"/>
        </w:numPr>
      </w:pPr>
      <w:r>
        <w:rPr>
          <w:rFonts w:hint="eastAsia"/>
        </w:rPr>
        <w:t>现场施工：应采用节能施工设备和工艺，合理组织施工流水，减少设备空转和能源浪费；宜推广使用可再生能源，如太阳能临时照明、电动施工机具等；</w:t>
      </w:r>
    </w:p>
    <w:p>
      <w:pPr>
        <w:pStyle w:val="44"/>
        <w:numPr>
          <w:ilvl w:val="0"/>
          <w:numId w:val="134"/>
        </w:numPr>
      </w:pPr>
      <w:r>
        <w:rPr>
          <w:rFonts w:hint="eastAsia"/>
        </w:rPr>
        <w:t>施工阶段碳排放核算结果应作为绿色施工评价的重要依据，并纳入项目竣工资料。</w:t>
      </w:r>
    </w:p>
    <w:p>
      <w:pPr>
        <w:pStyle w:val="42"/>
        <w:spacing w:before="156" w:after="156"/>
      </w:pPr>
      <w:bookmarkStart w:id="222" w:name="_Toc241506589"/>
      <w:r>
        <w:rPr>
          <w:rFonts w:hint="eastAsia"/>
        </w:rPr>
        <w:t>智能化检测与质量控制</w:t>
      </w:r>
      <w:bookmarkEnd w:id="222"/>
    </w:p>
    <w:p>
      <w:pPr>
        <w:pStyle w:val="46"/>
      </w:pPr>
      <w:r>
        <w:rPr>
          <w:rFonts w:hint="eastAsia"/>
        </w:rPr>
        <w:t>基于BIM的质量管理平台应将质量验收标准、验收过程记录、检测报告等信息与BIM模型构件关联，实现质量信息可视化、可追溯。</w:t>
      </w:r>
    </w:p>
    <w:p>
      <w:pPr>
        <w:pStyle w:val="46"/>
      </w:pPr>
      <w:r>
        <w:rPr>
          <w:rFonts w:hint="eastAsia"/>
        </w:rPr>
        <w:t>钢结构构件、墙体等部品部件进场验收质量检测应符合下列规定：</w:t>
      </w:r>
    </w:p>
    <w:p>
      <w:pPr>
        <w:pStyle w:val="44"/>
        <w:numPr>
          <w:ilvl w:val="0"/>
          <w:numId w:val="151"/>
        </w:numPr>
      </w:pPr>
      <w:r>
        <w:rPr>
          <w:rFonts w:hint="eastAsia"/>
        </w:rPr>
        <w:t>钢结构构件进场时，应采用三维激光扫描仪、智能全站仪等数字化测量设备对构件几何尺寸、连接孔位精度进行检测，检测数据应自动上传至项目管理平台，与设计模型进行自动比对，生成偏差分析报告；</w:t>
      </w:r>
    </w:p>
    <w:p>
      <w:pPr>
        <w:pStyle w:val="44"/>
        <w:numPr>
          <w:ilvl w:val="0"/>
          <w:numId w:val="151"/>
        </w:numPr>
      </w:pPr>
      <w:r>
        <w:rPr>
          <w:rFonts w:hint="eastAsia"/>
        </w:rPr>
        <w:t>装配式外墙板进场时，应采用数字化检测手段对其保温层厚度、防水构造、预埋件位置等进行检测，检测结果应关联至项目管理平台，为外墙渗漏控制提供数据支撑；</w:t>
      </w:r>
    </w:p>
    <w:p>
      <w:pPr>
        <w:pStyle w:val="44"/>
        <w:numPr>
          <w:ilvl w:val="0"/>
          <w:numId w:val="151"/>
        </w:numPr>
      </w:pPr>
      <w:r>
        <w:rPr>
          <w:rFonts w:hint="eastAsia"/>
        </w:rPr>
        <w:t>进场部品部件的质量检测数据应作为项目管理平台中构件质量档案的初始数据，实现从源头到终端的全过程质量追溯。</w:t>
      </w:r>
    </w:p>
    <w:p>
      <w:pPr>
        <w:pStyle w:val="46"/>
      </w:pPr>
      <w:r>
        <w:rPr>
          <w:rFonts w:hint="eastAsia"/>
        </w:rPr>
        <w:t>构件加工过程中的工艺工序验收质量检测应符合下列规定：</w:t>
      </w:r>
    </w:p>
    <w:p>
      <w:pPr>
        <w:pStyle w:val="44"/>
        <w:numPr>
          <w:ilvl w:val="0"/>
          <w:numId w:val="152"/>
        </w:numPr>
      </w:pPr>
      <w:r>
        <w:rPr>
          <w:rFonts w:hint="eastAsia"/>
        </w:rPr>
        <w:t>钢结构构件在切割、组立、焊接、涂装等关键工序完成后，应采用智能化检测设备进行工序验收，包括焊缝外观检测机器人、相控阵超声检测机器人、TOFD超声检测机器人等，实现焊缝内部质量的智能检测和判别，系统检测精度应达到0.1mm；</w:t>
      </w:r>
    </w:p>
    <w:p>
      <w:pPr>
        <w:pStyle w:val="44"/>
        <w:numPr>
          <w:ilvl w:val="0"/>
          <w:numId w:val="152"/>
        </w:numPr>
      </w:pPr>
      <w:r>
        <w:rPr>
          <w:rFonts w:hint="eastAsia"/>
        </w:rPr>
        <w:t>焊接工艺参数（电流、电压、焊接速度等）应通过物联网传感器实时采集并上传至项目管理平台，实现焊接质量的在线监控和异常预警；</w:t>
      </w:r>
    </w:p>
    <w:p>
      <w:pPr>
        <w:pStyle w:val="44"/>
        <w:numPr>
          <w:ilvl w:val="0"/>
          <w:numId w:val="152"/>
        </w:numPr>
      </w:pPr>
      <w:r>
        <w:rPr>
          <w:rFonts w:hint="eastAsia"/>
        </w:rPr>
        <w:t>构件涂装厚度检测应采用数字化涂层测厚仪，检测数据自动上传，与设计要求的防腐涂层厚度进行比对，确保钢结构防腐质量；</w:t>
      </w:r>
    </w:p>
    <w:p>
      <w:pPr>
        <w:pStyle w:val="44"/>
        <w:numPr>
          <w:ilvl w:val="0"/>
          <w:numId w:val="152"/>
        </w:numPr>
      </w:pPr>
      <w:r>
        <w:rPr>
          <w:rFonts w:hint="eastAsia"/>
        </w:rPr>
        <w:t>装配式外墙板在工厂生产过程中，应对外墙板与钢结构连接件的预埋精度、防水密封构造的施工质量进行逐件检测记录，检测数据应关联至项目管理平台。</w:t>
      </w:r>
    </w:p>
    <w:p>
      <w:pPr>
        <w:pStyle w:val="46"/>
      </w:pPr>
      <w:r>
        <w:rPr>
          <w:rFonts w:hint="eastAsia"/>
        </w:rPr>
        <w:t>现场施工过程中的工艺工序验收质量检测应符合下列规定：</w:t>
      </w:r>
    </w:p>
    <w:p>
      <w:pPr>
        <w:pStyle w:val="44"/>
        <w:numPr>
          <w:ilvl w:val="0"/>
          <w:numId w:val="153"/>
        </w:numPr>
      </w:pPr>
      <w:r>
        <w:rPr>
          <w:rFonts w:hint="eastAsia"/>
        </w:rPr>
        <w:t>钢结构现场安装应使用测量机器人、智能全站仪等设备对安装位置、垂直度、标高进行实时测量，测量数据应与BIM模型进行自动比对，发现偏差应及时预警；</w:t>
      </w:r>
    </w:p>
    <w:p>
      <w:pPr>
        <w:pStyle w:val="44"/>
        <w:numPr>
          <w:ilvl w:val="0"/>
          <w:numId w:val="153"/>
        </w:numPr>
      </w:pPr>
      <w:r>
        <w:rPr>
          <w:rFonts w:hint="eastAsia"/>
        </w:rPr>
        <w:t>钢结构焊接节点现场施工应配备便携式焊接质量检测设备，采用数字化无损检测手段对焊缝质量进行检测，检测报告应实时上传项目管理平台；</w:t>
      </w:r>
    </w:p>
    <w:p>
      <w:pPr>
        <w:pStyle w:val="44"/>
        <w:numPr>
          <w:ilvl w:val="0"/>
          <w:numId w:val="153"/>
        </w:numPr>
      </w:pPr>
      <w:r>
        <w:rPr>
          <w:rFonts w:hint="eastAsia"/>
        </w:rPr>
        <w:t>外墙渗漏控制：应采用淋水试验、气压渗漏检测等智能化检测手段，对装配式外墙板的接缝防水性能进行检测，检测数据应与BIM模型关联，建立外墙防水质量档案，对渗漏风险点进行标识和跟踪；</w:t>
      </w:r>
    </w:p>
    <w:p>
      <w:pPr>
        <w:pStyle w:val="44"/>
        <w:numPr>
          <w:ilvl w:val="0"/>
          <w:numId w:val="153"/>
        </w:numPr>
      </w:pPr>
      <w:r>
        <w:rPr>
          <w:rFonts w:hint="eastAsia"/>
        </w:rPr>
        <w:t>主体结构与部品部件变形协调质量控制：应采用位移传感器、应变计等智能监测设备，实时监测钢结构主体与外围护系统、内装系统之间的相对变形，监测数据应上传项目管理平台，当变形量超过设计允许值时自动预警，为变形协调控制提供数据支撑。</w:t>
      </w:r>
    </w:p>
    <w:p>
      <w:pPr>
        <w:pStyle w:val="46"/>
      </w:pPr>
      <w:r>
        <w:rPr>
          <w:rFonts w:hint="eastAsia"/>
        </w:rPr>
        <w:t>建筑施工过程中和完工后的建筑变形监测检测应符合下列规定：</w:t>
      </w:r>
    </w:p>
    <w:p>
      <w:pPr>
        <w:pStyle w:val="44"/>
        <w:numPr>
          <w:ilvl w:val="0"/>
          <w:numId w:val="154"/>
        </w:numPr>
      </w:pPr>
      <w:r>
        <w:rPr>
          <w:rFonts w:hint="eastAsia"/>
        </w:rPr>
        <w:t>施工过程中应对钢结构主体结构的沉降、倾斜、位移进行实时监测，采用北斗定位、全站仪自动化监测系统等手段，监测数据应自动采集并上传项目管理平台；</w:t>
      </w:r>
    </w:p>
    <w:p>
      <w:pPr>
        <w:pStyle w:val="44"/>
        <w:numPr>
          <w:ilvl w:val="0"/>
          <w:numId w:val="154"/>
        </w:numPr>
      </w:pPr>
      <w:r>
        <w:rPr>
          <w:rFonts w:hint="eastAsia"/>
        </w:rPr>
        <w:t>高层钢结构住宅应设置风速、风振加速度监测装置，实时监测风荷载作用下的结构响应，监测数据应上传项目管理平台进行分析；</w:t>
      </w:r>
    </w:p>
    <w:p>
      <w:pPr>
        <w:pStyle w:val="44"/>
        <w:numPr>
          <w:ilvl w:val="0"/>
          <w:numId w:val="154"/>
        </w:numPr>
      </w:pPr>
      <w:r>
        <w:rPr>
          <w:rFonts w:hint="eastAsia"/>
        </w:rPr>
        <w:t>完工后应对建筑整体进行三维激光扫描，生成竣工点云模型与BIM设计模型进行比对，检测施工精度和质量缺陷；</w:t>
      </w:r>
    </w:p>
    <w:p>
      <w:pPr>
        <w:pStyle w:val="44"/>
        <w:numPr>
          <w:ilvl w:val="0"/>
          <w:numId w:val="154"/>
        </w:numPr>
      </w:pPr>
      <w:r>
        <w:rPr>
          <w:rFonts w:hint="eastAsia"/>
        </w:rPr>
        <w:t>长期监测数据应形成建筑结构健康档案，为运维阶段的变形趋势分析和安全评估提供依据。</w:t>
      </w:r>
    </w:p>
    <w:p>
      <w:pPr>
        <w:pStyle w:val="46"/>
      </w:pPr>
      <w:r>
        <w:rPr>
          <w:rFonts w:hint="eastAsia"/>
        </w:rPr>
        <w:t>数据成果运用应符合下列规定：</w:t>
      </w:r>
    </w:p>
    <w:p>
      <w:pPr>
        <w:pStyle w:val="44"/>
        <w:numPr>
          <w:ilvl w:val="0"/>
          <w:numId w:val="155"/>
        </w:numPr>
      </w:pPr>
      <w:r>
        <w:rPr>
          <w:rFonts w:hint="eastAsia"/>
        </w:rPr>
        <w:t>各类检测数据应统一汇聚至项目管理平台，建立构件级、工序级质量数据库；</w:t>
      </w:r>
    </w:p>
    <w:p>
      <w:pPr>
        <w:pStyle w:val="44"/>
        <w:numPr>
          <w:ilvl w:val="0"/>
          <w:numId w:val="155"/>
        </w:numPr>
      </w:pPr>
      <w:r>
        <w:rPr>
          <w:rFonts w:hint="eastAsia"/>
        </w:rPr>
        <w:t>项目管理平台应具备数据分析能力，对质量检测数据进行统计分析，识别质量通病和高风险环节，自动预警并辅助质量决策；</w:t>
      </w:r>
    </w:p>
    <w:p>
      <w:pPr>
        <w:pStyle w:val="44"/>
        <w:numPr>
          <w:ilvl w:val="0"/>
          <w:numId w:val="155"/>
        </w:numPr>
      </w:pPr>
      <w:r>
        <w:rPr>
          <w:rFonts w:hint="eastAsia"/>
        </w:rPr>
        <w:t>可采用人工智能算法对检测数据进行深度挖掘，建立质量问题预测模型，实现质量风险的早期识别和主动防控；</w:t>
      </w:r>
    </w:p>
    <w:p>
      <w:pPr>
        <w:pStyle w:val="44"/>
        <w:numPr>
          <w:ilvl w:val="0"/>
          <w:numId w:val="155"/>
        </w:numPr>
      </w:pPr>
      <w:r>
        <w:rPr>
          <w:rFonts w:hint="eastAsia"/>
        </w:rPr>
        <w:t>检测数据成果应作为数字化竣工交付的重要组成部分，纳入建筑全生命周期数据资产。</w:t>
      </w:r>
    </w:p>
    <w:p>
      <w:pPr>
        <w:pStyle w:val="42"/>
        <w:spacing w:before="156" w:after="156"/>
      </w:pPr>
      <w:bookmarkStart w:id="223" w:name="_Toc241506590"/>
      <w:r>
        <w:rPr>
          <w:rFonts w:hint="eastAsia"/>
        </w:rPr>
        <w:t>数字化交付</w:t>
      </w:r>
      <w:bookmarkEnd w:id="223"/>
    </w:p>
    <w:p>
      <w:pPr>
        <w:pStyle w:val="46"/>
      </w:pPr>
      <w:r>
        <w:rPr>
          <w:rFonts w:hint="eastAsia"/>
        </w:rPr>
        <w:t>交付内容</w:t>
      </w:r>
    </w:p>
    <w:p>
      <w:pPr>
        <w:pStyle w:val="39"/>
        <w:ind w:firstLine="420"/>
      </w:pPr>
      <w:r>
        <w:rPr>
          <w:rFonts w:hint="eastAsia"/>
        </w:rPr>
        <w:t>工程竣工时</w:t>
      </w:r>
      <w:r>
        <w:t>宜</w:t>
      </w:r>
      <w:r>
        <w:rPr>
          <w:rFonts w:hint="eastAsia"/>
        </w:rPr>
        <w:t>交付与实体一致的BIM竣工模型，模型精度应满足运维管理要求，数字化交付内容应符合下列规定：</w:t>
      </w:r>
    </w:p>
    <w:p>
      <w:pPr>
        <w:pStyle w:val="44"/>
        <w:numPr>
          <w:ilvl w:val="0"/>
          <w:numId w:val="156"/>
        </w:numPr>
      </w:pPr>
      <w:r>
        <w:rPr>
          <w:rFonts w:hint="eastAsia"/>
        </w:rPr>
        <w:t>竣工模型应包含建筑、结构、机电、装修等全专业模型，模型精细度应达到LOD400及以上；</w:t>
      </w:r>
    </w:p>
    <w:p>
      <w:pPr>
        <w:pStyle w:val="44"/>
        <w:numPr>
          <w:ilvl w:val="0"/>
          <w:numId w:val="156"/>
        </w:numPr>
      </w:pPr>
      <w:r>
        <w:rPr>
          <w:rFonts w:hint="eastAsia"/>
        </w:rPr>
        <w:t>模型应关联设备设施信息（设备型号、技术参数、供应商信息、质保期限等）、材料信息（材料品牌、规格、性能参数等）、施工过程资料（隐蔽工程验收记录、检测报告、变更记录等）；</w:t>
      </w:r>
    </w:p>
    <w:p>
      <w:pPr>
        <w:pStyle w:val="44"/>
        <w:numPr>
          <w:ilvl w:val="0"/>
          <w:numId w:val="156"/>
        </w:numPr>
      </w:pPr>
      <w:r>
        <w:rPr>
          <w:rFonts w:hint="eastAsia"/>
        </w:rPr>
        <w:t>模型应包含构件级质量追溯信息，与生产阶段的二维码/RFID标识关联，实现从生产到运维的全生命周期数据贯通；</w:t>
      </w:r>
    </w:p>
    <w:p>
      <w:pPr>
        <w:pStyle w:val="44"/>
        <w:numPr>
          <w:ilvl w:val="0"/>
          <w:numId w:val="156"/>
        </w:numPr>
      </w:pPr>
      <w:r>
        <w:rPr>
          <w:rFonts w:hint="eastAsia"/>
        </w:rPr>
        <w:t>交付成果应包含模型使用说明书，明确模型的数据结构、编码体系、更新维护要求等。</w:t>
      </w:r>
    </w:p>
    <w:p>
      <w:pPr>
        <w:pStyle w:val="46"/>
      </w:pPr>
      <w:r>
        <w:rPr>
          <w:rFonts w:hint="eastAsia"/>
        </w:rPr>
        <w:t xml:space="preserve">交付要求 </w:t>
      </w:r>
    </w:p>
    <w:p>
      <w:pPr>
        <w:pStyle w:val="39"/>
        <w:ind w:firstLine="420"/>
      </w:pPr>
      <w:r>
        <w:rPr>
          <w:rFonts w:hint="eastAsia"/>
        </w:rPr>
        <w:t>竣工验收资料</w:t>
      </w:r>
      <w:r>
        <w:t>宜</w:t>
      </w:r>
      <w:r>
        <w:rPr>
          <w:rFonts w:hint="eastAsia"/>
        </w:rPr>
        <w:t>原生电子化，采用电子签章技术编制电子表单文件，并关联至BIM模型，实现数字化归档和交付。交付要求应符合下列规定：</w:t>
      </w:r>
    </w:p>
    <w:p>
      <w:pPr>
        <w:pStyle w:val="44"/>
        <w:numPr>
          <w:ilvl w:val="0"/>
          <w:numId w:val="157"/>
        </w:numPr>
      </w:pPr>
      <w:r>
        <w:rPr>
          <w:rFonts w:hint="eastAsia"/>
        </w:rPr>
        <w:t>交付数据应采用统一的格式和编码标准，确保数据在不同平台间的互操作性；</w:t>
      </w:r>
    </w:p>
    <w:p>
      <w:pPr>
        <w:pStyle w:val="44"/>
        <w:numPr>
          <w:ilvl w:val="0"/>
          <w:numId w:val="157"/>
        </w:numPr>
      </w:pPr>
      <w:r>
        <w:rPr>
          <w:rFonts w:hint="eastAsia"/>
        </w:rPr>
        <w:t>交付过程应通过数字化交付平台完成，实现交付流程线上化、交付资料可追溯；</w:t>
      </w:r>
    </w:p>
    <w:p>
      <w:pPr>
        <w:pStyle w:val="44"/>
        <w:numPr>
          <w:ilvl w:val="0"/>
          <w:numId w:val="157"/>
        </w:numPr>
      </w:pPr>
      <w:r>
        <w:rPr>
          <w:rFonts w:hint="eastAsia"/>
        </w:rPr>
        <w:t>交付资料应包括模型文件、图纸文件、文档资料、数据表格等，并建立统一的目录索引和检索机制。</w:t>
      </w:r>
    </w:p>
    <w:p>
      <w:pPr>
        <w:pStyle w:val="46"/>
      </w:pPr>
      <w:r>
        <w:rPr>
          <w:rFonts w:hint="eastAsia"/>
        </w:rPr>
        <w:t xml:space="preserve">数字档案管理 </w:t>
      </w:r>
    </w:p>
    <w:p>
      <w:pPr>
        <w:pStyle w:val="39"/>
        <w:ind w:firstLine="420"/>
      </w:pPr>
      <w:r>
        <w:rPr>
          <w:rFonts w:hint="eastAsia"/>
        </w:rPr>
        <w:t>建设工程数字档案管理应符合下列规定，按要求将竣工档案移交城建档案馆：</w:t>
      </w:r>
    </w:p>
    <w:p>
      <w:pPr>
        <w:pStyle w:val="44"/>
        <w:numPr>
          <w:ilvl w:val="0"/>
          <w:numId w:val="158"/>
        </w:numPr>
      </w:pPr>
      <w:r>
        <w:rPr>
          <w:rFonts w:hint="eastAsia"/>
        </w:rPr>
        <w:t>数字档案应包含项目全生命周期的核心数据资产，包括设计模型、施工过程数据、竣工模型、运维基础数据等；</w:t>
      </w:r>
    </w:p>
    <w:p>
      <w:pPr>
        <w:pStyle w:val="44"/>
        <w:numPr>
          <w:ilvl w:val="0"/>
          <w:numId w:val="158"/>
        </w:numPr>
      </w:pPr>
      <w:r>
        <w:rPr>
          <w:rFonts w:hint="eastAsia"/>
        </w:rPr>
        <w:t>数字档案应采用结构化数据格式存储，支持数据的检索、分析和再利用；</w:t>
      </w:r>
    </w:p>
    <w:p>
      <w:pPr>
        <w:pStyle w:val="44"/>
        <w:numPr>
          <w:ilvl w:val="0"/>
          <w:numId w:val="158"/>
        </w:numPr>
      </w:pPr>
      <w:r>
        <w:rPr>
          <w:rFonts w:hint="eastAsia"/>
        </w:rPr>
        <w:t>应探索实行数据资产入表，形成可控制、可度量的企业数据资产，为建筑全生命周期管理和后续改造升级提供数据支撑。</w:t>
      </w:r>
    </w:p>
    <w:p>
      <w:pPr>
        <w:pStyle w:val="46"/>
      </w:pPr>
      <w:r>
        <w:rPr>
          <w:rFonts w:hint="eastAsia"/>
        </w:rPr>
        <w:t>运维衔接与接口预留</w:t>
      </w:r>
    </w:p>
    <w:p>
      <w:pPr>
        <w:pStyle w:val="39"/>
        <w:ind w:firstLine="420"/>
      </w:pPr>
      <w:r>
        <w:rPr>
          <w:rFonts w:hint="eastAsia"/>
        </w:rPr>
        <w:t>建造阶段应为后期运维高效衔接创造条件，从接口预留、硬件部署、编码体系、数据基线、质保信息和运维文档等方面统筹考虑，并符合下列规定：</w:t>
      </w:r>
    </w:p>
    <w:p>
      <w:pPr>
        <w:pStyle w:val="44"/>
        <w:numPr>
          <w:ilvl w:val="0"/>
          <w:numId w:val="159"/>
        </w:numPr>
      </w:pPr>
      <w:r>
        <w:t>竣工模型应预留运维系统接入接口，包括设备监控、能耗管理、安防系统等数据接口，确保运维平台可无缝读取交付数据；结构健康监测数据传输端口应在施工阶段同步预留，通信协议和数据格式应与运维平台兼容。</w:t>
      </w:r>
    </w:p>
    <w:p>
      <w:pPr>
        <w:pStyle w:val="44"/>
        <w:numPr>
          <w:ilvl w:val="0"/>
          <w:numId w:val="159"/>
        </w:numPr>
      </w:pPr>
      <w:r>
        <w:t>结构健康监测所需的传感器宜在施工阶段随结构安装同步布设，并做好成品保护和标识；能耗计量仪表、环境监测设备等运维硬件应在施工阶段同步安装或预留安装条件，确保设备数据可接入后期运维平台。</w:t>
      </w:r>
    </w:p>
    <w:p>
      <w:pPr>
        <w:pStyle w:val="44"/>
        <w:numPr>
          <w:ilvl w:val="0"/>
          <w:numId w:val="159"/>
        </w:numPr>
      </w:pPr>
      <w:r>
        <w:t>竣工交付的设备设施应采用统一编码规则，赋予唯一的数字身份标识，与BIM模型构件关联对应，编码体系应兼容运维平台资产管理要求，确保运维阶段设备可追溯、可定位。</w:t>
      </w:r>
    </w:p>
    <w:p>
      <w:pPr>
        <w:pStyle w:val="44"/>
        <w:numPr>
          <w:ilvl w:val="0"/>
          <w:numId w:val="159"/>
        </w:numPr>
      </w:pPr>
      <w:r>
        <w:t>竣工交付数据应包含设备调试初始数据、监测基线数据、系统联调联试记录等运维所需的基础数据，确保运维阶段可直接调用，避免数据二次转换或重复采集。</w:t>
      </w:r>
    </w:p>
    <w:p>
      <w:pPr>
        <w:pStyle w:val="44"/>
        <w:numPr>
          <w:ilvl w:val="0"/>
          <w:numId w:val="159"/>
        </w:numPr>
      </w:pPr>
      <w:r>
        <w:t>竣工模型应关联设备质保期限、维护周期、供应商信息、备品备件清单等维护管理所需信息，为运维阶段预防性维护和备件管理提供依据。</w:t>
      </w:r>
    </w:p>
    <w:p>
      <w:pPr>
        <w:pStyle w:val="44"/>
        <w:numPr>
          <w:ilvl w:val="0"/>
          <w:numId w:val="159"/>
        </w:numPr>
      </w:pPr>
      <w:r>
        <w:t>竣工交付应包含设备操作手册、系统维护指南、应急预案等技术文档，并宜以数字化形式关联至BIM模型，确保运维人员可直接通过模型查阅设备运维资料。</w:t>
      </w:r>
    </w:p>
    <w:p>
      <w:pPr>
        <w:pStyle w:val="41"/>
        <w:spacing w:before="312" w:after="312"/>
      </w:pPr>
      <w:bookmarkStart w:id="224" w:name="_Toc241506591"/>
      <w:bookmarkStart w:id="225" w:name="_Toc28409"/>
      <w:r>
        <w:rPr>
          <w:rFonts w:hint="eastAsia"/>
        </w:rPr>
        <w:t>运维与消纳</w:t>
      </w:r>
      <w:bookmarkEnd w:id="224"/>
      <w:bookmarkEnd w:id="225"/>
    </w:p>
    <w:p>
      <w:pPr>
        <w:pStyle w:val="42"/>
        <w:spacing w:before="156" w:after="156"/>
      </w:pPr>
      <w:bookmarkStart w:id="226" w:name="_Toc241506592"/>
      <w:r>
        <w:rPr>
          <w:rFonts w:hint="eastAsia"/>
        </w:rPr>
        <w:t>一般规定</w:t>
      </w:r>
      <w:bookmarkEnd w:id="226"/>
    </w:p>
    <w:p>
      <w:pPr>
        <w:pStyle w:val="46"/>
      </w:pPr>
      <w:r>
        <w:rPr>
          <w:rFonts w:hint="eastAsia"/>
        </w:rPr>
        <w:t>钢结构装配式住宅的建设单位应建立全生命期管理制度，依据设计文件注明的设计条件、使用性质及使用环境，制定并交付《钢结构装配式住宅使用说明书》。</w:t>
      </w:r>
    </w:p>
    <w:p>
      <w:pPr>
        <w:pStyle w:val="46"/>
      </w:pPr>
      <w:r>
        <w:rPr>
          <w:rFonts w:hint="eastAsia"/>
        </w:rPr>
        <w:t>钢结构装配式住宅的建设单位向用户销售、交付时，应按国家和湖北省有关规定要求提供《钢结构装配式住宅使用说明书》和《钢结构装配式住宅质量保证书》。建设单位应按规定向物业服务企业移交相关技术资料。鼓励采用BIM数字化交付方式移交运维数据。</w:t>
      </w:r>
    </w:p>
    <w:p>
      <w:pPr>
        <w:pStyle w:val="46"/>
      </w:pPr>
      <w:r>
        <w:rPr>
          <w:rFonts w:hint="eastAsia"/>
        </w:rPr>
        <w:t>《钢结构装配式住宅使用说明书》除应符合现行国家相关规定外，尚应包含下列内容：</w:t>
      </w:r>
    </w:p>
    <w:p>
      <w:pPr>
        <w:pStyle w:val="44"/>
        <w:numPr>
          <w:ilvl w:val="0"/>
          <w:numId w:val="160"/>
        </w:numPr>
      </w:pPr>
      <w:r>
        <w:rPr>
          <w:rFonts w:hint="eastAsia"/>
        </w:rPr>
        <w:t>结构系统、外围护系统、设备管线系统和内装系统的构成、功能及使用、检查与维护要求；</w:t>
      </w:r>
    </w:p>
    <w:p>
      <w:pPr>
        <w:pStyle w:val="44"/>
        <w:numPr>
          <w:ilvl w:val="0"/>
          <w:numId w:val="160"/>
        </w:numPr>
      </w:pPr>
      <w:r>
        <w:rPr>
          <w:rFonts w:hint="eastAsia"/>
        </w:rPr>
        <w:t>钢结构构件防腐、防火涂层的使用年限及日常维护注意事项，钢结构构件连接节点在使用过程中的检查要点和方法；</w:t>
      </w:r>
    </w:p>
    <w:p>
      <w:pPr>
        <w:pStyle w:val="44"/>
        <w:numPr>
          <w:ilvl w:val="0"/>
          <w:numId w:val="160"/>
        </w:numPr>
      </w:pPr>
      <w:r>
        <w:rPr>
          <w:rFonts w:hint="eastAsia"/>
        </w:rPr>
        <w:t>装配式外墙板的防水构造检查要求，接缝密封胶的使用年限及更换周期；</w:t>
      </w:r>
    </w:p>
    <w:p>
      <w:pPr>
        <w:pStyle w:val="44"/>
        <w:numPr>
          <w:ilvl w:val="0"/>
          <w:numId w:val="160"/>
        </w:numPr>
      </w:pPr>
      <w:r>
        <w:rPr>
          <w:rFonts w:hint="eastAsia"/>
        </w:rPr>
        <w:t>部品部件生产厂、供应商提供的产品使用维护说明书，主要部品部件应注明检查与维护年限。</w:t>
      </w:r>
    </w:p>
    <w:p>
      <w:pPr>
        <w:pStyle w:val="42"/>
        <w:spacing w:before="156" w:after="156"/>
      </w:pPr>
      <w:bookmarkStart w:id="227" w:name="_Toc241506593"/>
      <w:r>
        <w:rPr>
          <w:rFonts w:hint="eastAsia"/>
        </w:rPr>
        <w:t>结构健康监测</w:t>
      </w:r>
      <w:bookmarkEnd w:id="227"/>
    </w:p>
    <w:p>
      <w:pPr>
        <w:pStyle w:val="46"/>
      </w:pPr>
      <w:r>
        <w:rPr>
          <w:rFonts w:hint="eastAsia"/>
        </w:rPr>
        <w:t>设计阶段宜根据建筑的重要性、高度、场地条件及结构特点，对钢结构装配式住宅进行结构健康监测专项设计。监测方案应明确监测内容、传感器类型、布点位置、采集频率、数据传输方式及预警阈值。监测数据宜接入项目管理平台或运维平台，实现结构状态的可视化展示与长期趋势分析。</w:t>
      </w:r>
    </w:p>
    <w:p>
      <w:pPr>
        <w:pStyle w:val="46"/>
      </w:pPr>
      <w:r>
        <w:rPr>
          <w:rFonts w:hint="eastAsia"/>
        </w:rPr>
        <w:t>结构健康监测系统的传感器宜在施工阶段随结构安装同步布设，传感器的预埋应符合设计要求，并做好成品保护和标识。监测数据应按设定的频率连续采集，经分析处理后形成结构健康报告。当监测数据超过预警阈值时，系统应自动报警并通知相关责任方。</w:t>
      </w:r>
    </w:p>
    <w:p>
      <w:pPr>
        <w:pStyle w:val="46"/>
      </w:pPr>
      <w:r>
        <w:rPr>
          <w:rFonts w:hint="eastAsia"/>
        </w:rPr>
        <w:t>建设单位宜根据项目特点，在运维期委托具备相应资质的专业机构，定期对监测数据进行分析和评估，形成结构安全评估报告。运营维护阶段应建立结构安全档案，记录监测数据、评估结果及维护记录，为建筑的长期安全运行提供依据。</w:t>
      </w:r>
    </w:p>
    <w:p>
      <w:pPr>
        <w:pStyle w:val="42"/>
        <w:spacing w:before="156" w:after="156"/>
      </w:pPr>
      <w:bookmarkStart w:id="228" w:name="_Toc241506594"/>
      <w:r>
        <w:rPr>
          <w:rFonts w:hint="eastAsia"/>
        </w:rPr>
        <w:t>运维管理</w:t>
      </w:r>
      <w:bookmarkEnd w:id="228"/>
    </w:p>
    <w:p>
      <w:pPr>
        <w:pStyle w:val="46"/>
      </w:pPr>
      <w:r>
        <w:rPr>
          <w:rFonts w:hint="eastAsia"/>
        </w:rPr>
        <w:t>钢结构装配式住宅的业主或使用人不得擅自改变原设计文件中规定的使用条件、使用性质及使用环境。因实际需要确需改变时，应按有关规定进行技术评估，并取得原设计单位或具有相应资质的设计单位同意。</w:t>
      </w:r>
    </w:p>
    <w:p>
      <w:pPr>
        <w:pStyle w:val="46"/>
      </w:pPr>
      <w:r>
        <w:rPr>
          <w:rFonts w:hint="eastAsia"/>
        </w:rPr>
        <w:t>进行室内装饰装修及使用过程中，严禁对钢结构构件进行切割、开孔、焊接等损伤主体结构的行为。装修和使用中发生下列情况之一时，应由原设计单位或具有相应资质的设计单位提出技术方案，并按设计规定的技术要求进行施工及验收：</w:t>
      </w:r>
    </w:p>
    <w:p>
      <w:pPr>
        <w:pStyle w:val="44"/>
        <w:numPr>
          <w:ilvl w:val="0"/>
          <w:numId w:val="161"/>
        </w:numPr>
      </w:pPr>
      <w:r>
        <w:rPr>
          <w:rFonts w:hint="eastAsia"/>
        </w:rPr>
        <w:t>装修和使用过程中超过设计文件规定的楼面装修荷载或使用荷载；</w:t>
      </w:r>
    </w:p>
    <w:p>
      <w:pPr>
        <w:pStyle w:val="44"/>
        <w:numPr>
          <w:ilvl w:val="0"/>
          <w:numId w:val="161"/>
        </w:numPr>
      </w:pPr>
      <w:r>
        <w:rPr>
          <w:rFonts w:hint="eastAsia"/>
        </w:rPr>
        <w:t>装修和使用过程中改变或损坏钢结构防火、防腐蚀保护层及构造措施；</w:t>
      </w:r>
    </w:p>
    <w:p>
      <w:pPr>
        <w:pStyle w:val="44"/>
        <w:numPr>
          <w:ilvl w:val="0"/>
          <w:numId w:val="161"/>
        </w:numPr>
      </w:pPr>
      <w:r>
        <w:rPr>
          <w:rFonts w:hint="eastAsia"/>
        </w:rPr>
        <w:t>装修和使用过程中改变或损坏建筑节能保温、外墙及屋面防水相关构造措施；</w:t>
      </w:r>
    </w:p>
    <w:p>
      <w:pPr>
        <w:pStyle w:val="44"/>
        <w:numPr>
          <w:ilvl w:val="0"/>
          <w:numId w:val="161"/>
        </w:numPr>
      </w:pPr>
      <w:r>
        <w:rPr>
          <w:rFonts w:hint="eastAsia"/>
        </w:rPr>
        <w:t>装修和使用过程中改变或损坏承重构件。</w:t>
      </w:r>
    </w:p>
    <w:p>
      <w:pPr>
        <w:pStyle w:val="46"/>
      </w:pPr>
      <w:r>
        <w:rPr>
          <w:rFonts w:hint="eastAsia"/>
        </w:rPr>
        <w:t>钢结构构件的防腐蚀保护层的设计使用年限不应小于25年。使用方应按设计要求对钢结构防腐蚀涂层和防火保护层进行定期检查和维护，发现涂层开裂、剥落或锈蚀时，应及时修补并做好记录。</w:t>
      </w:r>
    </w:p>
    <w:p>
      <w:pPr>
        <w:pStyle w:val="46"/>
      </w:pPr>
      <w:r>
        <w:rPr>
          <w:rFonts w:hint="eastAsia"/>
        </w:rPr>
        <w:t>物业服务单位应做到下列服务：</w:t>
      </w:r>
    </w:p>
    <w:p>
      <w:pPr>
        <w:pStyle w:val="44"/>
        <w:numPr>
          <w:ilvl w:val="0"/>
          <w:numId w:val="162"/>
        </w:numPr>
      </w:pPr>
      <w:r>
        <w:rPr>
          <w:rFonts w:hint="eastAsia"/>
        </w:rPr>
        <w:t>应与业主共同制定《物业检查与维护更新计划》；</w:t>
      </w:r>
    </w:p>
    <w:p>
      <w:pPr>
        <w:pStyle w:val="44"/>
        <w:numPr>
          <w:ilvl w:val="0"/>
          <w:numId w:val="162"/>
        </w:numPr>
      </w:pPr>
      <w:r>
        <w:rPr>
          <w:rFonts w:hint="eastAsia"/>
        </w:rPr>
        <w:t>应建立对结构系统、外围护系统、内装系统和设备管线系统的检查与维护制度；</w:t>
      </w:r>
    </w:p>
    <w:p>
      <w:pPr>
        <w:pStyle w:val="44"/>
        <w:numPr>
          <w:ilvl w:val="0"/>
          <w:numId w:val="162"/>
        </w:numPr>
      </w:pPr>
      <w:r>
        <w:rPr>
          <w:rFonts w:hint="eastAsia"/>
        </w:rPr>
        <w:t>应明确定期检查时间与部位，并形成检查与维护记录；</w:t>
      </w:r>
    </w:p>
    <w:p>
      <w:pPr>
        <w:pStyle w:val="44"/>
        <w:numPr>
          <w:ilvl w:val="0"/>
          <w:numId w:val="162"/>
        </w:numPr>
      </w:pPr>
      <w:r>
        <w:rPr>
          <w:rFonts w:hint="eastAsia"/>
        </w:rPr>
        <w:t>应将钢结构装配式住宅装饰装修和使用中的禁止行为和注意事项告知业主或用户，并在室内装饰装修过程中进行检查督促。</w:t>
      </w:r>
    </w:p>
    <w:p>
      <w:pPr>
        <w:pStyle w:val="46"/>
      </w:pPr>
      <w:r>
        <w:rPr>
          <w:rFonts w:hint="eastAsia"/>
        </w:rPr>
        <w:t>物业服务宜采用信息化手段，建立建筑、部品部件、设备与管线的管理档案。条件允许时，宜将运维数据与BIM竣工模型关联，实现基于数字孪生的可视化运维管理。</w:t>
      </w:r>
    </w:p>
    <w:p>
      <w:pPr>
        <w:pStyle w:val="42"/>
        <w:spacing w:before="156" w:after="156"/>
      </w:pPr>
      <w:bookmarkStart w:id="229" w:name="_Toc241506595"/>
      <w:r>
        <w:rPr>
          <w:rFonts w:hint="eastAsia"/>
        </w:rPr>
        <w:t>围护系统维护</w:t>
      </w:r>
      <w:bookmarkEnd w:id="229"/>
    </w:p>
    <w:p>
      <w:pPr>
        <w:pStyle w:val="46"/>
      </w:pPr>
      <w:r>
        <w:rPr>
          <w:rFonts w:hint="eastAsia"/>
        </w:rPr>
        <w:t>外围护系统使用方应按设计要求对外墙板、屋面、外门窗等部品部件进行定期检查，检查周期不应超过6个月。在极端天气（台风、暴雨、大雪等）前后，应及时进行专项检查。</w:t>
      </w:r>
    </w:p>
    <w:p>
      <w:pPr>
        <w:pStyle w:val="46"/>
      </w:pPr>
      <w:r>
        <w:rPr>
          <w:rFonts w:hint="eastAsia"/>
        </w:rPr>
        <w:t>装配式外墙板的检查与维护应符合下列规定：</w:t>
      </w:r>
    </w:p>
    <w:p>
      <w:pPr>
        <w:pStyle w:val="44"/>
        <w:numPr>
          <w:ilvl w:val="0"/>
          <w:numId w:val="163"/>
        </w:numPr>
      </w:pPr>
      <w:r>
        <w:rPr>
          <w:rFonts w:hint="eastAsia"/>
        </w:rPr>
        <w:t>应检查外墙板与主体结构连接件的完好性，确认无松动、锈蚀或脱落；</w:t>
      </w:r>
    </w:p>
    <w:p>
      <w:pPr>
        <w:pStyle w:val="44"/>
        <w:numPr>
          <w:ilvl w:val="0"/>
          <w:numId w:val="163"/>
        </w:numPr>
      </w:pPr>
      <w:r>
        <w:rPr>
          <w:rFonts w:hint="eastAsia"/>
        </w:rPr>
        <w:t>应检查外墙板接缝密封胶的粘结性和弹性，发现开裂、脱落或老化时应及时修补或更换；</w:t>
      </w:r>
    </w:p>
    <w:p>
      <w:pPr>
        <w:pStyle w:val="44"/>
        <w:numPr>
          <w:ilvl w:val="0"/>
          <w:numId w:val="163"/>
        </w:numPr>
      </w:pPr>
      <w:r>
        <w:rPr>
          <w:rFonts w:hint="eastAsia"/>
        </w:rPr>
        <w:t>应检查外墙保温层的完整性，确认无空鼓、脱落或受潮；</w:t>
      </w:r>
    </w:p>
    <w:p>
      <w:pPr>
        <w:pStyle w:val="44"/>
        <w:numPr>
          <w:ilvl w:val="0"/>
          <w:numId w:val="163"/>
        </w:numPr>
      </w:pPr>
      <w:r>
        <w:rPr>
          <w:rFonts w:hint="eastAsia"/>
        </w:rPr>
        <w:t>对出现渗漏的部位，应及时查明原因并采取修复措施。</w:t>
      </w:r>
    </w:p>
    <w:p>
      <w:pPr>
        <w:pStyle w:val="46"/>
      </w:pPr>
      <w:r>
        <w:rPr>
          <w:rFonts w:hint="eastAsia"/>
        </w:rPr>
        <w:t>屋面围护系统的检查与维护应符合下列规定：</w:t>
      </w:r>
    </w:p>
    <w:p>
      <w:pPr>
        <w:pStyle w:val="44"/>
        <w:numPr>
          <w:ilvl w:val="0"/>
          <w:numId w:val="164"/>
        </w:numPr>
      </w:pPr>
      <w:r>
        <w:rPr>
          <w:rFonts w:hint="eastAsia"/>
        </w:rPr>
        <w:t>金属屋面应定期检查屋面板的连接固定情况，确认无松动、翘曲或破损；</w:t>
      </w:r>
    </w:p>
    <w:p>
      <w:pPr>
        <w:pStyle w:val="44"/>
        <w:numPr>
          <w:ilvl w:val="0"/>
          <w:numId w:val="164"/>
        </w:numPr>
      </w:pPr>
      <w:r>
        <w:rPr>
          <w:rFonts w:hint="eastAsia"/>
        </w:rPr>
        <w:t>应检查屋面防水层的完整性和排水系统的通畅性，及时清理堵塞物；</w:t>
      </w:r>
    </w:p>
    <w:p>
      <w:pPr>
        <w:pStyle w:val="44"/>
        <w:numPr>
          <w:ilvl w:val="0"/>
          <w:numId w:val="164"/>
        </w:numPr>
      </w:pPr>
      <w:r>
        <w:rPr>
          <w:rFonts w:hint="eastAsia"/>
        </w:rPr>
        <w:t>压型钢板组合屋面的防腐涂层出现锈蚀时，应及时进行除锈和涂装修补。</w:t>
      </w:r>
    </w:p>
    <w:p>
      <w:pPr>
        <w:pStyle w:val="42"/>
        <w:spacing w:before="156" w:after="156"/>
      </w:pPr>
      <w:bookmarkStart w:id="230" w:name="_Toc241506596"/>
      <w:r>
        <w:rPr>
          <w:rFonts w:hint="eastAsia"/>
        </w:rPr>
        <w:t>数字化运维</w:t>
      </w:r>
      <w:bookmarkEnd w:id="230"/>
    </w:p>
    <w:p>
      <w:pPr>
        <w:pStyle w:val="46"/>
      </w:pPr>
      <w:r>
        <w:rPr>
          <w:rFonts w:hint="eastAsia"/>
        </w:rPr>
        <w:t>建筑面积在5万m²及以上的大型钢结构装配式住宅社区，宜建立基于BIM的数字化运维管理平台。运维平台应具备以下功能：</w:t>
      </w:r>
    </w:p>
    <w:p>
      <w:pPr>
        <w:pStyle w:val="44"/>
        <w:numPr>
          <w:ilvl w:val="0"/>
          <w:numId w:val="165"/>
        </w:numPr>
      </w:pPr>
      <w:r>
        <w:rPr>
          <w:rFonts w:hint="eastAsia"/>
        </w:rPr>
        <w:t>资产管理：可视化展示建筑结构、部品部件、隐蔽管线、设备设施等信息，支撑运维管理决策；</w:t>
      </w:r>
    </w:p>
    <w:p>
      <w:pPr>
        <w:pStyle w:val="44"/>
        <w:numPr>
          <w:ilvl w:val="0"/>
          <w:numId w:val="165"/>
        </w:numPr>
      </w:pPr>
      <w:r>
        <w:rPr>
          <w:rFonts w:hint="eastAsia"/>
        </w:rPr>
        <w:t>设备运行监控：实时监测电梯、空调、给排水、供配电等主要设备的运行状态，实现故障预警、远程诊断和智能派单；</w:t>
      </w:r>
    </w:p>
    <w:p>
      <w:pPr>
        <w:pStyle w:val="44"/>
        <w:numPr>
          <w:ilvl w:val="0"/>
          <w:numId w:val="165"/>
        </w:numPr>
      </w:pPr>
      <w:r>
        <w:rPr>
          <w:rFonts w:hint="eastAsia"/>
        </w:rPr>
        <w:t>能耗管理：对接智能电表、水表、燃气表等，实时监测建筑能耗数据，进行能耗分析和节能优化建议；</w:t>
      </w:r>
    </w:p>
    <w:p>
      <w:pPr>
        <w:pStyle w:val="44"/>
        <w:numPr>
          <w:ilvl w:val="0"/>
          <w:numId w:val="165"/>
        </w:numPr>
      </w:pPr>
      <w:r>
        <w:rPr>
          <w:rFonts w:hint="eastAsia"/>
        </w:rPr>
        <w:t>安防管理：集成视频监控、门禁控制、入侵报警等系统，实现安全风险智能预警。</w:t>
      </w:r>
    </w:p>
    <w:p>
      <w:pPr>
        <w:pStyle w:val="46"/>
      </w:pPr>
      <w:r>
        <w:rPr>
          <w:rFonts w:hint="eastAsia"/>
        </w:rPr>
        <w:t>运维平台宜与BIM竣工模型、生产阶段部品部件追溯数据进行关联，实现“构件级”质量追溯。当部品部件出现质量问题时，运维平台应能快速定位并调取该构件的生产信息、安装记录、质检报告等资料。对于钢结构装配式住宅，运维平台宜关联钢结构构件的生产批次信息及出厂质量证明文件。</w:t>
      </w:r>
    </w:p>
    <w:p>
      <w:pPr>
        <w:pStyle w:val="42"/>
        <w:spacing w:before="156" w:after="156"/>
      </w:pPr>
      <w:bookmarkStart w:id="231" w:name="_Toc241506597"/>
      <w:r>
        <w:rPr>
          <w:rFonts w:hint="eastAsia"/>
        </w:rPr>
        <w:t>拆除前评估</w:t>
      </w:r>
      <w:bookmarkEnd w:id="231"/>
    </w:p>
    <w:p>
      <w:pPr>
        <w:pStyle w:val="46"/>
      </w:pPr>
      <w:r>
        <w:rPr>
          <w:rFonts w:hint="eastAsia"/>
        </w:rPr>
        <w:t>钢结构装配式住宅在达到设计使用年限或拟进行拆除前，应对建筑进行结构安全鉴定和环境影响评估。结构安全鉴定应委托具有相应资质的检测鉴定机构进行，主要内容包括：</w:t>
      </w:r>
    </w:p>
    <w:p>
      <w:pPr>
        <w:pStyle w:val="44"/>
        <w:numPr>
          <w:ilvl w:val="0"/>
          <w:numId w:val="166"/>
        </w:numPr>
      </w:pPr>
      <w:r>
        <w:rPr>
          <w:rFonts w:hint="eastAsia"/>
        </w:rPr>
        <w:t>钢结构构件的腐蚀程度、截面损伤情况及剩余承载力；</w:t>
      </w:r>
    </w:p>
    <w:p>
      <w:pPr>
        <w:pStyle w:val="44"/>
        <w:numPr>
          <w:ilvl w:val="0"/>
          <w:numId w:val="166"/>
        </w:numPr>
      </w:pPr>
      <w:r>
        <w:rPr>
          <w:rFonts w:hint="eastAsia"/>
        </w:rPr>
        <w:t>连接节点的完好性和可靠性；</w:t>
      </w:r>
    </w:p>
    <w:p>
      <w:pPr>
        <w:pStyle w:val="44"/>
        <w:numPr>
          <w:ilvl w:val="0"/>
          <w:numId w:val="166"/>
        </w:numPr>
      </w:pPr>
      <w:r>
        <w:rPr>
          <w:rFonts w:hint="eastAsia"/>
        </w:rPr>
        <w:t>钢结构保护层（防火、防腐）的剩余有效年限；</w:t>
      </w:r>
    </w:p>
    <w:p>
      <w:pPr>
        <w:pStyle w:val="44"/>
        <w:numPr>
          <w:ilvl w:val="0"/>
          <w:numId w:val="166"/>
        </w:numPr>
      </w:pPr>
      <w:r>
        <w:rPr>
          <w:rFonts w:hint="eastAsia"/>
        </w:rPr>
        <w:t>主体结构的整体稳定性。</w:t>
      </w:r>
    </w:p>
    <w:p>
      <w:pPr>
        <w:pStyle w:val="46"/>
      </w:pPr>
      <w:r>
        <w:rPr>
          <w:rFonts w:hint="eastAsia"/>
        </w:rPr>
        <w:t>拆除前的环境影响评估应包括下列内容：</w:t>
      </w:r>
    </w:p>
    <w:p>
      <w:pPr>
        <w:pStyle w:val="44"/>
        <w:numPr>
          <w:ilvl w:val="0"/>
          <w:numId w:val="167"/>
        </w:numPr>
      </w:pPr>
      <w:r>
        <w:rPr>
          <w:rFonts w:hint="eastAsia"/>
        </w:rPr>
        <w:t>拆除过程中可能产生的扬尘、噪声、振动等环境影响分析及控制措施；</w:t>
      </w:r>
    </w:p>
    <w:p>
      <w:pPr>
        <w:pStyle w:val="44"/>
        <w:numPr>
          <w:ilvl w:val="0"/>
          <w:numId w:val="167"/>
        </w:numPr>
      </w:pPr>
      <w:r>
        <w:rPr>
          <w:rFonts w:hint="eastAsia"/>
        </w:rPr>
        <w:t>建筑废弃物产生量估算及分类处置方案；</w:t>
      </w:r>
    </w:p>
    <w:p>
      <w:pPr>
        <w:pStyle w:val="44"/>
        <w:numPr>
          <w:ilvl w:val="0"/>
          <w:numId w:val="167"/>
        </w:numPr>
      </w:pPr>
      <w:r>
        <w:rPr>
          <w:rFonts w:hint="eastAsia"/>
        </w:rPr>
        <w:t>可回收部品部件的识别及回收利用方案；</w:t>
      </w:r>
    </w:p>
    <w:p>
      <w:pPr>
        <w:pStyle w:val="44"/>
        <w:numPr>
          <w:ilvl w:val="0"/>
          <w:numId w:val="167"/>
        </w:numPr>
      </w:pPr>
      <w:r>
        <w:rPr>
          <w:rFonts w:hint="eastAsia"/>
        </w:rPr>
        <w:t>拆除作业对周边环境和居民生活的影响评估。</w:t>
      </w:r>
    </w:p>
    <w:p>
      <w:pPr>
        <w:pStyle w:val="42"/>
        <w:spacing w:before="156" w:after="156"/>
      </w:pPr>
      <w:bookmarkStart w:id="232" w:name="_Toc241506598"/>
      <w:r>
        <w:rPr>
          <w:rFonts w:hint="eastAsia"/>
        </w:rPr>
        <w:t>拆除与资源化利用</w:t>
      </w:r>
      <w:bookmarkEnd w:id="232"/>
    </w:p>
    <w:p>
      <w:pPr>
        <w:pStyle w:val="46"/>
      </w:pPr>
      <w:r>
        <w:rPr>
          <w:rFonts w:hint="eastAsia"/>
        </w:rPr>
        <w:t>钢结构装配式住宅的拆除应依据拆除前评估报告制定详细的绿色拆除方案。拆除方案经建设单位组织专家论证后实施。拆除施工应遵循“安全第一、绿色优先、分类处置、循环利用”的原则。</w:t>
      </w:r>
    </w:p>
    <w:p>
      <w:pPr>
        <w:pStyle w:val="46"/>
      </w:pPr>
      <w:r>
        <w:rPr>
          <w:rFonts w:hint="eastAsia"/>
        </w:rPr>
        <w:t>拆除方案应包括下列内容：</w:t>
      </w:r>
    </w:p>
    <w:p>
      <w:pPr>
        <w:pStyle w:val="44"/>
        <w:numPr>
          <w:ilvl w:val="0"/>
          <w:numId w:val="168"/>
        </w:numPr>
      </w:pPr>
      <w:r>
        <w:rPr>
          <w:rFonts w:hint="eastAsia"/>
        </w:rPr>
        <w:t>拆除顺序及方法，应优先采用构件单元化拆除方案，避免现场解体；</w:t>
      </w:r>
    </w:p>
    <w:p>
      <w:pPr>
        <w:pStyle w:val="44"/>
        <w:numPr>
          <w:ilvl w:val="0"/>
          <w:numId w:val="168"/>
        </w:numPr>
      </w:pPr>
      <w:r>
        <w:rPr>
          <w:rFonts w:hint="eastAsia"/>
        </w:rPr>
        <w:t>拆除机械及设备的选择与布置；</w:t>
      </w:r>
    </w:p>
    <w:p>
      <w:pPr>
        <w:pStyle w:val="44"/>
        <w:numPr>
          <w:ilvl w:val="0"/>
          <w:numId w:val="168"/>
        </w:numPr>
      </w:pPr>
      <w:r>
        <w:rPr>
          <w:rFonts w:hint="eastAsia"/>
        </w:rPr>
        <w:t>扬尘、噪声、振动控制措施，应采取封闭式作业或局部隔音、降尘措施；</w:t>
      </w:r>
    </w:p>
    <w:p>
      <w:pPr>
        <w:pStyle w:val="44"/>
        <w:numPr>
          <w:ilvl w:val="0"/>
          <w:numId w:val="168"/>
        </w:numPr>
      </w:pPr>
      <w:r>
        <w:rPr>
          <w:rFonts w:hint="eastAsia"/>
        </w:rPr>
        <w:t>拆除作业安全防护措施及应急预案；</w:t>
      </w:r>
    </w:p>
    <w:p>
      <w:pPr>
        <w:pStyle w:val="44"/>
        <w:numPr>
          <w:ilvl w:val="0"/>
          <w:numId w:val="168"/>
        </w:numPr>
      </w:pPr>
      <w:r>
        <w:rPr>
          <w:rFonts w:hint="eastAsia"/>
        </w:rPr>
        <w:t>建筑废弃物分类、收集、运输及处置方案。</w:t>
      </w:r>
    </w:p>
    <w:p>
      <w:pPr>
        <w:pStyle w:val="46"/>
      </w:pPr>
      <w:r>
        <w:rPr>
          <w:rFonts w:hint="eastAsia"/>
        </w:rPr>
        <w:t>钢结构装配式住宅拆除应采用构件单元化拆除方法，按照与装配施工相反的顺序进行拆除，减少现场切割和破碎作业。拆除过程中应采取以下措施保护可回收部品部件的完整性：</w:t>
      </w:r>
    </w:p>
    <w:p>
      <w:pPr>
        <w:pStyle w:val="44"/>
        <w:numPr>
          <w:ilvl w:val="0"/>
          <w:numId w:val="169"/>
        </w:numPr>
      </w:pPr>
      <w:r>
        <w:rPr>
          <w:rFonts w:hint="eastAsia"/>
        </w:rPr>
        <w:t>对拟回收利用的钢结构构件，应在拆除前做好标识和保护；</w:t>
      </w:r>
    </w:p>
    <w:p>
      <w:pPr>
        <w:pStyle w:val="44"/>
        <w:numPr>
          <w:ilvl w:val="0"/>
          <w:numId w:val="169"/>
        </w:numPr>
      </w:pPr>
      <w:r>
        <w:rPr>
          <w:rFonts w:hint="eastAsia"/>
        </w:rPr>
        <w:t>高强螺栓等连接件应采用专用工具拆卸，不得强行切割；</w:t>
      </w:r>
    </w:p>
    <w:p>
      <w:pPr>
        <w:pStyle w:val="44"/>
        <w:numPr>
          <w:ilvl w:val="0"/>
          <w:numId w:val="169"/>
        </w:numPr>
      </w:pPr>
      <w:r>
        <w:rPr>
          <w:rFonts w:hint="eastAsia"/>
        </w:rPr>
        <w:t>拆除后的构件应及时分类存放，避免二次损伤。</w:t>
      </w:r>
    </w:p>
    <w:p>
      <w:pPr>
        <w:pStyle w:val="46"/>
      </w:pPr>
      <w:r>
        <w:rPr>
          <w:rFonts w:hint="eastAsia"/>
        </w:rPr>
        <w:t>钢结构装配式住宅拆除产生的建筑废弃物应按下列要求分类处置：</w:t>
      </w:r>
    </w:p>
    <w:p>
      <w:pPr>
        <w:pStyle w:val="44"/>
        <w:numPr>
          <w:ilvl w:val="0"/>
          <w:numId w:val="170"/>
        </w:numPr>
      </w:pPr>
      <w:r>
        <w:rPr>
          <w:rFonts w:hint="eastAsia"/>
        </w:rPr>
        <w:t>钢结构构件应进行构件级分类回收，不宜混杂破碎处理。回收的钢材可直接用于再制造或回炉冶炼；</w:t>
      </w:r>
    </w:p>
    <w:p>
      <w:pPr>
        <w:pStyle w:val="44"/>
        <w:numPr>
          <w:ilvl w:val="0"/>
          <w:numId w:val="170"/>
        </w:numPr>
      </w:pPr>
      <w:r>
        <w:rPr>
          <w:rFonts w:hint="eastAsia"/>
        </w:rPr>
        <w:t>墙体、楼板等混凝土构件可破碎加工为再生骨料，用于再生建材生产；</w:t>
      </w:r>
    </w:p>
    <w:p>
      <w:pPr>
        <w:pStyle w:val="44"/>
        <w:numPr>
          <w:ilvl w:val="0"/>
          <w:numId w:val="170"/>
        </w:numPr>
      </w:pPr>
      <w:r>
        <w:rPr>
          <w:rFonts w:hint="eastAsia"/>
        </w:rPr>
        <w:t>门窗、管线等附属设施应分类拆除，交由专业回收单位处理；</w:t>
      </w:r>
    </w:p>
    <w:p>
      <w:pPr>
        <w:pStyle w:val="44"/>
        <w:numPr>
          <w:ilvl w:val="0"/>
          <w:numId w:val="170"/>
        </w:numPr>
      </w:pPr>
      <w:r>
        <w:rPr>
          <w:rFonts w:hint="eastAsia"/>
        </w:rPr>
        <w:t>保温材料、密封材料等应分类收集，按环保要求处置。</w:t>
      </w:r>
    </w:p>
    <w:p>
      <w:pPr>
        <w:pStyle w:val="46"/>
      </w:pPr>
      <w:r>
        <w:rPr>
          <w:rFonts w:hint="eastAsia"/>
        </w:rPr>
        <w:t>鼓励采用智能化拆除装备，提高拆除效率和资源化利用率。拆除过程中的碳排放应符合国家和湖北省有关建筑碳减排的规定。拆除施工宜采用装配式钢构件、装配式围蔽等可重复利用的临时设施。</w:t>
      </w:r>
    </w:p>
    <w:p>
      <w:pPr>
        <w:pStyle w:val="46"/>
      </w:pPr>
      <w:r>
        <w:rPr>
          <w:rFonts w:hint="eastAsia"/>
        </w:rPr>
        <w:t>钢结构装配式住宅拆除过程中，宜建立拆除管理信息化平台，通过BIM模型记录拆除进度、废弃物分类数据及资源化利用情况，形成拆除与回收利用数据档案，为后续建筑的循环利用提供参考依据。</w:t>
      </w:r>
    </w:p>
    <w:p>
      <w:pPr>
        <w:pStyle w:val="42"/>
        <w:spacing w:before="156" w:after="156"/>
      </w:pPr>
      <w:bookmarkStart w:id="233" w:name="_Toc241506599"/>
      <w:r>
        <w:rPr>
          <w:rFonts w:hint="eastAsia"/>
        </w:rPr>
        <w:t>全生命周期碳排放管理</w:t>
      </w:r>
      <w:bookmarkEnd w:id="233"/>
    </w:p>
    <w:p>
      <w:pPr>
        <w:pStyle w:val="46"/>
      </w:pPr>
      <w:r>
        <w:rPr>
          <w:rFonts w:hint="eastAsia"/>
        </w:rPr>
        <w:t>钢结构装配式住宅的建设和运维单位应建立全生命周期碳排放核算机制，对设计、生产、施工、运维、拆除各阶段的碳排放进行统计和分析。</w:t>
      </w:r>
    </w:p>
    <w:p>
      <w:pPr>
        <w:pStyle w:val="46"/>
      </w:pPr>
      <w:r>
        <w:rPr>
          <w:rFonts w:hint="eastAsia"/>
        </w:rPr>
        <w:t>在运维阶段，应定期开展建筑能耗审计和碳排放评估，分析用能结构及碳排放强度，制定节能减碳改造措施。针对能耗高、碳排放强度大的建筑，应按湖北省既有建筑绿色节能改造的相关要求，进行节能改造。</w:t>
      </w:r>
    </w:p>
    <w:p>
      <w:pPr>
        <w:pStyle w:val="46"/>
      </w:pPr>
      <w:r>
        <w:rPr>
          <w:rFonts w:hint="eastAsia"/>
        </w:rPr>
        <w:t>在拆除阶段，应对拆除过程中机械设备能耗、建筑废弃物运输及处理等产生的碳排放进行计算。拆除阶段的碳减排措施包括：</w:t>
      </w:r>
    </w:p>
    <w:p>
      <w:pPr>
        <w:pStyle w:val="44"/>
        <w:numPr>
          <w:ilvl w:val="0"/>
          <w:numId w:val="171"/>
        </w:numPr>
      </w:pPr>
      <w:r>
        <w:rPr>
          <w:rFonts w:hint="eastAsia"/>
        </w:rPr>
        <w:t>采用低能耗、低排放的拆除设备，优先使用新能源拆除机械；</w:t>
      </w:r>
    </w:p>
    <w:p>
      <w:pPr>
        <w:pStyle w:val="44"/>
        <w:numPr>
          <w:ilvl w:val="0"/>
          <w:numId w:val="171"/>
        </w:numPr>
      </w:pPr>
      <w:r>
        <w:rPr>
          <w:rFonts w:hint="eastAsia"/>
        </w:rPr>
        <w:t>采用构件单元化拆除和就地资源化利用，减少废弃物运输距离和能源消耗；</w:t>
      </w:r>
    </w:p>
    <w:p>
      <w:pPr>
        <w:pStyle w:val="44"/>
        <w:numPr>
          <w:ilvl w:val="0"/>
          <w:numId w:val="171"/>
        </w:numPr>
      </w:pPr>
      <w:r>
        <w:rPr>
          <w:rFonts w:hint="eastAsia"/>
        </w:rPr>
        <w:t>提高钢结构构件直接再利用率，减少再加工过程中的碳排放。</w:t>
      </w:r>
    </w:p>
    <w:p>
      <w:pPr>
        <w:pStyle w:val="42"/>
        <w:spacing w:before="156" w:after="156"/>
      </w:pPr>
      <w:bookmarkStart w:id="234" w:name="_Toc241506600"/>
      <w:r>
        <w:rPr>
          <w:rFonts w:hint="eastAsia"/>
        </w:rPr>
        <w:t>资料移交与数字资产存档</w:t>
      </w:r>
      <w:bookmarkEnd w:id="234"/>
    </w:p>
    <w:p>
      <w:pPr>
        <w:pStyle w:val="46"/>
      </w:pPr>
      <w:r>
        <w:rPr>
          <w:rFonts w:hint="eastAsia"/>
        </w:rPr>
        <w:t>钢结构装配式住宅项目竣工验收时，建设单位应向运营方（或物业单位）移交下列运维相关技术资。</w:t>
      </w:r>
    </w:p>
    <w:p>
      <w:pPr>
        <w:pStyle w:val="46"/>
      </w:pPr>
      <w:r>
        <w:rPr>
          <w:rFonts w:hint="eastAsia"/>
        </w:rPr>
        <w:t>采用BIM数字化交付的项目，运营方应建立数字资产管理制度，确保BIM模型数据的持续更新和维护。运维过程中产生的设备维保记录、结构安全评估报告、能耗监测数据等，应逐步纳入数字资产体系。</w:t>
      </w:r>
    </w:p>
    <w:p>
      <w:pPr>
        <w:pStyle w:val="46"/>
      </w:pPr>
      <w:r>
        <w:rPr>
          <w:rFonts w:hint="eastAsia"/>
        </w:rPr>
        <w:t>项目拆除后，建设单位（或拆除实施单位）应将拆除阶段的资源化利用数据、废弃物处置记录、碳排放数据等整理归档，作为建筑全生命周期数字资产的最终组成部分，为同类项目的绿色拆除提供参考。</w:t>
      </w:r>
    </w:p>
    <w:p>
      <w:pPr>
        <w:pStyle w:val="41"/>
        <w:spacing w:before="312" w:after="312"/>
      </w:pPr>
      <w:bookmarkStart w:id="235" w:name="_Toc241506601"/>
      <w:r>
        <w:t>标准实施及评价</w:t>
      </w:r>
      <w:bookmarkEnd w:id="235"/>
    </w:p>
    <w:p>
      <w:pPr>
        <w:pStyle w:val="61"/>
      </w:pPr>
      <w:r>
        <w:rPr>
          <w:rFonts w:hint="eastAsia"/>
        </w:rPr>
        <w:t>标准实施准备。结合湖北省钢结构装配式住宅工程建设实际，认真做好标准实施准备。依据项目特点与结构体系类型，编制专项实施方案和深化设计文件，做好方案准备；明确建设、设计、构件生产、施工、监理等参建单位及技术人员职责，并对相关人员开展标准培训，重点掌握装配化建造理念、结构体系选型、集成化部品部件及质量控制要点，做好组织准备和知识准备；配备深化设计软件、测量监测仪器、起重吊装机具及安全防护装备，做好手段和物质条件准备。</w:t>
      </w:r>
    </w:p>
    <w:p>
      <w:pPr>
        <w:pStyle w:val="61"/>
      </w:pPr>
      <w:r>
        <w:rPr>
          <w:rFonts w:hint="eastAsia"/>
        </w:rPr>
        <w:t>标准实施方案。 本标准适用于湖北省主体结构采用钢结构或钢-混凝土混合结构的装配式多、高层住宅工程，覆盖设计、构件生产、施工安装、检验检测与验收、绿色智能建造、运维与消纳全流程。从组织、制度、人员、设备等方面提供实施保障，按照方案策划、深化设计、构件生产与运输、现场装配施工、质量验收、运维管理流程，合理配置构件、人员、机械等资源，形成深化设计、构件精度、安装偏差、节点连接、防火防腐等质量控制点，同时加强安全生产与绿色文明施工等注意事项。</w:t>
      </w:r>
    </w:p>
    <w:p>
      <w:pPr>
        <w:pStyle w:val="61"/>
      </w:pPr>
      <w:r>
        <w:rPr>
          <w:rFonts w:hint="eastAsia"/>
        </w:rPr>
        <w:t>标准宣贯培训。面向住房城乡建设主管部门、设计单位、构件生产企业、施工与监理单位、检测机构等相关实施主体，对不同岗位职责开展针对性培训，明确各环节的责任人与职责边界。通过现场观摩、示范工程演示、实操考核等方式，确保设计与作业人员掌握技术要点，保障标准落地实施。</w:t>
      </w:r>
    </w:p>
    <w:p>
      <w:pPr>
        <w:pStyle w:val="61"/>
      </w:pPr>
      <w:r>
        <w:rPr>
          <w:rFonts w:hint="eastAsia"/>
        </w:rPr>
        <w:t>标准实施。本标准适用于钢结构装配式住宅的设计、构件生产、施工安装、检验检测与验收及运维消纳等活动，严格落实国家工程质量安全、职业健康及环境保护要求，保障作业安全。实施过程应确保设计文件、深化设计、构件生产工艺与施工方案的指标数据统一，结构与部品部件集成程度随工程实践逐步优化，通过设计、生产、装配一体化协同，实现工程质量安全的有效控制。</w:t>
      </w:r>
    </w:p>
    <w:p>
      <w:pPr>
        <w:pStyle w:val="61"/>
      </w:pPr>
      <w:r>
        <w:rPr>
          <w:rFonts w:hint="eastAsia"/>
        </w:rPr>
        <w:t>标准实施检查。检查标准实施所需的人员技术配备、生产装备、施工机具、检测设备、物料部品等支持条件情况，核查工程结构体系与适用范围，按照本标准及国家现行相关标准规定，确保各项技术措施与工程实际状况相匹配；检查设计、构件生产、施工安装、检验检测与验收等是否符合设计文件和本标准要求，并记录未符合事项及处理原因。做好标准实施验证记录，畅通标准实施信息采集的方式方法和反馈渠道，定期整理并处理收集到的意见建议。</w:t>
      </w:r>
    </w:p>
    <w:p>
      <w:pPr>
        <w:pStyle w:val="61"/>
      </w:pPr>
      <w:r>
        <w:rPr>
          <w:rFonts w:hint="eastAsia"/>
        </w:rPr>
        <w:t>标准实施评价。在工程竣工验收并投入使用一个运维周期后进行综合评价。对照本标准设定的技术要求，评价结构体系选型、装配率与部品部件标准化程度是否达到预期；构件安装精度、施工效率与工期是否得到改善；外围护墙体开裂渗漏、隔声与楼板振动、防火防腐耐久性等质量通病是否得到有效控制；绿色智能建造与运维消纳措施是否落实，综合效益是否提升；同时评价使用过程中出现的结构变形、损伤、腐蚀及结节露等实际情况。综合评价中装配式建筑评价的计算方法参照现行国家标准GB/T 51129执行。</w:t>
      </w:r>
    </w:p>
    <w:p>
      <w:pPr>
        <w:pStyle w:val="61"/>
      </w:pPr>
      <w:r>
        <w:rPr>
          <w:rFonts w:hint="eastAsia"/>
        </w:rPr>
        <w:t>标准修订。适时向专业标准化技术委员会和标准归口管理单位反馈情况，提出标准推广、修改、补充、完善或者废止等意见建议。</w:t>
      </w:r>
    </w:p>
    <w:p>
      <w:pPr>
        <w:pStyle w:val="61"/>
      </w:pPr>
      <w:r>
        <w:rPr>
          <w:rFonts w:hint="eastAsia"/>
        </w:rPr>
        <w:t>标准实施信息及意见反馈表相关示例见附录A。</w:t>
      </w:r>
      <w:r>
        <w:br w:type="page"/>
      </w:r>
    </w:p>
    <w:bookmarkEnd w:id="151"/>
    <w:p>
      <w:pPr>
        <w:pStyle w:val="48"/>
        <w:spacing w:before="78" w:after="156"/>
      </w:pPr>
      <w:bookmarkStart w:id="236" w:name="_Toc241506602"/>
      <w:bookmarkEnd w:id="236"/>
      <w:bookmarkStart w:id="237" w:name="BookMark5"/>
    </w:p>
    <w:p>
      <w:pPr>
        <w:pStyle w:val="48"/>
        <w:numPr>
          <w:ilvl w:val="0"/>
          <w:numId w:val="0"/>
        </w:numPr>
        <w:spacing w:before="78" w:after="156"/>
      </w:pPr>
      <w:bookmarkStart w:id="238" w:name="_Toc241506603"/>
      <w:r>
        <w:rPr>
          <w:rFonts w:hint="eastAsia"/>
        </w:rPr>
        <w:t>（资料性）</w:t>
      </w:r>
      <w:bookmarkEnd w:id="238"/>
    </w:p>
    <w:p>
      <w:pPr>
        <w:pStyle w:val="48"/>
        <w:numPr>
          <w:ilvl w:val="0"/>
          <w:numId w:val="0"/>
        </w:numPr>
        <w:spacing w:before="78" w:after="156"/>
      </w:pPr>
      <w:bookmarkStart w:id="239" w:name="_Toc241506604"/>
      <w:r>
        <w:rPr>
          <w:rFonts w:hint="eastAsia"/>
        </w:rPr>
        <w:t>湖北省地方标准实施信息及意见反馈表</w:t>
      </w:r>
      <w:bookmarkEnd w:id="239"/>
    </w:p>
    <w:p>
      <w:pPr>
        <w:pStyle w:val="39"/>
        <w:ind w:firstLine="420"/>
      </w:pPr>
      <w:r>
        <w:rPr>
          <w:rFonts w:hint="eastAsia"/>
        </w:rPr>
        <w:t>湖北省地方标准实施信息及意见反馈表如表A.1所示。</w:t>
      </w:r>
    </w:p>
    <w:p>
      <w:pPr>
        <w:pStyle w:val="76"/>
        <w:spacing w:before="156" w:after="156"/>
      </w:pPr>
      <w:r>
        <w:rPr>
          <w:rFonts w:hint="eastAsia"/>
        </w:rPr>
        <w:t>表A.1 湖北省地方标准实施信息及意见反馈表</w:t>
      </w:r>
    </w:p>
    <w:tbl>
      <w:tblPr>
        <w:tblStyle w:val="77"/>
        <w:tblW w:w="90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1"/>
        <w:gridCol w:w="823"/>
        <w:gridCol w:w="338"/>
        <w:gridCol w:w="2192"/>
        <w:gridCol w:w="3109"/>
        <w:gridCol w:w="13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jc w:val="center"/>
        </w:trPr>
        <w:tc>
          <w:tcPr>
            <w:tcW w:w="2034" w:type="dxa"/>
            <w:gridSpan w:val="2"/>
            <w:tcBorders>
              <w:top w:val="single" w:color="auto" w:sz="12" w:space="0"/>
              <w:left w:val="single" w:color="auto" w:sz="12" w:space="0"/>
              <w:bottom w:val="single" w:color="000000" w:sz="2" w:space="0"/>
              <w:right w:val="single" w:color="auto" w:sz="4" w:space="0"/>
            </w:tcBorders>
            <w:vAlign w:val="center"/>
          </w:tcPr>
          <w:p>
            <w:pPr>
              <w:widowControl/>
              <w:kinsoku w:val="0"/>
              <w:autoSpaceDE w:val="0"/>
              <w:autoSpaceDN w:val="0"/>
              <w:snapToGrid w:val="0"/>
              <w:spacing w:line="240" w:lineRule="auto"/>
              <w:ind w:left="115"/>
              <w:textAlignment w:val="baseline"/>
              <w:rPr>
                <w:rFonts w:ascii="宋体" w:hAnsi="宋体" w:eastAsia="Times New Roman"/>
                <w:color w:val="000000"/>
                <w:kern w:val="0"/>
                <w:sz w:val="18"/>
                <w:szCs w:val="18"/>
              </w:rPr>
            </w:pPr>
            <w:r>
              <w:rPr>
                <w:rFonts w:hint="eastAsia" w:ascii="宋体" w:hAnsi="宋体" w:eastAsia="Times New Roman"/>
                <w:color w:val="000000"/>
                <w:spacing w:val="9"/>
                <w:kern w:val="0"/>
                <w:sz w:val="18"/>
                <w:szCs w:val="18"/>
              </w:rPr>
              <w:t>标准名称及编号</w:t>
            </w:r>
          </w:p>
        </w:tc>
        <w:tc>
          <w:tcPr>
            <w:tcW w:w="7023" w:type="dxa"/>
            <w:gridSpan w:val="4"/>
            <w:tcBorders>
              <w:top w:val="single" w:color="auto" w:sz="12" w:space="0"/>
              <w:left w:val="single" w:color="auto" w:sz="4" w:space="0"/>
              <w:bottom w:val="single" w:color="000000" w:sz="2" w:space="0"/>
              <w:right w:val="single" w:color="auto" w:sz="12" w:space="0"/>
            </w:tcBorders>
            <w:vAlign w:val="center"/>
          </w:tcPr>
          <w:p>
            <w:pPr>
              <w:spacing w:line="240" w:lineRule="auto"/>
              <w:jc w:val="left"/>
              <w:rPr>
                <w:rFonts w:ascii="宋体" w:hAnsi="宋体" w:eastAsia="Times New Roman" w:cs="Arial"/>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06" w:hRule="atLeast"/>
          <w:jc w:val="center"/>
        </w:trPr>
        <w:tc>
          <w:tcPr>
            <w:tcW w:w="1211" w:type="dxa"/>
            <w:vMerge w:val="restart"/>
            <w:tcBorders>
              <w:top w:val="single" w:color="auto" w:sz="12" w:space="0"/>
              <w:left w:val="single" w:color="auto" w:sz="12" w:space="0"/>
              <w:bottom w:val="single" w:color="auto" w:sz="4" w:space="0"/>
              <w:right w:val="single" w:color="auto" w:sz="4" w:space="0"/>
            </w:tcBorders>
            <w:vAlign w:val="center"/>
          </w:tcPr>
          <w:p>
            <w:pPr>
              <w:widowControl/>
              <w:kinsoku w:val="0"/>
              <w:autoSpaceDE w:val="0"/>
              <w:autoSpaceDN w:val="0"/>
              <w:snapToGrid w:val="0"/>
              <w:spacing w:line="240" w:lineRule="auto"/>
              <w:ind w:left="147"/>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3"/>
                <w:kern w:val="0"/>
                <w:sz w:val="18"/>
                <w:szCs w:val="18"/>
              </w:rPr>
              <w:t>总体评价</w:t>
            </w:r>
          </w:p>
        </w:tc>
        <w:tc>
          <w:tcPr>
            <w:tcW w:w="1161" w:type="dxa"/>
            <w:gridSpan w:val="2"/>
            <w:tcBorders>
              <w:top w:val="single" w:color="auto" w:sz="12" w:space="0"/>
              <w:left w:val="single" w:color="auto" w:sz="4" w:space="0"/>
              <w:bottom w:val="single" w:color="auto" w:sz="4" w:space="0"/>
              <w:right w:val="single" w:color="auto" w:sz="4" w:space="0"/>
            </w:tcBorders>
            <w:vAlign w:val="center"/>
          </w:tcPr>
          <w:p>
            <w:pPr>
              <w:widowControl/>
              <w:kinsoku w:val="0"/>
              <w:autoSpaceDE w:val="0"/>
              <w:autoSpaceDN w:val="0"/>
              <w:snapToGrid w:val="0"/>
              <w:spacing w:line="240" w:lineRule="auto"/>
              <w:ind w:left="229"/>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5"/>
                <w:kern w:val="0"/>
                <w:sz w:val="18"/>
                <w:szCs w:val="18"/>
              </w:rPr>
              <w:t>适用性</w:t>
            </w:r>
          </w:p>
        </w:tc>
        <w:tc>
          <w:tcPr>
            <w:tcW w:w="5301" w:type="dxa"/>
            <w:gridSpan w:val="2"/>
            <w:tcBorders>
              <w:top w:val="single" w:color="auto" w:sz="12" w:space="0"/>
              <w:left w:val="single" w:color="auto" w:sz="4" w:space="0"/>
              <w:bottom w:val="single" w:color="auto" w:sz="4" w:space="0"/>
              <w:right w:val="single" w:color="auto" w:sz="4" w:space="0"/>
            </w:tcBorders>
            <w:vAlign w:val="center"/>
          </w:tcPr>
          <w:p>
            <w:pPr>
              <w:widowControl/>
              <w:kinsoku w:val="0"/>
              <w:autoSpaceDE w:val="0"/>
              <w:autoSpaceDN w:val="0"/>
              <w:snapToGrid w:val="0"/>
              <w:spacing w:line="240" w:lineRule="auto"/>
              <w:ind w:left="116" w:right="103"/>
              <w:jc w:val="left"/>
              <w:textAlignment w:val="baseline"/>
              <w:rPr>
                <w:rFonts w:ascii="宋体" w:hAnsi="宋体" w:eastAsia="Times New Roman"/>
                <w:color w:val="000000"/>
                <w:spacing w:val="11"/>
                <w:kern w:val="0"/>
                <w:sz w:val="18"/>
                <w:szCs w:val="18"/>
              </w:rPr>
            </w:pPr>
            <w:r>
              <w:rPr>
                <w:rFonts w:hint="eastAsia" w:ascii="宋体" w:hAnsi="宋体" w:eastAsia="Times New Roman"/>
                <w:color w:val="000000"/>
                <w:spacing w:val="11"/>
                <w:kern w:val="0"/>
                <w:sz w:val="18"/>
                <w:szCs w:val="18"/>
              </w:rPr>
              <w:t>该标准与当前所在地的产业或社会发展水平是否</w:t>
            </w:r>
          </w:p>
          <w:p>
            <w:pPr>
              <w:widowControl/>
              <w:kinsoku w:val="0"/>
              <w:autoSpaceDE w:val="0"/>
              <w:autoSpaceDN w:val="0"/>
              <w:snapToGrid w:val="0"/>
              <w:spacing w:line="240" w:lineRule="auto"/>
              <w:ind w:left="116" w:right="103"/>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11"/>
                <w:kern w:val="0"/>
                <w:sz w:val="18"/>
                <w:szCs w:val="18"/>
              </w:rPr>
              <w:t>相匹配？</w:t>
            </w:r>
          </w:p>
        </w:tc>
        <w:tc>
          <w:tcPr>
            <w:tcW w:w="1384" w:type="dxa"/>
            <w:tcBorders>
              <w:top w:val="single" w:color="auto" w:sz="12" w:space="0"/>
              <w:left w:val="single" w:color="auto" w:sz="4" w:space="0"/>
              <w:bottom w:val="single" w:color="auto" w:sz="4" w:space="0"/>
              <w:right w:val="single" w:color="auto" w:sz="12" w:space="0"/>
            </w:tcBorders>
            <w:vAlign w:val="center"/>
          </w:tcPr>
          <w:p>
            <w:pPr>
              <w:widowControl/>
              <w:kinsoku w:val="0"/>
              <w:autoSpaceDE w:val="0"/>
              <w:autoSpaceDN w:val="0"/>
              <w:snapToGrid w:val="0"/>
              <w:spacing w:line="240" w:lineRule="auto"/>
              <w:ind w:left="127"/>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7" name="图片 7" descr="C:\Users\ADMINI~1.USE\AppData\Local\Temp\ksohtml11916\wps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C:\Users\ADMINI~1.USE\AppData\Local\Temp\ksohtml11916\wps1.png"/>
                          <pic:cNvPicPr>
                            <a:picLocks noChangeAspect="true" noChangeArrowheads="true"/>
                          </pic:cNvPicPr>
                        </pic:nvPicPr>
                        <pic:blipFill>
                          <a:blip r:embed="rId29">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 xml:space="preserve">是  </w:t>
            </w:r>
            <w:r>
              <w:rPr>
                <w:rFonts w:ascii="宋体" w:hAnsi="宋体" w:eastAsia="Times New Roman"/>
                <w:color w:val="000000"/>
                <w:kern w:val="0"/>
                <w:sz w:val="18"/>
                <w:szCs w:val="18"/>
              </w:rPr>
              <w:drawing>
                <wp:inline distT="0" distB="0" distL="0" distR="0">
                  <wp:extent cx="114300" cy="114300"/>
                  <wp:effectExtent l="0" t="0" r="0" b="0"/>
                  <wp:docPr id="8" name="图片 8" descr="C:\Users\ADMINI~1.USE\AppData\Local\Temp\ksohtml11916\wps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C:\Users\ADMINI~1.USE\AppData\Local\Temp\ksohtml11916\wps2.png"/>
                          <pic:cNvPicPr>
                            <a:picLocks noChangeAspect="true" noChangeArrowheads="true"/>
                          </pic:cNvPicPr>
                        </pic:nvPicPr>
                        <pic:blipFill>
                          <a:blip r:embed="rId29">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1211" w:type="dxa"/>
            <w:vMerge w:val="continue"/>
            <w:tcBorders>
              <w:top w:val="single" w:color="auto" w:sz="4" w:space="0"/>
              <w:left w:val="single" w:color="auto" w:sz="12" w:space="0"/>
              <w:bottom w:val="single" w:color="auto" w:sz="4" w:space="0"/>
              <w:right w:val="single" w:color="auto" w:sz="4" w:space="0"/>
            </w:tcBorders>
            <w:vAlign w:val="center"/>
          </w:tcPr>
          <w:p>
            <w:pPr>
              <w:widowControl/>
              <w:spacing w:line="240" w:lineRule="auto"/>
              <w:jc w:val="left"/>
              <w:rPr>
                <w:rFonts w:ascii="宋体" w:hAnsi="宋体" w:eastAsia="Times New Roman"/>
                <w:color w:val="000000"/>
                <w:kern w:val="0"/>
                <w:sz w:val="18"/>
                <w:szCs w:val="18"/>
              </w:rPr>
            </w:pPr>
          </w:p>
        </w:tc>
        <w:tc>
          <w:tcPr>
            <w:tcW w:w="116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spacing w:line="240" w:lineRule="auto"/>
              <w:ind w:left="229"/>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5"/>
                <w:kern w:val="0"/>
                <w:sz w:val="18"/>
                <w:szCs w:val="18"/>
              </w:rPr>
              <w:t>协调性</w:t>
            </w:r>
          </w:p>
        </w:tc>
        <w:tc>
          <w:tcPr>
            <w:tcW w:w="530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spacing w:line="240" w:lineRule="auto"/>
              <w:ind w:left="116" w:right="103"/>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11"/>
                <w:kern w:val="0"/>
                <w:sz w:val="18"/>
                <w:szCs w:val="18"/>
              </w:rPr>
              <w:t>该标准的特色要求与其他强制性标准的主要技术指标、相关法律法规、部门规章或产业政策是否</w:t>
            </w:r>
            <w:r>
              <w:rPr>
                <w:rFonts w:hint="eastAsia" w:ascii="宋体" w:hAnsi="宋体" w:eastAsia="Times New Roman"/>
                <w:color w:val="000000"/>
                <w:spacing w:val="2"/>
                <w:kern w:val="0"/>
                <w:sz w:val="18"/>
                <w:szCs w:val="18"/>
              </w:rPr>
              <w:t>协调？</w:t>
            </w:r>
          </w:p>
        </w:tc>
        <w:tc>
          <w:tcPr>
            <w:tcW w:w="1384" w:type="dxa"/>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spacing w:line="240" w:lineRule="auto"/>
              <w:ind w:left="127"/>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9" name="图片 9" descr="C:\Users\ADMINI~1.USE\AppData\Local\Temp\ksohtml11916\wps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C:\Users\ADMINI~1.USE\AppData\Local\Temp\ksohtml11916\wps3.png"/>
                          <pic:cNvPicPr>
                            <a:picLocks noChangeAspect="true" noChangeArrowheads="true"/>
                          </pic:cNvPicPr>
                        </pic:nvPicPr>
                        <pic:blipFill>
                          <a:blip r:embed="rId30">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 xml:space="preserve">是  </w:t>
            </w:r>
            <w:r>
              <w:rPr>
                <w:rFonts w:ascii="宋体" w:hAnsi="宋体" w:eastAsia="Times New Roman"/>
                <w:color w:val="000000"/>
                <w:kern w:val="0"/>
                <w:sz w:val="18"/>
                <w:szCs w:val="18"/>
              </w:rPr>
              <w:drawing>
                <wp:inline distT="0" distB="0" distL="0" distR="0">
                  <wp:extent cx="114300" cy="114300"/>
                  <wp:effectExtent l="0" t="0" r="0" b="0"/>
                  <wp:docPr id="10" name="图片 10" descr="C:\Users\ADMINI~1.USE\AppData\Local\Temp\ksohtml11916\wps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C:\Users\ADMINI~1.USE\AppData\Local\Temp\ksohtml11916\wps4.png"/>
                          <pic:cNvPicPr>
                            <a:picLocks noChangeAspect="true" noChangeArrowheads="true"/>
                          </pic:cNvPicPr>
                        </pic:nvPicPr>
                        <pic:blipFill>
                          <a:blip r:embed="rId30">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03" w:hRule="atLeast"/>
          <w:jc w:val="center"/>
        </w:trPr>
        <w:tc>
          <w:tcPr>
            <w:tcW w:w="1211" w:type="dxa"/>
            <w:vMerge w:val="continue"/>
            <w:tcBorders>
              <w:top w:val="single" w:color="auto" w:sz="4" w:space="0"/>
              <w:left w:val="single" w:color="auto" w:sz="12" w:space="0"/>
              <w:bottom w:val="single" w:color="auto" w:sz="4" w:space="0"/>
              <w:right w:val="single" w:color="auto" w:sz="4" w:space="0"/>
            </w:tcBorders>
            <w:vAlign w:val="center"/>
          </w:tcPr>
          <w:p>
            <w:pPr>
              <w:widowControl/>
              <w:spacing w:line="240" w:lineRule="auto"/>
              <w:jc w:val="left"/>
              <w:rPr>
                <w:rFonts w:ascii="宋体" w:hAnsi="宋体" w:eastAsia="Times New Roman"/>
                <w:color w:val="000000"/>
                <w:kern w:val="0"/>
                <w:sz w:val="18"/>
                <w:szCs w:val="18"/>
              </w:rPr>
            </w:pPr>
          </w:p>
        </w:tc>
        <w:tc>
          <w:tcPr>
            <w:tcW w:w="116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spacing w:line="240" w:lineRule="auto"/>
              <w:ind w:left="35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2"/>
                <w:kern w:val="0"/>
                <w:position w:val="12"/>
                <w:sz w:val="18"/>
                <w:szCs w:val="18"/>
              </w:rPr>
              <w:t>执行</w:t>
            </w:r>
          </w:p>
          <w:p>
            <w:pPr>
              <w:widowControl/>
              <w:kinsoku w:val="0"/>
              <w:autoSpaceDE w:val="0"/>
              <w:autoSpaceDN w:val="0"/>
              <w:snapToGrid w:val="0"/>
              <w:spacing w:line="240" w:lineRule="auto"/>
              <w:ind w:left="355"/>
              <w:jc w:val="left"/>
              <w:textAlignment w:val="baseline"/>
              <w:rPr>
                <w:rFonts w:ascii="宋体" w:hAnsi="宋体" w:eastAsia="Times New Roman"/>
                <w:color w:val="000000"/>
                <w:kern w:val="0"/>
                <w:sz w:val="18"/>
                <w:szCs w:val="18"/>
              </w:rPr>
            </w:pPr>
            <w:r>
              <w:rPr>
                <w:rFonts w:hint="eastAsia" w:ascii="宋体" w:hAnsi="宋体" w:eastAsia="Times New Roman"/>
                <w:color w:val="000000"/>
                <w:kern w:val="0"/>
                <w:sz w:val="18"/>
                <w:szCs w:val="18"/>
              </w:rPr>
              <w:t>情况</w:t>
            </w:r>
          </w:p>
        </w:tc>
        <w:tc>
          <w:tcPr>
            <w:tcW w:w="530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spacing w:line="240" w:lineRule="auto"/>
              <w:ind w:left="116" w:right="103"/>
              <w:jc w:val="left"/>
              <w:textAlignment w:val="baseline"/>
              <w:rPr>
                <w:rFonts w:ascii="宋体" w:hAnsi="宋体" w:eastAsia="Times New Roman"/>
                <w:color w:val="000000"/>
                <w:spacing w:val="11"/>
                <w:kern w:val="0"/>
                <w:sz w:val="18"/>
                <w:szCs w:val="18"/>
              </w:rPr>
            </w:pPr>
            <w:r>
              <w:rPr>
                <w:rFonts w:hint="eastAsia" w:ascii="宋体" w:hAnsi="宋体" w:eastAsia="Times New Roman"/>
                <w:color w:val="000000"/>
                <w:spacing w:val="11"/>
                <w:kern w:val="0"/>
                <w:sz w:val="18"/>
                <w:szCs w:val="18"/>
              </w:rPr>
              <w:t>标准执行单位或人员是否按照标准要求组织开展</w:t>
            </w:r>
          </w:p>
          <w:p>
            <w:pPr>
              <w:widowControl/>
              <w:kinsoku w:val="0"/>
              <w:autoSpaceDE w:val="0"/>
              <w:autoSpaceDN w:val="0"/>
              <w:snapToGrid w:val="0"/>
              <w:spacing w:line="240" w:lineRule="auto"/>
              <w:ind w:left="116" w:right="103"/>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11"/>
                <w:kern w:val="0"/>
                <w:sz w:val="18"/>
                <w:szCs w:val="18"/>
              </w:rPr>
              <w:t>相关工作？</w:t>
            </w:r>
          </w:p>
        </w:tc>
        <w:tc>
          <w:tcPr>
            <w:tcW w:w="1384" w:type="dxa"/>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spacing w:line="240" w:lineRule="auto"/>
              <w:ind w:left="127"/>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14" name="图片 14" descr="C:\Users\ADMINI~1.USE\AppData\Local\Temp\ksohtml11916\wps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descr="C:\Users\ADMINI~1.USE\AppData\Local\Temp\ksohtml11916\wps5.png"/>
                          <pic:cNvPicPr>
                            <a:picLocks noChangeAspect="true" noChangeArrowheads="true"/>
                          </pic:cNvPicPr>
                        </pic:nvPicPr>
                        <pic:blipFill>
                          <a:blip r:embed="rId29">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 xml:space="preserve">是  </w:t>
            </w:r>
            <w:r>
              <w:rPr>
                <w:rFonts w:ascii="宋体" w:hAnsi="宋体" w:eastAsia="Times New Roman"/>
                <w:color w:val="000000"/>
                <w:kern w:val="0"/>
                <w:sz w:val="18"/>
                <w:szCs w:val="18"/>
              </w:rPr>
              <w:drawing>
                <wp:inline distT="0" distB="0" distL="0" distR="0">
                  <wp:extent cx="114300" cy="114300"/>
                  <wp:effectExtent l="0" t="0" r="0" b="0"/>
                  <wp:docPr id="17" name="图片 17" descr="C:\Users\ADMINI~1.USE\AppData\Local\Temp\ksohtml11916\wps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descr="C:\Users\ADMINI~1.USE\AppData\Local\Temp\ksohtml11916\wps6.png"/>
                          <pic:cNvPicPr>
                            <a:picLocks noChangeAspect="true" noChangeArrowheads="true"/>
                          </pic:cNvPicPr>
                        </pic:nvPicPr>
                        <pic:blipFill>
                          <a:blip r:embed="rId29">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1211" w:type="dxa"/>
            <w:vMerge w:val="restart"/>
            <w:tcBorders>
              <w:top w:val="single" w:color="auto" w:sz="4" w:space="0"/>
              <w:left w:val="single" w:color="auto" w:sz="12" w:space="0"/>
              <w:bottom w:val="single" w:color="auto" w:sz="4" w:space="0"/>
              <w:right w:val="single" w:color="auto" w:sz="4" w:space="0"/>
            </w:tcBorders>
            <w:vAlign w:val="center"/>
          </w:tcPr>
          <w:p>
            <w:pPr>
              <w:widowControl/>
              <w:kinsoku w:val="0"/>
              <w:autoSpaceDE w:val="0"/>
              <w:autoSpaceDN w:val="0"/>
              <w:snapToGrid w:val="0"/>
              <w:spacing w:line="240" w:lineRule="auto"/>
              <w:ind w:left="143"/>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4"/>
                <w:kern w:val="0"/>
                <w:sz w:val="18"/>
                <w:szCs w:val="18"/>
              </w:rPr>
              <w:t>实施信息</w:t>
            </w:r>
          </w:p>
        </w:tc>
        <w:tc>
          <w:tcPr>
            <w:tcW w:w="6462" w:type="dxa"/>
            <w:gridSpan w:val="4"/>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spacing w:line="240" w:lineRule="auto"/>
              <w:ind w:left="11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8"/>
                <w:kern w:val="0"/>
                <w:sz w:val="18"/>
                <w:szCs w:val="18"/>
              </w:rPr>
              <w:t>标准实施过程中是否存在阻力和障碍？</w:t>
            </w:r>
          </w:p>
        </w:tc>
        <w:tc>
          <w:tcPr>
            <w:tcW w:w="1384" w:type="dxa"/>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spacing w:line="240" w:lineRule="auto"/>
              <w:ind w:left="127"/>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18" name="图片 18" descr="C:\Users\ADMINI~1.USE\AppData\Local\Temp\ksohtml11916\wps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descr="C:\Users\ADMINI~1.USE\AppData\Local\Temp\ksohtml11916\wps7.png"/>
                          <pic:cNvPicPr>
                            <a:picLocks noChangeAspect="true" noChangeArrowheads="true"/>
                          </pic:cNvPicPr>
                        </pic:nvPicPr>
                        <pic:blipFill>
                          <a:blip r:embed="rId30">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 xml:space="preserve">是  </w:t>
            </w:r>
            <w:r>
              <w:rPr>
                <w:rFonts w:ascii="宋体" w:hAnsi="宋体" w:eastAsia="Times New Roman"/>
                <w:color w:val="000000"/>
                <w:kern w:val="0"/>
                <w:sz w:val="18"/>
                <w:szCs w:val="18"/>
              </w:rPr>
              <w:drawing>
                <wp:inline distT="0" distB="0" distL="0" distR="0">
                  <wp:extent cx="114300" cy="114300"/>
                  <wp:effectExtent l="0" t="0" r="0" b="0"/>
                  <wp:docPr id="19" name="图片 19" descr="C:\Users\ADMINI~1.USE\AppData\Local\Temp\ksohtml11916\wps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descr="C:\Users\ADMINI~1.USE\AppData\Local\Temp\ksohtml11916\wps8.png"/>
                          <pic:cNvPicPr>
                            <a:picLocks noChangeAspect="true" noChangeArrowheads="true"/>
                          </pic:cNvPicPr>
                        </pic:nvPicPr>
                        <pic:blipFill>
                          <a:blip r:embed="rId30">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0" w:hRule="atLeast"/>
          <w:jc w:val="center"/>
        </w:trPr>
        <w:tc>
          <w:tcPr>
            <w:tcW w:w="1211" w:type="dxa"/>
            <w:vMerge w:val="continue"/>
            <w:tcBorders>
              <w:top w:val="single" w:color="auto" w:sz="4" w:space="0"/>
              <w:left w:val="single" w:color="auto" w:sz="12" w:space="0"/>
              <w:bottom w:val="single" w:color="auto" w:sz="4" w:space="0"/>
              <w:right w:val="single" w:color="auto" w:sz="4" w:space="0"/>
            </w:tcBorders>
            <w:vAlign w:val="center"/>
          </w:tcPr>
          <w:p>
            <w:pPr>
              <w:widowControl/>
              <w:spacing w:line="240" w:lineRule="auto"/>
              <w:jc w:val="left"/>
              <w:rPr>
                <w:rFonts w:ascii="宋体" w:hAnsi="宋体" w:eastAsia="Times New Roman"/>
                <w:color w:val="000000"/>
                <w:kern w:val="0"/>
                <w:sz w:val="18"/>
                <w:szCs w:val="18"/>
              </w:rPr>
            </w:pPr>
          </w:p>
        </w:tc>
        <w:tc>
          <w:tcPr>
            <w:tcW w:w="3353" w:type="dxa"/>
            <w:gridSpan w:val="3"/>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spacing w:line="240" w:lineRule="auto"/>
              <w:ind w:left="125"/>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8"/>
                <w:kern w:val="0"/>
                <w:sz w:val="18"/>
                <w:szCs w:val="18"/>
              </w:rPr>
              <w:t>实施过程中存在的主要问题</w:t>
            </w:r>
          </w:p>
        </w:tc>
        <w:tc>
          <w:tcPr>
            <w:tcW w:w="4493" w:type="dxa"/>
            <w:gridSpan w:val="2"/>
            <w:tcBorders>
              <w:top w:val="single" w:color="auto" w:sz="4" w:space="0"/>
              <w:left w:val="single" w:color="auto" w:sz="4" w:space="0"/>
              <w:bottom w:val="single" w:color="auto" w:sz="4" w:space="0"/>
              <w:right w:val="single" w:color="auto" w:sz="12" w:space="0"/>
            </w:tcBorders>
            <w:vAlign w:val="center"/>
          </w:tcPr>
          <w:p>
            <w:pPr>
              <w:spacing w:line="240" w:lineRule="auto"/>
              <w:jc w:val="left"/>
              <w:rPr>
                <w:rFonts w:ascii="宋体" w:hAnsi="宋体" w:eastAsia="Times New Roman" w:cs="Arial"/>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3" w:hRule="atLeast"/>
          <w:jc w:val="center"/>
        </w:trPr>
        <w:tc>
          <w:tcPr>
            <w:tcW w:w="1211" w:type="dxa"/>
            <w:vMerge w:val="restart"/>
            <w:tcBorders>
              <w:top w:val="single" w:color="auto" w:sz="4" w:space="0"/>
              <w:left w:val="single" w:color="auto" w:sz="12" w:space="0"/>
              <w:bottom w:val="single" w:color="auto" w:sz="4" w:space="0"/>
              <w:right w:val="single" w:color="auto" w:sz="4" w:space="0"/>
            </w:tcBorders>
            <w:vAlign w:val="center"/>
          </w:tcPr>
          <w:p>
            <w:pPr>
              <w:widowControl/>
              <w:kinsoku w:val="0"/>
              <w:autoSpaceDE w:val="0"/>
              <w:autoSpaceDN w:val="0"/>
              <w:snapToGrid w:val="0"/>
              <w:spacing w:line="240" w:lineRule="auto"/>
              <w:ind w:left="126"/>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8"/>
                <w:kern w:val="0"/>
                <w:sz w:val="18"/>
                <w:szCs w:val="18"/>
              </w:rPr>
              <w:t>修改意见</w:t>
            </w:r>
          </w:p>
        </w:tc>
        <w:tc>
          <w:tcPr>
            <w:tcW w:w="116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spacing w:line="240" w:lineRule="auto"/>
              <w:ind w:left="36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3"/>
                <w:kern w:val="0"/>
                <w:position w:val="12"/>
                <w:sz w:val="18"/>
                <w:szCs w:val="18"/>
              </w:rPr>
              <w:t>总体</w:t>
            </w:r>
          </w:p>
          <w:p>
            <w:pPr>
              <w:widowControl/>
              <w:kinsoku w:val="0"/>
              <w:autoSpaceDE w:val="0"/>
              <w:autoSpaceDN w:val="0"/>
              <w:snapToGrid w:val="0"/>
              <w:spacing w:line="240" w:lineRule="auto"/>
              <w:ind w:left="36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3"/>
                <w:kern w:val="0"/>
                <w:sz w:val="18"/>
                <w:szCs w:val="18"/>
              </w:rPr>
              <w:t>意见</w:t>
            </w:r>
          </w:p>
        </w:tc>
        <w:tc>
          <w:tcPr>
            <w:tcW w:w="6685" w:type="dxa"/>
            <w:gridSpan w:val="3"/>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spacing w:line="240" w:lineRule="auto"/>
              <w:ind w:left="124"/>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20" name="图片 20" descr="C:\Users\ADMINI~1.USE\AppData\Local\Temp\ksohtml11916\wps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descr="C:\Users\ADMINI~1.USE\AppData\Local\Temp\ksohtml11916\wps9.png"/>
                          <pic:cNvPicPr>
                            <a:picLocks noChangeAspect="true" noChangeArrowheads="true"/>
                          </pic:cNvPicPr>
                        </pic:nvPicPr>
                        <pic:blipFill>
                          <a:blip r:embed="rId29">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4"/>
                <w:kern w:val="0"/>
                <w:sz w:val="18"/>
                <w:szCs w:val="18"/>
              </w:rPr>
              <w:t xml:space="preserve">适用    </w:t>
            </w:r>
            <w:r>
              <w:rPr>
                <w:rFonts w:ascii="宋体" w:hAnsi="宋体" w:eastAsia="Times New Roman"/>
                <w:color w:val="000000"/>
                <w:kern w:val="0"/>
                <w:sz w:val="18"/>
                <w:szCs w:val="18"/>
              </w:rPr>
              <w:drawing>
                <wp:inline distT="0" distB="0" distL="0" distR="0">
                  <wp:extent cx="114300" cy="114300"/>
                  <wp:effectExtent l="0" t="0" r="0" b="0"/>
                  <wp:docPr id="21" name="图片 21" descr="C:\Users\ADMINI~1.USE\AppData\Local\Temp\ksohtml11916\wps1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descr="C:\Users\ADMINI~1.USE\AppData\Local\Temp\ksohtml11916\wps10.png"/>
                          <pic:cNvPicPr>
                            <a:picLocks noChangeAspect="true" noChangeArrowheads="true"/>
                          </pic:cNvPicPr>
                        </pic:nvPicPr>
                        <pic:blipFill>
                          <a:blip r:embed="rId31">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4"/>
                <w:kern w:val="0"/>
                <w:sz w:val="18"/>
                <w:szCs w:val="18"/>
              </w:rPr>
              <w:t xml:space="preserve">修改    </w:t>
            </w:r>
            <w:r>
              <w:rPr>
                <w:rFonts w:ascii="宋体" w:hAnsi="宋体" w:eastAsia="Times New Roman"/>
                <w:color w:val="000000"/>
                <w:kern w:val="0"/>
                <w:sz w:val="18"/>
                <w:szCs w:val="18"/>
              </w:rPr>
              <w:drawing>
                <wp:inline distT="0" distB="0" distL="0" distR="0">
                  <wp:extent cx="114300" cy="114300"/>
                  <wp:effectExtent l="0" t="0" r="0" b="0"/>
                  <wp:docPr id="22" name="图片 22" descr="C:\Users\ADMINI~1.USE\AppData\Local\Temp\ksohtml11916\wps1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C:\Users\ADMINI~1.USE\AppData\Local\Temp\ksohtml11916\wps11.png"/>
                          <pic:cNvPicPr>
                            <a:picLocks noChangeAspect="true" noChangeArrowheads="true"/>
                          </pic:cNvPicPr>
                        </pic:nvPicPr>
                        <pic:blipFill>
                          <a:blip r:embed="rId31">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4"/>
                <w:kern w:val="0"/>
                <w:sz w:val="18"/>
                <w:szCs w:val="18"/>
              </w:rPr>
              <w:t>废止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89" w:hRule="atLeast"/>
          <w:jc w:val="center"/>
        </w:trPr>
        <w:tc>
          <w:tcPr>
            <w:tcW w:w="1211" w:type="dxa"/>
            <w:vMerge w:val="continue"/>
            <w:tcBorders>
              <w:top w:val="single" w:color="auto" w:sz="4" w:space="0"/>
              <w:left w:val="single" w:color="auto" w:sz="12" w:space="0"/>
              <w:bottom w:val="single" w:color="auto" w:sz="4" w:space="0"/>
              <w:right w:val="single" w:color="auto" w:sz="4" w:space="0"/>
            </w:tcBorders>
            <w:vAlign w:val="center"/>
          </w:tcPr>
          <w:p>
            <w:pPr>
              <w:widowControl/>
              <w:spacing w:line="240" w:lineRule="auto"/>
              <w:jc w:val="left"/>
              <w:rPr>
                <w:rFonts w:ascii="宋体" w:hAnsi="宋体" w:eastAsia="Times New Roman"/>
                <w:color w:val="000000"/>
                <w:kern w:val="0"/>
                <w:sz w:val="18"/>
                <w:szCs w:val="18"/>
              </w:rPr>
            </w:pPr>
          </w:p>
        </w:tc>
        <w:tc>
          <w:tcPr>
            <w:tcW w:w="1161" w:type="dxa"/>
            <w:gridSpan w:val="2"/>
            <w:tcBorders>
              <w:top w:val="single" w:color="auto" w:sz="4" w:space="0"/>
              <w:left w:val="single" w:color="auto" w:sz="4" w:space="0"/>
              <w:bottom w:val="single" w:color="000000" w:sz="2" w:space="0"/>
              <w:right w:val="single" w:color="auto" w:sz="4" w:space="0"/>
            </w:tcBorders>
            <w:vAlign w:val="center"/>
          </w:tcPr>
          <w:p>
            <w:pPr>
              <w:widowControl/>
              <w:kinsoku w:val="0"/>
              <w:autoSpaceDE w:val="0"/>
              <w:autoSpaceDN w:val="0"/>
              <w:snapToGrid w:val="0"/>
              <w:spacing w:line="240" w:lineRule="auto"/>
              <w:ind w:left="233"/>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4"/>
                <w:kern w:val="0"/>
                <w:position w:val="12"/>
                <w:sz w:val="18"/>
                <w:szCs w:val="18"/>
              </w:rPr>
              <w:t>具体修</w:t>
            </w:r>
          </w:p>
          <w:p>
            <w:pPr>
              <w:widowControl/>
              <w:kinsoku w:val="0"/>
              <w:autoSpaceDE w:val="0"/>
              <w:autoSpaceDN w:val="0"/>
              <w:snapToGrid w:val="0"/>
              <w:spacing w:line="240" w:lineRule="auto"/>
              <w:ind w:left="25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2"/>
                <w:kern w:val="0"/>
                <w:sz w:val="18"/>
                <w:szCs w:val="18"/>
              </w:rPr>
              <w:t>改意见</w:t>
            </w:r>
          </w:p>
        </w:tc>
        <w:tc>
          <w:tcPr>
            <w:tcW w:w="6685" w:type="dxa"/>
            <w:gridSpan w:val="3"/>
            <w:tcBorders>
              <w:top w:val="single" w:color="auto" w:sz="4" w:space="0"/>
              <w:left w:val="single" w:color="auto" w:sz="4" w:space="0"/>
              <w:bottom w:val="single" w:color="000000" w:sz="2" w:space="0"/>
              <w:right w:val="single" w:color="auto" w:sz="12" w:space="0"/>
            </w:tcBorders>
            <w:vAlign w:val="center"/>
          </w:tcPr>
          <w:p>
            <w:pPr>
              <w:widowControl/>
              <w:kinsoku w:val="0"/>
              <w:autoSpaceDE w:val="0"/>
              <w:autoSpaceDN w:val="0"/>
              <w:snapToGrid w:val="0"/>
              <w:spacing w:line="240" w:lineRule="auto"/>
              <w:ind w:left="127"/>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4"/>
                <w:kern w:val="0"/>
                <w:sz w:val="18"/>
                <w:szCs w:val="18"/>
              </w:rPr>
              <w:t>需修改章节：</w:t>
            </w:r>
          </w:p>
          <w:p>
            <w:pPr>
              <w:widowControl/>
              <w:kinsoku w:val="0"/>
              <w:autoSpaceDE w:val="0"/>
              <w:autoSpaceDN w:val="0"/>
              <w:snapToGrid w:val="0"/>
              <w:spacing w:line="240" w:lineRule="auto"/>
              <w:ind w:left="12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6"/>
                <w:kern w:val="0"/>
                <w:sz w:val="18"/>
                <w:szCs w:val="18"/>
              </w:rPr>
              <w:t>具体修改意见：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6" w:hRule="atLeast"/>
          <w:jc w:val="center"/>
        </w:trPr>
        <w:tc>
          <w:tcPr>
            <w:tcW w:w="1211" w:type="dxa"/>
            <w:tcBorders>
              <w:top w:val="single" w:color="auto" w:sz="4" w:space="0"/>
              <w:left w:val="single" w:color="auto" w:sz="12" w:space="0"/>
              <w:bottom w:val="single" w:color="auto" w:sz="4" w:space="0"/>
              <w:right w:val="single" w:color="auto" w:sz="4" w:space="0"/>
            </w:tcBorders>
            <w:vAlign w:val="center"/>
          </w:tcPr>
          <w:p>
            <w:pPr>
              <w:widowControl/>
              <w:kinsoku w:val="0"/>
              <w:autoSpaceDE w:val="0"/>
              <w:autoSpaceDN w:val="0"/>
              <w:snapToGrid w:val="0"/>
              <w:spacing w:line="240" w:lineRule="auto"/>
              <w:ind w:left="132"/>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7"/>
                <w:kern w:val="0"/>
                <w:sz w:val="18"/>
                <w:szCs w:val="18"/>
              </w:rPr>
              <w:t>反馈渠道</w:t>
            </w:r>
          </w:p>
        </w:tc>
        <w:tc>
          <w:tcPr>
            <w:tcW w:w="7846" w:type="dxa"/>
            <w:gridSpan w:val="5"/>
            <w:tcBorders>
              <w:top w:val="single" w:color="000000" w:sz="2" w:space="0"/>
              <w:left w:val="single" w:color="auto" w:sz="4" w:space="0"/>
              <w:bottom w:val="single" w:color="000000" w:sz="2" w:space="0"/>
              <w:right w:val="single" w:color="auto" w:sz="12" w:space="0"/>
            </w:tcBorders>
            <w:vAlign w:val="center"/>
          </w:tcPr>
          <w:p>
            <w:pPr>
              <w:widowControl/>
              <w:kinsoku w:val="0"/>
              <w:autoSpaceDE w:val="0"/>
              <w:autoSpaceDN w:val="0"/>
              <w:snapToGrid w:val="0"/>
              <w:spacing w:line="240" w:lineRule="auto"/>
              <w:ind w:left="124"/>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23" name="图片 23" descr="C:\Users\ADMINI~1.USE\AppData\Local\Temp\ksohtml11916\wps1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descr="C:\Users\ADMINI~1.USE\AppData\Local\Temp\ksohtml11916\wps12.png"/>
                          <pic:cNvPicPr>
                            <a:picLocks noChangeAspect="true" noChangeArrowheads="true"/>
                          </pic:cNvPicPr>
                        </pic:nvPicPr>
                        <pic:blipFill>
                          <a:blip r:embed="rId32">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2"/>
                <w:kern w:val="0"/>
                <w:sz w:val="18"/>
                <w:szCs w:val="18"/>
              </w:rPr>
              <w:t>标准化行政主管部门</w:t>
            </w:r>
          </w:p>
          <w:p>
            <w:pPr>
              <w:widowControl/>
              <w:kinsoku w:val="0"/>
              <w:autoSpaceDE w:val="0"/>
              <w:autoSpaceDN w:val="0"/>
              <w:snapToGrid w:val="0"/>
              <w:spacing w:line="240" w:lineRule="auto"/>
              <w:ind w:left="124"/>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24" name="图片 24" descr="C:\Users\ADMINI~1.USE\AppData\Local\Temp\ksohtml11916\wps1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4" descr="C:\Users\ADMINI~1.USE\AppData\Local\Temp\ksohtml11916\wps13.png"/>
                          <pic:cNvPicPr>
                            <a:picLocks noChangeAspect="true" noChangeArrowheads="true"/>
                          </pic:cNvPicPr>
                        </pic:nvPicPr>
                        <pic:blipFill>
                          <a:blip r:embed="rId33">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2"/>
                <w:kern w:val="0"/>
                <w:sz w:val="18"/>
                <w:szCs w:val="18"/>
              </w:rPr>
              <w:t>省直行业主管部门</w:t>
            </w:r>
          </w:p>
          <w:p>
            <w:pPr>
              <w:widowControl/>
              <w:kinsoku w:val="0"/>
              <w:autoSpaceDE w:val="0"/>
              <w:autoSpaceDN w:val="0"/>
              <w:snapToGrid w:val="0"/>
              <w:spacing w:line="240" w:lineRule="auto"/>
              <w:ind w:left="124"/>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26" name="图片 26" descr="C:\Users\ADMINI~1.USE\AppData\Local\Temp\ksohtml11916\wps1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descr="C:\Users\ADMINI~1.USE\AppData\Local\Temp\ksohtml11916\wps14.png"/>
                          <pic:cNvPicPr>
                            <a:picLocks noChangeAspect="true" noChangeArrowheads="true"/>
                          </pic:cNvPicPr>
                        </pic:nvPicPr>
                        <pic:blipFill>
                          <a:blip r:embed="rId32">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0"/>
                <w:kern w:val="0"/>
                <w:sz w:val="18"/>
                <w:szCs w:val="18"/>
              </w:rPr>
              <w:t>专业标准化技术委员会（工作组）</w:t>
            </w:r>
          </w:p>
          <w:p>
            <w:pPr>
              <w:widowControl/>
              <w:kinsoku w:val="0"/>
              <w:autoSpaceDE w:val="0"/>
              <w:autoSpaceDN w:val="0"/>
              <w:snapToGrid w:val="0"/>
              <w:spacing w:line="240" w:lineRule="auto"/>
              <w:ind w:left="124"/>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27" name="图片 27" descr="C:\Users\ADMINI~1.USE\AppData\Local\Temp\ksohtml11916\wps1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descr="C:\Users\ADMINI~1.USE\AppData\Local\Temp\ksohtml11916\wps15.png"/>
                          <pic:cNvPicPr>
                            <a:picLocks noChangeAspect="true" noChangeArrowheads="true"/>
                          </pic:cNvPicPr>
                        </pic:nvPicPr>
                        <pic:blipFill>
                          <a:blip r:embed="rId32">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1"/>
                <w:kern w:val="0"/>
                <w:sz w:val="18"/>
                <w:szCs w:val="18"/>
              </w:rPr>
              <w:t>标准起草组（牵头起草单位）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24" w:hRule="atLeast"/>
          <w:jc w:val="center"/>
        </w:trPr>
        <w:tc>
          <w:tcPr>
            <w:tcW w:w="1211" w:type="dxa"/>
            <w:tcBorders>
              <w:top w:val="single" w:color="auto" w:sz="4" w:space="0"/>
              <w:left w:val="single" w:color="auto" w:sz="12" w:space="0"/>
              <w:bottom w:val="single" w:color="auto" w:sz="12" w:space="0"/>
              <w:right w:val="single" w:color="auto" w:sz="4" w:space="0"/>
            </w:tcBorders>
            <w:vAlign w:val="center"/>
          </w:tcPr>
          <w:p>
            <w:pPr>
              <w:widowControl/>
              <w:kinsoku w:val="0"/>
              <w:autoSpaceDE w:val="0"/>
              <w:autoSpaceDN w:val="0"/>
              <w:snapToGrid w:val="0"/>
              <w:spacing w:line="240" w:lineRule="auto"/>
              <w:ind w:left="252"/>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6"/>
                <w:kern w:val="0"/>
                <w:sz w:val="18"/>
                <w:szCs w:val="18"/>
              </w:rPr>
              <w:t>反馈人</w:t>
            </w:r>
          </w:p>
        </w:tc>
        <w:tc>
          <w:tcPr>
            <w:tcW w:w="7846" w:type="dxa"/>
            <w:gridSpan w:val="5"/>
            <w:tcBorders>
              <w:top w:val="single" w:color="000000" w:sz="2" w:space="0"/>
              <w:left w:val="single" w:color="auto" w:sz="4" w:space="0"/>
              <w:bottom w:val="single" w:color="auto" w:sz="12" w:space="0"/>
              <w:right w:val="single" w:color="auto" w:sz="12" w:space="0"/>
            </w:tcBorders>
            <w:vAlign w:val="center"/>
          </w:tcPr>
          <w:p>
            <w:pPr>
              <w:widowControl/>
              <w:kinsoku w:val="0"/>
              <w:autoSpaceDE w:val="0"/>
              <w:autoSpaceDN w:val="0"/>
              <w:snapToGrid w:val="0"/>
              <w:spacing w:line="240" w:lineRule="auto"/>
              <w:ind w:left="113"/>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2"/>
                <w:kern w:val="0"/>
                <w:sz w:val="18"/>
                <w:szCs w:val="18"/>
              </w:rPr>
              <w:t>姓名：</w:t>
            </w:r>
            <w:r>
              <w:rPr>
                <w:rFonts w:hint="eastAsia" w:ascii="宋体" w:hAnsi="宋体" w:eastAsia="Times New Roman"/>
                <w:color w:val="000000"/>
                <w:spacing w:val="8"/>
                <w:kern w:val="0"/>
                <w:sz w:val="18"/>
                <w:szCs w:val="18"/>
              </w:rPr>
              <w:t xml:space="preserve">           </w:t>
            </w:r>
            <w:r>
              <w:rPr>
                <w:rFonts w:hint="eastAsia" w:ascii="宋体" w:hAnsi="宋体" w:eastAsia="Times New Roman"/>
                <w:color w:val="000000"/>
                <w:spacing w:val="2"/>
                <w:kern w:val="0"/>
                <w:sz w:val="18"/>
                <w:szCs w:val="18"/>
              </w:rPr>
              <w:t>单位：</w:t>
            </w:r>
            <w:r>
              <w:rPr>
                <w:rFonts w:hint="eastAsia" w:ascii="宋体" w:hAnsi="宋体" w:eastAsia="Times New Roman"/>
                <w:color w:val="000000"/>
                <w:spacing w:val="1"/>
                <w:kern w:val="0"/>
                <w:sz w:val="18"/>
                <w:szCs w:val="18"/>
              </w:rPr>
              <w:t xml:space="preserve">                      </w:t>
            </w:r>
            <w:r>
              <w:rPr>
                <w:rFonts w:hint="eastAsia" w:ascii="宋体" w:hAnsi="宋体" w:eastAsia="Times New Roman"/>
                <w:color w:val="000000"/>
                <w:spacing w:val="2"/>
                <w:kern w:val="0"/>
                <w:sz w:val="18"/>
                <w:szCs w:val="18"/>
              </w:rPr>
              <w:t>联系方式：</w:t>
            </w:r>
          </w:p>
        </w:tc>
      </w:tr>
    </w:tbl>
    <w:p>
      <w:pPr>
        <w:spacing w:line="240" w:lineRule="auto"/>
        <w:ind w:left="420" w:leftChars="200" w:firstLine="360" w:firstLineChars="200"/>
        <w:rPr>
          <w:sz w:val="18"/>
          <w:szCs w:val="18"/>
        </w:rPr>
      </w:pPr>
      <w:r>
        <w:rPr>
          <w:rFonts w:hint="eastAsia"/>
          <w:sz w:val="18"/>
          <w:szCs w:val="18"/>
        </w:rPr>
        <w:t>填表说明：为及时掌握标准实施情况，了解地方标准实施过程中存在的问题，并为标准复审提供科学依据，特制定《湖北省地方标准实施信息及意见反馈表》。可根据实际情况在表格中对应方框打勾，有需要文字说明的反馈意见可在相应位置进行文字描述，也可另附页。</w:t>
      </w:r>
    </w:p>
    <w:bookmarkEnd w:id="27"/>
    <w:bookmarkEnd w:id="28"/>
    <w:bookmarkEnd w:id="29"/>
    <w:bookmarkEnd w:id="237"/>
    <w:p>
      <w:pPr>
        <w:pStyle w:val="39"/>
        <w:ind w:firstLine="420"/>
        <w:sectPr>
          <w:footerReference r:id="rId13" w:type="default"/>
          <w:footerReference r:id="rId14" w:type="even"/>
          <w:pgSz w:w="11906" w:h="16838"/>
          <w:pgMar w:top="1418" w:right="1134" w:bottom="1134" w:left="1134" w:header="1418" w:footer="1134" w:gutter="284"/>
          <w:pgNumType w:start="1"/>
          <w:cols w:space="425" w:num="1"/>
          <w:docGrid w:type="lines" w:linePitch="312" w:charSpace="0"/>
        </w:sectPr>
      </w:pPr>
      <w:bookmarkStart w:id="240" w:name="_Toc28740"/>
      <w:bookmarkEnd w:id="240"/>
      <w:bookmarkStart w:id="241" w:name="_Toc30553"/>
      <w:bookmarkEnd w:id="241"/>
      <w:bookmarkStart w:id="242" w:name="_Toc27537"/>
      <w:bookmarkEnd w:id="242"/>
      <w:bookmarkStart w:id="243" w:name="_Toc21408"/>
      <w:bookmarkEnd w:id="243"/>
      <w:bookmarkStart w:id="244" w:name="_Toc152235345"/>
      <w:bookmarkEnd w:id="244"/>
      <w:bookmarkStart w:id="245" w:name="_Toc152235281"/>
      <w:bookmarkEnd w:id="245"/>
      <w:bookmarkStart w:id="246" w:name="_Toc6341"/>
      <w:bookmarkEnd w:id="246"/>
      <w:bookmarkStart w:id="247" w:name="_Toc21749"/>
      <w:bookmarkEnd w:id="247"/>
    </w:p>
    <w:p>
      <w:pPr>
        <w:pStyle w:val="39"/>
        <w:ind w:firstLine="420"/>
      </w:pPr>
    </w:p>
    <w:p>
      <w:pPr>
        <w:pStyle w:val="39"/>
        <w:ind w:firstLine="420"/>
      </w:pPr>
    </w:p>
    <w:p>
      <w:pPr>
        <w:pStyle w:val="39"/>
        <w:ind w:firstLine="420"/>
      </w:pPr>
    </w:p>
    <w:p>
      <w:pPr>
        <w:pStyle w:val="39"/>
        <w:ind w:firstLine="420"/>
      </w:pPr>
    </w:p>
    <w:p>
      <w:pPr>
        <w:pStyle w:val="39"/>
        <w:ind w:firstLine="420"/>
      </w:pPr>
    </w:p>
    <w:p>
      <w:pPr>
        <w:pStyle w:val="39"/>
        <w:ind w:firstLine="420"/>
      </w:pPr>
    </w:p>
    <w:p>
      <w:pPr>
        <w:pStyle w:val="39"/>
        <w:ind w:firstLine="420"/>
      </w:pPr>
    </w:p>
    <w:p>
      <w:pPr>
        <w:pStyle w:val="39"/>
        <w:ind w:firstLine="420"/>
      </w:pPr>
    </w:p>
    <w:p>
      <w:pPr>
        <w:pStyle w:val="39"/>
        <w:ind w:firstLine="420"/>
      </w:pPr>
    </w:p>
    <w:p>
      <w:pPr>
        <w:pStyle w:val="39"/>
        <w:ind w:firstLine="420"/>
      </w:pPr>
    </w:p>
    <w:p>
      <w:pPr>
        <w:pStyle w:val="39"/>
        <w:ind w:firstLine="420"/>
      </w:pPr>
    </w:p>
    <w:p>
      <w:pPr>
        <w:pStyle w:val="39"/>
        <w:ind w:firstLine="420"/>
      </w:pPr>
    </w:p>
    <w:p>
      <w:pPr>
        <w:pStyle w:val="63"/>
        <w:framePr w:h="1654" w:hRule="exact" w:wrap="around" w:x="1419" w:y="6522" w:anchorLock="1"/>
      </w:pPr>
      <w:r>
        <w:rPr>
          <w:rFonts w:hint="eastAsia"/>
        </w:rPr>
        <w:t>钢结构装配式住宅技术规程</w:t>
      </w:r>
    </w:p>
    <w:p>
      <w:pPr>
        <w:framePr w:w="9639" w:h="1654" w:hRule="exact" w:wrap="around" w:vAnchor="page" w:hAnchor="page" w:x="1419" w:y="6522" w:anchorLock="1"/>
        <w:ind w:left="-1418"/>
      </w:pPr>
    </w:p>
    <w:p>
      <w:pPr>
        <w:pStyle w:val="62"/>
        <w:framePr w:w="9639" w:h="1654" w:hRule="exact" w:wrap="around" w:vAnchor="page" w:hAnchor="page" w:x="1419" w:y="6522" w:anchorLock="1"/>
        <w:textAlignment w:val="bottom"/>
        <w:rPr>
          <w:rFonts w:eastAsia="黑体"/>
          <w:szCs w:val="28"/>
        </w:rPr>
      </w:pPr>
      <w:r>
        <w:rPr>
          <w:rFonts w:eastAsia="黑体"/>
          <w:szCs w:val="28"/>
        </w:rPr>
        <w:t>Technical specification for assembled residence of steel structure</w:t>
      </w:r>
    </w:p>
    <w:p>
      <w:pPr>
        <w:pStyle w:val="62"/>
        <w:framePr w:w="9639" w:h="1654" w:hRule="exact" w:wrap="around" w:vAnchor="page" w:hAnchor="page" w:x="1419" w:y="6522" w:anchorLock="1"/>
        <w:textAlignment w:val="bottom"/>
        <w:rPr>
          <w:rFonts w:eastAsia="黑体"/>
          <w:szCs w:val="28"/>
        </w:rPr>
      </w:pPr>
    </w:p>
    <w:p>
      <w:pPr>
        <w:pStyle w:val="62"/>
        <w:framePr w:w="9639" w:h="1654" w:hRule="exact" w:wrap="around" w:vAnchor="page" w:hAnchor="page" w:x="1419" w:y="6522" w:anchorLock="1"/>
        <w:textAlignment w:val="bottom"/>
        <w:rPr>
          <w:rFonts w:eastAsia="黑体"/>
          <w:szCs w:val="28"/>
        </w:rPr>
      </w:pPr>
    </w:p>
    <w:p>
      <w:pPr>
        <w:pStyle w:val="39"/>
        <w:ind w:firstLine="420"/>
        <w:rPr>
          <w:rFonts w:ascii="Times New Roman"/>
        </w:rPr>
      </w:pPr>
    </w:p>
    <w:p>
      <w:pPr>
        <w:pStyle w:val="38"/>
        <w:shd w:val="clear" w:color="FFFFFF" w:fill="auto"/>
        <w:spacing w:afterLines="0"/>
        <w:outlineLvl w:val="9"/>
        <w:rPr>
          <w:rFonts w:ascii="Times New Roman"/>
        </w:rPr>
      </w:pPr>
    </w:p>
    <w:p>
      <w:pPr>
        <w:pStyle w:val="38"/>
        <w:shd w:val="clear" w:color="FFFFFF" w:fill="auto"/>
        <w:spacing w:afterLines="0"/>
        <w:outlineLvl w:val="9"/>
        <w:rPr>
          <w:rFonts w:ascii="Times New Roman"/>
        </w:rPr>
      </w:pPr>
    </w:p>
    <w:p>
      <w:pPr>
        <w:pStyle w:val="38"/>
        <w:shd w:val="clear" w:color="FFFFFF" w:fill="auto"/>
        <w:spacing w:afterLines="0"/>
      </w:pPr>
      <w:bookmarkStart w:id="248" w:name="_Toc241506605"/>
      <w:r>
        <w:rPr>
          <w:rFonts w:hint="eastAsia"/>
        </w:rPr>
        <w:t>条文说明</w:t>
      </w:r>
      <w:bookmarkEnd w:id="22"/>
      <w:bookmarkEnd w:id="248"/>
    </w:p>
    <w:p>
      <w:pPr>
        <w:jc w:val="center"/>
        <w:sectPr>
          <w:footerReference r:id="rId15" w:type="default"/>
          <w:footerReference r:id="rId16" w:type="even"/>
          <w:pgSz w:w="11906" w:h="16838"/>
          <w:pgMar w:top="1418" w:right="1134" w:bottom="1134" w:left="1134" w:header="1418" w:footer="1134" w:gutter="284"/>
          <w:pgNumType w:start="59"/>
          <w:cols w:space="425" w:num="1"/>
          <w:docGrid w:type="lines" w:linePitch="312" w:charSpace="0"/>
        </w:sectPr>
      </w:pPr>
    </w:p>
    <w:sdt>
      <w:sdtPr>
        <w:rPr>
          <w:rFonts w:ascii="Calibri" w:eastAsia="宋体"/>
          <w:sz w:val="21"/>
          <w:lang w:val="zh-CN"/>
        </w:rPr>
        <w:id w:val="-1420178156"/>
        <w:docPartObj>
          <w:docPartGallery w:val="Table of Contents"/>
          <w:docPartUnique/>
        </w:docPartObj>
      </w:sdtPr>
      <w:sdtEndPr>
        <w:rPr>
          <w:rFonts w:ascii="Calibri" w:eastAsia="宋体"/>
          <w:b/>
          <w:bCs/>
          <w:sz w:val="21"/>
          <w:lang w:val="zh-CN"/>
        </w:rPr>
      </w:sdtEndPr>
      <w:sdtContent>
        <w:p>
          <w:pPr>
            <w:pStyle w:val="37"/>
            <w:spacing w:before="851" w:after="680" w:afterLines="0"/>
          </w:pPr>
          <w:r>
            <w:rPr>
              <w:rFonts w:hint="eastAsia"/>
              <w:lang w:val="zh-CN"/>
            </w:rPr>
            <w:t>目 次</w:t>
          </w:r>
        </w:p>
        <w:p>
          <w:pPr>
            <w:pStyle w:val="27"/>
            <w:ind w:left="210"/>
          </w:pPr>
          <w:r>
            <w:fldChar w:fldCharType="begin"/>
          </w:r>
          <w:r>
            <w:instrText xml:space="preserve"> TOC \o "1-3" \h \z \u \b PartB</w:instrText>
          </w:r>
          <w:r>
            <w:fldChar w:fldCharType="separate"/>
          </w:r>
          <w:r>
            <w:fldChar w:fldCharType="begin"/>
          </w:r>
          <w:r>
            <w:instrText xml:space="preserve"> HYPERLINK \l "_Toc20406" </w:instrText>
          </w:r>
          <w:r>
            <w:fldChar w:fldCharType="separate"/>
          </w:r>
          <w:r>
            <w:rPr>
              <w:rFonts w:hint="eastAsia" w:ascii="黑体" w:hAnsi="Times New Roman" w:eastAsia="黑体"/>
            </w:rPr>
            <w:t>1　</w:t>
          </w:r>
          <w:r>
            <w:rPr>
              <w:rFonts w:hint="eastAsia"/>
            </w:rPr>
            <w:t>范围</w:t>
          </w:r>
          <w:r>
            <w:tab/>
          </w:r>
          <w:r>
            <w:fldChar w:fldCharType="begin"/>
          </w:r>
          <w:r>
            <w:instrText xml:space="preserve"> PAGEREF _Toc20406 \h </w:instrText>
          </w:r>
          <w:r>
            <w:fldChar w:fldCharType="separate"/>
          </w:r>
          <w:r>
            <w:t>62</w:t>
          </w:r>
          <w:r>
            <w:fldChar w:fldCharType="end"/>
          </w:r>
          <w:r>
            <w:fldChar w:fldCharType="end"/>
          </w:r>
        </w:p>
        <w:p>
          <w:pPr>
            <w:pStyle w:val="27"/>
            <w:ind w:left="210"/>
          </w:pPr>
          <w:r>
            <w:fldChar w:fldCharType="begin"/>
          </w:r>
          <w:r>
            <w:instrText xml:space="preserve"> HYPERLINK \l "_Toc11140" </w:instrText>
          </w:r>
          <w:r>
            <w:fldChar w:fldCharType="separate"/>
          </w:r>
          <w:r>
            <w:rPr>
              <w:rFonts w:hint="eastAsia" w:ascii="黑体" w:hAnsi="Times New Roman" w:eastAsia="黑体"/>
            </w:rPr>
            <w:t>3　</w:t>
          </w:r>
          <w:r>
            <w:rPr>
              <w:rFonts w:hint="eastAsia"/>
            </w:rPr>
            <w:t>术语和定义</w:t>
          </w:r>
          <w:r>
            <w:tab/>
          </w:r>
          <w:r>
            <w:fldChar w:fldCharType="begin"/>
          </w:r>
          <w:r>
            <w:instrText xml:space="preserve"> PAGEREF _Toc11140 \h </w:instrText>
          </w:r>
          <w:r>
            <w:fldChar w:fldCharType="separate"/>
          </w:r>
          <w:r>
            <w:t>62</w:t>
          </w:r>
          <w:r>
            <w:fldChar w:fldCharType="end"/>
          </w:r>
          <w:r>
            <w:fldChar w:fldCharType="end"/>
          </w:r>
        </w:p>
        <w:p>
          <w:pPr>
            <w:pStyle w:val="27"/>
            <w:ind w:left="210"/>
          </w:pPr>
          <w:r>
            <w:fldChar w:fldCharType="begin"/>
          </w:r>
          <w:r>
            <w:instrText xml:space="preserve"> HYPERLINK \l "_Toc21600" </w:instrText>
          </w:r>
          <w:r>
            <w:fldChar w:fldCharType="separate"/>
          </w:r>
          <w:r>
            <w:rPr>
              <w:rFonts w:hint="eastAsia" w:ascii="黑体" w:eastAsia="黑体" w:cs="宋体"/>
            </w:rPr>
            <w:t>4　</w:t>
          </w:r>
          <w:r>
            <w:rPr>
              <w:rFonts w:hint="eastAsia"/>
            </w:rPr>
            <w:t>基本规定</w:t>
          </w:r>
          <w:r>
            <w:tab/>
          </w:r>
          <w:r>
            <w:fldChar w:fldCharType="begin"/>
          </w:r>
          <w:r>
            <w:instrText xml:space="preserve"> PAGEREF _Toc21600 \h </w:instrText>
          </w:r>
          <w:r>
            <w:fldChar w:fldCharType="separate"/>
          </w:r>
          <w:r>
            <w:t>62</w:t>
          </w:r>
          <w:r>
            <w:fldChar w:fldCharType="end"/>
          </w:r>
          <w:r>
            <w:fldChar w:fldCharType="end"/>
          </w:r>
        </w:p>
        <w:p>
          <w:pPr>
            <w:pStyle w:val="27"/>
            <w:ind w:left="210"/>
          </w:pPr>
          <w:r>
            <w:fldChar w:fldCharType="begin"/>
          </w:r>
          <w:r>
            <w:instrText xml:space="preserve"> HYPERLINK \l "_Toc12266" </w:instrText>
          </w:r>
          <w:r>
            <w:fldChar w:fldCharType="separate"/>
          </w:r>
          <w:r>
            <w:rPr>
              <w:rFonts w:hint="eastAsia" w:ascii="黑体" w:hAnsi="Times New Roman" w:eastAsia="黑体"/>
            </w:rPr>
            <w:t>5　</w:t>
          </w:r>
          <w:r>
            <w:rPr>
              <w:rFonts w:hint="eastAsia"/>
            </w:rPr>
            <w:t>建筑设计</w:t>
          </w:r>
          <w:r>
            <w:tab/>
          </w:r>
          <w:r>
            <w:fldChar w:fldCharType="begin"/>
          </w:r>
          <w:r>
            <w:instrText xml:space="preserve"> PAGEREF _Toc12266 \h </w:instrText>
          </w:r>
          <w:r>
            <w:fldChar w:fldCharType="separate"/>
          </w:r>
          <w:r>
            <w:t>62</w:t>
          </w:r>
          <w:r>
            <w:fldChar w:fldCharType="end"/>
          </w:r>
          <w:r>
            <w:fldChar w:fldCharType="end"/>
          </w:r>
        </w:p>
        <w:p>
          <w:pPr>
            <w:pStyle w:val="18"/>
            <w:ind w:left="420"/>
          </w:pPr>
          <w:r>
            <w:fldChar w:fldCharType="begin"/>
          </w:r>
          <w:r>
            <w:instrText xml:space="preserve"> HYPERLINK \l "_Toc14881" </w:instrText>
          </w:r>
          <w:r>
            <w:fldChar w:fldCharType="separate"/>
          </w:r>
          <w:r>
            <w:rPr>
              <w:rFonts w:hint="eastAsia" w:ascii="黑体" w:hAnsi="Times New Roman" w:eastAsia="黑体"/>
              <w:kern w:val="0"/>
            </w:rPr>
            <w:t>5.1　</w:t>
          </w:r>
          <w:r>
            <w:rPr>
              <w:rFonts w:hint="eastAsia"/>
            </w:rPr>
            <w:t>一般规定</w:t>
          </w:r>
          <w:r>
            <w:tab/>
          </w:r>
          <w:r>
            <w:fldChar w:fldCharType="begin"/>
          </w:r>
          <w:r>
            <w:instrText xml:space="preserve"> PAGEREF _Toc14881 \h </w:instrText>
          </w:r>
          <w:r>
            <w:fldChar w:fldCharType="separate"/>
          </w:r>
          <w:r>
            <w:t>62</w:t>
          </w:r>
          <w:r>
            <w:fldChar w:fldCharType="end"/>
          </w:r>
          <w:r>
            <w:fldChar w:fldCharType="end"/>
          </w:r>
        </w:p>
        <w:p>
          <w:pPr>
            <w:pStyle w:val="18"/>
            <w:ind w:left="420"/>
          </w:pPr>
          <w:r>
            <w:fldChar w:fldCharType="begin"/>
          </w:r>
          <w:r>
            <w:instrText xml:space="preserve"> HYPERLINK \l "_Toc10089" </w:instrText>
          </w:r>
          <w:r>
            <w:fldChar w:fldCharType="separate"/>
          </w:r>
          <w:r>
            <w:rPr>
              <w:rFonts w:hint="eastAsia" w:ascii="黑体" w:hAnsi="Times New Roman" w:eastAsia="黑体"/>
              <w:kern w:val="0"/>
            </w:rPr>
            <w:t>5.2　</w:t>
          </w:r>
          <w:r>
            <w:rPr>
              <w:rFonts w:hint="eastAsia"/>
            </w:rPr>
            <w:t>平面、立面与空间</w:t>
          </w:r>
          <w:r>
            <w:tab/>
          </w:r>
          <w:r>
            <w:fldChar w:fldCharType="begin"/>
          </w:r>
          <w:r>
            <w:instrText xml:space="preserve"> PAGEREF _Toc10089 \h </w:instrText>
          </w:r>
          <w:r>
            <w:fldChar w:fldCharType="separate"/>
          </w:r>
          <w:r>
            <w:t>63</w:t>
          </w:r>
          <w:r>
            <w:fldChar w:fldCharType="end"/>
          </w:r>
          <w:r>
            <w:fldChar w:fldCharType="end"/>
          </w:r>
        </w:p>
        <w:p>
          <w:pPr>
            <w:pStyle w:val="18"/>
            <w:ind w:left="420"/>
          </w:pPr>
          <w:r>
            <w:fldChar w:fldCharType="begin"/>
          </w:r>
          <w:r>
            <w:instrText xml:space="preserve"> HYPERLINK \l "_Toc21622" </w:instrText>
          </w:r>
          <w:r>
            <w:fldChar w:fldCharType="separate"/>
          </w:r>
          <w:r>
            <w:rPr>
              <w:rFonts w:hint="eastAsia" w:ascii="黑体" w:hAnsi="Times New Roman" w:eastAsia="黑体"/>
              <w:kern w:val="0"/>
            </w:rPr>
            <w:t>5.3　</w:t>
          </w:r>
          <w:r>
            <w:rPr>
              <w:rFonts w:hint="eastAsia"/>
            </w:rPr>
            <w:t>模数化设计</w:t>
          </w:r>
          <w:r>
            <w:tab/>
          </w:r>
          <w:r>
            <w:fldChar w:fldCharType="begin"/>
          </w:r>
          <w:r>
            <w:instrText xml:space="preserve"> PAGEREF _Toc21622 \h </w:instrText>
          </w:r>
          <w:r>
            <w:fldChar w:fldCharType="separate"/>
          </w:r>
          <w:r>
            <w:t>63</w:t>
          </w:r>
          <w:r>
            <w:fldChar w:fldCharType="end"/>
          </w:r>
          <w:r>
            <w:fldChar w:fldCharType="end"/>
          </w:r>
        </w:p>
        <w:p>
          <w:pPr>
            <w:pStyle w:val="18"/>
            <w:ind w:left="420"/>
          </w:pPr>
          <w:r>
            <w:fldChar w:fldCharType="begin"/>
          </w:r>
          <w:r>
            <w:instrText xml:space="preserve"> HYPERLINK \l "_Toc25746" </w:instrText>
          </w:r>
          <w:r>
            <w:fldChar w:fldCharType="separate"/>
          </w:r>
          <w:r>
            <w:rPr>
              <w:rFonts w:hint="eastAsia" w:ascii="黑体" w:hAnsi="Times New Roman" w:eastAsia="黑体"/>
              <w:kern w:val="0"/>
            </w:rPr>
            <w:t>5.4　</w:t>
          </w:r>
          <w:r>
            <w:rPr>
              <w:rFonts w:hint="eastAsia"/>
            </w:rPr>
            <w:t>标准化设计</w:t>
          </w:r>
          <w:r>
            <w:tab/>
          </w:r>
          <w:r>
            <w:fldChar w:fldCharType="begin"/>
          </w:r>
          <w:r>
            <w:instrText xml:space="preserve"> PAGEREF _Toc25746 \h </w:instrText>
          </w:r>
          <w:r>
            <w:fldChar w:fldCharType="separate"/>
          </w:r>
          <w:r>
            <w:t>64</w:t>
          </w:r>
          <w:r>
            <w:fldChar w:fldCharType="end"/>
          </w:r>
          <w:r>
            <w:fldChar w:fldCharType="end"/>
          </w:r>
        </w:p>
        <w:p>
          <w:pPr>
            <w:pStyle w:val="18"/>
            <w:ind w:left="420"/>
          </w:pPr>
          <w:r>
            <w:fldChar w:fldCharType="begin"/>
          </w:r>
          <w:r>
            <w:instrText xml:space="preserve"> HYPERLINK \l "_Toc19623" </w:instrText>
          </w:r>
          <w:r>
            <w:fldChar w:fldCharType="separate"/>
          </w:r>
          <w:r>
            <w:rPr>
              <w:rFonts w:hint="eastAsia" w:ascii="黑体" w:hAnsi="Times New Roman" w:eastAsia="黑体"/>
              <w:kern w:val="0"/>
            </w:rPr>
            <w:t>5.5　</w:t>
          </w:r>
          <w:r>
            <w:rPr>
              <w:rFonts w:hint="eastAsia"/>
            </w:rPr>
            <w:t>集成设计</w:t>
          </w:r>
          <w:r>
            <w:tab/>
          </w:r>
          <w:r>
            <w:fldChar w:fldCharType="begin"/>
          </w:r>
          <w:r>
            <w:instrText xml:space="preserve"> PAGEREF _Toc19623 \h </w:instrText>
          </w:r>
          <w:r>
            <w:fldChar w:fldCharType="separate"/>
          </w:r>
          <w:r>
            <w:t>64</w:t>
          </w:r>
          <w:r>
            <w:fldChar w:fldCharType="end"/>
          </w:r>
          <w:r>
            <w:fldChar w:fldCharType="end"/>
          </w:r>
        </w:p>
        <w:p>
          <w:pPr>
            <w:pStyle w:val="18"/>
            <w:ind w:left="420"/>
          </w:pPr>
          <w:r>
            <w:fldChar w:fldCharType="begin"/>
          </w:r>
          <w:r>
            <w:instrText xml:space="preserve"> HYPERLINK \l "_Toc28824" </w:instrText>
          </w:r>
          <w:r>
            <w:fldChar w:fldCharType="separate"/>
          </w:r>
          <w:r>
            <w:rPr>
              <w:rFonts w:hint="eastAsia" w:ascii="黑体" w:hAnsi="Times New Roman" w:eastAsia="黑体"/>
              <w:kern w:val="0"/>
            </w:rPr>
            <w:t>5.6　</w:t>
          </w:r>
          <w:r>
            <w:rPr>
              <w:rFonts w:hint="eastAsia"/>
            </w:rPr>
            <w:t>协同设计</w:t>
          </w:r>
          <w:r>
            <w:tab/>
          </w:r>
          <w:r>
            <w:fldChar w:fldCharType="begin"/>
          </w:r>
          <w:r>
            <w:instrText xml:space="preserve"> PAGEREF _Toc28824 \h </w:instrText>
          </w:r>
          <w:r>
            <w:fldChar w:fldCharType="separate"/>
          </w:r>
          <w:r>
            <w:t>64</w:t>
          </w:r>
          <w:r>
            <w:fldChar w:fldCharType="end"/>
          </w:r>
          <w:r>
            <w:fldChar w:fldCharType="end"/>
          </w:r>
        </w:p>
        <w:p>
          <w:pPr>
            <w:pStyle w:val="18"/>
            <w:ind w:left="420"/>
          </w:pPr>
          <w:r>
            <w:fldChar w:fldCharType="begin"/>
          </w:r>
          <w:r>
            <w:instrText xml:space="preserve"> HYPERLINK \l "_Toc16357" </w:instrText>
          </w:r>
          <w:r>
            <w:fldChar w:fldCharType="separate"/>
          </w:r>
          <w:r>
            <w:rPr>
              <w:rFonts w:hint="eastAsia" w:ascii="黑体" w:hAnsi="Times New Roman" w:eastAsia="黑体"/>
              <w:kern w:val="0"/>
            </w:rPr>
            <w:t>5.7　</w:t>
          </w:r>
          <w:r>
            <w:rPr>
              <w:rFonts w:hint="eastAsia"/>
            </w:rPr>
            <w:t>绿色化设计</w:t>
          </w:r>
          <w:r>
            <w:tab/>
          </w:r>
          <w:r>
            <w:fldChar w:fldCharType="begin"/>
          </w:r>
          <w:r>
            <w:instrText xml:space="preserve"> PAGEREF _Toc16357 \h </w:instrText>
          </w:r>
          <w:r>
            <w:fldChar w:fldCharType="separate"/>
          </w:r>
          <w:r>
            <w:t>64</w:t>
          </w:r>
          <w:r>
            <w:fldChar w:fldCharType="end"/>
          </w:r>
          <w:r>
            <w:fldChar w:fldCharType="end"/>
          </w:r>
        </w:p>
        <w:p>
          <w:pPr>
            <w:pStyle w:val="27"/>
            <w:ind w:left="210"/>
          </w:pPr>
          <w:r>
            <w:fldChar w:fldCharType="begin"/>
          </w:r>
          <w:r>
            <w:instrText xml:space="preserve"> HYPERLINK \l "_Toc29072" </w:instrText>
          </w:r>
          <w:r>
            <w:fldChar w:fldCharType="separate"/>
          </w:r>
          <w:r>
            <w:rPr>
              <w:rFonts w:hint="eastAsia" w:ascii="黑体" w:hAnsi="Times New Roman" w:eastAsia="黑体"/>
            </w:rPr>
            <w:t>6　</w:t>
          </w:r>
          <w:r>
            <w:rPr>
              <w:rFonts w:hint="eastAsia"/>
            </w:rPr>
            <w:t>结构设计</w:t>
          </w:r>
          <w:r>
            <w:tab/>
          </w:r>
          <w:r>
            <w:fldChar w:fldCharType="begin"/>
          </w:r>
          <w:r>
            <w:instrText xml:space="preserve"> PAGEREF _Toc29072 \h </w:instrText>
          </w:r>
          <w:r>
            <w:fldChar w:fldCharType="separate"/>
          </w:r>
          <w:r>
            <w:t>65</w:t>
          </w:r>
          <w:r>
            <w:fldChar w:fldCharType="end"/>
          </w:r>
          <w:r>
            <w:fldChar w:fldCharType="end"/>
          </w:r>
        </w:p>
        <w:p>
          <w:pPr>
            <w:pStyle w:val="18"/>
            <w:ind w:left="420"/>
          </w:pPr>
          <w:r>
            <w:fldChar w:fldCharType="begin"/>
          </w:r>
          <w:r>
            <w:instrText xml:space="preserve"> HYPERLINK \l "_Toc19210" </w:instrText>
          </w:r>
          <w:r>
            <w:fldChar w:fldCharType="separate"/>
          </w:r>
          <w:r>
            <w:rPr>
              <w:rFonts w:hint="eastAsia" w:ascii="黑体" w:hAnsi="Times New Roman" w:eastAsia="黑体"/>
              <w:kern w:val="0"/>
            </w:rPr>
            <w:t>6.1　</w:t>
          </w:r>
          <w:r>
            <w:rPr>
              <w:rFonts w:hint="eastAsia"/>
            </w:rPr>
            <w:t>一般规定</w:t>
          </w:r>
          <w:r>
            <w:tab/>
          </w:r>
          <w:r>
            <w:fldChar w:fldCharType="begin"/>
          </w:r>
          <w:r>
            <w:instrText xml:space="preserve"> PAGEREF _Toc19210 \h </w:instrText>
          </w:r>
          <w:r>
            <w:fldChar w:fldCharType="separate"/>
          </w:r>
          <w:r>
            <w:t>65</w:t>
          </w:r>
          <w:r>
            <w:fldChar w:fldCharType="end"/>
          </w:r>
          <w:r>
            <w:fldChar w:fldCharType="end"/>
          </w:r>
        </w:p>
        <w:p>
          <w:pPr>
            <w:pStyle w:val="18"/>
            <w:ind w:left="420"/>
          </w:pPr>
          <w:r>
            <w:fldChar w:fldCharType="begin"/>
          </w:r>
          <w:r>
            <w:instrText xml:space="preserve"> HYPERLINK \l "_Toc19355" </w:instrText>
          </w:r>
          <w:r>
            <w:fldChar w:fldCharType="separate"/>
          </w:r>
          <w:r>
            <w:rPr>
              <w:rFonts w:hint="eastAsia" w:ascii="黑体" w:hAnsi="Times New Roman" w:eastAsia="黑体"/>
              <w:kern w:val="0"/>
            </w:rPr>
            <w:t>6.2　</w:t>
          </w:r>
          <w:r>
            <w:rPr>
              <w:rFonts w:hint="eastAsia"/>
            </w:rPr>
            <w:t>设计要求</w:t>
          </w:r>
          <w:r>
            <w:tab/>
          </w:r>
          <w:r>
            <w:fldChar w:fldCharType="begin"/>
          </w:r>
          <w:r>
            <w:instrText xml:space="preserve"> PAGEREF _Toc19355 \h </w:instrText>
          </w:r>
          <w:r>
            <w:fldChar w:fldCharType="separate"/>
          </w:r>
          <w:r>
            <w:t>65</w:t>
          </w:r>
          <w:r>
            <w:fldChar w:fldCharType="end"/>
          </w:r>
          <w:r>
            <w:fldChar w:fldCharType="end"/>
          </w:r>
        </w:p>
        <w:p>
          <w:pPr>
            <w:pStyle w:val="18"/>
            <w:ind w:left="420"/>
          </w:pPr>
          <w:r>
            <w:fldChar w:fldCharType="begin"/>
          </w:r>
          <w:r>
            <w:instrText xml:space="preserve"> HYPERLINK \l "_Toc22941" </w:instrText>
          </w:r>
          <w:r>
            <w:fldChar w:fldCharType="separate"/>
          </w:r>
          <w:r>
            <w:rPr>
              <w:rFonts w:hint="eastAsia" w:ascii="黑体" w:hAnsi="Times New Roman" w:eastAsia="黑体"/>
              <w:kern w:val="0"/>
            </w:rPr>
            <w:t>6.3　</w:t>
          </w:r>
          <w:r>
            <w:rPr>
              <w:rFonts w:hint="eastAsia"/>
            </w:rPr>
            <w:t>结构体系与布置</w:t>
          </w:r>
          <w:r>
            <w:tab/>
          </w:r>
          <w:r>
            <w:fldChar w:fldCharType="begin"/>
          </w:r>
          <w:r>
            <w:instrText xml:space="preserve"> PAGEREF _Toc22941 \h </w:instrText>
          </w:r>
          <w:r>
            <w:fldChar w:fldCharType="separate"/>
          </w:r>
          <w:r>
            <w:t>65</w:t>
          </w:r>
          <w:r>
            <w:fldChar w:fldCharType="end"/>
          </w:r>
          <w:r>
            <w:fldChar w:fldCharType="end"/>
          </w:r>
        </w:p>
        <w:p>
          <w:pPr>
            <w:pStyle w:val="18"/>
            <w:ind w:left="420"/>
          </w:pPr>
          <w:r>
            <w:fldChar w:fldCharType="begin"/>
          </w:r>
          <w:r>
            <w:instrText xml:space="preserve"> HYPERLINK \l "_Toc7270" </w:instrText>
          </w:r>
          <w:r>
            <w:fldChar w:fldCharType="separate"/>
          </w:r>
          <w:r>
            <w:rPr>
              <w:rFonts w:hint="eastAsia" w:ascii="黑体" w:hAnsi="Times New Roman" w:eastAsia="黑体"/>
              <w:kern w:val="0"/>
            </w:rPr>
            <w:t>6.4　</w:t>
          </w:r>
          <w:r>
            <w:rPr>
              <w:rFonts w:hint="eastAsia"/>
            </w:rPr>
            <w:t>结构分析</w:t>
          </w:r>
          <w:r>
            <w:tab/>
          </w:r>
          <w:r>
            <w:fldChar w:fldCharType="begin"/>
          </w:r>
          <w:r>
            <w:instrText xml:space="preserve"> PAGEREF _Toc7270 \h </w:instrText>
          </w:r>
          <w:r>
            <w:fldChar w:fldCharType="separate"/>
          </w:r>
          <w:r>
            <w:t>66</w:t>
          </w:r>
          <w:r>
            <w:fldChar w:fldCharType="end"/>
          </w:r>
          <w:r>
            <w:fldChar w:fldCharType="end"/>
          </w:r>
        </w:p>
        <w:p>
          <w:pPr>
            <w:pStyle w:val="18"/>
            <w:ind w:left="420"/>
          </w:pPr>
          <w:r>
            <w:fldChar w:fldCharType="begin"/>
          </w:r>
          <w:r>
            <w:instrText xml:space="preserve"> HYPERLINK \l "_Toc31186" </w:instrText>
          </w:r>
          <w:r>
            <w:fldChar w:fldCharType="separate"/>
          </w:r>
          <w:r>
            <w:rPr>
              <w:rFonts w:hint="eastAsia" w:ascii="黑体" w:hAnsi="Times New Roman" w:eastAsia="黑体"/>
              <w:kern w:val="0"/>
            </w:rPr>
            <w:t>6.5　</w:t>
          </w:r>
          <w:r>
            <w:rPr>
              <w:rFonts w:hint="eastAsia"/>
            </w:rPr>
            <w:t>部（构）件设计</w:t>
          </w:r>
          <w:r>
            <w:tab/>
          </w:r>
          <w:r>
            <w:fldChar w:fldCharType="begin"/>
          </w:r>
          <w:r>
            <w:instrText xml:space="preserve"> PAGEREF _Toc31186 \h </w:instrText>
          </w:r>
          <w:r>
            <w:fldChar w:fldCharType="separate"/>
          </w:r>
          <w:r>
            <w:t>66</w:t>
          </w:r>
          <w:r>
            <w:fldChar w:fldCharType="end"/>
          </w:r>
          <w:r>
            <w:fldChar w:fldCharType="end"/>
          </w:r>
        </w:p>
        <w:p>
          <w:pPr>
            <w:pStyle w:val="18"/>
            <w:ind w:left="420"/>
          </w:pPr>
          <w:r>
            <w:fldChar w:fldCharType="begin"/>
          </w:r>
          <w:r>
            <w:instrText xml:space="preserve"> HYPERLINK \l "_Toc27557" </w:instrText>
          </w:r>
          <w:r>
            <w:fldChar w:fldCharType="separate"/>
          </w:r>
          <w:r>
            <w:rPr>
              <w:rFonts w:hint="eastAsia" w:ascii="黑体" w:hAnsi="Times New Roman" w:eastAsia="黑体"/>
              <w:kern w:val="0"/>
            </w:rPr>
            <w:t>6.6　</w:t>
          </w:r>
          <w:r>
            <w:rPr>
              <w:rFonts w:hint="eastAsia"/>
            </w:rPr>
            <w:t>节点与连接设计</w:t>
          </w:r>
          <w:r>
            <w:tab/>
          </w:r>
          <w:r>
            <w:fldChar w:fldCharType="begin"/>
          </w:r>
          <w:r>
            <w:instrText xml:space="preserve"> PAGEREF _Toc27557 \h </w:instrText>
          </w:r>
          <w:r>
            <w:fldChar w:fldCharType="separate"/>
          </w:r>
          <w:r>
            <w:t>68</w:t>
          </w:r>
          <w:r>
            <w:fldChar w:fldCharType="end"/>
          </w:r>
          <w:r>
            <w:fldChar w:fldCharType="end"/>
          </w:r>
        </w:p>
        <w:p>
          <w:pPr>
            <w:pStyle w:val="18"/>
            <w:ind w:left="420"/>
          </w:pPr>
          <w:r>
            <w:fldChar w:fldCharType="begin"/>
          </w:r>
          <w:r>
            <w:instrText xml:space="preserve"> HYPERLINK \l "_Toc17814" </w:instrText>
          </w:r>
          <w:r>
            <w:fldChar w:fldCharType="separate"/>
          </w:r>
          <w:r>
            <w:rPr>
              <w:rFonts w:hint="eastAsia" w:ascii="黑体" w:hAnsi="Times New Roman" w:eastAsia="黑体"/>
              <w:kern w:val="0"/>
            </w:rPr>
            <w:t>6.7　</w:t>
          </w:r>
          <w:r>
            <w:rPr>
              <w:rFonts w:hint="eastAsia"/>
            </w:rPr>
            <w:t>楼盖与屋盖结构</w:t>
          </w:r>
          <w:r>
            <w:tab/>
          </w:r>
          <w:r>
            <w:fldChar w:fldCharType="begin"/>
          </w:r>
          <w:r>
            <w:instrText xml:space="preserve"> PAGEREF _Toc17814 \h </w:instrText>
          </w:r>
          <w:r>
            <w:fldChar w:fldCharType="separate"/>
          </w:r>
          <w:r>
            <w:t>68</w:t>
          </w:r>
          <w:r>
            <w:fldChar w:fldCharType="end"/>
          </w:r>
          <w:r>
            <w:fldChar w:fldCharType="end"/>
          </w:r>
        </w:p>
        <w:p>
          <w:pPr>
            <w:pStyle w:val="18"/>
            <w:ind w:left="420"/>
          </w:pPr>
          <w:r>
            <w:fldChar w:fldCharType="begin"/>
          </w:r>
          <w:r>
            <w:instrText xml:space="preserve"> HYPERLINK \l "_Toc118" </w:instrText>
          </w:r>
          <w:r>
            <w:fldChar w:fldCharType="separate"/>
          </w:r>
          <w:r>
            <w:rPr>
              <w:rFonts w:hint="eastAsia" w:ascii="黑体" w:hAnsi="黑体" w:eastAsia="黑体" w:cs="黑体"/>
            </w:rPr>
            <w:t>6.9</w:t>
          </w:r>
          <w:r>
            <w:rPr>
              <w:rFonts w:hint="eastAsia"/>
            </w:rPr>
            <w:t>　钢结构防护</w:t>
          </w:r>
          <w:r>
            <w:tab/>
          </w:r>
          <w:r>
            <w:fldChar w:fldCharType="begin"/>
          </w:r>
          <w:r>
            <w:instrText xml:space="preserve"> PAGEREF _Toc118 \h </w:instrText>
          </w:r>
          <w:r>
            <w:fldChar w:fldCharType="separate"/>
          </w:r>
          <w:r>
            <w:t>69</w:t>
          </w:r>
          <w:r>
            <w:fldChar w:fldCharType="end"/>
          </w:r>
          <w:r>
            <w:fldChar w:fldCharType="end"/>
          </w:r>
        </w:p>
        <w:p>
          <w:pPr>
            <w:pStyle w:val="27"/>
            <w:ind w:left="210"/>
          </w:pPr>
          <w:r>
            <w:fldChar w:fldCharType="begin"/>
          </w:r>
          <w:r>
            <w:instrText xml:space="preserve"> HYPERLINK \l "_Toc12519" </w:instrText>
          </w:r>
          <w:r>
            <w:fldChar w:fldCharType="separate"/>
          </w:r>
          <w:r>
            <w:rPr>
              <w:rFonts w:hint="eastAsia" w:ascii="黑体" w:hAnsi="Times New Roman" w:eastAsia="黑体"/>
            </w:rPr>
            <w:t>7　</w:t>
          </w:r>
          <w:r>
            <w:rPr>
              <w:rFonts w:hint="eastAsia"/>
            </w:rPr>
            <w:t>外围护系统设计</w:t>
          </w:r>
          <w:r>
            <w:tab/>
          </w:r>
          <w:r>
            <w:fldChar w:fldCharType="begin"/>
          </w:r>
          <w:r>
            <w:instrText xml:space="preserve"> PAGEREF _Toc12519 \h </w:instrText>
          </w:r>
          <w:r>
            <w:fldChar w:fldCharType="separate"/>
          </w:r>
          <w:r>
            <w:t>69</w:t>
          </w:r>
          <w:r>
            <w:fldChar w:fldCharType="end"/>
          </w:r>
          <w:r>
            <w:fldChar w:fldCharType="end"/>
          </w:r>
        </w:p>
        <w:p>
          <w:pPr>
            <w:pStyle w:val="27"/>
            <w:ind w:left="210"/>
          </w:pPr>
          <w:r>
            <w:fldChar w:fldCharType="begin"/>
          </w:r>
          <w:r>
            <w:instrText xml:space="preserve"> HYPERLINK \l "_Toc2770" </w:instrText>
          </w:r>
          <w:r>
            <w:fldChar w:fldCharType="separate"/>
          </w:r>
          <w:r>
            <w:rPr>
              <w:rFonts w:hint="eastAsia" w:ascii="黑体" w:hAnsi="Times New Roman" w:eastAsia="黑体"/>
            </w:rPr>
            <w:t>8　</w:t>
          </w:r>
          <w:r>
            <w:rPr>
              <w:rFonts w:hint="eastAsia"/>
            </w:rPr>
            <w:t>设备与管线系统设计</w:t>
          </w:r>
          <w:r>
            <w:tab/>
          </w:r>
          <w:r>
            <w:fldChar w:fldCharType="begin"/>
          </w:r>
          <w:r>
            <w:instrText xml:space="preserve"> PAGEREF _Toc2770 \h </w:instrText>
          </w:r>
          <w:r>
            <w:fldChar w:fldCharType="separate"/>
          </w:r>
          <w:r>
            <w:t>69</w:t>
          </w:r>
          <w:r>
            <w:fldChar w:fldCharType="end"/>
          </w:r>
          <w:r>
            <w:fldChar w:fldCharType="end"/>
          </w:r>
        </w:p>
        <w:p>
          <w:pPr>
            <w:pStyle w:val="18"/>
            <w:ind w:left="420"/>
          </w:pPr>
          <w:r>
            <w:fldChar w:fldCharType="begin"/>
          </w:r>
          <w:r>
            <w:instrText xml:space="preserve"> HYPERLINK \l "_Toc20490" </w:instrText>
          </w:r>
          <w:r>
            <w:fldChar w:fldCharType="separate"/>
          </w:r>
          <w:r>
            <w:rPr>
              <w:rFonts w:hint="eastAsia" w:ascii="黑体" w:hAnsi="黑体" w:eastAsia="黑体" w:cs="黑体"/>
            </w:rPr>
            <w:t>8.2</w:t>
          </w:r>
          <w:r>
            <w:rPr>
              <w:rFonts w:hint="eastAsia"/>
            </w:rPr>
            <w:t>　给水排水</w:t>
          </w:r>
          <w:r>
            <w:tab/>
          </w:r>
          <w:r>
            <w:fldChar w:fldCharType="begin"/>
          </w:r>
          <w:r>
            <w:instrText xml:space="preserve"> PAGEREF _Toc20490 \h </w:instrText>
          </w:r>
          <w:r>
            <w:fldChar w:fldCharType="separate"/>
          </w:r>
          <w:r>
            <w:t>69</w:t>
          </w:r>
          <w:r>
            <w:fldChar w:fldCharType="end"/>
          </w:r>
          <w:r>
            <w:fldChar w:fldCharType="end"/>
          </w:r>
        </w:p>
        <w:p>
          <w:pPr>
            <w:pStyle w:val="18"/>
            <w:ind w:left="420"/>
          </w:pPr>
          <w:r>
            <w:fldChar w:fldCharType="begin"/>
          </w:r>
          <w:r>
            <w:instrText xml:space="preserve"> HYPERLINK \l "_Toc2410" </w:instrText>
          </w:r>
          <w:r>
            <w:fldChar w:fldCharType="separate"/>
          </w:r>
          <w:r>
            <w:rPr>
              <w:rFonts w:hint="eastAsia" w:ascii="黑体" w:hAnsi="黑体" w:eastAsia="黑体" w:cs="黑体"/>
            </w:rPr>
            <w:t>8.3</w:t>
          </w:r>
          <w:r>
            <w:rPr>
              <w:rFonts w:hint="eastAsia"/>
            </w:rPr>
            <w:t>　电气和智能化</w:t>
          </w:r>
          <w:r>
            <w:tab/>
          </w:r>
          <w:r>
            <w:fldChar w:fldCharType="begin"/>
          </w:r>
          <w:r>
            <w:instrText xml:space="preserve"> PAGEREF _Toc2410 \h </w:instrText>
          </w:r>
          <w:r>
            <w:fldChar w:fldCharType="separate"/>
          </w:r>
          <w:r>
            <w:t>70</w:t>
          </w:r>
          <w:r>
            <w:fldChar w:fldCharType="end"/>
          </w:r>
          <w:r>
            <w:fldChar w:fldCharType="end"/>
          </w:r>
        </w:p>
        <w:p>
          <w:pPr>
            <w:pStyle w:val="18"/>
            <w:ind w:left="420"/>
          </w:pPr>
          <w:r>
            <w:fldChar w:fldCharType="begin"/>
          </w:r>
          <w:r>
            <w:instrText xml:space="preserve"> HYPERLINK \l "_Toc31839" </w:instrText>
          </w:r>
          <w:r>
            <w:fldChar w:fldCharType="separate"/>
          </w:r>
          <w:r>
            <w:rPr>
              <w:rFonts w:hint="eastAsia" w:ascii="黑体" w:hAnsi="黑体" w:eastAsia="黑体" w:cs="黑体"/>
            </w:rPr>
            <w:t>8.4</w:t>
          </w:r>
          <w:r>
            <w:rPr>
              <w:rFonts w:hint="eastAsia"/>
            </w:rPr>
            <w:t>　供暖、通风、空调及燃气</w:t>
          </w:r>
          <w:r>
            <w:tab/>
          </w:r>
          <w:r>
            <w:fldChar w:fldCharType="begin"/>
          </w:r>
          <w:r>
            <w:instrText xml:space="preserve"> PAGEREF _Toc31839 \h </w:instrText>
          </w:r>
          <w:r>
            <w:fldChar w:fldCharType="separate"/>
          </w:r>
          <w:r>
            <w:t>70</w:t>
          </w:r>
          <w:r>
            <w:fldChar w:fldCharType="end"/>
          </w:r>
          <w:r>
            <w:fldChar w:fldCharType="end"/>
          </w:r>
        </w:p>
        <w:p>
          <w:pPr>
            <w:pStyle w:val="27"/>
            <w:ind w:left="210"/>
          </w:pPr>
          <w:r>
            <w:fldChar w:fldCharType="begin"/>
          </w:r>
          <w:r>
            <w:instrText xml:space="preserve"> HYPERLINK \l "_Toc22447" </w:instrText>
          </w:r>
          <w:r>
            <w:fldChar w:fldCharType="separate"/>
          </w:r>
          <w:r>
            <w:rPr>
              <w:rFonts w:hint="eastAsia" w:ascii="黑体" w:hAnsi="Times New Roman" w:eastAsia="黑体"/>
            </w:rPr>
            <w:t>9　</w:t>
          </w:r>
          <w:r>
            <w:rPr>
              <w:rFonts w:hint="eastAsia"/>
            </w:rPr>
            <w:t>内装系统设计</w:t>
          </w:r>
          <w:r>
            <w:tab/>
          </w:r>
          <w:r>
            <w:fldChar w:fldCharType="begin"/>
          </w:r>
          <w:r>
            <w:instrText xml:space="preserve"> PAGEREF _Toc22447 \h </w:instrText>
          </w:r>
          <w:r>
            <w:fldChar w:fldCharType="separate"/>
          </w:r>
          <w:r>
            <w:t>70</w:t>
          </w:r>
          <w:r>
            <w:fldChar w:fldCharType="end"/>
          </w:r>
          <w:r>
            <w:fldChar w:fldCharType="end"/>
          </w:r>
        </w:p>
        <w:p>
          <w:pPr>
            <w:pStyle w:val="18"/>
            <w:ind w:left="420"/>
          </w:pPr>
          <w:r>
            <w:fldChar w:fldCharType="begin"/>
          </w:r>
          <w:r>
            <w:instrText xml:space="preserve"> HYPERLINK \l "_Toc13538" </w:instrText>
          </w:r>
          <w:r>
            <w:fldChar w:fldCharType="separate"/>
          </w:r>
          <w:r>
            <w:rPr>
              <w:rFonts w:hint="eastAsia" w:ascii="黑体" w:hAnsi="Times New Roman" w:eastAsia="黑体"/>
              <w:kern w:val="0"/>
            </w:rPr>
            <w:t>9.1　</w:t>
          </w:r>
          <w:r>
            <w:rPr>
              <w:rFonts w:hint="eastAsia"/>
            </w:rPr>
            <w:t>一般规定</w:t>
          </w:r>
          <w:r>
            <w:tab/>
          </w:r>
          <w:r>
            <w:fldChar w:fldCharType="begin"/>
          </w:r>
          <w:r>
            <w:instrText xml:space="preserve"> PAGEREF _Toc13538 \h </w:instrText>
          </w:r>
          <w:r>
            <w:fldChar w:fldCharType="separate"/>
          </w:r>
          <w:r>
            <w:t>70</w:t>
          </w:r>
          <w:r>
            <w:fldChar w:fldCharType="end"/>
          </w:r>
          <w:r>
            <w:fldChar w:fldCharType="end"/>
          </w:r>
        </w:p>
        <w:p>
          <w:pPr>
            <w:pStyle w:val="27"/>
            <w:ind w:left="210"/>
          </w:pPr>
          <w:r>
            <w:fldChar w:fldCharType="begin"/>
          </w:r>
          <w:r>
            <w:instrText xml:space="preserve"> HYPERLINK \l "_Toc27859" </w:instrText>
          </w:r>
          <w:r>
            <w:fldChar w:fldCharType="separate"/>
          </w:r>
          <w:r>
            <w:rPr>
              <w:rFonts w:hint="eastAsia" w:ascii="黑体" w:hAnsi="Times New Roman" w:eastAsia="黑体"/>
            </w:rPr>
            <w:t>10　</w:t>
          </w:r>
          <w:r>
            <w:rPr>
              <w:rFonts w:hint="eastAsia"/>
            </w:rPr>
            <w:t>构件生产</w:t>
          </w:r>
          <w:r>
            <w:tab/>
          </w:r>
          <w:r>
            <w:fldChar w:fldCharType="begin"/>
          </w:r>
          <w:r>
            <w:instrText xml:space="preserve"> PAGEREF _Toc27859 \h </w:instrText>
          </w:r>
          <w:r>
            <w:fldChar w:fldCharType="separate"/>
          </w:r>
          <w:r>
            <w:t>71</w:t>
          </w:r>
          <w:r>
            <w:fldChar w:fldCharType="end"/>
          </w:r>
          <w:r>
            <w:fldChar w:fldCharType="end"/>
          </w:r>
        </w:p>
        <w:p>
          <w:pPr>
            <w:pStyle w:val="18"/>
            <w:ind w:left="420"/>
          </w:pPr>
          <w:r>
            <w:fldChar w:fldCharType="begin"/>
          </w:r>
          <w:r>
            <w:instrText xml:space="preserve"> HYPERLINK \l "_Toc16277" </w:instrText>
          </w:r>
          <w:r>
            <w:fldChar w:fldCharType="separate"/>
          </w:r>
          <w:r>
            <w:rPr>
              <w:rFonts w:hint="eastAsia" w:ascii="黑体" w:hAnsi="Times New Roman" w:eastAsia="黑体"/>
              <w:kern w:val="0"/>
            </w:rPr>
            <w:t>10.1　</w:t>
          </w:r>
          <w:r>
            <w:rPr>
              <w:rFonts w:hint="eastAsia"/>
            </w:rPr>
            <w:t>一般规定</w:t>
          </w:r>
          <w:r>
            <w:tab/>
          </w:r>
          <w:r>
            <w:fldChar w:fldCharType="begin"/>
          </w:r>
          <w:r>
            <w:instrText xml:space="preserve"> PAGEREF _Toc16277 \h </w:instrText>
          </w:r>
          <w:r>
            <w:fldChar w:fldCharType="separate"/>
          </w:r>
          <w:r>
            <w:t>71</w:t>
          </w:r>
          <w:r>
            <w:fldChar w:fldCharType="end"/>
          </w:r>
          <w:r>
            <w:fldChar w:fldCharType="end"/>
          </w:r>
        </w:p>
        <w:p>
          <w:pPr>
            <w:pStyle w:val="18"/>
            <w:ind w:left="420"/>
          </w:pPr>
          <w:r>
            <w:fldChar w:fldCharType="begin"/>
          </w:r>
          <w:r>
            <w:instrText xml:space="preserve"> HYPERLINK \l "_Toc23549" </w:instrText>
          </w:r>
          <w:r>
            <w:fldChar w:fldCharType="separate"/>
          </w:r>
          <w:r>
            <w:rPr>
              <w:rFonts w:hint="eastAsia" w:ascii="黑体" w:hAnsi="Times New Roman" w:eastAsia="黑体"/>
              <w:kern w:val="0"/>
            </w:rPr>
            <w:t>10.2　</w:t>
          </w:r>
          <w:r>
            <w:rPr>
              <w:rFonts w:hint="eastAsia"/>
            </w:rPr>
            <w:t>结构构件生产</w:t>
          </w:r>
          <w:r>
            <w:tab/>
          </w:r>
          <w:r>
            <w:fldChar w:fldCharType="begin"/>
          </w:r>
          <w:r>
            <w:instrText xml:space="preserve"> PAGEREF _Toc23549 \h </w:instrText>
          </w:r>
          <w:r>
            <w:fldChar w:fldCharType="separate"/>
          </w:r>
          <w:r>
            <w:t>72</w:t>
          </w:r>
          <w:r>
            <w:fldChar w:fldCharType="end"/>
          </w:r>
          <w:r>
            <w:fldChar w:fldCharType="end"/>
          </w:r>
        </w:p>
        <w:p>
          <w:pPr>
            <w:pStyle w:val="18"/>
            <w:ind w:left="420"/>
          </w:pPr>
          <w:r>
            <w:fldChar w:fldCharType="begin"/>
          </w:r>
          <w:r>
            <w:instrText xml:space="preserve"> HYPERLINK \l "_Toc31598" </w:instrText>
          </w:r>
          <w:r>
            <w:fldChar w:fldCharType="separate"/>
          </w:r>
          <w:r>
            <w:rPr>
              <w:rFonts w:hint="eastAsia" w:ascii="黑体" w:hAnsi="Times New Roman" w:eastAsia="黑体"/>
              <w:kern w:val="0"/>
            </w:rPr>
            <w:t>10.3　</w:t>
          </w:r>
          <w:r>
            <w:rPr>
              <w:rFonts w:hint="eastAsia"/>
            </w:rPr>
            <w:t>外围护部品生产</w:t>
          </w:r>
          <w:r>
            <w:tab/>
          </w:r>
          <w:r>
            <w:fldChar w:fldCharType="begin"/>
          </w:r>
          <w:r>
            <w:instrText xml:space="preserve"> PAGEREF _Toc31598 \h </w:instrText>
          </w:r>
          <w:r>
            <w:fldChar w:fldCharType="separate"/>
          </w:r>
          <w:r>
            <w:t>72</w:t>
          </w:r>
          <w:r>
            <w:fldChar w:fldCharType="end"/>
          </w:r>
          <w:r>
            <w:fldChar w:fldCharType="end"/>
          </w:r>
        </w:p>
        <w:p>
          <w:pPr>
            <w:pStyle w:val="18"/>
            <w:ind w:left="420"/>
          </w:pPr>
          <w:r>
            <w:fldChar w:fldCharType="begin"/>
          </w:r>
          <w:r>
            <w:instrText xml:space="preserve"> HYPERLINK \l "_Toc26384" </w:instrText>
          </w:r>
          <w:r>
            <w:fldChar w:fldCharType="separate"/>
          </w:r>
          <w:r>
            <w:rPr>
              <w:rFonts w:hint="eastAsia" w:ascii="黑体" w:hAnsi="Times New Roman" w:eastAsia="黑体"/>
              <w:kern w:val="0"/>
            </w:rPr>
            <w:t>10.4　</w:t>
          </w:r>
          <w:r>
            <w:rPr>
              <w:rFonts w:hint="eastAsia"/>
            </w:rPr>
            <w:t>内装部品生产</w:t>
          </w:r>
          <w:r>
            <w:tab/>
          </w:r>
          <w:r>
            <w:fldChar w:fldCharType="begin"/>
          </w:r>
          <w:r>
            <w:instrText xml:space="preserve"> PAGEREF _Toc26384 \h </w:instrText>
          </w:r>
          <w:r>
            <w:fldChar w:fldCharType="separate"/>
          </w:r>
          <w:r>
            <w:t>72</w:t>
          </w:r>
          <w:r>
            <w:fldChar w:fldCharType="end"/>
          </w:r>
          <w:r>
            <w:fldChar w:fldCharType="end"/>
          </w:r>
        </w:p>
        <w:p>
          <w:pPr>
            <w:pStyle w:val="18"/>
            <w:ind w:left="420"/>
          </w:pPr>
          <w:r>
            <w:fldChar w:fldCharType="begin"/>
          </w:r>
          <w:r>
            <w:instrText xml:space="preserve"> HYPERLINK \l "_Toc3707" </w:instrText>
          </w:r>
          <w:r>
            <w:fldChar w:fldCharType="separate"/>
          </w:r>
          <w:r>
            <w:rPr>
              <w:rFonts w:hint="eastAsia" w:ascii="黑体" w:hAnsi="Times New Roman" w:eastAsia="黑体"/>
              <w:kern w:val="0"/>
            </w:rPr>
            <w:t>10.5　</w:t>
          </w:r>
          <w:r>
            <w:rPr>
              <w:rFonts w:hint="eastAsia"/>
            </w:rPr>
            <w:t>包装、运输与堆放</w:t>
          </w:r>
          <w:r>
            <w:tab/>
          </w:r>
          <w:r>
            <w:fldChar w:fldCharType="begin"/>
          </w:r>
          <w:r>
            <w:instrText xml:space="preserve"> PAGEREF _Toc3707 \h </w:instrText>
          </w:r>
          <w:r>
            <w:fldChar w:fldCharType="separate"/>
          </w:r>
          <w:r>
            <w:t>72</w:t>
          </w:r>
          <w:r>
            <w:fldChar w:fldCharType="end"/>
          </w:r>
          <w:r>
            <w:fldChar w:fldCharType="end"/>
          </w:r>
        </w:p>
        <w:p>
          <w:pPr>
            <w:pStyle w:val="27"/>
            <w:ind w:left="210"/>
          </w:pPr>
          <w:r>
            <w:fldChar w:fldCharType="begin"/>
          </w:r>
          <w:r>
            <w:instrText xml:space="preserve"> HYPERLINK \l "_Toc16562" </w:instrText>
          </w:r>
          <w:r>
            <w:fldChar w:fldCharType="separate"/>
          </w:r>
          <w:r>
            <w:rPr>
              <w:rFonts w:hint="eastAsia" w:ascii="黑体" w:hAnsi="Times New Roman" w:eastAsia="黑体"/>
            </w:rPr>
            <w:t>11　</w:t>
          </w:r>
          <w:r>
            <w:rPr>
              <w:rFonts w:hint="eastAsia"/>
            </w:rPr>
            <w:t>施工安装</w:t>
          </w:r>
          <w:r>
            <w:tab/>
          </w:r>
          <w:r>
            <w:fldChar w:fldCharType="begin"/>
          </w:r>
          <w:r>
            <w:instrText xml:space="preserve"> PAGEREF _Toc16562 \h </w:instrText>
          </w:r>
          <w:r>
            <w:fldChar w:fldCharType="separate"/>
          </w:r>
          <w:r>
            <w:t>73</w:t>
          </w:r>
          <w:r>
            <w:fldChar w:fldCharType="end"/>
          </w:r>
          <w:r>
            <w:fldChar w:fldCharType="end"/>
          </w:r>
        </w:p>
        <w:p>
          <w:pPr>
            <w:pStyle w:val="18"/>
            <w:ind w:left="420"/>
          </w:pPr>
          <w:r>
            <w:fldChar w:fldCharType="begin"/>
          </w:r>
          <w:r>
            <w:instrText xml:space="preserve"> HYPERLINK \l "_Toc14936" </w:instrText>
          </w:r>
          <w:r>
            <w:fldChar w:fldCharType="separate"/>
          </w:r>
          <w:r>
            <w:rPr>
              <w:rFonts w:hint="eastAsia" w:ascii="黑体" w:hAnsi="Times New Roman" w:eastAsia="黑体"/>
              <w:kern w:val="0"/>
            </w:rPr>
            <w:t>11.1　</w:t>
          </w:r>
          <w:r>
            <w:t>一般规定</w:t>
          </w:r>
          <w:r>
            <w:tab/>
          </w:r>
          <w:r>
            <w:fldChar w:fldCharType="begin"/>
          </w:r>
          <w:r>
            <w:instrText xml:space="preserve"> PAGEREF _Toc14936 \h </w:instrText>
          </w:r>
          <w:r>
            <w:fldChar w:fldCharType="separate"/>
          </w:r>
          <w:r>
            <w:t>73</w:t>
          </w:r>
          <w:r>
            <w:fldChar w:fldCharType="end"/>
          </w:r>
          <w:r>
            <w:fldChar w:fldCharType="end"/>
          </w:r>
        </w:p>
        <w:p>
          <w:pPr>
            <w:pStyle w:val="18"/>
            <w:ind w:left="420"/>
          </w:pPr>
          <w:r>
            <w:fldChar w:fldCharType="begin"/>
          </w:r>
          <w:r>
            <w:instrText xml:space="preserve"> HYPERLINK \l "_Toc16242" </w:instrText>
          </w:r>
          <w:r>
            <w:fldChar w:fldCharType="separate"/>
          </w:r>
          <w:r>
            <w:rPr>
              <w:rFonts w:hint="eastAsia" w:ascii="黑体" w:hAnsi="Times New Roman" w:eastAsia="黑体"/>
              <w:kern w:val="0"/>
            </w:rPr>
            <w:t>11.2　</w:t>
          </w:r>
          <w:r>
            <w:t>结构系统施工与安装</w:t>
          </w:r>
          <w:r>
            <w:tab/>
          </w:r>
          <w:r>
            <w:fldChar w:fldCharType="begin"/>
          </w:r>
          <w:r>
            <w:instrText xml:space="preserve"> PAGEREF _Toc16242 \h </w:instrText>
          </w:r>
          <w:r>
            <w:fldChar w:fldCharType="separate"/>
          </w:r>
          <w:r>
            <w:t>73</w:t>
          </w:r>
          <w:r>
            <w:fldChar w:fldCharType="end"/>
          </w:r>
          <w:r>
            <w:fldChar w:fldCharType="end"/>
          </w:r>
        </w:p>
        <w:p>
          <w:pPr>
            <w:pStyle w:val="18"/>
            <w:ind w:left="420"/>
          </w:pPr>
          <w:r>
            <w:fldChar w:fldCharType="begin"/>
          </w:r>
          <w:r>
            <w:instrText xml:space="preserve"> HYPERLINK \l "_Toc12593" </w:instrText>
          </w:r>
          <w:r>
            <w:fldChar w:fldCharType="separate"/>
          </w:r>
          <w:r>
            <w:rPr>
              <w:rFonts w:hint="eastAsia" w:ascii="黑体" w:hAnsi="Times New Roman" w:eastAsia="黑体"/>
              <w:kern w:val="0"/>
            </w:rPr>
            <w:t>11.3　</w:t>
          </w:r>
          <w:r>
            <w:t>外围护系统安装</w:t>
          </w:r>
          <w:r>
            <w:tab/>
          </w:r>
          <w:r>
            <w:fldChar w:fldCharType="begin"/>
          </w:r>
          <w:r>
            <w:instrText xml:space="preserve"> PAGEREF _Toc12593 \h </w:instrText>
          </w:r>
          <w:r>
            <w:fldChar w:fldCharType="separate"/>
          </w:r>
          <w:r>
            <w:t>73</w:t>
          </w:r>
          <w:r>
            <w:fldChar w:fldCharType="end"/>
          </w:r>
          <w:r>
            <w:fldChar w:fldCharType="end"/>
          </w:r>
        </w:p>
        <w:p>
          <w:pPr>
            <w:pStyle w:val="18"/>
            <w:ind w:left="420"/>
          </w:pPr>
          <w:r>
            <w:fldChar w:fldCharType="begin"/>
          </w:r>
          <w:r>
            <w:instrText xml:space="preserve"> HYPERLINK \l "_Toc4929" </w:instrText>
          </w:r>
          <w:r>
            <w:fldChar w:fldCharType="separate"/>
          </w:r>
          <w:r>
            <w:rPr>
              <w:rFonts w:hint="eastAsia" w:ascii="黑体" w:hAnsi="Times New Roman" w:eastAsia="黑体"/>
              <w:kern w:val="0"/>
            </w:rPr>
            <w:t>11.4　</w:t>
          </w:r>
          <w:r>
            <w:t>设备与管线系统安装</w:t>
          </w:r>
          <w:r>
            <w:tab/>
          </w:r>
          <w:r>
            <w:fldChar w:fldCharType="begin"/>
          </w:r>
          <w:r>
            <w:instrText xml:space="preserve"> PAGEREF _Toc4929 \h </w:instrText>
          </w:r>
          <w:r>
            <w:fldChar w:fldCharType="separate"/>
          </w:r>
          <w:r>
            <w:t>74</w:t>
          </w:r>
          <w:r>
            <w:fldChar w:fldCharType="end"/>
          </w:r>
          <w:r>
            <w:fldChar w:fldCharType="end"/>
          </w:r>
        </w:p>
        <w:p>
          <w:pPr>
            <w:pStyle w:val="18"/>
            <w:ind w:left="420"/>
          </w:pPr>
          <w:r>
            <w:fldChar w:fldCharType="begin"/>
          </w:r>
          <w:r>
            <w:instrText xml:space="preserve"> HYPERLINK \l "_Toc22491" </w:instrText>
          </w:r>
          <w:r>
            <w:fldChar w:fldCharType="separate"/>
          </w:r>
          <w:r>
            <w:rPr>
              <w:rFonts w:hint="eastAsia" w:ascii="黑体" w:hAnsi="Times New Roman" w:eastAsia="黑体"/>
              <w:kern w:val="0"/>
            </w:rPr>
            <w:t>11.5　</w:t>
          </w:r>
          <w:r>
            <w:t>内装系统安装</w:t>
          </w:r>
          <w:r>
            <w:tab/>
          </w:r>
          <w:r>
            <w:fldChar w:fldCharType="begin"/>
          </w:r>
          <w:r>
            <w:instrText xml:space="preserve"> PAGEREF _Toc22491 \h </w:instrText>
          </w:r>
          <w:r>
            <w:fldChar w:fldCharType="separate"/>
          </w:r>
          <w:r>
            <w:t>74</w:t>
          </w:r>
          <w:r>
            <w:fldChar w:fldCharType="end"/>
          </w:r>
          <w:r>
            <w:fldChar w:fldCharType="end"/>
          </w:r>
        </w:p>
        <w:p>
          <w:pPr>
            <w:pStyle w:val="18"/>
            <w:ind w:left="420"/>
          </w:pPr>
          <w:r>
            <w:fldChar w:fldCharType="begin"/>
          </w:r>
          <w:r>
            <w:instrText xml:space="preserve"> HYPERLINK \l "_Toc22430" </w:instrText>
          </w:r>
          <w:r>
            <w:fldChar w:fldCharType="separate"/>
          </w:r>
          <w:r>
            <w:rPr>
              <w:rFonts w:hint="eastAsia" w:ascii="黑体" w:hAnsi="Times New Roman" w:eastAsia="黑体"/>
              <w:kern w:val="0"/>
            </w:rPr>
            <w:t>11.6　</w:t>
          </w:r>
          <w:r>
            <w:t>安全文明与成品保护</w:t>
          </w:r>
          <w:r>
            <w:tab/>
          </w:r>
          <w:r>
            <w:fldChar w:fldCharType="begin"/>
          </w:r>
          <w:r>
            <w:instrText xml:space="preserve"> PAGEREF _Toc22430 \h </w:instrText>
          </w:r>
          <w:r>
            <w:fldChar w:fldCharType="separate"/>
          </w:r>
          <w:r>
            <w:t>74</w:t>
          </w:r>
          <w:r>
            <w:fldChar w:fldCharType="end"/>
          </w:r>
          <w:r>
            <w:fldChar w:fldCharType="end"/>
          </w:r>
        </w:p>
        <w:p>
          <w:pPr>
            <w:pStyle w:val="27"/>
            <w:ind w:left="210"/>
          </w:pPr>
          <w:r>
            <w:fldChar w:fldCharType="begin"/>
          </w:r>
          <w:r>
            <w:instrText xml:space="preserve"> HYPERLINK \l "_Toc1494" </w:instrText>
          </w:r>
          <w:r>
            <w:fldChar w:fldCharType="separate"/>
          </w:r>
          <w:r>
            <w:rPr>
              <w:rFonts w:hint="eastAsia" w:ascii="黑体" w:hAnsi="Times New Roman" w:eastAsia="黑体"/>
            </w:rPr>
            <w:t>12　</w:t>
          </w:r>
          <w:r>
            <w:rPr>
              <w:rFonts w:hint="eastAsia"/>
            </w:rPr>
            <w:t>检验检测与验收</w:t>
          </w:r>
          <w:r>
            <w:tab/>
          </w:r>
          <w:r>
            <w:fldChar w:fldCharType="begin"/>
          </w:r>
          <w:r>
            <w:instrText xml:space="preserve"> PAGEREF _Toc1494 \h </w:instrText>
          </w:r>
          <w:r>
            <w:fldChar w:fldCharType="separate"/>
          </w:r>
          <w:r>
            <w:t>74</w:t>
          </w:r>
          <w:r>
            <w:fldChar w:fldCharType="end"/>
          </w:r>
          <w:r>
            <w:fldChar w:fldCharType="end"/>
          </w:r>
        </w:p>
        <w:p>
          <w:pPr>
            <w:pStyle w:val="18"/>
            <w:ind w:left="420"/>
          </w:pPr>
          <w:r>
            <w:fldChar w:fldCharType="begin"/>
          </w:r>
          <w:r>
            <w:instrText xml:space="preserve"> HYPERLINK \l "_Toc28699" </w:instrText>
          </w:r>
          <w:r>
            <w:fldChar w:fldCharType="separate"/>
          </w:r>
          <w:r>
            <w:rPr>
              <w:rFonts w:hint="eastAsia" w:ascii="黑体" w:hAnsi="Times New Roman" w:eastAsia="黑体"/>
              <w:kern w:val="0"/>
            </w:rPr>
            <w:t>12.1　</w:t>
          </w:r>
          <w:r>
            <w:rPr>
              <w:rFonts w:hint="eastAsia"/>
            </w:rPr>
            <w:t>一般规定</w:t>
          </w:r>
          <w:r>
            <w:tab/>
          </w:r>
          <w:r>
            <w:fldChar w:fldCharType="begin"/>
          </w:r>
          <w:r>
            <w:instrText xml:space="preserve"> PAGEREF _Toc28699 \h </w:instrText>
          </w:r>
          <w:r>
            <w:fldChar w:fldCharType="separate"/>
          </w:r>
          <w:r>
            <w:t>74</w:t>
          </w:r>
          <w:r>
            <w:fldChar w:fldCharType="end"/>
          </w:r>
          <w:r>
            <w:fldChar w:fldCharType="end"/>
          </w:r>
        </w:p>
        <w:p>
          <w:pPr>
            <w:pStyle w:val="18"/>
            <w:ind w:left="420"/>
          </w:pPr>
          <w:r>
            <w:fldChar w:fldCharType="begin"/>
          </w:r>
          <w:r>
            <w:instrText xml:space="preserve"> HYPERLINK \l "_Toc6704" </w:instrText>
          </w:r>
          <w:r>
            <w:fldChar w:fldCharType="separate"/>
          </w:r>
          <w:r>
            <w:rPr>
              <w:rFonts w:hint="eastAsia" w:ascii="黑体" w:hAnsi="Times New Roman" w:eastAsia="黑体"/>
              <w:kern w:val="0"/>
            </w:rPr>
            <w:t>12.2　</w:t>
          </w:r>
          <w:r>
            <w:rPr>
              <w:rFonts w:hint="eastAsia"/>
            </w:rPr>
            <w:t>分部工程、分项工程与检验批的划分</w:t>
          </w:r>
          <w:r>
            <w:tab/>
          </w:r>
          <w:r>
            <w:fldChar w:fldCharType="begin"/>
          </w:r>
          <w:r>
            <w:instrText xml:space="preserve"> PAGEREF _Toc6704 \h </w:instrText>
          </w:r>
          <w:r>
            <w:fldChar w:fldCharType="separate"/>
          </w:r>
          <w:r>
            <w:t>75</w:t>
          </w:r>
          <w:r>
            <w:fldChar w:fldCharType="end"/>
          </w:r>
          <w:r>
            <w:fldChar w:fldCharType="end"/>
          </w:r>
        </w:p>
        <w:p>
          <w:pPr>
            <w:pStyle w:val="18"/>
            <w:ind w:left="420"/>
          </w:pPr>
          <w:r>
            <w:fldChar w:fldCharType="begin"/>
          </w:r>
          <w:r>
            <w:instrText xml:space="preserve"> HYPERLINK \l "_Toc18994" </w:instrText>
          </w:r>
          <w:r>
            <w:fldChar w:fldCharType="separate"/>
          </w:r>
          <w:r>
            <w:rPr>
              <w:rFonts w:hint="eastAsia" w:ascii="黑体" w:hAnsi="Times New Roman" w:eastAsia="黑体"/>
              <w:kern w:val="0"/>
            </w:rPr>
            <w:t>12.3　</w:t>
          </w:r>
          <w:r>
            <w:rPr>
              <w:rFonts w:hint="eastAsia"/>
            </w:rPr>
            <w:t>检验检测</w:t>
          </w:r>
          <w:r>
            <w:tab/>
          </w:r>
          <w:r>
            <w:fldChar w:fldCharType="begin"/>
          </w:r>
          <w:r>
            <w:instrText xml:space="preserve"> PAGEREF _Toc18994 \h </w:instrText>
          </w:r>
          <w:r>
            <w:fldChar w:fldCharType="separate"/>
          </w:r>
          <w:r>
            <w:t>75</w:t>
          </w:r>
          <w:r>
            <w:fldChar w:fldCharType="end"/>
          </w:r>
          <w:r>
            <w:fldChar w:fldCharType="end"/>
          </w:r>
        </w:p>
        <w:p>
          <w:pPr>
            <w:pStyle w:val="18"/>
            <w:ind w:left="420"/>
          </w:pPr>
          <w:r>
            <w:fldChar w:fldCharType="begin"/>
          </w:r>
          <w:r>
            <w:instrText xml:space="preserve"> HYPERLINK \l "_Toc13470" </w:instrText>
          </w:r>
          <w:r>
            <w:fldChar w:fldCharType="separate"/>
          </w:r>
          <w:r>
            <w:rPr>
              <w:rFonts w:hint="eastAsia" w:ascii="黑体" w:hAnsi="Times New Roman" w:eastAsia="黑体"/>
              <w:kern w:val="0"/>
            </w:rPr>
            <w:t>12.4　</w:t>
          </w:r>
          <w:r>
            <w:rPr>
              <w:rFonts w:hint="eastAsia"/>
            </w:rPr>
            <w:t>质量验收</w:t>
          </w:r>
          <w:r>
            <w:tab/>
          </w:r>
          <w:r>
            <w:fldChar w:fldCharType="begin"/>
          </w:r>
          <w:r>
            <w:instrText xml:space="preserve"> PAGEREF _Toc13470 \h </w:instrText>
          </w:r>
          <w:r>
            <w:fldChar w:fldCharType="separate"/>
          </w:r>
          <w:r>
            <w:t>75</w:t>
          </w:r>
          <w:r>
            <w:fldChar w:fldCharType="end"/>
          </w:r>
          <w:r>
            <w:fldChar w:fldCharType="end"/>
          </w:r>
        </w:p>
        <w:p>
          <w:pPr>
            <w:pStyle w:val="27"/>
            <w:ind w:left="210"/>
          </w:pPr>
          <w:r>
            <w:fldChar w:fldCharType="begin"/>
          </w:r>
          <w:r>
            <w:instrText xml:space="preserve"> HYPERLINK \l "_Toc13942" </w:instrText>
          </w:r>
          <w:r>
            <w:fldChar w:fldCharType="separate"/>
          </w:r>
          <w:r>
            <w:rPr>
              <w:rFonts w:hint="eastAsia" w:ascii="黑体" w:hAnsi="Times New Roman" w:eastAsia="黑体"/>
            </w:rPr>
            <w:t>13　</w:t>
          </w:r>
          <w:r>
            <w:rPr>
              <w:rFonts w:hint="eastAsia"/>
            </w:rPr>
            <w:t>绿色智能建造</w:t>
          </w:r>
          <w:r>
            <w:tab/>
          </w:r>
          <w:r>
            <w:fldChar w:fldCharType="begin"/>
          </w:r>
          <w:r>
            <w:instrText xml:space="preserve"> PAGEREF _Toc13942 \h </w:instrText>
          </w:r>
          <w:r>
            <w:fldChar w:fldCharType="separate"/>
          </w:r>
          <w:r>
            <w:t>77</w:t>
          </w:r>
          <w:r>
            <w:fldChar w:fldCharType="end"/>
          </w:r>
          <w:r>
            <w:fldChar w:fldCharType="end"/>
          </w:r>
        </w:p>
        <w:p>
          <w:pPr>
            <w:pStyle w:val="18"/>
            <w:ind w:left="420"/>
          </w:pPr>
          <w:r>
            <w:fldChar w:fldCharType="begin"/>
          </w:r>
          <w:r>
            <w:instrText xml:space="preserve"> HYPERLINK \l "_Toc7241" </w:instrText>
          </w:r>
          <w:r>
            <w:fldChar w:fldCharType="separate"/>
          </w:r>
          <w:r>
            <w:rPr>
              <w:rFonts w:hint="eastAsia" w:ascii="黑体" w:hAnsi="Times New Roman" w:eastAsia="黑体"/>
              <w:kern w:val="0"/>
            </w:rPr>
            <w:t>13.1　</w:t>
          </w:r>
          <w:r>
            <w:rPr>
              <w:rFonts w:hint="eastAsia"/>
            </w:rPr>
            <w:t>一般规定</w:t>
          </w:r>
          <w:r>
            <w:tab/>
          </w:r>
          <w:r>
            <w:fldChar w:fldCharType="begin"/>
          </w:r>
          <w:r>
            <w:instrText xml:space="preserve"> PAGEREF _Toc7241 \h </w:instrText>
          </w:r>
          <w:r>
            <w:fldChar w:fldCharType="separate"/>
          </w:r>
          <w:r>
            <w:t>77</w:t>
          </w:r>
          <w:r>
            <w:fldChar w:fldCharType="end"/>
          </w:r>
          <w:r>
            <w:fldChar w:fldCharType="end"/>
          </w:r>
        </w:p>
        <w:p>
          <w:pPr>
            <w:pStyle w:val="18"/>
            <w:ind w:left="420"/>
          </w:pPr>
          <w:r>
            <w:fldChar w:fldCharType="begin"/>
          </w:r>
          <w:r>
            <w:instrText xml:space="preserve"> HYPERLINK \l "_Toc23723" </w:instrText>
          </w:r>
          <w:r>
            <w:fldChar w:fldCharType="separate"/>
          </w:r>
          <w:r>
            <w:rPr>
              <w:rFonts w:hint="eastAsia" w:ascii="黑体" w:hAnsi="Times New Roman" w:eastAsia="黑体"/>
              <w:kern w:val="0"/>
            </w:rPr>
            <w:t>13.2　</w:t>
          </w:r>
          <w:r>
            <w:rPr>
              <w:rFonts w:hint="eastAsia"/>
            </w:rPr>
            <w:t>数字化协同设计</w:t>
          </w:r>
          <w:r>
            <w:tab/>
          </w:r>
          <w:r>
            <w:fldChar w:fldCharType="begin"/>
          </w:r>
          <w:r>
            <w:instrText xml:space="preserve"> PAGEREF _Toc23723 \h </w:instrText>
          </w:r>
          <w:r>
            <w:fldChar w:fldCharType="separate"/>
          </w:r>
          <w:r>
            <w:t>78</w:t>
          </w:r>
          <w:r>
            <w:fldChar w:fldCharType="end"/>
          </w:r>
          <w:r>
            <w:fldChar w:fldCharType="end"/>
          </w:r>
        </w:p>
        <w:p>
          <w:pPr>
            <w:pStyle w:val="18"/>
            <w:ind w:left="420"/>
          </w:pPr>
          <w:r>
            <w:fldChar w:fldCharType="begin"/>
          </w:r>
          <w:r>
            <w:instrText xml:space="preserve"> HYPERLINK \l "_Toc27172" </w:instrText>
          </w:r>
          <w:r>
            <w:fldChar w:fldCharType="separate"/>
          </w:r>
          <w:r>
            <w:rPr>
              <w:rFonts w:hint="eastAsia" w:ascii="黑体" w:hAnsi="Times New Roman" w:eastAsia="黑体"/>
              <w:kern w:val="0"/>
            </w:rPr>
            <w:t>13.3　</w:t>
          </w:r>
          <w:r>
            <w:rPr>
              <w:rFonts w:hint="eastAsia"/>
            </w:rPr>
            <w:t>智能化生产与加工</w:t>
          </w:r>
          <w:r>
            <w:tab/>
          </w:r>
          <w:r>
            <w:fldChar w:fldCharType="begin"/>
          </w:r>
          <w:r>
            <w:instrText xml:space="preserve"> PAGEREF _Toc27172 \h </w:instrText>
          </w:r>
          <w:r>
            <w:fldChar w:fldCharType="separate"/>
          </w:r>
          <w:r>
            <w:t>78</w:t>
          </w:r>
          <w:r>
            <w:fldChar w:fldCharType="end"/>
          </w:r>
          <w:r>
            <w:fldChar w:fldCharType="end"/>
          </w:r>
        </w:p>
        <w:p>
          <w:pPr>
            <w:pStyle w:val="18"/>
            <w:ind w:left="420"/>
          </w:pPr>
          <w:r>
            <w:fldChar w:fldCharType="begin"/>
          </w:r>
          <w:r>
            <w:instrText xml:space="preserve"> HYPERLINK \l "_Toc10573" </w:instrText>
          </w:r>
          <w:r>
            <w:fldChar w:fldCharType="separate"/>
          </w:r>
          <w:r>
            <w:rPr>
              <w:rFonts w:hint="eastAsia" w:ascii="黑体" w:hAnsi="Times New Roman" w:eastAsia="黑体"/>
              <w:kern w:val="0"/>
            </w:rPr>
            <w:t>13.4　</w:t>
          </w:r>
          <w:r>
            <w:rPr>
              <w:rFonts w:hint="eastAsia"/>
            </w:rPr>
            <w:t>智能化安装与绿色施工</w:t>
          </w:r>
          <w:r>
            <w:tab/>
          </w:r>
          <w:r>
            <w:fldChar w:fldCharType="begin"/>
          </w:r>
          <w:r>
            <w:instrText xml:space="preserve"> PAGEREF _Toc10573 \h </w:instrText>
          </w:r>
          <w:r>
            <w:fldChar w:fldCharType="separate"/>
          </w:r>
          <w:r>
            <w:t>78</w:t>
          </w:r>
          <w:r>
            <w:fldChar w:fldCharType="end"/>
          </w:r>
          <w:r>
            <w:fldChar w:fldCharType="end"/>
          </w:r>
        </w:p>
        <w:p>
          <w:pPr>
            <w:pStyle w:val="18"/>
            <w:ind w:left="420"/>
          </w:pPr>
          <w:r>
            <w:fldChar w:fldCharType="begin"/>
          </w:r>
          <w:r>
            <w:instrText xml:space="preserve"> HYPERLINK \l "_Toc31426" </w:instrText>
          </w:r>
          <w:r>
            <w:fldChar w:fldCharType="separate"/>
          </w:r>
          <w:r>
            <w:rPr>
              <w:rFonts w:hint="eastAsia" w:ascii="黑体" w:hAnsi="Times New Roman" w:eastAsia="黑体"/>
              <w:kern w:val="0"/>
            </w:rPr>
            <w:t>13.5　</w:t>
          </w:r>
          <w:r>
            <w:rPr>
              <w:rFonts w:hint="eastAsia"/>
            </w:rPr>
            <w:t>智能化检测与质量控制</w:t>
          </w:r>
          <w:r>
            <w:tab/>
          </w:r>
          <w:r>
            <w:fldChar w:fldCharType="begin"/>
          </w:r>
          <w:r>
            <w:instrText xml:space="preserve"> PAGEREF _Toc31426 \h </w:instrText>
          </w:r>
          <w:r>
            <w:fldChar w:fldCharType="separate"/>
          </w:r>
          <w:r>
            <w:t>79</w:t>
          </w:r>
          <w:r>
            <w:fldChar w:fldCharType="end"/>
          </w:r>
          <w:r>
            <w:fldChar w:fldCharType="end"/>
          </w:r>
        </w:p>
        <w:p>
          <w:pPr>
            <w:pStyle w:val="18"/>
            <w:ind w:left="420"/>
          </w:pPr>
          <w:r>
            <w:fldChar w:fldCharType="begin"/>
          </w:r>
          <w:r>
            <w:instrText xml:space="preserve"> HYPERLINK \l "_Toc18566" </w:instrText>
          </w:r>
          <w:r>
            <w:fldChar w:fldCharType="separate"/>
          </w:r>
          <w:r>
            <w:rPr>
              <w:rFonts w:hint="eastAsia" w:ascii="黑体" w:hAnsi="Times New Roman" w:eastAsia="黑体"/>
              <w:kern w:val="0"/>
            </w:rPr>
            <w:t>13.6　</w:t>
          </w:r>
          <w:r>
            <w:rPr>
              <w:rFonts w:hint="eastAsia"/>
            </w:rPr>
            <w:t>数字化交付</w:t>
          </w:r>
          <w:r>
            <w:tab/>
          </w:r>
          <w:r>
            <w:fldChar w:fldCharType="begin"/>
          </w:r>
          <w:r>
            <w:instrText xml:space="preserve"> PAGEREF _Toc18566 \h </w:instrText>
          </w:r>
          <w:r>
            <w:fldChar w:fldCharType="separate"/>
          </w:r>
          <w:r>
            <w:t>79</w:t>
          </w:r>
          <w:r>
            <w:fldChar w:fldCharType="end"/>
          </w:r>
          <w:r>
            <w:fldChar w:fldCharType="end"/>
          </w:r>
        </w:p>
        <w:p>
          <w:pPr>
            <w:pStyle w:val="18"/>
            <w:ind w:left="420"/>
          </w:pPr>
          <w:r>
            <w:fldChar w:fldCharType="begin"/>
          </w:r>
          <w:r>
            <w:instrText xml:space="preserve"> HYPERLINK \l "_Toc3074" </w:instrText>
          </w:r>
          <w:r>
            <w:fldChar w:fldCharType="separate"/>
          </w:r>
          <w:r>
            <w:rPr>
              <w:rFonts w:hint="eastAsia" w:ascii="黑体" w:hAnsi="Times New Roman" w:eastAsia="黑体"/>
              <w:kern w:val="0"/>
            </w:rPr>
            <w:t>13.7　</w:t>
          </w:r>
          <w:r>
            <w:rPr>
              <w:rFonts w:hint="eastAsia"/>
            </w:rPr>
            <w:t>绿色智能建造评价</w:t>
          </w:r>
          <w:r>
            <w:tab/>
          </w:r>
          <w:r>
            <w:fldChar w:fldCharType="begin"/>
          </w:r>
          <w:r>
            <w:instrText xml:space="preserve"> PAGEREF _Toc3074 \h </w:instrText>
          </w:r>
          <w:r>
            <w:fldChar w:fldCharType="separate"/>
          </w:r>
          <w:r>
            <w:t>79</w:t>
          </w:r>
          <w:r>
            <w:fldChar w:fldCharType="end"/>
          </w:r>
          <w:r>
            <w:fldChar w:fldCharType="end"/>
          </w:r>
        </w:p>
        <w:p>
          <w:r>
            <w:rPr>
              <w:bCs/>
              <w:lang w:val="zh-CN"/>
            </w:rPr>
            <w:fldChar w:fldCharType="end"/>
          </w:r>
        </w:p>
      </w:sdtContent>
    </w:sdt>
    <w:p/>
    <w:p>
      <w:pPr>
        <w:pStyle w:val="39"/>
        <w:ind w:firstLine="420"/>
      </w:pPr>
    </w:p>
    <w:p>
      <w:pPr>
        <w:pStyle w:val="39"/>
        <w:ind w:firstLine="420"/>
        <w:sectPr>
          <w:pgSz w:w="11906" w:h="16838"/>
          <w:pgMar w:top="1418" w:right="1134" w:bottom="1134" w:left="1134" w:header="1418" w:footer="1134" w:gutter="284"/>
          <w:cols w:space="425" w:num="1"/>
          <w:docGrid w:type="lines" w:linePitch="312" w:charSpace="0"/>
        </w:sectPr>
      </w:pPr>
    </w:p>
    <w:p>
      <w:pPr>
        <w:pStyle w:val="41"/>
        <w:numPr>
          <w:ilvl w:val="1"/>
          <w:numId w:val="0"/>
        </w:numPr>
        <w:spacing w:before="312" w:after="312"/>
      </w:pPr>
      <w:bookmarkStart w:id="249" w:name="_Toc20406"/>
      <w:bookmarkStart w:id="250" w:name="PartB"/>
      <w:r>
        <w:rPr>
          <w:rFonts w:hint="eastAsia"/>
        </w:rPr>
        <w:t>1　范围</w:t>
      </w:r>
      <w:bookmarkEnd w:id="249"/>
    </w:p>
    <w:p>
      <w:pPr>
        <w:pStyle w:val="39"/>
        <w:ind w:firstLine="420"/>
      </w:pPr>
      <w:r>
        <w:rPr>
          <w:rFonts w:hint="eastAsia"/>
        </w:rPr>
        <w:t>本文件主要适用于我省钢结构装配式住宅的设计与施工，同时提出了检验检测与验收、运维与消纳的原则，引领推行绿色智能建造，其他钢结构装配式项目可参照使用。</w:t>
      </w:r>
    </w:p>
    <w:p>
      <w:pPr>
        <w:pStyle w:val="39"/>
        <w:ind w:firstLine="420"/>
      </w:pPr>
      <w:r>
        <w:rPr>
          <w:rFonts w:hint="eastAsia"/>
        </w:rPr>
        <w:t>本文件以符合或严于现行国家标准及行业标准有关规定为编制原则，同时充分考虑了湖北省的地方特点，对现行标准进行了补充和完善，体现了地方标准的可操作性和适用性。</w:t>
      </w:r>
    </w:p>
    <w:p>
      <w:pPr>
        <w:pStyle w:val="41"/>
        <w:numPr>
          <w:ilvl w:val="1"/>
          <w:numId w:val="0"/>
        </w:numPr>
        <w:spacing w:before="312" w:after="312"/>
      </w:pPr>
      <w:bookmarkStart w:id="251" w:name="_Toc11140"/>
      <w:r>
        <w:rPr>
          <w:rFonts w:hint="eastAsia"/>
        </w:rPr>
        <w:t>3　术语和定义</w:t>
      </w:r>
      <w:bookmarkEnd w:id="251"/>
    </w:p>
    <w:p>
      <w:pPr>
        <w:pStyle w:val="61"/>
        <w:numPr>
          <w:ilvl w:val="2"/>
          <w:numId w:val="0"/>
        </w:numPr>
        <w:rPr>
          <w:rFonts w:hAnsi="Times New Roman"/>
        </w:rPr>
      </w:pPr>
      <w:r>
        <w:rPr>
          <w:rFonts w:hint="eastAsia" w:ascii="黑体" w:hAnsi="Times New Roman" w:eastAsia="黑体"/>
          <w:color w:val="000000"/>
        </w:rPr>
        <w:t>3.1　</w:t>
      </w:r>
      <w:r>
        <w:rPr>
          <w:rFonts w:hint="eastAsia" w:hAnsi="Times New Roman"/>
        </w:rPr>
        <w:t>基于现行国家标准GB 50096住宅术语编制。本定义包含了住宅的两个关键概念：“家庭”和“房子”。申明“房子”的设计规范主要是按照“家庭”的居住使用要求来规定的。本文件不包括对公寓的特别考虑，即不包括为特定人群提供独立或半独立居住使用的、通常以栋为单位配套相应的公共服务设施。</w:t>
      </w:r>
    </w:p>
    <w:p>
      <w:pPr>
        <w:pStyle w:val="61"/>
        <w:numPr>
          <w:ilvl w:val="2"/>
          <w:numId w:val="0"/>
        </w:numPr>
        <w:rPr>
          <w:rFonts w:hAnsi="Times New Roman"/>
        </w:rPr>
      </w:pPr>
      <w:r>
        <w:rPr>
          <w:rFonts w:hint="eastAsia" w:ascii="黑体" w:hAnsi="Times New Roman" w:eastAsia="黑体"/>
          <w:color w:val="000000"/>
        </w:rPr>
        <w:t>3.2　</w:t>
      </w:r>
      <w:r>
        <w:rPr>
          <w:rFonts w:hint="eastAsia" w:hAnsi="Times New Roman"/>
        </w:rPr>
        <w:t>基于现行国家标准GB/T 51232装配式建筑术语和现行行业标准JGJ/T 494装配式住宅术语编制。其中：结构系统指由结构构件通过可靠的连接方式装配而成，以承受或传递荷载作用的整体；外围护系统指由建筑外墙、屋面、外门窗及其他部品部件等组合而成，用于分隔建筑室内外环境的部品部件的整体；设备与管线系统指由给水排水、供暖通风空调、电气和智能化、燃气等设备与管线组合而成，满足建筑使用功能的整体；内装修系统指由楼地面、墙面、轻质隔墙、吊顶、内门窗、厨房和卫生间等组成，满足建筑空间使用要求的整体。</w:t>
      </w:r>
    </w:p>
    <w:p>
      <w:pPr>
        <w:pStyle w:val="61"/>
        <w:numPr>
          <w:ilvl w:val="2"/>
          <w:numId w:val="0"/>
        </w:numPr>
        <w:rPr>
          <w:rFonts w:hAnsi="Times New Roman"/>
        </w:rPr>
      </w:pPr>
      <w:r>
        <w:rPr>
          <w:rFonts w:hint="eastAsia" w:ascii="黑体" w:hAnsi="Times New Roman" w:eastAsia="黑体"/>
          <w:color w:val="000000"/>
        </w:rPr>
        <w:t>3.3　</w:t>
      </w:r>
      <w:r>
        <w:rPr>
          <w:rFonts w:hint="eastAsia" w:hAnsi="Times New Roman"/>
        </w:rPr>
        <w:t>基于现行行业标准JGJ/T 469装配式钢结构住宅术语编制。根据我省实际情况，将钢-混凝土混合结构也纳入本文件包括的住宅结构体系范围。</w:t>
      </w:r>
    </w:p>
    <w:p>
      <w:pPr>
        <w:pStyle w:val="41"/>
        <w:numPr>
          <w:ilvl w:val="1"/>
          <w:numId w:val="0"/>
        </w:numPr>
        <w:spacing w:before="312" w:after="312"/>
        <w:rPr>
          <w:rFonts w:ascii="宋体" w:hAnsi="宋体" w:cs="宋体"/>
        </w:rPr>
      </w:pPr>
      <w:bookmarkStart w:id="252" w:name="_Toc21600"/>
      <w:r>
        <w:rPr>
          <w:rFonts w:hint="eastAsia" w:hAnsi="宋体" w:cs="宋体"/>
        </w:rPr>
        <w:t>4　</w:t>
      </w:r>
      <w:r>
        <w:rPr>
          <w:rFonts w:hint="eastAsia"/>
        </w:rPr>
        <w:t>基本规定</w:t>
      </w:r>
      <w:bookmarkEnd w:id="252"/>
    </w:p>
    <w:p>
      <w:pPr>
        <w:pStyle w:val="61"/>
        <w:numPr>
          <w:ilvl w:val="2"/>
          <w:numId w:val="0"/>
        </w:numPr>
        <w:rPr>
          <w:rFonts w:ascii="黑体" w:hAnsi="Times New Roman" w:eastAsia="黑体"/>
          <w:color w:val="000000"/>
        </w:rPr>
      </w:pPr>
      <w:r>
        <w:rPr>
          <w:rFonts w:hint="eastAsia" w:ascii="黑体" w:hAnsi="Times New Roman" w:eastAsia="黑体"/>
          <w:color w:val="000000"/>
        </w:rPr>
        <w:t>4.1　</w:t>
      </w:r>
      <w:r>
        <w:rPr>
          <w:rFonts w:hint="eastAsia" w:hAnsi="Times New Roman"/>
        </w:rPr>
        <w:t>基于现行国家标准GB 55038规定的建设目标（安全、舒适、绿色、智慧）编制。</w:t>
      </w:r>
    </w:p>
    <w:p>
      <w:pPr>
        <w:pStyle w:val="61"/>
        <w:numPr>
          <w:ilvl w:val="2"/>
          <w:numId w:val="0"/>
        </w:numPr>
      </w:pPr>
      <w:r>
        <w:rPr>
          <w:rFonts w:hint="eastAsia" w:ascii="黑体" w:hAnsi="Times New Roman" w:eastAsia="黑体"/>
          <w:color w:val="000000"/>
        </w:rPr>
        <w:t>4.2　</w:t>
      </w:r>
      <w:r>
        <w:rPr>
          <w:rFonts w:hint="eastAsia" w:hAnsi="Times New Roman"/>
        </w:rPr>
        <w:t>基于现行国家标准</w:t>
      </w:r>
      <w:r>
        <w:rPr>
          <w:rFonts w:hint="eastAsia"/>
        </w:rPr>
        <w:t>GB</w:t>
      </w:r>
      <w:r>
        <w:t xml:space="preserve"> </w:t>
      </w:r>
      <w:r>
        <w:rPr>
          <w:rFonts w:hint="eastAsia"/>
        </w:rPr>
        <w:t>55038、现行行业标准JGJ/T 469、现行湖北省地方标准DB42/T 1319的相关要求编制。</w:t>
      </w:r>
    </w:p>
    <w:p>
      <w:pPr>
        <w:pStyle w:val="41"/>
        <w:numPr>
          <w:ilvl w:val="1"/>
          <w:numId w:val="0"/>
        </w:numPr>
        <w:spacing w:before="312" w:after="312"/>
      </w:pPr>
      <w:bookmarkStart w:id="253" w:name="_Toc12266"/>
      <w:r>
        <w:rPr>
          <w:rFonts w:hint="eastAsia"/>
        </w:rPr>
        <w:t>5　建筑设计</w:t>
      </w:r>
      <w:bookmarkEnd w:id="253"/>
    </w:p>
    <w:p>
      <w:pPr>
        <w:pStyle w:val="42"/>
        <w:numPr>
          <w:ilvl w:val="2"/>
          <w:numId w:val="0"/>
        </w:numPr>
        <w:spacing w:before="156" w:after="156"/>
      </w:pPr>
      <w:bookmarkStart w:id="254" w:name="_Toc14881"/>
      <w:r>
        <w:rPr>
          <w:rFonts w:hint="eastAsia" w:hAnsi="Times New Roman"/>
          <w:color w:val="000000"/>
        </w:rPr>
        <w:t>5.1　</w:t>
      </w:r>
      <w:r>
        <w:rPr>
          <w:rFonts w:hint="eastAsia"/>
        </w:rPr>
        <w:t>一般规定</w:t>
      </w:r>
      <w:bookmarkEnd w:id="254"/>
    </w:p>
    <w:p>
      <w:pPr>
        <w:pStyle w:val="46"/>
        <w:numPr>
          <w:ilvl w:val="0"/>
          <w:numId w:val="0"/>
        </w:numPr>
      </w:pPr>
      <w:r>
        <w:rPr>
          <w:rFonts w:hint="eastAsia" w:ascii="黑体" w:hAnsi="黑体" w:eastAsia="黑体"/>
        </w:rPr>
        <w:t>5.1.1</w:t>
      </w:r>
      <w:r>
        <w:rPr>
          <w:rFonts w:hint="eastAsia"/>
        </w:rPr>
        <w:t>　装配式钢结构住宅除应保障居住基本功能与各项性能指标外，尚应兼顾适老化与无障碍设计相关原则。当前国内住宅建设规模持续增长，叠加人口老龄化发展趋势，应树立适老化为住宅基础品质要素的设计理念，将老年友好设计纳入建筑常规设计的基本范畴，为老年人、残障人士营造安全、适用的居住空间与使用条件。</w:t>
      </w:r>
    </w:p>
    <w:p>
      <w:pPr>
        <w:pStyle w:val="46"/>
        <w:numPr>
          <w:ilvl w:val="0"/>
          <w:numId w:val="0"/>
        </w:numPr>
      </w:pPr>
      <w:r>
        <w:rPr>
          <w:rFonts w:hint="eastAsia" w:ascii="黑体" w:hAnsi="黑体" w:eastAsia="黑体"/>
        </w:rPr>
        <w:t>5.1.2</w:t>
      </w:r>
      <w:r>
        <w:rPr>
          <w:rFonts w:hint="eastAsia"/>
        </w:rPr>
        <w:t>　建筑设计应统筹考虑建筑全寿命期与家庭全寿命周期的使用及维护需求，宜优先采用大空间布局形式，在提升居住空间灵活性与可变性的同时，兼顾建筑后期维护与检修要求。</w:t>
      </w:r>
    </w:p>
    <w:p>
      <w:pPr>
        <w:pStyle w:val="46"/>
        <w:numPr>
          <w:ilvl w:val="0"/>
          <w:numId w:val="0"/>
        </w:numPr>
      </w:pPr>
      <w:r>
        <w:rPr>
          <w:rFonts w:hint="eastAsia" w:ascii="黑体" w:hAnsi="黑体" w:eastAsia="黑体"/>
        </w:rPr>
        <w:t>5.1.3</w:t>
      </w:r>
      <w:r>
        <w:rPr>
          <w:rFonts w:hint="eastAsia"/>
        </w:rPr>
        <w:t>　装配式钢结构住宅的建筑性能与其他结构体系住宅存在差异。进行隔声设计时，对于易产生声桥的部位，宜采取间接连接、隔声隔断等构造措施；开展热工性能设计时，外围护系统保温构造应形成连续闭合体系，钢梁、钢柱、楼板及外挑构件等热桥部位，应开展结露点温度验算；开展防水设计时，易渗漏部位应设置可靠防水构造，屋面、承重构件等重点部位加强构造防护，外围护系统宜采用构造防水与材料防水相结合的方式，外墙板与钢构件、外门窗及幕墙接缝处应设置阻断空气及水蒸气渗透的构造；开展绿色建筑设计时，应贯彻节约资源、降低环境负荷的理念，满足国家及湖北省现行绿色建筑相关标准要求。</w:t>
      </w:r>
    </w:p>
    <w:p>
      <w:pPr>
        <w:pStyle w:val="46"/>
        <w:numPr>
          <w:ilvl w:val="0"/>
          <w:numId w:val="0"/>
        </w:numPr>
      </w:pPr>
      <w:r>
        <w:rPr>
          <w:rFonts w:hint="eastAsia" w:ascii="黑体" w:hAnsi="黑体" w:eastAsia="黑体"/>
        </w:rPr>
        <w:t>5.1.4</w:t>
      </w:r>
      <w:r>
        <w:rPr>
          <w:rFonts w:hint="eastAsia"/>
        </w:rPr>
        <w:t>　装配式钢结构建筑梁柱施工成型后现场开孔难度大，且后期打孔易对结构安全造成不利影响，管线穿越梁柱应预先预留套管或孔洞；为便于后期管线检修、更换及增设，设计条件具备时宜采用管线分离的布置方式。钢构件可优先选用兼具装饰功能的防火包覆板材，并与室内装修开展一体化协同设计。</w:t>
      </w:r>
    </w:p>
    <w:p>
      <w:pPr>
        <w:pStyle w:val="46"/>
        <w:numPr>
          <w:ilvl w:val="0"/>
          <w:numId w:val="0"/>
        </w:numPr>
      </w:pPr>
      <w:r>
        <w:rPr>
          <w:rFonts w:hint="eastAsia" w:ascii="黑体" w:hAnsi="黑体" w:eastAsia="黑体"/>
        </w:rPr>
        <w:t>5.1.5</w:t>
      </w:r>
      <w:r>
        <w:rPr>
          <w:rFonts w:hint="eastAsia"/>
        </w:rPr>
        <w:t>　装配式钢结构住宅室内装修应采用标准化、工厂化、装配化设计施工模式，减少现场湿作业，提升装修质量与施工效率。为保护结构主体、方便后期管线检修与改造，设备管线宜与结构主体分离布置，并采用集成化设计技术，提升住宅使用的灵活性与耐久性。</w:t>
      </w:r>
    </w:p>
    <w:p>
      <w:pPr>
        <w:pStyle w:val="42"/>
        <w:numPr>
          <w:ilvl w:val="2"/>
          <w:numId w:val="0"/>
        </w:numPr>
        <w:spacing w:before="156" w:after="156"/>
      </w:pPr>
      <w:bookmarkStart w:id="255" w:name="_Toc10089"/>
      <w:r>
        <w:rPr>
          <w:rFonts w:hint="eastAsia" w:hAnsi="Times New Roman"/>
          <w:color w:val="000000"/>
        </w:rPr>
        <w:t>5.2　</w:t>
      </w:r>
      <w:r>
        <w:rPr>
          <w:rFonts w:hint="eastAsia"/>
        </w:rPr>
        <w:t>平面、立面与空间</w:t>
      </w:r>
      <w:bookmarkEnd w:id="255"/>
    </w:p>
    <w:p>
      <w:pPr>
        <w:pStyle w:val="46"/>
        <w:numPr>
          <w:ilvl w:val="0"/>
          <w:numId w:val="0"/>
        </w:numPr>
      </w:pPr>
      <w:r>
        <w:rPr>
          <w:rFonts w:hint="eastAsia" w:ascii="黑体" w:hAnsi="黑体" w:eastAsia="黑体"/>
        </w:rPr>
        <w:t>5.2.1</w:t>
      </w:r>
      <w:r>
        <w:rPr>
          <w:rFonts w:hint="eastAsia"/>
        </w:rPr>
        <w:t>　装配式钢结构住宅平面宜简洁规整，平面过多凹凸会增大施工难度，同时不利于节能降耗。平面布局需适配钢结构受力特征，并兼顾居住空间的可变需求。设备管线设计使用年限短于主体结构，在保障建筑长期服役性能的前提下，管线应便于检修与更换。竖向管线宜集中布置在公共管井，各类阀门、计量仪表、强弱电箱集中设于公共区域并预留检修空间；户内分集水器、空调、新风等设备位置，预留充足检修操作条件。给水、消防、雨水、暖通、弱电等公共立管不应设于户内功能房间，宜依托楼梯间等交通空间统一布置。户型是建筑系统集成设计的基础，可结合钢结构优势开展集成设计：优化南侧立面缝隙，改善采光通风；柱网布置在外墙与分户墙，做到户内无柱，实现大空间灵活分割；采用模数、模块与部品化设计，在标准化前提下实现户型多样。</w:t>
      </w:r>
    </w:p>
    <w:p>
      <w:pPr>
        <w:pStyle w:val="46"/>
        <w:numPr>
          <w:ilvl w:val="0"/>
          <w:numId w:val="0"/>
        </w:numPr>
      </w:pPr>
      <w:r>
        <w:rPr>
          <w:rFonts w:hint="eastAsia" w:ascii="黑体" w:hAnsi="黑体" w:eastAsia="黑体"/>
        </w:rPr>
        <w:t>5.2.2</w:t>
      </w:r>
      <w:r>
        <w:rPr>
          <w:rFonts w:hint="eastAsia"/>
        </w:rPr>
        <w:t>　装配式钢结构住宅立面设计需适配湖北夏热冬冷气候特点，综合考虑遮阳隔热、防雨防潮、保温防结露、抗风压及耐久性能。立面形体宜规整，兼顾标准化与建筑造型多样化，并结合外围护系统特性开展深化设计。外墙饰面及一体化墙板应选用耐久、易维护材料，明确设计使用年限；外墙板、门窗、阳台、遮阳等部构件在标准化设计基础上，做好选材、排板、预埋与连接节点深化，满足耐久、防水、防火等综合性能。</w:t>
      </w:r>
    </w:p>
    <w:p>
      <w:pPr>
        <w:pStyle w:val="46"/>
        <w:numPr>
          <w:ilvl w:val="0"/>
          <w:numId w:val="0"/>
        </w:numPr>
      </w:pPr>
      <w:r>
        <w:rPr>
          <w:rFonts w:hint="eastAsia" w:ascii="黑体" w:hAnsi="黑体" w:eastAsia="黑体"/>
        </w:rPr>
        <w:t>5.2.3</w:t>
      </w:r>
      <w:bookmarkStart w:id="256" w:name="OLE_LINK4"/>
      <w:bookmarkStart w:id="257" w:name="OLE_LINK3"/>
      <w:r>
        <w:rPr>
          <w:rFonts w:hint="eastAsia"/>
        </w:rPr>
        <w:t>　</w:t>
      </w:r>
      <w:bookmarkEnd w:id="256"/>
      <w:bookmarkEnd w:id="257"/>
      <w:r>
        <w:rPr>
          <w:rFonts w:hint="eastAsia"/>
        </w:rPr>
        <w:t>装配式钢结构住宅可发挥结构优势优先选用大开间布局，提升套内空间灵活改造能力。功能空间采用标准化、模块化、系列化设计，基本模块实行标准化，提高部品部件通用率；通过模块优化组合，兼顾使用功能与结构布置要求。</w:t>
      </w:r>
    </w:p>
    <w:p>
      <w:pPr>
        <w:pStyle w:val="42"/>
        <w:numPr>
          <w:ilvl w:val="2"/>
          <w:numId w:val="0"/>
        </w:numPr>
        <w:spacing w:before="156" w:after="156"/>
      </w:pPr>
      <w:bookmarkStart w:id="258" w:name="_Toc21622"/>
      <w:r>
        <w:rPr>
          <w:rFonts w:hint="eastAsia" w:hAnsi="Times New Roman"/>
          <w:color w:val="000000"/>
        </w:rPr>
        <w:t>5.3　</w:t>
      </w:r>
      <w:r>
        <w:rPr>
          <w:rFonts w:hint="eastAsia"/>
        </w:rPr>
        <w:t>模数化设计</w:t>
      </w:r>
      <w:bookmarkEnd w:id="258"/>
    </w:p>
    <w:p>
      <w:pPr>
        <w:pStyle w:val="46"/>
        <w:numPr>
          <w:ilvl w:val="0"/>
          <w:numId w:val="0"/>
        </w:numPr>
      </w:pPr>
      <w:r>
        <w:rPr>
          <w:rFonts w:hint="eastAsia" w:ascii="黑体" w:hAnsi="黑体" w:eastAsia="黑体"/>
        </w:rPr>
        <w:t>5.3.1</w:t>
      </w:r>
      <w:r>
        <w:rPr>
          <w:rFonts w:hint="eastAsia"/>
        </w:rPr>
        <w:t>　装配式钢结构建筑设计应通过模数统筹协调结构构件、内装部品、设备及管线的尺寸体系，实现部品部件设计、生产与安装的统一适配，精简并优化部品部件规格种类，提升建筑装配化精度与通用性。</w:t>
      </w:r>
    </w:p>
    <w:p>
      <w:pPr>
        <w:pStyle w:val="46"/>
        <w:numPr>
          <w:ilvl w:val="0"/>
          <w:numId w:val="0"/>
        </w:numPr>
      </w:pPr>
      <w:r>
        <w:rPr>
          <w:rFonts w:hint="eastAsia" w:ascii="黑体" w:hAnsi="黑体" w:eastAsia="黑体"/>
        </w:rPr>
        <w:t>5.3.3</w:t>
      </w:r>
      <w:r>
        <w:rPr>
          <w:rFonts w:hint="eastAsia"/>
        </w:rPr>
        <w:t>　模数协调是实现钢结构装配式住宅结构体与内装体一体化集成的基础。采用基本模数或扩大模数，保障构件、部品在设计、生产、安装阶段尺寸统一；通过模数优化精简部品规格，明确构件边界与定位条件。主体构件与内装部品采用模数网格定位，减少现场调整，提升装配效率与部品通用性。</w:t>
      </w:r>
    </w:p>
    <w:p>
      <w:pPr>
        <w:pStyle w:val="46"/>
        <w:numPr>
          <w:ilvl w:val="0"/>
          <w:numId w:val="0"/>
        </w:numPr>
      </w:pPr>
      <w:r>
        <w:rPr>
          <w:rFonts w:hint="eastAsia" w:ascii="黑体" w:hAnsi="黑体" w:eastAsia="黑体"/>
        </w:rPr>
        <w:t>5.3.4</w:t>
      </w:r>
      <w:r>
        <w:rPr>
          <w:rFonts w:hint="eastAsia"/>
        </w:rPr>
        <w:t>　本条M为住宅模数协调的基本单位，1M＝100mm，与现行相关标准取值一致。住宅设计中遇下列情形无法采用模数尺寸时，可对对应部位做专项技术处理：</w:t>
      </w:r>
    </w:p>
    <w:p>
      <w:pPr>
        <w:pStyle w:val="73"/>
        <w:numPr>
          <w:ilvl w:val="1"/>
          <w:numId w:val="0"/>
        </w:numPr>
        <w:tabs>
          <w:tab w:val="clear" w:pos="1276"/>
        </w:tabs>
        <w:ind w:left="1276" w:hanging="425"/>
      </w:pPr>
      <w:r>
        <w:rPr>
          <w:rFonts w:hint="eastAsia" w:hAnsi="Times New Roman"/>
        </w:rPr>
        <w:t>1)</w:t>
      </w:r>
      <w:r>
        <w:rPr>
          <w:rFonts w:hint="eastAsia"/>
        </w:rPr>
        <w:t>钢结构柱网采用中心线定位，边跨、边开间平面尺寸可为非模数；</w:t>
      </w:r>
    </w:p>
    <w:p>
      <w:pPr>
        <w:pStyle w:val="73"/>
        <w:numPr>
          <w:ilvl w:val="1"/>
          <w:numId w:val="0"/>
        </w:numPr>
        <w:tabs>
          <w:tab w:val="clear" w:pos="1276"/>
        </w:tabs>
        <w:ind w:left="1276" w:hanging="425"/>
      </w:pPr>
      <w:r>
        <w:rPr>
          <w:rFonts w:hint="eastAsia" w:hAnsi="Times New Roman"/>
        </w:rPr>
        <w:t>2)</w:t>
      </w:r>
      <w:r>
        <w:rPr>
          <w:rFonts w:hint="eastAsia"/>
        </w:rPr>
        <w:t>采用界面定位法时，钢结构柱网中心线允许为非模数；</w:t>
      </w:r>
    </w:p>
    <w:p>
      <w:pPr>
        <w:pStyle w:val="73"/>
        <w:numPr>
          <w:ilvl w:val="1"/>
          <w:numId w:val="0"/>
        </w:numPr>
        <w:tabs>
          <w:tab w:val="clear" w:pos="1276"/>
        </w:tabs>
        <w:ind w:left="1276" w:hanging="425"/>
      </w:pPr>
      <w:r>
        <w:rPr>
          <w:rFonts w:hint="eastAsia" w:hAnsi="Times New Roman"/>
        </w:rPr>
        <w:t>3)</w:t>
      </w:r>
      <w:r>
        <w:rPr>
          <w:rFonts w:hint="eastAsia"/>
        </w:rPr>
        <w:t>下层柱网采用中心线定位，钢柱截面沿高度变化时，可采用非模数；</w:t>
      </w:r>
    </w:p>
    <w:p>
      <w:pPr>
        <w:pStyle w:val="73"/>
        <w:numPr>
          <w:ilvl w:val="1"/>
          <w:numId w:val="0"/>
        </w:numPr>
        <w:tabs>
          <w:tab w:val="clear" w:pos="1276"/>
        </w:tabs>
        <w:ind w:left="1276" w:hanging="425"/>
      </w:pPr>
      <w:r>
        <w:rPr>
          <w:rFonts w:hint="eastAsia" w:hAnsi="Times New Roman"/>
        </w:rPr>
        <w:t>4)</w:t>
      </w:r>
      <w:r>
        <w:rPr>
          <w:rFonts w:hint="eastAsia"/>
        </w:rPr>
        <w:t>钢梁偏移轴线，可采用非模数；</w:t>
      </w:r>
    </w:p>
    <w:p>
      <w:pPr>
        <w:pStyle w:val="73"/>
        <w:numPr>
          <w:ilvl w:val="1"/>
          <w:numId w:val="0"/>
        </w:numPr>
        <w:tabs>
          <w:tab w:val="clear" w:pos="1276"/>
        </w:tabs>
        <w:ind w:left="1276" w:hanging="425"/>
      </w:pPr>
      <w:r>
        <w:rPr>
          <w:rFonts w:hint="eastAsia" w:hAnsi="Times New Roman"/>
        </w:rPr>
        <w:t>5)</w:t>
      </w:r>
      <w:r>
        <w:rPr>
          <w:rFonts w:hint="eastAsia"/>
        </w:rPr>
        <w:t>内墙移位用于隐藏钢梁柱，可采用非模数；</w:t>
      </w:r>
    </w:p>
    <w:p>
      <w:pPr>
        <w:pStyle w:val="73"/>
        <w:numPr>
          <w:ilvl w:val="1"/>
          <w:numId w:val="0"/>
        </w:numPr>
        <w:tabs>
          <w:tab w:val="clear" w:pos="1276"/>
        </w:tabs>
        <w:ind w:left="1276" w:hanging="425"/>
      </w:pPr>
      <w:r>
        <w:rPr>
          <w:rFonts w:hint="eastAsia" w:hAnsi="Times New Roman"/>
        </w:rPr>
        <w:t>6)</w:t>
      </w:r>
      <w:r>
        <w:rPr>
          <w:rFonts w:hint="eastAsia"/>
        </w:rPr>
        <w:t>楼盖高度受技术、经济条件制约，可采用非模数；</w:t>
      </w:r>
    </w:p>
    <w:p>
      <w:pPr>
        <w:pStyle w:val="73"/>
        <w:numPr>
          <w:ilvl w:val="1"/>
          <w:numId w:val="0"/>
        </w:numPr>
        <w:tabs>
          <w:tab w:val="clear" w:pos="1276"/>
        </w:tabs>
        <w:ind w:left="1276" w:hanging="425"/>
      </w:pPr>
      <w:r>
        <w:rPr>
          <w:rFonts w:hint="eastAsia" w:hAnsi="Times New Roman"/>
        </w:rPr>
        <w:t>7)</w:t>
      </w:r>
      <w:r>
        <w:rPr>
          <w:rFonts w:hint="eastAsia"/>
        </w:rPr>
        <w:t>专用体系特殊构造做法，可采用非模数。</w:t>
      </w:r>
    </w:p>
    <w:p>
      <w:pPr>
        <w:pStyle w:val="46"/>
        <w:numPr>
          <w:ilvl w:val="0"/>
          <w:numId w:val="0"/>
        </w:numPr>
      </w:pPr>
      <w:r>
        <w:rPr>
          <w:rFonts w:hint="eastAsia" w:ascii="黑体" w:hAnsi="黑体" w:eastAsia="黑体"/>
        </w:rPr>
        <w:t>5.3.6</w:t>
      </w:r>
      <w:r>
        <w:rPr>
          <w:rFonts w:hint="eastAsia"/>
        </w:rPr>
        <w:t>　装配式钢结构住宅应严格管控钢构件与其余部品部件间的建筑公差。接缝宽度需综合考虑主体结构层间位移、密封材料变形性能、施工偏差及温度变形等因素合理确定，避免因接缝失效引发渗漏等质量问题。</w:t>
      </w:r>
    </w:p>
    <w:p>
      <w:pPr>
        <w:pStyle w:val="42"/>
        <w:numPr>
          <w:ilvl w:val="2"/>
          <w:numId w:val="0"/>
        </w:numPr>
        <w:spacing w:before="156" w:after="156"/>
      </w:pPr>
      <w:bookmarkStart w:id="259" w:name="_Toc25746"/>
      <w:r>
        <w:rPr>
          <w:rFonts w:hint="eastAsia" w:hAnsi="Times New Roman"/>
          <w:color w:val="000000"/>
        </w:rPr>
        <w:t>5.4　</w:t>
      </w:r>
      <w:r>
        <w:rPr>
          <w:rFonts w:hint="eastAsia"/>
        </w:rPr>
        <w:t>标准化设计</w:t>
      </w:r>
      <w:bookmarkEnd w:id="259"/>
    </w:p>
    <w:p>
      <w:pPr>
        <w:pStyle w:val="46"/>
        <w:numPr>
          <w:ilvl w:val="0"/>
          <w:numId w:val="0"/>
        </w:numPr>
      </w:pPr>
      <w:r>
        <w:rPr>
          <w:rFonts w:hint="eastAsia" w:ascii="黑体" w:hAnsi="黑体" w:eastAsia="黑体"/>
        </w:rPr>
        <w:t>5.4.1</w:t>
      </w:r>
      <w:r>
        <w:rPr>
          <w:rFonts w:hint="eastAsia"/>
        </w:rPr>
        <w:t>　装配式钢结构住宅除满足建筑使用功能及安全、防火、节能、防水、隔声、采光等技术性能外，还应突出装配式标准化特征。运用模块化、标准化设计手段，实现尺寸模数化、部品部件标准化、设备集成化、装修一体化。依托标准化设计与批量化生产，方可提升装配式住宅的市场竞争力。</w:t>
      </w:r>
    </w:p>
    <w:p>
      <w:pPr>
        <w:pStyle w:val="46"/>
        <w:numPr>
          <w:ilvl w:val="0"/>
          <w:numId w:val="0"/>
        </w:numPr>
      </w:pPr>
      <w:r>
        <w:rPr>
          <w:rFonts w:hint="eastAsia" w:ascii="黑体" w:hAnsi="黑体" w:eastAsia="黑体"/>
        </w:rPr>
        <w:t>5.4.4</w:t>
      </w:r>
      <w:bookmarkStart w:id="260" w:name="OLE_LINK5"/>
      <w:bookmarkStart w:id="261" w:name="OLE_LINK7"/>
      <w:r>
        <w:rPr>
          <w:rFonts w:hint="eastAsia"/>
        </w:rPr>
        <w:t>　</w:t>
      </w:r>
      <w:bookmarkEnd w:id="260"/>
      <w:bookmarkEnd w:id="261"/>
      <w:r>
        <w:rPr>
          <w:rFonts w:hint="eastAsia"/>
        </w:rPr>
        <w:t>模块化属于标准化设计的实现手段。模块化设计应遵守模数协调规定，借助模数化、模块化设计，为构件工厂预制与现场装配施工创造条件。模块宜开展精细化、系列化设计，关联模块之间应具备逻辑衍生关系，并设置统一接口。模块可采用刚性或柔性两种连接形式：</w:t>
      </w:r>
    </w:p>
    <w:p>
      <w:pPr>
        <w:pStyle w:val="73"/>
      </w:pPr>
      <w:r>
        <w:rPr>
          <w:rFonts w:hint="eastAsia"/>
        </w:rPr>
        <w:t>刚性连接模块的连接边、连接面及预留洞口尺寸应相互匹配，采用同类材料与部品实现直接对接；</w:t>
      </w:r>
    </w:p>
    <w:p>
      <w:pPr>
        <w:pStyle w:val="73"/>
      </w:pPr>
      <w:r>
        <w:rPr>
          <w:rFonts w:hint="eastAsia"/>
        </w:rPr>
        <w:t>不适合直接对接的模块可采用柔性间接连接，柔性连接部位应安全可靠，并对连接形式与节点开展细化设计。</w:t>
      </w:r>
    </w:p>
    <w:p>
      <w:pPr>
        <w:pStyle w:val="42"/>
        <w:numPr>
          <w:ilvl w:val="2"/>
          <w:numId w:val="0"/>
        </w:numPr>
        <w:spacing w:before="156" w:after="156"/>
      </w:pPr>
      <w:bookmarkStart w:id="262" w:name="_Toc19623"/>
      <w:r>
        <w:rPr>
          <w:rFonts w:hint="eastAsia" w:hAnsi="Times New Roman"/>
          <w:color w:val="000000"/>
        </w:rPr>
        <w:t>5.5　</w:t>
      </w:r>
      <w:r>
        <w:rPr>
          <w:rFonts w:hint="eastAsia"/>
        </w:rPr>
        <w:t>集成设计</w:t>
      </w:r>
      <w:bookmarkEnd w:id="262"/>
    </w:p>
    <w:p>
      <w:pPr>
        <w:pStyle w:val="46"/>
        <w:numPr>
          <w:ilvl w:val="0"/>
          <w:numId w:val="0"/>
        </w:numPr>
      </w:pPr>
      <w:r>
        <w:rPr>
          <w:rFonts w:hint="eastAsia" w:ascii="黑体" w:hAnsi="黑体" w:eastAsia="黑体"/>
        </w:rPr>
        <w:t>5.5.1</w:t>
      </w:r>
      <w:bookmarkStart w:id="263" w:name="OLE_LINK8"/>
      <w:bookmarkStart w:id="264" w:name="OLE_LINK9"/>
      <w:r>
        <w:rPr>
          <w:rFonts w:hint="eastAsia"/>
        </w:rPr>
        <w:t>　</w:t>
      </w:r>
      <w:bookmarkEnd w:id="263"/>
      <w:bookmarkEnd w:id="264"/>
      <w:r>
        <w:rPr>
          <w:rFonts w:hint="eastAsia"/>
        </w:rPr>
        <w:t>集成设计需统筹各系统、各专业之间的相互关联，重点包含：结构构件和围护部品预埋或预焊连接件、在结构构件预留设备管线孔洞、围护部品预留预埋管线、明确结构构件与内装部品的接口、在围护部品内装吊挂位置进行加强处理。开展集成设计应符合以下要求：</w:t>
      </w:r>
    </w:p>
    <w:p>
      <w:pPr>
        <w:pStyle w:val="73"/>
        <w:numPr>
          <w:ilvl w:val="1"/>
          <w:numId w:val="172"/>
        </w:numPr>
      </w:pPr>
      <w:r>
        <w:rPr>
          <w:rFonts w:hint="eastAsia"/>
        </w:rPr>
        <w:t>采用通用化、模数化、标准化设计，宜应用BIM技术；</w:t>
      </w:r>
    </w:p>
    <w:p>
      <w:pPr>
        <w:pStyle w:val="73"/>
      </w:pPr>
      <w:r>
        <w:rPr>
          <w:rFonts w:hint="eastAsia"/>
        </w:rPr>
        <w:t>建筑功能与细部构造需在构件生产、现场施工前确定；</w:t>
      </w:r>
    </w:p>
    <w:p>
      <w:pPr>
        <w:pStyle w:val="73"/>
      </w:pPr>
      <w:r>
        <w:rPr>
          <w:rFonts w:hint="eastAsia"/>
        </w:rPr>
        <w:t>主体结构、外围护、设备管线、内装各模块的协同设计贯穿整个设计阶段；</w:t>
      </w:r>
    </w:p>
    <w:p>
      <w:pPr>
        <w:pStyle w:val="73"/>
      </w:pPr>
      <w:r>
        <w:rPr>
          <w:rFonts w:hint="eastAsia"/>
        </w:rPr>
        <w:t>结合建筑全寿命周期要求，建立覆盖部品生产、施工建造、运营维护全流程的绿色建造体系。</w:t>
      </w:r>
    </w:p>
    <w:p>
      <w:pPr>
        <w:pStyle w:val="42"/>
        <w:numPr>
          <w:ilvl w:val="2"/>
          <w:numId w:val="0"/>
        </w:numPr>
        <w:spacing w:before="156" w:after="156"/>
      </w:pPr>
      <w:bookmarkStart w:id="265" w:name="_Toc28824"/>
      <w:r>
        <w:rPr>
          <w:rFonts w:hint="eastAsia" w:hAnsi="Times New Roman"/>
          <w:color w:val="000000"/>
        </w:rPr>
        <w:t>5.6　</w:t>
      </w:r>
      <w:r>
        <w:rPr>
          <w:rFonts w:hint="eastAsia"/>
        </w:rPr>
        <w:t>协同设计</w:t>
      </w:r>
      <w:bookmarkEnd w:id="265"/>
    </w:p>
    <w:p>
      <w:pPr>
        <w:pStyle w:val="46"/>
        <w:numPr>
          <w:ilvl w:val="0"/>
          <w:numId w:val="0"/>
        </w:numPr>
      </w:pPr>
      <w:r>
        <w:rPr>
          <w:rFonts w:hint="eastAsia" w:ascii="黑体" w:hAnsi="黑体" w:eastAsia="黑体"/>
        </w:rPr>
        <w:t>5.6.1</w:t>
      </w:r>
      <w:r>
        <w:rPr>
          <w:rFonts w:hint="eastAsia"/>
        </w:rPr>
        <w:t>　钢结构装配式住宅是多系统协同的一体化建筑，需要打破各专业独立设计的模式。以系统集成理念统筹建筑、结构、设备管线、内装等专业，前置协调各系统接口，减少后期冲突，保障装配建造的整体性与实施可行性。</w:t>
      </w:r>
    </w:p>
    <w:p>
      <w:pPr>
        <w:pStyle w:val="46"/>
        <w:numPr>
          <w:ilvl w:val="0"/>
          <w:numId w:val="0"/>
        </w:numPr>
      </w:pPr>
      <w:r>
        <w:rPr>
          <w:rFonts w:hint="eastAsia" w:ascii="黑体" w:hAnsi="黑体" w:eastAsia="黑体"/>
        </w:rPr>
        <w:t>5.6.2</w:t>
      </w:r>
      <w:r>
        <w:rPr>
          <w:rFonts w:hint="eastAsia"/>
        </w:rPr>
        <w:t>　装配式钢结构住宅建筑应以工业化生产建造方式为原则，做好建筑设计、部(构)件部品设计、装配施工、运营维护等产业链各阶段的设计协同，将有利于设计、施工建造的相互衔接，保障生产效率和工程质量。</w:t>
      </w:r>
    </w:p>
    <w:p>
      <w:pPr>
        <w:pStyle w:val="46"/>
        <w:numPr>
          <w:ilvl w:val="0"/>
          <w:numId w:val="0"/>
        </w:numPr>
      </w:pPr>
      <w:r>
        <w:rPr>
          <w:rFonts w:hint="eastAsia" w:ascii="黑体" w:hAnsi="黑体" w:eastAsia="黑体"/>
        </w:rPr>
        <w:t>5.6.4</w:t>
      </w:r>
      <w:r>
        <w:rPr>
          <w:rFonts w:hint="eastAsia"/>
        </w:rPr>
        <w:t>　装配式钢结构住宅设计除常规施工图外，宜补充主体构件、外围护及内装部品的施工图与深化设计内容。图纸应完整表达各类构件、部品的规格型号、加工尺寸、连接构造以及设备管线类型与定位，满足部品构件工厂加工与现场装配的需求。</w:t>
      </w:r>
    </w:p>
    <w:p>
      <w:pPr>
        <w:pStyle w:val="42"/>
        <w:numPr>
          <w:ilvl w:val="2"/>
          <w:numId w:val="0"/>
        </w:numPr>
        <w:spacing w:before="156" w:after="156"/>
      </w:pPr>
      <w:bookmarkStart w:id="266" w:name="_Toc16357"/>
      <w:r>
        <w:rPr>
          <w:rFonts w:hint="eastAsia" w:hAnsi="Times New Roman"/>
          <w:color w:val="000000"/>
        </w:rPr>
        <w:t>5.7　</w:t>
      </w:r>
      <w:r>
        <w:rPr>
          <w:rFonts w:hint="eastAsia"/>
        </w:rPr>
        <w:t>绿色化设计</w:t>
      </w:r>
      <w:bookmarkEnd w:id="266"/>
    </w:p>
    <w:p>
      <w:pPr>
        <w:pStyle w:val="46"/>
        <w:numPr>
          <w:ilvl w:val="0"/>
          <w:numId w:val="0"/>
        </w:numPr>
      </w:pPr>
      <w:r>
        <w:rPr>
          <w:rFonts w:hint="eastAsia" w:ascii="黑体" w:hAnsi="黑体" w:eastAsia="黑体"/>
        </w:rPr>
        <w:t>5.7.1</w:t>
      </w:r>
      <w:r>
        <w:rPr>
          <w:rFonts w:hint="eastAsia" w:cs="宋体" w:asciiTheme="minorEastAsia" w:hAnsiTheme="minorEastAsia" w:eastAsiaTheme="minorEastAsia"/>
          <w:sz w:val="18"/>
          <w:szCs w:val="18"/>
        </w:rPr>
        <w:t>～</w:t>
      </w:r>
      <w:r>
        <w:rPr>
          <w:rFonts w:hint="eastAsia" w:ascii="黑体" w:hAnsi="黑体" w:eastAsia="黑体"/>
        </w:rPr>
        <w:t>5.7.4</w:t>
      </w:r>
      <w:bookmarkStart w:id="267" w:name="OLE_LINK13"/>
      <w:bookmarkStart w:id="268" w:name="OLE_LINK14"/>
      <w:r>
        <w:rPr>
          <w:rFonts w:hint="eastAsia"/>
        </w:rPr>
        <w:t>　</w:t>
      </w:r>
      <w:bookmarkEnd w:id="267"/>
      <w:bookmarkEnd w:id="268"/>
      <w:r>
        <w:rPr>
          <w:rFonts w:hint="eastAsia"/>
        </w:rPr>
        <w:t>可持续设计理念旨在降低建筑环境负荷，实现建筑与自然环境协调共生，打造有益于使用者健康的空间。其目标包括降低能源消耗、节约水资源、削减污染物排放，保护生态环境与人身健康，提升空间使用效益，兼顾后代发展权益。绿色可持续发展，离不开理念、技术持续创新，设计能力提升以及全社会共同参与。</w:t>
      </w:r>
    </w:p>
    <w:p>
      <w:pPr>
        <w:pStyle w:val="39"/>
        <w:ind w:firstLine="420"/>
      </w:pPr>
      <w:r>
        <w:rPr>
          <w:rFonts w:hint="eastAsia"/>
        </w:rPr>
        <w:t>相较于传统建筑，可持续建筑设计强调前期预判建筑对环境的影响与适应性，高效利用可再生资源、减少不可再生资源消耗，同时营造舒适宜居的室内环境。这要求设计师以资源高效利用、生态保护为核心开展设计，而不只是满足建筑功能与外观需求。</w:t>
      </w:r>
    </w:p>
    <w:p>
      <w:pPr>
        <w:pStyle w:val="41"/>
        <w:numPr>
          <w:ilvl w:val="1"/>
          <w:numId w:val="0"/>
        </w:numPr>
        <w:spacing w:before="312" w:after="312"/>
      </w:pPr>
      <w:bookmarkStart w:id="269" w:name="_Toc29072"/>
      <w:r>
        <w:rPr>
          <w:rFonts w:hint="eastAsia"/>
        </w:rPr>
        <w:t>6　结构设计</w:t>
      </w:r>
      <w:bookmarkEnd w:id="269"/>
    </w:p>
    <w:p>
      <w:pPr>
        <w:pStyle w:val="42"/>
        <w:numPr>
          <w:ilvl w:val="2"/>
          <w:numId w:val="0"/>
        </w:numPr>
        <w:spacing w:before="156" w:after="156"/>
      </w:pPr>
      <w:bookmarkStart w:id="270" w:name="_Toc19210"/>
      <w:r>
        <w:rPr>
          <w:rFonts w:hint="eastAsia" w:hAnsi="Times New Roman"/>
          <w:color w:val="000000"/>
        </w:rPr>
        <w:t>6.1　</w:t>
      </w:r>
      <w:r>
        <w:rPr>
          <w:rFonts w:hint="eastAsia"/>
        </w:rPr>
        <w:t>一般规定</w:t>
      </w:r>
      <w:bookmarkEnd w:id="270"/>
    </w:p>
    <w:p>
      <w:pPr>
        <w:pStyle w:val="46"/>
        <w:numPr>
          <w:ilvl w:val="0"/>
          <w:numId w:val="0"/>
        </w:numPr>
      </w:pPr>
      <w:r>
        <w:rPr>
          <w:rFonts w:hint="eastAsia" w:ascii="黑体" w:hAnsi="黑体" w:eastAsia="黑体"/>
        </w:rPr>
        <w:t>6.1.2</w:t>
      </w:r>
      <w:r>
        <w:rPr>
          <w:rFonts w:hint="eastAsia"/>
        </w:rPr>
        <w:t>　装配式钢结构住宅建筑的标准化和多样化问题是其设计建造的核心原则和方法。装配式钢结构住宅建筑的设计建造应基于通用化、模数化、标准化的方法，实现居住产品的多样化，要立足于建筑工业化，进行标准化的设计，少规格多组合，采用集成技术，便于工厂批量生产。各部品部件通过接口进行连接，在现场进行组装、干法施工。</w:t>
      </w:r>
    </w:p>
    <w:p>
      <w:pPr>
        <w:pStyle w:val="46"/>
        <w:numPr>
          <w:ilvl w:val="0"/>
          <w:numId w:val="0"/>
        </w:numPr>
      </w:pPr>
      <w:r>
        <w:rPr>
          <w:rFonts w:hint="eastAsia" w:ascii="黑体" w:hAnsi="黑体" w:eastAsia="黑体"/>
        </w:rPr>
        <w:t>6.1.3</w:t>
      </w:r>
      <w:r>
        <w:rPr>
          <w:rFonts w:hint="eastAsia"/>
        </w:rPr>
        <w:t>　装配式钢结构住宅是工业化建筑部品部(构)件的集成创新，应在综合协调各专业的同时，满足建筑整体性能和品质的基本要求，避免现场拆改等问题。</w:t>
      </w:r>
    </w:p>
    <w:p>
      <w:pPr>
        <w:pStyle w:val="46"/>
        <w:numPr>
          <w:ilvl w:val="0"/>
          <w:numId w:val="0"/>
        </w:numPr>
      </w:pPr>
      <w:r>
        <w:rPr>
          <w:rFonts w:hint="eastAsia" w:ascii="黑体" w:hAnsi="黑体" w:eastAsia="黑体"/>
        </w:rPr>
        <w:t>6.1.4</w:t>
      </w:r>
      <w:r>
        <w:rPr>
          <w:rFonts w:hint="eastAsia"/>
        </w:rPr>
        <w:t>　装配式钢结构住宅建筑应以工业化生产建造方式为原则，做好建筑设计、部(构)件部品生产运输、装配施工、运营维护等产业链各阶段的设计协同，将有利于设计、施工建造的相互衔接，保障生产效率和工程质量。</w:t>
      </w:r>
    </w:p>
    <w:p>
      <w:pPr>
        <w:pStyle w:val="42"/>
        <w:numPr>
          <w:ilvl w:val="2"/>
          <w:numId w:val="0"/>
        </w:numPr>
        <w:spacing w:before="156" w:after="156"/>
      </w:pPr>
      <w:bookmarkStart w:id="271" w:name="_Toc19355"/>
      <w:r>
        <w:rPr>
          <w:rFonts w:hint="eastAsia" w:hAnsi="Times New Roman"/>
          <w:color w:val="000000"/>
        </w:rPr>
        <w:t>6.2　</w:t>
      </w:r>
      <w:r>
        <w:rPr>
          <w:rFonts w:hint="eastAsia"/>
        </w:rPr>
        <w:t>设计要求</w:t>
      </w:r>
      <w:bookmarkEnd w:id="271"/>
    </w:p>
    <w:p>
      <w:pPr>
        <w:pStyle w:val="46"/>
        <w:numPr>
          <w:ilvl w:val="0"/>
          <w:numId w:val="0"/>
        </w:numPr>
      </w:pPr>
      <w:r>
        <w:rPr>
          <w:rFonts w:hint="eastAsia" w:ascii="黑体" w:hAnsi="黑体" w:eastAsia="黑体"/>
        </w:rPr>
        <w:t>6.2.1</w:t>
      </w:r>
      <w:r>
        <w:rPr>
          <w:rFonts w:hint="eastAsia"/>
        </w:rPr>
        <w:t>　钢结构装配式住宅设计应以产品化思维，以使用者需求为核心，以模块化、标准化、系统化、部品化、可持续化为原则，通过建筑专业为主导，与结构、水暖电、内装修等专业进行协同，满足建筑产品技术选型与建筑功能的适配性。需要综合考虑技术创新、成本效益、可持续性等多方面因素，为建筑行业发展提供具有前瞻性的解决方案。</w:t>
      </w:r>
    </w:p>
    <w:p>
      <w:pPr>
        <w:pStyle w:val="46"/>
        <w:numPr>
          <w:ilvl w:val="0"/>
          <w:numId w:val="0"/>
        </w:numPr>
      </w:pPr>
      <w:r>
        <w:rPr>
          <w:rFonts w:hint="eastAsia" w:ascii="黑体" w:hAnsi="黑体" w:eastAsia="黑体"/>
        </w:rPr>
        <w:t>6.2.2</w:t>
      </w:r>
      <w:r>
        <w:rPr>
          <w:rFonts w:hint="eastAsia"/>
        </w:rPr>
        <w:t>　结构设计应从建筑全寿命期和家庭全寿命周期的使用维护出发，宜优先采用大空间布置方式，既应提高居住空间灵活性与可变性，又要满足建筑后期维护维修等要求。</w:t>
      </w:r>
    </w:p>
    <w:p>
      <w:pPr>
        <w:pStyle w:val="46"/>
        <w:numPr>
          <w:ilvl w:val="0"/>
          <w:numId w:val="0"/>
        </w:numPr>
      </w:pPr>
      <w:r>
        <w:rPr>
          <w:rFonts w:hint="eastAsia" w:ascii="黑体" w:hAnsi="黑体" w:eastAsia="黑体"/>
        </w:rPr>
        <w:t>6.2.4</w:t>
      </w:r>
      <w:r>
        <w:rPr>
          <w:rFonts w:hint="eastAsia"/>
        </w:rPr>
        <w:t>　在本标准中，罕遇地震下的层间位移与现行国家标准规定的限值相同。但对于小震下带填充墙和外挂墙板的多高层钢结构的弹性层间位移要求则参考上海市地方标准《多高层钢结构住宅技术标准》，该标准根据同济大学相关试验数据和理论分析结果，以填充墙或外挂墙板初始开裂时的层间位移作为层间位移限值。</w:t>
      </w:r>
    </w:p>
    <w:p>
      <w:pPr>
        <w:pStyle w:val="39"/>
        <w:ind w:firstLine="420"/>
      </w:pPr>
      <w:r>
        <w:rPr>
          <w:rFonts w:hint="eastAsia"/>
        </w:rPr>
        <w:t>在保证主体结构不开裂和装修材料不出现较大破坏的情况下，最大层间位移限值可适当放宽。</w:t>
      </w:r>
    </w:p>
    <w:p>
      <w:pPr>
        <w:pStyle w:val="39"/>
        <w:ind w:firstLine="420"/>
      </w:pPr>
      <w:r>
        <w:rPr>
          <w:rFonts w:hint="eastAsia"/>
        </w:rPr>
        <w:t>当结构采用填充墙时，进行结构在风和小震作用下的侧移计算时，应考虑填充墙的刚度作用。如填充墙的有关刚度参数不能准确确定时，则结构侧移计算时可近似不考虑填充墙的刚度贡献，但将结构层间位移的计算结果乘以0.85的折减系数，以近似考虑填充墙的刚度影响。</w:t>
      </w:r>
    </w:p>
    <w:p>
      <w:pPr>
        <w:pStyle w:val="39"/>
        <w:ind w:firstLine="420"/>
      </w:pPr>
      <w:r>
        <w:rPr>
          <w:rFonts w:hint="eastAsia"/>
        </w:rPr>
        <w:t>对于外挂墙板，计算结构侧移时，可不考虑墙的刚度贡献。</w:t>
      </w:r>
    </w:p>
    <w:p>
      <w:pPr>
        <w:pStyle w:val="42"/>
        <w:numPr>
          <w:ilvl w:val="2"/>
          <w:numId w:val="0"/>
        </w:numPr>
        <w:spacing w:before="156" w:after="156"/>
      </w:pPr>
      <w:bookmarkStart w:id="272" w:name="_Toc22941"/>
      <w:r>
        <w:rPr>
          <w:rFonts w:hint="eastAsia" w:hAnsi="Times New Roman"/>
          <w:color w:val="000000"/>
        </w:rPr>
        <w:t>6.3　</w:t>
      </w:r>
      <w:r>
        <w:rPr>
          <w:rFonts w:hint="eastAsia"/>
        </w:rPr>
        <w:t>结构体系与布置</w:t>
      </w:r>
      <w:bookmarkEnd w:id="272"/>
    </w:p>
    <w:p>
      <w:pPr>
        <w:pStyle w:val="46"/>
        <w:numPr>
          <w:ilvl w:val="0"/>
          <w:numId w:val="0"/>
        </w:numPr>
      </w:pPr>
      <w:r>
        <w:rPr>
          <w:rFonts w:hint="eastAsia" w:ascii="黑体" w:hAnsi="黑体" w:eastAsia="黑体"/>
        </w:rPr>
        <w:t>6.3.1</w:t>
      </w:r>
      <w:r>
        <w:rPr>
          <w:rFonts w:hint="eastAsia"/>
        </w:rPr>
        <w:t>　结构设计应根据项目高度、建筑户型布置、外围护系统的变形要求等因素，选取合理的结构体系，应优先选择技术成熟、工业化程度高、便于集成的结构体系。本条推荐的钢结构结构体系是经过大震考验的、国内外常用的钢结构体系，能够满足钢结构装配式住宅的需要，钢框架等体系包含钢管混凝土框架，当采用异性钢管组合柱时，可按相应规范执行。</w:t>
      </w:r>
    </w:p>
    <w:p>
      <w:pPr>
        <w:pStyle w:val="46"/>
        <w:numPr>
          <w:ilvl w:val="0"/>
          <w:numId w:val="0"/>
        </w:numPr>
      </w:pPr>
      <w:r>
        <w:rPr>
          <w:rFonts w:hint="eastAsia" w:ascii="黑体" w:hAnsi="黑体" w:eastAsia="黑体"/>
        </w:rPr>
        <w:t>6.3.2</w:t>
      </w:r>
      <w:r>
        <w:rPr>
          <w:rFonts w:hint="eastAsia"/>
        </w:rPr>
        <w:t>　本条为结构体系选型的基本规定，目的是根据建筑高度和设防烈度合理选用结构体系，保障结构抗震安全与经济合理性。表中适用高度依据国家现行抗震规范及相关标准制定，与国家规范限值保持一致。钢模块单元结构体系适用高度参考了现行深圳市《钢结构模块化建筑技术规程》SJG 129-2023。</w:t>
      </w:r>
    </w:p>
    <w:p>
      <w:pPr>
        <w:pStyle w:val="46"/>
        <w:numPr>
          <w:ilvl w:val="0"/>
          <w:numId w:val="0"/>
        </w:numPr>
      </w:pPr>
      <w:r>
        <w:rPr>
          <w:rFonts w:hint="eastAsia" w:ascii="黑体" w:hAnsi="黑体" w:eastAsia="黑体"/>
        </w:rPr>
        <w:t>6.3.6</w:t>
      </w:r>
      <w:r>
        <w:rPr>
          <w:rFonts w:hint="eastAsia"/>
        </w:rPr>
        <w:t>　结构布置的安全性要求参考现行行业标准JGJ 99中3.1.3</w:t>
      </w:r>
      <w:r>
        <w:rPr>
          <w:rFonts w:hint="eastAsia" w:cs="宋体" w:asciiTheme="minorEastAsia" w:hAnsiTheme="minorEastAsia" w:eastAsiaTheme="minorEastAsia"/>
          <w:sz w:val="18"/>
          <w:szCs w:val="18"/>
        </w:rPr>
        <w:t>～</w:t>
      </w:r>
      <w:r>
        <w:rPr>
          <w:rFonts w:hint="eastAsia"/>
        </w:rPr>
        <w:t>3.1.5 条。</w:t>
      </w:r>
    </w:p>
    <w:p>
      <w:pPr>
        <w:pStyle w:val="46"/>
        <w:numPr>
          <w:ilvl w:val="0"/>
          <w:numId w:val="0"/>
        </w:numPr>
      </w:pPr>
      <w:r>
        <w:rPr>
          <w:rFonts w:hint="eastAsia" w:ascii="黑体" w:hAnsi="黑体" w:eastAsia="黑体"/>
        </w:rPr>
        <w:t>6.3.7</w:t>
      </w:r>
      <w:r>
        <w:rPr>
          <w:rFonts w:hint="eastAsia" w:cs="宋体" w:asciiTheme="minorEastAsia" w:hAnsiTheme="minorEastAsia" w:eastAsiaTheme="minorEastAsia"/>
          <w:sz w:val="18"/>
          <w:szCs w:val="18"/>
        </w:rPr>
        <w:t>～</w:t>
      </w:r>
      <w:r>
        <w:rPr>
          <w:rFonts w:hint="eastAsia" w:ascii="黑体" w:hAnsi="黑体" w:eastAsia="黑体"/>
        </w:rPr>
        <w:t>6.3.8</w:t>
      </w:r>
      <w:r>
        <w:rPr>
          <w:rFonts w:hint="eastAsia"/>
        </w:rPr>
        <w:t>　钢支撑、钢板剪力墙的布置在满足结构侧向刚度、变形控制与抗震性能的前提下，尽可能实现与建筑功能协同，旨在平衡结构与住宅建筑功能、门窗洞口布置、隔声性能的关系，同时明确支撑形式的选用原则。</w:t>
      </w:r>
    </w:p>
    <w:p>
      <w:pPr>
        <w:pStyle w:val="42"/>
        <w:numPr>
          <w:ilvl w:val="2"/>
          <w:numId w:val="0"/>
        </w:numPr>
        <w:spacing w:before="156" w:after="156"/>
      </w:pPr>
      <w:bookmarkStart w:id="273" w:name="_Toc7270"/>
      <w:r>
        <w:rPr>
          <w:rFonts w:hint="eastAsia" w:hAnsi="Times New Roman"/>
          <w:color w:val="000000"/>
        </w:rPr>
        <w:t>6.4　</w:t>
      </w:r>
      <w:r>
        <w:rPr>
          <w:rFonts w:hint="eastAsia"/>
        </w:rPr>
        <w:t>结构分析</w:t>
      </w:r>
      <w:bookmarkEnd w:id="273"/>
    </w:p>
    <w:p>
      <w:pPr>
        <w:pStyle w:val="46"/>
        <w:numPr>
          <w:ilvl w:val="0"/>
          <w:numId w:val="0"/>
        </w:numPr>
      </w:pPr>
      <w:r>
        <w:rPr>
          <w:rFonts w:hint="eastAsia" w:ascii="黑体" w:hAnsi="黑体" w:eastAsia="黑体"/>
        </w:rPr>
        <w:t>6.4.2</w:t>
      </w:r>
      <w:r>
        <w:rPr>
          <w:rFonts w:hint="eastAsia"/>
        </w:rPr>
        <w:t>　本条为钢结构装配式住宅结构计算分析的基本方法规定，旨在明确不同作用工况下的计算方法，保障结构承载力、变形控制及抗震性能，参考现行国家标准JGJ 99中6.1.1条。</w:t>
      </w:r>
    </w:p>
    <w:p>
      <w:pPr>
        <w:pStyle w:val="46"/>
        <w:numPr>
          <w:ilvl w:val="0"/>
          <w:numId w:val="0"/>
        </w:numPr>
      </w:pPr>
      <w:r>
        <w:rPr>
          <w:rFonts w:hint="eastAsia" w:ascii="黑体" w:hAnsi="黑体" w:eastAsia="黑体"/>
        </w:rPr>
        <w:t>6.4.3</w:t>
      </w:r>
      <w:r>
        <w:rPr>
          <w:rFonts w:hint="eastAsia"/>
        </w:rPr>
        <w:t>　钢筋混凝土楼板与钢梁连接可靠时，楼板可作为钢梁的翼缘，两者共同工作，计算钢梁截面的惯性矩时，可计人楼板的作用。大震时，楼板可能开裂，不计入楼板对钢梁刚度的增大作用。</w:t>
      </w:r>
    </w:p>
    <w:p>
      <w:pPr>
        <w:pStyle w:val="46"/>
        <w:numPr>
          <w:ilvl w:val="0"/>
          <w:numId w:val="0"/>
        </w:numPr>
      </w:pPr>
      <w:r>
        <w:rPr>
          <w:rFonts w:hint="eastAsia" w:ascii="黑体" w:hAnsi="黑体" w:eastAsia="黑体"/>
        </w:rPr>
        <w:t>6.4.4</w:t>
      </w:r>
      <w:r>
        <w:rPr>
          <w:rFonts w:hint="eastAsia"/>
        </w:rPr>
        <w:t xml:space="preserve">　本条为钢结构装配式住宅结构阻尼比的取值规定，旨在根据结构体系、围护形式、建筑高度及作用工况合理确定阻尼比，保证风振、地震作用计算结果的准确性与经济合理性。 </w:t>
      </w:r>
    </w:p>
    <w:p>
      <w:pPr>
        <w:pStyle w:val="46"/>
        <w:numPr>
          <w:ilvl w:val="0"/>
          <w:numId w:val="0"/>
        </w:numPr>
      </w:pPr>
      <w:r>
        <w:rPr>
          <w:rFonts w:hint="eastAsia" w:ascii="黑体" w:hAnsi="黑体" w:eastAsia="黑体"/>
        </w:rPr>
        <w:t>6.4.6</w:t>
      </w:r>
      <w:r>
        <w:rPr>
          <w:rFonts w:hint="eastAsia"/>
        </w:rPr>
        <w:t>　体型复杂、结构布置复杂以及特别不规则的高层民用建筑钢结构的受力情况复杂，采用至少两个不同力学模型的结构分析软件进行整体计算分析，可以相互比较和分析，以保证力学分析结果的可靠性。在计算机软件广泛使用的条件下，除了要选择使用可靠的计算软件外，还应对计算结果从力学概念和工程经验等方面加以分析判断，确认其合理性和可靠性。</w:t>
      </w:r>
    </w:p>
    <w:p>
      <w:pPr>
        <w:pStyle w:val="46"/>
        <w:numPr>
          <w:ilvl w:val="0"/>
          <w:numId w:val="0"/>
        </w:numPr>
      </w:pPr>
      <w:r>
        <w:rPr>
          <w:rFonts w:hint="eastAsia" w:ascii="黑体" w:hAnsi="黑体" w:eastAsia="黑体"/>
        </w:rPr>
        <w:t>6.4.7</w:t>
      </w:r>
      <w:r>
        <w:rPr>
          <w:rFonts w:hint="eastAsia"/>
        </w:rPr>
        <w:t>　装配式钢结构住宅部品部件在施工安装过程中的受力与设计使用状态有较大差异，结构应力会产生复杂的变化，甚至出现应力和变形超限的情况，施工过程模拟分析可以有效地预测施工风险，通过采取必要的安全措施确保施工过程安全。</w:t>
      </w:r>
    </w:p>
    <w:p>
      <w:pPr>
        <w:pStyle w:val="42"/>
        <w:numPr>
          <w:ilvl w:val="2"/>
          <w:numId w:val="0"/>
        </w:numPr>
        <w:spacing w:before="156" w:after="156"/>
      </w:pPr>
      <w:bookmarkStart w:id="274" w:name="_Toc31186"/>
      <w:r>
        <w:rPr>
          <w:rFonts w:hint="eastAsia" w:hAnsi="Times New Roman"/>
          <w:color w:val="000000"/>
        </w:rPr>
        <w:t>6.5　</w:t>
      </w:r>
      <w:r>
        <w:rPr>
          <w:rFonts w:hint="eastAsia"/>
        </w:rPr>
        <w:t>部（构）件设计</w:t>
      </w:r>
      <w:bookmarkEnd w:id="274"/>
    </w:p>
    <w:p>
      <w:pPr>
        <w:pStyle w:val="46"/>
        <w:numPr>
          <w:ilvl w:val="0"/>
          <w:numId w:val="0"/>
        </w:numPr>
      </w:pPr>
      <w:r>
        <w:rPr>
          <w:rFonts w:hint="eastAsia" w:ascii="黑体" w:hAnsi="黑体" w:eastAsia="黑体"/>
        </w:rPr>
        <w:t>6.5.1</w:t>
      </w:r>
      <w:r>
        <w:rPr>
          <w:rFonts w:hint="eastAsia"/>
        </w:rPr>
        <w:t>　钢结构装配式住宅建筑采用型钢部（构）件既节省加工、减少污染，而且构件质量能得到保证，也能提高工业化水平，宜优先采用。对于冷弯方（矩）形管采用热处理后不仅弯折处钢材的力学性能得到改善，而且弯角处改变成直角（内圆外方），又利于结构节点设计。</w:t>
      </w:r>
    </w:p>
    <w:p>
      <w:pPr>
        <w:pStyle w:val="46"/>
        <w:numPr>
          <w:ilvl w:val="0"/>
          <w:numId w:val="0"/>
        </w:numPr>
      </w:pPr>
      <w:r>
        <w:rPr>
          <w:rFonts w:hint="eastAsia" w:ascii="黑体" w:hAnsi="黑体" w:eastAsia="黑体"/>
        </w:rPr>
        <w:t>6.5.2</w:t>
      </w:r>
      <w:r>
        <w:rPr>
          <w:rFonts w:hint="eastAsia"/>
        </w:rPr>
        <w:t>　本条中的M是住宅建筑模数协调的最小单位，1M=100mm，与其他标准相同。住宅建筑因下列情况而产生非模数尺寸与空间时，可对有关部位进行设计技术处理：</w:t>
      </w:r>
    </w:p>
    <w:p>
      <w:pPr>
        <w:pStyle w:val="73"/>
        <w:numPr>
          <w:ilvl w:val="1"/>
          <w:numId w:val="173"/>
        </w:numPr>
      </w:pPr>
      <w:r>
        <w:rPr>
          <w:rFonts w:hint="eastAsia"/>
        </w:rPr>
        <w:t>钢结构柱网采用中心线定位法，边跨和边开间的平面尺寸可采用非模数；</w:t>
      </w:r>
    </w:p>
    <w:p>
      <w:pPr>
        <w:pStyle w:val="73"/>
      </w:pPr>
      <w:r>
        <w:rPr>
          <w:rFonts w:hint="eastAsia"/>
        </w:rPr>
        <w:t>采用界面定位法时，钢结构柱网中心线为非模数；</w:t>
      </w:r>
    </w:p>
    <w:p>
      <w:pPr>
        <w:pStyle w:val="73"/>
      </w:pPr>
      <w:r>
        <w:rPr>
          <w:rFonts w:hint="eastAsia"/>
        </w:rPr>
        <w:t>在下层钢结构柱网采用中心线定位的情况下，钢柱截面随高度改变可采用非模数；</w:t>
      </w:r>
    </w:p>
    <w:p>
      <w:pPr>
        <w:pStyle w:val="73"/>
      </w:pPr>
      <w:r>
        <w:rPr>
          <w:rFonts w:hint="eastAsia"/>
        </w:rPr>
        <w:t>钢梁偏离轴线，可采用非模数；</w:t>
      </w:r>
    </w:p>
    <w:p>
      <w:pPr>
        <w:pStyle w:val="73"/>
      </w:pPr>
      <w:r>
        <w:rPr>
          <w:rFonts w:hint="eastAsia"/>
        </w:rPr>
        <w:t>为隐蔽钢梁、钢柱，内墙向一侧移动，可采用非模数；</w:t>
      </w:r>
    </w:p>
    <w:p>
      <w:pPr>
        <w:pStyle w:val="73"/>
      </w:pPr>
      <w:r>
        <w:rPr>
          <w:rFonts w:hint="eastAsia"/>
        </w:rPr>
        <w:t>受技术经济原因限制的楼盖高度可采用非模数；</w:t>
      </w:r>
    </w:p>
    <w:p>
      <w:pPr>
        <w:pStyle w:val="73"/>
      </w:pPr>
      <w:r>
        <w:rPr>
          <w:rFonts w:hint="eastAsia"/>
        </w:rPr>
        <w:t>专用体系的特殊构法，可采用非模数。</w:t>
      </w:r>
    </w:p>
    <w:p>
      <w:pPr>
        <w:pStyle w:val="46"/>
        <w:numPr>
          <w:ilvl w:val="0"/>
          <w:numId w:val="0"/>
        </w:numPr>
      </w:pPr>
      <w:r>
        <w:rPr>
          <w:rFonts w:hint="eastAsia" w:ascii="黑体" w:hAnsi="黑体" w:eastAsia="黑体"/>
        </w:rPr>
        <w:t>6.5.3</w:t>
      </w:r>
      <w:r>
        <w:rPr>
          <w:rFonts w:hint="eastAsia"/>
        </w:rPr>
        <w:t xml:space="preserve">　柱截面宜采用双轴对称截面形式。有可靠依据时也可采用异形柱截面（图 </w:t>
      </w:r>
      <w:r>
        <w:t>9</w:t>
      </w:r>
      <w:r>
        <w:rPr>
          <w:rFonts w:hint="eastAsia"/>
        </w:rPr>
        <w:t>）。</w:t>
      </w:r>
    </w:p>
    <w:p>
      <w:pPr>
        <w:pStyle w:val="39"/>
        <w:ind w:firstLine="420"/>
      </w:pPr>
      <w:r>
        <w:rPr>
          <w:rFonts w:hint="eastAsia"/>
        </w:rPr>
        <w:t>一般情况下，高层钢结构柱为双向受弯构件。采用H型钢作为柱时，为使截面的两个主轴方向均有较好的抗弯性能，截面的翼缘宽度不宜太小。而柱由于受有较大轴压力，与 H 形梁相比，宜加大H形柱腹板的厚度，以有利于抗压。在箱形截面内填充混凝土形成钢管混凝土柱，可提高构件的承载力和抗火性能。</w:t>
      </w:r>
    </w:p>
    <w:p>
      <w:pPr>
        <w:pStyle w:val="39"/>
        <w:ind w:firstLine="0" w:firstLineChars="0"/>
        <w:jc w:val="center"/>
      </w:pPr>
      <w:r>
        <w:drawing>
          <wp:inline distT="0" distB="0" distL="114300" distR="114300">
            <wp:extent cx="4204335" cy="1619885"/>
            <wp:effectExtent l="0" t="0" r="5715" b="18415"/>
            <wp:docPr id="12"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true"/>
                    </pic:cNvPicPr>
                  </pic:nvPicPr>
                  <pic:blipFill>
                    <a:blip r:embed="rId34"/>
                    <a:stretch>
                      <a:fillRect/>
                    </a:stretch>
                  </pic:blipFill>
                  <pic:spPr>
                    <a:xfrm>
                      <a:off x="0" y="0"/>
                      <a:ext cx="4204335" cy="1619885"/>
                    </a:xfrm>
                    <a:prstGeom prst="rect">
                      <a:avLst/>
                    </a:prstGeom>
                    <a:noFill/>
                    <a:ln>
                      <a:noFill/>
                    </a:ln>
                  </pic:spPr>
                </pic:pic>
              </a:graphicData>
            </a:graphic>
          </wp:inline>
        </w:drawing>
      </w:r>
    </w:p>
    <w:p>
      <w:pPr>
        <w:pStyle w:val="55"/>
        <w:numPr>
          <w:ilvl w:val="0"/>
          <w:numId w:val="0"/>
        </w:numPr>
        <w:spacing w:before="156" w:after="156"/>
      </w:pPr>
      <w:r>
        <w:rPr>
          <w:rFonts w:hint="eastAsia"/>
        </w:rPr>
        <w:t>（a）H形-矩形组合截面</w:t>
      </w:r>
    </w:p>
    <w:p>
      <w:pPr>
        <w:pStyle w:val="39"/>
        <w:ind w:firstLine="0" w:firstLineChars="0"/>
        <w:jc w:val="center"/>
      </w:pPr>
      <w:r>
        <w:drawing>
          <wp:inline distT="0" distB="0" distL="114300" distR="114300">
            <wp:extent cx="4205605" cy="1619885"/>
            <wp:effectExtent l="0" t="0" r="4445" b="18415"/>
            <wp:docPr id="13"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true"/>
                    </pic:cNvPicPr>
                  </pic:nvPicPr>
                  <pic:blipFill>
                    <a:blip r:embed="rId35"/>
                    <a:stretch>
                      <a:fillRect/>
                    </a:stretch>
                  </pic:blipFill>
                  <pic:spPr>
                    <a:xfrm>
                      <a:off x="0" y="0"/>
                      <a:ext cx="4205605" cy="1619885"/>
                    </a:xfrm>
                    <a:prstGeom prst="rect">
                      <a:avLst/>
                    </a:prstGeom>
                    <a:noFill/>
                    <a:ln>
                      <a:noFill/>
                    </a:ln>
                  </pic:spPr>
                </pic:pic>
              </a:graphicData>
            </a:graphic>
          </wp:inline>
        </w:drawing>
      </w:r>
    </w:p>
    <w:p>
      <w:pPr>
        <w:pStyle w:val="55"/>
        <w:numPr>
          <w:ilvl w:val="0"/>
          <w:numId w:val="0"/>
        </w:numPr>
        <w:spacing w:before="156" w:after="156"/>
      </w:pPr>
      <w:r>
        <w:rPr>
          <w:rFonts w:hint="eastAsia"/>
        </w:rPr>
        <w:t>（b）矩形异型柱(墙)组合截面</w:t>
      </w:r>
    </w:p>
    <w:p>
      <w:pPr>
        <w:pStyle w:val="39"/>
        <w:ind w:firstLine="0" w:firstLineChars="0"/>
        <w:jc w:val="center"/>
      </w:pPr>
      <w:r>
        <w:drawing>
          <wp:inline distT="0" distB="0" distL="114300" distR="114300">
            <wp:extent cx="4204970" cy="1619885"/>
            <wp:effectExtent l="0" t="0" r="5080" b="18415"/>
            <wp:docPr id="15"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true"/>
                    </pic:cNvPicPr>
                  </pic:nvPicPr>
                  <pic:blipFill>
                    <a:blip r:embed="rId36"/>
                    <a:stretch>
                      <a:fillRect/>
                    </a:stretch>
                  </pic:blipFill>
                  <pic:spPr>
                    <a:xfrm>
                      <a:off x="0" y="0"/>
                      <a:ext cx="4204970" cy="1619885"/>
                    </a:xfrm>
                    <a:prstGeom prst="rect">
                      <a:avLst/>
                    </a:prstGeom>
                    <a:noFill/>
                    <a:ln>
                      <a:noFill/>
                    </a:ln>
                  </pic:spPr>
                </pic:pic>
              </a:graphicData>
            </a:graphic>
          </wp:inline>
        </w:drawing>
      </w:r>
    </w:p>
    <w:p>
      <w:pPr>
        <w:pStyle w:val="55"/>
        <w:numPr>
          <w:ilvl w:val="0"/>
          <w:numId w:val="0"/>
        </w:numPr>
        <w:spacing w:before="156" w:after="156"/>
      </w:pPr>
      <w:r>
        <w:rPr>
          <w:rFonts w:hint="eastAsia"/>
        </w:rPr>
        <w:t>（c）矩形组合截面</w:t>
      </w:r>
    </w:p>
    <w:p>
      <w:pPr>
        <w:pStyle w:val="55"/>
        <w:numPr>
          <w:ilvl w:val="0"/>
          <w:numId w:val="0"/>
        </w:numPr>
        <w:spacing w:before="156" w:after="156"/>
      </w:pPr>
      <w:r>
        <w:t>图9　</w:t>
      </w:r>
      <w:r>
        <w:rPr>
          <w:rFonts w:hint="eastAsia"/>
        </w:rPr>
        <w:t>异形组合截面</w:t>
      </w:r>
    </w:p>
    <w:p>
      <w:pPr>
        <w:pStyle w:val="46"/>
        <w:numPr>
          <w:ilvl w:val="0"/>
          <w:numId w:val="0"/>
        </w:numPr>
      </w:pPr>
      <w:r>
        <w:rPr>
          <w:rFonts w:hint="eastAsia" w:ascii="黑体" w:hAnsi="黑体" w:eastAsia="黑体"/>
        </w:rPr>
        <w:t>6.5.8</w:t>
      </w:r>
      <w:r>
        <w:rPr>
          <w:rFonts w:hint="eastAsia"/>
        </w:rPr>
        <w:t>　预制板式楼梯在吊装、运输及安装过程中，受力状况比较复杂，规定其板面宜配置通长钢筋，钢筋量可根据加工、运输、吊装过程中的承载力及裂缝控制验算结果确定。上部应配置通长的构造钢筋，配筋率不宜小于 0.15%及下部钢筋的一半；下部钢筋应按计算确定且配筋率不宜小于 0.25%；梯板分布钢筋直径不宜小于 8mm</w:t>
      </w:r>
      <w:r>
        <w:t xml:space="preserve"> </w:t>
      </w:r>
      <w:r>
        <w:rPr>
          <w:rFonts w:hint="eastAsia"/>
        </w:rPr>
        <w:t>，间距不宜大于 250mm。</w:t>
      </w:r>
    </w:p>
    <w:p>
      <w:pPr>
        <w:pStyle w:val="39"/>
        <w:ind w:firstLine="420"/>
      </w:pPr>
      <w:r>
        <w:rPr>
          <w:rFonts w:hint="eastAsia"/>
        </w:rPr>
        <w:t>当楼梯两端均不能滑动时，在侧向力作用下楼梯会起到斜撑的作用，楼梯中会产生轴向拉力，因此规定其板面和板底均应配通长钢筋。</w:t>
      </w:r>
    </w:p>
    <w:p>
      <w:pPr>
        <w:pStyle w:val="46"/>
        <w:numPr>
          <w:ilvl w:val="0"/>
          <w:numId w:val="0"/>
        </w:numPr>
      </w:pPr>
      <w:r>
        <w:rPr>
          <w:rFonts w:hint="eastAsia" w:ascii="黑体" w:hAnsi="黑体" w:eastAsia="黑体"/>
        </w:rPr>
        <w:t>6.5.10</w:t>
      </w:r>
      <w:r>
        <w:rPr>
          <w:rFonts w:hint="eastAsia"/>
        </w:rPr>
        <w:t>　本条为部（构）件拆分的基本原则，旨在统筹工厂生产、物流运输、现场吊装安装及混凝土施工等全流程要求，保证构件可制造、可运输、可安装，兼顾装配效率与施工质量。构件分块范围与分段长度应综合考虑工厂加工设备能力、道路运输限宽限高限重、现场吊装设备起重能力、安装精度、连接节点布置及混凝土浇捣作业空间等因素确定，避免因拆分不合理导致构件变形、安装困难或施工质量缺陷。</w:t>
      </w:r>
    </w:p>
    <w:p>
      <w:pPr>
        <w:pStyle w:val="42"/>
        <w:numPr>
          <w:ilvl w:val="2"/>
          <w:numId w:val="0"/>
        </w:numPr>
        <w:spacing w:before="156" w:after="156"/>
      </w:pPr>
      <w:bookmarkStart w:id="275" w:name="_Toc27557"/>
      <w:r>
        <w:rPr>
          <w:rFonts w:hint="eastAsia" w:hAnsi="Times New Roman"/>
          <w:color w:val="000000"/>
        </w:rPr>
        <w:t>6.6　</w:t>
      </w:r>
      <w:r>
        <w:rPr>
          <w:rFonts w:hint="eastAsia"/>
        </w:rPr>
        <w:t>节点与连接设计</w:t>
      </w:r>
      <w:bookmarkEnd w:id="275"/>
    </w:p>
    <w:p>
      <w:pPr>
        <w:pStyle w:val="46"/>
        <w:numPr>
          <w:ilvl w:val="0"/>
          <w:numId w:val="0"/>
        </w:numPr>
      </w:pPr>
      <w:r>
        <w:rPr>
          <w:rFonts w:hint="eastAsia" w:ascii="黑体" w:hAnsi="黑体" w:eastAsia="黑体"/>
        </w:rPr>
        <w:t>6.6.1</w:t>
      </w:r>
      <w:r>
        <w:rPr>
          <w:rFonts w:hint="eastAsia"/>
        </w:rPr>
        <w:t>　钢结构住宅的节点与所有钢结构体系一样，是结构整体的最关键部位之一，节点的设计应达到传力路线明确、构造简单、加工制作方便、造价低等要求，钢结构节点设计应符合现行国家标准GB/T 50011、行业标准JGJ 99等多种规范的规定，可根据不同的住宅结构体系，合理选用节点构造。</w:t>
      </w:r>
    </w:p>
    <w:p>
      <w:pPr>
        <w:pStyle w:val="46"/>
        <w:numPr>
          <w:ilvl w:val="0"/>
          <w:numId w:val="0"/>
        </w:numPr>
      </w:pPr>
      <w:r>
        <w:rPr>
          <w:rFonts w:hint="eastAsia" w:ascii="黑体" w:hAnsi="黑体" w:eastAsia="黑体"/>
        </w:rPr>
        <w:t>6.6.2</w:t>
      </w:r>
      <w:r>
        <w:rPr>
          <w:rFonts w:hint="eastAsia"/>
        </w:rPr>
        <w:t>　钢结构装配式住宅节点设计的模数协调基本原则，旨在通过节点的标准化、通用化设计，适配工业化建造模式，提升设计、生产、装配效率，保证节点质量与建筑功能协调性。</w:t>
      </w:r>
    </w:p>
    <w:p>
      <w:pPr>
        <w:pStyle w:val="46"/>
        <w:numPr>
          <w:ilvl w:val="0"/>
          <w:numId w:val="0"/>
        </w:numPr>
      </w:pPr>
      <w:r>
        <w:rPr>
          <w:rFonts w:hint="eastAsia" w:ascii="黑体" w:hAnsi="黑体" w:eastAsia="黑体"/>
        </w:rPr>
        <w:t>6.6.3</w:t>
      </w:r>
      <w:r>
        <w:rPr>
          <w:rFonts w:hint="eastAsia"/>
        </w:rPr>
        <w:t>　钢梁腹板开洞的设计与施工要求，旨在兼顾住宅管线穿梁的功能需求与结构安全，明确开洞范围、补强规则与施工工艺，适配装配式工业化建造模式。</w:t>
      </w:r>
    </w:p>
    <w:p>
      <w:pPr>
        <w:pStyle w:val="46"/>
        <w:numPr>
          <w:ilvl w:val="0"/>
          <w:numId w:val="0"/>
        </w:numPr>
      </w:pPr>
      <w:r>
        <w:rPr>
          <w:rFonts w:hint="eastAsia" w:ascii="黑体" w:hAnsi="黑体" w:eastAsia="黑体"/>
        </w:rPr>
        <w:t>6.6.4</w:t>
      </w:r>
      <w:r>
        <w:rPr>
          <w:rFonts w:hint="eastAsia"/>
        </w:rPr>
        <w:t>　多高层钢结构住宅的刚接柱脚需能可靠传递柱端的弯矩、剪力和轴力，而铰接柱脚仅需能可靠传递柱端的轴力与剪力。当多高层钢结构住宅有地下室时，柱脚和地下室的底板宜采用铰接的形式，原因是在地下室范围内的框架部分的抗侧刚度虽然较弱，但是框架部分通过楼板和地下室形成整体，仍然具有较大的刚度，对上部结构的抗侧刚度影响不大，但柱脚的构造大大简化。</w:t>
      </w:r>
    </w:p>
    <w:p>
      <w:pPr>
        <w:pStyle w:val="46"/>
        <w:numPr>
          <w:ilvl w:val="0"/>
          <w:numId w:val="0"/>
        </w:numPr>
      </w:pPr>
      <w:r>
        <w:rPr>
          <w:rFonts w:hint="eastAsia" w:ascii="黑体" w:hAnsi="黑体" w:eastAsia="黑体"/>
        </w:rPr>
        <w:t>6.6.5</w:t>
      </w:r>
      <w:r>
        <w:rPr>
          <w:rFonts w:hint="eastAsia"/>
        </w:rPr>
        <w:t>　钢梁上翼缘可利用混凝土楼板与钢梁的组合作用约束梁的扭转，传力路径直接，对梁的受力不利影响最小。验算梁与混凝土板之间栓钉的抗剪承载力时，除楼板竖向荷载外，应同步计入幕墙骨架传递的竖向荷载、水平风荷载、地震作用及温度作用等效应，保证栓钉抗剪安全。当受立面构造限制需与钢梁下翼缘或腹板连接时，连接作用力会对梁产生偏心扭矩，易引发腹板局部失稳、梁体扭转破坏，因此必须设置加劲板传递荷载，加强梁截面的抗扭与局部承压能力。梁的承载力验算应按弯、剪、扭组合作用进行，不得仅按竖向受弯构件验算。</w:t>
      </w:r>
    </w:p>
    <w:p>
      <w:pPr>
        <w:pStyle w:val="42"/>
        <w:numPr>
          <w:ilvl w:val="2"/>
          <w:numId w:val="0"/>
        </w:numPr>
        <w:spacing w:before="156" w:after="156"/>
      </w:pPr>
      <w:bookmarkStart w:id="276" w:name="_Toc17814"/>
      <w:r>
        <w:rPr>
          <w:rFonts w:hint="eastAsia" w:hAnsi="Times New Roman"/>
          <w:color w:val="000000"/>
        </w:rPr>
        <w:t>6.7　</w:t>
      </w:r>
      <w:r>
        <w:rPr>
          <w:rFonts w:hint="eastAsia"/>
        </w:rPr>
        <w:t>楼盖与屋盖结构</w:t>
      </w:r>
      <w:bookmarkEnd w:id="276"/>
    </w:p>
    <w:p>
      <w:pPr>
        <w:pStyle w:val="46"/>
        <w:numPr>
          <w:ilvl w:val="0"/>
          <w:numId w:val="0"/>
        </w:numPr>
      </w:pPr>
      <w:r>
        <w:rPr>
          <w:rFonts w:hint="eastAsia" w:ascii="黑体" w:hAnsi="黑体" w:eastAsia="黑体"/>
        </w:rPr>
        <w:t>6.7.1</w:t>
      </w:r>
      <w:r>
        <w:rPr>
          <w:rFonts w:hint="eastAsia"/>
        </w:rPr>
        <w:t>　高层建筑结构计算中，一般都假定楼板在自身平面内刚度无限大，因此在构造上，要采取措施保证楼盖具有较大的平面内刚度，使计算假定与实际受力状态相符合。同时，必要的楼板刚度可保证建筑物结构整体性能和水平力的可靠有效传递。转换层楼盖、平面复杂或开洞较大楼层的楼板可在楼板平面内设置水平钢支撑。</w:t>
      </w:r>
    </w:p>
    <w:p>
      <w:pPr>
        <w:pStyle w:val="46"/>
        <w:numPr>
          <w:ilvl w:val="0"/>
          <w:numId w:val="0"/>
        </w:numPr>
      </w:pPr>
      <w:r>
        <w:rPr>
          <w:rFonts w:hint="eastAsia" w:ascii="黑体" w:hAnsi="黑体" w:eastAsia="黑体"/>
        </w:rPr>
        <w:t>6.7.2</w:t>
      </w:r>
      <w:r>
        <w:rPr>
          <w:rFonts w:hint="eastAsia"/>
        </w:rPr>
        <w:t>　装配式钢结构住宅中应选用与钢结构相配套的楼板系统，宜选用钢筋桁架楼承板、预制混凝土叠合楼板等可实现免支撑(少支撑)、免支模的技术，大跨度楼盖宜选用预应力混凝土叠合板技术；当采用预制混凝土叠合楼板时，宜避免电气管线在叠合层内交叉。在选择钢筋桁架楼承板组合楼板时，宜选用免拆底模或可拆底模楼承板，免拆底模宜选择非金属底模。</w:t>
      </w:r>
    </w:p>
    <w:p>
      <w:pPr>
        <w:pStyle w:val="46"/>
        <w:numPr>
          <w:ilvl w:val="0"/>
          <w:numId w:val="0"/>
        </w:numPr>
      </w:pPr>
      <w:r>
        <w:rPr>
          <w:rFonts w:hint="eastAsia" w:ascii="黑体" w:hAnsi="黑体" w:eastAsia="黑体"/>
        </w:rPr>
        <w:t>6.7.3</w:t>
      </w:r>
      <w:r>
        <w:rPr>
          <w:rFonts w:hint="eastAsia"/>
        </w:rPr>
        <w:t>　当房屋高度不超过50m 且抗震设防烈度不超过 7 度（0.1g）时，可采用无现浇层的预制装配式楼板或其他轻型楼盖，楼盖与钢梁应可靠连接，保证楼盖的整体性。</w:t>
      </w:r>
    </w:p>
    <w:p>
      <w:pPr>
        <w:pStyle w:val="46"/>
        <w:numPr>
          <w:ilvl w:val="0"/>
          <w:numId w:val="0"/>
        </w:numPr>
      </w:pPr>
      <w:r>
        <w:rPr>
          <w:rFonts w:hint="eastAsia" w:ascii="黑体" w:hAnsi="黑体" w:eastAsia="黑体"/>
        </w:rPr>
        <w:t>6.7.5</w:t>
      </w:r>
      <w:r>
        <w:rPr>
          <w:rFonts w:hint="eastAsia"/>
        </w:rPr>
        <w:t>　施工阶段设计时，荷载直接作用在底板上并通过底板与钢筋桁架的连接构造将荷载传至桁架。计算钢筋桁架弦杆和腹杆轴力时，全部荷载由钢筋桁架承担，底板仅起传递荷载的作用，不考虑其参与钢筋桁架的受力分析。计算钢筋桁架和底板连接点的作用效应时，全部荷载由底板承担。施工阶段可采用弹性分析方法。计算钢筋桁架弦杆和腹杆的轴力、钢筋桁架和底板连接点的作用效应时，应采用荷载的基本组合。考虑到腹杆与弦杆交叉点为双腹杆与弦杆焊接，双腹杆与弦杆相交对弦杆有一定的约束作用，参考现行行业标准JGJ 7，弦杆计算长度取 0.9 倍的节间长度。腹杆钢筋分别伸出桁架上下弦杆并与弦杆焊接，伸出段对腹杆有较大的约束，长度系数为 0.6 左右，考虑到制作偏差引起的初始缺陷，腹杆的计算长度均取 0.7 倍的腹杆节点间距。</w:t>
      </w:r>
    </w:p>
    <w:p>
      <w:pPr>
        <w:pStyle w:val="46"/>
        <w:numPr>
          <w:ilvl w:val="0"/>
          <w:numId w:val="0"/>
        </w:numPr>
      </w:pPr>
      <w:r>
        <w:rPr>
          <w:rFonts w:hint="eastAsia" w:ascii="黑体" w:hAnsi="黑体" w:eastAsia="黑体"/>
        </w:rPr>
        <w:t>6.7.9</w:t>
      </w:r>
      <w:r>
        <w:rPr>
          <w:rFonts w:hint="eastAsia"/>
        </w:rPr>
        <w:t>　交叉钢桁架组合楼板为双向受力组合楼板体系，适用于钢结构住宅大开间楼盖，可减少内部次梁，提升户型空间完整性。工程设计中常采用简化方法，跨中内力按简支板计算，但楼板支座处仍会产生负弯矩；因此支座截面正截面受弯、斜截面受剪、裂缝及配筋构造等，均应满足现行GB/T 50010对混凝土板构件的相关规定，保证支座区域安全，避免支座开裂。</w:t>
      </w:r>
    </w:p>
    <w:p>
      <w:pPr>
        <w:pStyle w:val="42"/>
        <w:numPr>
          <w:ilvl w:val="0"/>
          <w:numId w:val="0"/>
        </w:numPr>
        <w:spacing w:before="156" w:after="156"/>
      </w:pPr>
      <w:bookmarkStart w:id="277" w:name="_Toc118"/>
      <w:r>
        <w:rPr>
          <w:rFonts w:hint="eastAsia"/>
        </w:rPr>
        <w:t>6</w:t>
      </w:r>
      <w:r>
        <w:t>.9</w:t>
      </w:r>
      <w:r>
        <w:rPr>
          <w:rFonts w:hint="eastAsia"/>
        </w:rPr>
        <w:t>　钢结构防护</w:t>
      </w:r>
      <w:bookmarkEnd w:id="277"/>
    </w:p>
    <w:p>
      <w:pPr>
        <w:pStyle w:val="46"/>
        <w:numPr>
          <w:ilvl w:val="0"/>
          <w:numId w:val="0"/>
        </w:numPr>
      </w:pPr>
      <w:r>
        <w:rPr>
          <w:rFonts w:hint="eastAsia" w:ascii="黑体" w:hAnsi="黑体" w:eastAsia="黑体"/>
        </w:rPr>
        <w:t>6.9.2</w:t>
      </w:r>
      <w:r>
        <w:rPr>
          <w:rFonts w:hint="eastAsia"/>
        </w:rPr>
        <w:t>　钢结构防火涂料一般不具有防腐效能，不应将防火涂料作为防腐涂料使用，应在构件表面先涂覆防腐涂层，在其上施工防火涂料，防火涂料与防腐涂层之间应具有良好的附着力。</w:t>
      </w:r>
    </w:p>
    <w:p>
      <w:pPr>
        <w:pStyle w:val="46"/>
        <w:numPr>
          <w:ilvl w:val="0"/>
          <w:numId w:val="0"/>
        </w:numPr>
      </w:pPr>
      <w:r>
        <w:rPr>
          <w:rFonts w:hint="eastAsia" w:ascii="黑体" w:hAnsi="黑体" w:eastAsia="黑体"/>
        </w:rPr>
        <w:t>6.9.3</w:t>
      </w:r>
      <w:r>
        <w:rPr>
          <w:rFonts w:hint="eastAsia"/>
        </w:rPr>
        <w:t>　钢结构防腐蚀涂装工程的设计，应综合考虑结构的重要性、所处腐蚀介质环境、涂装涂层使用年限要求和维护条件等要素，并在全寿命周期成本分析的基础上，选用性价比良好的长效防腐蚀涂装措施。其所选用的环境腐蚀条件分类、设防标准、防护材料与措施及施工技术要求等应符合JGJ/T 251的规定。钢结构的布置、选型和构造应有利于增强自身的防护能力，对危及人身安全和维修困难的部位，以及重要的承重构件应加强防护措施。</w:t>
      </w:r>
    </w:p>
    <w:p>
      <w:pPr>
        <w:pStyle w:val="46"/>
        <w:numPr>
          <w:ilvl w:val="0"/>
          <w:numId w:val="0"/>
        </w:numPr>
      </w:pPr>
      <w:r>
        <w:rPr>
          <w:rFonts w:hint="eastAsia" w:ascii="黑体" w:hAnsi="黑体" w:eastAsia="黑体"/>
        </w:rPr>
        <w:t>6.9.5</w:t>
      </w:r>
      <w:r>
        <w:rPr>
          <w:rFonts w:hint="eastAsia"/>
        </w:rPr>
        <w:t>　有条件时，重要承重构件可采用热渗锌防护措施；现场需局部补作涂层防护部位，可采用冷涂锌或无机富锌涂料补涂。外露环境或中度以上侵蚀环境中的承重钢结构宜采用耐候钢制作，同时其外表面宜再加涂层进行防护。</w:t>
      </w:r>
    </w:p>
    <w:p>
      <w:pPr>
        <w:pStyle w:val="46"/>
        <w:numPr>
          <w:ilvl w:val="0"/>
          <w:numId w:val="0"/>
        </w:numPr>
      </w:pPr>
      <w:r>
        <w:rPr>
          <w:rFonts w:hint="eastAsia" w:ascii="黑体" w:hAnsi="黑体" w:eastAsia="黑体"/>
        </w:rPr>
        <w:t>6.9.7</w:t>
      </w:r>
      <w:r>
        <w:rPr>
          <w:rFonts w:hint="eastAsia"/>
        </w:rPr>
        <w:t xml:space="preserve">　无防火保护的普通钢结构的耐火时间通常仅为 15min～20min，极易在火灾下破坏。因此，为了防止和减小建筑钢结构的火灾危害，必须对钢结构进行抗火设计，采取安全可靠、经济合理的防火保护措施。 </w:t>
      </w:r>
    </w:p>
    <w:p>
      <w:pPr>
        <w:pStyle w:val="39"/>
        <w:ind w:firstLine="420"/>
      </w:pPr>
      <w:r>
        <w:rPr>
          <w:rFonts w:hint="eastAsia"/>
        </w:rPr>
        <w:t xml:space="preserve">钢结构工程中常用的钢构件防火保护措施有：外包混凝土或水泥砂浆、砌筑砌体、涂覆防火涂料、包覆防火板、包覆柔性毡状隔热材料等，这些保护措施各有其特点及适用范围。 </w:t>
      </w:r>
    </w:p>
    <w:p>
      <w:pPr>
        <w:pStyle w:val="39"/>
        <w:ind w:firstLine="420"/>
      </w:pPr>
      <w:r>
        <w:rPr>
          <w:rFonts w:hint="eastAsia"/>
        </w:rPr>
        <w:t>根据高温下涂层变化情况，防火涂料可分为膨胀型和非膨胀型两大系列。</w:t>
      </w:r>
    </w:p>
    <w:p>
      <w:pPr>
        <w:pStyle w:val="39"/>
        <w:ind w:firstLine="420"/>
      </w:pPr>
      <w:r>
        <w:rPr>
          <w:rFonts w:hint="eastAsia"/>
        </w:rPr>
        <w:t>膨胀型防火涂料又称薄涂型防火涂料，遇火后自身会发泡膨胀，形成比原涂层厚度厚十几倍到数十倍的多孔碳质层，用于钢构件防火，耐火极限可达 0.5h～1.5h。非膨胀型防火涂料又称厚涂型防火涂料，自身具有良好的隔热性，遇火不膨胀，用于钢构件防火，耐火极限可达 0.5h～3.0h。薄涂型防火涂料涂层薄，有较好的装饰性，但涂层易老化。厚涂型防火涂料一般无毒、耐老化、耐久性较可靠，可采用喷涂施工，宜选用石膏基防火涂料。室内钢结构防火涂料的技术性能应符合GB 14907的有关规定。</w:t>
      </w:r>
    </w:p>
    <w:p>
      <w:pPr>
        <w:pStyle w:val="46"/>
        <w:numPr>
          <w:ilvl w:val="0"/>
          <w:numId w:val="0"/>
        </w:numPr>
      </w:pPr>
      <w:r>
        <w:rPr>
          <w:rFonts w:hint="eastAsia" w:ascii="黑体" w:hAnsi="黑体" w:eastAsia="黑体"/>
        </w:rPr>
        <w:t>6.9.12</w:t>
      </w:r>
      <w:r>
        <w:rPr>
          <w:rFonts w:hint="eastAsia"/>
        </w:rPr>
        <w:t>　钢筋桁架组合楼板、压型钢板组合楼板中，当底板仅作混凝土楼板的模板使用，不充当板底受拉钢筋参与结构受力时，可不采取防火保护措施，其耐火极限按普通钢筋混凝土楼板考虑。</w:t>
      </w:r>
    </w:p>
    <w:p>
      <w:pPr>
        <w:pStyle w:val="46"/>
        <w:numPr>
          <w:ilvl w:val="0"/>
          <w:numId w:val="0"/>
        </w:numPr>
      </w:pPr>
      <w:r>
        <w:rPr>
          <w:rFonts w:hint="eastAsia" w:ascii="黑体" w:hAnsi="黑体" w:eastAsia="黑体"/>
        </w:rPr>
        <w:t>6.9.13</w:t>
      </w:r>
      <w:r>
        <w:rPr>
          <w:rFonts w:hint="eastAsia"/>
        </w:rPr>
        <w:t>　维护计划通常由建设单位和防火、防腐蚀施工单位以及防火、防腐蚀材料供应商在工程建造时制定，投入使用后按照该维护计划进行定期检查，并根据检查结果进行维护。</w:t>
      </w:r>
    </w:p>
    <w:p>
      <w:pPr>
        <w:pStyle w:val="41"/>
        <w:numPr>
          <w:ilvl w:val="1"/>
          <w:numId w:val="0"/>
        </w:numPr>
        <w:spacing w:before="312" w:after="312"/>
      </w:pPr>
      <w:bookmarkStart w:id="278" w:name="_Toc12519"/>
      <w:r>
        <w:rPr>
          <w:rFonts w:hint="eastAsia"/>
        </w:rPr>
        <w:t>7　外围护系统设计</w:t>
      </w:r>
      <w:bookmarkEnd w:id="278"/>
    </w:p>
    <w:p>
      <w:pPr>
        <w:pStyle w:val="41"/>
        <w:numPr>
          <w:ilvl w:val="1"/>
          <w:numId w:val="0"/>
        </w:numPr>
        <w:spacing w:before="312" w:after="312"/>
      </w:pPr>
      <w:bookmarkStart w:id="279" w:name="_Toc2770"/>
      <w:r>
        <w:rPr>
          <w:rFonts w:hint="eastAsia"/>
        </w:rPr>
        <w:t>8　设备与管线系统设计</w:t>
      </w:r>
      <w:bookmarkEnd w:id="279"/>
    </w:p>
    <w:p>
      <w:pPr>
        <w:pStyle w:val="42"/>
        <w:numPr>
          <w:ilvl w:val="0"/>
          <w:numId w:val="0"/>
        </w:numPr>
        <w:spacing w:before="156" w:after="156"/>
      </w:pPr>
      <w:bookmarkStart w:id="280" w:name="_Toc20490"/>
      <w:r>
        <w:rPr>
          <w:rFonts w:hint="eastAsia"/>
        </w:rPr>
        <w:t>8</w:t>
      </w:r>
      <w:r>
        <w:t>.2</w:t>
      </w:r>
      <w:bookmarkStart w:id="281" w:name="OLE_LINK59"/>
      <w:bookmarkStart w:id="282" w:name="OLE_LINK60"/>
      <w:r>
        <w:rPr>
          <w:rFonts w:hint="eastAsia"/>
        </w:rPr>
        <w:t>　</w:t>
      </w:r>
      <w:bookmarkEnd w:id="281"/>
      <w:bookmarkEnd w:id="282"/>
      <w:r>
        <w:rPr>
          <w:rFonts w:hint="eastAsia"/>
        </w:rPr>
        <w:t>给水排水</w:t>
      </w:r>
      <w:bookmarkEnd w:id="280"/>
    </w:p>
    <w:p>
      <w:pPr>
        <w:pStyle w:val="46"/>
        <w:numPr>
          <w:ilvl w:val="0"/>
          <w:numId w:val="0"/>
        </w:numPr>
      </w:pPr>
      <w:r>
        <w:rPr>
          <w:rFonts w:ascii="黑体" w:hAnsi="黑体" w:eastAsia="黑体"/>
        </w:rPr>
        <w:t>8.2.1</w:t>
      </w:r>
      <w:r>
        <w:rPr>
          <w:rFonts w:hint="eastAsia"/>
        </w:rPr>
        <w:t xml:space="preserve">　实践中，公共功能的管道、阀门、设备或部件设在套内，住户在装修时加以隐蔽，给维修和管理带来不便；在其他住户发生事故需要关闭检修阀门时，因设置阀门的住户无人而无法进入，不能正常维护，这样的事例较多。本条据此规定上述设备和部件应设在公共部位。 </w:t>
      </w:r>
    </w:p>
    <w:p>
      <w:pPr>
        <w:pStyle w:val="39"/>
        <w:ind w:firstLine="420"/>
      </w:pPr>
      <w:r>
        <w:rPr>
          <w:rFonts w:hint="eastAsia"/>
        </w:rPr>
        <w:t>计量仪表的选择和安装方式，应符合安全可靠、便于计量和减少扰民的原则。计量仪表的设置位置，与仪表的种类有关。住宅的分户水表宜相对集中读数，且宜设置在户外；对设置在户内的水表，宜采用远传水表或IC卡水表等智能化水表。</w:t>
      </w:r>
    </w:p>
    <w:p>
      <w:pPr>
        <w:pStyle w:val="46"/>
        <w:numPr>
          <w:ilvl w:val="0"/>
          <w:numId w:val="0"/>
        </w:numPr>
      </w:pPr>
      <w:r>
        <w:rPr>
          <w:rFonts w:hint="eastAsia" w:ascii="黑体" w:hAnsi="黑体" w:eastAsia="黑体"/>
        </w:rPr>
        <w:t>8.2.2</w:t>
      </w:r>
      <w:r>
        <w:rPr>
          <w:rFonts w:hint="eastAsia"/>
        </w:rPr>
        <w:t>　为便于给水总立管、雨水立管、消防立管的维修和管理，不影响套内空间的使用，本条规定上述管线不应布置在套内。</w:t>
      </w:r>
    </w:p>
    <w:p>
      <w:pPr>
        <w:pStyle w:val="46"/>
        <w:numPr>
          <w:ilvl w:val="0"/>
          <w:numId w:val="0"/>
        </w:numPr>
      </w:pPr>
      <w:r>
        <w:rPr>
          <w:rFonts w:hint="eastAsia" w:ascii="黑体" w:hAnsi="黑体" w:eastAsia="黑体"/>
        </w:rPr>
        <w:t>8.2.3</w:t>
      </w:r>
      <w:r>
        <w:rPr>
          <w:rFonts w:hint="eastAsia"/>
        </w:rPr>
        <w:t>　装配式建筑管道及相关部件选用时应考虑其耐腐蚀性能，连接方便可靠，接口耐久不渗漏，管材的温度变形，抗老化性能等因素综合确定。同时应注重部品通用性和互换性的要求，给排水管线、管件、阀门等各种接口应采用标准化产品。</w:t>
      </w:r>
    </w:p>
    <w:p>
      <w:pPr>
        <w:pStyle w:val="46"/>
        <w:numPr>
          <w:ilvl w:val="0"/>
          <w:numId w:val="0"/>
        </w:numPr>
      </w:pPr>
      <w:r>
        <w:rPr>
          <w:rFonts w:hint="eastAsia" w:ascii="黑体" w:hAnsi="黑体" w:eastAsia="黑体"/>
        </w:rPr>
        <w:t>8.2.4</w:t>
      </w:r>
      <w:r>
        <w:rPr>
          <w:rFonts w:hint="eastAsia"/>
        </w:rPr>
        <w:t>　本条特别强调了安装在建筑外墙、屋顶等主体结构部位或直接构成建筑围护结构的太阳能集热器，应与主体结构、外围护结构等同步设计，避免影响主体结构安全。</w:t>
      </w:r>
    </w:p>
    <w:p>
      <w:pPr>
        <w:pStyle w:val="46"/>
        <w:numPr>
          <w:ilvl w:val="0"/>
          <w:numId w:val="0"/>
        </w:numPr>
      </w:pPr>
      <w:r>
        <w:rPr>
          <w:rFonts w:hint="eastAsia" w:ascii="黑体" w:hAnsi="黑体" w:eastAsia="黑体"/>
        </w:rPr>
        <w:t>8.2.7</w:t>
      </w:r>
      <w:r>
        <w:rPr>
          <w:rFonts w:hint="eastAsia"/>
        </w:rPr>
        <w:t>　本条规定了设置高层钢结构住宅排水管道设置阻火圈的具体部位，其目的是防止火势通过排水管道及洞口蔓延至其他楼层或防火分区。</w:t>
      </w:r>
    </w:p>
    <w:p>
      <w:pPr>
        <w:pStyle w:val="42"/>
        <w:numPr>
          <w:ilvl w:val="0"/>
          <w:numId w:val="0"/>
        </w:numPr>
        <w:spacing w:before="156" w:after="156"/>
      </w:pPr>
      <w:bookmarkStart w:id="283" w:name="_Toc2410"/>
      <w:r>
        <w:rPr>
          <w:rFonts w:hint="eastAsia"/>
        </w:rPr>
        <w:t>8</w:t>
      </w:r>
      <w:r>
        <w:t>.3</w:t>
      </w:r>
      <w:bookmarkStart w:id="284" w:name="OLE_LINK47"/>
      <w:bookmarkStart w:id="285" w:name="OLE_LINK48"/>
      <w:r>
        <w:rPr>
          <w:rFonts w:hint="eastAsia"/>
        </w:rPr>
        <w:t>　</w:t>
      </w:r>
      <w:bookmarkEnd w:id="284"/>
      <w:bookmarkEnd w:id="285"/>
      <w:r>
        <w:rPr>
          <w:rFonts w:hint="eastAsia"/>
        </w:rPr>
        <w:t>电气和智能化</w:t>
      </w:r>
      <w:bookmarkEnd w:id="283"/>
    </w:p>
    <w:p>
      <w:pPr>
        <w:pStyle w:val="46"/>
        <w:numPr>
          <w:ilvl w:val="0"/>
          <w:numId w:val="0"/>
        </w:numPr>
      </w:pPr>
      <w:r>
        <w:rPr>
          <w:rFonts w:hint="eastAsia" w:ascii="黑体" w:hAnsi="黑体" w:eastAsia="黑体"/>
        </w:rPr>
        <w:t>8.3.3</w:t>
      </w:r>
      <w:r>
        <w:rPr>
          <w:rFonts w:hint="eastAsia"/>
        </w:rPr>
        <w:t>　为使电气管线的安装、检查、修补及替换与主体结构相分离，宜将室内电气管线布置在架空地板、吊顶及隔墙空腔内，设计时应协调其架空地板、吊顶的高度和走向，使得设备管线的敷设灵活，日常的维修和更换便捷。</w:t>
      </w:r>
    </w:p>
    <w:p>
      <w:pPr>
        <w:pStyle w:val="46"/>
        <w:numPr>
          <w:ilvl w:val="0"/>
          <w:numId w:val="0"/>
        </w:numPr>
      </w:pPr>
      <w:r>
        <w:rPr>
          <w:rFonts w:hint="eastAsia" w:ascii="黑体" w:hAnsi="黑体" w:eastAsia="黑体"/>
        </w:rPr>
        <w:t>8.3.4</w:t>
      </w:r>
      <w:r>
        <w:rPr>
          <w:rFonts w:hint="eastAsia"/>
        </w:rPr>
        <w:t>　电气线路防火设计严格按GB 55037第6.3节执行。</w:t>
      </w:r>
    </w:p>
    <w:p>
      <w:pPr>
        <w:pStyle w:val="42"/>
        <w:numPr>
          <w:ilvl w:val="0"/>
          <w:numId w:val="0"/>
        </w:numPr>
        <w:spacing w:before="156" w:after="156"/>
      </w:pPr>
      <w:bookmarkStart w:id="286" w:name="_Toc31839"/>
      <w:r>
        <w:rPr>
          <w:rFonts w:hint="eastAsia"/>
        </w:rPr>
        <w:t>8</w:t>
      </w:r>
      <w:r>
        <w:t>.4</w:t>
      </w:r>
      <w:r>
        <w:rPr>
          <w:rFonts w:hint="eastAsia"/>
        </w:rPr>
        <w:t>　供暖、通风、空调及燃气</w:t>
      </w:r>
      <w:bookmarkEnd w:id="286"/>
    </w:p>
    <w:p>
      <w:pPr>
        <w:pStyle w:val="46"/>
        <w:numPr>
          <w:ilvl w:val="0"/>
          <w:numId w:val="0"/>
        </w:numPr>
      </w:pPr>
      <w:r>
        <w:rPr>
          <w:rFonts w:hint="eastAsia" w:ascii="黑体" w:hAnsi="黑体" w:eastAsia="黑体"/>
        </w:rPr>
        <w:t>8</w:t>
      </w:r>
      <w:r>
        <w:rPr>
          <w:rFonts w:ascii="黑体" w:hAnsi="黑体" w:eastAsia="黑体"/>
        </w:rPr>
        <w:t>.4.1</w:t>
      </w:r>
      <w:r>
        <w:rPr>
          <w:rFonts w:hint="eastAsia"/>
        </w:rPr>
        <w:t>　湖北省地处夏热冬冷地区，夏季酷热、冬季湿冷，随着人民生活水平的不断提高，对夏季供冷、冬季供热的需求也逐年增加。对于住宅建筑选择集中空调（单冷或冷暖型）系统方式，还是分体空调（单冷或冷暖型）方式，应根据项目定位、使用需求、政策要求、经济技术分析等因素综合确定，所选设备能效等级，应满足相关规范要求。</w:t>
      </w:r>
    </w:p>
    <w:p>
      <w:pPr>
        <w:pStyle w:val="46"/>
        <w:numPr>
          <w:ilvl w:val="0"/>
          <w:numId w:val="0"/>
        </w:numPr>
      </w:pPr>
      <w:bookmarkStart w:id="287" w:name="OLE_LINK15"/>
      <w:r>
        <w:rPr>
          <w:rFonts w:hint="eastAsia" w:ascii="黑体" w:hAnsi="黑体" w:eastAsia="黑体"/>
        </w:rPr>
        <w:t>8</w:t>
      </w:r>
      <w:r>
        <w:rPr>
          <w:rFonts w:ascii="黑体" w:hAnsi="黑体" w:eastAsia="黑体"/>
        </w:rPr>
        <w:t>.4.3</w:t>
      </w:r>
      <w:bookmarkStart w:id="288" w:name="OLE_LINK28"/>
      <w:bookmarkStart w:id="289" w:name="OLE_LINK29"/>
      <w:r>
        <w:rPr>
          <w:rFonts w:hint="eastAsia"/>
        </w:rPr>
        <w:t>　</w:t>
      </w:r>
      <w:bookmarkEnd w:id="287"/>
      <w:bookmarkEnd w:id="288"/>
      <w:bookmarkEnd w:id="289"/>
      <w:r>
        <w:rPr>
          <w:rFonts w:hint="eastAsia"/>
        </w:rPr>
        <w:t>同层排水架空地板的卫生间不宜采用低温热水地板辐射供暖系统。</w:t>
      </w:r>
    </w:p>
    <w:p>
      <w:pPr>
        <w:pStyle w:val="46"/>
        <w:numPr>
          <w:ilvl w:val="0"/>
          <w:numId w:val="0"/>
        </w:numPr>
      </w:pPr>
      <w:bookmarkStart w:id="290" w:name="OLE_LINK16"/>
      <w:bookmarkStart w:id="291" w:name="OLE_LINK17"/>
      <w:r>
        <w:rPr>
          <w:rFonts w:hint="eastAsia" w:ascii="黑体" w:hAnsi="黑体" w:eastAsia="黑体"/>
        </w:rPr>
        <w:t>8</w:t>
      </w:r>
      <w:r>
        <w:rPr>
          <w:rFonts w:ascii="黑体" w:hAnsi="黑体" w:eastAsia="黑体"/>
        </w:rPr>
        <w:t>.4.4</w:t>
      </w:r>
      <w:r>
        <w:rPr>
          <w:rFonts w:hint="eastAsia"/>
        </w:rPr>
        <w:t>　</w:t>
      </w:r>
      <w:bookmarkEnd w:id="290"/>
      <w:bookmarkEnd w:id="291"/>
      <w:r>
        <w:rPr>
          <w:rFonts w:hint="eastAsia"/>
        </w:rPr>
        <w:t>当卫生间排风通过外墙直接排至室外，当排放点位于建筑迎风面且室外风速较大时，会出现排放不畅甚至可能倒灌，且排风中的污渍对墙体可能有不同程度的污染，影响外立面的整洁，因此应采取相应措施；当通过共用排气道排出屋面时，屋面应设置风帽，可减少室外风对排风的影响。</w:t>
      </w:r>
    </w:p>
    <w:p>
      <w:pPr>
        <w:pStyle w:val="46"/>
        <w:numPr>
          <w:ilvl w:val="0"/>
          <w:numId w:val="0"/>
        </w:numPr>
      </w:pPr>
      <w:bookmarkStart w:id="292" w:name="OLE_LINK18"/>
      <w:bookmarkStart w:id="293" w:name="OLE_LINK19"/>
      <w:r>
        <w:rPr>
          <w:rFonts w:hint="eastAsia" w:ascii="黑体" w:hAnsi="黑体" w:eastAsia="黑体"/>
        </w:rPr>
        <w:t>8</w:t>
      </w:r>
      <w:r>
        <w:rPr>
          <w:rFonts w:ascii="黑体" w:hAnsi="黑体" w:eastAsia="黑体"/>
        </w:rPr>
        <w:t>.4.5</w:t>
      </w:r>
      <w:r>
        <w:rPr>
          <w:rFonts w:hint="eastAsia"/>
        </w:rPr>
        <w:t>　</w:t>
      </w:r>
      <w:bookmarkEnd w:id="292"/>
      <w:bookmarkEnd w:id="293"/>
      <w:r>
        <w:rPr>
          <w:rFonts w:hint="eastAsia"/>
        </w:rPr>
        <w:t>住宅厨房排油烟道宜与灶具位置相邻设置，各层应预留排油烟罩的接口并配置排油烟防火止回阀。排油烟道应具有防火、防倒灌功能，屋顶烟道出口顶部应设置室外风倒灌、防雨和防污染墙面功能的风帽装置。</w:t>
      </w:r>
    </w:p>
    <w:p>
      <w:pPr>
        <w:pStyle w:val="46"/>
        <w:numPr>
          <w:ilvl w:val="0"/>
          <w:numId w:val="0"/>
        </w:numPr>
      </w:pPr>
      <w:bookmarkStart w:id="294" w:name="OLE_LINK20"/>
      <w:bookmarkStart w:id="295" w:name="OLE_LINK21"/>
      <w:r>
        <w:rPr>
          <w:rFonts w:hint="eastAsia" w:ascii="黑体" w:hAnsi="黑体" w:eastAsia="黑体"/>
        </w:rPr>
        <w:t>8</w:t>
      </w:r>
      <w:r>
        <w:rPr>
          <w:rFonts w:ascii="黑体" w:hAnsi="黑体" w:eastAsia="黑体"/>
        </w:rPr>
        <w:t>.4.6</w:t>
      </w:r>
      <w:r>
        <w:rPr>
          <w:rFonts w:hint="eastAsia"/>
        </w:rPr>
        <w:t>　</w:t>
      </w:r>
      <w:bookmarkEnd w:id="294"/>
      <w:bookmarkEnd w:id="295"/>
      <w:r>
        <w:rPr>
          <w:rFonts w:hint="eastAsia"/>
        </w:rPr>
        <w:t>暖通空调系统的冷热输送管道，应符合现行国家标准GB 50736的规定，并应采取防结露和绝热措施。管道固定于梁柱等钢构件上时，应采用绝热支架。</w:t>
      </w:r>
    </w:p>
    <w:p>
      <w:pPr>
        <w:pStyle w:val="46"/>
        <w:numPr>
          <w:ilvl w:val="0"/>
          <w:numId w:val="0"/>
        </w:numPr>
      </w:pPr>
      <w:bookmarkStart w:id="296" w:name="OLE_LINK23"/>
      <w:bookmarkStart w:id="297" w:name="OLE_LINK22"/>
      <w:r>
        <w:rPr>
          <w:rFonts w:hint="eastAsia" w:ascii="黑体" w:hAnsi="黑体" w:eastAsia="黑体"/>
        </w:rPr>
        <w:t>8</w:t>
      </w:r>
      <w:r>
        <w:rPr>
          <w:rFonts w:ascii="黑体" w:hAnsi="黑体" w:eastAsia="黑体"/>
        </w:rPr>
        <w:t>.4.7</w:t>
      </w:r>
      <w:r>
        <w:rPr>
          <w:rFonts w:hint="eastAsia"/>
        </w:rPr>
        <w:t>　</w:t>
      </w:r>
      <w:bookmarkEnd w:id="296"/>
      <w:bookmarkEnd w:id="297"/>
      <w:r>
        <w:rPr>
          <w:rFonts w:hint="eastAsia"/>
        </w:rPr>
        <w:t>本条文明确了对暖通空调管材的要求，例如铝合金衬塑（PE-RT）等复合型材料。因钢结构构件容易传导振动，因此对支吊架提出了应有防颤措施的要求。</w:t>
      </w:r>
    </w:p>
    <w:p>
      <w:pPr>
        <w:pStyle w:val="46"/>
        <w:numPr>
          <w:ilvl w:val="0"/>
          <w:numId w:val="0"/>
        </w:numPr>
      </w:pPr>
      <w:bookmarkStart w:id="298" w:name="OLE_LINK24"/>
      <w:bookmarkStart w:id="299" w:name="OLE_LINK25"/>
      <w:r>
        <w:rPr>
          <w:rFonts w:hint="eastAsia" w:ascii="黑体" w:hAnsi="黑体" w:eastAsia="黑体"/>
        </w:rPr>
        <w:t>8</w:t>
      </w:r>
      <w:r>
        <w:rPr>
          <w:rFonts w:ascii="黑体" w:hAnsi="黑体" w:eastAsia="黑体"/>
        </w:rPr>
        <w:t>.4.8</w:t>
      </w:r>
      <w:r>
        <w:rPr>
          <w:rFonts w:hint="eastAsia"/>
        </w:rPr>
        <w:t>　</w:t>
      </w:r>
      <w:bookmarkEnd w:id="298"/>
      <w:bookmarkEnd w:id="299"/>
      <w:r>
        <w:rPr>
          <w:rFonts w:hint="eastAsia"/>
        </w:rPr>
        <w:t>本条文明确了暖通空调设备及管道安装的要求，当设备直接或间接固定于钢结构主体上时，应设隔振、减振措施。暖通空调系统应选择低噪声、低振动的设备，并根据要求采取相应的消声、隔振和减振措施。冷热管道需考虑热胀冷缩对钢结构构件的影响，必要时设置补偿措施。</w:t>
      </w:r>
    </w:p>
    <w:p>
      <w:pPr>
        <w:pStyle w:val="46"/>
        <w:numPr>
          <w:ilvl w:val="0"/>
          <w:numId w:val="0"/>
        </w:numPr>
      </w:pPr>
      <w:r>
        <w:rPr>
          <w:rFonts w:hint="eastAsia" w:ascii="黑体" w:hAnsi="黑体" w:eastAsia="黑体"/>
        </w:rPr>
        <w:t>8</w:t>
      </w:r>
      <w:r>
        <w:rPr>
          <w:rFonts w:ascii="黑体" w:hAnsi="黑体" w:eastAsia="黑体"/>
        </w:rPr>
        <w:t>.4.9</w:t>
      </w:r>
      <w:bookmarkStart w:id="300" w:name="OLE_LINK62"/>
      <w:bookmarkStart w:id="301" w:name="OLE_LINK61"/>
      <w:r>
        <w:rPr>
          <w:rFonts w:hint="eastAsia"/>
        </w:rPr>
        <w:t>　</w:t>
      </w:r>
      <w:bookmarkEnd w:id="300"/>
      <w:bookmarkEnd w:id="301"/>
      <w:r>
        <w:rPr>
          <w:rFonts w:hint="eastAsia"/>
        </w:rPr>
        <w:t>供暖通风和空调等设备的能效，应符合现行国家标准GB 55015的规定。</w:t>
      </w:r>
    </w:p>
    <w:p>
      <w:pPr>
        <w:pStyle w:val="41"/>
        <w:numPr>
          <w:ilvl w:val="1"/>
          <w:numId w:val="0"/>
        </w:numPr>
        <w:spacing w:before="312" w:after="312"/>
      </w:pPr>
      <w:bookmarkStart w:id="302" w:name="_Toc22447"/>
      <w:r>
        <w:rPr>
          <w:rFonts w:hint="eastAsia"/>
        </w:rPr>
        <w:t>9　内装系统设计</w:t>
      </w:r>
      <w:bookmarkEnd w:id="302"/>
    </w:p>
    <w:p>
      <w:pPr>
        <w:pStyle w:val="42"/>
        <w:numPr>
          <w:ilvl w:val="2"/>
          <w:numId w:val="0"/>
        </w:numPr>
        <w:spacing w:before="156" w:after="156"/>
      </w:pPr>
      <w:bookmarkStart w:id="303" w:name="_Toc13538"/>
      <w:r>
        <w:rPr>
          <w:rFonts w:hint="eastAsia" w:hAnsi="Times New Roman"/>
          <w:color w:val="000000"/>
        </w:rPr>
        <w:t>9.1　</w:t>
      </w:r>
      <w:r>
        <w:rPr>
          <w:rFonts w:hint="eastAsia"/>
        </w:rPr>
        <w:t>一般规定</w:t>
      </w:r>
      <w:bookmarkEnd w:id="303"/>
    </w:p>
    <w:p>
      <w:pPr>
        <w:pStyle w:val="46"/>
        <w:numPr>
          <w:ilvl w:val="0"/>
          <w:numId w:val="0"/>
        </w:numPr>
      </w:pPr>
      <w:r>
        <w:rPr>
          <w:rFonts w:hint="eastAsia"/>
        </w:rPr>
        <w:t>9.1.2　内装系统设计即考虑可变性，避免将管井、排水立管及固定安装的承重设备布置于可调整区域的中央，为后期功能改造留有余地。</w:t>
      </w:r>
    </w:p>
    <w:p>
      <w:pPr>
        <w:pStyle w:val="46"/>
        <w:numPr>
          <w:ilvl w:val="0"/>
          <w:numId w:val="0"/>
        </w:numPr>
      </w:pPr>
      <w:r>
        <w:rPr>
          <w:rFonts w:hint="eastAsia"/>
        </w:rPr>
        <w:t>9.1.3　可拆装构造的核心是连接方式可逆，而非要求所有隔墙均可移动，通常仅套内非承重隔墙与收纳部品需要具备该性能，需保证隔声、防火性能的墙体及承重构件不适用。</w:t>
      </w:r>
    </w:p>
    <w:p>
      <w:pPr>
        <w:pStyle w:val="46"/>
        <w:numPr>
          <w:ilvl w:val="0"/>
          <w:numId w:val="0"/>
        </w:numPr>
      </w:pPr>
      <w:r>
        <w:rPr>
          <w:rFonts w:hint="eastAsia"/>
        </w:rPr>
        <w:t>9.1.5　内装系统设计应同时遵守的上位依据。其中GB 55038-2025为全文强制性工程建设规范，自2025年5月1日起实施，其住宅层高由“宜为2.8m”提高至“不低于3.0m”，卧室、起居室楼板撞击声隔声性能限值由“不大于75dB”收紧至“不大于65dB”。</w:t>
      </w:r>
    </w:p>
    <w:p>
      <w:pPr>
        <w:pStyle w:val="46"/>
        <w:numPr>
          <w:ilvl w:val="0"/>
          <w:numId w:val="0"/>
        </w:numPr>
      </w:pPr>
      <w:r>
        <w:rPr>
          <w:rFonts w:hint="eastAsia"/>
        </w:rPr>
        <w:t>9.1.6　管线与结构分离、管线与部品分离及可逆安装是装配式内装区别于传统装修的关键特征。管线不埋设于结构构件，可避免后期检修剔凿损伤钢结构；设计使用年限较短的管线与部品能够独立更换，不牵动年限较长的部品与主体结构；采用可逆安装，可实现部品的拆卸、更换与回收利用。</w:t>
      </w:r>
    </w:p>
    <w:p>
      <w:pPr>
        <w:pStyle w:val="46"/>
        <w:numPr>
          <w:ilvl w:val="0"/>
          <w:numId w:val="0"/>
        </w:numPr>
      </w:pPr>
      <w:r>
        <w:rPr>
          <w:rFonts w:hint="eastAsia"/>
        </w:rPr>
        <w:t>9.1.7　本条是第9.1.6条原则的具体落实。设备与管线应敷设于吊顶、架空楼地面、架空墙面或隔墙空腔等可检修的空腔内；埋设于结构构件及楼板内，将削弱构件截面、破坏防火防腐保护层，且无法检修和更换，故予以禁止。</w:t>
      </w:r>
    </w:p>
    <w:p>
      <w:pPr>
        <w:pStyle w:val="46"/>
        <w:numPr>
          <w:ilvl w:val="0"/>
          <w:numId w:val="0"/>
        </w:numPr>
      </w:pPr>
      <w:r>
        <w:rPr>
          <w:rFonts w:hint="eastAsia"/>
        </w:rPr>
        <w:t>9.1.8　本条针对以往将公共立管、公共管井设于套内、导致邻里检修需入户的问题。共用内装部品不进入套内专用空间，既满足物权划分与物业管理要求，也便于共用设施的集中检修与更新。</w:t>
      </w:r>
    </w:p>
    <w:p>
      <w:pPr>
        <w:pStyle w:val="46"/>
        <w:numPr>
          <w:ilvl w:val="0"/>
          <w:numId w:val="0"/>
        </w:numPr>
      </w:pPr>
      <w:r>
        <w:rPr>
          <w:rFonts w:hint="eastAsia"/>
        </w:rPr>
        <w:t>9.1.14　隐蔽部位的金属构件、紧固件及连接件处于吊顶内、架空层内、隔墙空腔等长期高湿且不可视的状态，腐蚀不易被发现，一旦失效难以修复。故本条要求在选型与构造设计阶段即确定防腐处理措施。</w:t>
      </w:r>
    </w:p>
    <w:p>
      <w:pPr>
        <w:pStyle w:val="46"/>
        <w:numPr>
          <w:ilvl w:val="0"/>
          <w:numId w:val="0"/>
        </w:numPr>
      </w:pPr>
      <w:r>
        <w:rPr>
          <w:rFonts w:hint="eastAsia"/>
        </w:rPr>
        <w:t>9.1.15　钢结构住宅的声桥问题较混凝土结构突出，钢构件的声阻抗与空气差异大、传声损失小，且钢柱、钢梁往往连续贯通楼板与分户墙，内装若与其刚性通长连接，撞击声和空气声将沿构件直接传递。故第1款要求对钢构件、设备管道等易形成声桥的部位采用包覆、隔断或弹性垫层等措施，第2款从反面规定内装部品与主体结构之间不应采用刚性通长连接。</w:t>
      </w:r>
    </w:p>
    <w:p>
      <w:pPr>
        <w:pStyle w:val="46"/>
        <w:numPr>
          <w:ilvl w:val="0"/>
          <w:numId w:val="0"/>
        </w:numPr>
      </w:pPr>
      <w:r>
        <w:rPr>
          <w:rFonts w:hint="eastAsia"/>
        </w:rPr>
        <w:t>9.1.16　钢结构在弹性阶段的层间位移角控制值相对混凝土结构更宽，内装若采用刚性固定，主体变形将直接转化为饰面开裂。本条的思路是“以缝消化变形”：第1款要求隔墙、墙面、吊顶与主体结构的连接采用弹性连接或滑动连接；第2款要求在吊顶与墙面、墙面与楼地面交接处设置工艺缝、伸缩缝或收口线脚；第3款要求接缝的允许变形量与主体结构弹性阶段的层间位移角相协调，使内装构造设计与结构设计具有共同的计算基准。</w:t>
      </w:r>
    </w:p>
    <w:p>
      <w:pPr>
        <w:pStyle w:val="46"/>
        <w:numPr>
          <w:ilvl w:val="0"/>
          <w:numId w:val="0"/>
        </w:numPr>
      </w:pPr>
      <w:r>
        <w:rPr>
          <w:rFonts w:hint="eastAsia"/>
        </w:rPr>
        <w:t>9.1.17　钢结构防火保护层（防火涂料、防火板）与防腐涂层一旦被连接件穿透或削薄，其耐火极限与耐久性即不成立。故本条要求内装与钢构件的连接不削弱钢构件截面、不破坏防火与防腐保护层；管线及连接件确需穿越防火保护层时，封堵后的耐火极限不应低于原设计值。</w:t>
      </w:r>
    </w:p>
    <w:p>
      <w:pPr>
        <w:pStyle w:val="46"/>
        <w:numPr>
          <w:ilvl w:val="0"/>
          <w:numId w:val="0"/>
        </w:numPr>
      </w:pPr>
      <w:r>
        <w:rPr>
          <w:rFonts w:hint="eastAsia"/>
        </w:rPr>
        <w:t>9.1.18　内装部品与钢构件、混凝土构件直接贴合时，构件表面温度低于室内露点即形成结露，水分被封闭在部品与构件之间无法蒸发，是钢构件锈蚀与部品霉变的常见起因。故本条要求在两者之间设置防潮隔汽构造，即阻断水蒸汽在温差作用下的迁移，而非仅依靠面层防水。</w:t>
      </w:r>
    </w:p>
    <w:p>
      <w:pPr>
        <w:pStyle w:val="46"/>
        <w:numPr>
          <w:ilvl w:val="0"/>
          <w:numId w:val="0"/>
        </w:numPr>
      </w:pPr>
      <w:r>
        <w:rPr>
          <w:rFonts w:hint="eastAsia"/>
        </w:rPr>
        <w:t>9.1.19　本条为推荐性条款，体现湖北省地方资源特色。湖北磷化工产业集中，宜昌、襄阳、荆门等地工业副产石膏堆存量大，《关于加强磷石膏综合治理促进磷化工产业高质量发展的意见》（鄂办发〔2021〕33号）及湖北省住房和城乡建设厅《房屋建筑和市政设施工程推广应用磷石膏建材实施方案》（鄂建文〔2022〕17号）明确，新建、扩建、改建房屋建筑工程的建筑内墙、外墙内侧、顶棚抹灰及地面找平工程（防水、防潮功能部位除外）优先使用磷石膏抹灰砂浆、自流平砂浆，民用建筑、装配式建筑内墙推广使用磷石膏砌块、磷石膏条板，建筑装饰装修工程推广使用磷石膏纸面石膏板。</w:t>
      </w:r>
    </w:p>
    <w:p>
      <w:pPr>
        <w:pStyle w:val="46"/>
        <w:numPr>
          <w:ilvl w:val="0"/>
          <w:numId w:val="0"/>
        </w:numPr>
      </w:pPr>
      <w:r>
        <w:rPr>
          <w:rFonts w:hint="eastAsia"/>
        </w:rPr>
        <w:t>9.1.20　石膏基材料的耐水性明显低于水泥基材料，浸水后强度大幅下降，故规定厨房、卫生间、设有配水点的封闭阳台及其他有防水、防潮要求的部位不应采用。</w:t>
      </w:r>
    </w:p>
    <w:p>
      <w:pPr>
        <w:pStyle w:val="41"/>
        <w:numPr>
          <w:ilvl w:val="1"/>
          <w:numId w:val="0"/>
        </w:numPr>
        <w:spacing w:before="312" w:after="312"/>
      </w:pPr>
      <w:bookmarkStart w:id="304" w:name="_Toc27859"/>
      <w:r>
        <w:rPr>
          <w:rFonts w:hint="eastAsia"/>
        </w:rPr>
        <w:t>10　构件生产</w:t>
      </w:r>
      <w:bookmarkEnd w:id="304"/>
    </w:p>
    <w:p>
      <w:pPr>
        <w:pStyle w:val="42"/>
        <w:numPr>
          <w:ilvl w:val="2"/>
          <w:numId w:val="0"/>
        </w:numPr>
        <w:spacing w:before="156" w:after="156"/>
      </w:pPr>
      <w:bookmarkStart w:id="305" w:name="_Toc16277"/>
      <w:r>
        <w:rPr>
          <w:rFonts w:hint="eastAsia" w:hAnsi="Times New Roman"/>
          <w:color w:val="000000"/>
        </w:rPr>
        <w:t>10.1　</w:t>
      </w:r>
      <w:r>
        <w:rPr>
          <w:rFonts w:hint="eastAsia"/>
        </w:rPr>
        <w:t>一般规定</w:t>
      </w:r>
      <w:bookmarkEnd w:id="305"/>
    </w:p>
    <w:p>
      <w:pPr>
        <w:pStyle w:val="46"/>
        <w:numPr>
          <w:ilvl w:val="0"/>
          <w:numId w:val="0"/>
        </w:numPr>
      </w:pPr>
      <w:r>
        <w:rPr>
          <w:rFonts w:hint="eastAsia" w:ascii="黑体" w:hAnsi="黑体" w:eastAsia="黑体"/>
        </w:rPr>
        <w:t>1</w:t>
      </w:r>
      <w:r>
        <w:rPr>
          <w:rFonts w:ascii="黑体" w:hAnsi="黑体" w:eastAsia="黑体"/>
        </w:rPr>
        <w:t>0.1.3</w:t>
      </w:r>
      <w:r>
        <w:rPr>
          <w:rFonts w:hint="eastAsia"/>
        </w:rPr>
        <w:t>　生产工艺方案是组织生产和质量控制的基本文件。对构造复杂或新型部品、构件进行工艺性试验，目的是验证工艺可行性、发现潜在质量缺陷，避免批量生产后出现系统性质量问题。</w:t>
      </w:r>
    </w:p>
    <w:p>
      <w:pPr>
        <w:pStyle w:val="46"/>
        <w:numPr>
          <w:ilvl w:val="0"/>
          <w:numId w:val="0"/>
        </w:numPr>
      </w:pPr>
      <w:r>
        <w:rPr>
          <w:rFonts w:hint="eastAsia" w:ascii="黑体" w:hAnsi="黑体" w:eastAsia="黑体"/>
        </w:rPr>
        <w:t>1</w:t>
      </w:r>
      <w:r>
        <w:rPr>
          <w:rFonts w:ascii="黑体" w:hAnsi="黑体" w:eastAsia="黑体"/>
        </w:rPr>
        <w:t>0.1.4</w:t>
      </w:r>
      <w:r>
        <w:rPr>
          <w:rFonts w:hint="eastAsia"/>
        </w:rPr>
        <w:t>　深化设计文件是生产、运输和安装的依据。深化设计文件应经设计单位或原设计单位确认批准，生产单位不得擅自修改设计文件。确需修改的，应由主体设计单位先行完成设计变更，以保证设计意图和结构安全。</w:t>
      </w:r>
    </w:p>
    <w:p>
      <w:pPr>
        <w:pStyle w:val="46"/>
        <w:numPr>
          <w:ilvl w:val="0"/>
          <w:numId w:val="0"/>
        </w:numPr>
      </w:pPr>
      <w:r>
        <w:rPr>
          <w:rFonts w:hint="eastAsia" w:ascii="黑体" w:hAnsi="黑体" w:eastAsia="黑体"/>
        </w:rPr>
        <w:t>1</w:t>
      </w:r>
      <w:r>
        <w:rPr>
          <w:rFonts w:ascii="黑体" w:hAnsi="黑体" w:eastAsia="黑体"/>
        </w:rPr>
        <w:t>0.1.11</w:t>
      </w:r>
      <w:bookmarkStart w:id="306" w:name="OLE_LINK63"/>
      <w:bookmarkStart w:id="307" w:name="OLE_LINK64"/>
      <w:r>
        <w:rPr>
          <w:rFonts w:hint="eastAsia"/>
        </w:rPr>
        <w:t>　</w:t>
      </w:r>
      <w:bookmarkEnd w:id="306"/>
      <w:bookmarkEnd w:id="307"/>
      <w:r>
        <w:rPr>
          <w:rFonts w:hint="eastAsia"/>
        </w:rPr>
        <w:t>产品数据模型（PDM）和产品族模型是实现设计、生产、施工、运维全生命周期数据贯通的基础。生产单位的BIM模型应与设计单位、施工单位的模型保持数据协同，避免“信息孤岛”。</w:t>
      </w:r>
    </w:p>
    <w:p>
      <w:pPr>
        <w:pStyle w:val="42"/>
        <w:numPr>
          <w:ilvl w:val="2"/>
          <w:numId w:val="0"/>
        </w:numPr>
        <w:spacing w:before="156" w:after="156"/>
      </w:pPr>
      <w:bookmarkStart w:id="308" w:name="_Toc23549"/>
      <w:r>
        <w:rPr>
          <w:rFonts w:hint="eastAsia" w:hAnsi="Times New Roman"/>
          <w:color w:val="000000"/>
        </w:rPr>
        <w:t>10.2　</w:t>
      </w:r>
      <w:r>
        <w:rPr>
          <w:rFonts w:hint="eastAsia"/>
        </w:rPr>
        <w:t>结构构件生产</w:t>
      </w:r>
      <w:bookmarkEnd w:id="308"/>
    </w:p>
    <w:p>
      <w:pPr>
        <w:pStyle w:val="46"/>
        <w:numPr>
          <w:ilvl w:val="0"/>
          <w:numId w:val="0"/>
        </w:numPr>
      </w:pPr>
      <w:r>
        <w:rPr>
          <w:rFonts w:hint="eastAsia" w:ascii="黑体" w:hAnsi="黑体" w:eastAsia="黑体"/>
        </w:rPr>
        <w:t>10.2.2</w:t>
      </w:r>
      <w:r>
        <w:rPr>
          <w:rFonts w:hint="eastAsia"/>
        </w:rPr>
        <w:t>　深化设计图是钢构件和装配式楼板生产的直接依据。对于装配式钢结构住宅，深化设计还应包括与外围护部品、内装部品、设备管线连接的预留预埋和接口定位，避免现场开凿、切割，保证装配化施工顺利进行。</w:t>
      </w:r>
    </w:p>
    <w:p>
      <w:pPr>
        <w:pStyle w:val="46"/>
        <w:numPr>
          <w:ilvl w:val="0"/>
          <w:numId w:val="0"/>
        </w:numPr>
      </w:pPr>
      <w:r>
        <w:rPr>
          <w:rFonts w:hint="eastAsia" w:ascii="黑体" w:hAnsi="黑体" w:eastAsia="黑体"/>
        </w:rPr>
        <w:t>10.2.4</w:t>
      </w:r>
      <w:r>
        <w:rPr>
          <w:rFonts w:hint="eastAsia"/>
        </w:rPr>
        <w:t>　钢构件与墙板、内装部品的连接件宜在工厂与钢构件一起加工制作。这样可保证连接件位置准确，避免现场焊接、钻孔对钢构件涂层和母材造成损伤。</w:t>
      </w:r>
    </w:p>
    <w:p>
      <w:pPr>
        <w:pStyle w:val="46"/>
        <w:numPr>
          <w:ilvl w:val="0"/>
          <w:numId w:val="0"/>
        </w:numPr>
      </w:pPr>
      <w:r>
        <w:rPr>
          <w:rFonts w:hint="eastAsia" w:ascii="黑体" w:hAnsi="黑体" w:eastAsia="黑体"/>
        </w:rPr>
        <w:t>10.2.10</w:t>
      </w:r>
      <w:r>
        <w:rPr>
          <w:rFonts w:hint="eastAsia"/>
        </w:rPr>
        <w:t>　本条涵盖压型钢板、钢筋桁架楼承板、钢筋混凝土预制楼板、金属骨架组合楼板及预制混凝土叠合楼板等装配式楼板体系。压型钢板应采用成型机加工，成型后基板不应有裂纹；钢筋桁架楼承板应采用专用设备加工，保证钢筋间距、桁架高度及焊接质量；预制混凝土叠合楼板应控制粗糙面处理、预埋件定位和预留洞口位置。脱模、起吊、翻转时混凝土强度不应小于15N/mm² , 且不应低于设计强度的50%；出厂时混凝土强度不应低于设计强度的75%。</w:t>
      </w:r>
    </w:p>
    <w:p>
      <w:pPr>
        <w:pStyle w:val="46"/>
        <w:numPr>
          <w:ilvl w:val="0"/>
          <w:numId w:val="0"/>
        </w:numPr>
      </w:pPr>
      <w:r>
        <w:rPr>
          <w:rFonts w:hint="eastAsia" w:ascii="黑体" w:hAnsi="黑体" w:eastAsia="黑体"/>
        </w:rPr>
        <w:t>10.2.12</w:t>
      </w:r>
      <w:r>
        <w:rPr>
          <w:rFonts w:hint="eastAsia"/>
        </w:rPr>
        <w:t>　部分包覆钢-混凝土组合构件中的混凝土部分宜在工厂预制，预制部分与钢构件的连接界面应进行粗糙化处理，确保钢与混凝土共同工作性能。</w:t>
      </w:r>
    </w:p>
    <w:p>
      <w:pPr>
        <w:pStyle w:val="42"/>
        <w:numPr>
          <w:ilvl w:val="2"/>
          <w:numId w:val="0"/>
        </w:numPr>
        <w:spacing w:before="156" w:after="156"/>
      </w:pPr>
      <w:bookmarkStart w:id="309" w:name="_Toc31598"/>
      <w:r>
        <w:rPr>
          <w:rFonts w:hint="eastAsia" w:hAnsi="Times New Roman"/>
          <w:color w:val="000000"/>
        </w:rPr>
        <w:t>10.3　</w:t>
      </w:r>
      <w:r>
        <w:rPr>
          <w:rFonts w:hint="eastAsia"/>
        </w:rPr>
        <w:t>外围护部品生产</w:t>
      </w:r>
      <w:bookmarkEnd w:id="309"/>
    </w:p>
    <w:p>
      <w:pPr>
        <w:pStyle w:val="46"/>
        <w:numPr>
          <w:ilvl w:val="0"/>
          <w:numId w:val="0"/>
        </w:numPr>
      </w:pPr>
      <w:r>
        <w:rPr>
          <w:rFonts w:hint="eastAsia" w:ascii="黑体" w:hAnsi="黑体" w:eastAsia="黑体"/>
        </w:rPr>
        <w:t>10.3.3</w:t>
      </w:r>
      <w:r>
        <w:rPr>
          <w:rFonts w:hint="eastAsia"/>
        </w:rPr>
        <w:t>　外围护部品生产应对尺寸偏差和外观质量进行控制，并应具备容错性。宜采用高精度模具和自动化加工设备，保证部品尺寸一致性和表面平整度。</w:t>
      </w:r>
    </w:p>
    <w:p>
      <w:pPr>
        <w:pStyle w:val="46"/>
        <w:numPr>
          <w:ilvl w:val="0"/>
          <w:numId w:val="0"/>
        </w:numPr>
      </w:pPr>
      <w:r>
        <w:rPr>
          <w:rFonts w:hint="eastAsia" w:ascii="黑体" w:hAnsi="黑体" w:eastAsia="黑体"/>
        </w:rPr>
        <w:t>10.3.4</w:t>
      </w:r>
      <w:r>
        <w:rPr>
          <w:rFonts w:hint="eastAsia"/>
        </w:rPr>
        <w:t>　保温装饰一体板应在工厂一次复合成型，保温芯材、饰面层、锚固件预埋等应符合设计要求。出厂时应提供系统耐候性、抗风压、粘结强度等性能检验报告。不同金属接触面应避免电化学腐蚀，采取隔离措施。</w:t>
      </w:r>
    </w:p>
    <w:p>
      <w:pPr>
        <w:pStyle w:val="46"/>
        <w:numPr>
          <w:ilvl w:val="0"/>
          <w:numId w:val="0"/>
        </w:numPr>
      </w:pPr>
      <w:r>
        <w:rPr>
          <w:rFonts w:hint="eastAsia" w:ascii="黑体" w:hAnsi="黑体" w:eastAsia="黑体"/>
        </w:rPr>
        <w:t>10.3.8</w:t>
      </w:r>
      <w:bookmarkStart w:id="310" w:name="OLE_LINK66"/>
      <w:bookmarkStart w:id="311" w:name="OLE_LINK65"/>
      <w:r>
        <w:rPr>
          <w:rFonts w:hint="eastAsia"/>
        </w:rPr>
        <w:t>　</w:t>
      </w:r>
      <w:bookmarkEnd w:id="310"/>
      <w:bookmarkEnd w:id="311"/>
      <w:r>
        <w:rPr>
          <w:rFonts w:hint="eastAsia"/>
        </w:rPr>
        <w:t>外围护部品应进行与主体结构连接件的预装配或匹配性检查，确保连接节点精度和适配性。对于采用新型保温装饰一体板、ALC条板等部品的，尚应核查其型式检验报告及有效期内的相关认证证书。</w:t>
      </w:r>
    </w:p>
    <w:p>
      <w:pPr>
        <w:pStyle w:val="42"/>
        <w:numPr>
          <w:ilvl w:val="2"/>
          <w:numId w:val="0"/>
        </w:numPr>
        <w:spacing w:before="156" w:after="156"/>
      </w:pPr>
      <w:bookmarkStart w:id="312" w:name="_Toc26384"/>
      <w:r>
        <w:rPr>
          <w:rFonts w:hint="eastAsia" w:hAnsi="Times New Roman"/>
          <w:color w:val="000000"/>
        </w:rPr>
        <w:t>10.4　</w:t>
      </w:r>
      <w:r>
        <w:rPr>
          <w:rFonts w:hint="eastAsia"/>
        </w:rPr>
        <w:t>内装部品生产</w:t>
      </w:r>
      <w:bookmarkEnd w:id="312"/>
    </w:p>
    <w:p>
      <w:pPr>
        <w:pStyle w:val="46"/>
        <w:numPr>
          <w:ilvl w:val="0"/>
          <w:numId w:val="0"/>
        </w:numPr>
      </w:pPr>
      <w:r>
        <w:rPr>
          <w:rFonts w:hint="eastAsia" w:ascii="黑体" w:hAnsi="黑体" w:eastAsia="黑体"/>
        </w:rPr>
        <w:t>10.4.1</w:t>
      </w:r>
      <w:r>
        <w:rPr>
          <w:rFonts w:hint="eastAsia"/>
        </w:rPr>
        <w:t>　内装部品生产前应复核结构系统及外围护系统上预留洞口的位置、规格等数据。生产厂家应对出厂部品逐件编码，并宜采用信息化技术进行质量追溯。生产时宜适度预留公差，并标识部品编码、使用位置、生产规格、材质、颜色等信息。</w:t>
      </w:r>
    </w:p>
    <w:p>
      <w:pPr>
        <w:pStyle w:val="46"/>
        <w:numPr>
          <w:ilvl w:val="0"/>
          <w:numId w:val="0"/>
        </w:numPr>
      </w:pPr>
      <w:r>
        <w:rPr>
          <w:rFonts w:hint="eastAsia" w:ascii="黑体" w:hAnsi="黑体" w:eastAsia="黑体"/>
        </w:rPr>
        <w:t>10.4.5</w:t>
      </w:r>
      <w:r>
        <w:rPr>
          <w:rFonts w:hint="eastAsia"/>
        </w:rPr>
        <w:t>　集成厨房、集成卫浴等成套部品应在工厂进行预拼装和通水、通电试验，检验合格后方可出厂。出厂时应提供安装说明书和接口定位图。</w:t>
      </w:r>
    </w:p>
    <w:p>
      <w:pPr>
        <w:pStyle w:val="46"/>
        <w:numPr>
          <w:ilvl w:val="0"/>
          <w:numId w:val="0"/>
        </w:numPr>
      </w:pPr>
      <w:r>
        <w:rPr>
          <w:rFonts w:hint="eastAsia" w:ascii="黑体" w:hAnsi="黑体" w:eastAsia="黑体"/>
        </w:rPr>
        <w:t>10.4.6</w:t>
      </w:r>
      <w:r>
        <w:rPr>
          <w:rFonts w:hint="eastAsia"/>
        </w:rPr>
        <w:t>　内隔墙部品宜采用轻质条板、龙骨隔墙等，并在工厂完成切割、开孔、预埋管线等工序，现场采用干式工法安装，减少现场切割和湿作业。</w:t>
      </w:r>
    </w:p>
    <w:p>
      <w:pPr>
        <w:pStyle w:val="42"/>
        <w:numPr>
          <w:ilvl w:val="2"/>
          <w:numId w:val="0"/>
        </w:numPr>
        <w:spacing w:before="156" w:after="156"/>
      </w:pPr>
      <w:bookmarkStart w:id="313" w:name="_Toc3707"/>
      <w:r>
        <w:rPr>
          <w:rFonts w:hint="eastAsia" w:hAnsi="Times New Roman"/>
          <w:color w:val="000000"/>
        </w:rPr>
        <w:t>10.5　</w:t>
      </w:r>
      <w:r>
        <w:rPr>
          <w:rFonts w:hint="eastAsia"/>
        </w:rPr>
        <w:t>包装、运输与堆放</w:t>
      </w:r>
      <w:bookmarkEnd w:id="313"/>
    </w:p>
    <w:p>
      <w:pPr>
        <w:pStyle w:val="46"/>
        <w:numPr>
          <w:ilvl w:val="0"/>
          <w:numId w:val="0"/>
        </w:numPr>
      </w:pPr>
      <w:r>
        <w:rPr>
          <w:rFonts w:hint="eastAsia"/>
        </w:rPr>
        <w:t>10.5.5　构件、部品、部件运输应满足合同进度要求，并按施工安装顺序制定运输方案和运输计划。钢构件应根据安装顺序分单元成套运输，同一安装批宜同期、同批运输；如同一安装批不能同批运输，宜按先钢柱、后钢梁、再钢支撑和钢楼梯的顺序组织。</w:t>
      </w:r>
    </w:p>
    <w:p>
      <w:pPr>
        <w:pStyle w:val="46"/>
        <w:numPr>
          <w:ilvl w:val="0"/>
          <w:numId w:val="0"/>
        </w:numPr>
      </w:pPr>
      <w:r>
        <w:rPr>
          <w:rFonts w:hint="eastAsia"/>
        </w:rPr>
        <w:t>10.5.6　对超高、超宽、形状特殊的大型构件运输和堆放应制定专门方案，运输前应进行路线踏勘，并应符合《超限运输车辆行驶公路管理规定》及湖北省相关道路运输管理规定。</w:t>
      </w:r>
    </w:p>
    <w:p>
      <w:pPr>
        <w:pStyle w:val="46"/>
        <w:numPr>
          <w:ilvl w:val="0"/>
          <w:numId w:val="0"/>
        </w:numPr>
      </w:pPr>
      <w:r>
        <w:rPr>
          <w:rFonts w:hint="eastAsia"/>
        </w:rPr>
        <w:t>10.5.8　构件装卸、吊运应根据构件形状、尺寸、重量和作业半径选择吊具和起重设备。吊点数量和位置应经计算确定；吊索水平夹角不宜小于60°, 不应小于45°；应采用慢起、稳身、缓放的操作方式；吊装大型构件、薄壁构件或形状复杂构件时，应使用分配梁或分配桁架类吊具，并采取临时加固措施。</w:t>
      </w:r>
    </w:p>
    <w:p>
      <w:pPr>
        <w:pStyle w:val="46"/>
        <w:numPr>
          <w:ilvl w:val="0"/>
          <w:numId w:val="0"/>
        </w:numPr>
      </w:pPr>
      <w:r>
        <w:rPr>
          <w:rFonts w:hint="eastAsia"/>
        </w:rPr>
        <w:t>10.5.11　墙板采用靠放架堆放或运输时，靠放架应具有足够承载力和刚度，与地面倾斜角度宜大于80°；墙板宜对称放置且外饰面朝外，上部宜采用木垫块隔开。采用插放架直立堆放或运输时，插放架应支垫稳固。采用叠层平放时，应采取防止损坏的措施。</w:t>
      </w:r>
    </w:p>
    <w:p>
      <w:pPr>
        <w:pStyle w:val="46"/>
        <w:numPr>
          <w:ilvl w:val="0"/>
          <w:numId w:val="0"/>
        </w:numPr>
      </w:pPr>
      <w:r>
        <w:rPr>
          <w:rFonts w:hint="eastAsia"/>
        </w:rPr>
        <w:t>10.5.12　构件、部品、部件宜采用信息化物流管理系统，实现运输过程跟踪、到货检验、交接确认的数字化管理。采用二维码、RFID等标识的构件，现场收验时应扫码核验，并与BIM模型、质量追溯系统关联。</w:t>
      </w:r>
    </w:p>
    <w:p>
      <w:pPr>
        <w:pStyle w:val="41"/>
        <w:numPr>
          <w:ilvl w:val="1"/>
          <w:numId w:val="0"/>
        </w:numPr>
        <w:spacing w:before="312" w:after="312"/>
      </w:pPr>
      <w:bookmarkStart w:id="314" w:name="_Toc16562"/>
      <w:r>
        <w:rPr>
          <w:rFonts w:hint="eastAsia"/>
        </w:rPr>
        <w:t>11　施工安装</w:t>
      </w:r>
      <w:bookmarkEnd w:id="314"/>
    </w:p>
    <w:p>
      <w:pPr>
        <w:pStyle w:val="42"/>
        <w:numPr>
          <w:ilvl w:val="2"/>
          <w:numId w:val="0"/>
        </w:numPr>
        <w:spacing w:before="156" w:after="156"/>
      </w:pPr>
      <w:bookmarkStart w:id="315" w:name="_Toc14936"/>
      <w:r>
        <w:rPr>
          <w:rFonts w:hint="eastAsia" w:hAnsi="Times New Roman"/>
          <w:color w:val="000000"/>
        </w:rPr>
        <w:t>11.1　</w:t>
      </w:r>
      <w:r>
        <w:t>一般规定</w:t>
      </w:r>
      <w:bookmarkEnd w:id="315"/>
    </w:p>
    <w:p>
      <w:pPr>
        <w:pStyle w:val="46"/>
        <w:numPr>
          <w:ilvl w:val="3"/>
          <w:numId w:val="0"/>
        </w:numPr>
      </w:pPr>
      <w:r>
        <w:rPr>
          <w:rFonts w:hint="eastAsia" w:ascii="黑体" w:eastAsia="黑体"/>
        </w:rPr>
        <w:t>11.1.1　</w:t>
      </w:r>
      <w:r>
        <w:t>施工前应编制施工组织设计及配套的装配式施工专项方案、安全专项方案和绿色施工与环境保护专项方案，危险性较大的分部分项工程的识别、编制与专家论证按《危险性较大的分部分项工程安全管理规定》（住房和城乡建设部令第37号）和建办质〔2018〕31号执行。施工顺序应根据构件部品工厂化生产、现场装配化施工的特点确定，组织不当将使装配化施工退化为现场散拼作业。施工扬尘、噪声应按现行国家标准GB 12523等控制，焊接、切割等动火作业应执行审批制度。预埋螺栓宜采用定位支架与结构主钢筋连接并在混凝土初凝前复校，定位偏差将直接传递至上部钢柱。全面施工前应先做工艺样板间或实体样板，以验证多专业接口尺寸和工序穿插的合理性。</w:t>
      </w:r>
    </w:p>
    <w:p>
      <w:pPr>
        <w:pStyle w:val="42"/>
        <w:numPr>
          <w:ilvl w:val="2"/>
          <w:numId w:val="0"/>
        </w:numPr>
        <w:spacing w:before="156" w:after="156"/>
      </w:pPr>
      <w:bookmarkStart w:id="316" w:name="_Toc16242"/>
      <w:r>
        <w:rPr>
          <w:rFonts w:hint="eastAsia" w:hAnsi="Times New Roman"/>
          <w:color w:val="000000"/>
        </w:rPr>
        <w:t>11.2　</w:t>
      </w:r>
      <w:r>
        <w:t>结构系统施工与安装</w:t>
      </w:r>
      <w:bookmarkEnd w:id="316"/>
    </w:p>
    <w:p>
      <w:pPr>
        <w:pStyle w:val="46"/>
        <w:numPr>
          <w:ilvl w:val="3"/>
          <w:numId w:val="0"/>
        </w:numPr>
      </w:pPr>
      <w:r>
        <w:rPr>
          <w:rFonts w:hint="eastAsia" w:ascii="黑体" w:eastAsia="黑体"/>
        </w:rPr>
        <w:t>11.2.1　</w:t>
      </w:r>
      <w:r>
        <w:t>施工阶段结构体系尚未完整形成，构件和节点的控制工况常出现在施工过程中，施工阶段验算应按实际安装顺序、临时支承条件和施工荷载逐工况进行。安装顺序应综合考虑平面运输、结构体系转换、测量校正、精度调整及系统构成等因素，构件就位后应及时形成稳固的空间单元，在此之前应设置临时支撑，重型构件所用的临时支承结构应进行结构安全计算。高层钢结构安装时，随着楼层升高已安装竖向构件将持续压缩并对伸臂桁架等构件产生附加内力，应根据结构特点确定是否采取预调安装标高、设置后连续构件等措施。施工期监测包括结构变形和环境变化两类，温差、日照、风荷载既影响校正精度也影响结构受力，精密校正宜在温度场稳定时段进行。</w:t>
      </w:r>
    </w:p>
    <w:p>
      <w:pPr>
        <w:pStyle w:val="46"/>
        <w:numPr>
          <w:ilvl w:val="3"/>
          <w:numId w:val="0"/>
        </w:numPr>
      </w:pPr>
      <w:r>
        <w:rPr>
          <w:rFonts w:hint="eastAsia" w:ascii="黑体" w:eastAsia="黑体"/>
        </w:rPr>
        <w:t>11.2.2　</w:t>
      </w:r>
      <w:r>
        <w:t>钢管内混凝土浇筑质量事后难以检查，宜采用自密实混凝土；粗骨料粒径大于20mm时易在钢管内壁与纵筋之间架桥形成空腔，自由倾落高度超过9m时混凝土产生离析、造成柱底段强度离散。组合楼板混凝土施工与钢构件安装宜组织流水，两项作业相差层数不宜超过6层，滞后过多将使钢梁长期处于无楼板约束状态并延误水平通道的形成。现场涂装中，损坏涂层应按原涂装体系规定的表面处理等级修补；涂装系统的兼容性包括底漆、中间漆、面漆之间的配套以及防腐涂料与防火涂料之间的相容。预制混凝土楼梯宜一端固定铰、一端滑动铰，以释放地震作用下与主体结构的相对位移、消除楼梯参与抗侧引起的刚度突变，最小搁置长度100mm由支座滑移量与施工偏差两项确定。模块单元吊装工况与就位后受力状态不同，吊点位置不得随意变更，尺寸较大或形状复杂的单元应设置分配梁或分配桁架，使主钩、吊具与单元重心在同一竖直线上。</w:t>
      </w:r>
    </w:p>
    <w:p>
      <w:pPr>
        <w:pStyle w:val="42"/>
        <w:numPr>
          <w:ilvl w:val="2"/>
          <w:numId w:val="0"/>
        </w:numPr>
        <w:spacing w:before="156" w:after="156"/>
      </w:pPr>
      <w:bookmarkStart w:id="317" w:name="_Toc12593"/>
      <w:r>
        <w:rPr>
          <w:rFonts w:hint="eastAsia" w:hAnsi="Times New Roman"/>
          <w:color w:val="000000"/>
        </w:rPr>
        <w:t>11.3　</w:t>
      </w:r>
      <w:r>
        <w:t>外围护系统安装</w:t>
      </w:r>
      <w:bookmarkEnd w:id="317"/>
    </w:p>
    <w:p>
      <w:pPr>
        <w:pStyle w:val="46"/>
        <w:numPr>
          <w:ilvl w:val="3"/>
          <w:numId w:val="0"/>
        </w:numPr>
      </w:pPr>
      <w:r>
        <w:rPr>
          <w:rFonts w:hint="eastAsia" w:ascii="黑体" w:eastAsia="黑体"/>
        </w:rPr>
        <w:t>11.3.1　</w:t>
      </w:r>
      <w:r>
        <w:t>钢结构变形能力强，必须解决承重结构与外围护系统之间的变形协调问题，否则外围护系统极易开裂。外墙与钢梁、钢柱连接处应采用柔性节点并预留10mm～20mm变形缝，缝宽按层间位移与施工偏差叠加确定；钩头螺栓法、滑动螺栓法、内置锚法和摇摆型工法均属允许层间滑移或转动的连接方式。板缝填充PE棒后打专用密封胶，PE棒用于控制嵌填深度并避免密封胶三面粘结，外墙面应满涂防水界面剂形成第二道防线。外围护系统可在一个流水段主体结构验收合格后与主体结构同步施工，但应采取可靠防护措施。保温装饰一体板7层及以上宜采用龙骨干挂并将锚固件固定在主体结构上；钢柱、钢梁及外挑构件根部是传热集中部位，应采取连续包封或保温隔断措施以降低热桥和结露风险。外门窗框与洞口接缝应采用柔性材料填充并在室外侧打密封胶，安装完成后应做淋水试验。</w:t>
      </w:r>
    </w:p>
    <w:p>
      <w:pPr>
        <w:pStyle w:val="42"/>
        <w:numPr>
          <w:ilvl w:val="2"/>
          <w:numId w:val="0"/>
        </w:numPr>
        <w:spacing w:before="156" w:after="156"/>
      </w:pPr>
      <w:bookmarkStart w:id="318" w:name="_Toc4929"/>
      <w:r>
        <w:rPr>
          <w:rFonts w:hint="eastAsia" w:hAnsi="Times New Roman"/>
          <w:color w:val="000000"/>
        </w:rPr>
        <w:t>11.4　</w:t>
      </w:r>
      <w:r>
        <w:t>设备与管线系统安装</w:t>
      </w:r>
      <w:bookmarkEnd w:id="318"/>
    </w:p>
    <w:p>
      <w:pPr>
        <w:pStyle w:val="46"/>
        <w:numPr>
          <w:ilvl w:val="3"/>
          <w:numId w:val="0"/>
        </w:numPr>
      </w:pPr>
      <w:r>
        <w:rPr>
          <w:rFonts w:hint="eastAsia" w:ascii="黑体" w:eastAsia="黑体"/>
        </w:rPr>
        <w:t>11.4.1　</w:t>
      </w:r>
      <w:r>
        <w:t>设备与管线安装前应绘制深化加工图，宜采用管线分离方式敷设在吊顶、架空地板和墙体空腔内，为使用期检修更换创造条件；已安装的构件上严禁凿剔沟槽、开孔、开洞，该类作业将削弱截面并损伤防腐防火保护层。预留孔洞和预埋套管应在加工制作阶段完成；钢梁腹板开洞削弱截面受剪承载力，应加设钢套管或环板补强，翼缘开洞对受弯承载力影响更为直接，应采用翼缘环板补强并加设竖向加劲板。钢结构构件连接可靠时具有良好的导电连续性，可作为防雷引下线和共用接地装置的自然导体，连接部位应设永久性标记并做好跨接配合。支（吊）架宜采用免焊接方式固定，确需焊接时应按原涂装体系修补涂层。</w:t>
      </w:r>
    </w:p>
    <w:p>
      <w:pPr>
        <w:pStyle w:val="42"/>
        <w:numPr>
          <w:ilvl w:val="2"/>
          <w:numId w:val="0"/>
        </w:numPr>
        <w:spacing w:before="156" w:after="156"/>
      </w:pPr>
      <w:bookmarkStart w:id="319" w:name="_Toc22491"/>
      <w:r>
        <w:rPr>
          <w:rFonts w:hint="eastAsia" w:hAnsi="Times New Roman"/>
          <w:color w:val="000000"/>
        </w:rPr>
        <w:t>11.5　</w:t>
      </w:r>
      <w:r>
        <w:t>内装系统安装</w:t>
      </w:r>
      <w:bookmarkEnd w:id="319"/>
    </w:p>
    <w:p>
      <w:pPr>
        <w:pStyle w:val="46"/>
        <w:numPr>
          <w:ilvl w:val="3"/>
          <w:numId w:val="0"/>
        </w:numPr>
      </w:pPr>
      <w:r>
        <w:rPr>
          <w:rFonts w:hint="eastAsia" w:ascii="黑体" w:eastAsia="黑体"/>
        </w:rPr>
        <w:t>11.5.1　</w:t>
      </w:r>
      <w:r>
        <w:t>防火涂料与防腐底漆应相容，膨胀型防火涂料受火后体积膨胀，内装面层应预留膨胀空间以免被顶裂脱落；管线穿越防火保护层处应按原耐火极限封堵。钢结构层间位移大于混凝土结构，龙骨隔墙与主体结构应采用柔性连接，面板拼缝应错缝设置。轻质条板的水电管线敷设应在安装完成7天后进行，过早开槽会引起接缝开裂；有防水要求的轻质隔墙底部应设300mm现浇混凝土导墙并做泛水。架空地板系统与周边墙体宜柔性连接并采取隔声减振措施，采用地板辐射供暖时应带压铺设面层以及时发现加热管破损。</w:t>
      </w:r>
    </w:p>
    <w:p>
      <w:pPr>
        <w:pStyle w:val="42"/>
        <w:numPr>
          <w:ilvl w:val="2"/>
          <w:numId w:val="0"/>
        </w:numPr>
        <w:spacing w:before="156" w:after="156"/>
      </w:pPr>
      <w:bookmarkStart w:id="320" w:name="_Toc22430"/>
      <w:r>
        <w:rPr>
          <w:rFonts w:hint="eastAsia" w:hAnsi="Times New Roman"/>
          <w:color w:val="000000"/>
        </w:rPr>
        <w:t>11.6　</w:t>
      </w:r>
      <w:r>
        <w:t>安全文明与成品保护</w:t>
      </w:r>
      <w:bookmarkEnd w:id="320"/>
    </w:p>
    <w:p>
      <w:pPr>
        <w:pStyle w:val="46"/>
        <w:numPr>
          <w:ilvl w:val="3"/>
          <w:numId w:val="0"/>
        </w:numPr>
      </w:pPr>
      <w:r>
        <w:rPr>
          <w:rFonts w:hint="eastAsia" w:ascii="黑体" w:eastAsia="黑体"/>
        </w:rPr>
        <w:t>11.6.1　</w:t>
      </w:r>
      <w:r>
        <w:t>安装楼层逐层上升，临边、洞口防护设施需频繁拆装，宜采用定型化、工具式设施。外围护安装与外防护架存在交叉作业，宜选用悬挑式脚手架或附着式升降脚手架，悬挑层外防护架搭设期间该层墙板宜在后拆架阶段补充施工。多工序穿插期间，已安装的钢构件、外围护墙板和内装部品应采取覆盖、围挡措施；不得在已安装墙板上开槽、钻孔或作为脚手架支点，以免削弱墙体、破坏防水构造并使墙体承受设计未考虑的荷载。</w:t>
      </w:r>
    </w:p>
    <w:p>
      <w:pPr>
        <w:pStyle w:val="41"/>
        <w:numPr>
          <w:ilvl w:val="1"/>
          <w:numId w:val="0"/>
        </w:numPr>
        <w:spacing w:before="312" w:after="312"/>
      </w:pPr>
      <w:bookmarkStart w:id="321" w:name="_Toc1494"/>
      <w:r>
        <w:rPr>
          <w:rFonts w:hint="eastAsia"/>
        </w:rPr>
        <w:t>12　检验检测与验收</w:t>
      </w:r>
      <w:bookmarkEnd w:id="321"/>
    </w:p>
    <w:p>
      <w:pPr>
        <w:pStyle w:val="42"/>
        <w:numPr>
          <w:ilvl w:val="2"/>
          <w:numId w:val="0"/>
        </w:numPr>
        <w:spacing w:before="156" w:after="156"/>
      </w:pPr>
      <w:bookmarkStart w:id="322" w:name="_Toc28699"/>
      <w:r>
        <w:rPr>
          <w:rFonts w:hint="eastAsia" w:hAnsi="Times New Roman"/>
          <w:color w:val="000000"/>
        </w:rPr>
        <w:t>12.1　</w:t>
      </w:r>
      <w:r>
        <w:rPr>
          <w:rFonts w:hint="eastAsia"/>
        </w:rPr>
        <w:t>一般规定</w:t>
      </w:r>
      <w:bookmarkEnd w:id="322"/>
    </w:p>
    <w:p>
      <w:pPr>
        <w:pStyle w:val="46"/>
        <w:numPr>
          <w:ilvl w:val="0"/>
          <w:numId w:val="0"/>
        </w:numPr>
      </w:pPr>
      <w:r>
        <w:rPr>
          <w:rFonts w:hint="eastAsia" w:ascii="黑体" w:hAnsi="黑体" w:eastAsia="黑体"/>
        </w:rPr>
        <w:t>1</w:t>
      </w:r>
      <w:r>
        <w:rPr>
          <w:rFonts w:ascii="黑体" w:hAnsi="黑体" w:eastAsia="黑体"/>
        </w:rPr>
        <w:t>2.1.2</w:t>
      </w:r>
      <w:r>
        <w:rPr>
          <w:rFonts w:hint="eastAsia"/>
        </w:rPr>
        <w:t>　本条根据工程结构组合形式划分验收层级。主体为钢结构时按钢结构分部工程验收；工程同时含有混凝土、砌体结构时，钢结构作为子分部工程验收，贴合现场实际结构组成，保证验收划分合理合规。</w:t>
      </w:r>
    </w:p>
    <w:p>
      <w:pPr>
        <w:pStyle w:val="46"/>
        <w:numPr>
          <w:ilvl w:val="0"/>
          <w:numId w:val="0"/>
        </w:numPr>
      </w:pPr>
      <w:r>
        <w:rPr>
          <w:rFonts w:hint="eastAsia" w:ascii="黑体" w:hAnsi="黑体" w:eastAsia="黑体"/>
        </w:rPr>
        <w:t>12.1.4</w:t>
      </w:r>
      <w:r>
        <w:rPr>
          <w:rFonts w:hint="eastAsia"/>
        </w:rPr>
        <w:t>　本条明确验收标准执行体系。本规程为省内装配式专项细化要求，工程验收同时需遵守GB 50205、GB 55006等现行国家规范，所有验收指标不低于国标底线要求。</w:t>
      </w:r>
    </w:p>
    <w:p>
      <w:pPr>
        <w:pStyle w:val="46"/>
        <w:numPr>
          <w:ilvl w:val="0"/>
          <w:numId w:val="0"/>
        </w:numPr>
      </w:pPr>
      <w:r>
        <w:rPr>
          <w:rFonts w:hint="eastAsia" w:ascii="黑体" w:hAnsi="黑体" w:eastAsia="黑体"/>
        </w:rPr>
        <w:t>12.1.5</w:t>
      </w:r>
      <w:r>
        <w:rPr>
          <w:rFonts w:hint="eastAsia"/>
        </w:rPr>
        <w:t>　本条确立全过程检测管控原则。检验检测覆盖原材料进场、施工过程、竣工验收全阶段，实现质量问题早发现、早整改，形成全过程质量管控。</w:t>
      </w:r>
    </w:p>
    <w:p>
      <w:pPr>
        <w:pStyle w:val="46"/>
        <w:numPr>
          <w:ilvl w:val="0"/>
          <w:numId w:val="0"/>
        </w:numPr>
      </w:pPr>
      <w:r>
        <w:rPr>
          <w:rFonts w:hint="eastAsia" w:ascii="黑体" w:hAnsi="黑体" w:eastAsia="黑体"/>
        </w:rPr>
        <w:t>12.1.6</w:t>
      </w:r>
      <w:r>
        <w:rPr>
          <w:rFonts w:hint="eastAsia"/>
        </w:rPr>
        <w:t>　本条统一不合格工程处置标准。针对返修更换、检测达标、设计验算、加固整改、质量不达标五类情况，明确对应的验收判定方式，规范现场质量问题处置流程，杜绝随意验收、降低标准验收。</w:t>
      </w:r>
    </w:p>
    <w:p>
      <w:pPr>
        <w:pStyle w:val="46"/>
        <w:numPr>
          <w:ilvl w:val="0"/>
          <w:numId w:val="0"/>
        </w:numPr>
      </w:pPr>
      <w:r>
        <w:rPr>
          <w:rFonts w:hint="eastAsia" w:ascii="黑体" w:hAnsi="黑体" w:eastAsia="黑体"/>
        </w:rPr>
        <w:t>12.1.7</w:t>
      </w:r>
      <w:r>
        <w:rPr>
          <w:rFonts w:hint="eastAsia"/>
        </w:rPr>
        <w:t>　装配式住宅安装精度高、节点构造复杂，批量施工前需选取代表性单元试安装。通过试安装验证施工工艺、安装精度及工序合理性，试安装验收合格后方可大面积施工，有效规避批量质量缺陷。</w:t>
      </w:r>
    </w:p>
    <w:p>
      <w:pPr>
        <w:pStyle w:val="42"/>
        <w:numPr>
          <w:ilvl w:val="2"/>
          <w:numId w:val="0"/>
        </w:numPr>
        <w:spacing w:before="156" w:after="156"/>
      </w:pPr>
      <w:bookmarkStart w:id="323" w:name="_Toc6704"/>
      <w:r>
        <w:rPr>
          <w:rFonts w:hint="eastAsia" w:hAnsi="Times New Roman"/>
          <w:color w:val="000000"/>
        </w:rPr>
        <w:t>12.2　</w:t>
      </w:r>
      <w:r>
        <w:rPr>
          <w:rFonts w:hint="eastAsia"/>
        </w:rPr>
        <w:t>分部工程、分项工程与检验批的划分</w:t>
      </w:r>
      <w:bookmarkEnd w:id="323"/>
    </w:p>
    <w:p>
      <w:pPr>
        <w:pStyle w:val="46"/>
        <w:numPr>
          <w:ilvl w:val="0"/>
          <w:numId w:val="0"/>
        </w:numPr>
      </w:pPr>
      <w:r>
        <w:rPr>
          <w:rFonts w:hint="eastAsia" w:ascii="黑体" w:hAnsi="黑体" w:eastAsia="黑体"/>
        </w:rPr>
        <w:t>12.2.1</w:t>
      </w:r>
      <w:r>
        <w:rPr>
          <w:rFonts w:hint="eastAsia"/>
        </w:rPr>
        <w:t>　本条明确各分部工程对应验收依据，统一省内装配式住宅各专业验收标准。对暂无国标、行标覆盖的新型装配式构造，由建设单位牵头参建各方共同制定验收要求，填补标准空白，保障验收有据可依。</w:t>
      </w:r>
    </w:p>
    <w:p>
      <w:pPr>
        <w:pStyle w:val="46"/>
        <w:numPr>
          <w:ilvl w:val="0"/>
          <w:numId w:val="0"/>
        </w:numPr>
      </w:pPr>
      <w:r>
        <w:rPr>
          <w:rFonts w:hint="eastAsia" w:ascii="黑体" w:hAnsi="黑体" w:eastAsia="黑体"/>
        </w:rPr>
        <w:t>12.2.2</w:t>
      </w:r>
      <w:r>
        <w:rPr>
          <w:rFonts w:hint="eastAsia"/>
        </w:rPr>
        <w:t>　本条结合钢结构装配式住宅系统集成特点，细化主体、楼板、钢管混凝土、围护、内装、设备管线等分部分项划分，适配工厂预制、现场装配的施工模式，解决传统土建分项划分不适配装配式工程的问题。</w:t>
      </w:r>
    </w:p>
    <w:p>
      <w:pPr>
        <w:pStyle w:val="46"/>
        <w:numPr>
          <w:ilvl w:val="0"/>
          <w:numId w:val="0"/>
        </w:numPr>
      </w:pPr>
      <w:r>
        <w:rPr>
          <w:rFonts w:hint="eastAsia" w:ascii="黑体" w:hAnsi="黑体" w:eastAsia="黑体"/>
        </w:rPr>
        <w:t>12.2.3</w:t>
      </w:r>
      <w:r>
        <w:rPr>
          <w:rFonts w:hint="eastAsia"/>
        </w:rPr>
        <w:t>　本条针对不同施工工序，细化检验批划分方式。根据材料进场批次、施工流水段、楼层、单元、变形缝等灵活划分检验批，贴合装配式施工节奏，保证检验抽样均匀、合理、具有代表性。</w:t>
      </w:r>
    </w:p>
    <w:p>
      <w:pPr>
        <w:pStyle w:val="46"/>
        <w:numPr>
          <w:ilvl w:val="0"/>
          <w:numId w:val="0"/>
        </w:numPr>
      </w:pPr>
      <w:r>
        <w:rPr>
          <w:rFonts w:hint="eastAsia" w:ascii="黑体" w:hAnsi="黑体" w:eastAsia="黑体"/>
        </w:rPr>
        <w:t>12.2.4</w:t>
      </w:r>
      <w:r>
        <w:rPr>
          <w:rFonts w:hint="eastAsia"/>
        </w:rPr>
        <w:t>　检验批划分是质量验收的基础，划分方案需经监理或建设单位技术负责人确认留存，确保验收批次统一、流程规范、资料可追溯。</w:t>
      </w:r>
    </w:p>
    <w:p>
      <w:pPr>
        <w:pStyle w:val="42"/>
        <w:numPr>
          <w:ilvl w:val="2"/>
          <w:numId w:val="0"/>
        </w:numPr>
        <w:spacing w:before="156" w:after="156"/>
      </w:pPr>
      <w:bookmarkStart w:id="324" w:name="_Toc18994"/>
      <w:r>
        <w:rPr>
          <w:rFonts w:hint="eastAsia" w:hAnsi="Times New Roman"/>
          <w:color w:val="000000"/>
        </w:rPr>
        <w:t>12.3　</w:t>
      </w:r>
      <w:r>
        <w:rPr>
          <w:rFonts w:hint="eastAsia"/>
        </w:rPr>
        <w:t>检验检测</w:t>
      </w:r>
      <w:bookmarkEnd w:id="324"/>
    </w:p>
    <w:p>
      <w:pPr>
        <w:pStyle w:val="46"/>
        <w:numPr>
          <w:ilvl w:val="0"/>
          <w:numId w:val="0"/>
        </w:numPr>
      </w:pPr>
      <w:r>
        <w:rPr>
          <w:rFonts w:hint="eastAsia" w:ascii="黑体" w:hAnsi="黑体" w:eastAsia="黑体"/>
        </w:rPr>
        <w:t>12.3.1</w:t>
      </w:r>
      <w:r>
        <w:rPr>
          <w:rFonts w:hint="eastAsia"/>
        </w:rPr>
        <w:t>　本条规定原材料及成品的进场检验要求。对钢材、焊材、紧固件、涂装材料等构配件，要求进场核查质量证明文件，并按规范抽样复验。针对高强螺栓、焊接材料、防腐及防火涂料分别明确专项核查、抽检、禁用条件，从源头控制主材质量，杜绝不合格材料用于工程。</w:t>
      </w:r>
    </w:p>
    <w:p>
      <w:pPr>
        <w:pStyle w:val="46"/>
        <w:numPr>
          <w:ilvl w:val="0"/>
          <w:numId w:val="0"/>
        </w:numPr>
      </w:pPr>
      <w:r>
        <w:rPr>
          <w:rFonts w:hint="eastAsia" w:ascii="黑体" w:hAnsi="黑体" w:eastAsia="黑体"/>
        </w:rPr>
        <w:t>12.3.2</w:t>
      </w:r>
      <w:r>
        <w:rPr>
          <w:rFonts w:hint="eastAsia"/>
        </w:rPr>
        <w:t>　本条明确施工过程关键工序检验要求。对焊缝无损检测范围、比例及执行标准作出明确规定，严控焊接质量。规范高强螺栓紧固施工工序及现场抽检节点、数量要求。对构件安装实行过程跟踪测量，压型金属板安装完成后开展隐蔽验收，确保施工过程质量可控、可查。</w:t>
      </w:r>
    </w:p>
    <w:p>
      <w:pPr>
        <w:pStyle w:val="46"/>
        <w:numPr>
          <w:ilvl w:val="0"/>
          <w:numId w:val="0"/>
        </w:numPr>
      </w:pPr>
      <w:r>
        <w:rPr>
          <w:rFonts w:hint="eastAsia" w:ascii="黑体" w:hAnsi="黑体" w:eastAsia="黑体"/>
        </w:rPr>
        <w:t>12.3.3</w:t>
      </w:r>
      <w:r>
        <w:rPr>
          <w:rFonts w:hint="eastAsia"/>
        </w:rPr>
        <w:t>　本条统一主体结构构件安装位置及变形检测标准。明确基础、柱支承面、地脚螺栓、钢柱安装等关键部位的允许偏差控制要求，构件变形、结构整体垂直度及平面弯曲均按现行国家标准执行，保证主体结构安装精度及整体受力稳定。</w:t>
      </w:r>
    </w:p>
    <w:p>
      <w:pPr>
        <w:pStyle w:val="46"/>
        <w:numPr>
          <w:ilvl w:val="0"/>
          <w:numId w:val="0"/>
        </w:numPr>
      </w:pPr>
      <w:r>
        <w:rPr>
          <w:rFonts w:hint="eastAsia" w:ascii="黑体" w:hAnsi="黑体" w:eastAsia="黑体"/>
        </w:rPr>
        <w:t>12.3.4</w:t>
      </w:r>
      <w:r>
        <w:rPr>
          <w:rFonts w:hint="eastAsia"/>
        </w:rPr>
        <w:t>　本条明确钢结构防腐、防火涂层厚度检测要求。涂层厚度严格按照设计及现行通用规范执行，确保钢结构防腐耐久性能、防火性能满足工程设计及使用要求。</w:t>
      </w:r>
    </w:p>
    <w:p>
      <w:pPr>
        <w:pStyle w:val="46"/>
        <w:numPr>
          <w:ilvl w:val="0"/>
          <w:numId w:val="0"/>
        </w:numPr>
      </w:pPr>
      <w:r>
        <w:rPr>
          <w:rFonts w:hint="eastAsia" w:ascii="黑体" w:hAnsi="黑体" w:eastAsia="黑体"/>
        </w:rPr>
        <w:t>12.3.5</w:t>
      </w:r>
      <w:r>
        <w:rPr>
          <w:rFonts w:hint="eastAsia"/>
        </w:rPr>
        <w:t>　本条界定外围护系统验收层级。将外墙、内墙、屋面、门窗整体划为外围护分部工程，统一围护系统验收单元，适配装配式围护一体化建造特点，规范分部验收范围。</w:t>
      </w:r>
    </w:p>
    <w:p>
      <w:pPr>
        <w:pStyle w:val="46"/>
        <w:numPr>
          <w:ilvl w:val="0"/>
          <w:numId w:val="0"/>
        </w:numPr>
      </w:pPr>
      <w:r>
        <w:rPr>
          <w:rFonts w:hint="eastAsia" w:ascii="黑体" w:hAnsi="黑体" w:eastAsia="黑体"/>
        </w:rPr>
        <w:t>12.3.6</w:t>
      </w:r>
      <w:r>
        <w:rPr>
          <w:rFonts w:hint="eastAsia"/>
        </w:rPr>
        <w:t>　本条规范外围护及内隔墙墙体质量验收标准。明确墙板出厂资料核查要求，细化外挂墙板、内隔墙安装尺寸偏差指标及对应检验方法，统一现场实测实量验收尺度，保障装配式墙体安装精度。</w:t>
      </w:r>
    </w:p>
    <w:p>
      <w:pPr>
        <w:pStyle w:val="46"/>
        <w:numPr>
          <w:ilvl w:val="0"/>
          <w:numId w:val="0"/>
        </w:numPr>
      </w:pPr>
      <w:r>
        <w:rPr>
          <w:rFonts w:hint="eastAsia" w:ascii="黑体" w:hAnsi="黑体" w:eastAsia="黑体"/>
        </w:rPr>
        <w:t>12.3.7</w:t>
      </w:r>
      <w:r>
        <w:rPr>
          <w:rFonts w:hint="eastAsia"/>
        </w:rPr>
        <w:t>　本条针对住宅居住性能提出实测要求。通过现场检测隔声、自振频率、传热系数等指标，保障建筑节能、隔声、舒适等使用功能符合设计及居住品质要求。</w:t>
      </w:r>
    </w:p>
    <w:p>
      <w:pPr>
        <w:pStyle w:val="46"/>
        <w:numPr>
          <w:ilvl w:val="0"/>
          <w:numId w:val="0"/>
        </w:numPr>
      </w:pPr>
      <w:r>
        <w:rPr>
          <w:rFonts w:hint="eastAsia" w:ascii="黑体" w:hAnsi="黑体" w:eastAsia="黑体"/>
        </w:rPr>
        <w:t>12.3.8</w:t>
      </w:r>
      <w:r>
        <w:rPr>
          <w:rFonts w:hint="eastAsia"/>
        </w:rPr>
        <w:t>　本条明确分项工程验收基本条件。要求检验批合格、资料齐全、观感质量良好，确保分项工程验收质量完整、合规。</w:t>
      </w:r>
    </w:p>
    <w:p>
      <w:pPr>
        <w:pStyle w:val="42"/>
        <w:numPr>
          <w:ilvl w:val="2"/>
          <w:numId w:val="0"/>
        </w:numPr>
        <w:spacing w:before="156" w:after="156"/>
      </w:pPr>
      <w:bookmarkStart w:id="325" w:name="_Toc13470"/>
      <w:r>
        <w:rPr>
          <w:rFonts w:hint="eastAsia" w:hAnsi="Times New Roman"/>
          <w:color w:val="000000"/>
        </w:rPr>
        <w:t>12.4　</w:t>
      </w:r>
      <w:r>
        <w:rPr>
          <w:rFonts w:hint="eastAsia"/>
        </w:rPr>
        <w:t>质量验收</w:t>
      </w:r>
      <w:bookmarkEnd w:id="325"/>
    </w:p>
    <w:p>
      <w:pPr>
        <w:pStyle w:val="47"/>
        <w:numPr>
          <w:ilvl w:val="3"/>
          <w:numId w:val="0"/>
        </w:numPr>
        <w:spacing w:before="156" w:after="156"/>
        <w:outlineLvl w:val="9"/>
      </w:pPr>
      <w:bookmarkStart w:id="326" w:name="_Toc241070256"/>
      <w:r>
        <w:rPr>
          <w:rFonts w:hint="eastAsia"/>
        </w:rPr>
        <w:t>12.4.1　一般规定</w:t>
      </w:r>
      <w:bookmarkEnd w:id="326"/>
    </w:p>
    <w:p>
      <w:pPr>
        <w:pStyle w:val="39"/>
        <w:ind w:firstLine="420"/>
      </w:pPr>
      <w:r>
        <w:rPr>
          <w:rFonts w:hint="eastAsia"/>
        </w:rPr>
        <w:t>本条明确了湖北省钢结构装配式住宅工程质量验收的双层依据体系，区分国家及地方技术标准与省级行业管理文件两类依据，厘清技术判定与行政管理的边界。其中，GB 50300、GB 50205、GB/T 51232、GB 55032等国家标准为工程质量验收的底线技术依据，所有验收指标不得低于国标强制要求；湖北省地方标准及专项管理文件，用于统一省内装配式住宅验收管控尺度、规范智能建造与质量监管流程。</w:t>
      </w:r>
    </w:p>
    <w:p>
      <w:pPr>
        <w:pStyle w:val="39"/>
        <w:ind w:firstLine="420"/>
      </w:pPr>
      <w:r>
        <w:rPr>
          <w:rFonts w:hint="eastAsia"/>
        </w:rPr>
        <w:t>本规程立足湖北省高湿多雨的地域气候特征与绿色智能建造产业发展需求，针对钢结构装配式住宅节点连接、围护防水、防腐耐久、部品集成等通用标准覆盖不足的专项特性进行细化补充，形成适配本省工程实际的专项验收技术体系，所有细化指标均严于国家及省级通用标准底线，保障工程建造品质。</w:t>
      </w:r>
    </w:p>
    <w:p>
      <w:pPr>
        <w:pStyle w:val="39"/>
        <w:ind w:firstLine="420"/>
      </w:pPr>
      <w:r>
        <w:rPr>
          <w:rFonts w:hint="eastAsia"/>
        </w:rPr>
        <w:t>本条确立了钢结构装配式住宅全过程闭环验收管控原则，覆盖部品生产、进场核验、隐蔽施工、系统安装、专项核查、竣工验收全流程，同步落实部品部件全链条追溯、BIM数字化验收归档要求，实现质量可查、可溯、可复盘。同时明确不合格管控原则，杜绝不合格部品进场、不合格工序流转，从源头把控工程质量。</w:t>
      </w:r>
    </w:p>
    <w:p>
      <w:pPr>
        <w:pStyle w:val="39"/>
        <w:ind w:firstLine="420"/>
      </w:pPr>
      <w:r>
        <w:rPr>
          <w:rFonts w:hint="eastAsia"/>
        </w:rPr>
        <w:t>针对新型钢结构节点、模块化构造、新型集成部品等无现行国标、行标验收依据的创新技术应用场景，明确专项论证的组织主体、实施要求及备案机制。由建设单位牵头组织专家论证，确保验收标准科学合理，论证资料作为专项验收合法依据；同时明确备案为告知性备案，不替代工程质量监督机构的监督职责，规避监管责任风险。</w:t>
      </w:r>
    </w:p>
    <w:p>
      <w:pPr>
        <w:pStyle w:val="47"/>
        <w:numPr>
          <w:ilvl w:val="3"/>
          <w:numId w:val="0"/>
        </w:numPr>
        <w:spacing w:before="156" w:after="156"/>
        <w:outlineLvl w:val="9"/>
      </w:pPr>
      <w:bookmarkStart w:id="327" w:name="_Toc241070257"/>
      <w:r>
        <w:rPr>
          <w:rFonts w:hint="eastAsia"/>
        </w:rPr>
        <w:t>12.4.2　验收划分与验收组织</w:t>
      </w:r>
      <w:bookmarkEnd w:id="327"/>
    </w:p>
    <w:p>
      <w:pPr>
        <w:pStyle w:val="39"/>
        <w:ind w:firstLine="420"/>
      </w:pPr>
      <w:r>
        <w:rPr>
          <w:rFonts w:hint="eastAsia"/>
        </w:rPr>
        <w:t>本条结合装配式钢结构住宅建造特点，补充完善了分项、子分部、分部工程划分原则，在国标通用划分基础上，增设装配式专项检验项目，解决传统验收划分无法适配预制装配施工的行业痛点。明确验收牵头单位、参与单位及监督主体，严格对接湖北省装配式建筑质量监管、联合竣工验收及分户验收管理机制，保证验收组织程序合规、权责清晰。</w:t>
      </w:r>
    </w:p>
    <w:p>
      <w:pPr>
        <w:pStyle w:val="39"/>
        <w:ind w:firstLine="420"/>
      </w:pPr>
      <w:r>
        <w:rPr>
          <w:rFonts w:hint="eastAsia"/>
        </w:rPr>
        <w:t>确立先专项、后综合的核心验收程序，严格按照四大装配系统依次开展实体质量专项验收，区分工程实体质量验收与装配率政策核查的概念边界。装配率为省级装配式建筑政策落实核查项，不属于工程实体质量验收范畴，需在所有实体质量验收合格后开展，杜绝概念混淆，贴合省内工程监管实操要求。</w:t>
      </w:r>
    </w:p>
    <w:p>
      <w:pPr>
        <w:pStyle w:val="39"/>
        <w:ind w:firstLine="420"/>
      </w:pPr>
      <w:r>
        <w:rPr>
          <w:rFonts w:hint="eastAsia"/>
        </w:rPr>
        <w:t>压实建设单位质量首要责任，明确分户验收的实施节点为竣工验收前，将分户验收结果作为竣工验收的必备前置资料。结合湖北省“好房子”建设专项要求，聚焦结构安全、防水防渗、隔声节能、室内环境等民生关键品质指标，针对性提升钢结构装配式住宅居住舒适度与综合品质，贴合本省住宅工程质量提升导向。</w:t>
      </w:r>
    </w:p>
    <w:p>
      <w:pPr>
        <w:pStyle w:val="47"/>
        <w:numPr>
          <w:ilvl w:val="3"/>
          <w:numId w:val="0"/>
        </w:numPr>
        <w:spacing w:before="156" w:after="156"/>
        <w:outlineLvl w:val="9"/>
      </w:pPr>
      <w:bookmarkStart w:id="328" w:name="_Toc241070258"/>
      <w:r>
        <w:rPr>
          <w:rFonts w:hint="eastAsia"/>
        </w:rPr>
        <w:t>12.4.3　部品部件质量验收</w:t>
      </w:r>
      <w:bookmarkEnd w:id="328"/>
    </w:p>
    <w:p>
      <w:pPr>
        <w:pStyle w:val="39"/>
        <w:ind w:firstLine="420"/>
      </w:pPr>
      <w:r>
        <w:rPr>
          <w:rFonts w:hint="eastAsia"/>
        </w:rPr>
        <w:t>部品部件工厂预制、现场装配是钢结构装配式住宅的核心特征，进场验收是源头质量管控的关键环节。本条明确各类钢构件、围护部品、内装及管线集成部品的进场核查资料清单，细化构件唯一标识、追溯台账的具体要求，实现部品从生产、运输、进场、安装的全生命周期溯源，落实省内装配式建筑全过程追溯管控要求。同时明确不合格部品退场机制，严禁不合格产品投入工程使用。</w:t>
      </w:r>
    </w:p>
    <w:p>
      <w:pPr>
        <w:pStyle w:val="39"/>
        <w:ind w:firstLine="420"/>
      </w:pPr>
      <w:r>
        <w:rPr>
          <w:rFonts w:hint="eastAsia"/>
        </w:rPr>
        <w:t>紧扣鄂政办发〔2025〕42号文件关于装配式建筑标准化、集成化、规模化的发展要求，将构件标准化、接口通用化纳入核心验收内容。结合湖北省高湿、多雨、昼夜温差大的地域气候特点，重点强化钢结构拼接精度、防腐防火涂层完整性、密封构造可靠性的验收管控，有效规避本省气候条件下易出现的结构锈蚀、接缝渗水、耐久性能不足等质量通病。</w:t>
      </w:r>
    </w:p>
    <w:p>
      <w:pPr>
        <w:pStyle w:val="47"/>
        <w:numPr>
          <w:ilvl w:val="3"/>
          <w:numId w:val="0"/>
        </w:numPr>
        <w:spacing w:before="156" w:after="156"/>
        <w:outlineLvl w:val="9"/>
      </w:pPr>
      <w:bookmarkStart w:id="329" w:name="_Toc241070259"/>
      <w:r>
        <w:rPr>
          <w:rFonts w:hint="eastAsia"/>
        </w:rPr>
        <w:t>12.4.4　结构系统质量验收</w:t>
      </w:r>
      <w:bookmarkEnd w:id="329"/>
    </w:p>
    <w:p>
      <w:pPr>
        <w:pStyle w:val="39"/>
        <w:ind w:firstLine="420"/>
      </w:pPr>
      <w:r>
        <w:rPr>
          <w:rFonts w:hint="eastAsia"/>
        </w:rPr>
        <w:t>针对钢结构工程核心质量控制点，区分资料核查与实体检验两类验收要求。钢结构节点连接、高强螺栓施工、焊接工程、防腐防火及隐蔽构造的验收资料需完整齐全，隐蔽工程全数核查，实体安装质量按国标规范抽样检验，解决了原条文表述歧义问题，兼顾验收合规性与实操性，保障钢结构主体结构安全、耐久、可靠。</w:t>
      </w:r>
    </w:p>
    <w:p>
      <w:pPr>
        <w:pStyle w:val="39"/>
        <w:ind w:firstLine="420"/>
      </w:pPr>
      <w:r>
        <w:rPr>
          <w:rFonts w:hint="eastAsia"/>
        </w:rPr>
        <w:t>落实湖北省绿色智能建造数字化管控政策，将BIM竣工模型校核纳入结构系统专项验收内容。明确BIM模型的深度、信息粒度需满足省内数字化交付与归档标准，要求模型与实体工程完全一致，实现施工过程、质量验收、竣工归档的数字化闭环管理，推动传统质量验收向智能数字化验收转型，适配本省智能建造产业发展要求。</w:t>
      </w:r>
    </w:p>
    <w:p>
      <w:pPr>
        <w:pStyle w:val="47"/>
        <w:numPr>
          <w:ilvl w:val="3"/>
          <w:numId w:val="0"/>
        </w:numPr>
        <w:spacing w:before="156" w:after="156"/>
        <w:outlineLvl w:val="9"/>
      </w:pPr>
      <w:bookmarkStart w:id="330" w:name="_Toc241070260"/>
      <w:r>
        <w:rPr>
          <w:rFonts w:hint="eastAsia"/>
        </w:rPr>
        <w:t>12.4.5　外围护系统质量验收</w:t>
      </w:r>
      <w:bookmarkEnd w:id="330"/>
    </w:p>
    <w:p>
      <w:pPr>
        <w:pStyle w:val="39"/>
        <w:ind w:firstLine="420"/>
      </w:pPr>
      <w:r>
        <w:rPr>
          <w:rFonts w:hint="eastAsia"/>
        </w:rPr>
        <w:t>外围护系统是适配湖北区域气候、保障住宅节能防水与居住舒适度的核心系统。本条将预制保温外墙、接缝密封、防水排水、变形适配构造列为主控验收项目，针对性强化外墙水密性、气密性现场抽样检测要求，有效应对本省雨季长、湿度大、雨水渗透风险高的地域特点，从验收环节杜绝外墙渗漏、结露、气密不足等常见质量问题。</w:t>
      </w:r>
    </w:p>
    <w:p>
      <w:pPr>
        <w:pStyle w:val="39"/>
        <w:ind w:firstLine="420"/>
      </w:pPr>
      <w:r>
        <w:rPr>
          <w:rFonts w:hint="eastAsia"/>
        </w:rPr>
        <w:t>同步考量钢结构装配式建筑变形特性，重点核查外围护系统与主体结构的变形适配能力，避免结构微变形导致的墙板开裂、密封失效、防水破损等隐患，保障外围护系统长期使用的稳定性与耐久性。</w:t>
      </w:r>
    </w:p>
    <w:p>
      <w:pPr>
        <w:pStyle w:val="47"/>
        <w:numPr>
          <w:ilvl w:val="3"/>
          <w:numId w:val="0"/>
        </w:numPr>
        <w:spacing w:before="156" w:after="156"/>
        <w:outlineLvl w:val="9"/>
      </w:pPr>
      <w:bookmarkStart w:id="331" w:name="_Toc241070261"/>
      <w:r>
        <w:rPr>
          <w:rFonts w:hint="eastAsia"/>
        </w:rPr>
        <w:t>12.4.6　设备管线系统质量验收</w:t>
      </w:r>
      <w:bookmarkEnd w:id="331"/>
    </w:p>
    <w:p>
      <w:pPr>
        <w:pStyle w:val="39"/>
        <w:ind w:firstLine="420"/>
      </w:pPr>
      <w:r>
        <w:rPr>
          <w:rFonts w:hint="eastAsia"/>
        </w:rPr>
        <w:t>本条为新增专项验收条文，补齐原规程设备管线系统验收缺项，贴合装配式钢结构住宅管线分离的核心技术特征。重点规范管线接口、支吊架固定、穿越结构及围护节点的密封与变形适配验收要求，解决传统管线预埋方式适配性差、维修不便、易产生渗漏隐患的问题。</w:t>
      </w:r>
    </w:p>
    <w:p>
      <w:pPr>
        <w:pStyle w:val="39"/>
        <w:ind w:firstLine="420"/>
      </w:pPr>
      <w:r>
        <w:rPr>
          <w:rFonts w:hint="eastAsia"/>
        </w:rPr>
        <w:t>要求管线安装资料同步关联BIM竣工模型，实现设备管线安装质量数字化可追溯，匹配湖北省智能建造、数字化验收的整体管控体系，提升装配式住宅管线系统安装精度与后期运维便捷性。</w:t>
      </w:r>
    </w:p>
    <w:p>
      <w:pPr>
        <w:pStyle w:val="47"/>
        <w:numPr>
          <w:ilvl w:val="3"/>
          <w:numId w:val="0"/>
        </w:numPr>
        <w:spacing w:before="156" w:after="156"/>
        <w:outlineLvl w:val="9"/>
      </w:pPr>
      <w:bookmarkStart w:id="332" w:name="_Toc241070262"/>
      <w:r>
        <w:rPr>
          <w:rFonts w:hint="eastAsia"/>
        </w:rPr>
        <w:t>12.4.7　装配式内装系统质量验收</w:t>
      </w:r>
      <w:bookmarkEnd w:id="332"/>
    </w:p>
    <w:p>
      <w:pPr>
        <w:pStyle w:val="39"/>
        <w:ind w:firstLine="420"/>
      </w:pPr>
      <w:r>
        <w:rPr>
          <w:rFonts w:hint="eastAsia"/>
        </w:rPr>
        <w:t>针对装配式隔墙、架空地面、集成厨卫、集成吊顶等工业化内装部品，明确核心验收管控要点。重点核查内装部品与主体结构、外围护系统的衔接精度、连接可靠性、密封防水性能及变形适配能力，适配钢结构主体变形特性，规避内装开裂、空鼓、渗水、松动等质量通病。</w:t>
      </w:r>
    </w:p>
    <w:p>
      <w:pPr>
        <w:pStyle w:val="39"/>
        <w:ind w:firstLine="420"/>
      </w:pPr>
      <w:r>
        <w:rPr>
          <w:rFonts w:hint="eastAsia"/>
        </w:rPr>
        <w:t>聚焦住宅民生品质，将厨卫防水、室内密封、拼接平整度等关键指标作为验收重点，契合湖北省“好房子”建设对居住舒适度、精细化建造的品质要求，全面提升装配式住宅内装工程整体质量与使用耐久性。</w:t>
      </w:r>
    </w:p>
    <w:p>
      <w:pPr>
        <w:pStyle w:val="47"/>
        <w:numPr>
          <w:ilvl w:val="3"/>
          <w:numId w:val="0"/>
        </w:numPr>
        <w:spacing w:before="156" w:after="156"/>
        <w:outlineLvl w:val="9"/>
      </w:pPr>
      <w:bookmarkStart w:id="333" w:name="_Toc241070263"/>
      <w:r>
        <w:rPr>
          <w:rFonts w:hint="eastAsia"/>
        </w:rPr>
        <w:t>12.4.8　竣工验收专项核查</w:t>
      </w:r>
      <w:bookmarkEnd w:id="333"/>
    </w:p>
    <w:p>
      <w:pPr>
        <w:pStyle w:val="39"/>
        <w:ind w:firstLine="420"/>
      </w:pPr>
      <w:r>
        <w:rPr>
          <w:rFonts w:hint="eastAsia"/>
        </w:rPr>
        <w:t>本条明确湖北省钢结构装配式住宅竣工验收的地方专属专项核查内容，在国家常规竣工验收基础上，新增装配率达标核查、部品全流程追溯台账、BIM数字化归档资料、智能建造实施记录四项必备核查项，严格落实鄂政办发〔2025〕42号及省内装配式质量监管要点要求，体现本省装配式住宅验收的差异化、精细化管控特色。</w:t>
      </w:r>
    </w:p>
    <w:p>
      <w:pPr>
        <w:pStyle w:val="39"/>
        <w:ind w:firstLine="420"/>
      </w:pPr>
      <w:r>
        <w:rPr>
          <w:rFonts w:hint="eastAsia"/>
        </w:rPr>
        <w:t>统一所有装配式专项验收、数字化验收、性能检测资料的归档管理要求，将专项核查结果纳入工程联合竣工验收体系。明确装配式专项核查不合格不得组织竣工联合验收，既压实装配式建造与智能建造管控要求，又严格界定管控边界，不突破上位规范底线，确保条文合规、严谨、可落地。</w:t>
      </w:r>
    </w:p>
    <w:p>
      <w:pPr>
        <w:pStyle w:val="41"/>
        <w:numPr>
          <w:ilvl w:val="1"/>
          <w:numId w:val="0"/>
        </w:numPr>
        <w:spacing w:before="312" w:after="312"/>
      </w:pPr>
      <w:bookmarkStart w:id="334" w:name="_Toc13942"/>
      <w:r>
        <w:rPr>
          <w:rFonts w:hint="eastAsia"/>
        </w:rPr>
        <w:t>13　绿色智能建造</w:t>
      </w:r>
      <w:bookmarkEnd w:id="334"/>
    </w:p>
    <w:p>
      <w:pPr>
        <w:pStyle w:val="39"/>
        <w:ind w:firstLine="420"/>
      </w:pPr>
      <w:r>
        <w:rPr>
          <w:rFonts w:hint="eastAsia"/>
        </w:rPr>
        <w:t>本章依据中共中央办公厅、国务院办公厅《关于推动城乡建设绿色发展的意见》（中办发〔2021〕37号）、住房和城乡建设部等部门《关于加快新型建筑工业化发展的若干意见》（建标规〔2020〕8号）、住房城乡建设部《智能建造技术导则（试行）》及湖北省人民政府办公厅《关于加快推进绿色智能建造产业发展的实施意见》（鄂政办发〔2025〕42号）等文件制定。钢结构装配式住宅以工厂化生产、现场装配为主要建造方式，部品部件标准化、集成化程度高，与数字化、网络化、智能化技术结合条件充分，本章结合这一特点，对其设计、生产、施工、交付等环节的绿色智能建造技术应用提出要求。</w:t>
      </w:r>
    </w:p>
    <w:p>
      <w:pPr>
        <w:pStyle w:val="42"/>
        <w:numPr>
          <w:ilvl w:val="2"/>
          <w:numId w:val="0"/>
        </w:numPr>
        <w:spacing w:before="156" w:after="156"/>
      </w:pPr>
      <w:bookmarkStart w:id="335" w:name="_Toc7241"/>
      <w:r>
        <w:rPr>
          <w:rFonts w:hint="eastAsia" w:hAnsi="Times New Roman"/>
          <w:color w:val="000000"/>
        </w:rPr>
        <w:t>13.1　</w:t>
      </w:r>
      <w:r>
        <w:rPr>
          <w:rFonts w:hint="eastAsia"/>
        </w:rPr>
        <w:t>一般规定</w:t>
      </w:r>
      <w:bookmarkEnd w:id="335"/>
    </w:p>
    <w:p>
      <w:pPr>
        <w:pStyle w:val="46"/>
        <w:numPr>
          <w:ilvl w:val="3"/>
          <w:numId w:val="0"/>
        </w:numPr>
      </w:pPr>
      <w:r>
        <w:rPr>
          <w:rFonts w:hint="eastAsia" w:ascii="黑体" w:eastAsia="黑体"/>
        </w:rPr>
        <w:t>13.1.1　</w:t>
      </w:r>
      <w:r>
        <w:rPr>
          <w:rFonts w:hint="eastAsia"/>
        </w:rPr>
        <w:t>钢结构装配式住宅是智能建造技术集成应用的重点领域。本条以工业化为基础，对设计、生产、施工、运维全过程绿色化、数字化协同与精益化管理提出总体要求，与《智能建造技术导则（试行）》提出的以“提品质、降成本”为目标，提升建筑业工业化、数字化、绿色化水平的要求相一致。</w:t>
      </w:r>
    </w:p>
    <w:p>
      <w:pPr>
        <w:pStyle w:val="46"/>
        <w:numPr>
          <w:ilvl w:val="3"/>
          <w:numId w:val="0"/>
        </w:numPr>
      </w:pPr>
      <w:r>
        <w:rPr>
          <w:rFonts w:hint="eastAsia" w:ascii="黑体" w:eastAsia="黑体"/>
        </w:rPr>
        <w:t>13.1.2　</w:t>
      </w:r>
      <w:r>
        <w:rPr>
          <w:rFonts w:hint="eastAsia"/>
        </w:rPr>
        <w:t>BIM技术是贯通勘察、设计、生产、施工、验收、运维、消纳各环节数据、保证数据同源可追溯的核心手段。湖北省工程建设管理BIM云平台已实现从规划、图审、工地到验收、归档的全流程BIM监管，绿色智能建造产业互联网平台为产业链各参与方提供资源共享与业务协同支撑，项目数据接入上述平台，可实现与行业监管和服务平台的数据互通。</w:t>
      </w:r>
    </w:p>
    <w:p>
      <w:pPr>
        <w:pStyle w:val="46"/>
        <w:numPr>
          <w:ilvl w:val="3"/>
          <w:numId w:val="0"/>
        </w:numPr>
      </w:pPr>
      <w:r>
        <w:rPr>
          <w:rFonts w:hint="eastAsia" w:ascii="黑体" w:eastAsia="黑体"/>
        </w:rPr>
        <w:t>13.1.3　</w:t>
      </w:r>
      <w:r>
        <w:rPr>
          <w:rFonts w:hint="eastAsia"/>
        </w:rPr>
        <w:t>本条并非要求每个项目均独立建设数字化管理平台，而是要求当项目配置此类平台时，应具备设计、生产、施工、运维等阶段数据的集成能力，满足多参与方协同和资源优化配置的要求。</w:t>
      </w:r>
    </w:p>
    <w:p>
      <w:pPr>
        <w:pStyle w:val="46"/>
        <w:numPr>
          <w:ilvl w:val="3"/>
          <w:numId w:val="0"/>
        </w:numPr>
      </w:pPr>
      <w:r>
        <w:rPr>
          <w:rFonts w:hint="eastAsia" w:ascii="黑体" w:eastAsia="黑体"/>
        </w:rPr>
        <w:t>13.1.4　</w:t>
      </w:r>
      <w:r>
        <w:rPr>
          <w:rFonts w:hint="eastAsia"/>
        </w:rPr>
        <w:t>“四节一环保”是绿色建造的基本要求。钢结构装配式住宅具有构件工厂化生产、现场湿作业少、钢材可循环利用等特点，本条要求通过智能化手段优化建造过程，降低碳排放，提升建筑全生命期的绿色性能。</w:t>
      </w:r>
    </w:p>
    <w:p>
      <w:pPr>
        <w:pStyle w:val="46"/>
        <w:numPr>
          <w:ilvl w:val="3"/>
          <w:numId w:val="0"/>
        </w:numPr>
      </w:pPr>
      <w:r>
        <w:rPr>
          <w:rFonts w:hint="eastAsia" w:ascii="黑体" w:eastAsia="黑体"/>
        </w:rPr>
        <w:t>13.1.5　</w:t>
      </w:r>
      <w:r>
        <w:rPr>
          <w:rFonts w:hint="eastAsia"/>
        </w:rPr>
        <w:t>本条为鼓励性条款。人工智能算法、数字孪生、建筑机器人、智能装备等技术尚处于快速发展阶段，本规程不作强制要求，项目可结合自身条件和工程特点积极应用。</w:t>
      </w:r>
    </w:p>
    <w:p>
      <w:pPr>
        <w:pStyle w:val="42"/>
        <w:numPr>
          <w:ilvl w:val="2"/>
          <w:numId w:val="0"/>
        </w:numPr>
        <w:spacing w:before="156" w:after="156"/>
      </w:pPr>
      <w:bookmarkStart w:id="336" w:name="_Toc23723"/>
      <w:r>
        <w:rPr>
          <w:rFonts w:hint="eastAsia" w:hAnsi="Times New Roman"/>
          <w:color w:val="000000"/>
        </w:rPr>
        <w:t>13.2　</w:t>
      </w:r>
      <w:r>
        <w:rPr>
          <w:rFonts w:hint="eastAsia"/>
        </w:rPr>
        <w:t>数字化协同设计</w:t>
      </w:r>
      <w:bookmarkEnd w:id="336"/>
    </w:p>
    <w:p>
      <w:pPr>
        <w:pStyle w:val="46"/>
        <w:numPr>
          <w:ilvl w:val="3"/>
          <w:numId w:val="0"/>
        </w:numPr>
      </w:pPr>
      <w:r>
        <w:rPr>
          <w:rFonts w:hint="eastAsia" w:ascii="黑体" w:eastAsia="黑体"/>
        </w:rPr>
        <w:t>13.2.1　</w:t>
      </w:r>
      <w:r>
        <w:rPr>
          <w:rFonts w:hint="eastAsia"/>
        </w:rPr>
        <w:t>正向设计以BIM、AI等数据模型为载体直接形成设计成果，数据随工程进展持续深化，可保证模型与图纸的一致性；若采用“先出图、后建模”的后验证方式，模型在施工准备阶段才介入，发现问题不及时，且设计图纸与模型的一致性难以保证。DFMA（面向制造和装配的设计）方法在设计阶段即考虑工厂生产和现场装配条件，可减少设计变更和返工。</w:t>
      </w:r>
    </w:p>
    <w:p>
      <w:pPr>
        <w:pStyle w:val="46"/>
        <w:numPr>
          <w:ilvl w:val="0"/>
          <w:numId w:val="0"/>
        </w:numPr>
      </w:pPr>
      <w:r>
        <w:rPr>
          <w:rFonts w:hint="eastAsia" w:ascii="黑体" w:hAnsi="黑体" w:eastAsia="黑体"/>
        </w:rPr>
        <w:t>13.2.2～13.2.6</w:t>
      </w:r>
      <w:r>
        <w:rPr>
          <w:rFonts w:hint="eastAsia"/>
        </w:rPr>
        <w:t xml:space="preserve">  各设计阶段BIM应用的深度逐级递进：规划与方案设计阶段侧重场地环境和建筑性能的模拟论证，初步设计阶段侧重技术方案可行性研究，施工图设计阶段通过碰撞检查、图纸校核提高出图质量，深化设计阶段将施工操作规范与施工工艺融入模型。深化设计应在生产前完成并交付完整加工模型，加工图设计应与施工图设计同步开展，确保设计数据向生产环节无缝传递。</w:t>
      </w:r>
    </w:p>
    <w:p>
      <w:pPr>
        <w:pStyle w:val="46"/>
        <w:numPr>
          <w:ilvl w:val="0"/>
          <w:numId w:val="0"/>
        </w:numPr>
      </w:pPr>
      <w:r>
        <w:rPr>
          <w:rFonts w:ascii="黑体" w:hAnsi="黑体" w:eastAsia="黑体"/>
        </w:rPr>
        <w:t>13.2.7</w:t>
      </w:r>
      <w:r>
        <w:t xml:space="preserve">  </w:t>
      </w:r>
      <w:r>
        <w:rPr>
          <w:rFonts w:hint="eastAsia"/>
        </w:rPr>
        <w:t>参数化设计、生成式设计、模块拆分优化等AI辅助设计技术尚处于探索应用阶段，项目可结合工程实际逐步应用。</w:t>
      </w:r>
    </w:p>
    <w:p>
      <w:pPr>
        <w:pStyle w:val="42"/>
        <w:numPr>
          <w:ilvl w:val="2"/>
          <w:numId w:val="0"/>
        </w:numPr>
        <w:spacing w:before="156" w:after="156"/>
      </w:pPr>
      <w:bookmarkStart w:id="337" w:name="_Toc27172"/>
      <w:r>
        <w:rPr>
          <w:rFonts w:hint="eastAsia" w:hAnsi="Times New Roman"/>
          <w:color w:val="000000"/>
        </w:rPr>
        <w:t>13.3　</w:t>
      </w:r>
      <w:r>
        <w:rPr>
          <w:rFonts w:hint="eastAsia"/>
        </w:rPr>
        <w:t>智能化生产与加工</w:t>
      </w:r>
      <w:bookmarkEnd w:id="337"/>
    </w:p>
    <w:p>
      <w:pPr>
        <w:pStyle w:val="46"/>
        <w:numPr>
          <w:ilvl w:val="3"/>
          <w:numId w:val="0"/>
        </w:numPr>
      </w:pPr>
      <w:r>
        <w:rPr>
          <w:rFonts w:hint="eastAsia" w:ascii="黑体" w:eastAsia="黑体"/>
        </w:rPr>
        <w:t>13.3.1　</w:t>
      </w:r>
      <w:r>
        <w:rPr>
          <w:rFonts w:hint="eastAsia"/>
        </w:rPr>
        <w:t>智能化生产管理系统接收设计阶段BIM模型数据，关键生产设备具备数据接口，可实现设计、生产环节的数据贯通，减少人工干预，保证构件加工质量。</w:t>
      </w:r>
    </w:p>
    <w:p>
      <w:pPr>
        <w:pStyle w:val="46"/>
        <w:numPr>
          <w:ilvl w:val="3"/>
          <w:numId w:val="0"/>
        </w:numPr>
      </w:pPr>
      <w:r>
        <w:rPr>
          <w:rFonts w:hint="eastAsia" w:ascii="黑体" w:eastAsia="黑体"/>
        </w:rPr>
        <w:t>13.3.2　</w:t>
      </w:r>
      <w:r>
        <w:rPr>
          <w:rFonts w:hint="eastAsia"/>
        </w:rPr>
        <w:t>本条为钢构件智能生产线的配置要求。条文所列板材加工中心与激光下料中心、智能坡口机器人、总装焊接一体化工作站等设备及系统，是目前钢结构智能生产线的先进配置，项目可根据生产规模、构件类型和实际条件选用，并非要求每个项目均建设智能生产线。</w:t>
      </w:r>
    </w:p>
    <w:p>
      <w:pPr>
        <w:pStyle w:val="46"/>
        <w:numPr>
          <w:ilvl w:val="3"/>
          <w:numId w:val="0"/>
        </w:numPr>
      </w:pPr>
      <w:r>
        <w:rPr>
          <w:rFonts w:hint="eastAsia" w:ascii="黑体" w:eastAsia="黑体"/>
        </w:rPr>
        <w:t>13.3.3　</w:t>
      </w:r>
      <w:r>
        <w:rPr>
          <w:rFonts w:hint="eastAsia"/>
        </w:rPr>
        <w:t>通过条形码、二维码、RFID等标识技术对部品部件进行分类编码，赋予其可流通、可共享、可附加的“数字身份”，是实现部品部件从生产、运输、安装到运维全过程信息追溯的基础，也是数字化竣工交付和智慧运维的前提条件。</w:t>
      </w:r>
    </w:p>
    <w:p>
      <w:pPr>
        <w:pStyle w:val="42"/>
        <w:numPr>
          <w:ilvl w:val="2"/>
          <w:numId w:val="0"/>
        </w:numPr>
        <w:spacing w:before="156" w:after="156"/>
      </w:pPr>
      <w:bookmarkStart w:id="338" w:name="_Toc10573"/>
      <w:r>
        <w:rPr>
          <w:rFonts w:hint="eastAsia" w:hAnsi="Times New Roman"/>
          <w:color w:val="000000"/>
        </w:rPr>
        <w:t>13.4　</w:t>
      </w:r>
      <w:r>
        <w:rPr>
          <w:rFonts w:hint="eastAsia"/>
        </w:rPr>
        <w:t>智能化安装与绿色施工</w:t>
      </w:r>
      <w:bookmarkEnd w:id="338"/>
    </w:p>
    <w:p>
      <w:pPr>
        <w:pStyle w:val="46"/>
        <w:numPr>
          <w:ilvl w:val="3"/>
          <w:numId w:val="0"/>
        </w:numPr>
      </w:pPr>
      <w:r>
        <w:rPr>
          <w:rFonts w:hint="eastAsia" w:ascii="黑体" w:eastAsia="黑体"/>
        </w:rPr>
        <w:t>13.4.1　</w:t>
      </w:r>
      <w:r>
        <w:rPr>
          <w:rFonts w:hint="eastAsia"/>
        </w:rPr>
        <w:t>基于BIM模型开展施工组织模拟和工艺仿真，可在施工前发现场地布置、工序衔接、设备选型等方面存在的问题，减少施工过程中的返工和浪费。</w:t>
      </w:r>
    </w:p>
    <w:p>
      <w:pPr>
        <w:pStyle w:val="46"/>
        <w:numPr>
          <w:ilvl w:val="3"/>
          <w:numId w:val="0"/>
        </w:numPr>
      </w:pPr>
      <w:r>
        <w:rPr>
          <w:rFonts w:hint="eastAsia" w:ascii="黑体" w:eastAsia="黑体"/>
        </w:rPr>
        <w:t>13.4.2　</w:t>
      </w:r>
      <w:r>
        <w:rPr>
          <w:rFonts w:hint="eastAsia"/>
        </w:rPr>
        <w:t>本条针对“危、繁、脏、重”施工环节，推广应用建筑机器人及智能装备，以提高施工质量和效率、保障人员安全。所列装备参考了《智能建造技术导则（试行）》及行业智能建造试点工程实践，装备应用应与工程实际相匹配，成熟一项应用一项。</w:t>
      </w:r>
    </w:p>
    <w:p>
      <w:pPr>
        <w:pStyle w:val="46"/>
        <w:numPr>
          <w:ilvl w:val="3"/>
          <w:numId w:val="0"/>
        </w:numPr>
      </w:pPr>
      <w:r>
        <w:rPr>
          <w:rFonts w:hint="eastAsia" w:ascii="黑体" w:eastAsia="黑体"/>
        </w:rPr>
        <w:t>13.4.3　</w:t>
      </w:r>
      <w:r>
        <w:rPr>
          <w:rFonts w:hint="eastAsia"/>
        </w:rPr>
        <w:t>“人机料法环”全要素智能化管控是智慧工地建设的核心内容。工程物联网为智能建造装备协同作业、路径规划、导航及调度提供通信保障，智慧工地管理系统对人员、机械、物料、技术、环境等要素实行全过程数字化管理。</w:t>
      </w:r>
    </w:p>
    <w:p>
      <w:pPr>
        <w:pStyle w:val="46"/>
        <w:numPr>
          <w:ilvl w:val="3"/>
          <w:numId w:val="0"/>
        </w:numPr>
      </w:pPr>
      <w:r>
        <w:rPr>
          <w:rFonts w:hint="eastAsia" w:ascii="黑体" w:eastAsia="黑体"/>
        </w:rPr>
        <w:t>13.4.4　</w:t>
      </w:r>
      <w:r>
        <w:rPr>
          <w:rFonts w:hint="eastAsia"/>
        </w:rPr>
        <w:t>施工阶段碳排放强度按q=(Q1+Q2+Q3)/W计算，其中Q1、Q2、Q3分别对应范围1、范围2、范围3碳排放量，W为受评项目总产值。要求评分等级达到C级以上，是落实碳达峰碳中和目标、推进绿色低碳建造的基本要求。</w:t>
      </w:r>
    </w:p>
    <w:p>
      <w:pPr>
        <w:pStyle w:val="42"/>
        <w:numPr>
          <w:ilvl w:val="2"/>
          <w:numId w:val="0"/>
        </w:numPr>
        <w:spacing w:before="156" w:after="156"/>
      </w:pPr>
      <w:bookmarkStart w:id="339" w:name="_Toc31426"/>
      <w:r>
        <w:rPr>
          <w:rFonts w:hint="eastAsia" w:hAnsi="Times New Roman"/>
          <w:color w:val="000000"/>
        </w:rPr>
        <w:t>13.5　</w:t>
      </w:r>
      <w:r>
        <w:rPr>
          <w:rFonts w:hint="eastAsia"/>
        </w:rPr>
        <w:t>智能化检测与质量控制</w:t>
      </w:r>
      <w:bookmarkEnd w:id="339"/>
    </w:p>
    <w:p>
      <w:pPr>
        <w:pStyle w:val="46"/>
        <w:numPr>
          <w:ilvl w:val="3"/>
          <w:numId w:val="0"/>
        </w:numPr>
      </w:pPr>
      <w:r>
        <w:rPr>
          <w:rFonts w:hint="eastAsia" w:ascii="黑体" w:eastAsia="黑体"/>
        </w:rPr>
        <w:t>13.5.1　</w:t>
      </w:r>
      <w:r>
        <w:rPr>
          <w:rFonts w:hint="eastAsia"/>
        </w:rPr>
        <w:t>基于BIM的质量管理平台将质量验收标准、验收过程记录、检测报告等信息与模型构件关联，可实现质量信息的可视化、可追溯。</w:t>
      </w:r>
    </w:p>
    <w:p>
      <w:pPr>
        <w:pStyle w:val="46"/>
        <w:numPr>
          <w:ilvl w:val="0"/>
          <w:numId w:val="0"/>
        </w:numPr>
      </w:pPr>
      <w:r>
        <w:rPr>
          <w:rFonts w:hint="eastAsia" w:ascii="黑体" w:hAnsi="黑体" w:eastAsia="黑体"/>
        </w:rPr>
        <w:t>13.5.2～13.5.4</w:t>
      </w:r>
      <w:r>
        <w:rPr>
          <w:rFonts w:hint="eastAsia"/>
        </w:rPr>
        <w:t xml:space="preserve">  钢结构构件、装配式外墙板等部品部件从进场验收到加工过程、现场施工各环节，采用三维激光扫描仪、智能全站仪、焊缝检测机器人、数字化涂层测厚仪等智能化检测设备，检测数据自动上传项目管理平台并与设计模型自动比对，可实现从源头到终端的全过程质量追溯。</w:t>
      </w:r>
    </w:p>
    <w:p>
      <w:pPr>
        <w:pStyle w:val="46"/>
        <w:numPr>
          <w:ilvl w:val="0"/>
          <w:numId w:val="0"/>
        </w:numPr>
      </w:pPr>
      <w:r>
        <w:rPr>
          <w:rFonts w:hint="eastAsia" w:ascii="黑体" w:hAnsi="黑体" w:eastAsia="黑体"/>
        </w:rPr>
        <w:t>13.5.5</w:t>
      </w:r>
      <w:r>
        <w:rPr>
          <w:rFonts w:hint="eastAsia"/>
        </w:rPr>
        <w:t>　钢结构装配式住宅对变形较为敏感，施工过程及完工后的变形监测数据形成建筑结构健康档案，可为运维阶段变形趋势分析和安全评估提供依据。</w:t>
      </w:r>
    </w:p>
    <w:p>
      <w:pPr>
        <w:pStyle w:val="42"/>
        <w:numPr>
          <w:ilvl w:val="2"/>
          <w:numId w:val="0"/>
        </w:numPr>
        <w:spacing w:before="156" w:after="156"/>
      </w:pPr>
      <w:bookmarkStart w:id="340" w:name="_Toc18566"/>
      <w:r>
        <w:rPr>
          <w:rFonts w:hint="eastAsia" w:hAnsi="Times New Roman"/>
          <w:color w:val="000000"/>
        </w:rPr>
        <w:t>13.6　</w:t>
      </w:r>
      <w:r>
        <w:rPr>
          <w:rFonts w:hint="eastAsia"/>
        </w:rPr>
        <w:t>数字化交付</w:t>
      </w:r>
      <w:bookmarkEnd w:id="340"/>
    </w:p>
    <w:p>
      <w:pPr>
        <w:pStyle w:val="46"/>
        <w:numPr>
          <w:ilvl w:val="3"/>
          <w:numId w:val="0"/>
        </w:numPr>
      </w:pPr>
      <w:r>
        <w:rPr>
          <w:rFonts w:hint="eastAsia" w:ascii="黑体" w:eastAsia="黑体"/>
        </w:rPr>
        <w:t>13.6.1　</w:t>
      </w:r>
      <w:r>
        <w:rPr>
          <w:rFonts w:hint="eastAsia"/>
        </w:rPr>
        <w:t>竣工模型是数字化交付的核心成果，模型精细度达到LOD400及以上，其分级依据现行国家标准GB/T 51301，该深度可满足运维管理要求。</w:t>
      </w:r>
    </w:p>
    <w:p>
      <w:pPr>
        <w:pStyle w:val="46"/>
        <w:numPr>
          <w:ilvl w:val="3"/>
          <w:numId w:val="0"/>
        </w:numPr>
      </w:pPr>
      <w:r>
        <w:rPr>
          <w:rFonts w:hint="eastAsia" w:ascii="黑体" w:eastAsia="黑体"/>
        </w:rPr>
        <w:t>13.6.2　</w:t>
      </w:r>
      <w:r>
        <w:rPr>
          <w:rFonts w:hint="eastAsia"/>
        </w:rPr>
        <w:t>本条从接口预留、硬件部署、编码体系、数据基线、质保信息和运维文档六个方面为运维衔接创造条件，可避免运维阶段数据二次转换或重复采集。</w:t>
      </w:r>
    </w:p>
    <w:p>
      <w:pPr>
        <w:pStyle w:val="42"/>
        <w:numPr>
          <w:ilvl w:val="2"/>
          <w:numId w:val="0"/>
        </w:numPr>
        <w:spacing w:before="156" w:after="156"/>
      </w:pPr>
      <w:bookmarkStart w:id="341" w:name="_Toc3074"/>
      <w:r>
        <w:rPr>
          <w:rFonts w:hint="eastAsia" w:hAnsi="Times New Roman"/>
          <w:color w:val="000000"/>
        </w:rPr>
        <w:t>13.7　</w:t>
      </w:r>
      <w:r>
        <w:rPr>
          <w:rFonts w:hint="eastAsia"/>
        </w:rPr>
        <w:t>绿色智能建造评价</w:t>
      </w:r>
      <w:bookmarkEnd w:id="341"/>
    </w:p>
    <w:p>
      <w:pPr>
        <w:pStyle w:val="46"/>
        <w:numPr>
          <w:ilvl w:val="3"/>
          <w:numId w:val="0"/>
        </w:numPr>
      </w:pPr>
      <w:r>
        <w:rPr>
          <w:rFonts w:hint="eastAsia" w:ascii="黑体" w:eastAsia="黑体"/>
        </w:rPr>
        <w:t>13.7.1　</w:t>
      </w:r>
      <w:r>
        <w:rPr>
          <w:rFonts w:hint="eastAsia"/>
        </w:rPr>
        <w:t>本条明确绿色智能建造评价的对象、申报主体和参评基本条件。评价以工程项目建造全过程为对象，申报主体为建设单位或工程总承包单位，评价要求依据湖北省地方标准DB42/T 2159-2023制定，保证与全省智能建造评价体系衔接一致。</w:t>
      </w:r>
    </w:p>
    <w:p>
      <w:pPr>
        <w:pStyle w:val="46"/>
        <w:numPr>
          <w:ilvl w:val="3"/>
          <w:numId w:val="0"/>
        </w:numPr>
      </w:pPr>
      <w:r>
        <w:rPr>
          <w:rFonts w:hint="eastAsia" w:ascii="黑体" w:eastAsia="黑体"/>
        </w:rPr>
        <w:t>13.7.2　</w:t>
      </w:r>
      <w:r>
        <w:rPr>
          <w:rFonts w:hint="eastAsia"/>
        </w:rPr>
        <w:t>评价指标体系由组织与策划、建造过程和品质与价值三类指标组成，总得分加权计算时建造过程权重最高，体现建造过程在评价中的核心地位；评价等级分为A级、AA级、AAA级，钢结构装配式住宅项目至少应达到A级。</w:t>
      </w:r>
    </w:p>
    <w:p>
      <w:pPr>
        <w:pStyle w:val="46"/>
        <w:numPr>
          <w:ilvl w:val="3"/>
          <w:numId w:val="0"/>
        </w:numPr>
      </w:pPr>
      <w:r>
        <w:rPr>
          <w:rFonts w:hint="eastAsia" w:ascii="黑体" w:eastAsia="黑体"/>
        </w:rPr>
        <w:t>13.7.3　</w:t>
      </w:r>
      <w:r>
        <w:rPr>
          <w:rFonts w:hint="eastAsia"/>
        </w:rPr>
        <w:t>评价结果与湖北省智能建造试点认定、工程质量奖和省级工法申报、企业信用评价等政策衔接，可发挥评价的引导和激励作用。</w:t>
      </w:r>
      <w:bookmarkEnd w:id="250"/>
    </w:p>
    <w:p>
      <w:pPr>
        <w:pStyle w:val="46"/>
        <w:numPr>
          <w:ilvl w:val="3"/>
          <w:numId w:val="0"/>
        </w:numPr>
      </w:pPr>
    </w:p>
    <w:p>
      <w:pPr>
        <w:pStyle w:val="46"/>
        <w:numPr>
          <w:ilvl w:val="3"/>
          <w:numId w:val="0"/>
        </w:numPr>
      </w:pPr>
    </w:p>
    <w:p>
      <w:pPr>
        <w:pStyle w:val="46"/>
        <w:numPr>
          <w:ilvl w:val="3"/>
          <w:numId w:val="0"/>
        </w:numPr>
      </w:pPr>
    </w:p>
    <w:p>
      <w:pPr>
        <w:pStyle w:val="46"/>
        <w:numPr>
          <w:ilvl w:val="3"/>
          <w:numId w:val="0"/>
        </w:numPr>
        <w:jc w:val="center"/>
        <w:rPr>
          <w:rFonts w:hint="eastAsia"/>
        </w:rPr>
      </w:pPr>
      <w:r>
        <w:rPr>
          <w:rFonts w:hint="eastAsia"/>
        </w:rPr>
        <w:drawing>
          <wp:inline distT="0" distB="0" distL="0" distR="0">
            <wp:extent cx="1485900" cy="317500"/>
            <wp:effectExtent l="0" t="0" r="0" b="6350"/>
            <wp:docPr id="28" name="图片 28"/>
            <wp:cNvGraphicFramePr/>
            <a:graphic xmlns:a="http://schemas.openxmlformats.org/drawingml/2006/main">
              <a:graphicData uri="http://schemas.openxmlformats.org/drawingml/2006/picture">
                <pic:pic xmlns:pic="http://schemas.openxmlformats.org/drawingml/2006/picture">
                  <pic:nvPicPr>
                    <pic:cNvPr id="28" name="图片 28"/>
                    <pic:cNvPicPr/>
                  </pic:nvPicPr>
                  <pic:blipFill>
                    <a:blip r:embed="rId37">
                      <a:extLst>
                        <a:ext uri="{28A0092B-C50C-407E-A947-70E740481C1C}">
                          <a14:useLocalDpi xmlns:a14="http://schemas.microsoft.com/office/drawing/2010/main" val="false"/>
                        </a:ext>
                      </a:extLst>
                    </a:blip>
                    <a:stretch>
                      <a:fillRect/>
                    </a:stretch>
                  </pic:blipFill>
                  <pic:spPr>
                    <a:xfrm>
                      <a:off x="0" y="0"/>
                      <a:ext cx="1485900" cy="317500"/>
                    </a:xfrm>
                    <a:prstGeom prst="rect">
                      <a:avLst/>
                    </a:prstGeom>
                  </pic:spPr>
                </pic:pic>
              </a:graphicData>
            </a:graphic>
          </wp:inline>
        </w:drawing>
      </w:r>
    </w:p>
    <w:sectPr>
      <w:headerReference r:id="rId17" w:type="default"/>
      <w:footerReference r:id="rId19" w:type="default"/>
      <w:headerReference r:id="rId18" w:type="even"/>
      <w:footerReference r:id="rId20" w:type="even"/>
      <w:pgSz w:w="11906" w:h="16838"/>
      <w:pgMar w:top="1418" w:right="1134" w:bottom="1134" w:left="1134" w:header="1418" w:footer="1134" w:gutter="284"/>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等线">
    <w:altName w:val="汉仪中宋简"/>
    <w:panose1 w:val="02010600030101010101"/>
    <w:charset w:val="86"/>
    <w:family w:val="auto"/>
    <w:pitch w:val="default"/>
    <w:sig w:usb0="00000000" w:usb1="00000000" w:usb2="00000016" w:usb3="00000000" w:csb0="0004000F" w:csb1="00000000"/>
  </w:font>
  <w:font w:name="华文楷体">
    <w:altName w:val="方正楷体_GBK"/>
    <w:panose1 w:val="02010600040101010101"/>
    <w:charset w:val="86"/>
    <w:family w:val="auto"/>
    <w:pitch w:val="default"/>
    <w:sig w:usb0="00000000" w:usb1="00000000" w:usb2="00000000" w:usb3="00000000" w:csb0="0004009F" w:csb1="DFD70000"/>
  </w:font>
  <w:font w:name="Calibri Light">
    <w:altName w:val="DejaVu Sans"/>
    <w:panose1 w:val="020F0302020204030204"/>
    <w:charset w:val="00"/>
    <w:family w:val="swiss"/>
    <w:pitch w:val="default"/>
    <w:sig w:usb0="00000000" w:usb1="00000000" w:usb2="00000009" w:usb3="00000000" w:csb0="000001FF" w:csb1="00000000"/>
  </w:font>
  <w:font w:name="Helvetica">
    <w:altName w:val="DejaVu Sans"/>
    <w:panose1 w:val="020B0604020202020204"/>
    <w:charset w:val="00"/>
    <w:family w:val="swiss"/>
    <w:pitch w:val="default"/>
    <w:sig w:usb0="00000000" w:usb1="00000000" w:usb2="00000009" w:usb3="00000000" w:csb0="000001FF" w:csb1="00000000"/>
  </w:font>
  <w:font w:name="Cambria Math">
    <w:altName w:val="DejaVu Math TeX Gyre"/>
    <w:panose1 w:val="02040503050406030204"/>
    <w:charset w:val="00"/>
    <w:family w:val="roman"/>
    <w:pitch w:val="default"/>
    <w:sig w:usb0="00000000" w:usb1="00000000" w:usb2="02000000"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227"/>
      <w:jc w:val="right"/>
    </w:pPr>
    <w:r>
      <w:fldChar w:fldCharType="begin"/>
    </w:r>
    <w:r>
      <w:instrText xml:space="preserve">PAGE   \* MERGEFORMAT</w:instrText>
    </w:r>
    <w:r>
      <w:fldChar w:fldCharType="separate"/>
    </w:r>
    <w:r>
      <w:rPr>
        <w:lang w:val="zh-CN"/>
      </w:rPr>
      <w:t>V</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227"/>
      <w:jc w:val="left"/>
    </w:pPr>
    <w:r>
      <w:fldChar w:fldCharType="begin"/>
    </w:r>
    <w:r>
      <w:instrText xml:space="preserve"> PAGE   \* MERGEFORMAT \* MERGEFORMAT </w:instrText>
    </w:r>
    <w:r>
      <w:fldChar w:fldCharType="separate"/>
    </w:r>
    <w:r>
      <w:t>IV</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 MERGEFORMAT</w:instrText>
    </w:r>
    <w:r>
      <w:fldChar w:fldCharType="separate"/>
    </w:r>
    <w:r>
      <w:rPr>
        <w:lang w:val="zh-CN"/>
      </w:rPr>
      <w:t>V</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227"/>
      <w:jc w:val="left"/>
    </w:pPr>
    <w:r>
      <w:fldChar w:fldCharType="begin"/>
    </w:r>
    <w:r>
      <w:instrText xml:space="preserve"> PAGE   \* MERGEFORMAT \* MERGEFORMAT </w:instrText>
    </w:r>
    <w:r>
      <w:fldChar w:fldCharType="separate"/>
    </w:r>
    <w:r>
      <w:t>VI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8889"/>
      </w:tabs>
      <w:ind w:right="227"/>
      <w:jc w:val="right"/>
      <w:rPr>
        <w:rFonts w:ascii="宋体" w:hAnsi="宋体"/>
        <w:sz w:val="18"/>
        <w:szCs w:val="18"/>
      </w:rPr>
    </w:pPr>
    <w:r>
      <w:rPr>
        <w:rFonts w:ascii="宋体" w:hAnsi="宋体"/>
        <w:sz w:val="18"/>
        <w:szCs w:val="18"/>
      </w:rPr>
      <w:fldChar w:fldCharType="begin"/>
    </w:r>
    <w:r>
      <w:rPr>
        <w:rFonts w:ascii="宋体" w:hAnsi="宋体"/>
        <w:sz w:val="18"/>
        <w:szCs w:val="18"/>
      </w:rPr>
      <w:instrText xml:space="preserve">PAGE   \* MERGEFORMAT</w:instrText>
    </w:r>
    <w:r>
      <w:rPr>
        <w:rFonts w:ascii="宋体" w:hAnsi="宋体"/>
        <w:sz w:val="18"/>
        <w:szCs w:val="18"/>
      </w:rPr>
      <w:fldChar w:fldCharType="separate"/>
    </w:r>
    <w:r>
      <w:rPr>
        <w:rFonts w:ascii="宋体" w:hAnsi="宋体"/>
        <w:szCs w:val="18"/>
        <w:lang w:val="zh-CN"/>
      </w:rPr>
      <w:t>57</w:t>
    </w:r>
    <w:r>
      <w:rPr>
        <w:rFonts w:ascii="宋体" w:hAnsi="宋体"/>
        <w:sz w:val="18"/>
        <w:szCs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227"/>
      <w:jc w:val="left"/>
      <w:rPr>
        <w:rFonts w:ascii="宋体" w:hAnsi="宋体"/>
        <w:sz w:val="18"/>
        <w:szCs w:val="18"/>
      </w:rPr>
    </w:pPr>
    <w:r>
      <w:rPr>
        <w:rFonts w:ascii="宋体" w:hAnsi="宋体"/>
        <w:sz w:val="18"/>
        <w:szCs w:val="18"/>
      </w:rPr>
      <w:fldChar w:fldCharType="begin"/>
    </w:r>
    <w:r>
      <w:rPr>
        <w:rFonts w:ascii="宋体" w:hAnsi="宋体"/>
        <w:sz w:val="18"/>
        <w:szCs w:val="18"/>
      </w:rPr>
      <w:instrText xml:space="preserve"> PAGE   \* MERGEFORMAT \* MERGEFORMAT </w:instrText>
    </w:r>
    <w:r>
      <w:rPr>
        <w:rFonts w:ascii="宋体" w:hAnsi="宋体"/>
        <w:sz w:val="18"/>
        <w:szCs w:val="18"/>
      </w:rPr>
      <w:fldChar w:fldCharType="separate"/>
    </w:r>
    <w:r>
      <w:rPr>
        <w:rFonts w:ascii="宋体" w:hAnsi="宋体"/>
        <w:szCs w:val="18"/>
      </w:rPr>
      <w:t>58</w:t>
    </w:r>
    <w:r>
      <w:rPr>
        <w:rFonts w:ascii="宋体" w:hAnsi="宋体"/>
        <w:sz w:val="18"/>
        <w:szCs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8889"/>
      </w:tabs>
      <w:ind w:right="227"/>
      <w:jc w:val="right"/>
      <w:rPr>
        <w:rFonts w:ascii="宋体" w:hAnsi="宋体"/>
        <w:sz w:val="18"/>
        <w:szCs w:val="18"/>
      </w:rPr>
    </w:pPr>
    <w:r>
      <w:rPr>
        <w:rFonts w:ascii="宋体" w:hAnsi="宋体"/>
        <w:sz w:val="18"/>
        <w:szCs w:val="18"/>
      </w:rPr>
      <w:fldChar w:fldCharType="begin"/>
    </w:r>
    <w:r>
      <w:rPr>
        <w:rFonts w:ascii="宋体" w:hAnsi="宋体"/>
        <w:sz w:val="18"/>
        <w:szCs w:val="18"/>
      </w:rPr>
      <w:instrText xml:space="preserve">PAGE   \* MERGEFORMAT</w:instrText>
    </w:r>
    <w:r>
      <w:rPr>
        <w:rFonts w:ascii="宋体" w:hAnsi="宋体"/>
        <w:sz w:val="18"/>
        <w:szCs w:val="18"/>
      </w:rPr>
      <w:fldChar w:fldCharType="separate"/>
    </w:r>
    <w:r>
      <w:rPr>
        <w:rFonts w:ascii="宋体" w:hAnsi="宋体"/>
        <w:szCs w:val="18"/>
        <w:lang w:val="zh-CN"/>
      </w:rPr>
      <w:t>61</w:t>
    </w:r>
    <w:r>
      <w:rPr>
        <w:rFonts w:ascii="宋体" w:hAnsi="宋体"/>
        <w:sz w:val="18"/>
        <w:szCs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227"/>
      <w:jc w:val="left"/>
      <w:rPr>
        <w:rFonts w:ascii="宋体" w:hAnsi="宋体"/>
        <w:sz w:val="18"/>
        <w:szCs w:val="18"/>
      </w:rPr>
    </w:pPr>
    <w:r>
      <w:rPr>
        <w:rFonts w:ascii="宋体" w:hAnsi="宋体"/>
        <w:sz w:val="18"/>
        <w:szCs w:val="18"/>
      </w:rPr>
      <w:fldChar w:fldCharType="begin"/>
    </w:r>
    <w:r>
      <w:rPr>
        <w:rFonts w:ascii="宋体" w:hAnsi="宋体"/>
        <w:sz w:val="18"/>
        <w:szCs w:val="18"/>
      </w:rPr>
      <w:instrText xml:space="preserve"> PAGE   \* MERGEFORMAT \* MERGEFORMAT </w:instrText>
    </w:r>
    <w:r>
      <w:rPr>
        <w:rFonts w:ascii="宋体" w:hAnsi="宋体"/>
        <w:sz w:val="18"/>
        <w:szCs w:val="18"/>
      </w:rPr>
      <w:fldChar w:fldCharType="separate"/>
    </w:r>
    <w:r>
      <w:rPr>
        <w:rFonts w:ascii="宋体" w:hAnsi="宋体"/>
        <w:szCs w:val="18"/>
      </w:rPr>
      <w:t>60</w:t>
    </w:r>
    <w:r>
      <w:rPr>
        <w:rFonts w:ascii="宋体" w:hAnsi="宋体"/>
        <w:sz w:val="18"/>
        <w:szCs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tLeast"/>
      <w:jc w:val="right"/>
    </w:pPr>
    <w:r>
      <w:fldChar w:fldCharType="begin"/>
    </w:r>
    <w:r>
      <w:instrText xml:space="preserve"> STYLEREF  标准文件_文件编号  \* MERGEFORMAT </w:instrText>
    </w:r>
    <w:r>
      <w:fldChar w:fldCharType="separate"/>
    </w:r>
    <w:r>
      <w:t>DB42/T XXXX—XXXX</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tLeast"/>
      <w:jc w:val="left"/>
    </w:pPr>
    <w:r>
      <w:fldChar w:fldCharType="begin"/>
    </w:r>
    <w:r>
      <w:instrText xml:space="preserve"> STYLEREF  标准文件_文件编号 \* MERGEFORMAT </w:instrText>
    </w:r>
    <w:r>
      <w:fldChar w:fldCharType="separate"/>
    </w:r>
    <w:r>
      <w:t>DB42/T XXXX—XXXX</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tLeast"/>
      <w:jc w:val="right"/>
    </w:pPr>
    <w:r>
      <w:fldChar w:fldCharType="begin"/>
    </w:r>
    <w:r>
      <w:instrText xml:space="preserve"> STYLEREF  标准文件_文件编号  \* MERGEFORMAT </w:instrText>
    </w:r>
    <w:r>
      <w:fldChar w:fldCharType="separate"/>
    </w:r>
    <w:r>
      <w:t>DB42/T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tLeast"/>
      <w:jc w:val="left"/>
    </w:pPr>
    <w:r>
      <w:fldChar w:fldCharType="begin"/>
    </w:r>
    <w:r>
      <w:instrText xml:space="preserve"> STYLEREF  标准文件_文件编号 \* MERGEFORMAT </w:instrText>
    </w:r>
    <w:r>
      <w:fldChar w:fldCharType="separate"/>
    </w:r>
    <w:r>
      <w:t>DB42/T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t>DB42/T XXXX—XXXX</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t>DB42/T XXXX—XXXX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53F8BD"/>
    <w:multiLevelType w:val="multilevel"/>
    <w:tmpl w:val="8A53F8BD"/>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1">
    <w:nsid w:val="9BF7B1AF"/>
    <w:multiLevelType w:val="multilevel"/>
    <w:tmpl w:val="9BF7B1AF"/>
    <w:lvl w:ilvl="0" w:tentative="0">
      <w:start w:val="1"/>
      <w:numFmt w:val="lowerLetter"/>
      <w:lvlText w:val="%1)"/>
      <w:lvlJc w:val="left"/>
      <w:pPr>
        <w:ind w:left="360" w:hanging="360"/>
      </w:pPr>
      <w:rPr>
        <w:rFonts w:hint="default" w:ascii="宋体" w:hAnsi="宋体" w:eastAsia="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7ED3FEA"/>
    <w:multiLevelType w:val="multilevel"/>
    <w:tmpl w:val="07ED3FEA"/>
    <w:lvl w:ilvl="0" w:tentative="0">
      <w:start w:val="1"/>
      <w:numFmt w:val="none"/>
      <w:pStyle w:val="38"/>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44C50F90"/>
    <w:multiLevelType w:val="multilevel"/>
    <w:tmpl w:val="44C50F90"/>
    <w:lvl w:ilvl="0" w:tentative="0">
      <w:start w:val="1"/>
      <w:numFmt w:val="lowerLetter"/>
      <w:pStyle w:val="44"/>
      <w:lvlText w:val="%1)"/>
      <w:lvlJc w:val="left"/>
      <w:pPr>
        <w:tabs>
          <w:tab w:val="left" w:pos="852"/>
        </w:tabs>
        <w:ind w:left="852" w:hanging="426"/>
      </w:pPr>
      <w:rPr>
        <w:rFonts w:hint="eastAsia" w:ascii="宋体" w:hAnsi="Times New Roman" w:eastAsia="宋体"/>
        <w:b w:val="0"/>
        <w:sz w:val="21"/>
        <w:szCs w:val="21"/>
      </w:rPr>
    </w:lvl>
    <w:lvl w:ilvl="1" w:tentative="0">
      <w:start w:val="1"/>
      <w:numFmt w:val="decimal"/>
      <w:pStyle w:val="73"/>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5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557C2AF5"/>
    <w:multiLevelType w:val="multilevel"/>
    <w:tmpl w:val="557C2AF5"/>
    <w:lvl w:ilvl="0" w:tentative="0">
      <w:start w:val="1"/>
      <w:numFmt w:val="decimal"/>
      <w:pStyle w:val="5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6">
    <w:nsid w:val="646260FA"/>
    <w:multiLevelType w:val="multilevel"/>
    <w:tmpl w:val="646260FA"/>
    <w:lvl w:ilvl="0" w:tentative="0">
      <w:start w:val="1"/>
      <w:numFmt w:val="decimal"/>
      <w:pStyle w:val="45"/>
      <w:suff w:val="nothing"/>
      <w:lvlText w:val="表%1　"/>
      <w:lvlJc w:val="left"/>
      <w:pPr>
        <w:ind w:left="2268" w:firstLine="0"/>
      </w:pPr>
      <w:rPr>
        <w:rFonts w:ascii="黑体" w:hAnsi="黑体" w:eastAsia="黑体"/>
        <w:sz w:val="21"/>
        <w:szCs w:val="21"/>
        <w:lang w:eastAsia="zh-CN"/>
      </w:r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7">
    <w:nsid w:val="657D3FBC"/>
    <w:multiLevelType w:val="multilevel"/>
    <w:tmpl w:val="657D3FBC"/>
    <w:lvl w:ilvl="0" w:tentative="0">
      <w:start w:val="1"/>
      <w:numFmt w:val="upperLetter"/>
      <w:pStyle w:val="48"/>
      <w:suff w:val="nothing"/>
      <w:lvlText w:val="附录%1"/>
      <w:lvlJc w:val="left"/>
      <w:pPr>
        <w:ind w:left="4254" w:firstLine="0"/>
      </w:pPr>
      <w:rPr>
        <w:rFonts w:hint="eastAsia"/>
        <w:spacing w:val="100"/>
      </w:rPr>
    </w:lvl>
    <w:lvl w:ilvl="1" w:tentative="0">
      <w:start w:val="1"/>
      <w:numFmt w:val="decimal"/>
      <w:suff w:val="nothing"/>
      <w:lvlText w:val="%1.%2　"/>
      <w:lvlJc w:val="left"/>
      <w:pPr>
        <w:ind w:left="568" w:firstLine="0"/>
      </w:pPr>
      <w:rPr>
        <w:rFonts w:hint="eastAsia" w:ascii="黑体" w:eastAsia="黑体"/>
        <w:b w:val="0"/>
        <w:i w:val="0"/>
        <w:color w:val="auto"/>
        <w:sz w:val="21"/>
      </w:rPr>
    </w:lvl>
    <w:lvl w:ilvl="2" w:tentative="0">
      <w:start w:val="1"/>
      <w:numFmt w:val="decimal"/>
      <w:suff w:val="nothing"/>
      <w:lvlText w:val="%1.%2.%3　"/>
      <w:lvlJc w:val="left"/>
      <w:pPr>
        <w:ind w:left="0" w:firstLine="0"/>
      </w:pPr>
      <w:rPr>
        <w:rFonts w:hint="eastAsia" w:ascii="黑体" w:eastAsia="黑体"/>
        <w:b w:val="0"/>
        <w:i w:val="0"/>
        <w:sz w:val="21"/>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41"/>
      <w:suff w:val="nothing"/>
      <w:lvlText w:val="%1%2　"/>
      <w:lvlJc w:val="left"/>
      <w:pPr>
        <w:ind w:left="0" w:firstLine="0"/>
      </w:pPr>
      <w:rPr>
        <w:rFonts w:hint="eastAsia" w:ascii="黑体" w:eastAsia="黑体"/>
        <w:b w:val="0"/>
        <w:i w:val="0"/>
        <w:sz w:val="21"/>
      </w:rPr>
    </w:lvl>
    <w:lvl w:ilvl="2" w:tentative="0">
      <w:start w:val="1"/>
      <w:numFmt w:val="decimal"/>
      <w:pStyle w:val="42"/>
      <w:suff w:val="nothing"/>
      <w:lvlText w:val="%1%2.%3　"/>
      <w:lvlJc w:val="left"/>
      <w:pPr>
        <w:ind w:left="142"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47"/>
      <w:suff w:val="nothing"/>
      <w:lvlText w:val="%1%2.%3.%4　"/>
      <w:lvlJc w:val="left"/>
      <w:pPr>
        <w:ind w:left="568"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2"/>
  </w:num>
  <w:num w:numId="3">
    <w:abstractNumId w:val="8"/>
  </w:num>
  <w:num w:numId="4">
    <w:abstractNumId w:val="3"/>
  </w:num>
  <w:num w:numId="5">
    <w:abstractNumId w:val="6"/>
  </w:num>
  <w:num w:numId="6">
    <w:abstractNumId w:val="7"/>
  </w:num>
  <w:num w:numId="7">
    <w:abstractNumId w:val="4"/>
  </w:num>
  <w:num w:numId="8">
    <w:abstractNumId w:val="5"/>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evenAndOddHeaders w:val="true"/>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2A7AD7"/>
    <w:rsid w:val="00006F2D"/>
    <w:rsid w:val="000542FA"/>
    <w:rsid w:val="000E7847"/>
    <w:rsid w:val="001145FF"/>
    <w:rsid w:val="00126EB9"/>
    <w:rsid w:val="00144E71"/>
    <w:rsid w:val="00152FD3"/>
    <w:rsid w:val="00165EA8"/>
    <w:rsid w:val="00187FC7"/>
    <w:rsid w:val="001927AC"/>
    <w:rsid w:val="001A3551"/>
    <w:rsid w:val="00224724"/>
    <w:rsid w:val="002708D2"/>
    <w:rsid w:val="00277C18"/>
    <w:rsid w:val="002818BE"/>
    <w:rsid w:val="002B49C8"/>
    <w:rsid w:val="002E333A"/>
    <w:rsid w:val="002F4F91"/>
    <w:rsid w:val="00307667"/>
    <w:rsid w:val="00314DBC"/>
    <w:rsid w:val="00316DD8"/>
    <w:rsid w:val="00322F8D"/>
    <w:rsid w:val="00367F40"/>
    <w:rsid w:val="00397026"/>
    <w:rsid w:val="003F3C00"/>
    <w:rsid w:val="00436378"/>
    <w:rsid w:val="00476A94"/>
    <w:rsid w:val="004B1F58"/>
    <w:rsid w:val="00502A2C"/>
    <w:rsid w:val="00502CA9"/>
    <w:rsid w:val="00507451"/>
    <w:rsid w:val="0055704E"/>
    <w:rsid w:val="005827A4"/>
    <w:rsid w:val="005D6F04"/>
    <w:rsid w:val="0066143E"/>
    <w:rsid w:val="006617A0"/>
    <w:rsid w:val="0068342B"/>
    <w:rsid w:val="006B6E2E"/>
    <w:rsid w:val="006C5447"/>
    <w:rsid w:val="006D1C87"/>
    <w:rsid w:val="006D41EA"/>
    <w:rsid w:val="007314DC"/>
    <w:rsid w:val="00764F4D"/>
    <w:rsid w:val="007A17F6"/>
    <w:rsid w:val="007D3E8C"/>
    <w:rsid w:val="007F6D6F"/>
    <w:rsid w:val="00822999"/>
    <w:rsid w:val="00841891"/>
    <w:rsid w:val="00880AE1"/>
    <w:rsid w:val="00892B75"/>
    <w:rsid w:val="008D5BA2"/>
    <w:rsid w:val="008F0588"/>
    <w:rsid w:val="00912864"/>
    <w:rsid w:val="009177AE"/>
    <w:rsid w:val="009500F0"/>
    <w:rsid w:val="00977D2B"/>
    <w:rsid w:val="00991EB0"/>
    <w:rsid w:val="00997015"/>
    <w:rsid w:val="009A3E47"/>
    <w:rsid w:val="009B0FF0"/>
    <w:rsid w:val="00AC7E37"/>
    <w:rsid w:val="00AE2930"/>
    <w:rsid w:val="00AE60DC"/>
    <w:rsid w:val="00AF47EE"/>
    <w:rsid w:val="00B10E26"/>
    <w:rsid w:val="00B11877"/>
    <w:rsid w:val="00B95E27"/>
    <w:rsid w:val="00BF49BD"/>
    <w:rsid w:val="00C5150D"/>
    <w:rsid w:val="00CB7F9F"/>
    <w:rsid w:val="00CD237B"/>
    <w:rsid w:val="00CD4E6A"/>
    <w:rsid w:val="00CE5A18"/>
    <w:rsid w:val="00CE7D12"/>
    <w:rsid w:val="00D17596"/>
    <w:rsid w:val="00D45B23"/>
    <w:rsid w:val="00D63D04"/>
    <w:rsid w:val="00D747C6"/>
    <w:rsid w:val="00D87B2C"/>
    <w:rsid w:val="00D906DB"/>
    <w:rsid w:val="00DB4C46"/>
    <w:rsid w:val="00E025A2"/>
    <w:rsid w:val="00E0389F"/>
    <w:rsid w:val="00E279F1"/>
    <w:rsid w:val="00E311DD"/>
    <w:rsid w:val="00EA18E9"/>
    <w:rsid w:val="00EB740B"/>
    <w:rsid w:val="00EC1219"/>
    <w:rsid w:val="00F0147D"/>
    <w:rsid w:val="00F116CD"/>
    <w:rsid w:val="00F3709A"/>
    <w:rsid w:val="00F61B3C"/>
    <w:rsid w:val="00FD711C"/>
    <w:rsid w:val="00FE74AD"/>
    <w:rsid w:val="00FF0E9E"/>
    <w:rsid w:val="00FF4112"/>
    <w:rsid w:val="019329D2"/>
    <w:rsid w:val="019E4ED3"/>
    <w:rsid w:val="01DA7892"/>
    <w:rsid w:val="01FD445E"/>
    <w:rsid w:val="02165097"/>
    <w:rsid w:val="0221640D"/>
    <w:rsid w:val="022278B2"/>
    <w:rsid w:val="02873BB9"/>
    <w:rsid w:val="02A912FA"/>
    <w:rsid w:val="02E57C4C"/>
    <w:rsid w:val="035166A0"/>
    <w:rsid w:val="036363D4"/>
    <w:rsid w:val="03F441C0"/>
    <w:rsid w:val="0474695D"/>
    <w:rsid w:val="049727D9"/>
    <w:rsid w:val="04AB1DE0"/>
    <w:rsid w:val="04C256F2"/>
    <w:rsid w:val="05502988"/>
    <w:rsid w:val="055B3C3F"/>
    <w:rsid w:val="056A57F8"/>
    <w:rsid w:val="05F94DCD"/>
    <w:rsid w:val="066B5CCB"/>
    <w:rsid w:val="06986394"/>
    <w:rsid w:val="06D3791A"/>
    <w:rsid w:val="07375BAD"/>
    <w:rsid w:val="07A8004B"/>
    <w:rsid w:val="07CB4280"/>
    <w:rsid w:val="085E53BC"/>
    <w:rsid w:val="08D538D0"/>
    <w:rsid w:val="08E7172E"/>
    <w:rsid w:val="09453417"/>
    <w:rsid w:val="096836C6"/>
    <w:rsid w:val="09B554AF"/>
    <w:rsid w:val="09C15C02"/>
    <w:rsid w:val="09C73654"/>
    <w:rsid w:val="09F935EE"/>
    <w:rsid w:val="0A0D52EB"/>
    <w:rsid w:val="0A981059"/>
    <w:rsid w:val="0AA15A9A"/>
    <w:rsid w:val="0B095AB3"/>
    <w:rsid w:val="0B097861"/>
    <w:rsid w:val="0B0C7351"/>
    <w:rsid w:val="0B2E72C7"/>
    <w:rsid w:val="0B7218AA"/>
    <w:rsid w:val="0C2F779B"/>
    <w:rsid w:val="0C540FAF"/>
    <w:rsid w:val="0C8527EA"/>
    <w:rsid w:val="0CC05F80"/>
    <w:rsid w:val="0D5D668F"/>
    <w:rsid w:val="0DBF06AB"/>
    <w:rsid w:val="0DF02F23"/>
    <w:rsid w:val="0E951BD8"/>
    <w:rsid w:val="0EEE7499"/>
    <w:rsid w:val="0F1A028E"/>
    <w:rsid w:val="10DD77C5"/>
    <w:rsid w:val="10ED552F"/>
    <w:rsid w:val="10F25464"/>
    <w:rsid w:val="1146404D"/>
    <w:rsid w:val="11F0177A"/>
    <w:rsid w:val="12366BD3"/>
    <w:rsid w:val="13595A77"/>
    <w:rsid w:val="13C20EF5"/>
    <w:rsid w:val="14A343CA"/>
    <w:rsid w:val="14AF4C61"/>
    <w:rsid w:val="15A06AEA"/>
    <w:rsid w:val="15BE305A"/>
    <w:rsid w:val="16793B66"/>
    <w:rsid w:val="16B36893"/>
    <w:rsid w:val="17686555"/>
    <w:rsid w:val="17A91DF0"/>
    <w:rsid w:val="17EB22CD"/>
    <w:rsid w:val="188624F1"/>
    <w:rsid w:val="18E40145"/>
    <w:rsid w:val="18E62FB0"/>
    <w:rsid w:val="19384D5A"/>
    <w:rsid w:val="19824B64"/>
    <w:rsid w:val="1A734CF7"/>
    <w:rsid w:val="1AB07CF9"/>
    <w:rsid w:val="1B0B13D3"/>
    <w:rsid w:val="1B1262BE"/>
    <w:rsid w:val="1C2837B1"/>
    <w:rsid w:val="1CB95EF7"/>
    <w:rsid w:val="1CC25AC1"/>
    <w:rsid w:val="1CDB26AF"/>
    <w:rsid w:val="1CF0262F"/>
    <w:rsid w:val="1E164317"/>
    <w:rsid w:val="1E95623E"/>
    <w:rsid w:val="1FB62E02"/>
    <w:rsid w:val="1FDE5C2F"/>
    <w:rsid w:val="1FF93EF0"/>
    <w:rsid w:val="206C6470"/>
    <w:rsid w:val="209F11B8"/>
    <w:rsid w:val="20C31E08"/>
    <w:rsid w:val="20DE16E3"/>
    <w:rsid w:val="21115E36"/>
    <w:rsid w:val="213A656E"/>
    <w:rsid w:val="2211090F"/>
    <w:rsid w:val="23C445EF"/>
    <w:rsid w:val="23F0560A"/>
    <w:rsid w:val="24455AB5"/>
    <w:rsid w:val="24507E57"/>
    <w:rsid w:val="245F009A"/>
    <w:rsid w:val="248D1FBC"/>
    <w:rsid w:val="249064A5"/>
    <w:rsid w:val="24A563F4"/>
    <w:rsid w:val="24DB1E16"/>
    <w:rsid w:val="252512E3"/>
    <w:rsid w:val="26566B0B"/>
    <w:rsid w:val="271E248E"/>
    <w:rsid w:val="277964E9"/>
    <w:rsid w:val="27877389"/>
    <w:rsid w:val="279B588D"/>
    <w:rsid w:val="27FA6A57"/>
    <w:rsid w:val="293B7105"/>
    <w:rsid w:val="29D049D8"/>
    <w:rsid w:val="2A2658E2"/>
    <w:rsid w:val="2A3A7A42"/>
    <w:rsid w:val="2A4974A9"/>
    <w:rsid w:val="2AAB2C02"/>
    <w:rsid w:val="2AD215C5"/>
    <w:rsid w:val="2B024945"/>
    <w:rsid w:val="2B114234"/>
    <w:rsid w:val="2B122D8D"/>
    <w:rsid w:val="2B200D44"/>
    <w:rsid w:val="2BAA2E62"/>
    <w:rsid w:val="2C1C2FED"/>
    <w:rsid w:val="2C935214"/>
    <w:rsid w:val="2D7D7F0E"/>
    <w:rsid w:val="2DF3608C"/>
    <w:rsid w:val="2EAC1BDF"/>
    <w:rsid w:val="2FBD296F"/>
    <w:rsid w:val="2FD45DE0"/>
    <w:rsid w:val="302723B3"/>
    <w:rsid w:val="30E76F8A"/>
    <w:rsid w:val="31344D88"/>
    <w:rsid w:val="316D40D3"/>
    <w:rsid w:val="31D369AC"/>
    <w:rsid w:val="323763FD"/>
    <w:rsid w:val="3260395B"/>
    <w:rsid w:val="32630FC4"/>
    <w:rsid w:val="32A50F33"/>
    <w:rsid w:val="32D6161D"/>
    <w:rsid w:val="32EB1476"/>
    <w:rsid w:val="331035D3"/>
    <w:rsid w:val="33723946"/>
    <w:rsid w:val="33B65F28"/>
    <w:rsid w:val="33F054E2"/>
    <w:rsid w:val="33F22CD8"/>
    <w:rsid w:val="344E1C6F"/>
    <w:rsid w:val="35711EBA"/>
    <w:rsid w:val="358903A8"/>
    <w:rsid w:val="35F25212"/>
    <w:rsid w:val="37507FF9"/>
    <w:rsid w:val="375546D0"/>
    <w:rsid w:val="379320DC"/>
    <w:rsid w:val="37955E55"/>
    <w:rsid w:val="37DC7FC7"/>
    <w:rsid w:val="37E8067A"/>
    <w:rsid w:val="37E82428"/>
    <w:rsid w:val="386C3059"/>
    <w:rsid w:val="38A01D85"/>
    <w:rsid w:val="39707014"/>
    <w:rsid w:val="39B369AA"/>
    <w:rsid w:val="39DD3AE3"/>
    <w:rsid w:val="3A137505"/>
    <w:rsid w:val="3A3E0A25"/>
    <w:rsid w:val="3ACB7B21"/>
    <w:rsid w:val="3B712735"/>
    <w:rsid w:val="3BF03FA1"/>
    <w:rsid w:val="3C942B7F"/>
    <w:rsid w:val="3CCB05C4"/>
    <w:rsid w:val="3CD36F28"/>
    <w:rsid w:val="3D0F4168"/>
    <w:rsid w:val="3D840E45"/>
    <w:rsid w:val="3E0E4BB3"/>
    <w:rsid w:val="3E907DE5"/>
    <w:rsid w:val="3F035D9A"/>
    <w:rsid w:val="3F0879F4"/>
    <w:rsid w:val="3F89538C"/>
    <w:rsid w:val="3FB11C9A"/>
    <w:rsid w:val="40BF3F42"/>
    <w:rsid w:val="41297D82"/>
    <w:rsid w:val="41614FF9"/>
    <w:rsid w:val="41A6671D"/>
    <w:rsid w:val="423F16CF"/>
    <w:rsid w:val="4289391C"/>
    <w:rsid w:val="4320516C"/>
    <w:rsid w:val="434F69ED"/>
    <w:rsid w:val="43EF2D90"/>
    <w:rsid w:val="44263931"/>
    <w:rsid w:val="44384737"/>
    <w:rsid w:val="450F36EA"/>
    <w:rsid w:val="4565330A"/>
    <w:rsid w:val="46323D4A"/>
    <w:rsid w:val="46FF153C"/>
    <w:rsid w:val="472D60AA"/>
    <w:rsid w:val="475E7FAC"/>
    <w:rsid w:val="47994953"/>
    <w:rsid w:val="47E86474"/>
    <w:rsid w:val="49A168DB"/>
    <w:rsid w:val="49B02FC2"/>
    <w:rsid w:val="49B5747E"/>
    <w:rsid w:val="49ED7D72"/>
    <w:rsid w:val="4A0B78D0"/>
    <w:rsid w:val="4A4D0811"/>
    <w:rsid w:val="4A9E2E1A"/>
    <w:rsid w:val="4AB32D6A"/>
    <w:rsid w:val="4AF313B8"/>
    <w:rsid w:val="4B2652EA"/>
    <w:rsid w:val="4B7778F3"/>
    <w:rsid w:val="4C6A56AA"/>
    <w:rsid w:val="4C7B78B7"/>
    <w:rsid w:val="4C8A18A8"/>
    <w:rsid w:val="4CE753C4"/>
    <w:rsid w:val="4D537EEC"/>
    <w:rsid w:val="4DA05022"/>
    <w:rsid w:val="4E760336"/>
    <w:rsid w:val="4EB74C2A"/>
    <w:rsid w:val="4EB86BA1"/>
    <w:rsid w:val="4F381A32"/>
    <w:rsid w:val="4F8C5EB6"/>
    <w:rsid w:val="502E571C"/>
    <w:rsid w:val="50557FA9"/>
    <w:rsid w:val="51253DC8"/>
    <w:rsid w:val="51A90A23"/>
    <w:rsid w:val="52380F24"/>
    <w:rsid w:val="52632790"/>
    <w:rsid w:val="53746E0E"/>
    <w:rsid w:val="54530666"/>
    <w:rsid w:val="54AB6860"/>
    <w:rsid w:val="54BF40B9"/>
    <w:rsid w:val="55F66200"/>
    <w:rsid w:val="567F795E"/>
    <w:rsid w:val="56A17F1A"/>
    <w:rsid w:val="575B2E6E"/>
    <w:rsid w:val="57715B3F"/>
    <w:rsid w:val="58355079"/>
    <w:rsid w:val="583A0626"/>
    <w:rsid w:val="58591A38"/>
    <w:rsid w:val="586A3022"/>
    <w:rsid w:val="58C779E0"/>
    <w:rsid w:val="59723DF0"/>
    <w:rsid w:val="5A33532D"/>
    <w:rsid w:val="5A495EAB"/>
    <w:rsid w:val="5AA3578A"/>
    <w:rsid w:val="5AF076C2"/>
    <w:rsid w:val="5B24041A"/>
    <w:rsid w:val="5B2427D1"/>
    <w:rsid w:val="5B7A5D29"/>
    <w:rsid w:val="5BB97AB4"/>
    <w:rsid w:val="5C905ABD"/>
    <w:rsid w:val="5D276C9F"/>
    <w:rsid w:val="5D3E5B52"/>
    <w:rsid w:val="5D487342"/>
    <w:rsid w:val="5D842755"/>
    <w:rsid w:val="5E4044BD"/>
    <w:rsid w:val="5E8720EC"/>
    <w:rsid w:val="5E961CD3"/>
    <w:rsid w:val="5FA77E3C"/>
    <w:rsid w:val="5FBC7B73"/>
    <w:rsid w:val="5FF31BF0"/>
    <w:rsid w:val="613D4B85"/>
    <w:rsid w:val="61616C24"/>
    <w:rsid w:val="61EE58FB"/>
    <w:rsid w:val="61FE26C5"/>
    <w:rsid w:val="6220263B"/>
    <w:rsid w:val="636E387A"/>
    <w:rsid w:val="63EE0517"/>
    <w:rsid w:val="64D140C0"/>
    <w:rsid w:val="65A370BE"/>
    <w:rsid w:val="65A41C8F"/>
    <w:rsid w:val="65D06126"/>
    <w:rsid w:val="65EE1F5B"/>
    <w:rsid w:val="66420CC3"/>
    <w:rsid w:val="679B6D62"/>
    <w:rsid w:val="684B418A"/>
    <w:rsid w:val="68CF3073"/>
    <w:rsid w:val="68D91796"/>
    <w:rsid w:val="69365855"/>
    <w:rsid w:val="69594684"/>
    <w:rsid w:val="69C65A7A"/>
    <w:rsid w:val="6A070584"/>
    <w:rsid w:val="6A440E91"/>
    <w:rsid w:val="6A7D0816"/>
    <w:rsid w:val="6AD21086"/>
    <w:rsid w:val="6B1F1FF2"/>
    <w:rsid w:val="6B2A7AD7"/>
    <w:rsid w:val="6B3C600C"/>
    <w:rsid w:val="6BA0659B"/>
    <w:rsid w:val="6C5B350A"/>
    <w:rsid w:val="6CAA2359"/>
    <w:rsid w:val="6D561607"/>
    <w:rsid w:val="6E5BBEC3"/>
    <w:rsid w:val="70BC5C25"/>
    <w:rsid w:val="71A65189"/>
    <w:rsid w:val="71B72890"/>
    <w:rsid w:val="71BC7CD8"/>
    <w:rsid w:val="7294672D"/>
    <w:rsid w:val="72CB65F3"/>
    <w:rsid w:val="73726A6F"/>
    <w:rsid w:val="73804853"/>
    <w:rsid w:val="73D16BF2"/>
    <w:rsid w:val="743608B6"/>
    <w:rsid w:val="749E5641"/>
    <w:rsid w:val="74EB660D"/>
    <w:rsid w:val="751D2A0A"/>
    <w:rsid w:val="755A3C5E"/>
    <w:rsid w:val="756B1EDB"/>
    <w:rsid w:val="759A1677"/>
    <w:rsid w:val="7620778A"/>
    <w:rsid w:val="76AD3019"/>
    <w:rsid w:val="78267E28"/>
    <w:rsid w:val="78760DAF"/>
    <w:rsid w:val="78762B5D"/>
    <w:rsid w:val="797F3C93"/>
    <w:rsid w:val="7A7B26AD"/>
    <w:rsid w:val="7C7B4758"/>
    <w:rsid w:val="7C8A7D5F"/>
    <w:rsid w:val="7CAE0B5C"/>
    <w:rsid w:val="7CFB12ED"/>
    <w:rsid w:val="7D4C6582"/>
    <w:rsid w:val="7DC4674C"/>
    <w:rsid w:val="7EA0293B"/>
    <w:rsid w:val="7EC64112"/>
    <w:rsid w:val="7FBD3767"/>
    <w:rsid w:val="7FFD61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qFormat="1" w:unhideWhenUsed="0" w:uiPriority="39" w:semiHidden="0" w:name="toc 1"/>
    <w:lsdException w:qFormat="1"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qFormat/>
    <w:uiPriority w:val="0"/>
    <w:pPr>
      <w:keepNext/>
      <w:keepLines/>
      <w:numPr>
        <w:ilvl w:val="0"/>
        <w:numId w:val="1"/>
      </w:numPr>
      <w:spacing w:before="340" w:after="330" w:line="576" w:lineRule="auto"/>
      <w:outlineLvl w:val="0"/>
    </w:pPr>
    <w:rPr>
      <w:b/>
      <w:kern w:val="44"/>
      <w:sz w:val="44"/>
    </w:rPr>
  </w:style>
  <w:style w:type="paragraph" w:styleId="3">
    <w:name w:val="heading 2"/>
    <w:basedOn w:val="1"/>
    <w:next w:val="1"/>
    <w:semiHidden/>
    <w:unhideWhenUsed/>
    <w:qFormat/>
    <w:uiPriority w:val="0"/>
    <w:pPr>
      <w:keepLines/>
      <w:numPr>
        <w:ilvl w:val="1"/>
        <w:numId w:val="1"/>
      </w:numPr>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numPr>
        <w:ilvl w:val="2"/>
        <w:numId w:val="1"/>
      </w:numPr>
      <w:spacing w:before="260" w:after="260" w:line="413" w:lineRule="auto"/>
      <w:outlineLvl w:val="2"/>
    </w:pPr>
    <w:rPr>
      <w:b/>
      <w:sz w:val="32"/>
    </w:rPr>
  </w:style>
  <w:style w:type="paragraph" w:styleId="5">
    <w:name w:val="heading 4"/>
    <w:basedOn w:val="1"/>
    <w:next w:val="1"/>
    <w:semiHidden/>
    <w:unhideWhenUsed/>
    <w:qFormat/>
    <w:uiPriority w:val="0"/>
    <w:pPr>
      <w:keepNext/>
      <w:keepLines/>
      <w:numPr>
        <w:ilvl w:val="3"/>
        <w:numId w:val="1"/>
      </w:numPr>
      <w:spacing w:before="280" w:after="290" w:line="372" w:lineRule="auto"/>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after="290" w:line="372" w:lineRule="auto"/>
      <w:outlineLvl w:val="4"/>
    </w:pPr>
    <w:rPr>
      <w:b/>
      <w:sz w:val="28"/>
    </w:rPr>
  </w:style>
  <w:style w:type="paragraph" w:styleId="7">
    <w:name w:val="heading 6"/>
    <w:basedOn w:val="1"/>
    <w:next w:val="1"/>
    <w:semiHidden/>
    <w:unhideWhenUsed/>
    <w:qFormat/>
    <w:uiPriority w:val="0"/>
    <w:pPr>
      <w:keepNext/>
      <w:keepLines/>
      <w:numPr>
        <w:ilvl w:val="5"/>
        <w:numId w:val="1"/>
      </w:numPr>
      <w:spacing w:before="240" w:after="64" w:line="317" w:lineRule="auto"/>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after="64" w:line="317" w:lineRule="auto"/>
      <w:outlineLvl w:val="6"/>
    </w:pPr>
    <w:rPr>
      <w:b/>
      <w:sz w:val="24"/>
    </w:rPr>
  </w:style>
  <w:style w:type="paragraph" w:styleId="9">
    <w:name w:val="heading 8"/>
    <w:basedOn w:val="1"/>
    <w:next w:val="1"/>
    <w:semiHidden/>
    <w:unhideWhenUsed/>
    <w:qFormat/>
    <w:uiPriority w:val="0"/>
    <w:pPr>
      <w:keepNext/>
      <w:keepLines/>
      <w:numPr>
        <w:ilvl w:val="7"/>
        <w:numId w:val="1"/>
      </w:numPr>
      <w:spacing w:before="240" w:after="64" w:line="317" w:lineRule="auto"/>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after="64" w:line="317" w:lineRule="auto"/>
      <w:outlineLvl w:val="8"/>
    </w:pPr>
    <w:rPr>
      <w:rFonts w:ascii="Arial" w:hAnsi="Arial" w:eastAsia="黑体"/>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szCs w:val="22"/>
    </w:rPr>
  </w:style>
  <w:style w:type="paragraph" w:styleId="12">
    <w:name w:val="Normal Indent"/>
    <w:basedOn w:val="1"/>
    <w:qFormat/>
    <w:uiPriority w:val="0"/>
    <w:pPr>
      <w:ind w:firstLine="420" w:firstLineChars="200"/>
    </w:pPr>
  </w:style>
  <w:style w:type="paragraph" w:styleId="13">
    <w:name w:val="caption"/>
    <w:basedOn w:val="1"/>
    <w:next w:val="1"/>
    <w:semiHidden/>
    <w:unhideWhenUsed/>
    <w:qFormat/>
    <w:uiPriority w:val="0"/>
    <w:rPr>
      <w:rFonts w:ascii="Arial" w:hAnsi="Arial" w:eastAsia="黑体"/>
      <w:sz w:val="20"/>
    </w:rPr>
  </w:style>
  <w:style w:type="paragraph" w:styleId="14">
    <w:name w:val="annotation text"/>
    <w:basedOn w:val="1"/>
    <w:qFormat/>
    <w:uiPriority w:val="0"/>
    <w:pPr>
      <w:jc w:val="left"/>
    </w:pPr>
  </w:style>
  <w:style w:type="paragraph" w:styleId="15">
    <w:name w:val="Body Text"/>
    <w:basedOn w:val="1"/>
    <w:qFormat/>
    <w:uiPriority w:val="0"/>
    <w:rPr>
      <w:rFonts w:ascii="Arial" w:hAnsi="Arial" w:eastAsia="Arial" w:cs="Arial"/>
      <w:lang w:eastAsia="en-US"/>
    </w:rPr>
  </w:style>
  <w:style w:type="paragraph" w:styleId="16">
    <w:name w:val="Body Text Indent"/>
    <w:basedOn w:val="1"/>
    <w:qFormat/>
    <w:uiPriority w:val="0"/>
    <w:pPr>
      <w:spacing w:after="120"/>
      <w:ind w:left="420" w:leftChars="200"/>
    </w:pPr>
  </w:style>
  <w:style w:type="paragraph" w:styleId="17">
    <w:name w:val="toc 5"/>
    <w:basedOn w:val="1"/>
    <w:next w:val="1"/>
    <w:unhideWhenUsed/>
    <w:qFormat/>
    <w:uiPriority w:val="39"/>
    <w:pPr>
      <w:adjustRightInd/>
      <w:spacing w:line="240" w:lineRule="auto"/>
      <w:ind w:left="1680" w:leftChars="800"/>
    </w:pPr>
    <w:rPr>
      <w:rFonts w:asciiTheme="minorHAnsi" w:hAnsiTheme="minorHAnsi" w:eastAsiaTheme="minorEastAsia" w:cstheme="minorBidi"/>
      <w:szCs w:val="22"/>
    </w:rPr>
  </w:style>
  <w:style w:type="paragraph" w:styleId="18">
    <w:name w:val="toc 3"/>
    <w:basedOn w:val="1"/>
    <w:next w:val="1"/>
    <w:qFormat/>
    <w:uiPriority w:val="39"/>
    <w:pPr>
      <w:tabs>
        <w:tab w:val="right" w:leader="dot" w:pos="9345"/>
      </w:tabs>
      <w:ind w:left="200" w:leftChars="200"/>
    </w:pPr>
    <w:rPr>
      <w:rFonts w:asciiTheme="minorEastAsia" w:hAnsiTheme="minorEastAsia"/>
    </w:rPr>
  </w:style>
  <w:style w:type="paragraph" w:styleId="19">
    <w:name w:val="toc 8"/>
    <w:basedOn w:val="1"/>
    <w:next w:val="1"/>
    <w:unhideWhenUsed/>
    <w:qFormat/>
    <w:uiPriority w:val="39"/>
    <w:pPr>
      <w:adjustRightInd/>
      <w:spacing w:line="240" w:lineRule="auto"/>
      <w:ind w:left="2940" w:leftChars="1400"/>
    </w:pPr>
    <w:rPr>
      <w:rFonts w:asciiTheme="minorHAnsi" w:hAnsiTheme="minorHAnsi" w:eastAsiaTheme="minorEastAsia" w:cstheme="minorBidi"/>
      <w:szCs w:val="22"/>
    </w:rPr>
  </w:style>
  <w:style w:type="paragraph" w:styleId="20">
    <w:name w:val="Balloon Text"/>
    <w:basedOn w:val="1"/>
    <w:link w:val="79"/>
    <w:qFormat/>
    <w:uiPriority w:val="0"/>
    <w:pPr>
      <w:spacing w:line="240" w:lineRule="auto"/>
    </w:pPr>
    <w:rPr>
      <w:sz w:val="18"/>
      <w:szCs w:val="18"/>
    </w:rPr>
  </w:style>
  <w:style w:type="paragraph" w:styleId="21">
    <w:name w:val="footer"/>
    <w:basedOn w:val="1"/>
    <w:qFormat/>
    <w:uiPriority w:val="0"/>
    <w:pPr>
      <w:tabs>
        <w:tab w:val="center" w:pos="4153"/>
        <w:tab w:val="right" w:pos="8306"/>
      </w:tabs>
      <w:adjustRightInd/>
      <w:snapToGrid w:val="0"/>
      <w:spacing w:line="240" w:lineRule="auto"/>
      <w:jc w:val="right"/>
    </w:pPr>
    <w:rPr>
      <w:rFonts w:ascii="宋体"/>
      <w:sz w:val="18"/>
      <w:szCs w:val="18"/>
    </w:rPr>
  </w:style>
  <w:style w:type="paragraph" w:styleId="22">
    <w:name w:val="header"/>
    <w:basedOn w:val="1"/>
    <w:qFormat/>
    <w:uiPriority w:val="99"/>
    <w:pPr>
      <w:tabs>
        <w:tab w:val="center" w:pos="4153"/>
        <w:tab w:val="right" w:pos="8306"/>
      </w:tabs>
      <w:adjustRightInd/>
      <w:snapToGrid w:val="0"/>
      <w:jc w:val="center"/>
    </w:pPr>
    <w:rPr>
      <w:sz w:val="18"/>
      <w:szCs w:val="18"/>
    </w:rPr>
  </w:style>
  <w:style w:type="paragraph" w:styleId="23">
    <w:name w:val="toc 1"/>
    <w:basedOn w:val="1"/>
    <w:next w:val="1"/>
    <w:qFormat/>
    <w:uiPriority w:val="39"/>
    <w:pPr>
      <w:tabs>
        <w:tab w:val="right" w:leader="dot" w:pos="9344"/>
      </w:tabs>
      <w:snapToGrid w:val="0"/>
      <w:spacing w:before="25" w:beforeLines="25" w:after="25" w:afterLines="25"/>
    </w:pPr>
    <w:rPr>
      <w:rFonts w:ascii="宋体"/>
    </w:rPr>
  </w:style>
  <w:style w:type="paragraph" w:styleId="24">
    <w:name w:val="toc 4"/>
    <w:basedOn w:val="1"/>
    <w:next w:val="1"/>
    <w:unhideWhenUsed/>
    <w:qFormat/>
    <w:uiPriority w:val="39"/>
    <w:pPr>
      <w:adjustRightInd/>
      <w:spacing w:line="240" w:lineRule="auto"/>
      <w:ind w:left="1260" w:leftChars="600"/>
    </w:pPr>
    <w:rPr>
      <w:rFonts w:asciiTheme="minorHAnsi" w:hAnsiTheme="minorHAnsi" w:eastAsiaTheme="minorEastAsia" w:cstheme="minorBidi"/>
      <w:szCs w:val="22"/>
    </w:rPr>
  </w:style>
  <w:style w:type="paragraph" w:styleId="25">
    <w:name w:val="toc 6"/>
    <w:basedOn w:val="1"/>
    <w:next w:val="1"/>
    <w:unhideWhenUsed/>
    <w:qFormat/>
    <w:uiPriority w:val="39"/>
    <w:pPr>
      <w:adjustRightInd/>
      <w:spacing w:line="240" w:lineRule="auto"/>
      <w:ind w:left="2100" w:leftChars="1000"/>
    </w:pPr>
    <w:rPr>
      <w:rFonts w:asciiTheme="minorHAnsi" w:hAnsiTheme="minorHAnsi" w:eastAsiaTheme="minorEastAsia" w:cstheme="minorBidi"/>
      <w:szCs w:val="22"/>
    </w:rPr>
  </w:style>
  <w:style w:type="paragraph" w:styleId="26">
    <w:name w:val="index 9"/>
    <w:basedOn w:val="1"/>
    <w:next w:val="1"/>
    <w:qFormat/>
    <w:uiPriority w:val="99"/>
    <w:pPr>
      <w:adjustRightInd/>
      <w:spacing w:line="240" w:lineRule="auto"/>
      <w:ind w:left="3360"/>
    </w:pPr>
    <w:rPr>
      <w:rFonts w:cs="等线" w:asciiTheme="minorHAnsi" w:hAnsiTheme="minorHAnsi" w:eastAsiaTheme="minorEastAsia"/>
    </w:rPr>
  </w:style>
  <w:style w:type="paragraph" w:styleId="27">
    <w:name w:val="toc 2"/>
    <w:basedOn w:val="1"/>
    <w:next w:val="1"/>
    <w:unhideWhenUsed/>
    <w:qFormat/>
    <w:uiPriority w:val="39"/>
    <w:pPr>
      <w:tabs>
        <w:tab w:val="right" w:leader="dot" w:pos="9345"/>
      </w:tabs>
      <w:ind w:left="100" w:leftChars="100"/>
    </w:pPr>
    <w:rPr>
      <w:rFonts w:ascii="宋体" w:hAnsi="宋体"/>
    </w:rPr>
  </w:style>
  <w:style w:type="paragraph" w:styleId="28">
    <w:name w:val="toc 9"/>
    <w:basedOn w:val="1"/>
    <w:next w:val="1"/>
    <w:unhideWhenUsed/>
    <w:qFormat/>
    <w:uiPriority w:val="39"/>
    <w:pPr>
      <w:adjustRightInd/>
      <w:spacing w:line="240" w:lineRule="auto"/>
      <w:ind w:left="3360" w:leftChars="1600"/>
    </w:pPr>
    <w:rPr>
      <w:rFonts w:asciiTheme="minorHAnsi" w:hAnsiTheme="minorHAnsi" w:eastAsiaTheme="minorEastAsia" w:cstheme="minorBidi"/>
      <w:szCs w:val="22"/>
    </w:rPr>
  </w:style>
  <w:style w:type="paragraph" w:styleId="29">
    <w:name w:val="Body Text 2"/>
    <w:basedOn w:val="1"/>
    <w:qFormat/>
    <w:uiPriority w:val="0"/>
    <w:pPr>
      <w:spacing w:after="120" w:line="480" w:lineRule="auto"/>
    </w:pPr>
  </w:style>
  <w:style w:type="paragraph" w:styleId="30">
    <w:name w:val="Body Text First Indent"/>
    <w:basedOn w:val="15"/>
    <w:qFormat/>
    <w:uiPriority w:val="0"/>
    <w:pPr>
      <w:ind w:firstLine="420" w:firstLineChars="100"/>
    </w:pPr>
  </w:style>
  <w:style w:type="paragraph" w:styleId="31">
    <w:name w:val="Body Text First Indent 2"/>
    <w:basedOn w:val="16"/>
    <w:qFormat/>
    <w:uiPriority w:val="0"/>
    <w:pPr>
      <w:ind w:firstLine="420" w:firstLineChars="200"/>
    </w:p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Hyperlink"/>
    <w:basedOn w:val="34"/>
    <w:unhideWhenUsed/>
    <w:qFormat/>
    <w:uiPriority w:val="99"/>
    <w:rPr>
      <w:color w:val="0026E5" w:themeColor="hyperlink"/>
      <w:u w:val="single"/>
      <w14:textFill>
        <w14:solidFill>
          <w14:schemeClr w14:val="hlink"/>
        </w14:solidFill>
      </w14:textFill>
    </w:rPr>
  </w:style>
  <w:style w:type="character" w:styleId="36">
    <w:name w:val="annotation reference"/>
    <w:basedOn w:val="34"/>
    <w:qFormat/>
    <w:uiPriority w:val="0"/>
    <w:rPr>
      <w:sz w:val="21"/>
      <w:szCs w:val="21"/>
    </w:rPr>
  </w:style>
  <w:style w:type="paragraph" w:customStyle="1" w:styleId="37">
    <w:name w:val="标准文件_目录标题"/>
    <w:basedOn w:val="1"/>
    <w:qFormat/>
    <w:uiPriority w:val="0"/>
    <w:pPr>
      <w:spacing w:afterLines="150" w:line="240" w:lineRule="auto"/>
      <w:jc w:val="center"/>
    </w:pPr>
    <w:rPr>
      <w:rFonts w:ascii="黑体" w:eastAsia="黑体"/>
      <w:sz w:val="32"/>
    </w:rPr>
  </w:style>
  <w:style w:type="paragraph" w:customStyle="1" w:styleId="38">
    <w:name w:val="标准文件_前言、引言标题"/>
    <w:next w:val="1"/>
    <w:qFormat/>
    <w:uiPriority w:val="0"/>
    <w:pPr>
      <w:numPr>
        <w:ilvl w:val="0"/>
        <w:numId w:val="2"/>
      </w:numPr>
      <w:shd w:val="clear" w:color="FFFFFF" w:fill="FFFFFF"/>
      <w:spacing w:afterLines="150"/>
      <w:ind w:left="0" w:firstLine="0"/>
      <w:jc w:val="center"/>
      <w:outlineLvl w:val="0"/>
    </w:pPr>
    <w:rPr>
      <w:rFonts w:ascii="黑体" w:hAnsi="Times New Roman" w:eastAsia="黑体" w:cs="Times New Roman"/>
      <w:sz w:val="32"/>
      <w:lang w:val="en-US" w:eastAsia="zh-CN" w:bidi="ar-SA"/>
    </w:rPr>
  </w:style>
  <w:style w:type="paragraph" w:customStyle="1" w:styleId="3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0">
    <w:name w:val="标准文件_正文标准名称"/>
    <w:qFormat/>
    <w:uiPriority w:val="0"/>
    <w:pPr>
      <w:spacing w:beforeLines="20" w:after="640" w:line="400" w:lineRule="exact"/>
      <w:jc w:val="center"/>
    </w:pPr>
    <w:rPr>
      <w:rFonts w:ascii="黑体" w:hAnsi="黑体" w:eastAsia="黑体" w:cs="Times New Roman"/>
      <w:kern w:val="2"/>
      <w:sz w:val="32"/>
      <w:szCs w:val="32"/>
      <w:lang w:val="en-US" w:eastAsia="zh-CN" w:bidi="ar-SA"/>
    </w:rPr>
  </w:style>
  <w:style w:type="paragraph" w:customStyle="1" w:styleId="41">
    <w:name w:val="标准文件_章标题"/>
    <w:next w:val="39"/>
    <w:qFormat/>
    <w:uiPriority w:val="0"/>
    <w:pPr>
      <w:numPr>
        <w:ilvl w:val="1"/>
        <w:numId w:val="3"/>
      </w:numPr>
      <w:spacing w:beforeLines="100" w:afterLines="100"/>
      <w:jc w:val="both"/>
      <w:outlineLvl w:val="0"/>
    </w:pPr>
    <w:rPr>
      <w:rFonts w:ascii="黑体" w:hAnsi="Times New Roman" w:eastAsia="黑体" w:cs="Times New Roman"/>
      <w:sz w:val="21"/>
      <w:lang w:val="en-US" w:eastAsia="zh-CN" w:bidi="ar-SA"/>
    </w:rPr>
  </w:style>
  <w:style w:type="paragraph" w:customStyle="1" w:styleId="42">
    <w:name w:val="标准文件_一级条标题"/>
    <w:basedOn w:val="41"/>
    <w:next w:val="39"/>
    <w:link w:val="43"/>
    <w:qFormat/>
    <w:uiPriority w:val="0"/>
    <w:pPr>
      <w:numPr>
        <w:ilvl w:val="2"/>
      </w:numPr>
      <w:spacing w:before="50" w:beforeLines="50" w:after="50" w:afterLines="50"/>
      <w:ind w:left="0"/>
      <w:outlineLvl w:val="1"/>
    </w:pPr>
    <w:rPr>
      <w:rFonts w:hAnsi="黑体"/>
    </w:rPr>
  </w:style>
  <w:style w:type="character" w:customStyle="1" w:styleId="43">
    <w:name w:val="标准文件_一级条标题 Char"/>
    <w:link w:val="42"/>
    <w:qFormat/>
    <w:uiPriority w:val="0"/>
    <w:rPr>
      <w:rFonts w:ascii="黑体" w:hAnsi="黑体" w:eastAsia="黑体"/>
      <w:sz w:val="21"/>
    </w:rPr>
  </w:style>
  <w:style w:type="paragraph" w:customStyle="1" w:styleId="44">
    <w:name w:val="标准文件_字母编号列项（一级）"/>
    <w:qFormat/>
    <w:uiPriority w:val="0"/>
    <w:pPr>
      <w:numPr>
        <w:ilvl w:val="0"/>
        <w:numId w:val="4"/>
      </w:numPr>
      <w:jc w:val="both"/>
    </w:pPr>
    <w:rPr>
      <w:rFonts w:ascii="宋体" w:hAnsi="宋体" w:eastAsia="宋体" w:cs="Times New Roman"/>
      <w:color w:val="000000" w:themeColor="text1"/>
      <w:sz w:val="21"/>
      <w:lang w:val="en-US" w:eastAsia="zh-CN" w:bidi="ar-SA"/>
      <w14:textFill>
        <w14:solidFill>
          <w14:schemeClr w14:val="tx1"/>
        </w14:solidFill>
      </w14:textFill>
    </w:rPr>
  </w:style>
  <w:style w:type="paragraph" w:customStyle="1" w:styleId="45">
    <w:name w:val="标准文件_正文表标题"/>
    <w:next w:val="39"/>
    <w:qFormat/>
    <w:uiPriority w:val="0"/>
    <w:pPr>
      <w:numPr>
        <w:ilvl w:val="0"/>
        <w:numId w:val="5"/>
      </w:numPr>
      <w:tabs>
        <w:tab w:val="left" w:pos="0"/>
      </w:tabs>
      <w:spacing w:before="50" w:beforeLines="50" w:after="50" w:afterLines="50"/>
      <w:ind w:left="0"/>
      <w:jc w:val="center"/>
    </w:pPr>
    <w:rPr>
      <w:rFonts w:ascii="黑体" w:hAnsi="黑体" w:eastAsia="黑体" w:cs="Times New Roman"/>
      <w:sz w:val="21"/>
      <w:lang w:val="en-US" w:eastAsia="zh-CN" w:bidi="ar-SA"/>
    </w:rPr>
  </w:style>
  <w:style w:type="paragraph" w:customStyle="1" w:styleId="46">
    <w:name w:val="标准文件_二级无标题"/>
    <w:basedOn w:val="47"/>
    <w:qFormat/>
    <w:uiPriority w:val="0"/>
    <w:pPr>
      <w:spacing w:beforeLines="0" w:afterLines="0"/>
      <w:outlineLvl w:val="9"/>
    </w:pPr>
    <w:rPr>
      <w:rFonts w:ascii="宋体" w:hAnsi="宋体" w:eastAsia="宋体" w:cstheme="minorBidi"/>
    </w:rPr>
  </w:style>
  <w:style w:type="paragraph" w:customStyle="1" w:styleId="47">
    <w:name w:val="标准文件_二级条标题"/>
    <w:next w:val="39"/>
    <w:qFormat/>
    <w:uiPriority w:val="0"/>
    <w:pPr>
      <w:widowControl w:val="0"/>
      <w:numPr>
        <w:ilvl w:val="3"/>
        <w:numId w:val="3"/>
      </w:numPr>
      <w:spacing w:beforeLines="50" w:afterLines="50"/>
      <w:ind w:left="0"/>
      <w:jc w:val="both"/>
      <w:outlineLvl w:val="2"/>
    </w:pPr>
    <w:rPr>
      <w:rFonts w:ascii="黑体" w:hAnsi="Times New Roman" w:eastAsia="黑体" w:cs="Times New Roman"/>
      <w:sz w:val="21"/>
      <w:lang w:val="en-US" w:eastAsia="zh-CN" w:bidi="ar-SA"/>
    </w:rPr>
  </w:style>
  <w:style w:type="paragraph" w:customStyle="1" w:styleId="48">
    <w:name w:val="标准文件_附录标识"/>
    <w:next w:val="39"/>
    <w:qFormat/>
    <w:uiPriority w:val="0"/>
    <w:pPr>
      <w:numPr>
        <w:ilvl w:val="0"/>
        <w:numId w:val="6"/>
      </w:numPr>
      <w:shd w:val="clear" w:color="FFFFFF" w:fill="FFFFFF"/>
      <w:tabs>
        <w:tab w:val="left" w:pos="6406"/>
      </w:tabs>
      <w:spacing w:before="25" w:beforeLines="25" w:after="50" w:afterLines="50"/>
      <w:ind w:left="0"/>
      <w:jc w:val="center"/>
      <w:outlineLvl w:val="0"/>
    </w:pPr>
    <w:rPr>
      <w:rFonts w:ascii="黑体" w:hAnsi="Times New Roman" w:eastAsia="黑体" w:cs="Times New Roman"/>
      <w:sz w:val="21"/>
      <w:lang w:val="en-US" w:eastAsia="zh-CN" w:bidi="ar-SA"/>
    </w:rPr>
  </w:style>
  <w:style w:type="paragraph" w:styleId="49">
    <w:name w:val="List Paragraph"/>
    <w:basedOn w:val="1"/>
    <w:qFormat/>
    <w:uiPriority w:val="34"/>
    <w:pPr>
      <w:adjustRightInd/>
      <w:spacing w:line="240" w:lineRule="auto"/>
      <w:ind w:firstLine="420" w:firstLineChars="200"/>
    </w:pPr>
    <w:rPr>
      <w:rFonts w:ascii="Times New Roman" w:hAnsi="Times New Roman"/>
      <w:szCs w:val="24"/>
    </w:rPr>
  </w:style>
  <w:style w:type="paragraph" w:customStyle="1" w:styleId="50">
    <w:name w:val="条文说明"/>
    <w:basedOn w:val="1"/>
    <w:qFormat/>
    <w:uiPriority w:val="0"/>
    <w:pPr>
      <w:adjustRightInd/>
      <w:ind w:right="229" w:rightChars="109"/>
    </w:pPr>
    <w:rPr>
      <w:rFonts w:ascii="Times New Roman" w:hAnsi="Times New Roman" w:eastAsia="华文楷体" w:cstheme="minorBidi"/>
      <w:i/>
      <w:color w:val="FF0000"/>
      <w:szCs w:val="24"/>
      <w:u w:val="wave"/>
    </w:rPr>
  </w:style>
  <w:style w:type="paragraph" w:customStyle="1" w:styleId="5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52">
    <w:name w:val="标准文件_页眉偶数页"/>
    <w:basedOn w:val="51"/>
    <w:next w:val="1"/>
    <w:qFormat/>
    <w:uiPriority w:val="0"/>
    <w:pPr>
      <w:jc w:val="left"/>
    </w:pPr>
  </w:style>
  <w:style w:type="paragraph" w:customStyle="1" w:styleId="5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4">
    <w:name w:val="标准文件_附录图标题"/>
    <w:next w:val="39"/>
    <w:qFormat/>
    <w:uiPriority w:val="0"/>
    <w:pPr>
      <w:numPr>
        <w:ilvl w:val="1"/>
        <w:numId w:val="7"/>
      </w:numPr>
      <w:adjustRightInd w:val="0"/>
      <w:snapToGrid w:val="0"/>
      <w:spacing w:beforeLines="50" w:afterLines="50"/>
      <w:ind w:firstLine="420"/>
      <w:jc w:val="center"/>
    </w:pPr>
    <w:rPr>
      <w:rFonts w:ascii="黑体" w:hAnsi="Times New Roman" w:eastAsia="黑体" w:cs="Times New Roman"/>
      <w:sz w:val="21"/>
      <w:lang w:val="en-US" w:eastAsia="zh-CN" w:bidi="ar-SA"/>
    </w:rPr>
  </w:style>
  <w:style w:type="paragraph" w:customStyle="1" w:styleId="55">
    <w:name w:val="标准文件_正文图标题"/>
    <w:next w:val="39"/>
    <w:qFormat/>
    <w:uiPriority w:val="0"/>
    <w:pPr>
      <w:numPr>
        <w:ilvl w:val="0"/>
        <w:numId w:val="8"/>
      </w:numPr>
      <w:spacing w:before="50" w:beforeLines="50" w:after="50" w:afterLines="50"/>
      <w:jc w:val="center"/>
    </w:pPr>
    <w:rPr>
      <w:rFonts w:ascii="黑体" w:hAnsi="黑体" w:eastAsia="黑体" w:cs="Times New Roman"/>
      <w:color w:val="000000" w:themeColor="text1"/>
      <w:sz w:val="21"/>
      <w:lang w:val="en-US" w:eastAsia="zh-CN" w:bidi="ar-SA"/>
      <w14:textFill>
        <w14:solidFill>
          <w14:schemeClr w14:val="tx1"/>
        </w14:solidFill>
      </w14:textFill>
    </w:rPr>
  </w:style>
  <w:style w:type="paragraph" w:customStyle="1" w:styleId="56">
    <w:name w:val="标准文件_三级条标题"/>
    <w:next w:val="39"/>
    <w:qFormat/>
    <w:uiPriority w:val="0"/>
    <w:pPr>
      <w:outlineLvl w:val="3"/>
    </w:pPr>
    <w:rPr>
      <w:rFonts w:asciiTheme="minorHAnsi" w:hAnsiTheme="minorHAnsi" w:eastAsiaTheme="minorEastAsia" w:cstheme="minorBidi"/>
      <w:lang w:val="en-US" w:eastAsia="zh-CN" w:bidi="ar-SA"/>
    </w:rPr>
  </w:style>
  <w:style w:type="paragraph" w:customStyle="1" w:styleId="57">
    <w:name w:val="标准文件_四级条标题"/>
    <w:next w:val="39"/>
    <w:qFormat/>
    <w:uiPriority w:val="0"/>
    <w:pPr>
      <w:widowControl w:val="0"/>
      <w:spacing w:beforeLines="50" w:afterLines="50"/>
      <w:jc w:val="both"/>
      <w:outlineLvl w:val="4"/>
    </w:pPr>
    <w:rPr>
      <w:rFonts w:ascii="黑体" w:hAnsi="Times New Roman" w:eastAsia="黑体" w:cs="Times New Roman"/>
      <w:sz w:val="21"/>
      <w:lang w:val="en-US" w:eastAsia="zh-CN" w:bidi="ar-SA"/>
    </w:rPr>
  </w:style>
  <w:style w:type="paragraph" w:customStyle="1" w:styleId="58">
    <w:name w:val="标准文件_五级条标题"/>
    <w:next w:val="39"/>
    <w:qFormat/>
    <w:uiPriority w:val="0"/>
    <w:pPr>
      <w:widowControl w:val="0"/>
      <w:spacing w:beforeLines="50" w:afterLines="50"/>
      <w:jc w:val="both"/>
      <w:outlineLvl w:val="5"/>
    </w:pPr>
    <w:rPr>
      <w:rFonts w:ascii="黑体" w:hAnsi="Times New Roman" w:eastAsia="黑体" w:cs="Times New Roman"/>
      <w:sz w:val="21"/>
      <w:lang w:val="en-US" w:eastAsia="zh-CN" w:bidi="ar-SA"/>
    </w:rPr>
  </w:style>
  <w:style w:type="paragraph" w:customStyle="1" w:styleId="59">
    <w:name w:val="前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60">
    <w:name w:val="标准文件_编号列项（三级）"/>
    <w:qFormat/>
    <w:uiPriority w:val="0"/>
    <w:pPr>
      <w:tabs>
        <w:tab w:val="left" w:pos="852"/>
      </w:tabs>
      <w:autoSpaceDE w:val="0"/>
      <w:autoSpaceDN w:val="0"/>
      <w:ind w:left="1018" w:leftChars="350" w:hanging="283"/>
    </w:pPr>
    <w:rPr>
      <w:rFonts w:ascii="宋体" w:hAnsi="宋体" w:eastAsia="宋体" w:cs="Times New Roman"/>
      <w:sz w:val="21"/>
      <w:lang w:val="en-US" w:eastAsia="zh-CN" w:bidi="ar-SA"/>
    </w:rPr>
  </w:style>
  <w:style w:type="paragraph" w:customStyle="1" w:styleId="61">
    <w:name w:val="标准文件_一级无标题"/>
    <w:basedOn w:val="42"/>
    <w:qFormat/>
    <w:uiPriority w:val="0"/>
    <w:pPr>
      <w:spacing w:beforeLines="0" w:afterLines="0"/>
      <w:outlineLvl w:val="9"/>
    </w:pPr>
    <w:rPr>
      <w:rFonts w:ascii="宋体" w:eastAsia="宋体"/>
    </w:rPr>
  </w:style>
  <w:style w:type="paragraph" w:customStyle="1" w:styleId="62">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63">
    <w:name w:val="标准文件_文件名称"/>
    <w:qFormat/>
    <w:uiPriority w:val="0"/>
    <w:pPr>
      <w:framePr w:w="9639" w:h="6976" w:hRule="exact" w:wrap="auto" w:vAnchor="page" w:hAnchor="page" w:y="6408"/>
      <w:spacing w:line="700" w:lineRule="exact"/>
      <w:jc w:val="center"/>
    </w:pPr>
    <w:rPr>
      <w:rFonts w:ascii="黑体" w:hAnsi="黑体" w:eastAsia="黑体" w:cstheme="minorBidi"/>
      <w:bCs/>
      <w:sz w:val="52"/>
      <w:lang w:val="en-US" w:eastAsia="zh-CN" w:bidi="ar-SA"/>
    </w:rPr>
  </w:style>
  <w:style w:type="character" w:customStyle="1" w:styleId="64">
    <w:name w:val="标准文件_段 Char"/>
    <w:qFormat/>
    <w:uiPriority w:val="0"/>
    <w:rPr>
      <w:rFonts w:ascii="宋体" w:hAnsi="Times New Roman"/>
      <w:sz w:val="21"/>
    </w:rPr>
  </w:style>
  <w:style w:type="paragraph" w:customStyle="1" w:styleId="65">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66">
    <w:name w:val="标准文件_文件编号"/>
    <w:qFormat/>
    <w:uiPriority w:val="0"/>
    <w:pPr>
      <w:framePr w:w="9356" w:h="624" w:hRule="exact" w:hSpace="181" w:vSpace="181" w:wrap="auto" w:vAnchor="page" w:hAnchor="page" w:x="1419" w:y="3284"/>
      <w:wordWrap w:val="0"/>
      <w:spacing w:line="280" w:lineRule="exact"/>
      <w:jc w:val="right"/>
    </w:pPr>
    <w:rPr>
      <w:rFonts w:ascii="黑体" w:eastAsia="黑体" w:hAnsiTheme="minorHAnsi" w:cstheme="minorBidi"/>
      <w:bCs/>
      <w:sz w:val="28"/>
      <w:szCs w:val="28"/>
      <w:lang w:val="en-US" w:eastAsia="zh-CN" w:bidi="ar-SA"/>
    </w:rPr>
  </w:style>
  <w:style w:type="paragraph" w:customStyle="1" w:styleId="67">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68">
    <w:name w:val="标准文件_替换文件编号"/>
    <w:basedOn w:val="66"/>
    <w:qFormat/>
    <w:uiPriority w:val="0"/>
    <w:pPr>
      <w:framePr/>
      <w:spacing w:before="57"/>
    </w:pPr>
    <w:rPr>
      <w:sz w:val="21"/>
    </w:rPr>
  </w:style>
  <w:style w:type="paragraph" w:customStyle="1" w:styleId="69">
    <w:name w:val="其他发布日期"/>
    <w:basedOn w:val="67"/>
    <w:qFormat/>
    <w:uiPriority w:val="0"/>
    <w:pPr>
      <w:framePr w:w="3997" w:h="471" w:hRule="exact" w:hSpace="0" w:vSpace="181" w:vAnchor="page" w:hAnchor="page" w:x="1419" w:y="14097"/>
    </w:pPr>
  </w:style>
  <w:style w:type="paragraph" w:customStyle="1" w:styleId="70">
    <w:name w:val="实施日期"/>
    <w:basedOn w:val="67"/>
    <w:qFormat/>
    <w:uiPriority w:val="0"/>
    <w:pPr>
      <w:framePr w:hSpace="0" w:xAlign="right"/>
      <w:jc w:val="right"/>
    </w:pPr>
  </w:style>
  <w:style w:type="paragraph" w:customStyle="1" w:styleId="71">
    <w:name w:val="其他实施日期"/>
    <w:basedOn w:val="70"/>
    <w:qFormat/>
    <w:uiPriority w:val="0"/>
    <w:pPr>
      <w:framePr w:w="3997" w:h="471" w:hRule="exact" w:vSpace="181" w:vAnchor="page" w:hAnchor="page" w:x="7089" w:y="14097"/>
    </w:pPr>
  </w:style>
  <w:style w:type="paragraph" w:customStyle="1" w:styleId="7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73">
    <w:name w:val="标准文件_数字编号列项（二级）"/>
    <w:qFormat/>
    <w:uiPriority w:val="0"/>
    <w:pPr>
      <w:numPr>
        <w:ilvl w:val="1"/>
        <w:numId w:val="4"/>
      </w:numPr>
      <w:jc w:val="both"/>
    </w:pPr>
    <w:rPr>
      <w:rFonts w:ascii="宋体" w:hAnsi="宋体" w:eastAsia="宋体" w:cs="Times New Roman"/>
      <w:sz w:val="21"/>
      <w:lang w:val="en-US" w:eastAsia="zh-CN" w:bidi="ar-SA"/>
    </w:rPr>
  </w:style>
  <w:style w:type="paragraph" w:customStyle="1" w:styleId="74">
    <w:name w:val="TOC 标题1"/>
    <w:basedOn w:val="2"/>
    <w:next w:val="1"/>
    <w:unhideWhenUsed/>
    <w:qFormat/>
    <w:uiPriority w:val="39"/>
    <w:pPr>
      <w:widowControl/>
      <w:numPr>
        <w:numId w:val="0"/>
      </w:numPr>
      <w:adjustRightInd/>
      <w:spacing w:before="240" w:after="0" w:line="259" w:lineRule="auto"/>
      <w:jc w:val="left"/>
      <w:outlineLvl w:val="9"/>
    </w:pPr>
    <w:rPr>
      <w:rFonts w:asciiTheme="majorHAnsi" w:hAnsiTheme="majorHAnsi" w:eastAsiaTheme="majorEastAsia" w:cstheme="majorBidi"/>
      <w:b w:val="0"/>
      <w:color w:val="2E54A1" w:themeColor="accent1" w:themeShade="BF"/>
      <w:kern w:val="0"/>
      <w:sz w:val="32"/>
      <w:szCs w:val="32"/>
    </w:rPr>
  </w:style>
  <w:style w:type="character" w:styleId="75">
    <w:name w:val="Placeholder Text"/>
    <w:basedOn w:val="34"/>
    <w:semiHidden/>
    <w:qFormat/>
    <w:uiPriority w:val="99"/>
    <w:rPr>
      <w:color w:val="808080"/>
    </w:rPr>
  </w:style>
  <w:style w:type="paragraph" w:customStyle="1" w:styleId="76">
    <w:name w:val="标准文件_附录表标题"/>
    <w:next w:val="39"/>
    <w:qFormat/>
    <w:uiPriority w:val="0"/>
    <w:p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table" w:customStyle="1" w:styleId="77">
    <w:name w:val="Table Normal11"/>
    <w:basedOn w:val="32"/>
    <w:qFormat/>
    <w:uiPriority w:val="0"/>
    <w:rPr>
      <w:rFonts w:eastAsia="Times New Roman"/>
    </w:rPr>
    <w:tblPr>
      <w:tblCellMar>
        <w:left w:w="0" w:type="dxa"/>
        <w:right w:w="0" w:type="dxa"/>
      </w:tblCellMar>
    </w:tblPr>
  </w:style>
  <w:style w:type="character" w:customStyle="1" w:styleId="78">
    <w:name w:val="Unresolved Mention"/>
    <w:basedOn w:val="34"/>
    <w:semiHidden/>
    <w:unhideWhenUsed/>
    <w:qFormat/>
    <w:uiPriority w:val="99"/>
    <w:rPr>
      <w:color w:val="605E5C"/>
      <w:shd w:val="clear" w:color="auto" w:fill="E1DFDD"/>
    </w:rPr>
  </w:style>
  <w:style w:type="character" w:customStyle="1" w:styleId="79">
    <w:name w:val="批注框文本 字符"/>
    <w:basedOn w:val="34"/>
    <w:link w:val="20"/>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16.jpeg"/><Relationship Id="rId36" Type="http://schemas.openxmlformats.org/officeDocument/2006/relationships/image" Target="media/image15.wmf"/><Relationship Id="rId35" Type="http://schemas.openxmlformats.org/officeDocument/2006/relationships/image" Target="media/image14.wmf"/><Relationship Id="rId34" Type="http://schemas.openxmlformats.org/officeDocument/2006/relationships/image" Target="media/image13.wmf"/><Relationship Id="rId33" Type="http://schemas.openxmlformats.org/officeDocument/2006/relationships/image" Target="media/image12.png"/><Relationship Id="rId32" Type="http://schemas.openxmlformats.org/officeDocument/2006/relationships/image" Target="media/image11.png"/><Relationship Id="rId31" Type="http://schemas.openxmlformats.org/officeDocument/2006/relationships/image" Target="media/image10.png"/><Relationship Id="rId30" Type="http://schemas.openxmlformats.org/officeDocument/2006/relationships/image" Target="media/image9.png"/><Relationship Id="rId3" Type="http://schemas.openxmlformats.org/officeDocument/2006/relationships/footnotes" Target="footnotes.xml"/><Relationship Id="rId29" Type="http://schemas.openxmlformats.org/officeDocument/2006/relationships/image" Target="media/image8.png"/><Relationship Id="rId28" Type="http://schemas.openxmlformats.org/officeDocument/2006/relationships/image" Target="media/image7.png"/><Relationship Id="rId27" Type="http://schemas.openxmlformats.org/officeDocument/2006/relationships/image" Target="media/image6.wmf"/><Relationship Id="rId26" Type="http://schemas.openxmlformats.org/officeDocument/2006/relationships/image" Target="media/image5.emf"/><Relationship Id="rId25" Type="http://schemas.openxmlformats.org/officeDocument/2006/relationships/image" Target="media/image4.emf"/><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87</Pages>
  <Words>14859</Words>
  <Characters>84697</Characters>
  <Lines>705</Lines>
  <Paragraphs>198</Paragraphs>
  <TotalTime>1</TotalTime>
  <ScaleCrop>false</ScaleCrop>
  <LinksUpToDate>false</LinksUpToDate>
  <CharactersWithSpaces>99358</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2026-09-29T14:34:00Z</dcterms:created>
  <dc:creator>谭赟</dc:creator>
  <cp:lastModifiedBy>user</cp:lastModifiedBy>
  <cp:lastPrinted>2026-09-29T10:45:00Z</cp:lastPrinted>
  <dcterms:modified xsi:type="dcterms:W3CDTF">2026-09-30T15:57:20Z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9A86B37C24FC4754B91DD88090A3778B_13</vt:lpwstr>
  </property>
  <property fmtid="{D5CDD505-2E9C-101B-9397-08002B2CF9AE}" pid="4" name="KSOTemplateDocerSaveRecord">
    <vt:lpwstr>eyJoZGlkIjoiMzEwNTM5NzYwMDRjMzkwZTVkZjY2ODkwMGIxNGU0OTUiLCJ1c2VySWQiOiIxNTg1NzQ2ODQ5In0=</vt:lpwstr>
  </property>
  <property fmtid="{D5CDD505-2E9C-101B-9397-08002B2CF9AE}" pid="5" name="OfficeCLI.Version">
    <vt:lpwstr>1.0.151</vt:lpwstr>
  </property>
  <property fmtid="{D5CDD505-2E9C-101B-9397-08002B2CF9AE}" pid="6" name="OfficeCLI.LastModified">
    <vt:lpwstr>2026-09-17T06:21:29Z</vt:lpwstr>
  </property>
</Properties>
</file>