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4"/>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2"/>
              <w:framePr w:wrap="notBeside" w:vAnchor="page" w:hAnchor="page" w:x="1372" w:y="568"/>
              <w:tabs>
                <w:tab w:val="clear" w:pos="4153"/>
                <w:tab w:val="clear" w:pos="8306"/>
              </w:tabs>
              <w:spacing w:line="240" w:lineRule="auto"/>
              <w:jc w:val="left"/>
              <w:rPr>
                <w:rFonts w:ascii="黑体" w:hAnsi="黑体" w:eastAsia="黑体"/>
                <w:sz w:val="21"/>
                <w:szCs w:val="21"/>
              </w:rPr>
            </w:pPr>
            <w:bookmarkStart w:id="286" w:name="_GoBack"/>
            <w:bookmarkEnd w:id="286"/>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22"/>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53.080</w:t>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2"/>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22"/>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P 41</w:t>
            </w:r>
            <w:r>
              <w:rPr>
                <w:rFonts w:ascii="黑体" w:hAnsi="黑体" w:eastAsia="黑体"/>
                <w:sz w:val="21"/>
                <w:szCs w:val="21"/>
              </w:rPr>
              <w:fldChar w:fldCharType="end"/>
            </w:r>
            <w:bookmarkEnd w:id="1"/>
          </w:p>
        </w:tc>
      </w:tr>
    </w:tbl>
    <w:tbl>
      <w:tblPr>
        <w:tblStyle w:val="34"/>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7"/>
              <w:framePr w:w="0" w:hRule="auto" w:wrap="auto" w:vAnchor="margin" w:hAnchor="text" w:xAlign="left" w:yAlign="inline"/>
              <w:rPr>
                <w:rFonts w:ascii="宋体" w:hAnsi="宋体"/>
                <w:sz w:val="28"/>
                <w:szCs w:val="28"/>
              </w:rPr>
            </w:pPr>
            <w:bookmarkStart w:id="2" w:name="_Hlk26473981"/>
            <w:r>
              <w:rPr>
                <w:rFonts w:hint="eastAsia"/>
                <w:szCs w:val="96"/>
              </w:rPr>
              <w:t>DB</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42</w:t>
            </w:r>
            <w:r>
              <w:fldChar w:fldCharType="end"/>
            </w:r>
            <w:bookmarkEnd w:id="3"/>
          </w:p>
        </w:tc>
      </w:tr>
    </w:tbl>
    <w:p>
      <w:pPr>
        <w:pStyle w:val="58"/>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203"/>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204"/>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8"/>
        <w:framePr w:w="9639" w:h="6976" w:hRule="exact" w:hSpace="0" w:vSpace="0" w:hAnchor="page" w:y="6408"/>
        <w:jc w:val="center"/>
        <w:rPr>
          <w:rFonts w:ascii="黑体" w:hAnsi="黑体" w:eastAsia="黑体"/>
          <w:b w:val="0"/>
          <w:bCs w:val="0"/>
          <w:w w:val="100"/>
        </w:rPr>
      </w:pPr>
    </w:p>
    <w:p>
      <w:pPr>
        <w:pStyle w:val="205"/>
        <w:framePr w:h="6974" w:hRule="exact" w:wrap="around" w:x="1419" w:anchorLock="1"/>
      </w:pPr>
      <w:r>
        <w:rPr>
          <w:rFonts w:hint="eastAsia"/>
        </w:rPr>
        <w:t>城镇道路沥青路面病害快速维修技术规程</w:t>
      </w:r>
    </w:p>
    <w:p>
      <w:pPr>
        <w:framePr w:w="9639" w:h="6974" w:hRule="exact" w:wrap="around" w:vAnchor="page" w:hAnchor="page" w:x="1419" w:y="6408" w:anchorLock="1"/>
        <w:ind w:left="-1418"/>
      </w:pPr>
    </w:p>
    <w:p>
      <w:pPr>
        <w:pStyle w:val="133"/>
        <w:framePr w:w="9639" w:h="6974" w:hRule="exact" w:wrap="around" w:vAnchor="page" w:hAnchor="page" w:x="1419" w:y="6408" w:anchorLock="1"/>
        <w:textAlignment w:val="bottom"/>
        <w:rPr>
          <w:rFonts w:eastAsia="黑体"/>
          <w:szCs w:val="28"/>
        </w:rPr>
      </w:pPr>
      <w:r>
        <w:rPr>
          <w:rFonts w:ascii="Calibri" w:hAnsi="Calibri"/>
          <w:kern w:val="2"/>
          <w:sz w:val="21"/>
          <w:szCs w:val="21"/>
        </w:rPr>
        <w:t>Technical Specification for Rapid Repair of Asphalt Pavement Distresses on Urban Roads</w:t>
      </w:r>
    </w:p>
    <w:p>
      <w:pPr>
        <w:pStyle w:val="201"/>
        <w:framePr w:y="14176"/>
      </w:pPr>
      <w:r>
        <w:rPr>
          <w:rFonts w:ascii="黑体"/>
        </w:rPr>
        <w:fldChar w:fldCharType="begin">
          <w:ffData>
            <w:name w:val="PLSH_DATE_Y"/>
            <w:enabled/>
            <w:calcOnExit w:val="0"/>
            <w:textInput>
              <w:default w:val="XXXX"/>
              <w:maxLength w:val="4"/>
            </w:textInput>
          </w:ffData>
        </w:fldChar>
      </w:r>
      <w:bookmarkStart w:id="9"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9"/>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0"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1"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rPr>
          <w:rFonts w:hint="eastAsia"/>
        </w:rPr>
        <w:t>发布</w:t>
      </w:r>
    </w:p>
    <w:p>
      <w:pPr>
        <w:pStyle w:val="202"/>
        <w:framePr w:y="14176"/>
      </w:pPr>
      <w:r>
        <w:rPr>
          <w:rFonts w:ascii="黑体"/>
        </w:rPr>
        <w:fldChar w:fldCharType="begin">
          <w:ffData>
            <w:name w:val="CROT_DATE_Y"/>
            <w:enabled/>
            <w:calcOnExit w:val="0"/>
            <w:textInput>
              <w:default w:val="XXXX"/>
              <w:maxLength w:val="4"/>
            </w:textInput>
          </w:ffData>
        </w:fldChar>
      </w:r>
      <w:bookmarkStart w:id="12"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3"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4"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实施</w:t>
      </w:r>
    </w:p>
    <w:tbl>
      <w:tblPr>
        <w:tblStyle w:val="33"/>
        <w:tblpPr w:leftFromText="180" w:rightFromText="180" w:vertAnchor="text" w:horzAnchor="margin" w:tblpXSpec="right" w:tblpY="14609"/>
        <w:tblW w:w="8472" w:type="dxa"/>
        <w:tblInd w:w="0" w:type="dxa"/>
        <w:tblLayout w:type="fixed"/>
        <w:tblCellMar>
          <w:top w:w="0" w:type="dxa"/>
          <w:left w:w="108" w:type="dxa"/>
          <w:bottom w:w="0" w:type="dxa"/>
          <w:right w:w="108" w:type="dxa"/>
        </w:tblCellMar>
      </w:tblPr>
      <w:tblGrid>
        <w:gridCol w:w="5019"/>
        <w:gridCol w:w="3453"/>
      </w:tblGrid>
      <w:tr>
        <w:tblPrEx>
          <w:tblCellMar>
            <w:top w:w="0" w:type="dxa"/>
            <w:left w:w="108" w:type="dxa"/>
            <w:bottom w:w="0" w:type="dxa"/>
            <w:right w:w="108" w:type="dxa"/>
          </w:tblCellMar>
        </w:tblPrEx>
        <w:tc>
          <w:tcPr>
            <w:tcW w:w="5019" w:type="dxa"/>
          </w:tcPr>
          <w:p>
            <w:pPr>
              <w:pStyle w:val="159"/>
              <w:framePr/>
              <w:jc w:val="distribute"/>
              <w:rPr>
                <w:rFonts w:ascii="Times New Roman"/>
                <w:sz w:val="28"/>
                <w:szCs w:val="16"/>
              </w:rPr>
            </w:pPr>
            <w:r>
              <w:rPr>
                <w:rFonts w:ascii="Times New Roman"/>
                <w:sz w:val="28"/>
                <w:szCs w:val="16"/>
              </w:rPr>
              <w:t>湖北省住房和城乡建设厅</w:t>
            </w:r>
          </w:p>
        </w:tc>
        <w:tc>
          <w:tcPr>
            <w:tcW w:w="3453" w:type="dxa"/>
            <w:vMerge w:val="restart"/>
            <w:vAlign w:val="center"/>
          </w:tcPr>
          <w:p>
            <w:pPr>
              <w:pStyle w:val="159"/>
              <w:framePr/>
              <w:rPr>
                <w:rFonts w:ascii="Times New Roman"/>
              </w:rPr>
            </w:pPr>
            <w:r>
              <w:rPr>
                <w:rStyle w:val="237"/>
                <w:rFonts w:ascii="Times New Roman"/>
              </w:rPr>
              <w:t>联合发布</w:t>
            </w:r>
          </w:p>
        </w:tc>
      </w:tr>
      <w:tr>
        <w:tblPrEx>
          <w:tblCellMar>
            <w:top w:w="0" w:type="dxa"/>
            <w:left w:w="108" w:type="dxa"/>
            <w:bottom w:w="0" w:type="dxa"/>
            <w:right w:w="108" w:type="dxa"/>
          </w:tblCellMar>
        </w:tblPrEx>
        <w:tc>
          <w:tcPr>
            <w:tcW w:w="5019" w:type="dxa"/>
          </w:tcPr>
          <w:p>
            <w:pPr>
              <w:pStyle w:val="159"/>
              <w:framePr/>
              <w:jc w:val="distribute"/>
              <w:rPr>
                <w:rFonts w:ascii="Times New Roman"/>
                <w:sz w:val="28"/>
                <w:szCs w:val="16"/>
              </w:rPr>
            </w:pPr>
            <w:r>
              <w:rPr>
                <w:rFonts w:ascii="Times New Roman"/>
                <w:sz w:val="28"/>
                <w:szCs w:val="16"/>
              </w:rPr>
              <w:t xml:space="preserve">湖北省市场监督管理局    </w:t>
            </w:r>
          </w:p>
        </w:tc>
        <w:tc>
          <w:tcPr>
            <w:tcW w:w="3453" w:type="dxa"/>
            <w:vMerge w:val="continue"/>
          </w:tcPr>
          <w:p>
            <w:pPr>
              <w:pStyle w:val="159"/>
              <w:framePr/>
              <w:jc w:val="both"/>
              <w:rPr>
                <w:rFonts w:ascii="Times New Roman"/>
              </w:rPr>
            </w:pPr>
          </w:p>
        </w:tc>
      </w:tr>
    </w:tbl>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9"/>
        <w:spacing w:after="468"/>
      </w:pPr>
      <w:bookmarkStart w:id="15" w:name="BookMark1"/>
      <w:r>
        <w:rPr>
          <w:rFonts w:hint="eastAsia"/>
          <w:spacing w:val="320"/>
        </w:rPr>
        <w:t>目</w:t>
      </w:r>
      <w:r>
        <w:rPr>
          <w:rFonts w:hint="eastAsia"/>
        </w:rPr>
        <w:t>次</w:t>
      </w:r>
    </w:p>
    <w:p>
      <w:pPr>
        <w:pStyle w:val="23"/>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"_Toc240476524" </w:instrText>
      </w:r>
      <w:r>
        <w:fldChar w:fldCharType="separate"/>
      </w:r>
      <w:r>
        <w:rPr>
          <w:rStyle w:val="39"/>
          <w:spacing w:val="320"/>
        </w:rPr>
        <w:t>前</w:t>
      </w:r>
      <w:r>
        <w:rPr>
          <w:rStyle w:val="39"/>
        </w:rPr>
        <w:t>言</w:t>
      </w:r>
      <w:r>
        <w:tab/>
      </w:r>
      <w:r>
        <w:fldChar w:fldCharType="begin"/>
      </w:r>
      <w:r>
        <w:instrText xml:space="preserve"> PAGEREF _Toc240476524 \h </w:instrText>
      </w:r>
      <w:r>
        <w:fldChar w:fldCharType="separate"/>
      </w:r>
      <w:r>
        <w:t>III</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"_Toc240476525" </w:instrText>
      </w:r>
      <w:r>
        <w:fldChar w:fldCharType="separate"/>
      </w:r>
      <w:r>
        <w:rPr>
          <w:rStyle w:val="39"/>
          <w:spacing w:val="320"/>
        </w:rPr>
        <w:t>引</w:t>
      </w:r>
      <w:r>
        <w:rPr>
          <w:rStyle w:val="39"/>
        </w:rPr>
        <w:t>言</w:t>
      </w:r>
      <w:r>
        <w:tab/>
      </w:r>
      <w:r>
        <w:fldChar w:fldCharType="begin"/>
      </w:r>
      <w:r>
        <w:instrText xml:space="preserve"> PAGEREF _Toc240476525 \h </w:instrText>
      </w:r>
      <w:r>
        <w:fldChar w:fldCharType="separate"/>
      </w:r>
      <w:r>
        <w:t>IV</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"_Toc240476526" </w:instrText>
      </w:r>
      <w:r>
        <w:fldChar w:fldCharType="separate"/>
      </w:r>
      <w:r>
        <w:rPr>
          <w:rStyle w:val="39"/>
        </w:rPr>
        <w:t>1 范围</w:t>
      </w:r>
      <w:r>
        <w:tab/>
      </w:r>
      <w:r>
        <w:fldChar w:fldCharType="begin"/>
      </w:r>
      <w:r>
        <w:instrText xml:space="preserve"> PAGEREF _Toc240476526 \h </w:instrText>
      </w:r>
      <w:r>
        <w:fldChar w:fldCharType="separate"/>
      </w:r>
      <w:r>
        <w:t>1</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"_Toc240476527" </w:instrText>
      </w:r>
      <w:r>
        <w:fldChar w:fldCharType="separate"/>
      </w:r>
      <w:r>
        <w:rPr>
          <w:rStyle w:val="39"/>
        </w:rPr>
        <w:t>2 规范性引用文件</w:t>
      </w:r>
      <w:r>
        <w:tab/>
      </w:r>
      <w:r>
        <w:fldChar w:fldCharType="begin"/>
      </w:r>
      <w:r>
        <w:instrText xml:space="preserve"> PAGEREF _Toc240476527 \h </w:instrText>
      </w:r>
      <w:r>
        <w:fldChar w:fldCharType="separate"/>
      </w:r>
      <w:r>
        <w:t>1</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"_Toc240476528" </w:instrText>
      </w:r>
      <w:r>
        <w:fldChar w:fldCharType="separate"/>
      </w:r>
      <w:r>
        <w:rPr>
          <w:rStyle w:val="39"/>
        </w:rPr>
        <w:t>3 术语和定义</w:t>
      </w:r>
      <w:r>
        <w:tab/>
      </w:r>
      <w:r>
        <w:fldChar w:fldCharType="begin"/>
      </w:r>
      <w:r>
        <w:instrText xml:space="preserve"> PAGEREF _Toc240476528 \h </w:instrText>
      </w:r>
      <w:r>
        <w:fldChar w:fldCharType="separate"/>
      </w:r>
      <w:r>
        <w:t>1</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"_Toc240476529" </w:instrText>
      </w:r>
      <w:r>
        <w:fldChar w:fldCharType="separate"/>
      </w:r>
      <w:r>
        <w:rPr>
          <w:rStyle w:val="39"/>
        </w:rPr>
        <w:t>4 符号</w:t>
      </w:r>
      <w:r>
        <w:tab/>
      </w:r>
      <w:r>
        <w:fldChar w:fldCharType="begin"/>
      </w:r>
      <w:r>
        <w:instrText xml:space="preserve"> PAGEREF _Toc240476529 \h </w:instrText>
      </w:r>
      <w:r>
        <w:fldChar w:fldCharType="separate"/>
      </w:r>
      <w:r>
        <w:t>2</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"_Toc240476530" </w:instrText>
      </w:r>
      <w:r>
        <w:fldChar w:fldCharType="separate"/>
      </w:r>
      <w:r>
        <w:rPr>
          <w:rStyle w:val="39"/>
          <w:rFonts w:hAnsi="黑体"/>
          <w14:scene3d>
            <w14:lightRig w14:rig="threePt" w14:dir="t">
              <w14:rot w14:lat="0" w14:lon="0" w14:rev="0"/>
            </w14:lightRig>
          </w14:scene3d>
        </w:rPr>
        <w:t>4.1</w:t>
      </w:r>
      <w:r>
        <w:rPr>
          <w:rStyle w:val="39"/>
        </w:rPr>
        <w:t xml:space="preserve"> 病害特征指标</w:t>
      </w:r>
      <w:r>
        <w:tab/>
      </w:r>
      <w:r>
        <w:fldChar w:fldCharType="begin"/>
      </w:r>
      <w:r>
        <w:instrText xml:space="preserve"> PAGEREF _Toc240476530 \h </w:instrText>
      </w:r>
      <w:r>
        <w:fldChar w:fldCharType="separate"/>
      </w:r>
      <w:r>
        <w:t>2</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"_Toc240476531" </w:instrText>
      </w:r>
      <w:r>
        <w:fldChar w:fldCharType="separate"/>
      </w:r>
      <w:r>
        <w:rPr>
          <w:rStyle w:val="39"/>
          <w:rFonts w:hAnsi="黑体"/>
          <w14:scene3d>
            <w14:lightRig w14:rig="threePt" w14:dir="t">
              <w14:rot w14:lat="0" w14:lon="0" w14:rev="0"/>
            </w14:lightRig>
          </w14:scene3d>
        </w:rPr>
        <w:t>4.2</w:t>
      </w:r>
      <w:r>
        <w:rPr>
          <w:rStyle w:val="39"/>
        </w:rPr>
        <w:t xml:space="preserve"> 道路特征指标</w:t>
      </w:r>
      <w:r>
        <w:tab/>
      </w:r>
      <w:r>
        <w:fldChar w:fldCharType="begin"/>
      </w:r>
      <w:r>
        <w:instrText xml:space="preserve"> PAGEREF _Toc240476531 \h </w:instrText>
      </w:r>
      <w:r>
        <w:fldChar w:fldCharType="separate"/>
      </w:r>
      <w:r>
        <w:t>2</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"_Toc240476532" </w:instrText>
      </w:r>
      <w:r>
        <w:fldChar w:fldCharType="separate"/>
      </w:r>
      <w:r>
        <w:rPr>
          <w:rStyle w:val="39"/>
          <w:rFonts w:hAnsi="黑体"/>
          <w14:scene3d>
            <w14:lightRig w14:rig="threePt" w14:dir="t">
              <w14:rot w14:lat="0" w14:lon="0" w14:rev="0"/>
            </w14:lightRig>
          </w14:scene3d>
        </w:rPr>
        <w:t>4.3</w:t>
      </w:r>
      <w:r>
        <w:rPr>
          <w:rStyle w:val="39"/>
        </w:rPr>
        <w:t xml:space="preserve"> 病害影响评价指标</w:t>
      </w:r>
      <w:r>
        <w:tab/>
      </w:r>
      <w:r>
        <w:fldChar w:fldCharType="begin"/>
      </w:r>
      <w:r>
        <w:instrText xml:space="preserve"> PAGEREF _Toc240476532 \h </w:instrText>
      </w:r>
      <w:r>
        <w:fldChar w:fldCharType="separate"/>
      </w:r>
      <w:r>
        <w:t>2</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"_Toc240476533" </w:instrText>
      </w:r>
      <w:r>
        <w:fldChar w:fldCharType="separate"/>
      </w:r>
      <w:r>
        <w:rPr>
          <w:rStyle w:val="39"/>
          <w:rFonts w:hAnsi="黑体"/>
          <w14:scene3d>
            <w14:lightRig w14:rig="threePt" w14:dir="t">
              <w14:rot w14:lat="0" w14:lon="0" w14:rev="0"/>
            </w14:lightRig>
          </w14:scene3d>
        </w:rPr>
        <w:t>4.4</w:t>
      </w:r>
      <w:r>
        <w:rPr>
          <w:rStyle w:val="39"/>
        </w:rPr>
        <w:t xml:space="preserve"> 快速维修性能指标</w:t>
      </w:r>
      <w:r>
        <w:tab/>
      </w:r>
      <w:r>
        <w:fldChar w:fldCharType="begin"/>
      </w:r>
      <w:r>
        <w:instrText xml:space="preserve"> PAGEREF _Toc240476533 \h </w:instrText>
      </w:r>
      <w:r>
        <w:fldChar w:fldCharType="separate"/>
      </w:r>
      <w:r>
        <w:t>3</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"_Toc240476534" </w:instrText>
      </w:r>
      <w:r>
        <w:fldChar w:fldCharType="separate"/>
      </w:r>
      <w:r>
        <w:rPr>
          <w:rStyle w:val="39"/>
        </w:rPr>
        <w:t>5 基本规定</w:t>
      </w:r>
      <w:r>
        <w:tab/>
      </w:r>
      <w:r>
        <w:fldChar w:fldCharType="begin"/>
      </w:r>
      <w:r>
        <w:instrText xml:space="preserve"> PAGEREF _Toc240476534 \h </w:instrText>
      </w:r>
      <w:r>
        <w:fldChar w:fldCharType="separate"/>
      </w:r>
      <w:r>
        <w:t>3</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"_Toc240476535" </w:instrText>
      </w:r>
      <w:r>
        <w:fldChar w:fldCharType="separate"/>
      </w:r>
      <w:r>
        <w:rPr>
          <w:rStyle w:val="39"/>
        </w:rPr>
        <w:t>6 路面病害分类</w:t>
      </w:r>
      <w:r>
        <w:tab/>
      </w:r>
      <w:r>
        <w:fldChar w:fldCharType="begin"/>
      </w:r>
      <w:r>
        <w:instrText xml:space="preserve"> PAGEREF _Toc240476535 \h </w:instrText>
      </w:r>
      <w:r>
        <w:fldChar w:fldCharType="separate"/>
      </w:r>
      <w:r>
        <w:t>3</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"_Toc240476536" </w:instrText>
      </w:r>
      <w:r>
        <w:fldChar w:fldCharType="separate"/>
      </w:r>
      <w:r>
        <w:rPr>
          <w:rStyle w:val="39"/>
        </w:rPr>
        <w:t>7 路面病害的路面结构安全效应</w:t>
      </w:r>
      <w:r>
        <w:tab/>
      </w:r>
      <w:r>
        <w:fldChar w:fldCharType="begin"/>
      </w:r>
      <w:r>
        <w:instrText xml:space="preserve"> PAGEREF _Toc240476536 \h </w:instrText>
      </w:r>
      <w:r>
        <w:fldChar w:fldCharType="separate"/>
      </w:r>
      <w:r>
        <w:t>4</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"_Toc240476537" </w:instrText>
      </w:r>
      <w:r>
        <w:fldChar w:fldCharType="separate"/>
      </w:r>
      <w:r>
        <w:rPr>
          <w:rStyle w:val="39"/>
          <w:rFonts w:hAnsi="黑体"/>
          <w14:scene3d>
            <w14:lightRig w14:rig="threePt" w14:dir="t">
              <w14:rot w14:lat="0" w14:lon="0" w14:rev="0"/>
            </w14:lightRig>
          </w14:scene3d>
        </w:rPr>
        <w:t>7.1</w:t>
      </w:r>
      <w:r>
        <w:rPr>
          <w:rStyle w:val="39"/>
        </w:rPr>
        <w:t xml:space="preserve"> 路面结构安全效应</w:t>
      </w:r>
      <w:r>
        <w:tab/>
      </w:r>
      <w:r>
        <w:fldChar w:fldCharType="begin"/>
      </w:r>
      <w:r>
        <w:instrText xml:space="preserve"> PAGEREF _Toc240476537 \h </w:instrText>
      </w:r>
      <w:r>
        <w:fldChar w:fldCharType="separate"/>
      </w:r>
      <w:r>
        <w:t>4</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"_Toc240476538" </w:instrText>
      </w:r>
      <w:r>
        <w:fldChar w:fldCharType="separate"/>
      </w:r>
      <w:r>
        <w:rPr>
          <w:rStyle w:val="39"/>
          <w:rFonts w:hAnsi="黑体"/>
          <w14:scene3d>
            <w14:lightRig w14:rig="threePt" w14:dir="t">
              <w14:rot w14:lat="0" w14:lon="0" w14:rev="0"/>
            </w14:lightRig>
          </w14:scene3d>
        </w:rPr>
        <w:t>7.2</w:t>
      </w:r>
      <w:r>
        <w:rPr>
          <w:rStyle w:val="39"/>
        </w:rPr>
        <w:t xml:space="preserve"> 结构安全指数计算</w:t>
      </w:r>
      <w:r>
        <w:tab/>
      </w:r>
      <w:r>
        <w:fldChar w:fldCharType="begin"/>
      </w:r>
      <w:r>
        <w:instrText xml:space="preserve"> PAGEREF _Toc240476538 \h </w:instrText>
      </w:r>
      <w:r>
        <w:fldChar w:fldCharType="separate"/>
      </w:r>
      <w:r>
        <w:t>4</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"_Toc240476539" </w:instrText>
      </w:r>
      <w:r>
        <w:fldChar w:fldCharType="separate"/>
      </w:r>
      <w:r>
        <w:rPr>
          <w:rStyle w:val="39"/>
          <w:rFonts w:hAnsi="黑体"/>
          <w14:scene3d>
            <w14:lightRig w14:rig="threePt" w14:dir="t">
              <w14:rot w14:lat="0" w14:lon="0" w14:rev="0"/>
            </w14:lightRig>
          </w14:scene3d>
        </w:rPr>
        <w:t>7.3</w:t>
      </w:r>
      <w:r>
        <w:rPr>
          <w:rStyle w:val="39"/>
        </w:rPr>
        <w:t xml:space="preserve"> 路面病害结构安全指数</w:t>
      </w:r>
      <w:r>
        <w:tab/>
      </w:r>
      <w:r>
        <w:fldChar w:fldCharType="begin"/>
      </w:r>
      <w:r>
        <w:instrText xml:space="preserve"> PAGEREF _Toc240476539 \h </w:instrText>
      </w:r>
      <w:r>
        <w:fldChar w:fldCharType="separate"/>
      </w:r>
      <w:r>
        <w:t>5</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"_Toc240476540" </w:instrText>
      </w:r>
      <w:r>
        <w:fldChar w:fldCharType="separate"/>
      </w:r>
      <w:r>
        <w:rPr>
          <w:rStyle w:val="39"/>
        </w:rPr>
        <w:t>8 路面病害的交通运行安全效应</w:t>
      </w:r>
      <w:r>
        <w:tab/>
      </w:r>
      <w:r>
        <w:fldChar w:fldCharType="begin"/>
      </w:r>
      <w:r>
        <w:instrText xml:space="preserve"> PAGEREF _Toc240476540 \h </w:instrText>
      </w:r>
      <w:r>
        <w:fldChar w:fldCharType="separate"/>
      </w:r>
      <w:r>
        <w:t>5</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"_Toc240476541" </w:instrText>
      </w:r>
      <w:r>
        <w:fldChar w:fldCharType="separate"/>
      </w:r>
      <w:r>
        <w:rPr>
          <w:rStyle w:val="39"/>
          <w:rFonts w:hAnsi="黑体"/>
          <w14:scene3d>
            <w14:lightRig w14:rig="threePt" w14:dir="t">
              <w14:rot w14:lat="0" w14:lon="0" w14:rev="0"/>
            </w14:lightRig>
          </w14:scene3d>
        </w:rPr>
        <w:t>8.1</w:t>
      </w:r>
      <w:r>
        <w:rPr>
          <w:rStyle w:val="39"/>
        </w:rPr>
        <w:t xml:space="preserve"> 交通运行安全效应</w:t>
      </w:r>
      <w:r>
        <w:tab/>
      </w:r>
      <w:r>
        <w:fldChar w:fldCharType="begin"/>
      </w:r>
      <w:r>
        <w:instrText xml:space="preserve"> PAGEREF _Toc240476541 \h </w:instrText>
      </w:r>
      <w:r>
        <w:fldChar w:fldCharType="separate"/>
      </w:r>
      <w:r>
        <w:t>5</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"_Toc240476542" </w:instrText>
      </w:r>
      <w:r>
        <w:fldChar w:fldCharType="separate"/>
      </w:r>
      <w:r>
        <w:rPr>
          <w:rStyle w:val="39"/>
          <w:rFonts w:hAnsi="黑体"/>
          <w14:scene3d>
            <w14:lightRig w14:rig="threePt" w14:dir="t">
              <w14:rot w14:lat="0" w14:lon="0" w14:rev="0"/>
            </w14:lightRig>
          </w14:scene3d>
        </w:rPr>
        <w:t>8.2</w:t>
      </w:r>
      <w:r>
        <w:rPr>
          <w:rStyle w:val="39"/>
        </w:rPr>
        <w:t xml:space="preserve"> 运行安全指数计算</w:t>
      </w:r>
      <w:r>
        <w:tab/>
      </w:r>
      <w:r>
        <w:fldChar w:fldCharType="begin"/>
      </w:r>
      <w:r>
        <w:instrText xml:space="preserve"> PAGEREF _Toc240476542 \h </w:instrText>
      </w:r>
      <w:r>
        <w:fldChar w:fldCharType="separate"/>
      </w:r>
      <w:r>
        <w:t>5</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"_Toc240476543" </w:instrText>
      </w:r>
      <w:r>
        <w:fldChar w:fldCharType="separate"/>
      </w:r>
      <w:r>
        <w:rPr>
          <w:rStyle w:val="39"/>
          <w:rFonts w:hAnsi="黑体"/>
          <w14:scene3d>
            <w14:lightRig w14:rig="threePt" w14:dir="t">
              <w14:rot w14:lat="0" w14:lon="0" w14:rev="0"/>
            </w14:lightRig>
          </w14:scene3d>
        </w:rPr>
        <w:t>8.3</w:t>
      </w:r>
      <w:r>
        <w:rPr>
          <w:rStyle w:val="39"/>
        </w:rPr>
        <w:t xml:space="preserve"> 路面病害运行安全指数</w:t>
      </w:r>
      <w:r>
        <w:tab/>
      </w:r>
      <w:r>
        <w:fldChar w:fldCharType="begin"/>
      </w:r>
      <w:r>
        <w:instrText xml:space="preserve"> PAGEREF _Toc240476543 \h </w:instrText>
      </w:r>
      <w:r>
        <w:fldChar w:fldCharType="separate"/>
      </w:r>
      <w:r>
        <w:t>6</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"_Toc240476544" </w:instrText>
      </w:r>
      <w:r>
        <w:fldChar w:fldCharType="separate"/>
      </w:r>
      <w:r>
        <w:rPr>
          <w:rStyle w:val="39"/>
        </w:rPr>
        <w:t>9 路面病害的驾驶舒适性效应</w:t>
      </w:r>
      <w:r>
        <w:tab/>
      </w:r>
      <w:r>
        <w:fldChar w:fldCharType="begin"/>
      </w:r>
      <w:r>
        <w:instrText xml:space="preserve"> PAGEREF _Toc240476544 \h </w:instrText>
      </w:r>
      <w:r>
        <w:fldChar w:fldCharType="separate"/>
      </w:r>
      <w:r>
        <w:t>6</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"_Toc240476545" </w:instrText>
      </w:r>
      <w:r>
        <w:fldChar w:fldCharType="separate"/>
      </w:r>
      <w:r>
        <w:rPr>
          <w:rStyle w:val="39"/>
          <w:rFonts w:hAnsi="黑体"/>
          <w14:scene3d>
            <w14:lightRig w14:rig="threePt" w14:dir="t">
              <w14:rot w14:lat="0" w14:lon="0" w14:rev="0"/>
            </w14:lightRig>
          </w14:scene3d>
        </w:rPr>
        <w:t>9.1</w:t>
      </w:r>
      <w:r>
        <w:rPr>
          <w:rStyle w:val="39"/>
        </w:rPr>
        <w:t xml:space="preserve"> 驾驶舒适性效应</w:t>
      </w:r>
      <w:r>
        <w:tab/>
      </w:r>
      <w:r>
        <w:fldChar w:fldCharType="begin"/>
      </w:r>
      <w:r>
        <w:instrText xml:space="preserve"> PAGEREF _Toc240476545 \h </w:instrText>
      </w:r>
      <w:r>
        <w:fldChar w:fldCharType="separate"/>
      </w:r>
      <w:r>
        <w:t>6</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"_Toc240476546" </w:instrText>
      </w:r>
      <w:r>
        <w:fldChar w:fldCharType="separate"/>
      </w:r>
      <w:r>
        <w:rPr>
          <w:rStyle w:val="39"/>
          <w:rFonts w:hAnsi="黑体"/>
          <w14:scene3d>
            <w14:lightRig w14:rig="threePt" w14:dir="t">
              <w14:rot w14:lat="0" w14:lon="0" w14:rev="0"/>
            </w14:lightRig>
          </w14:scene3d>
        </w:rPr>
        <w:t>9.2</w:t>
      </w:r>
      <w:r>
        <w:rPr>
          <w:rStyle w:val="39"/>
        </w:rPr>
        <w:t xml:space="preserve"> 驾驶舒适指数计算</w:t>
      </w:r>
      <w:r>
        <w:tab/>
      </w:r>
      <w:r>
        <w:fldChar w:fldCharType="begin"/>
      </w:r>
      <w:r>
        <w:instrText xml:space="preserve"> PAGEREF _Toc240476546 \h </w:instrText>
      </w:r>
      <w:r>
        <w:fldChar w:fldCharType="separate"/>
      </w:r>
      <w:r>
        <w:t>6</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"_Toc240476547" </w:instrText>
      </w:r>
      <w:r>
        <w:fldChar w:fldCharType="separate"/>
      </w:r>
      <w:r>
        <w:rPr>
          <w:rStyle w:val="39"/>
          <w:rFonts w:hAnsi="黑体"/>
          <w14:scene3d>
            <w14:lightRig w14:rig="threePt" w14:dir="t">
              <w14:rot w14:lat="0" w14:lon="0" w14:rev="0"/>
            </w14:lightRig>
          </w14:scene3d>
        </w:rPr>
        <w:t>9.3</w:t>
      </w:r>
      <w:r>
        <w:rPr>
          <w:rStyle w:val="39"/>
        </w:rPr>
        <w:t xml:space="preserve"> 路面病害驾驶舒适指数</w:t>
      </w:r>
      <w:r>
        <w:tab/>
      </w:r>
      <w:r>
        <w:fldChar w:fldCharType="begin"/>
      </w:r>
      <w:r>
        <w:instrText xml:space="preserve"> PAGEREF _Toc240476547 \h </w:instrText>
      </w:r>
      <w:r>
        <w:fldChar w:fldCharType="separate"/>
      </w:r>
      <w:r>
        <w:t>7</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"_Toc240476548" </w:instrText>
      </w:r>
      <w:r>
        <w:fldChar w:fldCharType="separate"/>
      </w:r>
      <w:r>
        <w:rPr>
          <w:rStyle w:val="39"/>
        </w:rPr>
        <w:t>10 路面病害的城市景观效应</w:t>
      </w:r>
      <w:r>
        <w:tab/>
      </w:r>
      <w:r>
        <w:fldChar w:fldCharType="begin"/>
      </w:r>
      <w:r>
        <w:instrText xml:space="preserve"> PAGEREF _Toc240476548 \h </w:instrText>
      </w:r>
      <w:r>
        <w:fldChar w:fldCharType="separate"/>
      </w:r>
      <w:r>
        <w:t>8</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"_Toc240476549" </w:instrText>
      </w:r>
      <w:r>
        <w:fldChar w:fldCharType="separate"/>
      </w:r>
      <w:r>
        <w:rPr>
          <w:rStyle w:val="39"/>
          <w:rFonts w:hAnsi="黑体"/>
          <w14:scene3d>
            <w14:lightRig w14:rig="threePt" w14:dir="t">
              <w14:rot w14:lat="0" w14:lon="0" w14:rev="0"/>
            </w14:lightRig>
          </w14:scene3d>
        </w:rPr>
        <w:t>10.1</w:t>
      </w:r>
      <w:r>
        <w:rPr>
          <w:rStyle w:val="39"/>
        </w:rPr>
        <w:t xml:space="preserve"> 城市景观效应</w:t>
      </w:r>
      <w:r>
        <w:tab/>
      </w:r>
      <w:r>
        <w:fldChar w:fldCharType="begin"/>
      </w:r>
      <w:r>
        <w:instrText xml:space="preserve"> PAGEREF _Toc240476549 \h </w:instrText>
      </w:r>
      <w:r>
        <w:fldChar w:fldCharType="separate"/>
      </w:r>
      <w:r>
        <w:t>8</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"_Toc240476550" </w:instrText>
      </w:r>
      <w:r>
        <w:fldChar w:fldCharType="separate"/>
      </w:r>
      <w:r>
        <w:rPr>
          <w:rStyle w:val="39"/>
          <w:rFonts w:hAnsi="黑体"/>
          <w14:scene3d>
            <w14:lightRig w14:rig="threePt" w14:dir="t">
              <w14:rot w14:lat="0" w14:lon="0" w14:rev="0"/>
            </w14:lightRig>
          </w14:scene3d>
        </w:rPr>
        <w:t>10.2</w:t>
      </w:r>
      <w:r>
        <w:rPr>
          <w:rStyle w:val="39"/>
        </w:rPr>
        <w:t xml:space="preserve"> 病害城市景观指数计算</w:t>
      </w:r>
      <w:r>
        <w:tab/>
      </w:r>
      <w:r>
        <w:fldChar w:fldCharType="begin"/>
      </w:r>
      <w:r>
        <w:instrText xml:space="preserve"> PAGEREF _Toc240476550 \h </w:instrText>
      </w:r>
      <w:r>
        <w:fldChar w:fldCharType="separate"/>
      </w:r>
      <w:r>
        <w:t>8</w:t>
      </w:r>
      <w:r>
        <w:fldChar w:fldCharType="end"/>
      </w:r>
      <w:r>
        <w:fldChar w:fldCharType="end"/>
      </w:r>
    </w:p>
    <w:p>
      <w:pPr>
        <w:pStyle w:val="28"/>
        <w:rPr>
          <w:rFonts w:asciiTheme="minorHAnsi" w:hAnsiTheme="minorHAnsi" w:eastAsiaTheme="minorEastAsia" w:cstheme="minorBidi"/>
          <w:szCs w:val="22"/>
        </w:rPr>
      </w:pPr>
      <w:r>
        <w:fldChar w:fldCharType="begin"/>
      </w:r>
      <w:r>
        <w:instrText xml:space="preserve"> HYPERLINK \l "_Toc240476551" </w:instrText>
      </w:r>
      <w:r>
        <w:fldChar w:fldCharType="separate"/>
      </w:r>
      <w:r>
        <w:rPr>
          <w:rStyle w:val="39"/>
          <w:rFonts w:hAnsi="黑体"/>
          <w14:scene3d>
            <w14:lightRig w14:rig="threePt" w14:dir="t">
              <w14:rot w14:lat="0" w14:lon="0" w14:rev="0"/>
            </w14:lightRig>
          </w14:scene3d>
        </w:rPr>
        <w:t>10.3</w:t>
      </w:r>
      <w:r>
        <w:rPr>
          <w:rStyle w:val="39"/>
        </w:rPr>
        <w:t xml:space="preserve"> 路面病害城市景观指数</w:t>
      </w:r>
      <w:r>
        <w:tab/>
      </w:r>
      <w:r>
        <w:fldChar w:fldCharType="begin"/>
      </w:r>
      <w:r>
        <w:instrText xml:space="preserve"> PAGEREF _Toc240476551 \h </w:instrText>
      </w:r>
      <w:r>
        <w:fldChar w:fldCharType="separate"/>
      </w:r>
      <w:r>
        <w:t>9</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"_Toc240476552" </w:instrText>
      </w:r>
      <w:r>
        <w:fldChar w:fldCharType="separate"/>
      </w:r>
      <w:r>
        <w:rPr>
          <w:rStyle w:val="39"/>
        </w:rPr>
        <w:t>11 路面病害维养需求分级</w:t>
      </w:r>
      <w:r>
        <w:tab/>
      </w:r>
      <w:r>
        <w:fldChar w:fldCharType="begin"/>
      </w:r>
      <w:r>
        <w:instrText xml:space="preserve"> PAGEREF _Toc240476552 \h </w:instrText>
      </w:r>
      <w:r>
        <w:fldChar w:fldCharType="separate"/>
      </w:r>
      <w:r>
        <w:t>9</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"_Toc240476553" </w:instrText>
      </w:r>
      <w:r>
        <w:fldChar w:fldCharType="separate"/>
      </w:r>
      <w:r>
        <w:rPr>
          <w:rStyle w:val="39"/>
          <w:rFonts w:hAnsi="黑体" w:cs="黑体"/>
          <w:snapToGrid w:val="0"/>
        </w:rPr>
        <w:t>12</w:t>
      </w:r>
      <w:r>
        <w:rPr>
          <w:rStyle w:val="39"/>
        </w:rPr>
        <w:t xml:space="preserve"> 裂缝病害快速维修技术</w:t>
      </w:r>
      <w:r>
        <w:tab/>
      </w:r>
      <w:r>
        <w:fldChar w:fldCharType="begin"/>
      </w:r>
      <w:r>
        <w:instrText xml:space="preserve"> PAGEREF _Toc240476553 \h </w:instrText>
      </w:r>
      <w:r>
        <w:fldChar w:fldCharType="separate"/>
      </w:r>
      <w:r>
        <w:t>12</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"_Toc240476554" </w:instrText>
      </w:r>
      <w:r>
        <w:fldChar w:fldCharType="separate"/>
      </w:r>
      <w:r>
        <w:rPr>
          <w:rStyle w:val="39"/>
          <w:rFonts w:hAnsi="黑体" w:cs="黑体"/>
          <w:snapToGrid w:val="0"/>
        </w:rPr>
        <w:t>13</w:t>
      </w:r>
      <w:r>
        <w:rPr>
          <w:rStyle w:val="39"/>
        </w:rPr>
        <w:t xml:space="preserve"> 坑槽病害快速维修技术</w:t>
      </w:r>
      <w:r>
        <w:tab/>
      </w:r>
      <w:r>
        <w:fldChar w:fldCharType="begin"/>
      </w:r>
      <w:r>
        <w:instrText xml:space="preserve"> PAGEREF _Toc240476554 \h </w:instrText>
      </w:r>
      <w:r>
        <w:fldChar w:fldCharType="separate"/>
      </w:r>
      <w:r>
        <w:t>13</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"_Toc240476555" </w:instrText>
      </w:r>
      <w:r>
        <w:fldChar w:fldCharType="separate"/>
      </w:r>
      <w:r>
        <w:rPr>
          <w:rStyle w:val="39"/>
          <w:rFonts w:hAnsi="黑体" w:cs="黑体"/>
          <w:snapToGrid w:val="0"/>
        </w:rPr>
        <w:t>14</w:t>
      </w:r>
      <w:r>
        <w:rPr>
          <w:rStyle w:val="39"/>
        </w:rPr>
        <w:t xml:space="preserve"> 车辙病害快速维修技术</w:t>
      </w:r>
      <w:r>
        <w:tab/>
      </w:r>
      <w:r>
        <w:fldChar w:fldCharType="begin"/>
      </w:r>
      <w:r>
        <w:instrText xml:space="preserve"> PAGEREF _Toc240476555 \h </w:instrText>
      </w:r>
      <w:r>
        <w:fldChar w:fldCharType="separate"/>
      </w:r>
      <w:r>
        <w:t>15</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"_Toc240476556" </w:instrText>
      </w:r>
      <w:r>
        <w:fldChar w:fldCharType="separate"/>
      </w:r>
      <w:r>
        <w:rPr>
          <w:rStyle w:val="39"/>
          <w:rFonts w:hAnsi="黑体" w:cs="黑体"/>
          <w:snapToGrid w:val="0"/>
        </w:rPr>
        <w:t>15</w:t>
      </w:r>
      <w:r>
        <w:rPr>
          <w:rStyle w:val="39"/>
          <w:rFonts w:hAnsi="黑体"/>
        </w:rPr>
        <w:t xml:space="preserve"> 拥包</w:t>
      </w:r>
      <w:r>
        <w:rPr>
          <w:rStyle w:val="39"/>
        </w:rPr>
        <w:t>病害快速维修技术</w:t>
      </w:r>
      <w:r>
        <w:tab/>
      </w:r>
      <w:r>
        <w:fldChar w:fldCharType="begin"/>
      </w:r>
      <w:r>
        <w:instrText xml:space="preserve"> PAGEREF _Toc240476556 \h </w:instrText>
      </w:r>
      <w:r>
        <w:fldChar w:fldCharType="separate"/>
      </w:r>
      <w:r>
        <w:t>17</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"_Toc240476557" </w:instrText>
      </w:r>
      <w:r>
        <w:fldChar w:fldCharType="separate"/>
      </w:r>
      <w:r>
        <w:rPr>
          <w:rStyle w:val="39"/>
          <w:rFonts w:hAnsi="黑体" w:cs="黑体"/>
          <w:snapToGrid w:val="0"/>
        </w:rPr>
        <w:t>16</w:t>
      </w:r>
      <w:r>
        <w:rPr>
          <w:rStyle w:val="39"/>
          <w:rFonts w:hAnsi="黑体"/>
        </w:rPr>
        <w:t xml:space="preserve"> 沉陷</w:t>
      </w:r>
      <w:r>
        <w:rPr>
          <w:rStyle w:val="39"/>
        </w:rPr>
        <w:t>病害快速维修技术</w:t>
      </w:r>
      <w:r>
        <w:tab/>
      </w:r>
      <w:r>
        <w:fldChar w:fldCharType="begin"/>
      </w:r>
      <w:r>
        <w:instrText xml:space="preserve"> PAGEREF _Toc240476557 \h </w:instrText>
      </w:r>
      <w:r>
        <w:fldChar w:fldCharType="separate"/>
      </w:r>
      <w:r>
        <w:t>18</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"_Toc240476558" </w:instrText>
      </w:r>
      <w:r>
        <w:fldChar w:fldCharType="separate"/>
      </w:r>
      <w:r>
        <w:rPr>
          <w:rStyle w:val="39"/>
          <w:rFonts w:hAnsi="黑体" w:cs="黑体"/>
          <w:snapToGrid w:val="0"/>
        </w:rPr>
        <w:t>17</w:t>
      </w:r>
      <w:r>
        <w:rPr>
          <w:rStyle w:val="39"/>
          <w:rFonts w:hAnsi="黑体"/>
        </w:rPr>
        <w:t xml:space="preserve"> 维修效果检验与评价</w:t>
      </w:r>
      <w:r>
        <w:tab/>
      </w:r>
      <w:r>
        <w:fldChar w:fldCharType="begin"/>
      </w:r>
      <w:r>
        <w:instrText xml:space="preserve"> PAGEREF _Toc240476558 \h </w:instrText>
      </w:r>
      <w:r>
        <w:fldChar w:fldCharType="separate"/>
      </w:r>
      <w:r>
        <w:t>18</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"_Toc240476559" </w:instrText>
      </w:r>
      <w:r>
        <w:fldChar w:fldCharType="separate"/>
      </w:r>
      <w:r>
        <w:rPr>
          <w:rStyle w:val="39"/>
          <w:rFonts w:hAnsi="黑体" w:cs="黑体"/>
          <w:snapToGrid w:val="0"/>
        </w:rPr>
        <w:t>18</w:t>
      </w:r>
      <w:r>
        <w:rPr>
          <w:rStyle w:val="39"/>
          <w:rFonts w:hAnsi="黑体"/>
        </w:rPr>
        <w:t xml:space="preserve"> 标准实施及评价</w:t>
      </w:r>
      <w:r>
        <w:tab/>
      </w:r>
      <w:r>
        <w:fldChar w:fldCharType="begin"/>
      </w:r>
      <w:r>
        <w:instrText xml:space="preserve"> PAGEREF _Toc240476559 \h </w:instrText>
      </w:r>
      <w:r>
        <w:fldChar w:fldCharType="separate"/>
      </w:r>
      <w:r>
        <w:t>19</w:t>
      </w:r>
      <w:r>
        <w:fldChar w:fldCharType="end"/>
      </w:r>
      <w:r>
        <w:fldChar w:fldCharType="end"/>
      </w:r>
    </w:p>
    <w:p>
      <w:pPr>
        <w:pStyle w:val="23"/>
        <w:tabs>
          <w:tab w:val="right" w:leader="dot" w:pos="9344"/>
        </w:tabs>
        <w:rPr>
          <w:rFonts w:asciiTheme="minorHAnsi" w:hAnsiTheme="minorHAnsi" w:eastAsiaTheme="minorEastAsia" w:cstheme="minorBidi"/>
          <w:szCs w:val="22"/>
        </w:rPr>
      </w:pPr>
      <w:r>
        <w:fldChar w:fldCharType="begin"/>
      </w:r>
      <w:r>
        <w:instrText xml:space="preserve"> HYPERLINK \l "_Toc240476560" </w:instrText>
      </w:r>
      <w:r>
        <w:fldChar w:fldCharType="separate"/>
      </w:r>
      <w:r>
        <w:rPr>
          <w:rStyle w:val="39"/>
          <w:spacing w:val="100"/>
        </w:rPr>
        <w:t>附录A</w:t>
      </w:r>
      <w:r>
        <w:rPr>
          <w:rStyle w:val="39"/>
        </w:rPr>
        <w:t xml:space="preserve"> （资料性） 湖北省地方标准实施信息及意见反馈表</w:t>
      </w:r>
      <w:r>
        <w:tab/>
      </w:r>
      <w:r>
        <w:fldChar w:fldCharType="begin"/>
      </w:r>
      <w:r>
        <w:instrText xml:space="preserve"> PAGEREF _Toc240476560 \h </w:instrText>
      </w:r>
      <w:r>
        <w:fldChar w:fldCharType="separate"/>
      </w:r>
      <w:r>
        <w:t>20</w:t>
      </w:r>
      <w:r>
        <w:fldChar w:fldCharType="end"/>
      </w:r>
      <w:r>
        <w:fldChar w:fldCharType="end"/>
      </w:r>
    </w:p>
    <w:p>
      <w:pPr>
        <w:pStyle w:val="99"/>
        <w:spacing w:after="468"/>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5"/>
    <w:p>
      <w:pPr>
        <w:pStyle w:val="97"/>
        <w:spacing w:after="468"/>
      </w:pPr>
      <w:bookmarkStart w:id="16" w:name="_Toc240476524"/>
      <w:bookmarkStart w:id="17" w:name="BookMark2"/>
      <w:r>
        <w:rPr>
          <w:rFonts w:hint="eastAsia"/>
          <w:spacing w:val="320"/>
        </w:rPr>
        <w:t>前</w:t>
      </w:r>
      <w:r>
        <w:rPr>
          <w:rFonts w:hint="eastAsia"/>
        </w:rPr>
        <w:t>言</w:t>
      </w:r>
      <w:bookmarkEnd w:id="16"/>
    </w:p>
    <w:p>
      <w:pPr>
        <w:pStyle w:val="64"/>
        <w:ind w:firstLine="420"/>
      </w:pPr>
      <w:r>
        <w:rPr>
          <w:rFonts w:hint="eastAsia"/>
        </w:rPr>
        <w:t>本文件按照GB/T 1.1—2020《标准化工作导则  第1部分：标准化文件的结构和起草规则》的规定起草。</w:t>
      </w:r>
    </w:p>
    <w:p>
      <w:pPr>
        <w:pStyle w:val="238"/>
        <w:wordWrap w:val="0"/>
        <w:jc w:val="both"/>
      </w:pPr>
      <w:r>
        <w:rPr>
          <w:rFonts w:hint="eastAsia" w:hAnsi="宋体" w:cs="宋体"/>
          <w:szCs w:val="21"/>
        </w:rPr>
        <w:t>请注意本文件的某些内容可能涉及专利。本文件的发布机构不承担识别专利的责任。</w:t>
      </w:r>
    </w:p>
    <w:p>
      <w:pPr>
        <w:pStyle w:val="238"/>
        <w:wordWrap w:val="0"/>
        <w:jc w:val="both"/>
        <w:rPr>
          <w:rFonts w:hAnsi="宋体" w:cs="宋体"/>
          <w:szCs w:val="21"/>
        </w:rPr>
      </w:pPr>
      <w:r>
        <w:rPr>
          <w:rFonts w:hint="eastAsia" w:hAnsi="宋体" w:cs="宋体"/>
          <w:szCs w:val="21"/>
        </w:rPr>
        <w:t>本文件由</w:t>
      </w:r>
      <w:r>
        <w:rPr>
          <w:rFonts w:hint="eastAsia"/>
          <w:color w:val="000000" w:themeColor="text1"/>
          <w14:textFill>
            <w14:solidFill>
              <w14:schemeClr w14:val="tx1"/>
            </w14:solidFill>
          </w14:textFill>
        </w:rPr>
        <w:t>湖北省住房和城乡建设厅</w:t>
      </w:r>
      <w:r>
        <w:rPr>
          <w:rFonts w:hint="eastAsia" w:hAnsi="宋体" w:cs="宋体"/>
          <w:szCs w:val="21"/>
        </w:rPr>
        <w:t>提出并归口。</w:t>
      </w:r>
    </w:p>
    <w:p>
      <w:pPr>
        <w:pStyle w:val="238"/>
        <w:wordWrap w:val="0"/>
        <w:jc w:val="both"/>
        <w:rPr>
          <w:rFonts w:hAnsi="宋体" w:cs="宋体"/>
          <w:szCs w:val="21"/>
        </w:rPr>
      </w:pPr>
      <w:r>
        <w:rPr>
          <w:rFonts w:hint="eastAsia" w:hAnsi="宋体" w:cs="宋体"/>
          <w:szCs w:val="21"/>
        </w:rPr>
        <w:t>本文件起草单位：武汉市政工程设计研究院有限责任公司、东南大学、武汉市城市管理执法委员会、武汉市城市道路桥隧事务中心、武汉市江汉区城市管理执法局、武汉市硚口区城市管理执法局、城市道路桥梁管理中心、湖北省交通规划设计院股份有限公司、武汉市城市建设投资开发集团有限公司、武汉誉城建设集团有限公司、武汉市市政工程机械化施工有限公司、湖北省标准化与质量研究院。</w:t>
      </w:r>
    </w:p>
    <w:p>
      <w:pPr>
        <w:pStyle w:val="238"/>
        <w:wordWrap w:val="0"/>
        <w:jc w:val="both"/>
        <w:rPr>
          <w:rFonts w:hAnsi="宋体" w:cs="宋体"/>
          <w:szCs w:val="21"/>
        </w:rPr>
      </w:pPr>
      <w:r>
        <w:rPr>
          <w:rFonts w:hint="eastAsia" w:hAnsi="宋体" w:cs="宋体"/>
          <w:szCs w:val="21"/>
        </w:rPr>
        <w:t>本文件主要起草人：吕锦刚 刘新民 许银行 陈祺 郭炎军 陈兴涛 柳子尧 田辉黎 邱蒙 张守城 曹勇 朱长青 董永 陆建 马永峰 胡晓健 马涛 时爽 陈丰 赵瑶洋 夏萧菡 等。</w:t>
      </w:r>
    </w:p>
    <w:p>
      <w:pPr>
        <w:pStyle w:val="238"/>
        <w:wordWrap w:val="0"/>
        <w:jc w:val="both"/>
        <w:rPr>
          <w:rFonts w:hAnsi="宋体" w:cs="宋体"/>
          <w:szCs w:val="21"/>
        </w:rPr>
      </w:pPr>
      <w:r>
        <w:rPr>
          <w:rFonts w:hint="eastAsia" w:hAnsi="宋体" w:cs="宋体"/>
          <w:szCs w:val="21"/>
        </w:rPr>
        <w:t>本文件实施应用中的疑问，</w:t>
      </w:r>
      <w:r>
        <w:rPr>
          <w:rFonts w:hint="eastAsia"/>
          <w:color w:val="000000" w:themeColor="text1"/>
          <w14:textFill>
            <w14:solidFill>
              <w14:schemeClr w14:val="tx1"/>
            </w14:solidFill>
          </w14:textFill>
        </w:rPr>
        <w:t>湖北省住房和城乡建设厅，联系电话：027-68873088，邮箱：bkc@hbszjt.net.cn</w:t>
      </w:r>
      <w:r>
        <w:rPr>
          <w:rFonts w:hint="eastAsia" w:hAnsi="宋体" w:cs="宋体"/>
          <w:szCs w:val="21"/>
        </w:rPr>
        <w:t>。在执行过程中如有意见和建议，请反馈至武汉市政工程设计研究院有限责任公司，地址:湖北省武汉市江汉区常青路40号，电话:027-85603515，邮箱270636201@qq.com，邮编430023。</w:t>
      </w:r>
    </w:p>
    <w:p>
      <w:pPr>
        <w:pStyle w:val="64"/>
        <w:ind w:firstLine="420"/>
      </w:pPr>
    </w:p>
    <w:p>
      <w:pPr>
        <w:pStyle w:val="64"/>
        <w:ind w:firstLine="420"/>
      </w:pPr>
    </w:p>
    <w:p>
      <w:pPr>
        <w:pStyle w:val="64"/>
        <w:ind w:firstLine="420"/>
      </w:pPr>
    </w:p>
    <w:p>
      <w:pPr>
        <w:pStyle w:val="64"/>
        <w:ind w:firstLine="420"/>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p>
    <w:bookmarkEnd w:id="17"/>
    <w:p>
      <w:pPr>
        <w:pStyle w:val="97"/>
        <w:spacing w:after="468"/>
      </w:pPr>
      <w:bookmarkStart w:id="18" w:name="_Toc240476525"/>
      <w:bookmarkStart w:id="19" w:name="BookMark3"/>
      <w:r>
        <w:rPr>
          <w:rFonts w:hint="eastAsia"/>
          <w:spacing w:val="320"/>
        </w:rPr>
        <w:t>引</w:t>
      </w:r>
      <w:r>
        <w:rPr>
          <w:rFonts w:hint="eastAsia"/>
        </w:rPr>
        <w:t>言</w:t>
      </w:r>
      <w:bookmarkEnd w:id="18"/>
    </w:p>
    <w:p>
      <w:pPr>
        <w:pStyle w:val="64"/>
        <w:ind w:firstLine="420"/>
      </w:pPr>
      <w:r>
        <w:t>城镇道路沥青路面快速维修是针对局部路面病害，通过快速判定病害维养需求、快速确定</w:t>
      </w:r>
      <w:r>
        <w:rPr>
          <w:rFonts w:hint="eastAsia"/>
        </w:rPr>
        <w:t>合理</w:t>
      </w:r>
      <w:r>
        <w:t>维修方案，并采用可快速施工、快速恢复交通的维修方式，以提高病害处治效率，减少养护作业对城市交通运行的影响。为提升湖北省城镇道路沥青路面病害养护资源配置的科学性和养护处治的规范性，保障通行安全、提升驾驶舒适性、美化城市景观，规范城镇道路沥青路面病害维养需求分类分级和快速维修养护方案，制定本文件。</w:t>
      </w:r>
    </w:p>
    <w:p>
      <w:pPr>
        <w:pStyle w:val="64"/>
        <w:ind w:firstLine="420"/>
      </w:pPr>
    </w:p>
    <w:p>
      <w:pPr>
        <w:pStyle w:val="64"/>
        <w:ind w:firstLine="420"/>
      </w:pPr>
    </w:p>
    <w:p>
      <w:pPr>
        <w:pStyle w:val="64"/>
        <w:ind w:firstLine="420"/>
        <w:sectPr>
          <w:headerReference r:id="rId17" w:type="default"/>
          <w:footerReference r:id="rId19" w:type="default"/>
          <w:headerReference r:id="rId18" w:type="even"/>
          <w:footerReference r:id="rId20" w:type="even"/>
          <w:pgSz w:w="11906" w:h="16838"/>
          <w:pgMar w:top="1928" w:right="1134" w:bottom="1134" w:left="1134" w:header="1418" w:footer="1134" w:gutter="284"/>
          <w:pgNumType w:fmt="upperRoman"/>
          <w:cols w:space="425" w:num="1"/>
          <w:formProt w:val="0"/>
          <w:docGrid w:type="lines" w:linePitch="312" w:charSpace="0"/>
        </w:sectPr>
      </w:pPr>
    </w:p>
    <w:bookmarkEnd w:id="19"/>
    <w:p>
      <w:pPr>
        <w:spacing w:line="20" w:lineRule="exact"/>
        <w:jc w:val="center"/>
        <w:rPr>
          <w:rFonts w:ascii="黑体" w:hAnsi="黑体" w:eastAsia="黑体"/>
          <w:sz w:val="32"/>
          <w:szCs w:val="32"/>
        </w:rPr>
      </w:pPr>
      <w:bookmarkStart w:id="20" w:name="BookMark4"/>
    </w:p>
    <w:p>
      <w:pPr>
        <w:spacing w:line="20" w:lineRule="exact"/>
        <w:jc w:val="center"/>
        <w:rPr>
          <w:rFonts w:ascii="黑体" w:hAnsi="黑体" w:eastAsia="黑体"/>
          <w:sz w:val="32"/>
          <w:szCs w:val="32"/>
        </w:rPr>
      </w:pPr>
    </w:p>
    <w:sdt>
      <w:sdtPr>
        <w:tag w:val="NEW_STAND_NAME"/>
        <w:id w:val="595910757"/>
        <w:lock w:val="sdtLocked"/>
        <w:placeholder>
          <w:docPart w:val="83E27A4E9F7140548CC23BDF87FD75C9"/>
        </w:placeholder>
      </w:sdtPr>
      <w:sdtContent>
        <w:p>
          <w:pPr>
            <w:pStyle w:val="185"/>
            <w:spacing w:before="312" w:beforeLines="100" w:after="686" w:afterLines="220"/>
          </w:pPr>
          <w:bookmarkStart w:id="21" w:name="NEW_STAND_NAME"/>
          <w:r>
            <w:rPr>
              <w:rFonts w:hint="eastAsia"/>
            </w:rPr>
            <w:t>城镇道路沥青路面快速维修技术规程</w:t>
          </w:r>
        </w:p>
      </w:sdtContent>
    </w:sdt>
    <w:bookmarkEnd w:id="21"/>
    <w:p>
      <w:pPr>
        <w:pStyle w:val="112"/>
        <w:spacing w:before="312" w:after="312"/>
      </w:pPr>
      <w:bookmarkStart w:id="22" w:name="_Toc26986771"/>
      <w:bookmarkStart w:id="23" w:name="_Toc26986530"/>
      <w:bookmarkStart w:id="24" w:name="_Toc26718930"/>
      <w:bookmarkStart w:id="25" w:name="_Toc17233325"/>
      <w:bookmarkStart w:id="26" w:name="_Toc24884211"/>
      <w:bookmarkStart w:id="27" w:name="_Toc26648465"/>
      <w:bookmarkStart w:id="28" w:name="_Toc97191423"/>
      <w:bookmarkStart w:id="29" w:name="_Toc17233333"/>
      <w:bookmarkStart w:id="30" w:name="_Toc240476526"/>
      <w:bookmarkStart w:id="31" w:name="_Toc24884218"/>
      <w:r>
        <w:rPr>
          <w:rFonts w:hint="eastAsia"/>
        </w:rPr>
        <w:t>范围</w:t>
      </w:r>
      <w:bookmarkEnd w:id="22"/>
      <w:bookmarkEnd w:id="23"/>
      <w:bookmarkEnd w:id="24"/>
      <w:bookmarkEnd w:id="25"/>
      <w:bookmarkEnd w:id="26"/>
      <w:bookmarkEnd w:id="27"/>
      <w:bookmarkEnd w:id="28"/>
      <w:bookmarkEnd w:id="29"/>
      <w:bookmarkEnd w:id="30"/>
      <w:bookmarkEnd w:id="31"/>
    </w:p>
    <w:p>
      <w:pPr>
        <w:pStyle w:val="64"/>
        <w:ind w:firstLine="420"/>
      </w:pPr>
      <w:bookmarkStart w:id="32" w:name="_Toc97191424"/>
      <w:bookmarkStart w:id="33" w:name="_Toc26986531"/>
      <w:bookmarkStart w:id="34" w:name="_Toc26986772"/>
      <w:bookmarkStart w:id="35" w:name="_Toc26718931"/>
      <w:bookmarkStart w:id="36" w:name="_Toc17233334"/>
      <w:bookmarkStart w:id="37" w:name="_Toc24884219"/>
      <w:bookmarkStart w:id="38" w:name="_Toc24884212"/>
      <w:bookmarkStart w:id="39" w:name="_Toc17233326"/>
      <w:bookmarkStart w:id="40" w:name="_Toc26648466"/>
      <w:r>
        <w:rPr>
          <w:rFonts w:hint="eastAsia"/>
        </w:rPr>
        <w:t>本</w:t>
      </w:r>
      <w:r>
        <w:rPr>
          <w:rFonts w:hint="eastAsia"/>
          <w:lang w:eastAsia="zh-CN"/>
        </w:rPr>
        <w:t>文件</w:t>
      </w:r>
      <w:r>
        <w:rPr>
          <w:rFonts w:hint="eastAsia"/>
        </w:rPr>
        <w:t>规定了城镇道路沥青路面病害分类分级和快速维修</w:t>
      </w:r>
      <w:r>
        <w:rPr>
          <w:rFonts w:ascii="Times New Roman"/>
        </w:rPr>
        <w:t>处治方式</w:t>
      </w:r>
      <w:r>
        <w:rPr>
          <w:rFonts w:hint="eastAsia"/>
        </w:rPr>
        <w:t>标准。</w:t>
      </w:r>
    </w:p>
    <w:p>
      <w:pPr>
        <w:pStyle w:val="64"/>
        <w:ind w:firstLine="420"/>
      </w:pPr>
      <w:r>
        <w:rPr>
          <w:rFonts w:hint="eastAsia"/>
        </w:rPr>
        <w:t>本</w:t>
      </w:r>
      <w:r>
        <w:rPr>
          <w:rFonts w:hint="eastAsia"/>
          <w:lang w:eastAsia="zh-CN"/>
        </w:rPr>
        <w:t>文件</w:t>
      </w:r>
      <w:r>
        <w:rPr>
          <w:rFonts w:hint="eastAsia"/>
        </w:rPr>
        <w:t>适用于湖北省行政区域内城镇道路中</w:t>
      </w:r>
      <w:r>
        <w:rPr>
          <w:rFonts w:ascii="Times New Roman"/>
        </w:rPr>
        <w:t>机动车道沥青路面</w:t>
      </w:r>
      <w:r>
        <w:rPr>
          <w:rFonts w:hint="eastAsia"/>
        </w:rPr>
        <w:t>局部病害维养需求的分类分级和</w:t>
      </w:r>
      <w:r>
        <w:rPr>
          <w:rFonts w:ascii="Times New Roman"/>
        </w:rPr>
        <w:t>快速维修处治</w:t>
      </w:r>
      <w:r>
        <w:rPr>
          <w:rFonts w:hint="eastAsia"/>
        </w:rPr>
        <w:t>。</w:t>
      </w:r>
    </w:p>
    <w:p>
      <w:pPr>
        <w:pStyle w:val="112"/>
        <w:spacing w:before="312" w:after="312"/>
      </w:pPr>
      <w:bookmarkStart w:id="41" w:name="_Toc240476527"/>
      <w:r>
        <w:rPr>
          <w:rFonts w:hint="eastAsia"/>
        </w:rPr>
        <w:t>规范性引用文件</w:t>
      </w:r>
      <w:bookmarkEnd w:id="32"/>
      <w:bookmarkEnd w:id="33"/>
      <w:bookmarkEnd w:id="34"/>
      <w:bookmarkEnd w:id="35"/>
      <w:bookmarkEnd w:id="36"/>
      <w:bookmarkEnd w:id="37"/>
      <w:bookmarkEnd w:id="38"/>
      <w:bookmarkEnd w:id="39"/>
      <w:bookmarkEnd w:id="40"/>
      <w:bookmarkEnd w:id="41"/>
    </w:p>
    <w:sdt>
      <w:sdtPr>
        <w:rPr>
          <w:rFonts w:hint="eastAsia"/>
        </w:rPr>
        <w:id w:val="715848253"/>
        <w:placeholder>
          <w:docPart w:val="A2C1B7E837AE41C4928B6920B35BC56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4"/>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4"/>
        <w:ind w:firstLine="420"/>
      </w:pPr>
      <w:r>
        <w:rPr>
          <w:rFonts w:hint="eastAsia"/>
        </w:rPr>
        <w:t>GB/T 6343　泡沫塑料及橡胶 表观密度的测定</w:t>
      </w:r>
    </w:p>
    <w:p>
      <w:pPr>
        <w:pStyle w:val="64"/>
        <w:ind w:firstLine="420"/>
      </w:pPr>
      <w:r>
        <w:rPr>
          <w:rFonts w:hint="eastAsia"/>
        </w:rPr>
        <w:t>GB/T 8813　硬质泡沫塑料 压缩性能的测定</w:t>
      </w:r>
    </w:p>
    <w:p>
      <w:pPr>
        <w:pStyle w:val="64"/>
        <w:ind w:firstLine="420"/>
      </w:pPr>
      <w:r>
        <w:rPr>
          <w:rFonts w:hint="eastAsia"/>
        </w:rPr>
        <w:t>GB/T 1040.1　塑料 拉伸性能的测定 第1部分：总则</w:t>
      </w:r>
    </w:p>
    <w:p>
      <w:pPr>
        <w:pStyle w:val="64"/>
        <w:ind w:firstLine="420"/>
      </w:pPr>
      <w:r>
        <w:rPr>
          <w:rFonts w:hint="eastAsia"/>
        </w:rPr>
        <w:t>GB/T 11547　塑料耐液体化学试剂性能的测定</w:t>
      </w:r>
    </w:p>
    <w:p>
      <w:pPr>
        <w:pStyle w:val="64"/>
        <w:ind w:firstLine="420"/>
      </w:pPr>
      <w:r>
        <w:rPr>
          <w:rFonts w:hint="eastAsia"/>
        </w:rPr>
        <w:t>CJJ 36　城镇道路养护技术规范</w:t>
      </w:r>
    </w:p>
    <w:p>
      <w:pPr>
        <w:pStyle w:val="64"/>
        <w:ind w:firstLine="420"/>
      </w:pPr>
      <w:r>
        <w:rPr>
          <w:rFonts w:hint="eastAsia"/>
        </w:rPr>
        <w:t>JTG F40　公路沥青路面施工技术规范</w:t>
      </w:r>
    </w:p>
    <w:p>
      <w:pPr>
        <w:pStyle w:val="64"/>
        <w:ind w:firstLine="420"/>
      </w:pPr>
      <w:r>
        <w:rPr>
          <w:rFonts w:hint="eastAsia"/>
        </w:rPr>
        <w:t>JTG 3420　公路工程水泥及水泥混凝土试验规程</w:t>
      </w:r>
    </w:p>
    <w:p>
      <w:pPr>
        <w:pStyle w:val="64"/>
        <w:ind w:firstLine="420"/>
      </w:pPr>
      <w:r>
        <w:rPr>
          <w:rFonts w:hint="eastAsia"/>
        </w:rPr>
        <w:t>JTG 5210　公路技术状况评定标准</w:t>
      </w:r>
    </w:p>
    <w:p>
      <w:pPr>
        <w:pStyle w:val="64"/>
        <w:ind w:firstLine="420"/>
      </w:pPr>
      <w:r>
        <w:rPr>
          <w:rFonts w:hint="eastAsia"/>
        </w:rPr>
        <w:t>JTG/T 5142-01　公路沥青路面预防养护技术规范</w:t>
      </w:r>
    </w:p>
    <w:p>
      <w:pPr>
        <w:pStyle w:val="64"/>
        <w:ind w:firstLine="420"/>
      </w:pPr>
      <w:r>
        <w:rPr>
          <w:rFonts w:hint="eastAsia"/>
        </w:rPr>
        <w:t>JT/T 280　路面标线涂料</w:t>
      </w:r>
    </w:p>
    <w:p>
      <w:pPr>
        <w:pStyle w:val="64"/>
        <w:ind w:firstLine="420"/>
      </w:pPr>
      <w:r>
        <w:rPr>
          <w:rFonts w:hint="eastAsia"/>
        </w:rPr>
        <w:t>JT/T 740　路面加热型灌缝胶</w:t>
      </w:r>
    </w:p>
    <w:p>
      <w:pPr>
        <w:pStyle w:val="64"/>
        <w:ind w:firstLine="420"/>
      </w:pPr>
      <w:r>
        <w:rPr>
          <w:rFonts w:hint="eastAsia"/>
        </w:rPr>
        <w:t>JT/T 969　路面裂缝贴缝胶</w:t>
      </w:r>
    </w:p>
    <w:p>
      <w:pPr>
        <w:pStyle w:val="112"/>
        <w:spacing w:before="312" w:after="312"/>
      </w:pPr>
      <w:bookmarkStart w:id="42" w:name="_Toc97191425"/>
      <w:bookmarkStart w:id="43" w:name="_Toc240476528"/>
      <w:r>
        <w:rPr>
          <w:rFonts w:hint="eastAsia"/>
          <w:szCs w:val="21"/>
        </w:rPr>
        <w:t>术语和定义</w:t>
      </w:r>
      <w:bookmarkEnd w:id="42"/>
      <w:bookmarkEnd w:id="43"/>
    </w:p>
    <w:sdt>
      <w:sdtPr>
        <w:id w:val="-1"/>
        <w:placeholder>
          <w:docPart w:val="BD9681BF9E6C455B893B9903295B5E83"/>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4"/>
            <w:ind w:firstLine="420"/>
          </w:pPr>
          <w:bookmarkStart w:id="44" w:name="_Toc26986532"/>
          <w:bookmarkEnd w:id="44"/>
          <w:r>
            <w:t>下列术语和定义适用于本文件。</w:t>
          </w:r>
        </w:p>
      </w:sdtContent>
    </w:sdt>
    <w:p>
      <w:pPr>
        <w:pStyle w:val="231"/>
        <w:ind w:left="420" w:hanging="420" w:hangingChars="200"/>
        <w:rPr>
          <w:rFonts w:ascii="黑体" w:hAnsi="黑体" w:eastAsia="黑体"/>
        </w:rPr>
      </w:pPr>
      <w:bookmarkStart w:id="45" w:name="_Toc82435485-6f63-46b2-bd4c-92116262e215"/>
      <w:bookmarkStart w:id="46" w:name="_Toc204800691"/>
      <w:bookmarkStart w:id="47" w:name="_Toc198198022"/>
      <w:bookmarkStart w:id="48" w:name="_Toc198300059"/>
      <w:bookmarkStart w:id="49" w:name="_Toc193461326"/>
      <w:bookmarkStart w:id="50" w:name="_Toc198197251"/>
      <w:bookmarkStart w:id="51" w:name="_Toc198198291"/>
    </w:p>
    <w:p>
      <w:pPr>
        <w:pStyle w:val="231"/>
        <w:numPr>
          <w:ilvl w:val="0"/>
          <w:numId w:val="0"/>
        </w:numPr>
        <w:ind w:left="420"/>
        <w:rPr>
          <w:rFonts w:ascii="黑体" w:hAnsi="黑体" w:eastAsia="黑体"/>
        </w:rPr>
      </w:pPr>
      <w:r>
        <w:rPr>
          <w:rFonts w:hint="eastAsia" w:ascii="黑体" w:hAnsi="黑体" w:eastAsia="黑体"/>
        </w:rPr>
        <w:t>路面病害 </w:t>
      </w:r>
      <w:bookmarkEnd w:id="45"/>
      <w:r>
        <w:rPr>
          <w:rFonts w:hint="eastAsia" w:ascii="黑体" w:hAnsi="黑体" w:eastAsia="黑体"/>
        </w:rPr>
        <w:t>pavement</w:t>
      </w:r>
      <w:r>
        <w:rPr>
          <w:rFonts w:ascii="黑体" w:hAnsi="黑体" w:eastAsia="黑体"/>
        </w:rPr>
        <w:t xml:space="preserve"> </w:t>
      </w:r>
      <w:r>
        <w:rPr>
          <w:rFonts w:hint="eastAsia" w:ascii="黑体" w:hAnsi="黑体" w:eastAsia="黑体"/>
        </w:rPr>
        <w:t>dis</w:t>
      </w:r>
      <w:bookmarkEnd w:id="46"/>
      <w:bookmarkEnd w:id="47"/>
      <w:bookmarkEnd w:id="48"/>
      <w:bookmarkEnd w:id="49"/>
      <w:bookmarkEnd w:id="50"/>
      <w:bookmarkEnd w:id="51"/>
      <w:r>
        <w:rPr>
          <w:rFonts w:ascii="黑体" w:hAnsi="黑体" w:eastAsia="黑体"/>
        </w:rPr>
        <w:t>tress</w:t>
      </w:r>
    </w:p>
    <w:p>
      <w:pPr>
        <w:pStyle w:val="238"/>
        <w:wordWrap w:val="0"/>
        <w:jc w:val="both"/>
        <w:rPr>
          <w:rFonts w:hAnsi="宋体" w:cs="宋体"/>
          <w:szCs w:val="21"/>
        </w:rPr>
      </w:pPr>
      <w:r>
        <w:rPr>
          <w:rFonts w:hint="eastAsia" w:hAnsi="宋体" w:cs="宋体"/>
          <w:szCs w:val="21"/>
        </w:rPr>
        <w:t>道路表面由于车辆载荷、材料老化、环境作用等引起的物理形态和结构的变化。本标准中，特指</w:t>
      </w:r>
      <w:r>
        <w:t>城镇道路</w:t>
      </w:r>
      <w:r>
        <w:rPr>
          <w:rFonts w:hint="eastAsia" w:hAnsi="宋体" w:cs="宋体"/>
          <w:szCs w:val="21"/>
        </w:rPr>
        <w:t>机动车道沥青路面的裂缝、车辙、沉陷、拥包、坑槽等。</w:t>
      </w:r>
    </w:p>
    <w:p>
      <w:pPr>
        <w:pStyle w:val="231"/>
        <w:ind w:left="420" w:hanging="420" w:hangingChars="200"/>
        <w:rPr>
          <w:rFonts w:ascii="黑体" w:hAnsi="黑体" w:eastAsia="黑体"/>
        </w:rPr>
      </w:pPr>
    </w:p>
    <w:p>
      <w:pPr>
        <w:pStyle w:val="231"/>
        <w:numPr>
          <w:ilvl w:val="0"/>
          <w:numId w:val="0"/>
        </w:numPr>
        <w:ind w:left="420"/>
        <w:rPr>
          <w:rFonts w:ascii="黑体" w:hAnsi="黑体" w:eastAsia="黑体"/>
        </w:rPr>
      </w:pPr>
      <w:r>
        <w:rPr>
          <w:rFonts w:hint="eastAsia" w:ascii="黑体" w:hAnsi="黑体" w:eastAsia="黑体"/>
        </w:rPr>
        <w:t xml:space="preserve">局部病害 </w:t>
      </w:r>
      <w:r>
        <w:rPr>
          <w:rFonts w:ascii="黑体" w:hAnsi="黑体" w:eastAsia="黑体"/>
        </w:rPr>
        <w:t>localized pavement distress</w:t>
      </w:r>
    </w:p>
    <w:p>
      <w:pPr>
        <w:pStyle w:val="238"/>
        <w:wordWrap w:val="0"/>
        <w:jc w:val="both"/>
      </w:pPr>
      <w:r>
        <w:t>发生于</w:t>
      </w:r>
      <w:r>
        <w:rPr>
          <w:rFonts w:hint="eastAsia"/>
        </w:rPr>
        <w:t>城镇道路沥青</w:t>
      </w:r>
      <w:r>
        <w:t>路面</w:t>
      </w:r>
      <w:r>
        <w:rPr>
          <w:rFonts w:hint="eastAsia"/>
        </w:rPr>
        <w:t>局部位置</w:t>
      </w:r>
      <w:r>
        <w:t>，影响范围相对集中，尚未形成连续性</w:t>
      </w:r>
      <w:r>
        <w:rPr>
          <w:rFonts w:hint="eastAsia"/>
        </w:rPr>
        <w:t>分布或</w:t>
      </w:r>
      <w:r>
        <w:t>大范围</w:t>
      </w:r>
      <w:r>
        <w:rPr>
          <w:rFonts w:hint="eastAsia"/>
        </w:rPr>
        <w:t>扩展</w:t>
      </w:r>
      <w:r>
        <w:t>的单</w:t>
      </w:r>
      <w:r>
        <w:rPr>
          <w:rFonts w:hint="eastAsia"/>
        </w:rPr>
        <w:t>点</w:t>
      </w:r>
      <w:r>
        <w:t>路面病害。</w:t>
      </w:r>
    </w:p>
    <w:p>
      <w:pPr>
        <w:pStyle w:val="231"/>
        <w:ind w:left="420" w:hanging="420" w:hangingChars="200"/>
        <w:rPr>
          <w:rFonts w:ascii="黑体" w:hAnsi="黑体" w:eastAsia="黑体"/>
        </w:rPr>
      </w:pPr>
    </w:p>
    <w:p>
      <w:pPr>
        <w:pStyle w:val="231"/>
        <w:numPr>
          <w:ilvl w:val="0"/>
          <w:numId w:val="0"/>
        </w:numPr>
        <w:ind w:left="420"/>
        <w:rPr>
          <w:rFonts w:ascii="黑体" w:hAnsi="黑体" w:eastAsia="黑体"/>
        </w:rPr>
      </w:pPr>
      <w:r>
        <w:rPr>
          <w:rFonts w:hint="eastAsia" w:ascii="黑体" w:hAnsi="黑体" w:eastAsia="黑体"/>
        </w:rPr>
        <w:t xml:space="preserve">快速维修 </w:t>
      </w:r>
      <w:r>
        <w:rPr>
          <w:rFonts w:ascii="黑体" w:hAnsi="黑体" w:eastAsia="黑体"/>
        </w:rPr>
        <w:t>rapid repair</w:t>
      </w:r>
    </w:p>
    <w:p>
      <w:pPr>
        <w:pStyle w:val="238"/>
        <w:wordWrap w:val="0"/>
        <w:jc w:val="both"/>
      </w:pPr>
      <w:r>
        <w:rPr>
          <w:rFonts w:hint="eastAsia"/>
        </w:rPr>
        <w:t>针对城镇道路沥青路面局部病害，采用可快速施工、快速开放交通的维修技术，在保证维修质量的前提下，缩短施工作业和养生时间，快速恢复交通，减少对交通运行影响的维修方式。</w:t>
      </w:r>
    </w:p>
    <w:p>
      <w:pPr>
        <w:pStyle w:val="231"/>
        <w:ind w:left="420" w:hanging="420" w:hangingChars="200"/>
        <w:rPr>
          <w:rFonts w:ascii="黑体" w:hAnsi="黑体" w:eastAsia="黑体"/>
        </w:rPr>
      </w:pPr>
      <w:bookmarkStart w:id="52" w:name="_Toc035d094c-30b6-4e44-ba1a-49b1c103e824"/>
      <w:bookmarkStart w:id="53" w:name="_Toc193461328"/>
      <w:bookmarkStart w:id="54" w:name="_Toc198198293"/>
      <w:bookmarkStart w:id="55" w:name="_Toc198198024"/>
      <w:bookmarkStart w:id="56" w:name="_Toc204800693"/>
      <w:bookmarkStart w:id="57" w:name="_Toc198197253"/>
      <w:bookmarkStart w:id="58" w:name="_Toc198300061"/>
      <w:r>
        <w:rPr>
          <w:rFonts w:hint="eastAsia" w:ascii="黑体" w:hAnsi="黑体" w:eastAsia="黑体"/>
        </w:rPr>
        <w:br w:type="textWrapping"/>
      </w:r>
      <w:r>
        <w:rPr>
          <w:rFonts w:hint="eastAsia" w:ascii="黑体" w:hAnsi="黑体" w:eastAsia="黑体"/>
        </w:rPr>
        <w:t>路面病害维养需求等级 </w:t>
      </w:r>
      <w:bookmarkEnd w:id="52"/>
      <w:r>
        <w:rPr>
          <w:rFonts w:hint="eastAsia" w:ascii="黑体" w:hAnsi="黑体" w:eastAsia="黑体"/>
        </w:rPr>
        <w:t>pavement</w:t>
      </w:r>
      <w:r>
        <w:rPr>
          <w:rFonts w:ascii="黑体" w:hAnsi="黑体" w:eastAsia="黑体"/>
        </w:rPr>
        <w:t xml:space="preserve"> </w:t>
      </w:r>
      <w:r>
        <w:rPr>
          <w:rFonts w:hint="eastAsia" w:ascii="黑体" w:hAnsi="黑体" w:eastAsia="黑体"/>
        </w:rPr>
        <w:t>dis</w:t>
      </w:r>
      <w:r>
        <w:rPr>
          <w:rFonts w:ascii="黑体" w:hAnsi="黑体" w:eastAsia="黑体"/>
        </w:rPr>
        <w:t xml:space="preserve">tress </w:t>
      </w:r>
      <w:r>
        <w:rPr>
          <w:rFonts w:hint="eastAsia" w:ascii="黑体" w:hAnsi="黑体" w:eastAsia="黑体"/>
        </w:rPr>
        <w:t xml:space="preserve">repair </w:t>
      </w:r>
      <w:r>
        <w:rPr>
          <w:rFonts w:ascii="黑体" w:hAnsi="黑体" w:eastAsia="黑体"/>
        </w:rPr>
        <w:t>priority level</w:t>
      </w:r>
      <w:bookmarkEnd w:id="53"/>
      <w:bookmarkEnd w:id="54"/>
      <w:bookmarkEnd w:id="55"/>
      <w:bookmarkEnd w:id="56"/>
      <w:bookmarkEnd w:id="57"/>
      <w:bookmarkEnd w:id="58"/>
    </w:p>
    <w:p>
      <w:pPr>
        <w:pStyle w:val="238"/>
        <w:wordWrap w:val="0"/>
        <w:jc w:val="both"/>
      </w:pPr>
      <w:r>
        <w:t>根据路面病害对路面结构安全、交通运行安全、驾驶舒适性和城市景观等方面的影响综合确定的维养需求及优先程度分级</w:t>
      </w:r>
      <w:r>
        <w:rPr>
          <w:rFonts w:hint="eastAsia"/>
        </w:rPr>
        <w:t xml:space="preserve">。 </w:t>
      </w:r>
    </w:p>
    <w:p>
      <w:pPr>
        <w:pStyle w:val="231"/>
        <w:ind w:left="420" w:hanging="420" w:hangingChars="200"/>
        <w:rPr>
          <w:rFonts w:ascii="黑体" w:hAnsi="黑体" w:eastAsia="黑体"/>
        </w:rPr>
      </w:pPr>
      <w:bookmarkStart w:id="59" w:name="_Toc198198025"/>
      <w:bookmarkEnd w:id="59"/>
      <w:bookmarkStart w:id="60" w:name="_Toc198300062"/>
      <w:bookmarkEnd w:id="60"/>
      <w:bookmarkStart w:id="61" w:name="_Toc198197254"/>
      <w:bookmarkEnd w:id="61"/>
      <w:bookmarkStart w:id="62" w:name="_Toc204800694"/>
      <w:bookmarkEnd w:id="62"/>
      <w:bookmarkStart w:id="63" w:name="_Toc193461329"/>
      <w:bookmarkEnd w:id="63"/>
      <w:bookmarkStart w:id="64" w:name="_Toc198198294"/>
      <w:bookmarkEnd w:id="64"/>
      <w:bookmarkStart w:id="65" w:name="_Tocdfdc41d2-2235-4c15-95b6-3c515bbb6ea0"/>
      <w:bookmarkStart w:id="66" w:name="_Toc193461330"/>
      <w:bookmarkStart w:id="67" w:name="_Toc198198026"/>
      <w:bookmarkStart w:id="68" w:name="_Toc198198295"/>
      <w:bookmarkStart w:id="69" w:name="_Toc198300063"/>
      <w:bookmarkStart w:id="70" w:name="_Toc198197255"/>
      <w:bookmarkStart w:id="71" w:name="_Toc204800695"/>
      <w:r>
        <w:rPr>
          <w:rFonts w:hint="eastAsia" w:ascii="黑体" w:hAnsi="黑体" w:eastAsia="黑体"/>
        </w:rPr>
        <w:br w:type="textWrapping"/>
      </w:r>
      <w:r>
        <w:rPr>
          <w:rFonts w:hint="eastAsia" w:ascii="黑体" w:hAnsi="黑体" w:eastAsia="黑体"/>
        </w:rPr>
        <w:t>路面结构安全效应 </w:t>
      </w:r>
      <w:bookmarkEnd w:id="65"/>
      <w:r>
        <w:rPr>
          <w:rFonts w:ascii="黑体" w:hAnsi="黑体" w:eastAsia="黑体"/>
        </w:rPr>
        <w:t xml:space="preserve">pavement structural safety </w:t>
      </w:r>
      <w:r>
        <w:rPr>
          <w:rFonts w:hint="eastAsia" w:ascii="黑体" w:hAnsi="黑体" w:eastAsia="黑体"/>
        </w:rPr>
        <w:t>effect</w:t>
      </w:r>
      <w:bookmarkEnd w:id="66"/>
      <w:bookmarkEnd w:id="67"/>
      <w:bookmarkEnd w:id="68"/>
      <w:bookmarkEnd w:id="69"/>
      <w:bookmarkEnd w:id="70"/>
      <w:bookmarkEnd w:id="71"/>
    </w:p>
    <w:p>
      <w:pPr>
        <w:pStyle w:val="238"/>
        <w:wordWrap w:val="0"/>
        <w:jc w:val="both"/>
      </w:pPr>
      <w:bookmarkStart w:id="72" w:name="OLE_LINK1"/>
      <w:r>
        <w:rPr>
          <w:rFonts w:hint="eastAsia"/>
        </w:rPr>
        <w:t>表征</w:t>
      </w:r>
      <w:bookmarkEnd w:id="72"/>
      <w:r>
        <w:rPr>
          <w:rFonts w:hint="eastAsia"/>
        </w:rPr>
        <w:t>路面病害发展对道路路面设施产生破坏的影响程度。</w:t>
      </w:r>
    </w:p>
    <w:p>
      <w:pPr>
        <w:pStyle w:val="231"/>
        <w:ind w:left="420" w:hanging="420" w:hangingChars="200"/>
        <w:rPr>
          <w:rFonts w:ascii="黑体" w:hAnsi="黑体" w:eastAsia="黑体"/>
        </w:rPr>
      </w:pPr>
      <w:bookmarkStart w:id="73" w:name="_Toc193461331"/>
      <w:bookmarkEnd w:id="73"/>
      <w:bookmarkStart w:id="74" w:name="_Toc204800696"/>
      <w:bookmarkEnd w:id="74"/>
      <w:bookmarkStart w:id="75" w:name="_Toc198197256"/>
      <w:bookmarkEnd w:id="75"/>
      <w:bookmarkStart w:id="76" w:name="_Toc198198027"/>
      <w:bookmarkEnd w:id="76"/>
      <w:bookmarkStart w:id="77" w:name="_Toc198198296"/>
      <w:bookmarkEnd w:id="77"/>
      <w:bookmarkStart w:id="78" w:name="_Toc198300064"/>
      <w:bookmarkEnd w:id="78"/>
      <w:bookmarkStart w:id="79" w:name="_Tocbdea824a-898d-4870-ae45-f1898c738f50"/>
      <w:bookmarkStart w:id="80" w:name="_Toc198197257"/>
      <w:bookmarkStart w:id="81" w:name="_Toc193461332"/>
      <w:bookmarkStart w:id="82" w:name="_Toc204800697"/>
      <w:bookmarkStart w:id="83" w:name="_Toc198198028"/>
      <w:bookmarkStart w:id="84" w:name="_Toc198198297"/>
      <w:bookmarkStart w:id="85" w:name="_Toc198300065"/>
      <w:r>
        <w:rPr>
          <w:rFonts w:hint="eastAsia" w:ascii="黑体" w:hAnsi="黑体" w:eastAsia="黑体"/>
        </w:rPr>
        <w:br w:type="textWrapping"/>
      </w:r>
      <w:r>
        <w:rPr>
          <w:rFonts w:hint="eastAsia" w:ascii="黑体" w:hAnsi="黑体" w:eastAsia="黑体"/>
        </w:rPr>
        <w:t>交通运行安全效应 </w:t>
      </w:r>
      <w:bookmarkEnd w:id="79"/>
      <w:r>
        <w:rPr>
          <w:rFonts w:hint="eastAsia" w:ascii="黑体" w:hAnsi="黑体" w:eastAsia="黑体"/>
        </w:rPr>
        <w:t>traffic</w:t>
      </w:r>
      <w:r>
        <w:rPr>
          <w:rFonts w:ascii="黑体" w:hAnsi="黑体" w:eastAsia="黑体"/>
        </w:rPr>
        <w:t xml:space="preserve"> operational </w:t>
      </w:r>
      <w:r>
        <w:rPr>
          <w:rFonts w:hint="eastAsia" w:ascii="黑体" w:hAnsi="黑体" w:eastAsia="黑体"/>
        </w:rPr>
        <w:t>safety</w:t>
      </w:r>
      <w:r>
        <w:rPr>
          <w:rFonts w:ascii="黑体" w:hAnsi="黑体" w:eastAsia="黑体"/>
        </w:rPr>
        <w:t xml:space="preserve"> </w:t>
      </w:r>
      <w:r>
        <w:rPr>
          <w:rFonts w:hint="eastAsia" w:ascii="黑体" w:hAnsi="黑体" w:eastAsia="黑体"/>
        </w:rPr>
        <w:t>effect</w:t>
      </w:r>
      <w:bookmarkEnd w:id="80"/>
      <w:bookmarkEnd w:id="81"/>
      <w:bookmarkEnd w:id="82"/>
      <w:bookmarkEnd w:id="83"/>
      <w:bookmarkEnd w:id="84"/>
      <w:bookmarkEnd w:id="85"/>
    </w:p>
    <w:p>
      <w:pPr>
        <w:pStyle w:val="238"/>
        <w:wordWrap w:val="0"/>
        <w:jc w:val="both"/>
      </w:pPr>
      <w:r>
        <w:rPr>
          <w:rFonts w:hint="eastAsia"/>
        </w:rPr>
        <w:t>表征路面病害对交通事故风险影响程度。</w:t>
      </w:r>
      <w:bookmarkStart w:id="86" w:name="_Tocdbfce43d-1919-44aa-b4b6-fddb4d579613"/>
      <w:bookmarkStart w:id="87" w:name="_Toc198198299"/>
      <w:bookmarkStart w:id="88" w:name="_Toc204800699"/>
      <w:bookmarkStart w:id="89" w:name="_Toc198197259"/>
      <w:bookmarkStart w:id="90" w:name="_Toc193461334"/>
      <w:bookmarkStart w:id="91" w:name="_Toc198198030"/>
      <w:bookmarkStart w:id="92" w:name="_Toc198300067"/>
      <w:bookmarkStart w:id="93" w:name="_Toc198198032"/>
      <w:bookmarkStart w:id="94" w:name="_Toc198300069"/>
      <w:bookmarkStart w:id="95" w:name="_Toc198197261"/>
      <w:bookmarkStart w:id="96" w:name="_Toc204800701"/>
      <w:bookmarkStart w:id="97" w:name="_Toc193461336"/>
      <w:bookmarkStart w:id="98" w:name="_Toc198198301"/>
    </w:p>
    <w:p>
      <w:pPr>
        <w:pStyle w:val="231"/>
        <w:wordWrap w:val="0"/>
        <w:ind w:left="420" w:hanging="420" w:hangingChars="200"/>
        <w:rPr>
          <w:rFonts w:ascii="黑体" w:hAnsi="黑体" w:eastAsia="黑体"/>
        </w:rPr>
      </w:pPr>
    </w:p>
    <w:p>
      <w:pPr>
        <w:pStyle w:val="238"/>
        <w:wordWrap w:val="0"/>
        <w:jc w:val="both"/>
      </w:pPr>
      <w:r>
        <w:rPr>
          <w:rFonts w:hint="eastAsia" w:ascii="黑体" w:hAnsi="黑体" w:eastAsia="黑体"/>
        </w:rPr>
        <w:t>驾驶舒适性效应 </w:t>
      </w:r>
      <w:bookmarkEnd w:id="86"/>
      <w:r>
        <w:rPr>
          <w:rFonts w:ascii="黑体" w:hAnsi="黑体" w:eastAsia="黑体"/>
        </w:rPr>
        <w:t>driv</w:t>
      </w:r>
      <w:r>
        <w:rPr>
          <w:rFonts w:hint="eastAsia" w:ascii="黑体" w:hAnsi="黑体" w:eastAsia="黑体"/>
        </w:rPr>
        <w:t>ing</w:t>
      </w:r>
      <w:r>
        <w:rPr>
          <w:rFonts w:ascii="黑体" w:hAnsi="黑体" w:eastAsia="黑体"/>
        </w:rPr>
        <w:t xml:space="preserve"> comfort effect</w:t>
      </w:r>
      <w:bookmarkEnd w:id="87"/>
      <w:bookmarkEnd w:id="88"/>
      <w:bookmarkEnd w:id="89"/>
      <w:bookmarkEnd w:id="90"/>
      <w:bookmarkEnd w:id="91"/>
      <w:bookmarkEnd w:id="92"/>
    </w:p>
    <w:p>
      <w:pPr>
        <w:pStyle w:val="238"/>
        <w:wordWrap w:val="0"/>
        <w:ind w:left="420" w:leftChars="200" w:firstLine="0" w:firstLineChars="0"/>
        <w:jc w:val="both"/>
      </w:pPr>
      <w:r>
        <w:rPr>
          <w:rFonts w:hint="eastAsia"/>
        </w:rPr>
        <w:t>表征路面病害对通过车辆的驾驶人体验舒适性与驾驶专注度的影响程度。</w:t>
      </w:r>
    </w:p>
    <w:p>
      <w:pPr>
        <w:pStyle w:val="231"/>
        <w:ind w:left="420" w:hanging="420" w:hangingChars="200"/>
        <w:rPr>
          <w:rFonts w:ascii="黑体" w:hAnsi="黑体" w:eastAsia="黑体"/>
        </w:rPr>
      </w:pPr>
      <w:r>
        <w:rPr>
          <w:rFonts w:hint="eastAsia" w:ascii="黑体" w:hAnsi="黑体" w:eastAsia="黑体"/>
        </w:rPr>
        <w:br w:type="textWrapping"/>
      </w:r>
      <w:r>
        <w:rPr>
          <w:rFonts w:hint="eastAsia" w:ascii="黑体" w:hAnsi="黑体" w:eastAsia="黑体"/>
        </w:rPr>
        <w:t>城市景观效应 urban</w:t>
      </w:r>
      <w:r>
        <w:rPr>
          <w:rFonts w:ascii="黑体" w:hAnsi="黑体" w:eastAsia="黑体"/>
        </w:rPr>
        <w:t xml:space="preserve"> </w:t>
      </w:r>
      <w:r>
        <w:rPr>
          <w:rFonts w:hint="eastAsia" w:ascii="黑体" w:hAnsi="黑体" w:eastAsia="黑体"/>
        </w:rPr>
        <w:t>l</w:t>
      </w:r>
      <w:r>
        <w:rPr>
          <w:rFonts w:ascii="黑体" w:hAnsi="黑体" w:eastAsia="黑体"/>
        </w:rPr>
        <w:t xml:space="preserve">andscape </w:t>
      </w:r>
      <w:r>
        <w:rPr>
          <w:rFonts w:hint="eastAsia" w:ascii="黑体" w:hAnsi="黑体" w:eastAsia="黑体"/>
        </w:rPr>
        <w:t>effect</w:t>
      </w:r>
      <w:bookmarkEnd w:id="93"/>
      <w:bookmarkEnd w:id="94"/>
      <w:bookmarkEnd w:id="95"/>
      <w:bookmarkEnd w:id="96"/>
      <w:bookmarkEnd w:id="97"/>
      <w:bookmarkEnd w:id="98"/>
    </w:p>
    <w:p>
      <w:pPr>
        <w:pStyle w:val="238"/>
        <w:wordWrap w:val="0"/>
        <w:ind w:left="420" w:leftChars="200" w:firstLine="0" w:firstLineChars="0"/>
        <w:jc w:val="both"/>
      </w:pPr>
      <w:r>
        <w:rPr>
          <w:rFonts w:hint="eastAsia"/>
        </w:rPr>
        <w:t>表征路面病害对城市景观产生的影响程度。</w:t>
      </w:r>
    </w:p>
    <w:p>
      <w:pPr>
        <w:pStyle w:val="112"/>
        <w:spacing w:before="312" w:after="312"/>
      </w:pPr>
      <w:bookmarkStart w:id="99" w:name="_Toc198198033"/>
      <w:bookmarkStart w:id="100" w:name="_Toc204800702"/>
      <w:bookmarkStart w:id="101" w:name="_Toc240476529"/>
      <w:r>
        <w:rPr>
          <w:rFonts w:hint="eastAsia"/>
        </w:rPr>
        <w:t>符号</w:t>
      </w:r>
      <w:bookmarkEnd w:id="99"/>
      <w:bookmarkEnd w:id="100"/>
      <w:bookmarkEnd w:id="101"/>
    </w:p>
    <w:p>
      <w:pPr>
        <w:pStyle w:val="64"/>
        <w:ind w:firstLine="420"/>
      </w:pPr>
      <w:r>
        <w:rPr>
          <w:rFonts w:hint="eastAsia"/>
        </w:rPr>
        <w:t>下列符号适用于本文件。</w:t>
      </w:r>
    </w:p>
    <w:p>
      <w:pPr>
        <w:pStyle w:val="113"/>
        <w:spacing w:before="156" w:after="156"/>
      </w:pPr>
      <w:bookmarkStart w:id="102" w:name="_Toc198197263"/>
      <w:bookmarkStart w:id="103" w:name="_Ref193124292"/>
      <w:bookmarkStart w:id="104" w:name="_Toc204800703"/>
      <w:bookmarkStart w:id="105" w:name="_Toc240476530"/>
      <w:bookmarkStart w:id="106" w:name="_Toc193461338"/>
      <w:r>
        <w:rPr>
          <w:rFonts w:hint="eastAsia"/>
        </w:rPr>
        <w:t>病害特征指标</w:t>
      </w:r>
      <w:bookmarkEnd w:id="102"/>
      <w:bookmarkEnd w:id="103"/>
      <w:bookmarkEnd w:id="104"/>
      <w:bookmarkEnd w:id="105"/>
      <w:bookmarkEnd w:id="106"/>
    </w:p>
    <w:p>
      <w:pPr>
        <w:pStyle w:val="238"/>
        <w:wordWrap w:val="0"/>
        <w:jc w:val="both"/>
        <w:rPr>
          <w:rFonts w:hAnsi="宋体" w:cs="宋体"/>
          <w:szCs w:val="21"/>
          <w:highlight w:val="yellow"/>
        </w:rPr>
      </w:pPr>
      <w:r>
        <w:rPr>
          <w:i/>
          <w:iCs/>
        </w:rPr>
        <w:t>d</w:t>
      </w:r>
      <w:r>
        <w:rPr>
          <w:rFonts w:ascii="Times New Roman"/>
          <w:szCs w:val="21"/>
        </w:rPr>
        <w:t>——</w:t>
      </w:r>
      <w:r>
        <w:rPr>
          <w:rFonts w:hint="eastAsia" w:hAnsi="宋体" w:cs="宋体"/>
          <w:szCs w:val="21"/>
        </w:rPr>
        <w:t>病害宽度或高差，</w:t>
      </w:r>
      <w:r>
        <w:rPr>
          <w:rFonts w:hint="eastAsia"/>
        </w:rPr>
        <w:t>横纵裂缝采用宽度，龟裂和块状裂缝无此项，其他病害采用最低</w:t>
      </w:r>
      <w:r>
        <w:t>(</w:t>
      </w:r>
      <w:r>
        <w:rPr>
          <w:rFonts w:hint="eastAsia"/>
        </w:rPr>
        <w:t>高</w:t>
      </w:r>
      <w:r>
        <w:t>)</w:t>
      </w:r>
      <w:r>
        <w:rPr>
          <w:rFonts w:hint="eastAsia"/>
        </w:rPr>
        <w:t>处与路表高差，</w:t>
      </w:r>
      <w:r>
        <w:rPr>
          <w:rFonts w:hint="eastAsia" w:hAnsi="宋体" w:cs="宋体"/>
          <w:szCs w:val="21"/>
        </w:rPr>
        <w:t>单位：毫米（mm）；</w:t>
      </w:r>
    </w:p>
    <w:p>
      <w:pPr>
        <w:pStyle w:val="238"/>
        <w:wordWrap w:val="0"/>
        <w:jc w:val="both"/>
        <w:rPr>
          <w:rFonts w:hAnsi="宋体" w:cs="宋体"/>
          <w:szCs w:val="21"/>
        </w:rPr>
      </w:pPr>
      <w:r>
        <w:rPr>
          <w:i/>
          <w:iCs/>
        </w:rPr>
        <w:t>S</w:t>
      </w:r>
      <w:r>
        <w:rPr>
          <w:rFonts w:ascii="Times New Roman"/>
          <w:szCs w:val="21"/>
        </w:rPr>
        <w:t>——</w:t>
      </w:r>
      <w:r>
        <w:rPr>
          <w:rFonts w:hint="eastAsia" w:hAnsi="宋体" w:cs="宋体"/>
          <w:szCs w:val="21"/>
        </w:rPr>
        <w:t>病害影响面积，</w:t>
      </w:r>
      <w:r>
        <w:rPr>
          <w:rFonts w:hint="eastAsia"/>
        </w:rPr>
        <w:t>横纵裂缝采用长度（</w:t>
      </w:r>
      <w:r>
        <w:t>m</w:t>
      </w:r>
      <w:r>
        <w:rPr>
          <w:rFonts w:hint="eastAsia"/>
        </w:rPr>
        <w:t>）乘以</w:t>
      </w:r>
      <w:r>
        <w:t>0.2</w:t>
      </w:r>
      <w:r>
        <w:rPr>
          <w:rFonts w:hint="eastAsia"/>
        </w:rPr>
        <w:t>，其他病害采用实际面积，</w:t>
      </w:r>
      <w:r>
        <w:rPr>
          <w:rFonts w:hint="eastAsia" w:hAnsi="宋体" w:cs="宋体"/>
          <w:szCs w:val="21"/>
        </w:rPr>
        <w:t>为其平行于</w:t>
      </w:r>
      <w:r>
        <w:rPr>
          <w:rStyle w:val="36"/>
          <w:rFonts w:hint="eastAsia" w:ascii="Segoe UI" w:hAnsi="Segoe UI" w:cs="Segoe UI"/>
          <w:b w:val="0"/>
          <w:color w:val="404040"/>
          <w:shd w:val="clear" w:color="auto" w:fill="FFFFFF"/>
        </w:rPr>
        <w:t>道路的最小外接矩形面积，</w:t>
      </w:r>
      <w:r>
        <w:rPr>
          <w:rFonts w:hint="eastAsia" w:hAnsi="宋体" w:cs="宋体"/>
          <w:szCs w:val="21"/>
        </w:rPr>
        <w:t>单位：平方米（m²）。</w:t>
      </w:r>
    </w:p>
    <w:p>
      <w:pPr>
        <w:pStyle w:val="113"/>
        <w:spacing w:before="156" w:after="156"/>
      </w:pPr>
      <w:bookmarkStart w:id="107" w:name="_Toc240476531"/>
      <w:bookmarkStart w:id="108" w:name="_Toc204800704"/>
      <w:r>
        <w:rPr>
          <w:rFonts w:hint="eastAsia"/>
        </w:rPr>
        <w:t>道路特征指标</w:t>
      </w:r>
      <w:bookmarkEnd w:id="107"/>
      <w:bookmarkEnd w:id="108"/>
    </w:p>
    <w:p>
      <w:pPr>
        <w:pStyle w:val="238"/>
        <w:wordWrap w:val="0"/>
        <w:jc w:val="both"/>
        <w:rPr>
          <w:rFonts w:hAnsi="宋体" w:cs="宋体"/>
          <w:szCs w:val="21"/>
        </w:rPr>
      </w:pPr>
      <w:r>
        <w:rPr>
          <w:rFonts w:hint="eastAsia" w:hAnsi="宋体" w:cs="宋体"/>
          <w:i/>
          <w:szCs w:val="21"/>
        </w:rPr>
        <w:t>v</w:t>
      </w:r>
      <w:r>
        <w:rPr>
          <w:rFonts w:ascii="Times New Roman"/>
          <w:szCs w:val="21"/>
        </w:rPr>
        <w:t>——</w:t>
      </w:r>
      <w:r>
        <w:rPr>
          <w:rFonts w:hint="eastAsia" w:ascii="Times New Roman"/>
          <w:szCs w:val="21"/>
        </w:rPr>
        <w:t>道路</w:t>
      </w:r>
      <w:r>
        <w:rPr>
          <w:rFonts w:hint="eastAsia" w:hAnsi="宋体" w:cs="宋体"/>
          <w:szCs w:val="21"/>
        </w:rPr>
        <w:t>速度参数；</w:t>
      </w:r>
    </w:p>
    <w:p>
      <w:pPr>
        <w:pStyle w:val="64"/>
        <w:ind w:firstLine="420"/>
        <w:jc w:val="left"/>
      </w:pPr>
      <m:oMath>
        <m:r>
          <m:rPr/>
          <w:rPr>
            <w:rFonts w:ascii="Cambria Math" w:hAnsi="Cambria Math"/>
          </w:rPr>
          <m:t>k</m:t>
        </m:r>
      </m:oMath>
      <w:r>
        <w:t>——</w:t>
      </w:r>
      <w:r>
        <w:rPr>
          <w:rFonts w:hint="eastAsia"/>
        </w:rPr>
        <w:t>道路等级参数</w:t>
      </w:r>
      <w:r>
        <w:rPr>
          <w:rFonts w:hint="eastAsia" w:hAnsi="宋体" w:cs="宋体"/>
          <w:szCs w:val="21"/>
        </w:rPr>
        <w:t>。</w:t>
      </w:r>
    </w:p>
    <w:p>
      <w:pPr>
        <w:pStyle w:val="113"/>
        <w:spacing w:before="156" w:after="156"/>
      </w:pPr>
      <w:bookmarkStart w:id="109" w:name="_Toc240476532"/>
      <w:bookmarkStart w:id="110" w:name="_Toc204800705"/>
      <w:r>
        <w:rPr>
          <w:rFonts w:hint="eastAsia"/>
        </w:rPr>
        <w:t>病害影响评价指标</w:t>
      </w:r>
      <w:bookmarkEnd w:id="109"/>
      <w:bookmarkEnd w:id="110"/>
    </w:p>
    <w:p>
      <w:pPr>
        <w:pStyle w:val="238"/>
        <w:wordWrap w:val="0"/>
        <w:jc w:val="both"/>
        <w:rPr>
          <w:rFonts w:hAnsi="宋体" w:cs="宋体"/>
          <w:szCs w:val="21"/>
        </w:rPr>
      </w:pPr>
      <w:r>
        <w:rPr>
          <w:rFonts w:hint="eastAsia" w:hAnsi="宋体" w:cs="宋体"/>
          <w:i/>
          <w:szCs w:val="21"/>
        </w:rPr>
        <w:t>FI</w:t>
      </w:r>
      <w:r>
        <w:rPr>
          <w:rFonts w:ascii="Times New Roman"/>
          <w:szCs w:val="21"/>
        </w:rPr>
        <w:t>——</w:t>
      </w:r>
      <w:r>
        <w:rPr>
          <w:rFonts w:hint="eastAsia" w:hAnsi="宋体" w:cs="宋体"/>
          <w:szCs w:val="21"/>
        </w:rPr>
        <w:t>结构安全指数；</w:t>
      </w:r>
    </w:p>
    <w:p>
      <w:pPr>
        <w:pStyle w:val="238"/>
        <w:wordWrap w:val="0"/>
        <w:jc w:val="both"/>
        <w:rPr>
          <w:rFonts w:hAnsi="宋体" w:cs="宋体"/>
          <w:szCs w:val="21"/>
        </w:rPr>
      </w:pPr>
      <w:r>
        <w:rPr>
          <w:rFonts w:hint="eastAsia" w:hAnsi="宋体" w:cs="宋体"/>
          <w:i/>
          <w:szCs w:val="21"/>
        </w:rPr>
        <w:t>TI</w:t>
      </w:r>
      <w:r>
        <w:rPr>
          <w:rFonts w:ascii="Times New Roman"/>
          <w:szCs w:val="21"/>
        </w:rPr>
        <w:t>——</w:t>
      </w:r>
      <w:r>
        <w:rPr>
          <w:rFonts w:hint="eastAsia" w:hAnsi="宋体" w:cs="宋体"/>
          <w:szCs w:val="21"/>
        </w:rPr>
        <w:t>运行安全指数；</w:t>
      </w:r>
    </w:p>
    <w:p>
      <w:pPr>
        <w:pStyle w:val="238"/>
        <w:wordWrap w:val="0"/>
        <w:jc w:val="both"/>
        <w:rPr>
          <w:rFonts w:hAnsi="宋体" w:cs="宋体"/>
          <w:szCs w:val="21"/>
        </w:rPr>
      </w:pPr>
      <w:r>
        <w:rPr>
          <w:rFonts w:hint="eastAsia" w:hAnsi="宋体" w:cs="宋体"/>
          <w:i/>
          <w:szCs w:val="21"/>
        </w:rPr>
        <w:t>CI</w:t>
      </w:r>
      <w:r>
        <w:rPr>
          <w:rFonts w:ascii="Times New Roman"/>
          <w:szCs w:val="21"/>
        </w:rPr>
        <w:t>——</w:t>
      </w:r>
      <w:r>
        <w:rPr>
          <w:rFonts w:hint="eastAsia" w:hAnsi="宋体" w:cs="宋体"/>
          <w:szCs w:val="21"/>
        </w:rPr>
        <w:t>驾驶舒适指数；</w:t>
      </w:r>
    </w:p>
    <w:p>
      <w:pPr>
        <w:pStyle w:val="238"/>
        <w:wordWrap w:val="0"/>
        <w:jc w:val="both"/>
        <w:rPr>
          <w:rFonts w:hAnsi="宋体" w:cs="宋体"/>
          <w:szCs w:val="21"/>
        </w:rPr>
      </w:pPr>
      <w:r>
        <w:rPr>
          <w:rFonts w:hint="eastAsia" w:hAnsi="宋体" w:cs="宋体"/>
          <w:i/>
          <w:szCs w:val="21"/>
        </w:rPr>
        <w:t>UI</w:t>
      </w:r>
      <w:r>
        <w:rPr>
          <w:rFonts w:ascii="Times New Roman"/>
          <w:szCs w:val="21"/>
        </w:rPr>
        <w:t>——</w:t>
      </w:r>
      <w:r>
        <w:rPr>
          <w:rFonts w:hint="eastAsia" w:hAnsi="宋体" w:cs="宋体"/>
          <w:szCs w:val="21"/>
        </w:rPr>
        <w:t>城市景观指数；</w:t>
      </w:r>
    </w:p>
    <w:p>
      <w:pPr>
        <w:pStyle w:val="238"/>
        <w:wordWrap w:val="0"/>
        <w:jc w:val="both"/>
        <w:rPr>
          <w:rFonts w:hAnsi="宋体" w:cs="宋体"/>
          <w:szCs w:val="21"/>
        </w:rPr>
      </w:pPr>
      <w:r>
        <w:rPr>
          <w:rFonts w:hint="eastAsia" w:hAnsi="宋体" w:cs="宋体"/>
          <w:i/>
          <w:szCs w:val="21"/>
        </w:rPr>
        <w:t>SI</w:t>
      </w:r>
      <w:r>
        <w:rPr>
          <w:rFonts w:ascii="Times New Roman"/>
          <w:szCs w:val="21"/>
        </w:rPr>
        <w:t>——</w:t>
      </w:r>
      <w:r>
        <w:rPr>
          <w:rFonts w:hint="eastAsia" w:hAnsi="宋体" w:cs="宋体"/>
          <w:szCs w:val="21"/>
        </w:rPr>
        <w:t>路面病害综合影响指数；</w:t>
      </w:r>
    </w:p>
    <w:p>
      <w:pPr>
        <w:pStyle w:val="238"/>
        <w:wordWrap w:val="0"/>
        <w:jc w:val="both"/>
        <w:rPr>
          <w:rFonts w:hAnsi="宋体" w:cs="宋体"/>
          <w:szCs w:val="21"/>
        </w:rPr>
      </w:pPr>
      <w:r>
        <w:rPr>
          <w:rFonts w:hint="eastAsia" w:hAnsi="宋体" w:cs="宋体"/>
          <w:i/>
          <w:szCs w:val="21"/>
        </w:rPr>
        <w:t>RI</w:t>
      </w:r>
      <w:r>
        <w:rPr>
          <w:rFonts w:ascii="Times New Roman"/>
          <w:szCs w:val="21"/>
        </w:rPr>
        <w:t>——</w:t>
      </w:r>
      <w:r>
        <w:rPr>
          <w:rFonts w:hint="eastAsia" w:hAnsi="宋体" w:cs="宋体"/>
          <w:szCs w:val="21"/>
        </w:rPr>
        <w:t>路面病害综合维养需求指数。</w:t>
      </w:r>
    </w:p>
    <w:p>
      <w:pPr>
        <w:pStyle w:val="113"/>
        <w:spacing w:before="156" w:after="156"/>
      </w:pPr>
      <w:bookmarkStart w:id="111" w:name="_Toc240476533"/>
      <w:r>
        <w:rPr>
          <w:rFonts w:hint="eastAsia"/>
        </w:rPr>
        <w:t>快速维修性能指标</w:t>
      </w:r>
      <w:bookmarkEnd w:id="111"/>
    </w:p>
    <w:p>
      <w:pPr>
        <w:pStyle w:val="238"/>
        <w:jc w:val="both"/>
        <w:rPr>
          <w:rFonts w:ascii="Times New Roman"/>
        </w:rPr>
      </w:pPr>
      <w:r>
        <w:rPr>
          <w:rFonts w:ascii="Times New Roman"/>
          <w:i/>
          <w:iCs/>
          <w:szCs w:val="21"/>
        </w:rPr>
        <w:t>t</w:t>
      </w:r>
      <w:r>
        <w:rPr>
          <w:rFonts w:hint="eastAsia" w:ascii="Times New Roman"/>
          <w:i/>
          <w:iCs/>
          <w:szCs w:val="21"/>
          <w:vertAlign w:val="subscript"/>
        </w:rPr>
        <w:t>固</w:t>
      </w:r>
      <w:r>
        <w:rPr>
          <w:rFonts w:ascii="Times New Roman"/>
          <w:szCs w:val="21"/>
        </w:rPr>
        <w:t>——免养生冷补沥青</w:t>
      </w:r>
      <w:r>
        <w:rPr>
          <w:rFonts w:ascii="Times New Roman"/>
        </w:rPr>
        <w:t>固化时间</w:t>
      </w:r>
      <w:r>
        <w:rPr>
          <w:rFonts w:hint="eastAsia" w:ascii="Times New Roman"/>
        </w:rPr>
        <w:t>；</w:t>
      </w:r>
    </w:p>
    <w:p>
      <w:pPr>
        <w:pStyle w:val="238"/>
        <w:rPr>
          <w:rFonts w:ascii="Times New Roman"/>
        </w:rPr>
      </w:pPr>
      <w:r>
        <w:rPr>
          <w:rFonts w:ascii="Times New Roman"/>
          <w:i/>
          <w:iCs/>
        </w:rPr>
        <w:t>δ</w:t>
      </w:r>
      <w:r>
        <w:rPr>
          <w:rFonts w:ascii="Times New Roman"/>
          <w:i/>
          <w:iCs/>
          <w:vertAlign w:val="subscript"/>
        </w:rPr>
        <w:t>b</w:t>
      </w:r>
      <w:r>
        <w:rPr>
          <w:rFonts w:ascii="Times New Roman"/>
        </w:rPr>
        <w:t>——短养生水激发冷补液断裂延伸率</w:t>
      </w:r>
      <w:r>
        <w:rPr>
          <w:rFonts w:hint="eastAsia" w:ascii="Times New Roman"/>
        </w:rPr>
        <w:t>；</w:t>
      </w:r>
    </w:p>
    <w:p>
      <w:pPr>
        <w:pStyle w:val="238"/>
        <w:jc w:val="both"/>
        <w:rPr>
          <w:rFonts w:ascii="Times New Roman"/>
        </w:rPr>
      </w:pPr>
      <w:bookmarkStart w:id="112" w:name="_Hlk198292394"/>
      <w:r>
        <w:rPr>
          <w:rFonts w:ascii="Times New Roman"/>
          <w:i/>
          <w:iCs/>
        </w:rPr>
        <w:t>σ</w:t>
      </w:r>
      <w:bookmarkEnd w:id="112"/>
      <w:r>
        <w:rPr>
          <w:rFonts w:ascii="Times New Roman"/>
          <w:i/>
          <w:iCs/>
          <w:vertAlign w:val="subscript"/>
        </w:rPr>
        <w:t>b</w:t>
      </w:r>
      <w:r>
        <w:rPr>
          <w:rFonts w:ascii="Times New Roman"/>
        </w:rPr>
        <w:t>——短养生水激发冷补液拉伸强度</w:t>
      </w:r>
      <w:r>
        <w:rPr>
          <w:rFonts w:hint="eastAsia" w:ascii="Times New Roman"/>
        </w:rPr>
        <w:t>；</w:t>
      </w:r>
    </w:p>
    <w:p>
      <w:pPr>
        <w:pStyle w:val="238"/>
        <w:jc w:val="both"/>
        <w:rPr>
          <w:rFonts w:ascii="Times New Roman"/>
        </w:rPr>
      </w:pPr>
      <w:r>
        <w:rPr>
          <w:rFonts w:ascii="Times New Roman"/>
          <w:i/>
          <w:iCs/>
          <w:szCs w:val="21"/>
        </w:rPr>
        <w:t>η</w:t>
      </w:r>
      <w:r>
        <w:rPr>
          <w:rFonts w:ascii="Times New Roman"/>
          <w:i/>
          <w:iCs/>
          <w:szCs w:val="21"/>
          <w:vertAlign w:val="subscript"/>
        </w:rPr>
        <w:t>60</w:t>
      </w:r>
      <w:r>
        <w:rPr>
          <w:rFonts w:ascii="Times New Roman"/>
          <w:szCs w:val="21"/>
        </w:rPr>
        <w:t>——</w:t>
      </w:r>
      <w:r>
        <w:rPr>
          <w:rFonts w:ascii="Times New Roman"/>
        </w:rPr>
        <w:t>短养生环氧树脂60min黏度</w:t>
      </w:r>
      <w:r>
        <w:rPr>
          <w:rFonts w:hint="eastAsia" w:ascii="Times New Roman"/>
        </w:rPr>
        <w:t>；</w:t>
      </w:r>
    </w:p>
    <w:p>
      <w:pPr>
        <w:pStyle w:val="238"/>
        <w:rPr>
          <w:rFonts w:ascii="Times New Roman"/>
        </w:rPr>
      </w:pPr>
      <w:r>
        <w:rPr>
          <w:rFonts w:ascii="Times New Roman"/>
          <w:i/>
          <w:iCs/>
        </w:rPr>
        <w:t>δ</w:t>
      </w:r>
      <w:r>
        <w:rPr>
          <w:rFonts w:ascii="Times New Roman"/>
          <w:i/>
          <w:iCs/>
          <w:vertAlign w:val="subscript"/>
        </w:rPr>
        <w:t>r</w:t>
      </w:r>
      <w:r>
        <w:rPr>
          <w:rFonts w:ascii="Times New Roman"/>
        </w:rPr>
        <w:t>——短养生环氧树脂断裂延伸率</w:t>
      </w:r>
      <w:r>
        <w:rPr>
          <w:rFonts w:hint="eastAsia" w:ascii="Times New Roman"/>
        </w:rPr>
        <w:t>；</w:t>
      </w:r>
    </w:p>
    <w:p>
      <w:pPr>
        <w:pStyle w:val="238"/>
        <w:jc w:val="both"/>
        <w:rPr>
          <w:rFonts w:ascii="Times New Roman"/>
        </w:rPr>
      </w:pPr>
      <w:r>
        <w:rPr>
          <w:rFonts w:ascii="Times New Roman"/>
          <w:i/>
          <w:iCs/>
        </w:rPr>
        <w:t>σ</w:t>
      </w:r>
      <w:r>
        <w:rPr>
          <w:rFonts w:ascii="Times New Roman"/>
          <w:i/>
          <w:iCs/>
          <w:vertAlign w:val="subscript"/>
        </w:rPr>
        <w:t>r</w:t>
      </w:r>
      <w:r>
        <w:rPr>
          <w:rFonts w:ascii="Times New Roman"/>
        </w:rPr>
        <w:t>——短养生环氧树脂拉伸强度</w:t>
      </w:r>
      <w:r>
        <w:rPr>
          <w:rFonts w:hint="eastAsia" w:ascii="Times New Roman"/>
        </w:rPr>
        <w:t>。</w:t>
      </w:r>
    </w:p>
    <w:p>
      <w:pPr>
        <w:pStyle w:val="112"/>
        <w:spacing w:before="312" w:after="312"/>
      </w:pPr>
      <w:bookmarkStart w:id="113" w:name="_Toc204800706"/>
      <w:bookmarkStart w:id="114" w:name="_Toc240476534"/>
      <w:r>
        <w:rPr>
          <w:rFonts w:hint="eastAsia"/>
        </w:rPr>
        <w:t>基本规定</w:t>
      </w:r>
      <w:bookmarkEnd w:id="113"/>
      <w:bookmarkEnd w:id="114"/>
    </w:p>
    <w:p>
      <w:pPr>
        <w:pStyle w:val="170"/>
      </w:pPr>
      <w:bookmarkStart w:id="115" w:name="_Toc204800526"/>
      <w:bookmarkStart w:id="116" w:name="_Toc193461341"/>
      <w:bookmarkStart w:id="117" w:name="_Toc198300076"/>
      <w:bookmarkStart w:id="118" w:name="_Toc198197266"/>
      <w:bookmarkStart w:id="119" w:name="_Toc204800708"/>
      <w:bookmarkStart w:id="120" w:name="_Toc198198037"/>
      <w:bookmarkStart w:id="121" w:name="_Toc198198308"/>
      <w:bookmarkStart w:id="122" w:name="_Toc6b71fdd4-f5d5-44fe-ae17-23959e11a588"/>
      <w:r>
        <w:t>城镇道路沥青路面</w:t>
      </w:r>
      <w:r>
        <w:rPr>
          <w:rFonts w:hint="eastAsia"/>
        </w:rPr>
        <w:t>的主要巡检方法有：</w:t>
      </w:r>
      <w:bookmarkEnd w:id="115"/>
      <w:bookmarkEnd w:id="116"/>
      <w:bookmarkEnd w:id="117"/>
      <w:bookmarkEnd w:id="118"/>
      <w:bookmarkEnd w:id="119"/>
      <w:bookmarkEnd w:id="120"/>
      <w:bookmarkEnd w:id="121"/>
    </w:p>
    <w:p>
      <w:pPr>
        <w:pStyle w:val="243"/>
        <w:numPr>
          <w:ilvl w:val="0"/>
          <w:numId w:val="32"/>
        </w:numPr>
        <w:ind w:firstLineChars="0"/>
        <w:rPr>
          <w:rFonts w:ascii="宋体" w:hAnsi="Times New Roman" w:eastAsia="宋体" w:cs="Times New Roman"/>
          <w:kern w:val="0"/>
          <w:szCs w:val="20"/>
        </w:rPr>
      </w:pPr>
      <w:bookmarkStart w:id="123" w:name="_Toc204800709"/>
      <w:bookmarkStart w:id="124" w:name="_Toc193461342"/>
      <w:bookmarkStart w:id="125" w:name="_Toc198198038"/>
      <w:bookmarkStart w:id="126" w:name="_Toc198197267"/>
      <w:bookmarkStart w:id="127" w:name="_Toc204800527"/>
      <w:bookmarkStart w:id="128" w:name="_Toc198300077"/>
      <w:bookmarkStart w:id="129" w:name="_Toc198198309"/>
      <w:r>
        <w:rPr>
          <w:rFonts w:hint="eastAsia" w:ascii="宋体" w:hAnsi="Times New Roman" w:eastAsia="宋体" w:cs="Times New Roman"/>
          <w:kern w:val="0"/>
          <w:szCs w:val="20"/>
        </w:rPr>
        <w:t>人工发现方法，包括道路养护巡查、交通警察巡逻、公共区域视频巡查、专用道路检测车巡查、无人驾驶航空器机载视频巡查等；</w:t>
      </w:r>
      <w:bookmarkEnd w:id="123"/>
      <w:bookmarkEnd w:id="124"/>
      <w:bookmarkEnd w:id="125"/>
      <w:bookmarkEnd w:id="126"/>
      <w:bookmarkEnd w:id="127"/>
      <w:bookmarkEnd w:id="128"/>
      <w:bookmarkEnd w:id="129"/>
    </w:p>
    <w:p>
      <w:pPr>
        <w:pStyle w:val="243"/>
        <w:numPr>
          <w:ilvl w:val="0"/>
          <w:numId w:val="32"/>
        </w:numPr>
        <w:ind w:firstLineChars="0"/>
        <w:rPr>
          <w:rFonts w:ascii="宋体" w:hAnsi="Times New Roman" w:eastAsia="宋体" w:cs="Times New Roman"/>
          <w:kern w:val="0"/>
          <w:szCs w:val="20"/>
        </w:rPr>
      </w:pPr>
      <w:bookmarkStart w:id="130" w:name="_Toc204800710"/>
      <w:bookmarkStart w:id="131" w:name="_Toc193461344"/>
      <w:bookmarkStart w:id="132" w:name="_Toc198197268"/>
      <w:bookmarkStart w:id="133" w:name="_Toc198198039"/>
      <w:bookmarkStart w:id="134" w:name="_Toc198198310"/>
      <w:bookmarkStart w:id="135" w:name="_Toc204800528"/>
      <w:bookmarkStart w:id="136" w:name="_Toc198300078"/>
      <w:r>
        <w:rPr>
          <w:rFonts w:hint="eastAsia" w:ascii="宋体" w:hAnsi="Times New Roman" w:eastAsia="宋体" w:cs="Times New Roman"/>
          <w:kern w:val="0"/>
          <w:szCs w:val="20"/>
        </w:rPr>
        <w:t>道路巡查管理系统及平台智能识别，使用综合车载检测、智能识别、可视化交互为一体的系统等。</w:t>
      </w:r>
      <w:bookmarkEnd w:id="130"/>
      <w:bookmarkEnd w:id="131"/>
      <w:bookmarkEnd w:id="132"/>
      <w:bookmarkEnd w:id="133"/>
      <w:bookmarkEnd w:id="134"/>
      <w:bookmarkEnd w:id="135"/>
      <w:bookmarkEnd w:id="136"/>
    </w:p>
    <w:p>
      <w:pPr>
        <w:pStyle w:val="170"/>
      </w:pPr>
      <w:bookmarkStart w:id="137" w:name="_Toc198300079"/>
      <w:bookmarkStart w:id="138" w:name="_Toc204800529"/>
      <w:bookmarkStart w:id="139" w:name="_Toc198198040"/>
      <w:bookmarkStart w:id="140" w:name="_Toc204800711"/>
      <w:bookmarkStart w:id="141" w:name="_Toc193461345"/>
      <w:bookmarkStart w:id="142" w:name="_Toc198197269"/>
      <w:bookmarkStart w:id="143" w:name="_Toc198198311"/>
      <w:r>
        <w:t>城镇道路沥青路面</w:t>
      </w:r>
      <w:r>
        <w:rPr>
          <w:rFonts w:hint="eastAsia"/>
        </w:rPr>
        <w:t>病害维养需求计算前</w:t>
      </w:r>
      <w:r>
        <w:t>应进行病害尺寸特征测量</w:t>
      </w:r>
      <w:r>
        <w:rPr>
          <w:rFonts w:hint="eastAsia"/>
        </w:rPr>
        <w:t>,</w:t>
      </w:r>
      <w:r>
        <w:t>测量方法应符合</w:t>
      </w:r>
      <w:r>
        <w:rPr>
          <w:rFonts w:hint="eastAsia"/>
        </w:rPr>
        <w:t>现</w:t>
      </w:r>
      <w:r>
        <w:rPr>
          <w:rFonts w:hint="eastAsia" w:hAnsi="宋体"/>
        </w:rPr>
        <w:t>行</w:t>
      </w:r>
      <w:r>
        <w:rPr>
          <w:rFonts w:hint="eastAsia"/>
        </w:rPr>
        <w:t>行业标准</w:t>
      </w:r>
      <w:r>
        <w:t>JTG 5210的有关规定。测量时，应充分保障测量人员安全，减轻测量对路段交通的影响。</w:t>
      </w:r>
      <w:bookmarkEnd w:id="137"/>
      <w:bookmarkEnd w:id="138"/>
      <w:bookmarkEnd w:id="139"/>
      <w:bookmarkEnd w:id="140"/>
      <w:bookmarkEnd w:id="141"/>
      <w:bookmarkEnd w:id="142"/>
      <w:bookmarkEnd w:id="143"/>
      <w:bookmarkStart w:id="144" w:name="_Toc198300090"/>
      <w:bookmarkStart w:id="145" w:name="_Toc198198051"/>
      <w:bookmarkStart w:id="146" w:name="_Toc204800540"/>
      <w:bookmarkStart w:id="147" w:name="_Toc193461356"/>
      <w:bookmarkStart w:id="148" w:name="_Toc198198322"/>
      <w:bookmarkStart w:id="149" w:name="_Toc198197280"/>
      <w:bookmarkStart w:id="150" w:name="_Toc204800722"/>
    </w:p>
    <w:p>
      <w:pPr>
        <w:pStyle w:val="170"/>
      </w:pPr>
      <w:r>
        <w:t>城镇道路沥青路面</w:t>
      </w:r>
      <w:r>
        <w:rPr>
          <w:rFonts w:hint="eastAsia"/>
        </w:rPr>
        <w:t>病害所在路段道路等级信息，可通过查阅相关道路资料获得。</w:t>
      </w:r>
      <w:bookmarkEnd w:id="144"/>
      <w:bookmarkEnd w:id="145"/>
      <w:bookmarkEnd w:id="146"/>
      <w:bookmarkEnd w:id="147"/>
      <w:bookmarkEnd w:id="148"/>
      <w:bookmarkEnd w:id="149"/>
      <w:bookmarkEnd w:id="150"/>
    </w:p>
    <w:p>
      <w:pPr>
        <w:pStyle w:val="170"/>
      </w:pPr>
      <w:bookmarkStart w:id="151" w:name="_Toc204800723"/>
      <w:bookmarkStart w:id="152" w:name="_Toc198198052"/>
      <w:bookmarkStart w:id="153" w:name="_Toc198300091"/>
      <w:bookmarkStart w:id="154" w:name="_Toc204800541"/>
      <w:bookmarkStart w:id="155" w:name="_Toc193461358"/>
      <w:bookmarkStart w:id="156" w:name="_Toc198197281"/>
      <w:bookmarkStart w:id="157" w:name="_Toc198198323"/>
      <w:r>
        <w:t>城镇道路沥青路面</w:t>
      </w:r>
      <w:r>
        <w:rPr>
          <w:rFonts w:hint="eastAsia"/>
        </w:rPr>
        <w:t>病害维养需求依据路面病害的路面结构安全效应、交通运行安全效应、驾驶舒适效应、城市景观效应综合计算。</w:t>
      </w:r>
      <w:bookmarkEnd w:id="122"/>
      <w:bookmarkEnd w:id="151"/>
      <w:bookmarkEnd w:id="152"/>
      <w:bookmarkEnd w:id="153"/>
      <w:bookmarkEnd w:id="154"/>
      <w:bookmarkEnd w:id="155"/>
      <w:bookmarkEnd w:id="156"/>
      <w:bookmarkEnd w:id="157"/>
    </w:p>
    <w:p>
      <w:pPr>
        <w:pStyle w:val="170"/>
      </w:pPr>
      <w:r>
        <w:t>应编制城镇道路沥青路面快速维修养护月度计划，综合考虑各方面因素，确定养护投资、规模，并对满足养护实施条件的路段积极实施养护。</w:t>
      </w:r>
    </w:p>
    <w:p>
      <w:pPr>
        <w:pStyle w:val="170"/>
      </w:pPr>
      <w:r>
        <w:t>城镇道路沥青路面快速维修养护应包括道路基本信息收集、路况调查与评价、决策、设计、施工、工程质量控制、后评估等工作内容。</w:t>
      </w:r>
    </w:p>
    <w:p>
      <w:pPr>
        <w:pStyle w:val="170"/>
      </w:pPr>
      <w:r>
        <w:t>城镇道路沥青路面快速维修养护实施后，路面应满足结构稳定、运行安全、行驶舒适和景观协调</w:t>
      </w:r>
      <w:r>
        <w:rPr>
          <w:rFonts w:hint="eastAsia"/>
        </w:rPr>
        <w:t>等</w:t>
      </w:r>
      <w:r>
        <w:t>要求，并应符合下列规定：</w:t>
      </w:r>
    </w:p>
    <w:p>
      <w:pPr>
        <w:pStyle w:val="243"/>
        <w:numPr>
          <w:ilvl w:val="0"/>
          <w:numId w:val="33"/>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路面结构完整、稳定，满足正常使用功能要求</w:t>
      </w:r>
      <w:r>
        <w:rPr>
          <w:rFonts w:ascii="宋体" w:hAnsi="Times New Roman" w:eastAsia="宋体" w:cs="Times New Roman"/>
          <w:kern w:val="0"/>
          <w:szCs w:val="20"/>
        </w:rPr>
        <w:t>；</w:t>
      </w:r>
    </w:p>
    <w:p>
      <w:pPr>
        <w:pStyle w:val="243"/>
        <w:numPr>
          <w:ilvl w:val="0"/>
          <w:numId w:val="33"/>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路面具备良好的通行条件，保障车辆安全、稳定运行</w:t>
      </w:r>
      <w:r>
        <w:rPr>
          <w:rFonts w:ascii="宋体" w:hAnsi="Times New Roman" w:eastAsia="宋体" w:cs="Times New Roman"/>
          <w:kern w:val="0"/>
          <w:szCs w:val="20"/>
        </w:rPr>
        <w:t>；</w:t>
      </w:r>
    </w:p>
    <w:p>
      <w:pPr>
        <w:pStyle w:val="243"/>
        <w:numPr>
          <w:ilvl w:val="0"/>
          <w:numId w:val="33"/>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路面平整，车辆行驶应平顺、舒适</w:t>
      </w:r>
      <w:r>
        <w:rPr>
          <w:rFonts w:ascii="宋体" w:hAnsi="Times New Roman" w:eastAsia="宋体" w:cs="Times New Roman"/>
          <w:kern w:val="0"/>
          <w:szCs w:val="20"/>
        </w:rPr>
        <w:t>；</w:t>
      </w:r>
    </w:p>
    <w:p>
      <w:pPr>
        <w:pStyle w:val="243"/>
        <w:numPr>
          <w:ilvl w:val="0"/>
          <w:numId w:val="33"/>
        </w:numPr>
        <w:ind w:firstLineChars="0"/>
        <w:rPr>
          <w:rFonts w:ascii="宋体" w:hAnsi="Times New Roman" w:eastAsia="宋体" w:cs="Times New Roman"/>
          <w:kern w:val="0"/>
          <w:szCs w:val="20"/>
        </w:rPr>
      </w:pPr>
      <w:r>
        <w:rPr>
          <w:rFonts w:ascii="宋体" w:hAnsi="Times New Roman" w:eastAsia="宋体" w:cs="Times New Roman"/>
          <w:kern w:val="0"/>
          <w:szCs w:val="20"/>
        </w:rPr>
        <w:t>路面外观完整、整洁，并与周边道路环境相协调。</w:t>
      </w:r>
    </w:p>
    <w:p>
      <w:pPr>
        <w:pStyle w:val="170"/>
      </w:pPr>
      <w:r>
        <w:t>城镇道路沥青路面快速维修养护应以机械化施工为主，加快施工效率，提高施工质量，采取措施减少施工作业对交通的影响，做到安全生产、文明施工、节约资源、保护环境。</w:t>
      </w:r>
    </w:p>
    <w:p>
      <w:pPr>
        <w:pStyle w:val="112"/>
        <w:spacing w:before="312" w:after="312"/>
      </w:pPr>
      <w:bookmarkStart w:id="158" w:name="_Toc204800724"/>
      <w:bookmarkStart w:id="159" w:name="_Toc240476535"/>
      <w:r>
        <w:rPr>
          <w:rFonts w:hint="eastAsia"/>
        </w:rPr>
        <w:t>路面病害分类</w:t>
      </w:r>
      <w:bookmarkEnd w:id="158"/>
      <w:bookmarkEnd w:id="159"/>
    </w:p>
    <w:p>
      <w:pPr>
        <w:pStyle w:val="170"/>
      </w:pPr>
      <w:bookmarkStart w:id="160" w:name="_Toc204800543"/>
      <w:bookmarkStart w:id="161" w:name="_Toc198198054"/>
      <w:bookmarkStart w:id="162" w:name="_Toc198300093"/>
      <w:bookmarkStart w:id="163" w:name="_Toc204800725"/>
      <w:bookmarkStart w:id="164" w:name="_Toc198198325"/>
      <w:r>
        <w:rPr>
          <w:rFonts w:hint="eastAsia"/>
        </w:rPr>
        <w:t>城镇道路沥青路面病害主要分为坑槽病害、裂缝病害、车辙病害、拥包病害和沉陷病害等5类。</w:t>
      </w:r>
      <w:bookmarkEnd w:id="160"/>
      <w:bookmarkEnd w:id="161"/>
      <w:bookmarkEnd w:id="162"/>
      <w:bookmarkEnd w:id="163"/>
      <w:bookmarkEnd w:id="164"/>
    </w:p>
    <w:p>
      <w:pPr>
        <w:pStyle w:val="170"/>
      </w:pPr>
      <w:bookmarkStart w:id="165" w:name="_Toc204800726"/>
      <w:bookmarkStart w:id="166" w:name="_Toc198300094"/>
      <w:bookmarkStart w:id="167" w:name="_Toc204800544"/>
      <w:bookmarkStart w:id="168" w:name="_Toc198198055"/>
      <w:bookmarkStart w:id="169" w:name="_Toc198198326"/>
      <w:r>
        <w:rPr>
          <w:rFonts w:hint="eastAsia"/>
        </w:rPr>
        <w:t>坑槽病害是</w:t>
      </w:r>
      <w:r>
        <w:t>因局部材料松散剥落形成的凹槽状破损，包括水损型坑槽与疲劳型坑槽。</w:t>
      </w:r>
      <w:bookmarkEnd w:id="165"/>
      <w:bookmarkEnd w:id="166"/>
      <w:bookmarkEnd w:id="167"/>
      <w:bookmarkEnd w:id="168"/>
      <w:bookmarkEnd w:id="169"/>
    </w:p>
    <w:p>
      <w:pPr>
        <w:pStyle w:val="170"/>
      </w:pPr>
      <w:bookmarkStart w:id="170" w:name="_Toc198198056"/>
      <w:bookmarkStart w:id="171" w:name="_Toc198300095"/>
      <w:bookmarkStart w:id="172" w:name="_Toc204800727"/>
      <w:bookmarkStart w:id="173" w:name="_Toc204800545"/>
      <w:bookmarkStart w:id="174" w:name="_Toc198198327"/>
      <w:r>
        <w:rPr>
          <w:rFonts w:hint="eastAsia"/>
        </w:rPr>
        <w:t>裂缝病害是</w:t>
      </w:r>
      <w:r>
        <w:t>因温度应力或荷载疲劳导致的线性开裂，包括</w:t>
      </w:r>
      <w:r>
        <w:rPr>
          <w:rFonts w:hint="eastAsia"/>
        </w:rPr>
        <w:t>横向</w:t>
      </w:r>
      <w:r>
        <w:t>裂缝与</w:t>
      </w:r>
      <w:r>
        <w:rPr>
          <w:rFonts w:hint="eastAsia"/>
        </w:rPr>
        <w:t>纵向</w:t>
      </w:r>
      <w:r>
        <w:t>裂缝</w:t>
      </w:r>
      <w:r>
        <w:rPr>
          <w:rFonts w:hint="eastAsia"/>
        </w:rPr>
        <w:t>，根据病害形成机理可分为</w:t>
      </w:r>
      <w:r>
        <w:t>温缩型裂缝与荷载型裂缝。</w:t>
      </w:r>
      <w:bookmarkEnd w:id="170"/>
      <w:bookmarkEnd w:id="171"/>
      <w:bookmarkEnd w:id="172"/>
      <w:bookmarkEnd w:id="173"/>
      <w:bookmarkEnd w:id="174"/>
    </w:p>
    <w:p>
      <w:pPr>
        <w:pStyle w:val="170"/>
      </w:pPr>
      <w:bookmarkStart w:id="175" w:name="_Toc204800728"/>
      <w:bookmarkStart w:id="176" w:name="_Toc198198328"/>
      <w:bookmarkStart w:id="177" w:name="_Toc198300096"/>
      <w:bookmarkStart w:id="178" w:name="_Toc198198057"/>
      <w:bookmarkStart w:id="179" w:name="_Toc204800546"/>
      <w:r>
        <w:rPr>
          <w:rFonts w:hint="eastAsia"/>
        </w:rPr>
        <w:t>车辙病害是</w:t>
      </w:r>
      <w:r>
        <w:t>因车辆荷载反复作用导致的路面层状永久变形</w:t>
      </w:r>
      <w:r>
        <w:rPr>
          <w:rFonts w:hint="eastAsia"/>
        </w:rPr>
        <w:t>，包括</w:t>
      </w:r>
      <w:r>
        <w:t>磨耗型</w:t>
      </w:r>
      <w:r>
        <w:rPr>
          <w:rFonts w:hint="eastAsia"/>
        </w:rPr>
        <w:t>车辙</w:t>
      </w:r>
      <w:r>
        <w:t>与结构型车辙</w:t>
      </w:r>
      <w:r>
        <w:rPr>
          <w:rFonts w:hint="eastAsia"/>
        </w:rPr>
        <w:t>。</w:t>
      </w:r>
      <w:bookmarkEnd w:id="175"/>
      <w:bookmarkEnd w:id="176"/>
      <w:bookmarkEnd w:id="177"/>
      <w:bookmarkEnd w:id="178"/>
      <w:bookmarkEnd w:id="179"/>
    </w:p>
    <w:p>
      <w:pPr>
        <w:pStyle w:val="170"/>
        <w:rPr>
          <w:color w:val="000000" w:themeColor="text1"/>
          <w14:textFill>
            <w14:solidFill>
              <w14:schemeClr w14:val="tx1"/>
            </w14:solidFill>
          </w14:textFill>
        </w:rPr>
      </w:pPr>
      <w:bookmarkStart w:id="180" w:name="_Toc198300097"/>
      <w:bookmarkStart w:id="181" w:name="_Toc198198058"/>
      <w:bookmarkStart w:id="182" w:name="_Toc204800547"/>
      <w:bookmarkStart w:id="183" w:name="_Toc204800729"/>
      <w:bookmarkStart w:id="184" w:name="_Toc198198329"/>
      <w:r>
        <w:rPr>
          <w:rFonts w:hint="eastAsia"/>
          <w:color w:val="000000" w:themeColor="text1"/>
          <w14:textFill>
            <w14:solidFill>
              <w14:schemeClr w14:val="tx1"/>
            </w14:solidFill>
          </w14:textFill>
        </w:rPr>
        <w:t>拥包病害是</w:t>
      </w:r>
      <w:r>
        <w:rPr>
          <w:color w:val="000000" w:themeColor="text1"/>
          <w14:textFill>
            <w14:solidFill>
              <w14:schemeClr w14:val="tx1"/>
            </w14:solidFill>
          </w14:textFill>
        </w:rPr>
        <w:t>因沥青混合料高温抗剪性不足引发的波浪状隆起变形，包括推移型拥包与膨胀型拥包。</w:t>
      </w:r>
      <w:bookmarkEnd w:id="180"/>
      <w:bookmarkEnd w:id="181"/>
      <w:bookmarkEnd w:id="182"/>
      <w:bookmarkEnd w:id="183"/>
      <w:bookmarkEnd w:id="184"/>
    </w:p>
    <w:p>
      <w:pPr>
        <w:pStyle w:val="170"/>
      </w:pPr>
      <w:bookmarkStart w:id="185" w:name="_Toc204800548"/>
      <w:bookmarkStart w:id="186" w:name="_Toc204800730"/>
      <w:bookmarkStart w:id="187" w:name="_Toc198198330"/>
      <w:bookmarkStart w:id="188" w:name="_Toc198300098"/>
      <w:bookmarkStart w:id="189" w:name="_Toc198198059"/>
      <w:r>
        <w:rPr>
          <w:rFonts w:hint="eastAsia"/>
        </w:rPr>
        <w:t>沉陷病害是</w:t>
      </w:r>
      <w:r>
        <w:t>因路基或基层强度不足引发的局部下陷变形</w:t>
      </w:r>
      <w:r>
        <w:rPr>
          <w:rFonts w:hint="eastAsia"/>
        </w:rPr>
        <w:t>，包括</w:t>
      </w:r>
      <w:r>
        <w:t>结构型</w:t>
      </w:r>
      <w:r>
        <w:rPr>
          <w:rFonts w:hint="eastAsia"/>
        </w:rPr>
        <w:t>沉陷</w:t>
      </w:r>
      <w:r>
        <w:t>与荷载型沉陷</w:t>
      </w:r>
      <w:r>
        <w:rPr>
          <w:rFonts w:hint="eastAsia"/>
        </w:rPr>
        <w:t>。</w:t>
      </w:r>
      <w:bookmarkEnd w:id="185"/>
      <w:bookmarkEnd w:id="186"/>
      <w:bookmarkEnd w:id="187"/>
      <w:bookmarkEnd w:id="188"/>
      <w:bookmarkEnd w:id="189"/>
    </w:p>
    <w:p>
      <w:pPr>
        <w:pStyle w:val="112"/>
        <w:spacing w:before="312" w:after="312"/>
      </w:pPr>
      <w:bookmarkStart w:id="190" w:name="_Toc204800731"/>
      <w:bookmarkStart w:id="191" w:name="_Toc240476536"/>
      <w:r>
        <w:rPr>
          <w:rFonts w:hint="eastAsia"/>
        </w:rPr>
        <w:t>路面病害的路面结构安全效应</w:t>
      </w:r>
      <w:bookmarkEnd w:id="190"/>
      <w:bookmarkEnd w:id="191"/>
      <w:r>
        <w:rPr>
          <w:rFonts w:hint="eastAsia"/>
        </w:rPr>
        <w:t xml:space="preserve"> </w:t>
      </w:r>
    </w:p>
    <w:p>
      <w:pPr>
        <w:pStyle w:val="113"/>
        <w:spacing w:before="156" w:after="156"/>
      </w:pPr>
      <w:bookmarkStart w:id="192" w:name="_Toc204800732"/>
      <w:bookmarkStart w:id="193" w:name="_Toc240476537"/>
      <w:r>
        <w:rPr>
          <w:rFonts w:hint="eastAsia"/>
        </w:rPr>
        <w:t>路面结构安全效应</w:t>
      </w:r>
      <w:bookmarkEnd w:id="192"/>
      <w:bookmarkEnd w:id="193"/>
    </w:p>
    <w:p>
      <w:pPr>
        <w:pStyle w:val="64"/>
        <w:ind w:firstLine="420"/>
      </w:pPr>
      <w:r>
        <w:rPr>
          <w:rFonts w:hint="eastAsia"/>
        </w:rPr>
        <w:t>路面病害的路面结构安全效应用结构安全指数</w:t>
      </w:r>
      <w:r>
        <w:t>FI</w:t>
      </w:r>
      <w:r>
        <w:rPr>
          <w:rFonts w:hint="eastAsia"/>
        </w:rPr>
        <w:t>表征</w:t>
      </w:r>
      <w:r>
        <w:t>。FI</w:t>
      </w:r>
      <w:r>
        <w:rPr>
          <w:rFonts w:hint="eastAsia"/>
        </w:rPr>
        <w:t>越高，说明路面病害对路面结构安全的影响越大。结构安全指数FI的确定应综合考虑病害类型、尺寸、所在道路等级因素。</w:t>
      </w:r>
    </w:p>
    <w:p>
      <w:pPr>
        <w:pStyle w:val="113"/>
        <w:spacing w:before="156" w:after="156"/>
      </w:pPr>
      <w:bookmarkStart w:id="194" w:name="_Toc204800733"/>
      <w:bookmarkStart w:id="195" w:name="_Toc240476538"/>
      <w:r>
        <w:rPr>
          <w:rFonts w:hint="eastAsia"/>
        </w:rPr>
        <w:t>结构安全指数计算</w:t>
      </w:r>
      <w:bookmarkEnd w:id="194"/>
      <w:bookmarkEnd w:id="195"/>
    </w:p>
    <w:p>
      <w:pPr>
        <w:pStyle w:val="64"/>
        <w:ind w:firstLine="420"/>
      </w:pPr>
      <w:r>
        <w:rPr>
          <w:rFonts w:hint="eastAsia"/>
        </w:rPr>
        <w:t>路面病害结构安全指数计算见公式（1）：</w:t>
      </w:r>
    </w:p>
    <w:p>
      <w:pPr>
        <w:pStyle w:val="121"/>
      </w:pPr>
      <w:r>
        <w:rPr>
          <w:rFonts w:hint="eastAsia"/>
        </w:rPr>
        <w:tab/>
      </w:r>
      <m:oMath>
        <m:r>
          <m:rPr/>
          <w:rPr>
            <w:rFonts w:ascii="Cambria Math" w:hAnsi="Cambria Math"/>
          </w:rPr>
          <m:t>FI=k</m:t>
        </m:r>
        <m:sSup>
          <m:sSupPr>
            <m:ctrlPr>
              <w:rPr>
                <w:rFonts w:ascii="Cambria Math" w:hAnsi="Cambria Math"/>
                <w:i/>
                <w:iCs/>
              </w:rPr>
            </m:ctrlPr>
          </m:sSupPr>
          <m:e>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r>
              <m:rPr/>
              <w:rPr>
                <w:rFonts w:ascii="Cambria Math" w:hAnsi="Cambria Math"/>
              </w:rPr>
              <m:t>S</m:t>
            </m:r>
            <m:ctrlPr>
              <w:rPr>
                <w:rFonts w:ascii="Cambria Math" w:hAnsi="Cambria Math"/>
                <w:i/>
                <w:iCs/>
              </w:rPr>
            </m:ctrlPr>
          </m:e>
          <m:sup>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ctrlPr>
              <w:rPr>
                <w:rFonts w:ascii="Cambria Math" w:hAnsi="Cambria Math"/>
                <w:i/>
                <w:iCs/>
              </w:rPr>
            </m:ctrlPr>
          </m:sup>
        </m:sSup>
        <m:sSup>
          <m:sSupPr>
            <m:ctrlPr>
              <w:rPr>
                <w:rFonts w:ascii="Cambria Math" w:hAnsi="Cambria Math"/>
                <w:i/>
                <w:iCs/>
              </w:rPr>
            </m:ctrlPr>
          </m:sSupPr>
          <m:e>
            <m:r>
              <m:rPr/>
              <w:rPr>
                <w:rFonts w:ascii="Cambria Math" w:hAnsi="Cambria Math"/>
              </w:rPr>
              <m:t>d</m:t>
            </m:r>
            <m:ctrlPr>
              <w:rPr>
                <w:rFonts w:ascii="Cambria Math" w:hAnsi="Cambria Math"/>
                <w:i/>
                <w:iCs/>
              </w:rPr>
            </m:ctrlPr>
          </m:e>
          <m:sup>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ctrlPr>
              <w:rPr>
                <w:rFonts w:ascii="Cambria Math" w:hAnsi="Cambria Math"/>
                <w:i/>
                <w:iCs/>
              </w:rPr>
            </m:ctrlPr>
          </m:sup>
        </m:sSup>
      </m:oMath>
      <w:r>
        <w:rPr>
          <w:rFonts w:hint="eastAsia" w:ascii="微软雅黑" w:hAnsi="微软雅黑" w:eastAsia="微软雅黑"/>
        </w:rPr>
        <w:tab/>
      </w:r>
      <w:r>
        <w:rPr>
          <w:rFonts w:hint="eastAsia" w:ascii="微软雅黑" w:hAnsi="微软雅黑" w:eastAsia="微软雅黑"/>
        </w:rPr>
        <w:t>式</w:t>
      </w:r>
      <w:r>
        <w:t>(</w:t>
      </w:r>
      <w:r>
        <w:rPr>
          <w:rFonts w:hint="eastAsia"/>
        </w:rPr>
        <w:t>1</w:t>
      </w:r>
      <w:r>
        <w:t>)</w:t>
      </w:r>
    </w:p>
    <w:p>
      <w:pPr>
        <w:pStyle w:val="64"/>
        <w:ind w:firstLine="420"/>
        <w:jc w:val="center"/>
      </w:pPr>
    </w:p>
    <w:p>
      <w:pPr>
        <w:pStyle w:val="64"/>
        <w:ind w:firstLine="420"/>
        <w:jc w:val="left"/>
      </w:pPr>
      <w:r>
        <w:rPr>
          <w:rFonts w:hint="eastAsia"/>
        </w:rPr>
        <w:t>式中：</w:t>
      </w:r>
    </w:p>
    <w:p>
      <w:pPr>
        <w:pStyle w:val="64"/>
        <w:ind w:firstLine="420"/>
        <w:jc w:val="left"/>
      </w:pPr>
      <m:oMath>
        <m:r>
          <m:rPr/>
          <w:rPr>
            <w:rFonts w:ascii="Cambria Math" w:hAnsi="Cambria Math"/>
          </w:rPr>
          <m:t>FI</m:t>
        </m:r>
      </m:oMath>
      <w:r>
        <w:t>——</w:t>
      </w:r>
      <w:r>
        <w:rPr>
          <w:rFonts w:hint="eastAsia"/>
        </w:rPr>
        <w:t>结构安全指数，若取值大于</w:t>
      </w:r>
      <w:r>
        <w:t>100</w:t>
      </w:r>
      <w:r>
        <w:rPr>
          <w:rFonts w:hint="eastAsia"/>
        </w:rPr>
        <w:t>，则取</w:t>
      </w:r>
      <w:r>
        <w:t>100</w:t>
      </w:r>
      <w:r>
        <w:rPr>
          <w:rFonts w:hint="eastAsia"/>
        </w:rPr>
        <w:t>；</w:t>
      </w:r>
    </w:p>
    <w:p>
      <w:pPr>
        <w:pStyle w:val="64"/>
        <w:ind w:firstLine="420"/>
        <w:jc w:val="left"/>
      </w:pPr>
      <m:oMath>
        <m:r>
          <m:rPr/>
          <w:rPr>
            <w:rFonts w:ascii="Cambria Math" w:hAnsi="Cambria Math"/>
          </w:rPr>
          <m:t>k</m:t>
        </m:r>
      </m:oMath>
      <w:r>
        <w:t>——</w:t>
      </w:r>
      <w:r>
        <w:rPr>
          <w:rFonts w:hint="eastAsia"/>
        </w:rPr>
        <w:t>道路等级参数，快速路、主干路、次干路、支路分别采用</w:t>
      </w:r>
      <w:r>
        <w:t>1.1</w:t>
      </w:r>
      <w:r>
        <w:rPr>
          <w:rFonts w:hint="eastAsia"/>
        </w:rPr>
        <w:t>、</w:t>
      </w:r>
      <w:r>
        <w:t>1.0</w:t>
      </w:r>
      <w:r>
        <w:rPr>
          <w:rFonts w:hint="eastAsia"/>
        </w:rPr>
        <w:t>、</w:t>
      </w:r>
      <w:r>
        <w:t>0.9</w:t>
      </w:r>
      <w:r>
        <w:rPr>
          <w:rFonts w:hint="eastAsia"/>
        </w:rPr>
        <w:t>、</w:t>
      </w:r>
      <w:r>
        <w:t>0.8</w:t>
      </w:r>
      <w:r>
        <w:rPr>
          <w:rFonts w:hint="eastAsia"/>
        </w:rPr>
        <w:t>；</w:t>
      </w:r>
    </w:p>
    <w:p>
      <w:pPr>
        <w:pStyle w:val="64"/>
        <w:ind w:firstLine="420"/>
        <w:jc w:val="left"/>
      </w:pPr>
      <m:oMath>
        <m:r>
          <m:rPr/>
          <w:rPr>
            <w:rFonts w:ascii="Cambria Math" w:hAnsi="Cambria Math"/>
          </w:rPr>
          <m:t>S</m:t>
        </m:r>
      </m:oMath>
      <w:r>
        <w:t>——</w:t>
      </w:r>
      <w:r>
        <w:rPr>
          <w:rFonts w:hint="eastAsia"/>
        </w:rPr>
        <w:t>影响面积，横纵裂缝采用长度（</w:t>
      </w:r>
      <w:r>
        <w:t>m</w:t>
      </w:r>
      <w:r>
        <w:rPr>
          <w:rFonts w:hint="eastAsia"/>
        </w:rPr>
        <w:t>）乘以</w:t>
      </w:r>
      <w:r>
        <w:t>0.2</w:t>
      </w:r>
      <w:r>
        <w:rPr>
          <w:rFonts w:hint="eastAsia"/>
        </w:rPr>
        <w:t>，其他病害采用实际面积（</w:t>
      </w:r>
      <w:r>
        <w:t>m</w:t>
      </w:r>
      <w:r>
        <w:rPr>
          <w:vertAlign w:val="superscript"/>
        </w:rPr>
        <w:t>2</w:t>
      </w:r>
      <w:r>
        <w:rPr>
          <w:rFonts w:hint="eastAsia"/>
        </w:rPr>
        <w:t>）；</w:t>
      </w:r>
    </w:p>
    <w:p>
      <w:pPr>
        <w:pStyle w:val="64"/>
        <w:ind w:firstLine="420"/>
        <w:jc w:val="left"/>
      </w:pPr>
      <m:oMath>
        <m:r>
          <m:rPr/>
          <w:rPr>
            <w:rFonts w:ascii="Cambria Math" w:hAnsi="Cambria Math"/>
          </w:rPr>
          <m:t>d</m:t>
        </m:r>
      </m:oMath>
      <w:r>
        <w:t>——</w:t>
      </w:r>
      <w:r>
        <w:rPr>
          <w:rFonts w:hint="eastAsia"/>
        </w:rPr>
        <w:t>宽度或高差（</w:t>
      </w:r>
      <w:r>
        <w:t>mm</w:t>
      </w:r>
      <w:r>
        <w:rPr>
          <w:rFonts w:hint="eastAsia"/>
        </w:rPr>
        <w:t>），横纵裂缝采用宽度，龟裂和块状裂缝无此项，其他病害采用最低</w:t>
      </w:r>
      <w:r>
        <w:t>(</w:t>
      </w:r>
      <w:r>
        <w:rPr>
          <w:rFonts w:hint="eastAsia"/>
        </w:rPr>
        <w:t>高</w:t>
      </w:r>
      <w:r>
        <w:t>)</w:t>
      </w:r>
      <w:r>
        <w:rPr>
          <w:rFonts w:hint="eastAsia"/>
        </w:rPr>
        <w:t>处与路表高差；</w:t>
      </w:r>
    </w:p>
    <w:p>
      <w:pPr>
        <w:pStyle w:val="64"/>
        <w:ind w:firstLine="420"/>
        <w:jc w:val="left"/>
      </w:pP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sSub>
          <m:sSubPr>
            <m:ctrlPr>
              <w:rPr>
                <w:rFonts w:ascii="Cambria Math" w:hAnsi="Cambria Math"/>
                <w:i/>
                <w:iCs/>
              </w:rPr>
            </m:ctrlPr>
          </m:sSubPr>
          <m:e>
            <m:r>
              <m:rPr>
                <m:sty m:val="p"/>
              </m:rPr>
              <w:rPr>
                <w:rFonts w:hint="eastAsia" w:ascii="Cambria Math" w:hAnsi="Cambria Math"/>
              </w:rPr>
              <m:t>，</m:t>
            </m:r>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r>
          <m:rPr/>
          <w:rPr>
            <w:rFonts w:ascii="Cambria Math" w:hAnsi="Cambria Math"/>
          </w:rPr>
          <m:t xml:space="preserve"> </m:t>
        </m:r>
        <m:sSub>
          <m:sSubPr>
            <m:ctrlPr>
              <w:rPr>
                <w:rFonts w:ascii="Cambria Math" w:hAnsi="Cambria Math"/>
                <w:i/>
                <w:iCs/>
              </w:rPr>
            </m:ctrlPr>
          </m:sSubPr>
          <m:e>
            <m:r>
              <m:rPr>
                <m:sty m:val="p"/>
              </m:rPr>
              <w:rPr>
                <w:rFonts w:hint="eastAsia" w:ascii="Cambria Math" w:hAnsi="Cambria Math"/>
              </w:rPr>
              <m:t>，</m:t>
            </m:r>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w:r>
        <w:t>——</w:t>
      </w:r>
      <w:r>
        <w:rPr>
          <w:rFonts w:hint="eastAsia"/>
        </w:rPr>
        <w:t>模型参数，取值见表</w:t>
      </w:r>
      <w:r>
        <w:t>1</w:t>
      </w:r>
      <w:r>
        <w:rPr>
          <w:rFonts w:hint="eastAsia"/>
        </w:rPr>
        <w:t>。</w:t>
      </w:r>
    </w:p>
    <w:p>
      <w:pPr>
        <w:pStyle w:val="64"/>
        <w:ind w:firstLine="422"/>
        <w:jc w:val="center"/>
        <w:rPr>
          <w:b/>
          <w:bCs/>
        </w:rPr>
      </w:pPr>
      <w:r>
        <w:rPr>
          <w:rFonts w:hint="eastAsia"/>
          <w:b/>
          <w:bCs/>
        </w:rPr>
        <w:t>表1 病害路面结构安全指数模型参数</w:t>
      </w:r>
    </w:p>
    <w:tbl>
      <w:tblPr>
        <w:tblStyle w:val="34"/>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3"/>
        <w:gridCol w:w="1742"/>
        <w:gridCol w:w="2922"/>
        <w:gridCol w:w="2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914" w:type="pct"/>
            <w:gridSpan w:val="2"/>
          </w:tcPr>
          <w:p>
            <w:pPr>
              <w:pStyle w:val="64"/>
              <w:ind w:firstLine="0" w:firstLineChars="0"/>
              <w:jc w:val="center"/>
            </w:pPr>
            <w:r>
              <w:rPr>
                <w:rFonts w:hint="eastAsia"/>
              </w:rPr>
              <w:t>病害类型</w:t>
            </w:r>
          </w:p>
        </w:tc>
        <w:tc>
          <w:tcPr>
            <w:tcW w:w="1543" w:type="pct"/>
            <w:vAlign w:val="center"/>
          </w:tcPr>
          <w:p>
            <w:pPr>
              <w:pStyle w:val="64"/>
              <w:ind w:firstLine="0" w:firstLineChars="0"/>
              <w:jc w:val="center"/>
            </w:pPr>
            <w:r>
              <w:rPr>
                <w:rFonts w:hint="eastAsia"/>
              </w:rPr>
              <w:t>模型参数</w:t>
            </w:r>
          </w:p>
        </w:tc>
        <w:tc>
          <w:tcPr>
            <w:tcW w:w="1543" w:type="pct"/>
            <w:vAlign w:val="center"/>
          </w:tcPr>
          <w:p>
            <w:pPr>
              <w:pStyle w:val="64"/>
              <w:ind w:firstLine="0" w:firstLineChars="0"/>
              <w:jc w:val="center"/>
            </w:pPr>
            <w:r>
              <w:rPr>
                <w:rFonts w:hint="eastAsia"/>
              </w:rPr>
              <w:t>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994" w:type="pct"/>
            <w:vMerge w:val="restart"/>
            <w:vAlign w:val="center"/>
          </w:tcPr>
          <w:p>
            <w:pPr>
              <w:pStyle w:val="64"/>
              <w:ind w:firstLine="0" w:firstLineChars="0"/>
              <w:jc w:val="center"/>
            </w:pPr>
            <w:r>
              <w:rPr>
                <w:rFonts w:hint="eastAsia"/>
              </w:rPr>
              <w:t>裂缝</w:t>
            </w:r>
          </w:p>
        </w:tc>
        <w:tc>
          <w:tcPr>
            <w:tcW w:w="920" w:type="pct"/>
            <w:vMerge w:val="restart"/>
            <w:vAlign w:val="center"/>
          </w:tcPr>
          <w:p>
            <w:pPr>
              <w:pStyle w:val="64"/>
              <w:ind w:firstLine="0" w:firstLineChars="0"/>
              <w:jc w:val="center"/>
            </w:pPr>
            <w:r>
              <w:rPr>
                <w:rFonts w:hint="eastAsia"/>
              </w:rPr>
              <w:t>横纵裂缝</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14.03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994" w:type="pct"/>
            <w:vMerge w:val="continue"/>
          </w:tcPr>
          <w:p>
            <w:pPr>
              <w:pStyle w:val="64"/>
              <w:ind w:firstLine="0" w:firstLineChars="0"/>
              <w:jc w:val="center"/>
            </w:pPr>
          </w:p>
        </w:tc>
        <w:tc>
          <w:tcPr>
            <w:tcW w:w="920" w:type="pct"/>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994" w:type="pct"/>
            <w:vMerge w:val="continue"/>
          </w:tcPr>
          <w:p>
            <w:pPr>
              <w:pStyle w:val="64"/>
              <w:ind w:firstLine="0" w:firstLineChars="0"/>
              <w:jc w:val="center"/>
            </w:pPr>
          </w:p>
        </w:tc>
        <w:tc>
          <w:tcPr>
            <w:tcW w:w="920" w:type="pct"/>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994" w:type="pct"/>
            <w:vMerge w:val="continue"/>
          </w:tcPr>
          <w:p>
            <w:pPr>
              <w:pStyle w:val="64"/>
              <w:ind w:firstLine="0" w:firstLineChars="0"/>
              <w:jc w:val="center"/>
            </w:pPr>
          </w:p>
        </w:tc>
        <w:tc>
          <w:tcPr>
            <w:tcW w:w="920" w:type="pct"/>
            <w:vMerge w:val="restart"/>
            <w:vAlign w:val="center"/>
          </w:tcPr>
          <w:p>
            <w:pPr>
              <w:pStyle w:val="64"/>
              <w:ind w:firstLine="0" w:firstLineChars="0"/>
              <w:jc w:val="center"/>
            </w:pPr>
            <w:r>
              <w:rPr>
                <w:rFonts w:hint="eastAsia"/>
              </w:rPr>
              <w:t>龟裂</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63.80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994" w:type="pct"/>
            <w:vMerge w:val="continue"/>
          </w:tcPr>
          <w:p>
            <w:pPr>
              <w:pStyle w:val="64"/>
              <w:ind w:firstLine="0" w:firstLineChars="0"/>
              <w:jc w:val="center"/>
            </w:pPr>
          </w:p>
        </w:tc>
        <w:tc>
          <w:tcPr>
            <w:tcW w:w="920" w:type="pct"/>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994" w:type="pct"/>
            <w:vMerge w:val="continue"/>
          </w:tcPr>
          <w:p>
            <w:pPr>
              <w:pStyle w:val="64"/>
              <w:ind w:firstLine="0" w:firstLineChars="0"/>
              <w:jc w:val="center"/>
            </w:pPr>
          </w:p>
        </w:tc>
        <w:tc>
          <w:tcPr>
            <w:tcW w:w="920" w:type="pct"/>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994" w:type="pct"/>
            <w:vMerge w:val="continue"/>
          </w:tcPr>
          <w:p>
            <w:pPr>
              <w:pStyle w:val="64"/>
              <w:ind w:firstLine="0" w:firstLineChars="0"/>
              <w:jc w:val="center"/>
            </w:pPr>
          </w:p>
        </w:tc>
        <w:tc>
          <w:tcPr>
            <w:tcW w:w="920" w:type="pct"/>
            <w:vMerge w:val="restart"/>
            <w:vAlign w:val="center"/>
          </w:tcPr>
          <w:p>
            <w:pPr>
              <w:pStyle w:val="64"/>
              <w:ind w:firstLine="0" w:firstLineChars="0"/>
              <w:jc w:val="center"/>
            </w:pPr>
            <w:r>
              <w:rPr>
                <w:rFonts w:hint="eastAsia"/>
              </w:rPr>
              <w:t>块状裂缝</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26.72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994" w:type="pct"/>
            <w:vMerge w:val="continue"/>
          </w:tcPr>
          <w:p>
            <w:pPr>
              <w:pStyle w:val="64"/>
              <w:ind w:firstLine="0" w:firstLineChars="0"/>
              <w:jc w:val="center"/>
            </w:pPr>
          </w:p>
        </w:tc>
        <w:tc>
          <w:tcPr>
            <w:tcW w:w="920" w:type="pct"/>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994" w:type="pct"/>
            <w:vMerge w:val="continue"/>
          </w:tcPr>
          <w:p>
            <w:pPr>
              <w:pStyle w:val="64"/>
              <w:ind w:firstLine="0" w:firstLineChars="0"/>
              <w:jc w:val="center"/>
            </w:pPr>
          </w:p>
        </w:tc>
        <w:tc>
          <w:tcPr>
            <w:tcW w:w="920" w:type="pct"/>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914" w:type="pct"/>
            <w:gridSpan w:val="2"/>
            <w:vMerge w:val="restart"/>
            <w:vAlign w:val="center"/>
          </w:tcPr>
          <w:p>
            <w:pPr>
              <w:pStyle w:val="64"/>
              <w:ind w:firstLine="0" w:firstLineChars="0"/>
              <w:jc w:val="center"/>
            </w:pPr>
            <w:r>
              <w:rPr>
                <w:rFonts w:hint="eastAsia"/>
              </w:rPr>
              <w:t>坑槽</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25.04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914" w:type="pct"/>
            <w:gridSpan w:val="2"/>
            <w:vMerge w:val="restart"/>
            <w:vAlign w:val="center"/>
          </w:tcPr>
          <w:p>
            <w:pPr>
              <w:pStyle w:val="64"/>
              <w:ind w:firstLine="0" w:firstLineChars="0"/>
              <w:jc w:val="center"/>
            </w:pPr>
            <w:r>
              <w:rPr>
                <w:rFonts w:hint="eastAsia"/>
              </w:rPr>
              <w:t>车辙</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11.59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914" w:type="pct"/>
            <w:gridSpan w:val="2"/>
            <w:vMerge w:val="restart"/>
            <w:vAlign w:val="center"/>
          </w:tcPr>
          <w:p>
            <w:pPr>
              <w:pStyle w:val="64"/>
              <w:ind w:firstLine="0" w:firstLineChars="0"/>
              <w:jc w:val="center"/>
            </w:pPr>
            <w:r>
              <w:rPr>
                <w:rFonts w:hint="eastAsia"/>
              </w:rPr>
              <w:t>拥包</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9.28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vAlign w:val="center"/>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914" w:type="pct"/>
            <w:gridSpan w:val="2"/>
            <w:vMerge w:val="restart"/>
            <w:vAlign w:val="center"/>
          </w:tcPr>
          <w:p>
            <w:pPr>
              <w:pStyle w:val="64"/>
              <w:ind w:firstLine="0" w:firstLineChars="0"/>
              <w:jc w:val="center"/>
            </w:pPr>
            <w:r>
              <w:rPr>
                <w:rFonts w:hint="eastAsia"/>
              </w:rPr>
              <w:t>沉陷</w:t>
            </w: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543" w:type="pct"/>
            <w:vAlign w:val="center"/>
          </w:tcPr>
          <w:p>
            <w:pPr>
              <w:pStyle w:val="64"/>
              <w:ind w:firstLine="0" w:firstLineChars="0"/>
              <w:jc w:val="center"/>
            </w:pPr>
            <w:r>
              <w:t>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543" w:type="pct"/>
            <w:vAlign w:val="center"/>
          </w:tcPr>
          <w:p>
            <w:pPr>
              <w:pStyle w:val="64"/>
              <w:ind w:firstLine="0" w:firstLineChars="0"/>
              <w:jc w:val="center"/>
            </w:pPr>
            <w: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14" w:type="pct"/>
            <w:gridSpan w:val="2"/>
            <w:vMerge w:val="continue"/>
          </w:tcPr>
          <w:p>
            <w:pPr>
              <w:pStyle w:val="64"/>
              <w:ind w:firstLine="0" w:firstLineChars="0"/>
              <w:jc w:val="center"/>
            </w:pPr>
          </w:p>
        </w:tc>
        <w:tc>
          <w:tcPr>
            <w:tcW w:w="1543"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543" w:type="pct"/>
            <w:vAlign w:val="center"/>
          </w:tcPr>
          <w:p>
            <w:pPr>
              <w:pStyle w:val="64"/>
              <w:ind w:firstLine="0" w:firstLineChars="0"/>
              <w:jc w:val="center"/>
            </w:pPr>
            <w:r>
              <w:t>0.54</w:t>
            </w:r>
          </w:p>
        </w:tc>
      </w:tr>
    </w:tbl>
    <w:p>
      <w:pPr>
        <w:pStyle w:val="64"/>
        <w:ind w:firstLine="0" w:firstLineChars="0"/>
      </w:pPr>
    </w:p>
    <w:p>
      <w:pPr>
        <w:pStyle w:val="113"/>
        <w:spacing w:before="156" w:after="156"/>
      </w:pPr>
      <w:bookmarkStart w:id="196" w:name="_Toc240476539"/>
      <w:bookmarkStart w:id="197" w:name="_Toc204800734"/>
      <w:r>
        <w:rPr>
          <w:rFonts w:hint="eastAsia"/>
        </w:rPr>
        <w:t>路面病害结构安全指数</w:t>
      </w:r>
      <w:bookmarkEnd w:id="196"/>
      <w:bookmarkEnd w:id="197"/>
    </w:p>
    <w:p>
      <w:pPr>
        <w:pStyle w:val="173"/>
        <w:ind w:left="0"/>
      </w:pPr>
      <w:r>
        <w:rPr>
          <w:rFonts w:hint="eastAsia"/>
        </w:rPr>
        <w:t>城镇道路路面病害的结构安全指数在0至1</w:t>
      </w:r>
      <w:r>
        <w:t>00</w:t>
      </w:r>
      <w:r>
        <w:rPr>
          <w:rFonts w:hint="eastAsia"/>
        </w:rPr>
        <w:t>之间，数值越高，其对路面结构安全的影响越大。</w:t>
      </w:r>
    </w:p>
    <w:p>
      <w:pPr>
        <w:pStyle w:val="173"/>
        <w:ind w:left="0"/>
      </w:pPr>
      <w:r>
        <w:rPr>
          <w:rFonts w:hint="eastAsia"/>
        </w:rPr>
        <w:t>若病害的结构安全指数在</w:t>
      </w:r>
      <m:oMath>
        <m:r>
          <m:rPr>
            <m:sty m:val="p"/>
          </m:rPr>
          <w:rPr>
            <w:rFonts w:ascii="Cambria Math" w:hAnsi="Cambria Math"/>
          </w:rPr>
          <m:t>70</m:t>
        </m:r>
      </m:oMath>
      <w:r>
        <w:rPr>
          <w:rFonts w:hint="eastAsia"/>
        </w:rPr>
        <w:t>及以上时，应进行维养。若病害的结构安全指数低于</w:t>
      </w:r>
      <m:oMath>
        <m:r>
          <m:rPr/>
          <w:rPr>
            <w:rFonts w:ascii="Cambria Math" w:hAnsi="Cambria Math"/>
          </w:rPr>
          <m:t>70</m:t>
        </m:r>
      </m:oMath>
      <w:r>
        <w:rPr>
          <w:rFonts w:hint="eastAsia"/>
        </w:rPr>
        <w:t>，应结合其它指数综合加权计算，得到综合维养需求得分以进行病害维养需求分级。</w:t>
      </w:r>
    </w:p>
    <w:p>
      <w:pPr>
        <w:pStyle w:val="112"/>
        <w:spacing w:before="312" w:after="312"/>
      </w:pPr>
      <w:bookmarkStart w:id="198" w:name="_Toc204800735"/>
      <w:bookmarkEnd w:id="198"/>
      <w:bookmarkStart w:id="199" w:name="_Toc204800653"/>
      <w:bookmarkEnd w:id="199"/>
      <w:bookmarkStart w:id="200" w:name="_Toc204800553"/>
      <w:bookmarkEnd w:id="200"/>
      <w:bookmarkStart w:id="201" w:name="_Toc240476540"/>
      <w:bookmarkStart w:id="202" w:name="_Toc204800736"/>
      <w:r>
        <w:rPr>
          <w:rFonts w:hint="eastAsia"/>
        </w:rPr>
        <w:t>路面病害的交通运行安全效应</w:t>
      </w:r>
      <w:bookmarkEnd w:id="201"/>
      <w:bookmarkEnd w:id="202"/>
    </w:p>
    <w:p>
      <w:pPr>
        <w:pStyle w:val="113"/>
        <w:spacing w:before="156" w:after="156"/>
      </w:pPr>
      <w:bookmarkStart w:id="203" w:name="_Toc240476541"/>
      <w:bookmarkStart w:id="204" w:name="_Toc204800737"/>
      <w:r>
        <w:rPr>
          <w:rFonts w:hint="eastAsia"/>
        </w:rPr>
        <w:t>交通运行安全效应</w:t>
      </w:r>
      <w:bookmarkEnd w:id="203"/>
      <w:bookmarkEnd w:id="204"/>
    </w:p>
    <w:p>
      <w:pPr>
        <w:pStyle w:val="64"/>
        <w:ind w:firstLine="420"/>
        <w:rPr>
          <w:highlight w:val="yellow"/>
        </w:rPr>
      </w:pPr>
      <w:r>
        <w:rPr>
          <w:rFonts w:hint="eastAsia"/>
        </w:rPr>
        <w:t>路面病害交通运行安全效应用运行安全指数TI表征。TI越高，对交通运行安全的影响越大。运行安全指数TI的确定应综合考虑病害类型、尺寸、所在道路等级因素。</w:t>
      </w:r>
    </w:p>
    <w:p>
      <w:pPr>
        <w:pStyle w:val="113"/>
        <w:spacing w:before="156" w:after="156"/>
      </w:pPr>
      <w:bookmarkStart w:id="205" w:name="_Toc204800738"/>
      <w:bookmarkStart w:id="206" w:name="_Toc240476542"/>
      <w:r>
        <w:rPr>
          <w:rFonts w:hint="eastAsia"/>
        </w:rPr>
        <w:t>运行安全指数计算</w:t>
      </w:r>
      <w:bookmarkEnd w:id="205"/>
      <w:bookmarkEnd w:id="206"/>
    </w:p>
    <w:p>
      <w:pPr>
        <w:pStyle w:val="64"/>
        <w:ind w:firstLine="420"/>
      </w:pPr>
      <w:r>
        <w:rPr>
          <w:rFonts w:hint="eastAsia"/>
        </w:rPr>
        <w:t>路面病害运行安全指数计算见公式（2）：</w:t>
      </w:r>
    </w:p>
    <w:p>
      <w:pPr>
        <w:pStyle w:val="121"/>
      </w:pPr>
      <w:r>
        <w:rPr>
          <w:rFonts w:hint="eastAsia"/>
        </w:rPr>
        <w:tab/>
      </w:r>
      <m:oMath>
        <m:r>
          <m:rPr/>
          <w:rPr>
            <w:rFonts w:ascii="Cambria Math" w:hAnsi="Cambria Math"/>
          </w:rPr>
          <m:t>TI=</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r>
          <m:rPr/>
          <w:rPr>
            <w:rFonts w:ascii="Cambria Math" w:hAnsi="Cambria Math"/>
          </w:rPr>
          <m:t>S+</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sSup>
          <m:sSupPr>
            <m:ctrlPr>
              <w:rPr>
                <w:rFonts w:ascii="Cambria Math" w:hAnsi="Cambria Math"/>
                <w:i/>
                <w:iCs/>
              </w:rPr>
            </m:ctrlPr>
          </m:sSupPr>
          <m:e>
            <m:r>
              <m:rPr/>
              <w:rPr>
                <w:rFonts w:hint="eastAsia" w:ascii="Cambria Math" w:hAnsi="Cambria Math"/>
              </w:rPr>
              <m:t>d</m:t>
            </m:r>
            <m:ctrlPr>
              <w:rPr>
                <w:rFonts w:ascii="Cambria Math" w:hAnsi="Cambria Math"/>
                <w:i/>
                <w:iCs/>
              </w:rPr>
            </m:ctrlPr>
          </m:e>
          <m:sup>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ctrlPr>
              <w:rPr>
                <w:rFonts w:ascii="Cambria Math" w:hAnsi="Cambria Math"/>
                <w:i/>
                <w:iCs/>
              </w:rPr>
            </m:ctrlPr>
          </m:sup>
        </m:sSup>
        <m:r>
          <m:rPr/>
          <w:rPr>
            <w:rFonts w:ascii="Cambria Math" w:hAnsi="Cambria Math"/>
          </w:rPr>
          <m:t>+</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r>
          <m:rPr/>
          <w:rPr>
            <w:rFonts w:ascii="Cambria Math" w:hAnsi="Cambria Math"/>
          </w:rPr>
          <m:t>v+</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w:r>
        <w:rPr>
          <w:rFonts w:hint="eastAsia" w:ascii="微软雅黑" w:hAnsi="微软雅黑" w:eastAsia="微软雅黑"/>
        </w:rPr>
        <w:tab/>
      </w:r>
      <w:r>
        <w:rPr>
          <w:rFonts w:hint="eastAsia" w:ascii="微软雅黑" w:hAnsi="微软雅黑" w:eastAsia="微软雅黑"/>
        </w:rPr>
        <w:t>式</w:t>
      </w:r>
      <w:r>
        <w:t>(</w:t>
      </w:r>
      <w:r>
        <w:rPr>
          <w:rFonts w:hint="eastAsia"/>
        </w:rPr>
        <w:t>2</w:t>
      </w:r>
      <w:r>
        <w:t>)</w:t>
      </w:r>
    </w:p>
    <w:p>
      <w:pPr>
        <w:pStyle w:val="64"/>
        <w:ind w:firstLine="420"/>
        <w:jc w:val="center"/>
        <w:rPr>
          <w:rFonts w:ascii="Cambria Math" w:hAnsi="Cambria Math"/>
          <w:i/>
          <w:iCs/>
        </w:rPr>
      </w:pPr>
    </w:p>
    <w:p>
      <w:pPr>
        <w:pStyle w:val="64"/>
        <w:ind w:firstLine="420"/>
      </w:pPr>
      <w:r>
        <w:rPr>
          <w:rFonts w:hint="eastAsia"/>
        </w:rPr>
        <w:t>式中：</w:t>
      </w:r>
    </w:p>
    <w:p>
      <w:pPr>
        <w:pStyle w:val="64"/>
        <w:ind w:firstLine="420"/>
      </w:pPr>
      <m:oMath>
        <m:r>
          <m:rPr/>
          <w:rPr>
            <w:rFonts w:ascii="Cambria Math" w:hAnsi="Cambria Math"/>
          </w:rPr>
          <m:t>TI</m:t>
        </m:r>
      </m:oMath>
      <w:r>
        <w:t>——</w:t>
      </w:r>
      <w:r>
        <w:rPr>
          <w:rFonts w:hint="eastAsia"/>
        </w:rPr>
        <w:t>运行安全指数，若取值大于</w:t>
      </w:r>
      <w:r>
        <w:t>100</w:t>
      </w:r>
      <w:r>
        <w:rPr>
          <w:rFonts w:hint="eastAsia"/>
        </w:rPr>
        <w:t>，则取</w:t>
      </w:r>
      <w:r>
        <w:t>100</w:t>
      </w:r>
      <w:r>
        <w:rPr>
          <w:rFonts w:hint="eastAsia"/>
        </w:rPr>
        <w:t>；</w:t>
      </w:r>
    </w:p>
    <w:p>
      <w:pPr>
        <w:pStyle w:val="64"/>
        <w:ind w:firstLine="420"/>
      </w:pPr>
      <m:oMath>
        <m:r>
          <m:rPr/>
          <w:rPr>
            <w:rFonts w:ascii="Cambria Math" w:hAnsi="Cambria Math"/>
          </w:rPr>
          <m:t>S</m:t>
        </m:r>
      </m:oMath>
      <w:r>
        <w:t>——</w:t>
      </w:r>
      <w:r>
        <w:rPr>
          <w:rFonts w:hint="eastAsia"/>
        </w:rPr>
        <w:t>影响面积，横纵裂缝采用长度（</w:t>
      </w:r>
      <w:r>
        <w:t>m</w:t>
      </w:r>
      <w:r>
        <w:rPr>
          <w:rFonts w:hint="eastAsia"/>
        </w:rPr>
        <w:t>）乘以</w:t>
      </w:r>
      <w:r>
        <w:t>0.2</w:t>
      </w:r>
      <w:r>
        <w:rPr>
          <w:rFonts w:hint="eastAsia"/>
        </w:rPr>
        <w:t>，其他病害采用实际面积（</w:t>
      </w:r>
      <w:r>
        <w:t>m</w:t>
      </w:r>
      <w:r>
        <w:rPr>
          <w:vertAlign w:val="superscript"/>
        </w:rPr>
        <w:t>2</w:t>
      </w:r>
      <w:r>
        <w:rPr>
          <w:rFonts w:hint="eastAsia"/>
        </w:rPr>
        <w:t>）；</w:t>
      </w:r>
    </w:p>
    <w:p>
      <w:pPr>
        <w:pStyle w:val="64"/>
        <w:ind w:firstLine="420"/>
      </w:pPr>
      <m:oMath>
        <m:r>
          <m:rPr/>
          <w:rPr>
            <w:rFonts w:ascii="Cambria Math" w:hAnsi="Cambria Math"/>
          </w:rPr>
          <m:t>d</m:t>
        </m:r>
      </m:oMath>
      <w:r>
        <w:t>——</w:t>
      </w:r>
      <w:r>
        <w:rPr>
          <w:rFonts w:hint="eastAsia"/>
        </w:rPr>
        <w:t>宽度或高差（</w:t>
      </w:r>
      <w:r>
        <w:t>mm</w:t>
      </w:r>
      <w:r>
        <w:rPr>
          <w:rFonts w:hint="eastAsia"/>
        </w:rPr>
        <w:t>），横纵裂缝采用宽度，龟裂和块状裂缝无此项，其他病害采用最低</w:t>
      </w:r>
      <w:r>
        <w:t>(</w:t>
      </w:r>
      <w:r>
        <w:rPr>
          <w:rFonts w:hint="eastAsia"/>
        </w:rPr>
        <w:t>高</w:t>
      </w:r>
      <w:r>
        <w:t>)</w:t>
      </w:r>
      <w:r>
        <w:rPr>
          <w:rFonts w:hint="eastAsia"/>
        </w:rPr>
        <w:t>处与路表高差；</w:t>
      </w:r>
    </w:p>
    <w:p>
      <w:pPr>
        <w:pStyle w:val="64"/>
        <w:ind w:firstLine="420"/>
      </w:pPr>
      <m:oMath>
        <m:r>
          <m:rPr/>
          <w:rPr>
            <w:rFonts w:ascii="Cambria Math" w:hAnsi="Cambria Math"/>
          </w:rPr>
          <m:t>v</m:t>
        </m:r>
      </m:oMath>
      <w:r>
        <w:t>——</w:t>
      </w:r>
      <w:r>
        <w:rPr>
          <w:rFonts w:hint="eastAsia"/>
        </w:rPr>
        <w:t>道路速度参数，快速路、主干路、次干路、支路宜分别采用</w:t>
      </w:r>
      <w:r>
        <w:t>80</w:t>
      </w:r>
      <w:r>
        <w:rPr>
          <w:rFonts w:hint="eastAsia"/>
        </w:rPr>
        <w:t>、</w:t>
      </w:r>
      <w:r>
        <w:t>60</w:t>
      </w:r>
      <w:r>
        <w:rPr>
          <w:rFonts w:hint="eastAsia"/>
        </w:rPr>
        <w:t>、</w:t>
      </w:r>
      <w:r>
        <w:t>40</w:t>
      </w:r>
      <w:r>
        <w:rPr>
          <w:rFonts w:hint="eastAsia"/>
        </w:rPr>
        <w:t>、</w:t>
      </w:r>
      <w:r>
        <w:t>20</w:t>
      </w:r>
      <w:r>
        <w:rPr>
          <w:rFonts w:hint="eastAsia"/>
        </w:rPr>
        <w:t>；</w:t>
      </w:r>
    </w:p>
    <w:p>
      <w:pPr>
        <w:pStyle w:val="64"/>
        <w:ind w:firstLine="420"/>
      </w:pP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r>
          <m:rPr>
            <m:sty m:val="p"/>
          </m:rPr>
          <w:rPr>
            <w:rFonts w:hint="eastAsia" w:ascii="Cambria Math" w:hAnsi="Cambria Math"/>
          </w:rPr>
          <m:t>，</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r>
          <m:rPr>
            <m:sty m:val="p"/>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r>
          <m:rPr>
            <m:sty m:val="p"/>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r>
          <m:rPr>
            <m:sty m:val="p"/>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r>
          <m:rPr/>
          <w:rPr>
            <w:rFonts w:ascii="Cambria Math" w:hAnsi="Cambria Math"/>
          </w:rPr>
          <m:t> </m:t>
        </m:r>
      </m:oMath>
      <w:r>
        <w:t>——</w:t>
      </w:r>
      <w:r>
        <w:rPr>
          <w:rFonts w:hint="eastAsia"/>
        </w:rPr>
        <w:t>模型参数，取值见表</w:t>
      </w:r>
      <w:r>
        <w:t>2</w:t>
      </w:r>
      <w:r>
        <w:rPr>
          <w:rFonts w:hint="eastAsia"/>
        </w:rPr>
        <w:t>。</w:t>
      </w:r>
    </w:p>
    <w:p>
      <w:pPr>
        <w:pStyle w:val="64"/>
        <w:ind w:firstLine="422"/>
        <w:jc w:val="center"/>
        <w:rPr>
          <w:b/>
          <w:bCs/>
        </w:rPr>
      </w:pPr>
      <w:r>
        <w:rPr>
          <w:rFonts w:hint="eastAsia"/>
          <w:b/>
          <w:bCs/>
        </w:rPr>
        <w:t>表</w:t>
      </w:r>
      <w:r>
        <w:rPr>
          <w:b/>
          <w:bCs/>
        </w:rPr>
        <w:t xml:space="preserve">2 </w:t>
      </w:r>
      <w:r>
        <w:rPr>
          <w:rFonts w:hint="eastAsia"/>
          <w:b/>
          <w:bCs/>
        </w:rPr>
        <w:t>路面病害运行安全指数模型参数</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0"/>
        <w:gridCol w:w="2394"/>
        <w:gridCol w:w="2393"/>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gridSpan w:val="2"/>
            <w:vAlign w:val="center"/>
          </w:tcPr>
          <w:p>
            <w:pPr>
              <w:pStyle w:val="64"/>
              <w:ind w:firstLine="0" w:firstLineChars="0"/>
              <w:jc w:val="center"/>
            </w:pPr>
            <w:r>
              <w:rPr>
                <w:rFonts w:hint="eastAsia"/>
              </w:rPr>
              <w:t>病害类型</w:t>
            </w:r>
          </w:p>
        </w:tc>
        <w:tc>
          <w:tcPr>
            <w:tcW w:w="1250" w:type="pct"/>
            <w:vAlign w:val="center"/>
          </w:tcPr>
          <w:p>
            <w:pPr>
              <w:pStyle w:val="64"/>
              <w:ind w:firstLine="0" w:firstLineChars="0"/>
              <w:jc w:val="center"/>
            </w:pPr>
            <w:r>
              <w:rPr>
                <w:rFonts w:hint="eastAsia"/>
              </w:rPr>
              <w:t>模型参数</w:t>
            </w:r>
          </w:p>
        </w:tc>
        <w:tc>
          <w:tcPr>
            <w:tcW w:w="1250" w:type="pct"/>
            <w:vAlign w:val="center"/>
          </w:tcPr>
          <w:p>
            <w:pPr>
              <w:pStyle w:val="64"/>
              <w:ind w:firstLine="0" w:firstLineChars="0"/>
              <w:jc w:val="center"/>
            </w:pPr>
            <w:r>
              <w:rPr>
                <w:rFonts w:hint="eastAsia"/>
              </w:rPr>
              <w:t>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restart"/>
            <w:vAlign w:val="center"/>
          </w:tcPr>
          <w:p>
            <w:pPr>
              <w:pStyle w:val="64"/>
              <w:ind w:firstLine="420"/>
              <w:jc w:val="center"/>
            </w:pPr>
            <w:r>
              <w:rPr>
                <w:rFonts w:hint="eastAsia"/>
              </w:rPr>
              <w:t>裂缝</w:t>
            </w:r>
          </w:p>
        </w:tc>
        <w:tc>
          <w:tcPr>
            <w:tcW w:w="1251" w:type="pct"/>
            <w:vMerge w:val="restart"/>
            <w:vAlign w:val="center"/>
          </w:tcPr>
          <w:p>
            <w:pPr>
              <w:pStyle w:val="64"/>
              <w:ind w:firstLine="0" w:firstLineChars="0"/>
              <w:jc w:val="center"/>
            </w:pPr>
            <w:r>
              <w:rPr>
                <w:rFonts w:hint="eastAsia"/>
              </w:rPr>
              <w:t>横纵裂缝</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0</w:t>
            </w:r>
            <w: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4</w:t>
            </w:r>
            <w: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420"/>
              <w:jc w:val="center"/>
            </w:pPr>
          </w:p>
        </w:tc>
        <w:tc>
          <w:tcPr>
            <w:tcW w:w="1251" w:type="pct"/>
            <w:vMerge w:val="restart"/>
            <w:vAlign w:val="center"/>
          </w:tcPr>
          <w:p>
            <w:pPr>
              <w:pStyle w:val="64"/>
              <w:ind w:firstLine="0" w:firstLineChars="0"/>
              <w:jc w:val="center"/>
            </w:pPr>
            <w:r>
              <w:rPr>
                <w:rFonts w:hint="eastAsia"/>
              </w:rPr>
              <w:t>龟裂</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9.78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0" w:firstLineChars="0"/>
              <w:jc w:val="center"/>
            </w:pPr>
          </w:p>
        </w:tc>
        <w:tc>
          <w:tcPr>
            <w:tcW w:w="1251" w:type="pct"/>
            <w:vMerge w:val="restart"/>
            <w:vAlign w:val="center"/>
          </w:tcPr>
          <w:p>
            <w:pPr>
              <w:pStyle w:val="64"/>
              <w:ind w:firstLine="0" w:firstLineChars="0"/>
              <w:jc w:val="center"/>
            </w:pPr>
            <w:r>
              <w:rPr>
                <w:rFonts w:hint="eastAsia"/>
              </w:rPr>
              <w:t>块状裂缝</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15.69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坑槽</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119.89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1</w:t>
            </w:r>
            <w: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0</w:t>
            </w:r>
            <w: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7</w:t>
            </w:r>
            <w: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车辙</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拥包</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1</w:t>
            </w:r>
            <w: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沉陷</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1</w:t>
            </w:r>
            <w: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0</w:t>
            </w:r>
            <w: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rPr>
                <w:rFonts w:hint="eastAsia"/>
              </w:rPr>
              <w:t>9</w:t>
            </w:r>
            <w:r>
              <w:t>.72</w:t>
            </w:r>
          </w:p>
        </w:tc>
      </w:tr>
    </w:tbl>
    <w:p>
      <w:pPr>
        <w:pStyle w:val="64"/>
        <w:ind w:firstLine="0" w:firstLineChars="0"/>
        <w:rPr>
          <w:b/>
          <w:bCs/>
          <w:highlight w:val="yellow"/>
        </w:rPr>
      </w:pPr>
    </w:p>
    <w:p>
      <w:pPr>
        <w:pStyle w:val="113"/>
        <w:spacing w:before="156" w:after="156"/>
      </w:pPr>
      <w:bookmarkStart w:id="207" w:name="_Toc204800739"/>
      <w:bookmarkStart w:id="208" w:name="_Toc240476543"/>
      <w:r>
        <w:rPr>
          <w:rFonts w:hint="eastAsia"/>
        </w:rPr>
        <w:t>路面病害运行安全指数</w:t>
      </w:r>
      <w:bookmarkEnd w:id="207"/>
      <w:bookmarkEnd w:id="208"/>
    </w:p>
    <w:p>
      <w:pPr>
        <w:pStyle w:val="173"/>
        <w:ind w:left="0"/>
      </w:pPr>
      <w:r>
        <w:rPr>
          <w:rFonts w:hint="eastAsia"/>
        </w:rPr>
        <w:t>城镇道路路面病害的运行安全指数在0至1</w:t>
      </w:r>
      <w:r>
        <w:t>00</w:t>
      </w:r>
      <w:r>
        <w:rPr>
          <w:rFonts w:hint="eastAsia"/>
        </w:rPr>
        <w:t>之间，数值越高，其对交通运行安全的影响越大。</w:t>
      </w:r>
    </w:p>
    <w:p>
      <w:pPr>
        <w:pStyle w:val="173"/>
        <w:ind w:left="0"/>
      </w:pPr>
      <w:r>
        <w:rPr>
          <w:rFonts w:hint="eastAsia"/>
        </w:rPr>
        <w:t>若路面病害的运行安全指数在</w:t>
      </w:r>
      <m:oMath>
        <m:r>
          <m:rPr>
            <m:sty m:val="p"/>
          </m:rPr>
          <w:rPr>
            <w:rFonts w:ascii="Cambria Math" w:hAnsi="Cambria Math"/>
          </w:rPr>
          <m:t>70</m:t>
        </m:r>
      </m:oMath>
      <w:r>
        <w:rPr>
          <w:rFonts w:hint="eastAsia"/>
        </w:rPr>
        <w:t>及以上时，应进行维养。若病害的运行安全指数低于</w:t>
      </w:r>
      <m:oMath>
        <m:r>
          <m:rPr/>
          <w:rPr>
            <w:rFonts w:ascii="Cambria Math" w:hAnsi="Cambria Math"/>
          </w:rPr>
          <m:t>70</m:t>
        </m:r>
      </m:oMath>
      <w:r>
        <w:rPr>
          <w:rFonts w:hint="eastAsia"/>
        </w:rPr>
        <w:t>，应结合其它指数综合加权计算，得到综合维养需求得分以进行病害维养需求分级。</w:t>
      </w:r>
    </w:p>
    <w:p>
      <w:pPr>
        <w:pStyle w:val="112"/>
        <w:spacing w:before="312" w:after="312"/>
      </w:pPr>
      <w:bookmarkStart w:id="209" w:name="_Toc204800740"/>
      <w:bookmarkEnd w:id="209"/>
      <w:bookmarkStart w:id="210" w:name="_Toc204800558"/>
      <w:bookmarkEnd w:id="210"/>
      <w:bookmarkStart w:id="211" w:name="_Toc204800658"/>
      <w:bookmarkEnd w:id="211"/>
      <w:bookmarkStart w:id="212" w:name="_Toc204800741"/>
      <w:bookmarkStart w:id="213" w:name="_Toc240476544"/>
      <w:r>
        <w:rPr>
          <w:rFonts w:hint="eastAsia"/>
        </w:rPr>
        <w:t>路面病害的驾驶舒适性效应</w:t>
      </w:r>
      <w:bookmarkEnd w:id="212"/>
      <w:bookmarkEnd w:id="213"/>
    </w:p>
    <w:p>
      <w:pPr>
        <w:pStyle w:val="113"/>
        <w:spacing w:before="156" w:after="156"/>
        <w:rPr>
          <w:rFonts w:ascii="宋体" w:hAnsi="宋体" w:eastAsia="宋体" w:cs="宋体"/>
          <w:szCs w:val="21"/>
        </w:rPr>
      </w:pPr>
      <w:bookmarkStart w:id="214" w:name="_Toc204800742"/>
      <w:bookmarkStart w:id="215" w:name="_Toc240476545"/>
      <w:r>
        <w:rPr>
          <w:rFonts w:hint="eastAsia"/>
        </w:rPr>
        <w:t>驾驶舒适性效应</w:t>
      </w:r>
      <w:bookmarkEnd w:id="214"/>
      <w:bookmarkEnd w:id="215"/>
    </w:p>
    <w:p>
      <w:pPr>
        <w:pStyle w:val="64"/>
        <w:ind w:firstLine="420"/>
        <w:rPr>
          <w:highlight w:val="yellow"/>
        </w:rPr>
      </w:pPr>
      <w:r>
        <w:rPr>
          <w:rFonts w:hint="eastAsia"/>
        </w:rPr>
        <w:t>路面病害驾驶舒适性效应用驾驶舒适指数</w:t>
      </w:r>
      <w:r>
        <w:t>CI</w:t>
      </w:r>
      <w:r>
        <w:rPr>
          <w:rFonts w:hint="eastAsia"/>
        </w:rPr>
        <w:t>表征。</w:t>
      </w:r>
      <w:r>
        <w:t>CI</w:t>
      </w:r>
      <w:r>
        <w:rPr>
          <w:rFonts w:hint="eastAsia"/>
        </w:rPr>
        <w:t>越高，对驾驶舒适性的影响越大。驾驶舒适指数CI的计算应综合考虑病害类型、尺寸、所在道路等级因素。</w:t>
      </w:r>
    </w:p>
    <w:p>
      <w:pPr>
        <w:pStyle w:val="113"/>
        <w:spacing w:before="156" w:after="156"/>
      </w:pPr>
      <w:bookmarkStart w:id="216" w:name="_Toc240476546"/>
      <w:bookmarkStart w:id="217" w:name="_Toc204800743"/>
      <w:r>
        <w:rPr>
          <w:rFonts w:hint="eastAsia"/>
        </w:rPr>
        <w:t>驾驶舒适指数计算</w:t>
      </w:r>
      <w:bookmarkEnd w:id="216"/>
      <w:bookmarkEnd w:id="217"/>
    </w:p>
    <w:p>
      <w:pPr>
        <w:pStyle w:val="64"/>
        <w:ind w:firstLine="420"/>
      </w:pPr>
      <w:r>
        <w:rPr>
          <w:rFonts w:hint="eastAsia"/>
        </w:rPr>
        <w:t>路面病害驾驶舒适指数计算见公式（3）：</w:t>
      </w:r>
    </w:p>
    <w:p>
      <w:pPr>
        <w:pStyle w:val="121"/>
      </w:pPr>
      <w:r>
        <w:rPr>
          <w:rFonts w:hint="eastAsia"/>
        </w:rPr>
        <w:tab/>
      </w:r>
      <m:oMath>
        <m:r>
          <m:rPr/>
          <w:rPr>
            <w:rFonts w:ascii="Cambria Math" w:hAnsi="Cambria Math"/>
          </w:rPr>
          <m:t>CI=</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sSup>
          <m:sSupPr>
            <m:ctrlPr>
              <w:rPr>
                <w:rFonts w:ascii="Cambria Math" w:hAnsi="Cambria Math"/>
                <w:i/>
                <w:iCs/>
              </w:rPr>
            </m:ctrlPr>
          </m:sSupPr>
          <m:e>
            <m:r>
              <m:rPr/>
              <w:rPr>
                <w:rFonts w:ascii="Cambria Math" w:hAnsi="Cambria Math"/>
              </w:rPr>
              <m:t>S</m:t>
            </m:r>
            <m:ctrlPr>
              <w:rPr>
                <w:rFonts w:ascii="Cambria Math" w:hAnsi="Cambria Math"/>
                <w:i/>
                <w:iCs/>
              </w:rPr>
            </m:ctrlPr>
          </m:e>
          <m:sup>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ctrlPr>
              <w:rPr>
                <w:rFonts w:ascii="Cambria Math" w:hAnsi="Cambria Math"/>
                <w:i/>
                <w:iCs/>
              </w:rPr>
            </m:ctrlPr>
          </m:sup>
        </m:sSup>
        <m:r>
          <m:rPr/>
          <w:rPr>
            <w:rFonts w:ascii="Cambria Math" w:hAnsi="Cambria Math"/>
          </w:rPr>
          <m:t>+</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func>
          <m:funcPr>
            <m:ctrlPr>
              <w:rPr>
                <w:rFonts w:ascii="Cambria Math" w:hAnsi="Cambria Math"/>
                <w:i/>
                <w:iCs/>
              </w:rPr>
            </m:ctrlPr>
          </m:funcPr>
          <m:fName>
            <m:r>
              <m:rPr>
                <m:sty m:val="p"/>
              </m:rPr>
              <w:rPr>
                <w:rFonts w:ascii="Cambria Math" w:hAnsi="Cambria Math"/>
              </w:rPr>
              <m:t>ln</m:t>
            </m:r>
            <m:ctrlPr>
              <w:rPr>
                <w:rFonts w:ascii="Cambria Math" w:hAnsi="Cambria Math"/>
                <w:i/>
                <w:iCs/>
              </w:rPr>
            </m:ctrlPr>
          </m:fName>
          <m:e>
            <m:r>
              <m:rPr/>
              <w:rPr>
                <w:rFonts w:ascii="Cambria Math" w:hAnsi="Cambria Math"/>
              </w:rPr>
              <m:t>d</m:t>
            </m:r>
            <m:ctrlPr>
              <w:rPr>
                <w:rFonts w:ascii="Cambria Math" w:hAnsi="Cambria Math"/>
                <w:i/>
                <w:iCs/>
              </w:rPr>
            </m:ctrlPr>
          </m:e>
        </m:func>
        <m:r>
          <m:rPr/>
          <w:rPr>
            <w:rFonts w:ascii="Cambria Math" w:hAnsi="Cambria Math"/>
          </w:rPr>
          <m:t>+</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r>
          <m:rPr/>
          <w:rPr>
            <w:rFonts w:ascii="Cambria Math" w:hAnsi="Cambria Math"/>
          </w:rPr>
          <m:t>v+</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w:r>
        <w:rPr>
          <w:rFonts w:hint="eastAsia" w:ascii="微软雅黑" w:hAnsi="微软雅黑" w:eastAsia="微软雅黑"/>
        </w:rPr>
        <w:tab/>
      </w:r>
      <w:r>
        <w:rPr>
          <w:rFonts w:hint="eastAsia" w:ascii="微软雅黑" w:hAnsi="微软雅黑" w:eastAsia="微软雅黑"/>
        </w:rPr>
        <w:t>式</w:t>
      </w:r>
      <w:r>
        <w:t>(</w:t>
      </w:r>
      <w:r>
        <w:rPr>
          <w:rFonts w:hint="eastAsia"/>
        </w:rPr>
        <w:t>3</w:t>
      </w:r>
      <w:r>
        <w:t>)</w:t>
      </w:r>
    </w:p>
    <w:p>
      <w:pPr>
        <w:pStyle w:val="64"/>
        <w:ind w:firstLine="420"/>
        <w:jc w:val="center"/>
      </w:pPr>
    </w:p>
    <w:p>
      <w:pPr>
        <w:pStyle w:val="64"/>
        <w:ind w:firstLine="420"/>
      </w:pPr>
      <w:r>
        <w:rPr>
          <w:rFonts w:hint="eastAsia"/>
        </w:rPr>
        <w:t>式中：</w:t>
      </w:r>
    </w:p>
    <w:p>
      <w:pPr>
        <w:pStyle w:val="64"/>
        <w:ind w:firstLine="420"/>
      </w:pPr>
      <m:oMath>
        <m:r>
          <m:rPr/>
          <w:rPr>
            <w:rFonts w:ascii="Cambria Math" w:hAnsi="Cambria Math"/>
          </w:rPr>
          <m:t>CI</m:t>
        </m:r>
      </m:oMath>
      <w:r>
        <w:t>——</w:t>
      </w:r>
      <w:r>
        <w:rPr>
          <w:rFonts w:hint="eastAsia"/>
        </w:rPr>
        <w:t>驾驶舒适指数，若取值大于</w:t>
      </w:r>
      <w:r>
        <w:t>100</w:t>
      </w:r>
      <w:r>
        <w:rPr>
          <w:rFonts w:hint="eastAsia"/>
        </w:rPr>
        <w:t>，则取</w:t>
      </w:r>
      <w:r>
        <w:t>100</w:t>
      </w:r>
      <w:r>
        <w:rPr>
          <w:rFonts w:hint="eastAsia"/>
        </w:rPr>
        <w:t>；若取值小于</w:t>
      </w:r>
      <w:r>
        <w:t>0</w:t>
      </w:r>
      <w:r>
        <w:rPr>
          <w:rFonts w:hint="eastAsia"/>
        </w:rPr>
        <w:t>，则取</w:t>
      </w:r>
      <w:r>
        <w:t>0</w:t>
      </w:r>
      <w:r>
        <w:rPr>
          <w:rFonts w:hint="eastAsia"/>
        </w:rPr>
        <w:t>；</w:t>
      </w:r>
    </w:p>
    <w:p>
      <w:pPr>
        <w:pStyle w:val="64"/>
        <w:ind w:firstLine="420"/>
      </w:pPr>
      <m:oMath>
        <m:r>
          <m:rPr/>
          <w:rPr>
            <w:rFonts w:ascii="Cambria Math" w:hAnsi="Cambria Math"/>
          </w:rPr>
          <m:t>S</m:t>
        </m:r>
      </m:oMath>
      <w:r>
        <w:t>——</w:t>
      </w:r>
      <w:r>
        <w:rPr>
          <w:rFonts w:hint="eastAsia"/>
        </w:rPr>
        <w:t>影响面积，横纵裂缝采用长度（</w:t>
      </w:r>
      <w:r>
        <w:t>m</w:t>
      </w:r>
      <w:r>
        <w:rPr>
          <w:rFonts w:hint="eastAsia"/>
        </w:rPr>
        <w:t>）乘以</w:t>
      </w:r>
      <w:r>
        <w:t>0.2</w:t>
      </w:r>
      <w:r>
        <w:rPr>
          <w:rFonts w:hint="eastAsia"/>
        </w:rPr>
        <w:t>，其他病害采用实际面积（</w:t>
      </w:r>
      <w:r>
        <w:t>m</w:t>
      </w:r>
      <w:r>
        <w:rPr>
          <w:vertAlign w:val="superscript"/>
        </w:rPr>
        <w:t>2</w:t>
      </w:r>
      <w:r>
        <w:rPr>
          <w:rFonts w:hint="eastAsia"/>
        </w:rPr>
        <w:t>）；</w:t>
      </w:r>
    </w:p>
    <w:p>
      <w:pPr>
        <w:pStyle w:val="64"/>
        <w:ind w:firstLine="420"/>
      </w:pPr>
      <m:oMath>
        <m:r>
          <m:rPr/>
          <w:rPr>
            <w:rFonts w:ascii="Cambria Math" w:hAnsi="Cambria Math"/>
          </w:rPr>
          <m:t>d</m:t>
        </m:r>
      </m:oMath>
      <w:r>
        <w:t>——</w:t>
      </w:r>
      <w:r>
        <w:rPr>
          <w:rFonts w:hint="eastAsia"/>
        </w:rPr>
        <w:t>宽度或高差（</w:t>
      </w:r>
      <w:r>
        <w:t>mm</w:t>
      </w:r>
      <w:r>
        <w:rPr>
          <w:rFonts w:hint="eastAsia"/>
        </w:rPr>
        <w:t>），横纵裂缝采用宽度，龟裂和块状裂缝无此项，其他病害采用最低</w:t>
      </w:r>
      <w:r>
        <w:t>(</w:t>
      </w:r>
      <w:r>
        <w:rPr>
          <w:rFonts w:hint="eastAsia"/>
        </w:rPr>
        <w:t>高</w:t>
      </w:r>
      <w:r>
        <w:t>)</w:t>
      </w:r>
      <w:r>
        <w:rPr>
          <w:rFonts w:hint="eastAsia"/>
        </w:rPr>
        <w:t>处与路表高差；</w:t>
      </w:r>
    </w:p>
    <w:p>
      <w:pPr>
        <w:pStyle w:val="64"/>
        <w:ind w:firstLine="420"/>
      </w:pPr>
      <m:oMath>
        <m:r>
          <m:rPr/>
          <w:rPr>
            <w:rFonts w:ascii="Cambria Math" w:hAnsi="Cambria Math"/>
          </w:rPr>
          <m:t>v</m:t>
        </m:r>
      </m:oMath>
      <w:r>
        <w:t>——</w:t>
      </w:r>
      <w:r>
        <w:rPr>
          <w:rFonts w:hint="eastAsia"/>
        </w:rPr>
        <w:t>速度参数，快速路、主干路、次干路、支路宜分别采用</w:t>
      </w:r>
      <w:r>
        <w:t>80</w:t>
      </w:r>
      <w:r>
        <w:rPr>
          <w:rFonts w:hint="eastAsia"/>
        </w:rPr>
        <w:t>、</w:t>
      </w:r>
      <w:r>
        <w:t>60</w:t>
      </w:r>
      <w:r>
        <w:rPr>
          <w:rFonts w:hint="eastAsia"/>
        </w:rPr>
        <w:t>、</w:t>
      </w:r>
      <w:r>
        <w:t>40</w:t>
      </w:r>
      <w:r>
        <w:rPr>
          <w:rFonts w:hint="eastAsia"/>
        </w:rPr>
        <w:t>、</w:t>
      </w:r>
      <w:r>
        <w:t>20</w:t>
      </w:r>
      <w:r>
        <w:rPr>
          <w:rFonts w:hint="eastAsia"/>
        </w:rPr>
        <w:t>；</w:t>
      </w:r>
    </w:p>
    <w:p>
      <w:pPr>
        <w:pStyle w:val="64"/>
        <w:ind w:firstLine="420"/>
        <w:rPr>
          <w:rFonts w:hint="eastAsia"/>
        </w:rPr>
      </w:pP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w:r>
        <w:rPr>
          <w:rFonts w:hint="eastAsia"/>
        </w:rPr>
        <w:t>，</w:t>
      </w:r>
      <w:r>
        <w:t xml:space="preserve"> </w:t>
      </w: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r>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r>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r>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w:r>
        <w:t>——</w:t>
      </w:r>
      <w:r>
        <w:rPr>
          <w:rFonts w:hint="eastAsia"/>
        </w:rPr>
        <w:t>模型参数，取值见表</w:t>
      </w:r>
      <w:r>
        <w:t>3</w:t>
      </w:r>
      <w:r>
        <w:rPr>
          <w:rFonts w:hint="eastAsia"/>
        </w:rPr>
        <w:t>所示。</w:t>
      </w:r>
    </w:p>
    <w:p>
      <w:pPr>
        <w:pStyle w:val="64"/>
        <w:ind w:firstLine="420"/>
        <w:rPr>
          <w:rFonts w:hint="eastAsia"/>
        </w:rPr>
      </w:pPr>
    </w:p>
    <w:p>
      <w:pPr>
        <w:pStyle w:val="64"/>
        <w:ind w:firstLine="422"/>
        <w:jc w:val="center"/>
        <w:rPr>
          <w:b/>
          <w:bCs/>
        </w:rPr>
      </w:pPr>
      <w:r>
        <w:rPr>
          <w:rFonts w:hint="eastAsia"/>
          <w:b/>
          <w:bCs/>
        </w:rPr>
        <w:t>表</w:t>
      </w:r>
      <w:r>
        <w:rPr>
          <w:b/>
          <w:bCs/>
        </w:rPr>
        <w:t>3</w:t>
      </w:r>
      <w:r>
        <w:rPr>
          <w:rFonts w:hint="eastAsia"/>
          <w:b/>
          <w:bCs/>
        </w:rPr>
        <w:t xml:space="preserve"> 路面病害驾驶舒适指数模型参数</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0"/>
        <w:gridCol w:w="2394"/>
        <w:gridCol w:w="2393"/>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gridSpan w:val="2"/>
            <w:vAlign w:val="center"/>
          </w:tcPr>
          <w:p>
            <w:pPr>
              <w:pStyle w:val="64"/>
              <w:ind w:firstLine="0" w:firstLineChars="0"/>
              <w:jc w:val="center"/>
            </w:pPr>
            <w:r>
              <w:rPr>
                <w:rFonts w:hint="eastAsia"/>
              </w:rPr>
              <w:t>病害类型</w:t>
            </w:r>
          </w:p>
        </w:tc>
        <w:tc>
          <w:tcPr>
            <w:tcW w:w="1250" w:type="pct"/>
            <w:vAlign w:val="center"/>
          </w:tcPr>
          <w:p>
            <w:pPr>
              <w:pStyle w:val="64"/>
              <w:ind w:firstLine="0" w:firstLineChars="0"/>
              <w:jc w:val="center"/>
            </w:pPr>
            <w:r>
              <w:rPr>
                <w:rFonts w:hint="eastAsia"/>
              </w:rPr>
              <w:t>模型参数</w:t>
            </w:r>
          </w:p>
        </w:tc>
        <w:tc>
          <w:tcPr>
            <w:tcW w:w="1250" w:type="pct"/>
            <w:vAlign w:val="center"/>
          </w:tcPr>
          <w:p>
            <w:pPr>
              <w:pStyle w:val="64"/>
              <w:ind w:firstLine="0" w:firstLineChars="0"/>
              <w:jc w:val="center"/>
            </w:pPr>
            <w:r>
              <w:rPr>
                <w:rFonts w:hint="eastAsia"/>
              </w:rPr>
              <w:t>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restart"/>
            <w:vAlign w:val="center"/>
          </w:tcPr>
          <w:p>
            <w:pPr>
              <w:pStyle w:val="64"/>
              <w:ind w:firstLine="420"/>
              <w:jc w:val="center"/>
            </w:pPr>
            <w:r>
              <w:rPr>
                <w:rFonts w:hint="eastAsia"/>
              </w:rPr>
              <w:t>裂缝</w:t>
            </w:r>
          </w:p>
        </w:tc>
        <w:tc>
          <w:tcPr>
            <w:tcW w:w="1251" w:type="pct"/>
            <w:vMerge w:val="restart"/>
            <w:vAlign w:val="center"/>
          </w:tcPr>
          <w:p>
            <w:pPr>
              <w:pStyle w:val="64"/>
              <w:ind w:firstLine="0" w:firstLineChars="0"/>
              <w:jc w:val="center"/>
            </w:pPr>
            <w:r>
              <w:rPr>
                <w:rFonts w:hint="eastAsia"/>
              </w:rPr>
              <w:t>横纵裂缝</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4.82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420"/>
              <w:jc w:val="center"/>
            </w:pPr>
          </w:p>
        </w:tc>
        <w:tc>
          <w:tcPr>
            <w:tcW w:w="1251" w:type="pct"/>
            <w:vMerge w:val="restart"/>
            <w:vAlign w:val="center"/>
          </w:tcPr>
          <w:p>
            <w:pPr>
              <w:pStyle w:val="64"/>
              <w:ind w:firstLine="0" w:firstLineChars="0"/>
              <w:jc w:val="center"/>
            </w:pPr>
            <w:r>
              <w:rPr>
                <w:rFonts w:hint="eastAsia"/>
              </w:rPr>
              <w:t>龟裂</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42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0" w:firstLineChars="0"/>
              <w:jc w:val="center"/>
            </w:pPr>
          </w:p>
        </w:tc>
        <w:tc>
          <w:tcPr>
            <w:tcW w:w="1251" w:type="pct"/>
            <w:vMerge w:val="restart"/>
            <w:vAlign w:val="center"/>
          </w:tcPr>
          <w:p>
            <w:pPr>
              <w:pStyle w:val="64"/>
              <w:ind w:firstLine="0" w:firstLineChars="0"/>
              <w:jc w:val="center"/>
            </w:pPr>
            <w:r>
              <w:rPr>
                <w:rFonts w:hint="eastAsia"/>
              </w:rPr>
              <w:t>块状裂缝</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1249" w:type="pct"/>
            <w:vMerge w:val="continue"/>
            <w:vAlign w:val="center"/>
          </w:tcPr>
          <w:p>
            <w:pPr>
              <w:pStyle w:val="64"/>
              <w:ind w:firstLine="0" w:firstLineChars="0"/>
              <w:jc w:val="center"/>
            </w:pPr>
          </w:p>
        </w:tc>
        <w:tc>
          <w:tcPr>
            <w:tcW w:w="1251" w:type="pct"/>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坑槽</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26.49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车辙</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拥包</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restart"/>
            <w:vAlign w:val="center"/>
          </w:tcPr>
          <w:p>
            <w:pPr>
              <w:pStyle w:val="64"/>
              <w:ind w:firstLine="0" w:firstLineChars="0"/>
              <w:jc w:val="center"/>
            </w:pPr>
            <w:r>
              <w:rPr>
                <w:rFonts w:hint="eastAsia"/>
              </w:rPr>
              <w:t>沉陷</w:t>
            </w: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250" w:type="pct"/>
            <w:vAlign w:val="center"/>
          </w:tcPr>
          <w:p>
            <w:pPr>
              <w:pStyle w:val="64"/>
              <w:ind w:firstLine="0" w:firstLineChars="0"/>
              <w:jc w:val="center"/>
            </w:pPr>
            <w:r>
              <w:t>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250" w:type="pct"/>
            <w:vAlign w:val="center"/>
          </w:tcPr>
          <w:p>
            <w:pPr>
              <w:pStyle w:val="64"/>
              <w:ind w:firstLine="0" w:firstLineChars="0"/>
              <w:jc w:val="center"/>
            </w:pPr>
            <w: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250" w:type="pct"/>
            <w:vAlign w:val="center"/>
          </w:tcPr>
          <w:p>
            <w:pPr>
              <w:pStyle w:val="64"/>
              <w:ind w:firstLine="0" w:firstLineChars="0"/>
              <w:jc w:val="center"/>
            </w:pPr>
            <w:r>
              <w:t>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250" w:type="pct"/>
            <w:vAlign w:val="center"/>
          </w:tcPr>
          <w:p>
            <w:pPr>
              <w:pStyle w:val="64"/>
              <w:ind w:firstLine="0" w:firstLineChars="0"/>
              <w:jc w:val="center"/>
            </w:pPr>
            <w:r>
              <w:t>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500" w:type="pct"/>
            <w:gridSpan w:val="2"/>
            <w:vMerge w:val="continue"/>
            <w:vAlign w:val="center"/>
          </w:tcPr>
          <w:p>
            <w:pPr>
              <w:pStyle w:val="64"/>
              <w:ind w:firstLine="0" w:firstLineChars="0"/>
              <w:jc w:val="center"/>
            </w:pPr>
          </w:p>
        </w:tc>
        <w:tc>
          <w:tcPr>
            <w:tcW w:w="1250"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1250" w:type="pct"/>
            <w:vAlign w:val="center"/>
          </w:tcPr>
          <w:p>
            <w:pPr>
              <w:pStyle w:val="64"/>
              <w:ind w:firstLine="0" w:firstLineChars="0"/>
              <w:jc w:val="center"/>
            </w:pPr>
            <w:r>
              <w:t>1.83</w:t>
            </w:r>
          </w:p>
        </w:tc>
      </w:tr>
    </w:tbl>
    <w:p>
      <w:pPr>
        <w:pStyle w:val="64"/>
        <w:ind w:firstLine="422"/>
        <w:jc w:val="center"/>
        <w:rPr>
          <w:b/>
          <w:bCs/>
        </w:rPr>
      </w:pPr>
    </w:p>
    <w:p>
      <w:pPr>
        <w:pStyle w:val="113"/>
        <w:spacing w:before="156" w:after="156"/>
      </w:pPr>
      <w:bookmarkStart w:id="218" w:name="_Toc204800744"/>
      <w:bookmarkStart w:id="219" w:name="_Toc240476547"/>
      <w:r>
        <w:rPr>
          <w:rFonts w:hint="eastAsia"/>
        </w:rPr>
        <w:t>路面病害驾驶舒适</w:t>
      </w:r>
      <w:bookmarkEnd w:id="218"/>
      <w:r>
        <w:rPr>
          <w:rFonts w:hint="eastAsia"/>
        </w:rPr>
        <w:t>指数</w:t>
      </w:r>
      <w:bookmarkEnd w:id="219"/>
    </w:p>
    <w:p>
      <w:pPr>
        <w:pStyle w:val="173"/>
        <w:ind w:left="0"/>
      </w:pPr>
      <w:r>
        <w:rPr>
          <w:rFonts w:hint="eastAsia"/>
        </w:rPr>
        <w:t>城镇道路路面病害的驾驶舒适指数在</w:t>
      </w:r>
      <w:r>
        <w:t>0至100之间，</w:t>
      </w:r>
      <w:r>
        <w:rPr>
          <w:rFonts w:hint="eastAsia"/>
        </w:rPr>
        <w:t>数值越高，对驾驶舒适性的影响越大。</w:t>
      </w:r>
    </w:p>
    <w:p>
      <w:pPr>
        <w:pStyle w:val="173"/>
        <w:ind w:left="0"/>
      </w:pPr>
      <w:r>
        <w:rPr>
          <w:rFonts w:hint="eastAsia"/>
        </w:rPr>
        <w:t>路面病害的驾驶舒适性指数应结合其它指数综合加权计算，得到综合维养需求得分以进行病害维养需求分级。</w:t>
      </w:r>
    </w:p>
    <w:p>
      <w:pPr>
        <w:pStyle w:val="112"/>
        <w:spacing w:before="312" w:after="312"/>
      </w:pPr>
      <w:bookmarkStart w:id="220" w:name="_Toc204800745"/>
      <w:bookmarkEnd w:id="220"/>
      <w:bookmarkStart w:id="221" w:name="_Toc204800663"/>
      <w:bookmarkEnd w:id="221"/>
      <w:bookmarkStart w:id="222" w:name="_Toc204800563"/>
      <w:bookmarkEnd w:id="222"/>
      <w:bookmarkStart w:id="223" w:name="_Toc204800746"/>
      <w:bookmarkStart w:id="224" w:name="_Toc240476548"/>
      <w:r>
        <w:rPr>
          <w:rFonts w:hint="eastAsia"/>
        </w:rPr>
        <w:t>路面病害的城市景观效应</w:t>
      </w:r>
      <w:bookmarkEnd w:id="223"/>
      <w:bookmarkEnd w:id="224"/>
    </w:p>
    <w:p>
      <w:pPr>
        <w:pStyle w:val="113"/>
        <w:spacing w:before="156" w:after="156"/>
      </w:pPr>
      <w:bookmarkStart w:id="225" w:name="_Toc240476549"/>
      <w:bookmarkStart w:id="226" w:name="_Toc204800747"/>
      <w:r>
        <w:rPr>
          <w:rFonts w:hint="eastAsia"/>
        </w:rPr>
        <w:t>城市景观效应</w:t>
      </w:r>
      <w:bookmarkEnd w:id="225"/>
      <w:bookmarkEnd w:id="226"/>
    </w:p>
    <w:p>
      <w:pPr>
        <w:pStyle w:val="64"/>
        <w:ind w:firstLine="420"/>
      </w:pPr>
      <w:r>
        <w:rPr>
          <w:rFonts w:hint="eastAsia"/>
        </w:rPr>
        <w:t>路面病害城市景观效应用城市景观指数</w:t>
      </w:r>
      <w:r>
        <w:t>UI</w:t>
      </w:r>
      <w:r>
        <w:rPr>
          <w:rFonts w:hint="eastAsia"/>
        </w:rPr>
        <w:t>表征。</w:t>
      </w:r>
      <w:r>
        <w:t>UI</w:t>
      </w:r>
      <w:r>
        <w:rPr>
          <w:rFonts w:hint="eastAsia"/>
        </w:rPr>
        <w:t>越高，其对城市景观的影响越大。城市景观指数UI的确定应综合考虑病害类型、尺寸、道路维养等级因素。</w:t>
      </w:r>
    </w:p>
    <w:p>
      <w:pPr>
        <w:pStyle w:val="113"/>
        <w:spacing w:before="156" w:after="156"/>
      </w:pPr>
      <w:bookmarkStart w:id="227" w:name="_Toc240476550"/>
      <w:bookmarkStart w:id="228" w:name="_Toc204800748"/>
      <w:r>
        <w:rPr>
          <w:rFonts w:hint="eastAsia"/>
        </w:rPr>
        <w:t>病害城市景观指数计算</w:t>
      </w:r>
      <w:bookmarkEnd w:id="227"/>
      <w:bookmarkEnd w:id="228"/>
    </w:p>
    <w:p>
      <w:pPr>
        <w:pStyle w:val="64"/>
        <w:ind w:firstLine="420"/>
      </w:pPr>
      <w:r>
        <w:rPr>
          <w:rFonts w:hint="eastAsia"/>
        </w:rPr>
        <w:t>路面病害城市景观指数计算见公式（4）：</w:t>
      </w:r>
    </w:p>
    <w:p>
      <w:pPr>
        <w:pStyle w:val="121"/>
      </w:pPr>
      <w:r>
        <w:rPr>
          <w:rFonts w:hint="eastAsia"/>
        </w:rPr>
        <w:tab/>
      </w:r>
      <m:oMath>
        <m:r>
          <m:rPr/>
          <w:rPr>
            <w:rFonts w:ascii="Cambria Math" w:hAnsi="Cambria Math"/>
          </w:rPr>
          <m:t>UI=k</m:t>
        </m:r>
        <m:sSup>
          <m:sSupPr>
            <m:ctrlPr>
              <w:rPr>
                <w:rFonts w:ascii="Cambria Math" w:hAnsi="Cambria Math"/>
                <w:i/>
                <w:iCs/>
              </w:rPr>
            </m:ctrlPr>
          </m:sSupPr>
          <m:e>
            <m:sSub>
              <m:sSubPr>
                <m:ctrlPr>
                  <w:rPr>
                    <w:rFonts w:ascii="Cambria Math" w:hAnsi="Cambria Math"/>
                    <w:i/>
                    <w:iCs/>
                  </w:rPr>
                </m:ctrlPr>
              </m:sSubPr>
              <m:e>
                <m:r>
                  <m:rPr/>
                  <w:rPr>
                    <w:rFonts w:hint="eastAsia" w:ascii="Cambria Math" w:hAnsi="Cambria Math"/>
                  </w:rPr>
                  <m:t>（</m:t>
                </m:r>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r>
              <m:rPr/>
              <w:rPr>
                <w:rFonts w:ascii="Cambria Math" w:hAnsi="Cambria Math"/>
              </w:rPr>
              <m:t>S</m:t>
            </m:r>
            <m:ctrlPr>
              <w:rPr>
                <w:rFonts w:ascii="Cambria Math" w:hAnsi="Cambria Math"/>
                <w:i/>
                <w:iCs/>
              </w:rPr>
            </m:ctrlPr>
          </m:e>
          <m:sup>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ctrlPr>
              <w:rPr>
                <w:rFonts w:ascii="Cambria Math" w:hAnsi="Cambria Math"/>
                <w:i/>
                <w:iCs/>
              </w:rPr>
            </m:ctrlPr>
          </m:sup>
        </m:sSup>
        <m:r>
          <m:rPr/>
          <w:rPr>
            <w:rFonts w:ascii="Cambria Math" w:hAnsi="Cambria Math"/>
          </w:rPr>
          <m:t>+</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func>
          <m:funcPr>
            <m:ctrlPr>
              <w:rPr>
                <w:rFonts w:ascii="Cambria Math" w:hAnsi="Cambria Math"/>
                <w:i/>
                <w:iCs/>
              </w:rPr>
            </m:ctrlPr>
          </m:funcPr>
          <m:fName>
            <m:r>
              <m:rPr>
                <m:sty m:val="p"/>
              </m:rPr>
              <w:rPr>
                <w:rFonts w:ascii="Cambria Math" w:hAnsi="Cambria Math"/>
              </w:rPr>
              <m:t>ln</m:t>
            </m:r>
            <m:ctrlPr>
              <w:rPr>
                <w:rFonts w:ascii="Cambria Math" w:hAnsi="Cambria Math"/>
                <w:i/>
                <w:iCs/>
              </w:rPr>
            </m:ctrlPr>
          </m:fName>
          <m:e>
            <m:r>
              <m:rPr/>
              <w:rPr>
                <w:rFonts w:ascii="Cambria Math" w:hAnsi="Cambria Math"/>
              </w:rPr>
              <m:t>d+</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r>
              <m:rPr/>
              <w:rPr>
                <w:rFonts w:ascii="Cambria Math" w:hAnsi="Cambria Math"/>
              </w:rPr>
              <m:t>)</m:t>
            </m:r>
            <m:ctrlPr>
              <w:rPr>
                <w:rFonts w:ascii="Cambria Math" w:hAnsi="Cambria Math"/>
                <w:i/>
                <w:iCs/>
              </w:rPr>
            </m:ctrlPr>
          </m:e>
        </m:func>
      </m:oMath>
      <w:r>
        <w:rPr>
          <w:rFonts w:hint="eastAsia" w:ascii="微软雅黑" w:hAnsi="微软雅黑" w:eastAsia="微软雅黑"/>
        </w:rPr>
        <w:tab/>
      </w:r>
      <w:r>
        <w:rPr>
          <w:rFonts w:hint="eastAsia" w:ascii="微软雅黑" w:hAnsi="微软雅黑" w:eastAsia="微软雅黑"/>
        </w:rPr>
        <w:t>式</w:t>
      </w:r>
      <w:r>
        <w:t>(</w:t>
      </w:r>
      <w:r>
        <w:rPr>
          <w:rFonts w:hint="eastAsia"/>
        </w:rPr>
        <w:t>4</w:t>
      </w:r>
      <w:r>
        <w:t>)</w:t>
      </w:r>
    </w:p>
    <w:p>
      <w:pPr>
        <w:pStyle w:val="64"/>
        <w:ind w:firstLine="420"/>
        <w:jc w:val="center"/>
        <w:rPr>
          <w:iCs/>
        </w:rPr>
      </w:pPr>
    </w:p>
    <w:p>
      <w:pPr>
        <w:pStyle w:val="64"/>
        <w:ind w:firstLine="420"/>
        <w:rPr>
          <w:iCs/>
        </w:rPr>
      </w:pPr>
      <w:r>
        <w:rPr>
          <w:rFonts w:hint="eastAsia"/>
          <w:iCs/>
        </w:rPr>
        <w:t>式中：</w:t>
      </w:r>
    </w:p>
    <w:p>
      <w:pPr>
        <w:pStyle w:val="64"/>
        <w:ind w:firstLine="420"/>
      </w:pPr>
      <m:oMath>
        <m:r>
          <m:rPr/>
          <w:rPr>
            <w:rFonts w:ascii="Cambria Math" w:hAnsi="Cambria Math"/>
          </w:rPr>
          <m:t>UI</m:t>
        </m:r>
      </m:oMath>
      <w:r>
        <w:t>——</w:t>
      </w:r>
      <w:r>
        <w:rPr>
          <w:rFonts w:hint="eastAsia"/>
        </w:rPr>
        <w:t>城市景观指数，若取值大于</w:t>
      </w:r>
      <w:r>
        <w:t>100</w:t>
      </w:r>
      <w:r>
        <w:rPr>
          <w:rFonts w:hint="eastAsia"/>
        </w:rPr>
        <w:t>，则取</w:t>
      </w:r>
      <w:r>
        <w:t xml:space="preserve">100; </w:t>
      </w:r>
      <w:r>
        <w:rPr>
          <w:rFonts w:hint="eastAsia"/>
        </w:rPr>
        <w:t>若取值小于</w:t>
      </w:r>
      <w:r>
        <w:t>0</w:t>
      </w:r>
      <w:r>
        <w:rPr>
          <w:rFonts w:hint="eastAsia"/>
        </w:rPr>
        <w:t>，则取</w:t>
      </w:r>
      <w:r>
        <w:t>0</w:t>
      </w:r>
      <w:r>
        <w:rPr>
          <w:rFonts w:hint="eastAsia"/>
        </w:rPr>
        <w:t>；</w:t>
      </w:r>
    </w:p>
    <w:p>
      <w:pPr>
        <w:pStyle w:val="64"/>
        <w:ind w:firstLine="420"/>
      </w:pPr>
      <m:oMath>
        <m:r>
          <m:rPr/>
          <w:rPr>
            <w:rFonts w:ascii="Cambria Math" w:hAnsi="Cambria Math"/>
          </w:rPr>
          <m:t>k</m:t>
        </m:r>
      </m:oMath>
      <w:r>
        <w:t>——</w:t>
      </w:r>
      <w:r>
        <w:rPr>
          <w:rFonts w:hint="eastAsia"/>
        </w:rPr>
        <w:t>道路等级参数，快速路、主干路、次干路、支路分别采用</w:t>
      </w:r>
      <w:r>
        <w:t>1.1</w:t>
      </w:r>
      <w:r>
        <w:rPr>
          <w:rFonts w:hint="eastAsia"/>
        </w:rPr>
        <w:t>、</w:t>
      </w:r>
      <w:r>
        <w:t>1.0</w:t>
      </w:r>
      <w:r>
        <w:rPr>
          <w:rFonts w:hint="eastAsia"/>
        </w:rPr>
        <w:t>、</w:t>
      </w:r>
      <w:r>
        <w:t>0.9</w:t>
      </w:r>
      <w:r>
        <w:rPr>
          <w:rFonts w:hint="eastAsia"/>
        </w:rPr>
        <w:t>、</w:t>
      </w:r>
      <w:r>
        <w:t>0.8</w:t>
      </w:r>
      <w:r>
        <w:rPr>
          <w:rFonts w:hint="eastAsia"/>
        </w:rPr>
        <w:t>；</w:t>
      </w:r>
    </w:p>
    <w:p>
      <w:pPr>
        <w:pStyle w:val="64"/>
        <w:ind w:firstLine="420"/>
      </w:pPr>
      <m:oMath>
        <m:r>
          <m:rPr/>
          <w:rPr>
            <w:rFonts w:ascii="Cambria Math" w:hAnsi="Cambria Math"/>
          </w:rPr>
          <m:t>S</m:t>
        </m:r>
      </m:oMath>
      <w:r>
        <w:t>——</w:t>
      </w:r>
      <w:r>
        <w:rPr>
          <w:rFonts w:hint="eastAsia"/>
        </w:rPr>
        <w:t>影响面积，横纵裂缝采用长度（</w:t>
      </w:r>
      <w:r>
        <w:t>m</w:t>
      </w:r>
      <w:r>
        <w:rPr>
          <w:rFonts w:hint="eastAsia"/>
        </w:rPr>
        <w:t>）乘以</w:t>
      </w:r>
      <w:r>
        <w:t>0.2</w:t>
      </w:r>
      <w:r>
        <w:rPr>
          <w:rFonts w:hint="eastAsia"/>
        </w:rPr>
        <w:t>，其他病害采用实际面积（</w:t>
      </w:r>
      <w:r>
        <w:t>m</w:t>
      </w:r>
      <w:r>
        <w:rPr>
          <w:vertAlign w:val="superscript"/>
        </w:rPr>
        <w:t>2</w:t>
      </w:r>
      <w:r>
        <w:rPr>
          <w:rFonts w:hint="eastAsia"/>
        </w:rPr>
        <w:t>）；</w:t>
      </w:r>
    </w:p>
    <w:p>
      <w:pPr>
        <w:pStyle w:val="64"/>
        <w:ind w:firstLine="420"/>
      </w:pPr>
      <m:oMath>
        <m:r>
          <m:rPr/>
          <w:rPr>
            <w:rFonts w:ascii="Cambria Math" w:hAnsi="Cambria Math"/>
          </w:rPr>
          <m:t>d</m:t>
        </m:r>
      </m:oMath>
      <w:r>
        <w:t>——</w:t>
      </w:r>
      <w:r>
        <w:rPr>
          <w:rFonts w:hint="eastAsia"/>
        </w:rPr>
        <w:t>宽度或高差（</w:t>
      </w:r>
      <w:r>
        <w:t>mm</w:t>
      </w:r>
      <w:r>
        <w:rPr>
          <w:rFonts w:hint="eastAsia"/>
        </w:rPr>
        <w:t>），横纵裂缝采用宽度，龟裂和块状裂缝无此项，其他病害采用最低</w:t>
      </w:r>
      <w:r>
        <w:t>(</w:t>
      </w:r>
      <w:r>
        <w:rPr>
          <w:rFonts w:hint="eastAsia"/>
        </w:rPr>
        <w:t>高</w:t>
      </w:r>
      <w:r>
        <w:t>)</w:t>
      </w:r>
      <w:r>
        <w:rPr>
          <w:rFonts w:hint="eastAsia"/>
        </w:rPr>
        <w:t>处与路表高差；</w:t>
      </w:r>
    </w:p>
    <w:p>
      <w:pPr>
        <w:pStyle w:val="64"/>
        <w:ind w:firstLine="420"/>
      </w:pP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w:r>
        <w:rPr>
          <w:rFonts w:hint="eastAsia"/>
        </w:rPr>
        <w:t>，</w:t>
      </w:r>
      <w:r>
        <w:t xml:space="preserve"> </w:t>
      </w: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r>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r>
          <m:rPr/>
          <w:rPr>
            <w:rFonts w:hint="eastAsia" w:ascii="Cambria Math" w:hAnsi="Cambria Math"/>
          </w:rPr>
          <m:t>，</m:t>
        </m:r>
        <m:r>
          <m:rPr/>
          <w:rPr>
            <w:rFonts w:ascii="Cambria Math" w:hAnsi="Cambria Math"/>
          </w:rPr>
          <m:t> </m:t>
        </m:r>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w:r>
        <w:t>——</w:t>
      </w:r>
      <w:r>
        <w:rPr>
          <w:rFonts w:hint="eastAsia"/>
        </w:rPr>
        <w:t>模型参数，取值见表</w:t>
      </w:r>
      <w:r>
        <w:t>4</w:t>
      </w:r>
      <w:r>
        <w:rPr>
          <w:rFonts w:hint="eastAsia"/>
        </w:rPr>
        <w:t>。</w:t>
      </w:r>
    </w:p>
    <w:p>
      <w:pPr>
        <w:pStyle w:val="64"/>
        <w:ind w:firstLine="422"/>
        <w:jc w:val="center"/>
        <w:rPr>
          <w:b/>
          <w:bCs/>
        </w:rPr>
      </w:pPr>
      <w:r>
        <w:rPr>
          <w:rFonts w:hint="eastAsia"/>
          <w:b/>
          <w:bCs/>
        </w:rPr>
        <w:t>表</w:t>
      </w:r>
      <w:r>
        <w:rPr>
          <w:b/>
          <w:bCs/>
        </w:rPr>
        <w:t>4</w:t>
      </w:r>
      <w:r>
        <w:rPr>
          <w:rFonts w:hint="eastAsia"/>
          <w:b/>
          <w:bCs/>
        </w:rPr>
        <w:t xml:space="preserve"> 路面病害城市景观模型参数</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2812"/>
        <w:gridCol w:w="2812"/>
        <w:gridCol w:w="2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4" w:type="pct"/>
            <w:gridSpan w:val="2"/>
            <w:vAlign w:val="center"/>
          </w:tcPr>
          <w:p>
            <w:pPr>
              <w:pStyle w:val="64"/>
              <w:ind w:firstLine="0" w:firstLineChars="0"/>
              <w:jc w:val="center"/>
            </w:pPr>
            <w:r>
              <w:rPr>
                <w:rFonts w:hint="eastAsia"/>
              </w:rPr>
              <w:t>病害类型</w:t>
            </w:r>
          </w:p>
        </w:tc>
        <w:tc>
          <w:tcPr>
            <w:tcW w:w="1469" w:type="pct"/>
            <w:vAlign w:val="center"/>
          </w:tcPr>
          <w:p>
            <w:pPr>
              <w:pStyle w:val="64"/>
              <w:ind w:firstLine="0" w:firstLineChars="0"/>
              <w:jc w:val="center"/>
            </w:pPr>
            <w:r>
              <w:rPr>
                <w:rFonts w:hint="eastAsia"/>
              </w:rPr>
              <w:t>模型参数</w:t>
            </w:r>
          </w:p>
        </w:tc>
        <w:tc>
          <w:tcPr>
            <w:tcW w:w="1177" w:type="pct"/>
            <w:vAlign w:val="center"/>
          </w:tcPr>
          <w:p>
            <w:pPr>
              <w:pStyle w:val="64"/>
              <w:ind w:firstLine="0" w:firstLineChars="0"/>
              <w:jc w:val="center"/>
            </w:pPr>
            <w:r>
              <w:rPr>
                <w:rFonts w:hint="eastAsia"/>
              </w:rPr>
              <w:t>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885" w:type="pct"/>
            <w:vMerge w:val="restart"/>
            <w:vAlign w:val="center"/>
          </w:tcPr>
          <w:p>
            <w:pPr>
              <w:pStyle w:val="64"/>
              <w:ind w:firstLine="420"/>
              <w:jc w:val="center"/>
            </w:pPr>
            <w:r>
              <w:rPr>
                <w:rFonts w:hint="eastAsia"/>
              </w:rPr>
              <w:t>裂缝</w:t>
            </w:r>
          </w:p>
        </w:tc>
        <w:tc>
          <w:tcPr>
            <w:tcW w:w="1469" w:type="pct"/>
            <w:vMerge w:val="restart"/>
            <w:vAlign w:val="center"/>
          </w:tcPr>
          <w:p>
            <w:pPr>
              <w:pStyle w:val="64"/>
              <w:ind w:firstLine="0" w:firstLineChars="0"/>
              <w:jc w:val="center"/>
            </w:pPr>
            <w:r>
              <w:rPr>
                <w:rFonts w:hint="eastAsia"/>
              </w:rPr>
              <w:t>横纵裂缝</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885" w:type="pct"/>
            <w:vMerge w:val="continue"/>
            <w:vAlign w:val="center"/>
          </w:tcPr>
          <w:p>
            <w:pPr>
              <w:pStyle w:val="64"/>
              <w:ind w:firstLine="42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85" w:type="pct"/>
            <w:vMerge w:val="continue"/>
            <w:vAlign w:val="center"/>
          </w:tcPr>
          <w:p>
            <w:pPr>
              <w:pStyle w:val="64"/>
              <w:ind w:firstLine="42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t>14.02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85" w:type="pct"/>
            <w:vMerge w:val="continue"/>
            <w:vAlign w:val="center"/>
          </w:tcPr>
          <w:p>
            <w:pPr>
              <w:pStyle w:val="64"/>
              <w:ind w:firstLine="42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17.88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885" w:type="pct"/>
            <w:vMerge w:val="continue"/>
            <w:vAlign w:val="center"/>
          </w:tcPr>
          <w:p>
            <w:pPr>
              <w:pStyle w:val="64"/>
              <w:ind w:firstLine="420"/>
              <w:jc w:val="center"/>
            </w:pPr>
          </w:p>
        </w:tc>
        <w:tc>
          <w:tcPr>
            <w:tcW w:w="1469" w:type="pct"/>
            <w:vMerge w:val="restart"/>
            <w:vAlign w:val="center"/>
          </w:tcPr>
          <w:p>
            <w:pPr>
              <w:pStyle w:val="64"/>
              <w:ind w:firstLine="0" w:firstLineChars="0"/>
              <w:jc w:val="center"/>
            </w:pPr>
            <w:r>
              <w:rPr>
                <w:rFonts w:hint="eastAsia"/>
              </w:rPr>
              <w:t>龟裂</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51.50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885" w:type="pct"/>
            <w:vMerge w:val="continue"/>
            <w:vAlign w:val="center"/>
          </w:tcPr>
          <w:p>
            <w:pPr>
              <w:pStyle w:val="64"/>
              <w:ind w:firstLine="42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85" w:type="pct"/>
            <w:vMerge w:val="continue"/>
            <w:vAlign w:val="center"/>
          </w:tcPr>
          <w:p>
            <w:pPr>
              <w:pStyle w:val="64"/>
              <w:ind w:firstLine="42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85" w:type="pct"/>
            <w:vMerge w:val="continue"/>
            <w:vAlign w:val="center"/>
          </w:tcPr>
          <w:p>
            <w:pPr>
              <w:pStyle w:val="64"/>
              <w:ind w:firstLine="42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20.29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885" w:type="pct"/>
            <w:vMerge w:val="continue"/>
            <w:vAlign w:val="center"/>
          </w:tcPr>
          <w:p>
            <w:pPr>
              <w:pStyle w:val="64"/>
              <w:ind w:firstLine="0" w:firstLineChars="0"/>
              <w:jc w:val="center"/>
            </w:pPr>
          </w:p>
        </w:tc>
        <w:tc>
          <w:tcPr>
            <w:tcW w:w="1469" w:type="pct"/>
            <w:vMerge w:val="restart"/>
            <w:vAlign w:val="center"/>
          </w:tcPr>
          <w:p>
            <w:pPr>
              <w:pStyle w:val="64"/>
              <w:ind w:firstLine="0" w:firstLineChars="0"/>
              <w:jc w:val="center"/>
            </w:pPr>
            <w:r>
              <w:rPr>
                <w:rFonts w:hint="eastAsia"/>
              </w:rPr>
              <w:t>块状裂缝</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17.80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885" w:type="pct"/>
            <w:vMerge w:val="continue"/>
            <w:vAlign w:val="center"/>
          </w:tcPr>
          <w:p>
            <w:pPr>
              <w:pStyle w:val="64"/>
              <w:ind w:firstLine="0" w:firstLineChars="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85" w:type="pct"/>
            <w:vMerge w:val="continue"/>
            <w:vAlign w:val="center"/>
          </w:tcPr>
          <w:p>
            <w:pPr>
              <w:pStyle w:val="64"/>
              <w:ind w:firstLine="0" w:firstLineChars="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885" w:type="pct"/>
            <w:vMerge w:val="continue"/>
            <w:vAlign w:val="center"/>
          </w:tcPr>
          <w:p>
            <w:pPr>
              <w:pStyle w:val="64"/>
              <w:ind w:firstLine="0" w:firstLineChars="0"/>
              <w:jc w:val="center"/>
            </w:pPr>
          </w:p>
        </w:tc>
        <w:tc>
          <w:tcPr>
            <w:tcW w:w="1469" w:type="pct"/>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23.14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354" w:type="pct"/>
            <w:gridSpan w:val="2"/>
            <w:vMerge w:val="restart"/>
            <w:vAlign w:val="center"/>
          </w:tcPr>
          <w:p>
            <w:pPr>
              <w:pStyle w:val="64"/>
              <w:ind w:firstLine="0" w:firstLineChars="0"/>
              <w:jc w:val="center"/>
            </w:pPr>
            <w:r>
              <w:rPr>
                <w:rFonts w:hint="eastAsia"/>
              </w:rPr>
              <w:t>坑槽</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115.69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t>13.50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12.63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354" w:type="pct"/>
            <w:gridSpan w:val="2"/>
            <w:vMerge w:val="restart"/>
            <w:vAlign w:val="center"/>
          </w:tcPr>
          <w:p>
            <w:pPr>
              <w:pStyle w:val="64"/>
              <w:ind w:firstLine="0" w:firstLineChars="0"/>
              <w:jc w:val="center"/>
            </w:pPr>
            <w:r>
              <w:rPr>
                <w:rFonts w:hint="eastAsia"/>
              </w:rPr>
              <w:t>车辙</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t>17.28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11.45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354" w:type="pct"/>
            <w:gridSpan w:val="2"/>
            <w:vMerge w:val="restart"/>
            <w:vAlign w:val="center"/>
          </w:tcPr>
          <w:p>
            <w:pPr>
              <w:pStyle w:val="64"/>
              <w:ind w:firstLine="0" w:firstLineChars="0"/>
              <w:jc w:val="center"/>
            </w:pPr>
            <w:r>
              <w:rPr>
                <w:rFonts w:hint="eastAsia"/>
              </w:rPr>
              <w:t>拥包</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9.62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t>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18.34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2354" w:type="pct"/>
            <w:gridSpan w:val="2"/>
            <w:vMerge w:val="restart"/>
            <w:vAlign w:val="center"/>
          </w:tcPr>
          <w:p>
            <w:pPr>
              <w:pStyle w:val="64"/>
              <w:ind w:firstLine="0" w:firstLineChars="0"/>
              <w:jc w:val="center"/>
            </w:pPr>
            <w:r>
              <w:rPr>
                <w:rFonts w:hint="eastAsia"/>
              </w:rPr>
              <w:t>沉陷</w:t>
            </w: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0</m:t>
                    </m:r>
                    <m:ctrlPr>
                      <w:rPr>
                        <w:rFonts w:ascii="Cambria Math" w:hAnsi="Cambria Math"/>
                        <w:i/>
                        <w:iCs/>
                      </w:rPr>
                    </m:ctrlPr>
                  </m:sub>
                </m:sSub>
              </m:oMath>
            </m:oMathPara>
          </w:p>
        </w:tc>
        <w:tc>
          <w:tcPr>
            <w:tcW w:w="1177" w:type="pct"/>
            <w:vAlign w:val="center"/>
          </w:tcPr>
          <w:p>
            <w:pPr>
              <w:pStyle w:val="64"/>
              <w:ind w:firstLine="0" w:firstLineChars="0"/>
              <w:jc w:val="center"/>
            </w:pPr>
            <w: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1177" w:type="pct"/>
            <w:vAlign w:val="center"/>
          </w:tcPr>
          <w:p>
            <w:pPr>
              <w:pStyle w:val="64"/>
              <w:ind w:firstLine="0" w:firstLineChars="0"/>
              <w:jc w:val="center"/>
            </w:pPr>
            <w:r>
              <w:t>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1177" w:type="pct"/>
            <w:vAlign w:val="center"/>
          </w:tcPr>
          <w:p>
            <w:pPr>
              <w:pStyle w:val="64"/>
              <w:ind w:firstLine="0" w:firstLineChars="0"/>
              <w:jc w:val="center"/>
            </w:pPr>
            <w:r>
              <w:t>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2354" w:type="pct"/>
            <w:gridSpan w:val="2"/>
            <w:vMerge w:val="continue"/>
            <w:vAlign w:val="center"/>
          </w:tcPr>
          <w:p>
            <w:pPr>
              <w:pStyle w:val="64"/>
              <w:ind w:firstLine="0" w:firstLineChars="0"/>
              <w:jc w:val="center"/>
            </w:pPr>
          </w:p>
        </w:tc>
        <w:tc>
          <w:tcPr>
            <w:tcW w:w="1469" w:type="pct"/>
            <w:vAlign w:val="center"/>
          </w:tcPr>
          <w:p>
            <w:pPr>
              <w:pStyle w:val="64"/>
              <w:ind w:firstLine="0" w:firstLineChars="0"/>
              <w:jc w:val="center"/>
              <w:rPr>
                <w:iCs/>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1177" w:type="pct"/>
            <w:vAlign w:val="center"/>
          </w:tcPr>
          <w:p>
            <w:pPr>
              <w:pStyle w:val="64"/>
              <w:ind w:firstLine="0" w:firstLineChars="0"/>
              <w:jc w:val="center"/>
            </w:pPr>
            <w:r>
              <w:t>15.06</w:t>
            </w:r>
          </w:p>
        </w:tc>
      </w:tr>
    </w:tbl>
    <w:p>
      <w:pPr>
        <w:pStyle w:val="113"/>
        <w:spacing w:before="156" w:after="156"/>
      </w:pPr>
      <w:bookmarkStart w:id="229" w:name="_Toc204800749"/>
      <w:bookmarkStart w:id="230" w:name="_Toc240476551"/>
      <w:r>
        <w:rPr>
          <w:rFonts w:hint="eastAsia"/>
        </w:rPr>
        <w:t>路面病害</w:t>
      </w:r>
      <w:bookmarkStart w:id="231" w:name="_Hlk198132231"/>
      <w:r>
        <w:rPr>
          <w:rFonts w:hint="eastAsia"/>
        </w:rPr>
        <w:t>城市景观</w:t>
      </w:r>
      <w:bookmarkEnd w:id="231"/>
      <w:r>
        <w:rPr>
          <w:rFonts w:hint="eastAsia"/>
        </w:rPr>
        <w:t>指数</w:t>
      </w:r>
      <w:bookmarkEnd w:id="229"/>
      <w:bookmarkEnd w:id="230"/>
    </w:p>
    <w:p>
      <w:pPr>
        <w:pStyle w:val="173"/>
        <w:ind w:left="0"/>
      </w:pPr>
      <w:r>
        <w:rPr>
          <w:rFonts w:hint="eastAsia"/>
        </w:rPr>
        <w:t>城镇道路路面病害的城市景观指数在</w:t>
      </w:r>
      <w:r>
        <w:t>0至100之间，</w:t>
      </w:r>
      <w:r>
        <w:rPr>
          <w:rFonts w:hint="eastAsia"/>
        </w:rPr>
        <w:t>数值越高，其对城市景观的影响越大。</w:t>
      </w:r>
    </w:p>
    <w:p>
      <w:pPr>
        <w:pStyle w:val="173"/>
        <w:ind w:left="0"/>
      </w:pPr>
      <w:r>
        <w:rPr>
          <w:rFonts w:hint="eastAsia"/>
        </w:rPr>
        <w:t>路面病害的城市景观指数应结合其它指数综合加权计算，得到综合维养需求得分以进行病害维养需求分级。</w:t>
      </w:r>
    </w:p>
    <w:p>
      <w:pPr>
        <w:pStyle w:val="112"/>
        <w:spacing w:before="312" w:after="312"/>
      </w:pPr>
      <w:bookmarkStart w:id="232" w:name="_Toc204800750"/>
      <w:bookmarkStart w:id="233" w:name="_Toc240476552"/>
      <w:r>
        <w:rPr>
          <w:rFonts w:hint="eastAsia"/>
        </w:rPr>
        <w:t>路面病害维养需求分级</w:t>
      </w:r>
      <w:bookmarkEnd w:id="232"/>
      <w:bookmarkEnd w:id="233"/>
    </w:p>
    <w:p>
      <w:pPr>
        <w:pStyle w:val="170"/>
      </w:pPr>
      <w:bookmarkStart w:id="234" w:name="_Toc204800568"/>
      <w:bookmarkEnd w:id="234"/>
      <w:bookmarkStart w:id="235" w:name="_Toc204800668"/>
      <w:bookmarkEnd w:id="235"/>
      <w:bookmarkStart w:id="236" w:name="_Toc204800570"/>
      <w:bookmarkEnd w:id="236"/>
      <w:bookmarkStart w:id="237" w:name="_Toc204800752"/>
      <w:bookmarkEnd w:id="237"/>
      <w:bookmarkStart w:id="238" w:name="_Toc204800751"/>
      <w:bookmarkEnd w:id="238"/>
      <w:bookmarkStart w:id="239" w:name="_Toc204800670"/>
      <w:bookmarkEnd w:id="239"/>
      <w:bookmarkStart w:id="240" w:name="_Toc204800753"/>
      <w:bookmarkEnd w:id="240"/>
      <w:bookmarkStart w:id="241" w:name="_Toc204800754"/>
      <w:bookmarkStart w:id="242" w:name="_Toc198198348"/>
      <w:bookmarkStart w:id="243" w:name="_Toc198197310"/>
      <w:bookmarkStart w:id="244" w:name="_Toc198198077"/>
      <w:bookmarkStart w:id="245" w:name="_Toc198300116"/>
      <w:r>
        <w:rPr>
          <w:rFonts w:hint="eastAsia"/>
        </w:rPr>
        <w:t>城镇道路沥青路面病害综合影响指数</w:t>
      </w:r>
      <w:r>
        <w:rPr>
          <w:i/>
        </w:rPr>
        <w:t>SI</w:t>
      </w:r>
      <w:r>
        <w:rPr>
          <w:rFonts w:hint="eastAsia"/>
        </w:rPr>
        <w:t>由病害的路面结构安全效应、交通运行安全效应、驾驶舒适性效应和城市景观效应四个维度的指数得分加权计算。</w:t>
      </w:r>
      <w:r>
        <w:rPr>
          <w:i/>
        </w:rPr>
        <w:t>SI</w:t>
      </w:r>
      <w:r>
        <w:rPr>
          <w:rFonts w:hint="eastAsia"/>
        </w:rPr>
        <w:t>的计算见公式（5）：</w:t>
      </w:r>
      <w:bookmarkEnd w:id="241"/>
    </w:p>
    <w:p>
      <w:pPr>
        <w:pStyle w:val="121"/>
      </w:pPr>
      <w:r>
        <w:rPr>
          <w:rFonts w:hint="eastAsia"/>
        </w:rPr>
        <w:tab/>
      </w:r>
      <m:oMath>
        <m:r>
          <m:rPr/>
          <w:rPr>
            <w:rFonts w:ascii="Cambria Math" w:hAnsi="Cambria Math" w:cs="Cambria Math"/>
          </w:rPr>
          <m:t>SI=</m:t>
        </m:r>
        <m:sSub>
          <m:sSubPr>
            <m:ctrlPr>
              <w:rPr>
                <w:rFonts w:ascii="Cambria Math" w:hAnsi="Cambria Math" w:cs="Cambria Math"/>
                <w:i/>
                <w:iCs/>
              </w:rPr>
            </m:ctrlPr>
          </m:sSubPr>
          <m:e>
            <m:r>
              <m:rPr/>
              <w:rPr>
                <w:rFonts w:ascii="Cambria Math" w:hAnsi="Cambria Math" w:cs="Cambria Math"/>
                <w:lang w:val="el-GR"/>
              </w:rPr>
              <m:t>ω</m:t>
            </m:r>
            <m:ctrlPr>
              <w:rPr>
                <w:rFonts w:ascii="Cambria Math" w:hAnsi="Cambria Math" w:cs="Cambria Math"/>
                <w:i/>
                <w:iCs/>
              </w:rPr>
            </m:ctrlPr>
          </m:e>
          <m:sub>
            <m:r>
              <m:rPr/>
              <w:rPr>
                <w:rFonts w:ascii="Cambria Math" w:hAnsi="Cambria Math" w:cs="Cambria Math"/>
              </w:rPr>
              <m:t>FI</m:t>
            </m:r>
            <m:ctrlPr>
              <w:rPr>
                <w:rFonts w:ascii="Cambria Math" w:hAnsi="Cambria Math" w:cs="Cambria Math"/>
                <w:i/>
                <w:iCs/>
              </w:rPr>
            </m:ctrlPr>
          </m:sub>
        </m:sSub>
        <m:r>
          <m:rPr/>
          <w:rPr>
            <w:rFonts w:ascii="Cambria Math" w:hAnsi="Cambria Math" w:cs="Cambria Math"/>
          </w:rPr>
          <m:t>FI+</m:t>
        </m:r>
        <m:sSub>
          <m:sSubPr>
            <m:ctrlPr>
              <w:rPr>
                <w:rFonts w:ascii="Cambria Math" w:hAnsi="Cambria Math" w:cs="Cambria Math"/>
                <w:i/>
                <w:iCs/>
              </w:rPr>
            </m:ctrlPr>
          </m:sSubPr>
          <m:e>
            <m:r>
              <m:rPr/>
              <w:rPr>
                <w:rFonts w:ascii="Cambria Math" w:hAnsi="Cambria Math" w:cs="Cambria Math"/>
                <w:lang w:val="el-GR"/>
              </w:rPr>
              <m:t>ω</m:t>
            </m:r>
            <m:ctrlPr>
              <w:rPr>
                <w:rFonts w:ascii="Cambria Math" w:hAnsi="Cambria Math" w:cs="Cambria Math"/>
                <w:i/>
                <w:iCs/>
              </w:rPr>
            </m:ctrlPr>
          </m:e>
          <m:sub>
            <m:r>
              <m:rPr/>
              <w:rPr>
                <w:rFonts w:ascii="Cambria Math" w:hAnsi="Cambria Math" w:cs="Cambria Math"/>
              </w:rPr>
              <m:t>TI</m:t>
            </m:r>
            <m:ctrlPr>
              <w:rPr>
                <w:rFonts w:ascii="Cambria Math" w:hAnsi="Cambria Math" w:cs="Cambria Math"/>
                <w:i/>
                <w:iCs/>
              </w:rPr>
            </m:ctrlPr>
          </m:sub>
        </m:sSub>
        <m:r>
          <m:rPr/>
          <w:rPr>
            <w:rFonts w:ascii="Cambria Math" w:hAnsi="Cambria Math" w:cs="Cambria Math"/>
          </w:rPr>
          <m:t>TI+</m:t>
        </m:r>
        <m:sSub>
          <m:sSubPr>
            <m:ctrlPr>
              <w:rPr>
                <w:rFonts w:ascii="Cambria Math" w:hAnsi="Cambria Math" w:cs="Cambria Math"/>
                <w:i/>
                <w:iCs/>
              </w:rPr>
            </m:ctrlPr>
          </m:sSubPr>
          <m:e>
            <m:r>
              <m:rPr/>
              <w:rPr>
                <w:rFonts w:ascii="Cambria Math" w:hAnsi="Cambria Math" w:cs="Cambria Math"/>
                <w:lang w:val="el-GR"/>
              </w:rPr>
              <m:t>ω</m:t>
            </m:r>
            <m:ctrlPr>
              <w:rPr>
                <w:rFonts w:ascii="Cambria Math" w:hAnsi="Cambria Math" w:cs="Cambria Math"/>
                <w:i/>
                <w:iCs/>
              </w:rPr>
            </m:ctrlPr>
          </m:e>
          <m:sub>
            <m:r>
              <m:rPr/>
              <w:rPr>
                <w:rFonts w:ascii="Cambria Math" w:hAnsi="Cambria Math" w:cs="Cambria Math"/>
              </w:rPr>
              <m:t>CI</m:t>
            </m:r>
            <m:ctrlPr>
              <w:rPr>
                <w:rFonts w:ascii="Cambria Math" w:hAnsi="Cambria Math" w:cs="Cambria Math"/>
                <w:i/>
                <w:iCs/>
              </w:rPr>
            </m:ctrlPr>
          </m:sub>
        </m:sSub>
        <m:r>
          <m:rPr/>
          <w:rPr>
            <w:rFonts w:ascii="Cambria Math" w:hAnsi="Cambria Math" w:cs="Cambria Math"/>
          </w:rPr>
          <m:t>CI+</m:t>
        </m:r>
        <m:sSub>
          <m:sSubPr>
            <m:ctrlPr>
              <w:rPr>
                <w:rFonts w:ascii="Cambria Math" w:hAnsi="Cambria Math" w:cs="Cambria Math"/>
                <w:i/>
                <w:iCs/>
              </w:rPr>
            </m:ctrlPr>
          </m:sSubPr>
          <m:e>
            <m:r>
              <m:rPr/>
              <w:rPr>
                <w:rFonts w:ascii="Cambria Math" w:hAnsi="Cambria Math" w:cs="Cambria Math"/>
                <w:lang w:val="el-GR"/>
              </w:rPr>
              <m:t>ω</m:t>
            </m:r>
            <m:ctrlPr>
              <w:rPr>
                <w:rFonts w:ascii="Cambria Math" w:hAnsi="Cambria Math" w:cs="Cambria Math"/>
                <w:i/>
                <w:iCs/>
              </w:rPr>
            </m:ctrlPr>
          </m:e>
          <m:sub>
            <m:r>
              <m:rPr/>
              <w:rPr>
                <w:rFonts w:ascii="Cambria Math" w:hAnsi="Cambria Math" w:cs="Cambria Math"/>
              </w:rPr>
              <m:t>UI</m:t>
            </m:r>
            <m:ctrlPr>
              <w:rPr>
                <w:rFonts w:ascii="Cambria Math" w:hAnsi="Cambria Math" w:cs="Cambria Math"/>
                <w:i/>
                <w:iCs/>
              </w:rPr>
            </m:ctrlPr>
          </m:sub>
        </m:sSub>
        <m:r>
          <m:rPr/>
          <w:rPr>
            <w:rFonts w:ascii="Cambria Math" w:hAnsi="Cambria Math" w:cs="Cambria Math"/>
          </w:rPr>
          <m:t>UI</m:t>
        </m:r>
      </m:oMath>
      <w:r>
        <w:rPr>
          <w:rFonts w:hint="eastAsia" w:ascii="微软雅黑" w:hAnsi="微软雅黑" w:eastAsia="微软雅黑"/>
        </w:rPr>
        <w:tab/>
      </w:r>
      <w:r>
        <w:rPr>
          <w:rFonts w:hint="eastAsia" w:ascii="微软雅黑" w:hAnsi="微软雅黑" w:eastAsia="微软雅黑"/>
        </w:rPr>
        <w:t>式</w:t>
      </w:r>
      <w:r>
        <w:t>(</w:t>
      </w:r>
      <w:r>
        <w:rPr>
          <w:rFonts w:hint="eastAsia"/>
        </w:rPr>
        <w:t>5</w:t>
      </w:r>
      <w:r>
        <w:t>)</w:t>
      </w:r>
    </w:p>
    <w:p>
      <w:pPr>
        <w:pStyle w:val="63"/>
        <w:ind w:firstLine="420"/>
      </w:pPr>
      <w:r>
        <w:rPr>
          <w:rFonts w:hint="eastAsia"/>
        </w:rPr>
        <w:t>式中：</w:t>
      </w:r>
    </w:p>
    <w:p>
      <w:pPr>
        <w:pStyle w:val="64"/>
        <w:ind w:firstLine="420"/>
      </w:pPr>
      <m:oMath>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FI</m:t>
            </m:r>
            <m:ctrlPr>
              <w:rPr>
                <w:rFonts w:ascii="Cambria Math" w:hAnsi="Cambria Math"/>
                <w:i/>
                <w:iCs/>
              </w:rPr>
            </m:ctrlPr>
          </m:sub>
        </m:sSub>
      </m:oMath>
      <w:r>
        <w:t>——</w:t>
      </w:r>
      <m:oMath>
        <m:r>
          <m:rPr>
            <m:sty m:val="p"/>
          </m:rPr>
          <w:rPr>
            <w:rFonts w:ascii="Cambria Math" w:hAnsi="Cambria Math"/>
          </w:rPr>
          <m:t>FI</m:t>
        </m:r>
      </m:oMath>
      <w:r>
        <w:t xml:space="preserve"> 在 </w:t>
      </w:r>
      <m:oMath>
        <m:r>
          <m:rPr>
            <m:sty m:val="p"/>
          </m:rPr>
          <w:rPr>
            <w:rFonts w:ascii="Cambria Math" w:hAnsi="Cambria Math"/>
          </w:rPr>
          <m:t>SI</m:t>
        </m:r>
      </m:oMath>
      <w:r>
        <w:t xml:space="preserve"> 中的权重；</w:t>
      </w:r>
    </w:p>
    <w:p>
      <w:pPr>
        <w:pStyle w:val="64"/>
        <w:ind w:firstLine="420"/>
      </w:pPr>
      <m:oMath>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TI</m:t>
            </m:r>
            <m:ctrlPr>
              <w:rPr>
                <w:rFonts w:ascii="Cambria Math" w:hAnsi="Cambria Math"/>
                <w:i/>
                <w:iCs/>
              </w:rPr>
            </m:ctrlPr>
          </m:sub>
        </m:sSub>
      </m:oMath>
      <w:r>
        <w:t>——</w:t>
      </w:r>
      <m:oMath>
        <m:r>
          <m:rPr>
            <m:sty m:val="p"/>
          </m:rPr>
          <w:rPr>
            <w:rFonts w:ascii="Cambria Math" w:hAnsi="Cambria Math"/>
          </w:rPr>
          <m:t>TI</m:t>
        </m:r>
      </m:oMath>
      <w:r>
        <w:t xml:space="preserve"> 在 </w:t>
      </w:r>
      <m:oMath>
        <m:r>
          <m:rPr>
            <m:sty m:val="p"/>
          </m:rPr>
          <w:rPr>
            <w:rFonts w:ascii="Cambria Math" w:hAnsi="Cambria Math"/>
          </w:rPr>
          <m:t>SI</m:t>
        </m:r>
      </m:oMath>
      <w:r>
        <w:t xml:space="preserve"> 中的权重；</w:t>
      </w:r>
    </w:p>
    <w:p>
      <w:pPr>
        <w:pStyle w:val="64"/>
        <w:ind w:firstLine="420"/>
      </w:pPr>
      <m:oMath>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CI</m:t>
            </m:r>
            <m:ctrlPr>
              <w:rPr>
                <w:rFonts w:ascii="Cambria Math" w:hAnsi="Cambria Math"/>
                <w:i/>
                <w:iCs/>
              </w:rPr>
            </m:ctrlPr>
          </m:sub>
        </m:sSub>
      </m:oMath>
      <w:r>
        <w:t>——</w:t>
      </w:r>
      <m:oMath>
        <m:r>
          <m:rPr>
            <m:sty m:val="p"/>
          </m:rPr>
          <w:rPr>
            <w:rFonts w:ascii="Cambria Math" w:hAnsi="Cambria Math"/>
          </w:rPr>
          <m:t>CI</m:t>
        </m:r>
      </m:oMath>
      <w:r>
        <w:t xml:space="preserve"> 在 </w:t>
      </w:r>
      <m:oMath>
        <m:r>
          <m:rPr>
            <m:sty m:val="p"/>
          </m:rPr>
          <w:rPr>
            <w:rFonts w:ascii="Cambria Math" w:hAnsi="Cambria Math"/>
          </w:rPr>
          <m:t>SI</m:t>
        </m:r>
      </m:oMath>
      <w:r>
        <w:t xml:space="preserve"> 中的权重；</w:t>
      </w:r>
    </w:p>
    <w:p>
      <w:pPr>
        <w:pStyle w:val="64"/>
        <w:ind w:firstLine="420"/>
      </w:pPr>
      <m:oMath>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UI</m:t>
            </m:r>
            <m:ctrlPr>
              <w:rPr>
                <w:rFonts w:ascii="Cambria Math" w:hAnsi="Cambria Math"/>
                <w:i/>
                <w:iCs/>
              </w:rPr>
            </m:ctrlPr>
          </m:sub>
        </m:sSub>
      </m:oMath>
      <w:r>
        <w:t>——</w:t>
      </w:r>
      <m:oMath>
        <m:r>
          <m:rPr>
            <m:sty m:val="p"/>
          </m:rPr>
          <w:rPr>
            <w:rFonts w:ascii="Cambria Math" w:hAnsi="Cambria Math"/>
          </w:rPr>
          <m:t>UI</m:t>
        </m:r>
      </m:oMath>
      <w:r>
        <w:t xml:space="preserve"> 在 </w:t>
      </w:r>
      <m:oMath>
        <m:r>
          <m:rPr>
            <m:sty m:val="p"/>
          </m:rPr>
          <w:rPr>
            <w:rFonts w:ascii="Cambria Math" w:hAnsi="Cambria Math"/>
          </w:rPr>
          <m:t>SI</m:t>
        </m:r>
      </m:oMath>
      <w:r>
        <w:t xml:space="preserve"> 中的权重</w:t>
      </w:r>
      <w:r>
        <w:rPr>
          <w:rFonts w:hint="eastAsia"/>
        </w:rPr>
        <w:t>；</w:t>
      </w:r>
    </w:p>
    <w:p>
      <w:pPr>
        <w:pStyle w:val="64"/>
        <w:ind w:firstLine="420"/>
      </w:pPr>
      <w:r>
        <w:rPr>
          <w:rFonts w:hint="eastAsia"/>
        </w:rPr>
        <w:t>对普通道路，</w:t>
      </w:r>
      <m:oMath>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FI</m:t>
            </m:r>
            <m:ctrlPr>
              <w:rPr>
                <w:rFonts w:ascii="Cambria Math" w:hAnsi="Cambria Math"/>
                <w:i/>
                <w:iCs/>
              </w:rPr>
            </m:ctrlPr>
          </m:sub>
        </m:sSub>
        <m:r>
          <m:rPr/>
          <w:rPr>
            <w:rFonts w:hint="eastAsia" w:ascii="Cambria Math" w:hAnsi="Cambria Math"/>
          </w:rPr>
          <m:t>，</m:t>
        </m:r>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TI</m:t>
            </m:r>
            <m:ctrlPr>
              <w:rPr>
                <w:rFonts w:ascii="Cambria Math" w:hAnsi="Cambria Math"/>
                <w:i/>
                <w:iCs/>
              </w:rPr>
            </m:ctrlPr>
          </m:sub>
        </m:sSub>
        <m:r>
          <m:rPr/>
          <w:rPr>
            <w:rFonts w:hint="eastAsia" w:ascii="Cambria Math" w:hAnsi="Cambria Math"/>
          </w:rPr>
          <m:t>，</m:t>
        </m:r>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CI</m:t>
            </m:r>
            <m:ctrlPr>
              <w:rPr>
                <w:rFonts w:ascii="Cambria Math" w:hAnsi="Cambria Math"/>
                <w:i/>
                <w:iCs/>
              </w:rPr>
            </m:ctrlPr>
          </m:sub>
        </m:sSub>
        <m:r>
          <m:rPr/>
          <w:rPr>
            <w:rFonts w:hint="eastAsia" w:ascii="Cambria Math" w:hAnsi="Cambria Math"/>
          </w:rPr>
          <m:t>，</m:t>
        </m:r>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UI</m:t>
            </m:r>
            <m:ctrlPr>
              <w:rPr>
                <w:rFonts w:ascii="Cambria Math" w:hAnsi="Cambria Math"/>
                <w:i/>
                <w:iCs/>
              </w:rPr>
            </m:ctrlPr>
          </m:sub>
        </m:sSub>
      </m:oMath>
      <w:r>
        <w:rPr>
          <w:rFonts w:hint="eastAsia"/>
        </w:rPr>
        <w:t>分别取0.4，0.35，0.15，0.1；</w:t>
      </w:r>
    </w:p>
    <w:p>
      <w:pPr>
        <w:pStyle w:val="64"/>
        <w:ind w:firstLine="420"/>
      </w:pPr>
      <w:r>
        <w:rPr>
          <w:rFonts w:hint="eastAsia"/>
        </w:rPr>
        <w:t xml:space="preserve">对重要商圈、政府部门等敏感区域， </w:t>
      </w:r>
      <m:oMath>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FI</m:t>
            </m:r>
            <m:ctrlPr>
              <w:rPr>
                <w:rFonts w:ascii="Cambria Math" w:hAnsi="Cambria Math"/>
                <w:i/>
                <w:iCs/>
              </w:rPr>
            </m:ctrlPr>
          </m:sub>
        </m:sSub>
        <m:r>
          <m:rPr/>
          <w:rPr>
            <w:rFonts w:hint="eastAsia" w:ascii="Cambria Math" w:hAnsi="Cambria Math"/>
          </w:rPr>
          <m:t>，</m:t>
        </m:r>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TI</m:t>
            </m:r>
            <m:ctrlPr>
              <w:rPr>
                <w:rFonts w:ascii="Cambria Math" w:hAnsi="Cambria Math"/>
                <w:i/>
                <w:iCs/>
              </w:rPr>
            </m:ctrlPr>
          </m:sub>
        </m:sSub>
        <m:r>
          <m:rPr/>
          <w:rPr>
            <w:rFonts w:hint="eastAsia" w:ascii="Cambria Math" w:hAnsi="Cambria Math"/>
          </w:rPr>
          <m:t>，</m:t>
        </m:r>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CI</m:t>
            </m:r>
            <m:ctrlPr>
              <w:rPr>
                <w:rFonts w:ascii="Cambria Math" w:hAnsi="Cambria Math"/>
                <w:i/>
                <w:iCs/>
              </w:rPr>
            </m:ctrlPr>
          </m:sub>
        </m:sSub>
        <m:r>
          <m:rPr/>
          <w:rPr>
            <w:rFonts w:hint="eastAsia" w:ascii="Cambria Math" w:hAnsi="Cambria Math"/>
          </w:rPr>
          <m:t>，</m:t>
        </m:r>
        <m:sSub>
          <m:sSubPr>
            <m:ctrlPr>
              <w:rPr>
                <w:rFonts w:ascii="Cambria Math" w:hAnsi="Cambria Math"/>
                <w:i/>
                <w:iCs/>
              </w:rPr>
            </m:ctrlPr>
          </m:sSubPr>
          <m:e>
            <m:r>
              <m:rPr/>
              <w:rPr>
                <w:rFonts w:ascii="Cambria Math" w:hAnsi="Cambria Math"/>
                <w:lang w:val="el-GR"/>
              </w:rPr>
              <m:t>ω</m:t>
            </m:r>
            <m:ctrlPr>
              <w:rPr>
                <w:rFonts w:ascii="Cambria Math" w:hAnsi="Cambria Math"/>
                <w:i/>
                <w:iCs/>
              </w:rPr>
            </m:ctrlPr>
          </m:e>
          <m:sub>
            <m:r>
              <m:rPr>
                <m:sty m:val="p"/>
              </m:rPr>
              <w:rPr>
                <w:rFonts w:ascii="Cambria Math" w:hAnsi="Cambria Math"/>
              </w:rPr>
              <m:t>UI</m:t>
            </m:r>
            <m:ctrlPr>
              <w:rPr>
                <w:rFonts w:ascii="Cambria Math" w:hAnsi="Cambria Math"/>
                <w:i/>
                <w:iCs/>
              </w:rPr>
            </m:ctrlPr>
          </m:sub>
        </m:sSub>
      </m:oMath>
      <w:r>
        <w:rPr>
          <w:rFonts w:hint="eastAsia"/>
          <w:iCs/>
        </w:rPr>
        <w:t>宜</w:t>
      </w:r>
      <w:r>
        <w:rPr>
          <w:rFonts w:hint="eastAsia"/>
        </w:rPr>
        <w:t>分别取0.25，0.25，0.25，0.25，具体权重可根据实际需求调整。</w:t>
      </w:r>
    </w:p>
    <w:p>
      <w:pPr>
        <w:pStyle w:val="170"/>
      </w:pPr>
      <w:bookmarkStart w:id="246" w:name="_Toc204800756"/>
      <w:r>
        <w:rPr>
          <w:rFonts w:hint="eastAsia"/>
        </w:rPr>
        <w:t>城镇道路沥青路面病害依据病害的综合维养需求指数</w:t>
      </w:r>
      <w:r>
        <w:rPr>
          <w:rFonts w:hint="eastAsia"/>
          <w:i/>
        </w:rPr>
        <w:t>R</w:t>
      </w:r>
      <w:r>
        <w:rPr>
          <w:i/>
        </w:rPr>
        <w:t>I</w:t>
      </w:r>
      <w:r>
        <w:rPr>
          <w:rFonts w:hint="eastAsia"/>
        </w:rPr>
        <w:t>进行分级，</w:t>
      </w:r>
      <w:r>
        <w:rPr>
          <w:rFonts w:hint="eastAsia"/>
          <w:i/>
          <w:iCs/>
        </w:rPr>
        <w:t>RI</w:t>
      </w:r>
      <w:r>
        <w:rPr>
          <w:rFonts w:hint="eastAsia"/>
        </w:rPr>
        <w:t>计算见公式（6）。</w:t>
      </w:r>
      <w:bookmarkEnd w:id="246"/>
    </w:p>
    <w:p>
      <w:pPr>
        <w:pStyle w:val="121"/>
      </w:pPr>
      <w:r>
        <w:rPr>
          <w:rFonts w:hint="eastAsia"/>
        </w:rPr>
        <w:tab/>
      </w:r>
      <m:oMath>
        <m:r>
          <m:rPr/>
          <w:rPr>
            <w:rFonts w:ascii="Cambria Math" w:hAnsi="Cambria Math" w:cs="宋体"/>
          </w:rPr>
          <m:t xml:space="preserve"> </m:t>
        </m:r>
        <m:r>
          <m:rPr/>
          <w:rPr>
            <w:rFonts w:ascii="Cambria Math" w:hAnsi="Cambria Math" w:cs="Cambria Math"/>
          </w:rPr>
          <m:t>R</m:t>
        </m:r>
        <m:r>
          <m:rPr/>
          <w:rPr>
            <w:rFonts w:ascii="Cambria Math" w:hAnsi="Cambria Math" w:eastAsia="Cambria Math" w:cs="Cambria Math"/>
          </w:rPr>
          <m:t>I</m:t>
        </m:r>
        <m:r>
          <m:rPr>
            <m:sty m:val="p"/>
          </m:rPr>
          <w:rPr>
            <w:rFonts w:ascii="Cambria Math" w:hAnsi="Cambria Math" w:eastAsia="Cambria Math" w:cs="Cambria Math"/>
          </w:rPr>
          <m:t>=max⁡(</m:t>
        </m:r>
        <m:r>
          <m:rPr/>
          <w:rPr>
            <w:rFonts w:ascii="Cambria Math" w:hAnsi="Cambria Math" w:eastAsia="Cambria Math" w:cs="Cambria Math"/>
          </w:rPr>
          <m:t>SI</m:t>
        </m:r>
        <m:r>
          <m:rPr/>
          <w:rPr>
            <w:rFonts w:ascii="Cambria Math" w:hAnsi="Cambria Math" w:cs="宋体"/>
          </w:rPr>
          <m:t xml:space="preserve">,FI, TI) </m:t>
        </m:r>
      </m:oMath>
      <w:r>
        <w:rPr>
          <w:rFonts w:hint="eastAsia" w:ascii="微软雅黑" w:hAnsi="微软雅黑" w:eastAsia="微软雅黑"/>
        </w:rPr>
        <w:tab/>
      </w:r>
      <w:r>
        <w:rPr>
          <w:rFonts w:hint="eastAsia" w:ascii="微软雅黑" w:hAnsi="微软雅黑" w:eastAsia="微软雅黑"/>
        </w:rPr>
        <w:t>式</w:t>
      </w:r>
      <w:r>
        <w:t>(</w:t>
      </w:r>
      <w:r>
        <w:rPr>
          <w:rFonts w:hint="eastAsia"/>
        </w:rPr>
        <w:t>6</w:t>
      </w:r>
      <w:r>
        <w:t>)</w:t>
      </w:r>
    </w:p>
    <w:p>
      <w:pPr>
        <w:pStyle w:val="170"/>
      </w:pPr>
      <w:bookmarkStart w:id="247" w:name="_Toc204800758"/>
      <w:r>
        <w:rPr>
          <w:rFonts w:hint="eastAsia"/>
        </w:rPr>
        <w:t>城镇道路沥青路面病害依据综合维养需求指数 RI 分为三级，各等级标准见表5</w:t>
      </w:r>
      <w:bookmarkEnd w:id="247"/>
      <w:r>
        <w:rPr>
          <w:rFonts w:hint="eastAsia"/>
        </w:rPr>
        <w:t>。</w:t>
      </w:r>
    </w:p>
    <w:p>
      <w:pPr>
        <w:pStyle w:val="64"/>
        <w:ind w:firstLine="422"/>
        <w:jc w:val="center"/>
        <w:rPr>
          <w:b/>
          <w:bCs/>
        </w:rPr>
      </w:pPr>
      <w:r>
        <w:rPr>
          <w:rFonts w:hint="eastAsia"/>
          <w:b/>
          <w:bCs/>
        </w:rPr>
        <w:t>表</w:t>
      </w:r>
      <w:r>
        <w:rPr>
          <w:b/>
          <w:bCs/>
        </w:rPr>
        <w:t xml:space="preserve">5 </w:t>
      </w:r>
      <w:r>
        <w:rPr>
          <w:rFonts w:hint="eastAsia"/>
          <w:b/>
          <w:bCs/>
        </w:rPr>
        <w:t>城镇道路沥青路面病害维养需求等级</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793"/>
        <w:gridCol w:w="2259"/>
        <w:gridCol w:w="2259"/>
        <w:gridCol w:w="22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59" w:type="pct"/>
            <w:vAlign w:val="center"/>
          </w:tcPr>
          <w:p>
            <w:pPr>
              <w:rPr>
                <w:rFonts w:ascii="宋体" w:hAnsi="宋体" w:cs="宋体"/>
                <w:sz w:val="18"/>
                <w:szCs w:val="18"/>
              </w:rPr>
            </w:pPr>
            <w:r>
              <w:rPr>
                <w:rFonts w:hint="eastAsia" w:ascii="宋体" w:hAnsi="宋体" w:cs="宋体"/>
                <w:sz w:val="18"/>
                <w:szCs w:val="18"/>
              </w:rPr>
              <w:t>综合维养需求指数</w:t>
            </w:r>
          </w:p>
        </w:tc>
        <w:tc>
          <w:tcPr>
            <w:tcW w:w="1180" w:type="pct"/>
            <w:vAlign w:val="center"/>
          </w:tcPr>
          <w:p>
            <w:pPr>
              <w:rPr>
                <w:rFonts w:ascii="宋体" w:hAnsi="宋体" w:cs="宋体"/>
                <w:i/>
                <w:sz w:val="18"/>
                <w:szCs w:val="18"/>
              </w:rPr>
            </w:pPr>
            <m:oMathPara>
              <m:oMathParaPr>
                <m:jc m:val="left"/>
              </m:oMathParaPr>
              <m:oMath>
                <m:r>
                  <m:rPr/>
                  <w:rPr>
                    <w:rFonts w:ascii="Cambria Math" w:hAnsi="Cambria Math" w:cs="宋体"/>
                    <w:sz w:val="18"/>
                    <w:szCs w:val="18"/>
                  </w:rPr>
                  <m:t>RI</m:t>
                </m:r>
                <m:r>
                  <m:rPr>
                    <m:sty m:val="p"/>
                  </m:rPr>
                  <w:rPr>
                    <w:rFonts w:hint="eastAsia" w:ascii="Cambria Math" w:hAnsi="Cambria Math" w:cs="宋体"/>
                    <w:sz w:val="18"/>
                    <w:szCs w:val="18"/>
                  </w:rPr>
                  <m:t>≥</m:t>
                </m:r>
                <m:r>
                  <m:rPr>
                    <m:sty m:val="p"/>
                  </m:rPr>
                  <w:rPr>
                    <w:rFonts w:ascii="Cambria Math" w:hAnsi="Cambria Math" w:cs="宋体"/>
                    <w:sz w:val="18"/>
                    <w:szCs w:val="18"/>
                  </w:rPr>
                  <m:t>7</m:t>
                </m:r>
                <m:r>
                  <m:rPr/>
                  <w:rPr>
                    <w:rFonts w:ascii="Cambria Math" w:hAnsi="Cambria Math" w:cs="宋体"/>
                    <w:sz w:val="18"/>
                    <w:szCs w:val="18"/>
                  </w:rPr>
                  <m:t>0</m:t>
                </m:r>
              </m:oMath>
            </m:oMathPara>
          </w:p>
        </w:tc>
        <w:tc>
          <w:tcPr>
            <w:tcW w:w="1180" w:type="pct"/>
            <w:vAlign w:val="center"/>
          </w:tcPr>
          <w:p>
            <w:pPr>
              <w:rPr>
                <w:rFonts w:ascii="宋体" w:hAnsi="宋体" w:cs="宋体"/>
                <w:i/>
                <w:sz w:val="18"/>
                <w:szCs w:val="18"/>
              </w:rPr>
            </w:pPr>
            <m:oMathPara>
              <m:oMathParaPr>
                <m:jc m:val="left"/>
              </m:oMathParaPr>
              <m:oMath>
                <m:r>
                  <m:rPr>
                    <m:sty m:val="p"/>
                  </m:rPr>
                  <w:rPr>
                    <w:rFonts w:ascii="Cambria Math" w:hAnsi="Cambria Math" w:cs="宋体"/>
                    <w:sz w:val="18"/>
                    <w:szCs w:val="18"/>
                  </w:rPr>
                  <m:t>4</m:t>
                </m:r>
                <m:r>
                  <m:rPr/>
                  <w:rPr>
                    <w:rFonts w:ascii="Cambria Math" w:hAnsi="Cambria Math" w:cs="宋体"/>
                    <w:sz w:val="18"/>
                    <w:szCs w:val="18"/>
                  </w:rPr>
                  <m:t>0</m:t>
                </m:r>
                <m:r>
                  <m:rPr>
                    <m:sty m:val="p"/>
                  </m:rPr>
                  <w:rPr>
                    <w:rFonts w:hint="eastAsia" w:ascii="Cambria Math" w:hAnsi="Cambria Math" w:cs="宋体"/>
                    <w:sz w:val="18"/>
                    <w:szCs w:val="18"/>
                  </w:rPr>
                  <m:t>≤</m:t>
                </m:r>
                <m:r>
                  <m:rPr/>
                  <w:rPr>
                    <w:rFonts w:ascii="Cambria Math" w:hAnsi="Cambria Math" w:cs="宋体"/>
                    <w:sz w:val="18"/>
                    <w:szCs w:val="18"/>
                  </w:rPr>
                  <m:t>RI</m:t>
                </m:r>
                <m:r>
                  <m:rPr>
                    <m:sty m:val="p"/>
                  </m:rPr>
                  <w:rPr>
                    <w:rFonts w:ascii="Cambria Math" w:hAnsi="Cambria Math" w:cs="宋体"/>
                    <w:sz w:val="18"/>
                    <w:szCs w:val="18"/>
                  </w:rPr>
                  <m:t>&lt;7</m:t>
                </m:r>
                <m:r>
                  <m:rPr/>
                  <w:rPr>
                    <w:rFonts w:ascii="Cambria Math" w:hAnsi="Cambria Math" w:cs="宋体"/>
                    <w:sz w:val="18"/>
                    <w:szCs w:val="18"/>
                  </w:rPr>
                  <m:t>0</m:t>
                </m:r>
              </m:oMath>
            </m:oMathPara>
          </w:p>
        </w:tc>
        <w:tc>
          <w:tcPr>
            <w:tcW w:w="1180" w:type="pct"/>
            <w:vAlign w:val="center"/>
          </w:tcPr>
          <w:p>
            <w:pPr>
              <w:rPr>
                <w:rFonts w:ascii="宋体" w:hAnsi="宋体" w:cs="宋体"/>
                <w:i/>
                <w:sz w:val="18"/>
                <w:szCs w:val="18"/>
              </w:rPr>
            </w:pPr>
            <m:oMathPara>
              <m:oMathParaPr>
                <m:jc m:val="left"/>
              </m:oMathParaPr>
              <m:oMath>
                <m:r>
                  <m:rPr/>
                  <w:rPr>
                    <w:rFonts w:ascii="Cambria Math" w:hAnsi="Cambria Math" w:cs="宋体"/>
                    <w:sz w:val="18"/>
                    <w:szCs w:val="18"/>
                  </w:rPr>
                  <m:t>RI</m:t>
                </m:r>
                <m:r>
                  <m:rPr>
                    <m:sty m:val="p"/>
                  </m:rPr>
                  <w:rPr>
                    <w:rFonts w:ascii="Cambria Math" w:hAnsi="Cambria Math" w:cs="宋体"/>
                    <w:sz w:val="18"/>
                    <w:szCs w:val="18"/>
                  </w:rPr>
                  <m:t>&lt;4</m:t>
                </m:r>
                <m:r>
                  <m:rPr/>
                  <w:rPr>
                    <w:rFonts w:ascii="Cambria Math" w:hAnsi="Cambria Math" w:cs="宋体"/>
                    <w:sz w:val="18"/>
                    <w:szCs w:val="18"/>
                  </w:rPr>
                  <m:t>0</m:t>
                </m:r>
              </m:oMath>
            </m:oMathPara>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59" w:type="pct"/>
            <w:vAlign w:val="center"/>
          </w:tcPr>
          <w:p>
            <w:pPr>
              <w:rPr>
                <w:rFonts w:ascii="宋体" w:hAnsi="宋体" w:cs="宋体"/>
                <w:sz w:val="18"/>
                <w:szCs w:val="18"/>
              </w:rPr>
            </w:pPr>
            <w:r>
              <w:rPr>
                <w:rFonts w:hint="eastAsia" w:ascii="宋体" w:hAnsi="宋体" w:cs="宋体"/>
                <w:sz w:val="18"/>
                <w:szCs w:val="18"/>
              </w:rPr>
              <w:t>维养需求等级</w:t>
            </w:r>
          </w:p>
        </w:tc>
        <w:tc>
          <w:tcPr>
            <w:tcW w:w="1180" w:type="pct"/>
            <w:vAlign w:val="center"/>
          </w:tcPr>
          <w:p>
            <w:pPr>
              <w:rPr>
                <w:rFonts w:ascii="宋体" w:hAnsi="宋体" w:cs="宋体"/>
                <w:sz w:val="18"/>
                <w:szCs w:val="18"/>
              </w:rPr>
            </w:pPr>
            <w:r>
              <w:rPr>
                <w:rFonts w:hint="eastAsia" w:ascii="宋体" w:hAnsi="宋体" w:cs="宋体"/>
                <w:sz w:val="18"/>
                <w:szCs w:val="18"/>
              </w:rPr>
              <w:t>I级</w:t>
            </w:r>
          </w:p>
        </w:tc>
        <w:tc>
          <w:tcPr>
            <w:tcW w:w="1180" w:type="pct"/>
            <w:vAlign w:val="center"/>
          </w:tcPr>
          <w:p>
            <w:pPr>
              <w:rPr>
                <w:rFonts w:ascii="宋体" w:hAnsi="宋体" w:cs="宋体"/>
                <w:sz w:val="18"/>
                <w:szCs w:val="18"/>
              </w:rPr>
            </w:pPr>
            <w:r>
              <w:rPr>
                <w:rFonts w:hint="eastAsia" w:ascii="宋体" w:hAnsi="宋体" w:cs="宋体"/>
                <w:sz w:val="18"/>
                <w:szCs w:val="18"/>
              </w:rPr>
              <w:t>II级</w:t>
            </w:r>
          </w:p>
        </w:tc>
        <w:tc>
          <w:tcPr>
            <w:tcW w:w="1180" w:type="pct"/>
            <w:vAlign w:val="center"/>
          </w:tcPr>
          <w:p>
            <w:pPr>
              <w:rPr>
                <w:rFonts w:ascii="宋体" w:hAnsi="宋体" w:cs="宋体"/>
                <w:sz w:val="18"/>
                <w:szCs w:val="18"/>
              </w:rPr>
            </w:pPr>
            <w:r>
              <w:rPr>
                <w:rFonts w:hint="eastAsia" w:ascii="宋体" w:hAnsi="宋体" w:cs="宋体"/>
                <w:sz w:val="18"/>
                <w:szCs w:val="18"/>
              </w:rPr>
              <w:t>III级</w:t>
            </w:r>
          </w:p>
        </w:tc>
      </w:tr>
      <w:bookmarkEnd w:id="242"/>
      <w:bookmarkEnd w:id="243"/>
      <w:bookmarkEnd w:id="244"/>
      <w:bookmarkEnd w:id="245"/>
    </w:tbl>
    <w:p>
      <w:pPr>
        <w:pStyle w:val="170"/>
      </w:pPr>
      <w:bookmarkStart w:id="248" w:name="_Toc204800577"/>
      <w:bookmarkEnd w:id="248"/>
      <w:bookmarkStart w:id="249" w:name="_Toc204800677"/>
      <w:bookmarkEnd w:id="249"/>
      <w:bookmarkStart w:id="250" w:name="_Toc204800678"/>
      <w:bookmarkEnd w:id="250"/>
      <w:bookmarkStart w:id="251" w:name="_Toc204800578"/>
      <w:bookmarkEnd w:id="251"/>
      <w:bookmarkStart w:id="252" w:name="_Toc204800761"/>
      <w:bookmarkEnd w:id="252"/>
      <w:bookmarkStart w:id="253" w:name="_Toc204800760"/>
      <w:bookmarkEnd w:id="253"/>
      <w:bookmarkStart w:id="254" w:name="_Toc204800759"/>
      <w:bookmarkEnd w:id="254"/>
      <w:bookmarkStart w:id="255" w:name="_Toc204800680"/>
      <w:bookmarkEnd w:id="255"/>
      <w:bookmarkStart w:id="256" w:name="_Toc204800580"/>
      <w:bookmarkEnd w:id="256"/>
      <w:bookmarkStart w:id="257" w:name="_Toc204800679"/>
      <w:bookmarkEnd w:id="257"/>
      <w:bookmarkStart w:id="258" w:name="_Toc204800762"/>
      <w:bookmarkEnd w:id="258"/>
      <w:bookmarkStart w:id="259" w:name="_Toc204800579"/>
      <w:bookmarkEnd w:id="259"/>
      <w:bookmarkStart w:id="260" w:name="_Toc198198081"/>
      <w:bookmarkStart w:id="261" w:name="_Toc198300120"/>
      <w:bookmarkStart w:id="262" w:name="_Toc198198352"/>
      <w:bookmarkStart w:id="263" w:name="_Toc204800763"/>
      <w:bookmarkStart w:id="264" w:name="_Toc198197314"/>
      <w:r>
        <w:rPr>
          <w:rFonts w:hint="eastAsia"/>
        </w:rPr>
        <w:t>I级病害应立即维养。</w:t>
      </w:r>
      <w:bookmarkEnd w:id="260"/>
      <w:bookmarkEnd w:id="261"/>
      <w:bookmarkEnd w:id="262"/>
      <w:bookmarkEnd w:id="263"/>
      <w:bookmarkEnd w:id="264"/>
    </w:p>
    <w:p>
      <w:pPr>
        <w:pStyle w:val="170"/>
      </w:pPr>
      <w:bookmarkStart w:id="265" w:name="_Toc198198082"/>
      <w:bookmarkStart w:id="266" w:name="_Toc198300121"/>
      <w:bookmarkStart w:id="267" w:name="_Toc198198353"/>
      <w:bookmarkStart w:id="268" w:name="_Toc198197315"/>
      <w:bookmarkStart w:id="269" w:name="_Toc204800764"/>
      <w:r>
        <w:rPr>
          <w:rFonts w:hint="eastAsia"/>
        </w:rPr>
        <w:t>II级病害宜按照综合加权得分排序依次维养。当道路的结构安全、运行安全、驾驶舒适或城市景观存在特殊需求时，可依据相应指数得分进行排序维养。</w:t>
      </w:r>
      <w:bookmarkEnd w:id="265"/>
      <w:bookmarkEnd w:id="266"/>
      <w:bookmarkEnd w:id="267"/>
      <w:bookmarkEnd w:id="268"/>
      <w:bookmarkEnd w:id="269"/>
      <w:r>
        <w:rPr>
          <w:rFonts w:hint="eastAsia"/>
        </w:rPr>
        <w:t>其中，暂未维养的病害宜每月定期巡查不少于一次。</w:t>
      </w:r>
    </w:p>
    <w:p>
      <w:pPr>
        <w:pStyle w:val="170"/>
      </w:pPr>
      <w:bookmarkStart w:id="270" w:name="_Toc204800765"/>
      <w:bookmarkStart w:id="271" w:name="_Toc198300122"/>
      <w:bookmarkStart w:id="272" w:name="_Toc198198354"/>
      <w:bookmarkStart w:id="273" w:name="_Toc198198083"/>
      <w:bookmarkStart w:id="274" w:name="_Toc198197316"/>
      <w:r>
        <w:rPr>
          <w:rFonts w:hint="eastAsia"/>
        </w:rPr>
        <w:t>III级病害可暂不维养，</w:t>
      </w:r>
      <w:bookmarkEnd w:id="270"/>
      <w:bookmarkEnd w:id="271"/>
      <w:bookmarkEnd w:id="272"/>
      <w:bookmarkEnd w:id="273"/>
      <w:bookmarkEnd w:id="274"/>
      <w:r>
        <w:rPr>
          <w:rFonts w:hint="eastAsia"/>
        </w:rPr>
        <w:t>宜每季度定期巡查不少于一次。</w:t>
      </w:r>
    </w:p>
    <w:p>
      <w:pPr>
        <w:pStyle w:val="170"/>
      </w:pPr>
      <w:r>
        <w:rPr>
          <w:rFonts w:hint="eastAsia"/>
        </w:rPr>
        <w:t>针对城镇交通高频次、高负荷的运行特点，应维养的病害宜采用快速维修技术。</w:t>
      </w:r>
    </w:p>
    <w:p>
      <w:pPr>
        <w:pStyle w:val="170"/>
      </w:pPr>
      <w:r>
        <w:rPr>
          <w:rFonts w:hint="eastAsia"/>
        </w:rPr>
        <w:t>城镇道路沥青路面病害维修技术应根据病害类型、病害特征、维修类别、施工环境及开放交通时限等因素综合确定，宜按表</w:t>
      </w:r>
      <w:r>
        <w:t>6</w:t>
      </w:r>
      <w:r>
        <w:rPr>
          <w:rFonts w:hint="eastAsia"/>
        </w:rPr>
        <w:t>进行选择。</w:t>
      </w:r>
    </w:p>
    <w:p>
      <w:pPr>
        <w:pStyle w:val="64"/>
        <w:ind w:firstLine="422"/>
        <w:jc w:val="center"/>
        <w:rPr>
          <w:b/>
          <w:bCs/>
        </w:rPr>
      </w:pPr>
      <w:r>
        <w:rPr>
          <w:rFonts w:hint="eastAsia"/>
          <w:b/>
          <w:bCs/>
        </w:rPr>
        <w:t>表</w:t>
      </w:r>
      <w:r>
        <w:rPr>
          <w:b/>
          <w:bCs/>
        </w:rPr>
        <w:t xml:space="preserve">6 </w:t>
      </w:r>
      <w:r>
        <w:rPr>
          <w:rFonts w:hint="eastAsia"/>
          <w:b/>
          <w:bCs/>
        </w:rPr>
        <w:t>城镇道路沥青路面病害维养需求</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957"/>
        <w:gridCol w:w="1914"/>
        <w:gridCol w:w="1914"/>
        <w:gridCol w:w="1914"/>
        <w:gridCol w:w="1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Align w:val="center"/>
          </w:tcPr>
          <w:p>
            <w:pPr>
              <w:spacing w:line="240" w:lineRule="auto"/>
              <w:jc w:val="center"/>
              <w:rPr>
                <w:rFonts w:ascii="宋体" w:hAnsi="宋体" w:cs="宋体"/>
                <w:sz w:val="18"/>
                <w:szCs w:val="18"/>
              </w:rPr>
            </w:pPr>
            <w:r>
              <w:rPr>
                <w:rFonts w:hint="eastAsia" w:ascii="宋体" w:hAnsi="宋体" w:cs="宋体"/>
                <w:sz w:val="18"/>
                <w:szCs w:val="18"/>
              </w:rPr>
              <w:t>病害类型</w:t>
            </w:r>
          </w:p>
        </w:tc>
        <w:tc>
          <w:tcPr>
            <w:tcW w:w="1000" w:type="pct"/>
            <w:vAlign w:val="center"/>
          </w:tcPr>
          <w:p>
            <w:pPr>
              <w:spacing w:line="240" w:lineRule="auto"/>
              <w:jc w:val="center"/>
              <w:rPr>
                <w:rFonts w:ascii="宋体" w:hAnsi="宋体" w:cs="宋体"/>
                <w:iCs/>
                <w:sz w:val="18"/>
                <w:szCs w:val="18"/>
              </w:rPr>
            </w:pPr>
            <w:r>
              <w:rPr>
                <w:rFonts w:hint="eastAsia" w:ascii="宋体" w:hAnsi="宋体" w:cs="宋体"/>
                <w:iCs/>
                <w:sz w:val="18"/>
                <w:szCs w:val="18"/>
              </w:rPr>
              <w:t>病害特征</w:t>
            </w:r>
          </w:p>
        </w:tc>
        <w:tc>
          <w:tcPr>
            <w:tcW w:w="1000" w:type="pct"/>
            <w:vAlign w:val="center"/>
          </w:tcPr>
          <w:p>
            <w:pPr>
              <w:spacing w:line="240" w:lineRule="auto"/>
              <w:jc w:val="center"/>
              <w:rPr>
                <w:rFonts w:ascii="宋体" w:hAnsi="宋体" w:cs="宋体"/>
                <w:iCs/>
                <w:sz w:val="18"/>
                <w:szCs w:val="18"/>
              </w:rPr>
            </w:pPr>
            <w:r>
              <w:rPr>
                <w:rFonts w:hint="eastAsia" w:ascii="宋体" w:hAnsi="宋体" w:cs="宋体"/>
                <w:iCs/>
                <w:sz w:val="18"/>
                <w:szCs w:val="18"/>
              </w:rPr>
              <w:t>维修类别</w:t>
            </w:r>
          </w:p>
        </w:tc>
        <w:tc>
          <w:tcPr>
            <w:tcW w:w="1000" w:type="pct"/>
            <w:vAlign w:val="center"/>
          </w:tcPr>
          <w:p>
            <w:pPr>
              <w:spacing w:line="240" w:lineRule="auto"/>
              <w:jc w:val="center"/>
              <w:rPr>
                <w:rFonts w:ascii="宋体" w:hAnsi="宋体" w:cs="宋体"/>
                <w:iCs/>
                <w:sz w:val="18"/>
                <w:szCs w:val="18"/>
              </w:rPr>
            </w:pPr>
            <w:r>
              <w:rPr>
                <w:rFonts w:hint="eastAsia" w:ascii="宋体" w:hAnsi="宋体" w:cs="宋体"/>
                <w:iCs/>
                <w:sz w:val="18"/>
                <w:szCs w:val="18"/>
              </w:rPr>
              <w:t>维修技术</w:t>
            </w:r>
          </w:p>
        </w:tc>
        <w:tc>
          <w:tcPr>
            <w:tcW w:w="1000" w:type="pct"/>
            <w:vAlign w:val="center"/>
          </w:tcPr>
          <w:p>
            <w:pPr>
              <w:jc w:val="center"/>
              <w:rPr>
                <w:rFonts w:ascii="宋体" w:hAnsi="宋体" w:cs="宋体"/>
                <w:iCs/>
                <w:sz w:val="18"/>
                <w:szCs w:val="18"/>
              </w:rPr>
            </w:pPr>
            <w:r>
              <w:rPr>
                <w:rFonts w:hint="eastAsia" w:ascii="宋体" w:hAnsi="宋体" w:cs="宋体"/>
                <w:iCs/>
                <w:sz w:val="18"/>
                <w:szCs w:val="18"/>
              </w:rPr>
              <w:t>适用范围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裂缝</w:t>
            </w:r>
          </w:p>
          <w:p>
            <w:pPr>
              <w:spacing w:line="240" w:lineRule="auto"/>
              <w:jc w:val="center"/>
              <w:rPr>
                <w:rFonts w:ascii="宋体" w:hAnsi="宋体" w:cs="宋体"/>
                <w:sz w:val="18"/>
                <w:szCs w:val="18"/>
              </w:rPr>
            </w:pPr>
          </w:p>
        </w:tc>
        <w:tc>
          <w:tcPr>
            <w:tcW w:w="5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横纵</w:t>
            </w:r>
          </w:p>
          <w:p>
            <w:pPr>
              <w:spacing w:line="240" w:lineRule="auto"/>
              <w:jc w:val="center"/>
              <w:rPr>
                <w:rFonts w:ascii="宋体" w:hAnsi="宋体" w:cs="宋体"/>
                <w:sz w:val="18"/>
                <w:szCs w:val="18"/>
              </w:rPr>
            </w:pPr>
            <w:r>
              <w:rPr>
                <w:rFonts w:hint="eastAsia" w:ascii="宋体" w:hAnsi="宋体" w:cs="宋体"/>
                <w:sz w:val="18"/>
                <w:szCs w:val="18"/>
              </w:rPr>
              <w:t>裂缝</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d＜1</w:t>
            </w:r>
            <w:r>
              <w:rPr>
                <w:rFonts w:ascii="宋体" w:hAnsi="宋体" w:cs="宋体"/>
                <w:sz w:val="18"/>
                <w:szCs w:val="18"/>
              </w:rPr>
              <w:t>0</w:t>
            </w:r>
            <w:r>
              <w:rPr>
                <w:rFonts w:hint="eastAsia" w:ascii="宋体" w:hAnsi="宋体" w:cs="宋体"/>
                <w:sz w:val="18"/>
                <w:szCs w:val="18"/>
              </w:rPr>
              <w:t>mm</w:t>
            </w:r>
          </w:p>
        </w:tc>
        <w:tc>
          <w:tcPr>
            <w:tcW w:w="1000" w:type="pct"/>
            <w:tcBorders>
              <w:top w:val="single" w:color="000000" w:sz="8" w:space="0"/>
              <w:left w:val="single" w:color="000000" w:sz="8" w:space="0"/>
              <w:right w:val="single" w:color="000000" w:sz="8" w:space="0"/>
            </w:tcBorders>
            <w:shd w:val="clear" w:color="auto" w:fill="FFFFFF"/>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灌缝、贴缝</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适用于非结构性表面裂缝的封闭处治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continue"/>
            <w:vAlign w:val="center"/>
          </w:tcPr>
          <w:p>
            <w:pPr>
              <w:spacing w:line="240" w:lineRule="auto"/>
              <w:jc w:val="center"/>
              <w:rPr>
                <w:rFonts w:ascii="宋体" w:hAnsi="宋体" w:cs="宋体"/>
                <w:sz w:val="18"/>
                <w:szCs w:val="18"/>
              </w:rPr>
            </w:pP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d≥1</w:t>
            </w:r>
            <w:r>
              <w:rPr>
                <w:rFonts w:ascii="宋体" w:hAnsi="宋体" w:cs="宋体"/>
                <w:sz w:val="18"/>
                <w:szCs w:val="18"/>
              </w:rPr>
              <w:t>0</w:t>
            </w:r>
            <w:r>
              <w:rPr>
                <w:rFonts w:hint="eastAsia" w:ascii="宋体" w:hAnsi="宋体" w:cs="宋体"/>
                <w:sz w:val="18"/>
                <w:szCs w:val="18"/>
              </w:rPr>
              <w:t>mm</w:t>
            </w:r>
          </w:p>
        </w:tc>
        <w:tc>
          <w:tcPr>
            <w:tcW w:w="1000" w:type="pct"/>
            <w:vMerge w:val="restart"/>
            <w:tcBorders>
              <w:left w:val="single" w:color="000000" w:sz="8" w:space="0"/>
              <w:right w:val="single" w:color="000000" w:sz="8" w:space="0"/>
            </w:tcBorders>
            <w:shd w:val="clear" w:color="auto" w:fill="FFFFFF"/>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高聚物注浆</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适用于以沥青面层内部裂缝为主的病害处治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tcBorders>
              <w:left w:val="single" w:color="000000" w:sz="8" w:space="0"/>
              <w:right w:val="single" w:color="000000" w:sz="8" w:space="0"/>
            </w:tcBorders>
            <w:shd w:val="clear" w:color="auto" w:fill="FFFFFF"/>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地聚物注浆</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适用于基层或路基局部病害引起的裂缝处治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龟裂</w:t>
            </w:r>
          </w:p>
        </w:tc>
        <w:tc>
          <w:tcPr>
            <w:tcW w:w="1000" w:type="pct"/>
            <w:vMerge w:val="continue"/>
            <w:vAlign w:val="center"/>
          </w:tcPr>
          <w:p>
            <w:pPr>
              <w:spacing w:line="240" w:lineRule="auto"/>
              <w:jc w:val="center"/>
              <w:rPr>
                <w:rFonts w:ascii="宋体" w:hAnsi="宋体" w:cs="宋体"/>
                <w:sz w:val="18"/>
                <w:szCs w:val="18"/>
              </w:rPr>
            </w:pPr>
          </w:p>
        </w:tc>
        <w:tc>
          <w:tcPr>
            <w:tcW w:w="1000" w:type="pct"/>
            <w:tcBorders>
              <w:left w:val="single" w:color="000000" w:sz="8" w:space="0"/>
              <w:bottom w:val="single" w:color="000000" w:sz="8" w:space="0"/>
              <w:right w:val="single" w:color="000000" w:sz="8" w:space="0"/>
            </w:tcBorders>
            <w:shd w:val="clear" w:color="auto" w:fill="FFFFFF"/>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带状挖补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适用于由基层或路基病害引起的结构性裂缝，处治深度应达到受损结构层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坑槽快速维修技术</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适用于局部龟裂病害，可按坑槽修补方法进行处治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局部铣刨重铺</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适用于病害范围较大或面层破损较严重的龟裂处治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块状裂缝</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S＜4</w:t>
            </w:r>
            <w:r>
              <w:rPr>
                <w:rFonts w:ascii="宋体" w:hAnsi="宋体" w:cs="宋体"/>
                <w:sz w:val="18"/>
                <w:szCs w:val="18"/>
              </w:rPr>
              <w:t>0</w:t>
            </w:r>
            <w:r>
              <w:rPr>
                <w:rFonts w:hint="eastAsia" w:ascii="宋体" w:hAnsi="宋体" w:cs="宋体"/>
                <w:sz w:val="18"/>
                <w:szCs w:val="18"/>
              </w:rPr>
              <w:t>m</w:t>
            </w:r>
            <w:r>
              <w:rPr>
                <w:rFonts w:ascii="宋体" w:hAnsi="宋体" w:cs="宋体"/>
                <w:sz w:val="18"/>
                <w:szCs w:val="18"/>
                <w:vertAlign w:val="superscript"/>
              </w:rPr>
              <w:t>2</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灌缝、贴缝</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适用于以表面裂缝为主、路面结构整体稳定的块状裂缝处治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高聚物注浆</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适用于以沥青面层内部裂缝为主的块状裂缝处治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0" w:type="pct"/>
            <w:vMerge w:val="continue"/>
            <w:vAlign w:val="center"/>
          </w:tcPr>
          <w:p>
            <w:pPr>
              <w:spacing w:line="240" w:lineRule="auto"/>
              <w:jc w:val="center"/>
              <w:rPr>
                <w:rFonts w:ascii="宋体" w:hAnsi="宋体" w:cs="宋体"/>
                <w:sz w:val="18"/>
                <w:szCs w:val="18"/>
              </w:rPr>
            </w:pPr>
          </w:p>
        </w:tc>
        <w:tc>
          <w:tcPr>
            <w:tcW w:w="5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S≥4</w:t>
            </w:r>
            <w:r>
              <w:rPr>
                <w:rFonts w:ascii="宋体" w:hAnsi="宋体" w:cs="宋体"/>
                <w:sz w:val="18"/>
                <w:szCs w:val="18"/>
              </w:rPr>
              <w:t>0</w:t>
            </w:r>
            <w:r>
              <w:rPr>
                <w:rFonts w:hint="eastAsia" w:ascii="宋体" w:hAnsi="宋体" w:cs="宋体"/>
                <w:sz w:val="18"/>
                <w:szCs w:val="18"/>
              </w:rPr>
              <w:t>m</w:t>
            </w:r>
            <w:r>
              <w:rPr>
                <w:rFonts w:ascii="宋体" w:hAnsi="宋体" w:cs="宋体"/>
                <w:sz w:val="18"/>
                <w:szCs w:val="18"/>
                <w:vertAlign w:val="superscript"/>
              </w:rPr>
              <w:t>2</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铣刨重铺</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适用于病害范围较大或裂缝伴随明显面层破损的块状裂缝处治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坑槽</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冷料冷补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适用于应急抢修或不具备热拌施工条件的坑槽处治，必要时后续实施永久性修复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免养生溶剂型冷补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适用于需快速开放交通条件下的坑槽修补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免养生环保型冷补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适用于需快速开放交通且对施工环境要求较高的坑槽修补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短养生水激发冷补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适用于潮湿或多雨条件下的坑槽快速修补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就地热修补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适用于沥青面层局部病害的现场加热再生修补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热料热补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适用于具备热拌混合料供应条件的集中维修作业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车辙</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d≤5mm</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微表处</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适用于以表面功能恢复为主的轻、中度车辙处治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5mm＜d＜1</w:t>
            </w:r>
            <w:r>
              <w:rPr>
                <w:rFonts w:ascii="宋体" w:hAnsi="宋体" w:cs="宋体"/>
                <w:sz w:val="18"/>
                <w:szCs w:val="18"/>
              </w:rPr>
              <w:t>5</w:t>
            </w:r>
            <w:r>
              <w:rPr>
                <w:rFonts w:hint="eastAsia" w:ascii="宋体" w:hAnsi="宋体" w:cs="宋体"/>
                <w:sz w:val="18"/>
                <w:szCs w:val="18"/>
              </w:rPr>
              <w:t>mm</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超薄罩面</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适用于以表面功能恢复为主的轻、中度车辙处治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d≥1</w:t>
            </w:r>
            <w:r>
              <w:rPr>
                <w:rFonts w:ascii="宋体" w:hAnsi="宋体" w:cs="宋体"/>
                <w:sz w:val="18"/>
                <w:szCs w:val="18"/>
              </w:rPr>
              <w:t>5</w:t>
            </w:r>
            <w:r>
              <w:rPr>
                <w:rFonts w:hint="eastAsia" w:ascii="宋体" w:hAnsi="宋体" w:cs="宋体"/>
                <w:sz w:val="18"/>
                <w:szCs w:val="18"/>
              </w:rPr>
              <w:t>mm</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局部铣刨重铺</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适用于局部较严重车辙或面层材料失稳病害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铣刨重铺</w:t>
            </w:r>
          </w:p>
        </w:tc>
        <w:tc>
          <w:tcPr>
            <w:tcW w:w="1000" w:type="pct"/>
            <w:vMerge w:val="continue"/>
            <w:vAlign w:val="center"/>
          </w:tcPr>
          <w:p>
            <w:pPr>
              <w:spacing w:line="240" w:lineRule="auto"/>
              <w:jc w:val="center"/>
              <w:rPr>
                <w:rFonts w:ascii="宋体" w:hAnsi="宋体" w:cs="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拥包</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短养生环氧基冷补</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适用于对高温稳定性和抗推移性能要求较高的局部拥包修补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w:t>
            </w:r>
          </w:p>
        </w:tc>
        <w:tc>
          <w:tcPr>
            <w:tcW w:w="1000" w:type="pct"/>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就地热再生</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适用于沥青面层材料可再生且具备专用施工设备条件的拥包处治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局部铣刨重铺</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铣平波浪拥包的鼓起部分，波谷部位填充热拌沥青混合料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整体铣刨重铺</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适用于病害范围较大或面层整体失稳的拥包处治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restart"/>
            <w:vAlign w:val="center"/>
          </w:tcPr>
          <w:p>
            <w:pPr>
              <w:spacing w:line="240" w:lineRule="auto"/>
              <w:jc w:val="center"/>
              <w:rPr>
                <w:rFonts w:ascii="宋体" w:hAnsi="宋体" w:cs="宋体"/>
                <w:sz w:val="18"/>
                <w:szCs w:val="18"/>
              </w:rPr>
            </w:pPr>
            <w:r>
              <w:rPr>
                <w:rFonts w:hint="eastAsia" w:ascii="宋体" w:hAnsi="宋体" w:cs="宋体"/>
                <w:sz w:val="18"/>
                <w:szCs w:val="18"/>
              </w:rPr>
              <w:t>沉陷</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d</w:t>
            </w:r>
            <w:r>
              <w:rPr>
                <w:rFonts w:ascii="宋体" w:hAnsi="宋体" w:cs="宋体"/>
                <w:sz w:val="18"/>
                <w:szCs w:val="18"/>
              </w:rPr>
              <w:t>&lt;20mm</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快速维修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沥青混合料填补整平</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适用于路面略有下沉、无破损或仅有少量轻微裂缝时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00" w:type="pct"/>
            <w:gridSpan w:val="2"/>
            <w:vMerge w:val="continue"/>
            <w:vAlign w:val="center"/>
          </w:tcPr>
          <w:p>
            <w:pPr>
              <w:spacing w:line="240" w:lineRule="auto"/>
              <w:jc w:val="center"/>
              <w:rPr>
                <w:rFonts w:ascii="宋体" w:hAnsi="宋体" w:cs="宋体"/>
                <w:sz w:val="18"/>
                <w:szCs w:val="18"/>
              </w:rPr>
            </w:pP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d≥2</w:t>
            </w:r>
            <w:r>
              <w:rPr>
                <w:rFonts w:ascii="宋体" w:hAnsi="宋体" w:cs="宋体"/>
                <w:sz w:val="18"/>
                <w:szCs w:val="18"/>
              </w:rPr>
              <w:t>0</w:t>
            </w:r>
            <w:r>
              <w:rPr>
                <w:rFonts w:hint="eastAsia" w:ascii="宋体" w:hAnsi="宋体" w:cs="宋体"/>
                <w:sz w:val="18"/>
                <w:szCs w:val="18"/>
              </w:rPr>
              <w:t>mm</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常规维修</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结构性铣刨重铺</w:t>
            </w:r>
          </w:p>
        </w:tc>
        <w:tc>
          <w:tcPr>
            <w:tcW w:w="1000" w:type="pct"/>
            <w:vAlign w:val="center"/>
          </w:tcPr>
          <w:p>
            <w:pPr>
              <w:spacing w:line="240" w:lineRule="auto"/>
              <w:jc w:val="center"/>
              <w:rPr>
                <w:rFonts w:ascii="宋体" w:hAnsi="宋体" w:cs="宋体"/>
                <w:sz w:val="18"/>
                <w:szCs w:val="18"/>
              </w:rPr>
            </w:pPr>
            <w:r>
              <w:rPr>
                <w:rFonts w:hint="eastAsia" w:ascii="宋体" w:hAnsi="宋体" w:cs="宋体"/>
                <w:sz w:val="18"/>
                <w:szCs w:val="18"/>
              </w:rPr>
              <w:t>适用于由基层、路基或桥涵台背等结构性病因引起的沉陷处治</w:t>
            </w:r>
          </w:p>
        </w:tc>
      </w:tr>
    </w:tbl>
    <w:p>
      <w:pPr>
        <w:pStyle w:val="170"/>
      </w:pPr>
      <w:r>
        <w:rPr>
          <w:rFonts w:hint="eastAsia"/>
        </w:rPr>
        <w:t>路面病害处治宜根据病害影响层位和范围合理确定处治层级。沉陷宜采用结构性处治，车辙、拥包宜采用面状处治，裂缝和坑槽宜采用局部点线状处治。当同一路段存在多类病害或病害相互关联时，处治顺序宜按照结构性处治、面状处治、局部点线状处治的顺序确定。</w:t>
      </w:r>
    </w:p>
    <w:p>
      <w:pPr>
        <w:pStyle w:val="112"/>
        <w:numPr>
          <w:ilvl w:val="0"/>
          <w:numId w:val="34"/>
        </w:numPr>
        <w:spacing w:before="312" w:after="312"/>
      </w:pPr>
      <w:bookmarkStart w:id="275" w:name="_Toc240476553"/>
      <w:r>
        <w:rPr>
          <w:rFonts w:hint="eastAsia"/>
        </w:rPr>
        <w:t>裂缝病害快速维修技术</w:t>
      </w:r>
      <w:bookmarkEnd w:id="275"/>
    </w:p>
    <w:p>
      <w:pPr>
        <w:pStyle w:val="265"/>
        <w:numPr>
          <w:ilvl w:val="1"/>
          <w:numId w:val="34"/>
        </w:numPr>
        <w:wordWrap/>
        <w:spacing w:before="156" w:after="156"/>
        <w:outlineLvl w:val="1"/>
      </w:pPr>
      <w:r>
        <w:rPr>
          <w:rFonts w:hint="eastAsia"/>
        </w:rPr>
        <w:t>裂缝处治一般要求</w:t>
      </w:r>
    </w:p>
    <w:p>
      <w:pPr>
        <w:pStyle w:val="243"/>
        <w:widowControl/>
        <w:numPr>
          <w:ilvl w:val="1"/>
          <w:numId w:val="2"/>
        </w:numPr>
        <w:wordWrap/>
        <w:autoSpaceDE/>
        <w:autoSpaceDN/>
        <w:spacing w:before="312" w:beforeLines="100" w:after="312" w:afterLines="100"/>
        <w:ind w:firstLineChars="0"/>
        <w:outlineLvl w:val="0"/>
        <w:rPr>
          <w:rFonts w:ascii="黑体" w:hAnsi="Times New Roman" w:eastAsia="宋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宋体" w:cs="Times New Roman"/>
          <w:vanish/>
          <w:kern w:val="0"/>
          <w:szCs w:val="20"/>
        </w:rPr>
      </w:pPr>
    </w:p>
    <w:p>
      <w:pPr>
        <w:pStyle w:val="173"/>
        <w:ind w:left="0"/>
      </w:pPr>
      <w:r>
        <w:rPr>
          <w:rFonts w:hint="eastAsia"/>
        </w:rPr>
        <w:t>裂缝处治时机应根据裂缝类型特点、严重程度及原因确定，并采取适宜的处治措施，及时进行裂缝封闭。</w:t>
      </w:r>
    </w:p>
    <w:p>
      <w:pPr>
        <w:pStyle w:val="173"/>
        <w:ind w:left="0"/>
      </w:pPr>
      <w:r>
        <w:rPr>
          <w:rFonts w:hint="eastAsia"/>
        </w:rPr>
        <w:t>裂缝处治可采用灌缝、贴缝、带状挖补方式，或进行组合使用。</w:t>
      </w:r>
    </w:p>
    <w:p>
      <w:pPr>
        <w:pStyle w:val="173"/>
        <w:ind w:left="0"/>
      </w:pPr>
      <w:r>
        <w:rPr>
          <w:rFonts w:hint="eastAsia"/>
        </w:rPr>
        <w:t>裂缝宽度在10mm以内的，宜采用灌缝机进行灌缝处理。</w:t>
      </w:r>
    </w:p>
    <w:p>
      <w:pPr>
        <w:pStyle w:val="173"/>
        <w:ind w:left="0"/>
      </w:pPr>
      <w:r>
        <w:rPr>
          <w:rFonts w:hint="eastAsia"/>
        </w:rPr>
        <w:t>裂缝宽度在10mm及以上的，应除去已松动的裂缝边缘，清除缝中杂物，用细粒式热拌沥青混合料或乳化沥青混合料进行处理。</w:t>
      </w:r>
    </w:p>
    <w:p>
      <w:pPr>
        <w:pStyle w:val="173"/>
        <w:ind w:left="0"/>
      </w:pPr>
      <w:r>
        <w:rPr>
          <w:rFonts w:hint="eastAsia"/>
        </w:rPr>
        <w:t>因基层及土基强度不足引起的裂缝，应先处理基层和土基后，再修复面层。</w:t>
      </w:r>
    </w:p>
    <w:p>
      <w:pPr>
        <w:pStyle w:val="173"/>
        <w:ind w:left="0"/>
      </w:pPr>
      <w:r>
        <w:rPr>
          <w:rFonts w:hint="eastAsia"/>
        </w:rPr>
        <w:t>裂缝处治后出现明显变形、唧泥等破坏的，应采用带状挖补方法进行彻底处理，对损坏的基层宜采用大粒径透水性沥青混合料进行回填处理,面层应采用与原沥青混凝土面层相同的材料进行修补，并做好纵横向排水沟处理措施。</w:t>
      </w:r>
    </w:p>
    <w:p>
      <w:pPr>
        <w:pStyle w:val="173"/>
        <w:ind w:left="0"/>
      </w:pPr>
      <w:r>
        <w:rPr>
          <w:rFonts w:hint="eastAsia"/>
        </w:rPr>
        <w:t>重度局部块裂、龟裂应按坑槽修补方法进行。</w:t>
      </w:r>
    </w:p>
    <w:p>
      <w:pPr>
        <w:pStyle w:val="265"/>
        <w:numPr>
          <w:ilvl w:val="1"/>
          <w:numId w:val="34"/>
        </w:numPr>
        <w:wordWrap/>
        <w:spacing w:before="156" w:after="156"/>
        <w:outlineLvl w:val="1"/>
      </w:pPr>
      <w:r>
        <w:rPr>
          <w:rFonts w:hint="eastAsia"/>
        </w:rPr>
        <w:t>灌缝与贴缝</w:t>
      </w:r>
    </w:p>
    <w:p>
      <w:pPr>
        <w:spacing w:line="240" w:lineRule="auto"/>
        <w:rPr>
          <w:rFonts w:ascii="宋体" w:hAnsi="宋体"/>
          <w:kern w:val="0"/>
          <w:szCs w:val="20"/>
        </w:rPr>
      </w:pPr>
      <w:r>
        <w:rPr>
          <w:rFonts w:hint="eastAsia" w:ascii="黑体" w:hAnsi="黑体" w:eastAsia="黑体"/>
          <w:kern w:val="0"/>
          <w:szCs w:val="20"/>
        </w:rPr>
        <w:t xml:space="preserve">12.2.1 </w:t>
      </w:r>
      <w:r>
        <w:rPr>
          <w:rFonts w:hint="eastAsia" w:ascii="宋体" w:hAnsi="宋体"/>
          <w:kern w:val="0"/>
          <w:szCs w:val="20"/>
        </w:rPr>
        <w:t>灌缝胶材料技术要求应符合现行行业标准JT/T740的有关规定。</w:t>
      </w:r>
    </w:p>
    <w:p>
      <w:pPr>
        <w:spacing w:line="240" w:lineRule="auto"/>
        <w:rPr>
          <w:rFonts w:ascii="宋体" w:hAnsi="宋体"/>
          <w:kern w:val="0"/>
          <w:szCs w:val="20"/>
        </w:rPr>
      </w:pPr>
      <w:r>
        <w:rPr>
          <w:rFonts w:hint="eastAsia" w:ascii="黑体" w:hAnsi="黑体" w:eastAsia="黑体"/>
          <w:kern w:val="0"/>
          <w:szCs w:val="20"/>
        </w:rPr>
        <w:t xml:space="preserve">12.2.2 </w:t>
      </w:r>
      <w:r>
        <w:rPr>
          <w:rFonts w:hint="eastAsia" w:ascii="宋体" w:hAnsi="宋体"/>
          <w:kern w:val="0"/>
          <w:szCs w:val="20"/>
        </w:rPr>
        <w:t>贴缝胶材料技术要求应符合现行行业标准JT/T 969的有关规定。</w:t>
      </w:r>
    </w:p>
    <w:p>
      <w:pPr>
        <w:spacing w:line="240" w:lineRule="auto"/>
        <w:rPr>
          <w:rFonts w:ascii="宋体" w:hAnsi="宋体"/>
          <w:kern w:val="0"/>
          <w:szCs w:val="20"/>
        </w:rPr>
      </w:pPr>
      <w:r>
        <w:rPr>
          <w:rFonts w:hint="eastAsia" w:ascii="宋体" w:hAnsi="宋体"/>
          <w:kern w:val="0"/>
          <w:szCs w:val="20"/>
        </w:rPr>
        <w:t>1</w:t>
      </w:r>
      <w:r>
        <w:rPr>
          <w:rFonts w:ascii="宋体" w:hAnsi="宋体"/>
          <w:kern w:val="0"/>
          <w:szCs w:val="20"/>
        </w:rPr>
        <w:t xml:space="preserve">2.2.3 </w:t>
      </w:r>
      <w:r>
        <w:rPr>
          <w:rFonts w:hint="eastAsia" w:ascii="宋体" w:hAnsi="宋体"/>
          <w:kern w:val="0"/>
          <w:szCs w:val="20"/>
        </w:rPr>
        <w:t>灌缝与贴缝施工技术要求应符合现行行业标准CJJ 36的有关规定。</w:t>
      </w:r>
    </w:p>
    <w:p>
      <w:pPr>
        <w:pStyle w:val="265"/>
        <w:numPr>
          <w:ilvl w:val="1"/>
          <w:numId w:val="34"/>
        </w:numPr>
        <w:wordWrap/>
        <w:spacing w:before="156" w:after="156"/>
        <w:outlineLvl w:val="1"/>
      </w:pPr>
      <w:r>
        <w:rPr>
          <w:rFonts w:hint="eastAsia"/>
        </w:rPr>
        <w:t>高聚物注浆</w:t>
      </w:r>
    </w:p>
    <w:p>
      <w:pPr>
        <w:spacing w:line="240" w:lineRule="auto"/>
        <w:rPr>
          <w:rFonts w:ascii="宋体" w:hAnsi="宋体"/>
          <w:kern w:val="0"/>
          <w:szCs w:val="20"/>
        </w:rPr>
      </w:pPr>
      <w:r>
        <w:rPr>
          <w:rFonts w:hint="eastAsia" w:ascii="宋体" w:hAnsi="宋体"/>
          <w:kern w:val="0"/>
          <w:szCs w:val="20"/>
        </w:rPr>
        <w:t>12.3.1 高聚物注浆材料</w:t>
      </w:r>
    </w:p>
    <w:p>
      <w:pPr>
        <w:spacing w:line="240" w:lineRule="auto"/>
        <w:rPr>
          <w:rFonts w:ascii="宋体" w:hAnsi="宋体"/>
          <w:kern w:val="0"/>
          <w:szCs w:val="20"/>
        </w:rPr>
      </w:pPr>
      <w:r>
        <w:rPr>
          <w:rFonts w:hint="eastAsia" w:ascii="宋体" w:hAnsi="宋体"/>
          <w:kern w:val="0"/>
          <w:szCs w:val="20"/>
        </w:rPr>
        <w:t>12.3.1.1双组分混合后形成的高聚物注浆材料性能应符合表</w:t>
      </w:r>
      <w:r>
        <w:rPr>
          <w:rFonts w:ascii="宋体" w:hAnsi="宋体"/>
          <w:kern w:val="0"/>
          <w:szCs w:val="20"/>
        </w:rPr>
        <w:t>7</w:t>
      </w:r>
      <w:r>
        <w:rPr>
          <w:rFonts w:hint="eastAsia" w:ascii="宋体" w:hAnsi="宋体"/>
          <w:kern w:val="0"/>
          <w:szCs w:val="20"/>
        </w:rPr>
        <w:t>要求。</w:t>
      </w:r>
    </w:p>
    <w:p>
      <w:pPr>
        <w:spacing w:line="240" w:lineRule="auto"/>
        <w:jc w:val="center"/>
        <w:rPr>
          <w:rFonts w:ascii="宋体" w:hAnsi="宋体"/>
          <w:kern w:val="0"/>
          <w:szCs w:val="20"/>
        </w:rPr>
      </w:pPr>
      <w:r>
        <w:rPr>
          <w:rFonts w:hint="eastAsia" w:ascii="宋体" w:hAnsi="宋体"/>
          <w:kern w:val="0"/>
          <w:szCs w:val="20"/>
        </w:rPr>
        <w:t>表</w:t>
      </w:r>
      <w:r>
        <w:rPr>
          <w:rFonts w:ascii="宋体" w:hAnsi="宋体"/>
          <w:kern w:val="0"/>
          <w:szCs w:val="20"/>
        </w:rPr>
        <w:t>7</w:t>
      </w:r>
      <w:r>
        <w:rPr>
          <w:rFonts w:hint="eastAsia" w:ascii="宋体" w:hAnsi="宋体"/>
          <w:kern w:val="0"/>
          <w:szCs w:val="20"/>
        </w:rPr>
        <w:t xml:space="preserve"> 高聚物注浆材料性能要求</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2336"/>
        <w:gridCol w:w="2336"/>
        <w:gridCol w:w="2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tcPr>
          <w:p>
            <w:pPr>
              <w:spacing w:line="240" w:lineRule="auto"/>
              <w:jc w:val="center"/>
              <w:rPr>
                <w:rFonts w:ascii="宋体" w:hAnsi="宋体"/>
                <w:kern w:val="0"/>
                <w:szCs w:val="20"/>
              </w:rPr>
            </w:pPr>
            <w:r>
              <w:rPr>
                <w:rFonts w:hint="eastAsia" w:ascii="宋体" w:hAnsi="宋体"/>
                <w:kern w:val="0"/>
                <w:szCs w:val="20"/>
              </w:rPr>
              <w:t>检测项目</w:t>
            </w:r>
          </w:p>
        </w:tc>
        <w:tc>
          <w:tcPr>
            <w:tcW w:w="2336" w:type="dxa"/>
          </w:tcPr>
          <w:p>
            <w:pPr>
              <w:spacing w:line="240" w:lineRule="auto"/>
              <w:jc w:val="center"/>
              <w:rPr>
                <w:rFonts w:ascii="宋体" w:hAnsi="宋体"/>
                <w:kern w:val="0"/>
                <w:szCs w:val="20"/>
              </w:rPr>
            </w:pPr>
            <w:r>
              <w:rPr>
                <w:rFonts w:hint="eastAsia" w:ascii="宋体" w:hAnsi="宋体"/>
                <w:kern w:val="0"/>
                <w:szCs w:val="20"/>
              </w:rPr>
              <w:t>单位</w:t>
            </w:r>
          </w:p>
        </w:tc>
        <w:tc>
          <w:tcPr>
            <w:tcW w:w="2336" w:type="dxa"/>
          </w:tcPr>
          <w:p>
            <w:pPr>
              <w:spacing w:line="240" w:lineRule="auto"/>
              <w:jc w:val="center"/>
              <w:rPr>
                <w:rFonts w:ascii="宋体" w:hAnsi="宋体"/>
                <w:kern w:val="0"/>
                <w:szCs w:val="20"/>
              </w:rPr>
            </w:pPr>
            <w:r>
              <w:rPr>
                <w:rFonts w:hint="eastAsia" w:ascii="宋体" w:hAnsi="宋体"/>
                <w:kern w:val="0"/>
                <w:szCs w:val="20"/>
              </w:rPr>
              <w:t>技术要求</w:t>
            </w:r>
          </w:p>
        </w:tc>
        <w:tc>
          <w:tcPr>
            <w:tcW w:w="2336" w:type="dxa"/>
          </w:tcPr>
          <w:p>
            <w:pPr>
              <w:spacing w:line="240" w:lineRule="auto"/>
              <w:jc w:val="center"/>
              <w:rPr>
                <w:rFonts w:ascii="宋体" w:hAnsi="宋体"/>
                <w:kern w:val="0"/>
                <w:szCs w:val="20"/>
              </w:rPr>
            </w:pPr>
            <w:r>
              <w:rPr>
                <w:rFonts w:hint="eastAsia" w:ascii="宋体" w:hAnsi="宋体"/>
                <w:kern w:val="0"/>
                <w:szCs w:val="20"/>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tcPr>
          <w:p>
            <w:pPr>
              <w:spacing w:line="240" w:lineRule="auto"/>
              <w:jc w:val="center"/>
              <w:rPr>
                <w:rFonts w:ascii="宋体" w:hAnsi="宋体"/>
                <w:kern w:val="0"/>
                <w:szCs w:val="20"/>
              </w:rPr>
            </w:pPr>
            <w:r>
              <w:rPr>
                <w:rFonts w:hint="eastAsia" w:ascii="宋体" w:hAnsi="宋体"/>
                <w:kern w:val="0"/>
                <w:szCs w:val="20"/>
              </w:rPr>
              <w:t>固化时间</w:t>
            </w:r>
          </w:p>
        </w:tc>
        <w:tc>
          <w:tcPr>
            <w:tcW w:w="2336" w:type="dxa"/>
          </w:tcPr>
          <w:p>
            <w:pPr>
              <w:spacing w:line="240" w:lineRule="auto"/>
              <w:jc w:val="center"/>
              <w:rPr>
                <w:rFonts w:ascii="宋体" w:hAnsi="宋体"/>
                <w:kern w:val="0"/>
                <w:szCs w:val="20"/>
              </w:rPr>
            </w:pPr>
            <w:r>
              <w:rPr>
                <w:rFonts w:hint="eastAsia" w:ascii="宋体" w:hAnsi="宋体"/>
                <w:kern w:val="0"/>
                <w:szCs w:val="20"/>
              </w:rPr>
              <w:t>min</w:t>
            </w:r>
          </w:p>
        </w:tc>
        <w:tc>
          <w:tcPr>
            <w:tcW w:w="2336" w:type="dxa"/>
          </w:tcPr>
          <w:p>
            <w:pPr>
              <w:spacing w:line="240" w:lineRule="auto"/>
              <w:jc w:val="center"/>
              <w:rPr>
                <w:rFonts w:ascii="宋体" w:hAnsi="宋体"/>
                <w:kern w:val="0"/>
                <w:szCs w:val="20"/>
              </w:rPr>
            </w:pPr>
            <w:r>
              <w:rPr>
                <w:rFonts w:hint="eastAsia" w:ascii="宋体" w:hAnsi="宋体"/>
                <w:kern w:val="0"/>
                <w:szCs w:val="20"/>
              </w:rPr>
              <w:t>≤18</w:t>
            </w:r>
          </w:p>
        </w:tc>
        <w:tc>
          <w:tcPr>
            <w:tcW w:w="2336" w:type="dxa"/>
          </w:tcPr>
          <w:p>
            <w:pPr>
              <w:spacing w:line="240" w:lineRule="auto"/>
              <w:jc w:val="center"/>
              <w:rPr>
                <w:rFonts w:ascii="宋体" w:hAnsi="宋体"/>
                <w:kern w:val="0"/>
                <w:szCs w:val="20"/>
              </w:rPr>
            </w:pPr>
            <w:r>
              <w:rPr>
                <w:rFonts w:hint="eastAsia" w:ascii="宋体" w:hAnsi="宋体"/>
                <w:kern w:val="0"/>
                <w:szCs w:val="20"/>
              </w:rPr>
              <w:t>JT/T 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tcPr>
          <w:p>
            <w:pPr>
              <w:spacing w:line="240" w:lineRule="auto"/>
              <w:jc w:val="center"/>
              <w:rPr>
                <w:rFonts w:ascii="宋体" w:hAnsi="宋体"/>
                <w:kern w:val="0"/>
                <w:szCs w:val="20"/>
              </w:rPr>
            </w:pPr>
            <w:r>
              <w:rPr>
                <w:rFonts w:hint="eastAsia" w:ascii="宋体" w:hAnsi="宋体"/>
                <w:kern w:val="0"/>
                <w:szCs w:val="20"/>
              </w:rPr>
              <w:t>自由发泡密度</w:t>
            </w:r>
          </w:p>
        </w:tc>
        <w:tc>
          <w:tcPr>
            <w:tcW w:w="2336" w:type="dxa"/>
          </w:tcPr>
          <w:p>
            <w:pPr>
              <w:spacing w:line="240" w:lineRule="auto"/>
              <w:jc w:val="center"/>
              <w:rPr>
                <w:rFonts w:ascii="宋体" w:hAnsi="宋体"/>
                <w:kern w:val="0"/>
                <w:szCs w:val="20"/>
                <w:vertAlign w:val="superscript"/>
              </w:rPr>
            </w:pPr>
            <w:r>
              <w:rPr>
                <w:rFonts w:hint="eastAsia" w:ascii="宋体" w:hAnsi="宋体"/>
                <w:kern w:val="0"/>
                <w:szCs w:val="20"/>
              </w:rPr>
              <w:t>Kg/m</w:t>
            </w:r>
            <w:r>
              <w:rPr>
                <w:rFonts w:ascii="宋体" w:hAnsi="宋体"/>
                <w:kern w:val="0"/>
                <w:szCs w:val="20"/>
                <w:vertAlign w:val="superscript"/>
              </w:rPr>
              <w:t>3</w:t>
            </w:r>
          </w:p>
        </w:tc>
        <w:tc>
          <w:tcPr>
            <w:tcW w:w="2336" w:type="dxa"/>
          </w:tcPr>
          <w:p>
            <w:pPr>
              <w:spacing w:line="240" w:lineRule="auto"/>
              <w:jc w:val="center"/>
              <w:rPr>
                <w:rFonts w:ascii="宋体" w:hAnsi="宋体"/>
                <w:kern w:val="0"/>
                <w:szCs w:val="20"/>
              </w:rPr>
            </w:pPr>
            <w:r>
              <w:rPr>
                <w:rFonts w:hint="eastAsia" w:ascii="宋体" w:hAnsi="宋体"/>
                <w:kern w:val="0"/>
                <w:szCs w:val="20"/>
              </w:rPr>
              <w:t>70±5</w:t>
            </w:r>
          </w:p>
        </w:tc>
        <w:tc>
          <w:tcPr>
            <w:tcW w:w="2336" w:type="dxa"/>
          </w:tcPr>
          <w:p>
            <w:pPr>
              <w:spacing w:line="240" w:lineRule="auto"/>
              <w:jc w:val="center"/>
              <w:rPr>
                <w:rFonts w:ascii="宋体" w:hAnsi="宋体"/>
                <w:kern w:val="0"/>
                <w:szCs w:val="20"/>
              </w:rPr>
            </w:pPr>
            <w:r>
              <w:rPr>
                <w:rFonts w:hint="eastAsia" w:ascii="宋体" w:hAnsi="宋体"/>
                <w:kern w:val="0"/>
                <w:szCs w:val="20"/>
              </w:rPr>
              <w:t>GB/T 6343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6" w:type="dxa"/>
          </w:tcPr>
          <w:p>
            <w:pPr>
              <w:spacing w:line="240" w:lineRule="auto"/>
              <w:jc w:val="center"/>
              <w:rPr>
                <w:rFonts w:ascii="宋体" w:hAnsi="宋体"/>
                <w:kern w:val="0"/>
                <w:szCs w:val="20"/>
              </w:rPr>
            </w:pPr>
            <w:r>
              <w:rPr>
                <w:rFonts w:hint="eastAsia" w:ascii="宋体" w:hAnsi="宋体"/>
                <w:kern w:val="0"/>
                <w:szCs w:val="20"/>
              </w:rPr>
              <w:t>抗拉强度（25℃）</w:t>
            </w:r>
          </w:p>
        </w:tc>
        <w:tc>
          <w:tcPr>
            <w:tcW w:w="2336" w:type="dxa"/>
          </w:tcPr>
          <w:p>
            <w:pPr>
              <w:spacing w:line="240" w:lineRule="auto"/>
              <w:jc w:val="center"/>
              <w:rPr>
                <w:rFonts w:ascii="宋体" w:hAnsi="宋体"/>
                <w:kern w:val="0"/>
                <w:szCs w:val="20"/>
              </w:rPr>
            </w:pPr>
            <w:r>
              <w:rPr>
                <w:rFonts w:ascii="宋体" w:hAnsi="宋体"/>
                <w:kern w:val="0"/>
                <w:szCs w:val="20"/>
              </w:rPr>
              <w:t>MPa</w:t>
            </w:r>
          </w:p>
        </w:tc>
        <w:tc>
          <w:tcPr>
            <w:tcW w:w="2336" w:type="dxa"/>
          </w:tcPr>
          <w:p>
            <w:pPr>
              <w:spacing w:line="240" w:lineRule="auto"/>
              <w:jc w:val="center"/>
              <w:rPr>
                <w:rFonts w:ascii="宋体" w:hAnsi="宋体"/>
                <w:kern w:val="0"/>
                <w:szCs w:val="20"/>
              </w:rPr>
            </w:pPr>
            <w:r>
              <w:rPr>
                <w:rFonts w:hint="eastAsia" w:ascii="宋体" w:hAnsi="宋体"/>
                <w:kern w:val="0"/>
                <w:szCs w:val="20"/>
              </w:rPr>
              <w:t>2~4</w:t>
            </w:r>
          </w:p>
        </w:tc>
        <w:tc>
          <w:tcPr>
            <w:tcW w:w="2336" w:type="dxa"/>
          </w:tcPr>
          <w:p>
            <w:pPr>
              <w:spacing w:line="240" w:lineRule="auto"/>
              <w:jc w:val="center"/>
              <w:rPr>
                <w:rFonts w:ascii="宋体" w:hAnsi="宋体"/>
                <w:kern w:val="0"/>
                <w:szCs w:val="20"/>
              </w:rPr>
            </w:pPr>
            <w:r>
              <w:rPr>
                <w:rFonts w:hint="eastAsia" w:ascii="宋体" w:hAnsi="宋体"/>
                <w:kern w:val="0"/>
                <w:szCs w:val="20"/>
              </w:rPr>
              <w:t>GB/T 1040.1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tcPr>
          <w:p>
            <w:pPr>
              <w:spacing w:line="240" w:lineRule="auto"/>
              <w:jc w:val="center"/>
              <w:rPr>
                <w:rFonts w:ascii="宋体" w:hAnsi="宋体"/>
                <w:kern w:val="0"/>
                <w:szCs w:val="20"/>
              </w:rPr>
            </w:pPr>
            <w:r>
              <w:rPr>
                <w:rFonts w:hint="eastAsia" w:ascii="宋体" w:hAnsi="宋体"/>
                <w:kern w:val="0"/>
                <w:szCs w:val="20"/>
              </w:rPr>
              <w:t>抗压强度（25℃）</w:t>
            </w:r>
          </w:p>
        </w:tc>
        <w:tc>
          <w:tcPr>
            <w:tcW w:w="2336" w:type="dxa"/>
          </w:tcPr>
          <w:p>
            <w:pPr>
              <w:spacing w:line="240" w:lineRule="auto"/>
              <w:jc w:val="center"/>
              <w:rPr>
                <w:rFonts w:ascii="宋体" w:hAnsi="宋体"/>
                <w:kern w:val="0"/>
                <w:szCs w:val="20"/>
              </w:rPr>
            </w:pPr>
            <w:r>
              <w:rPr>
                <w:rFonts w:hint="eastAsia" w:ascii="宋体" w:hAnsi="宋体"/>
                <w:kern w:val="0"/>
                <w:szCs w:val="20"/>
              </w:rPr>
              <w:t>MPa</w:t>
            </w:r>
          </w:p>
        </w:tc>
        <w:tc>
          <w:tcPr>
            <w:tcW w:w="2336" w:type="dxa"/>
          </w:tcPr>
          <w:p>
            <w:pPr>
              <w:spacing w:line="240" w:lineRule="auto"/>
              <w:jc w:val="center"/>
              <w:rPr>
                <w:rFonts w:ascii="宋体" w:hAnsi="宋体"/>
                <w:kern w:val="0"/>
                <w:szCs w:val="20"/>
              </w:rPr>
            </w:pPr>
            <w:r>
              <w:rPr>
                <w:rFonts w:hint="eastAsia" w:ascii="宋体" w:hAnsi="宋体"/>
                <w:kern w:val="0"/>
                <w:szCs w:val="20"/>
              </w:rPr>
              <w:t>3~5</w:t>
            </w:r>
          </w:p>
        </w:tc>
        <w:tc>
          <w:tcPr>
            <w:tcW w:w="2336" w:type="dxa"/>
          </w:tcPr>
          <w:p>
            <w:pPr>
              <w:spacing w:line="240" w:lineRule="auto"/>
              <w:jc w:val="center"/>
              <w:rPr>
                <w:rFonts w:ascii="宋体" w:hAnsi="宋体"/>
                <w:kern w:val="0"/>
                <w:szCs w:val="20"/>
              </w:rPr>
            </w:pPr>
            <w:r>
              <w:rPr>
                <w:rFonts w:hint="eastAsia" w:ascii="宋体" w:hAnsi="宋体"/>
                <w:kern w:val="0"/>
                <w:szCs w:val="20"/>
              </w:rPr>
              <w:t>GB/T 8813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tcPr>
          <w:p>
            <w:pPr>
              <w:spacing w:line="240" w:lineRule="auto"/>
              <w:jc w:val="center"/>
              <w:rPr>
                <w:rFonts w:ascii="宋体" w:hAnsi="宋体"/>
                <w:kern w:val="0"/>
                <w:szCs w:val="20"/>
              </w:rPr>
            </w:pPr>
            <w:r>
              <w:rPr>
                <w:rFonts w:hint="eastAsia" w:ascii="宋体" w:hAnsi="宋体"/>
                <w:kern w:val="0"/>
                <w:szCs w:val="20"/>
              </w:rPr>
              <w:t>耐化学腐蚀</w:t>
            </w:r>
          </w:p>
        </w:tc>
        <w:tc>
          <w:tcPr>
            <w:tcW w:w="2336" w:type="dxa"/>
          </w:tcPr>
          <w:p>
            <w:pPr>
              <w:spacing w:line="240" w:lineRule="auto"/>
              <w:jc w:val="center"/>
              <w:rPr>
                <w:rFonts w:ascii="宋体" w:hAnsi="宋体"/>
                <w:kern w:val="0"/>
                <w:szCs w:val="20"/>
              </w:rPr>
            </w:pPr>
            <w:r>
              <w:rPr>
                <w:rFonts w:hint="eastAsia" w:ascii="宋体" w:hAnsi="宋体"/>
                <w:kern w:val="0"/>
                <w:szCs w:val="20"/>
              </w:rPr>
              <w:t>-</w:t>
            </w:r>
          </w:p>
        </w:tc>
        <w:tc>
          <w:tcPr>
            <w:tcW w:w="2336" w:type="dxa"/>
          </w:tcPr>
          <w:p>
            <w:pPr>
              <w:spacing w:line="240" w:lineRule="auto"/>
              <w:jc w:val="center"/>
              <w:rPr>
                <w:rFonts w:ascii="宋体" w:hAnsi="宋体"/>
                <w:kern w:val="0"/>
                <w:szCs w:val="20"/>
              </w:rPr>
            </w:pPr>
            <w:r>
              <w:rPr>
                <w:rFonts w:hint="eastAsia" w:ascii="宋体" w:hAnsi="宋体"/>
                <w:kern w:val="0"/>
                <w:szCs w:val="20"/>
              </w:rPr>
              <w:t>良好</w:t>
            </w:r>
          </w:p>
        </w:tc>
        <w:tc>
          <w:tcPr>
            <w:tcW w:w="2336" w:type="dxa"/>
          </w:tcPr>
          <w:p>
            <w:pPr>
              <w:spacing w:line="240" w:lineRule="auto"/>
              <w:jc w:val="center"/>
              <w:rPr>
                <w:rFonts w:ascii="宋体" w:hAnsi="宋体"/>
                <w:kern w:val="0"/>
                <w:szCs w:val="20"/>
              </w:rPr>
            </w:pPr>
            <w:r>
              <w:rPr>
                <w:rFonts w:hint="eastAsia" w:ascii="宋体" w:hAnsi="宋体"/>
                <w:kern w:val="0"/>
                <w:szCs w:val="20"/>
              </w:rPr>
              <w:t>GB/T 11547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tcPr>
          <w:p>
            <w:pPr>
              <w:spacing w:line="240" w:lineRule="auto"/>
              <w:jc w:val="center"/>
              <w:rPr>
                <w:rFonts w:ascii="宋体" w:hAnsi="宋体"/>
                <w:kern w:val="0"/>
                <w:szCs w:val="20"/>
              </w:rPr>
            </w:pPr>
            <w:r>
              <w:rPr>
                <w:rFonts w:hint="eastAsia" w:ascii="宋体" w:hAnsi="宋体"/>
                <w:kern w:val="0"/>
                <w:szCs w:val="20"/>
              </w:rPr>
              <w:t>泡沫外表皮</w:t>
            </w:r>
          </w:p>
        </w:tc>
        <w:tc>
          <w:tcPr>
            <w:tcW w:w="2336" w:type="dxa"/>
          </w:tcPr>
          <w:p>
            <w:pPr>
              <w:spacing w:line="240" w:lineRule="auto"/>
              <w:jc w:val="center"/>
              <w:rPr>
                <w:rFonts w:ascii="宋体" w:hAnsi="宋体"/>
                <w:kern w:val="0"/>
                <w:szCs w:val="20"/>
              </w:rPr>
            </w:pPr>
            <w:r>
              <w:rPr>
                <w:rFonts w:hint="eastAsia" w:ascii="宋体" w:hAnsi="宋体"/>
                <w:kern w:val="0"/>
                <w:szCs w:val="20"/>
              </w:rPr>
              <w:t>-</w:t>
            </w:r>
          </w:p>
        </w:tc>
        <w:tc>
          <w:tcPr>
            <w:tcW w:w="2336" w:type="dxa"/>
          </w:tcPr>
          <w:p>
            <w:pPr>
              <w:spacing w:line="240" w:lineRule="auto"/>
              <w:jc w:val="center"/>
              <w:rPr>
                <w:rFonts w:ascii="宋体" w:hAnsi="宋体"/>
                <w:kern w:val="0"/>
                <w:szCs w:val="20"/>
              </w:rPr>
            </w:pPr>
            <w:r>
              <w:rPr>
                <w:rFonts w:hint="eastAsia" w:ascii="宋体" w:hAnsi="宋体"/>
                <w:kern w:val="0"/>
                <w:szCs w:val="20"/>
              </w:rPr>
              <w:t>表皮无粉化现象</w:t>
            </w:r>
          </w:p>
        </w:tc>
        <w:tc>
          <w:tcPr>
            <w:tcW w:w="2336" w:type="dxa"/>
          </w:tcPr>
          <w:p>
            <w:pPr>
              <w:spacing w:line="240" w:lineRule="auto"/>
              <w:jc w:val="center"/>
              <w:rPr>
                <w:rFonts w:ascii="宋体" w:hAnsi="宋体"/>
                <w:kern w:val="0"/>
                <w:szCs w:val="20"/>
              </w:rPr>
            </w:pPr>
            <w:r>
              <w:rPr>
                <w:rFonts w:hint="eastAsia" w:ascii="宋体" w:hAnsi="宋体"/>
                <w:kern w:val="0"/>
                <w:szCs w:val="20"/>
              </w:rPr>
              <w:t>目测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6" w:type="dxa"/>
          </w:tcPr>
          <w:p>
            <w:pPr>
              <w:spacing w:line="240" w:lineRule="auto"/>
              <w:jc w:val="center"/>
              <w:rPr>
                <w:rFonts w:ascii="宋体" w:hAnsi="宋体"/>
                <w:kern w:val="0"/>
                <w:szCs w:val="20"/>
              </w:rPr>
            </w:pPr>
            <w:r>
              <w:rPr>
                <w:rFonts w:hint="eastAsia" w:ascii="宋体" w:hAnsi="宋体"/>
                <w:kern w:val="0"/>
                <w:szCs w:val="20"/>
              </w:rPr>
              <w:t>水中反应</w:t>
            </w:r>
          </w:p>
        </w:tc>
        <w:tc>
          <w:tcPr>
            <w:tcW w:w="2336" w:type="dxa"/>
          </w:tcPr>
          <w:p>
            <w:pPr>
              <w:spacing w:line="240" w:lineRule="auto"/>
              <w:jc w:val="center"/>
              <w:rPr>
                <w:rFonts w:ascii="宋体" w:hAnsi="宋体"/>
                <w:kern w:val="0"/>
                <w:szCs w:val="20"/>
              </w:rPr>
            </w:pPr>
            <w:r>
              <w:rPr>
                <w:rFonts w:hint="eastAsia" w:ascii="宋体" w:hAnsi="宋体"/>
                <w:kern w:val="0"/>
                <w:szCs w:val="20"/>
              </w:rPr>
              <w:t>-</w:t>
            </w:r>
          </w:p>
        </w:tc>
        <w:tc>
          <w:tcPr>
            <w:tcW w:w="2336" w:type="dxa"/>
          </w:tcPr>
          <w:p>
            <w:pPr>
              <w:spacing w:line="240" w:lineRule="auto"/>
              <w:jc w:val="center"/>
              <w:rPr>
                <w:rFonts w:ascii="宋体" w:hAnsi="宋体"/>
                <w:kern w:val="0"/>
                <w:szCs w:val="20"/>
              </w:rPr>
            </w:pPr>
            <w:r>
              <w:rPr>
                <w:rFonts w:hint="eastAsia" w:ascii="宋体" w:hAnsi="宋体"/>
                <w:kern w:val="0"/>
                <w:szCs w:val="20"/>
              </w:rPr>
              <w:t>整体浮在水面上，无散团现象</w:t>
            </w:r>
          </w:p>
        </w:tc>
        <w:tc>
          <w:tcPr>
            <w:tcW w:w="2336" w:type="dxa"/>
          </w:tcPr>
          <w:p>
            <w:pPr>
              <w:spacing w:line="240" w:lineRule="auto"/>
              <w:jc w:val="center"/>
              <w:rPr>
                <w:rFonts w:ascii="宋体" w:hAnsi="宋体"/>
                <w:kern w:val="0"/>
                <w:szCs w:val="20"/>
              </w:rPr>
            </w:pPr>
            <w:r>
              <w:rPr>
                <w:rFonts w:hint="eastAsia" w:ascii="宋体" w:hAnsi="宋体"/>
                <w:kern w:val="0"/>
                <w:szCs w:val="20"/>
              </w:rPr>
              <w:t>目测</w:t>
            </w:r>
          </w:p>
        </w:tc>
      </w:tr>
    </w:tbl>
    <w:p>
      <w:pPr>
        <w:spacing w:line="240" w:lineRule="auto"/>
        <w:rPr>
          <w:rFonts w:ascii="黑体" w:hAnsi="黑体" w:eastAsia="黑体"/>
          <w:kern w:val="0"/>
          <w:szCs w:val="20"/>
        </w:rPr>
      </w:pPr>
      <w:r>
        <w:rPr>
          <w:rFonts w:hint="eastAsia" w:ascii="黑体" w:hAnsi="黑体" w:eastAsia="黑体"/>
          <w:kern w:val="0"/>
          <w:szCs w:val="20"/>
        </w:rPr>
        <w:t>1</w:t>
      </w:r>
      <w:r>
        <w:rPr>
          <w:rFonts w:ascii="黑体" w:hAnsi="黑体" w:eastAsia="黑体"/>
          <w:kern w:val="0"/>
          <w:szCs w:val="20"/>
        </w:rPr>
        <w:t xml:space="preserve">2.3.2 </w:t>
      </w:r>
      <w:r>
        <w:rPr>
          <w:rFonts w:hint="eastAsia" w:ascii="宋体" w:hAnsi="宋体"/>
          <w:kern w:val="0"/>
          <w:szCs w:val="20"/>
        </w:rPr>
        <w:t>高聚物注浆施工</w:t>
      </w:r>
    </w:p>
    <w:p>
      <w:pPr>
        <w:spacing w:line="240" w:lineRule="auto"/>
        <w:rPr>
          <w:rFonts w:ascii="宋体" w:hAnsi="宋体"/>
          <w:kern w:val="0"/>
          <w:szCs w:val="20"/>
        </w:rPr>
      </w:pPr>
      <w:r>
        <w:rPr>
          <w:rFonts w:hint="eastAsia" w:ascii="宋体" w:hAnsi="宋体"/>
          <w:kern w:val="0"/>
          <w:szCs w:val="20"/>
        </w:rPr>
        <w:t>1</w:t>
      </w:r>
      <w:r>
        <w:rPr>
          <w:rFonts w:ascii="宋体" w:hAnsi="宋体"/>
          <w:kern w:val="0"/>
          <w:szCs w:val="20"/>
        </w:rPr>
        <w:t>2.3.2.1</w:t>
      </w:r>
      <w:r>
        <w:rPr>
          <w:rFonts w:hint="eastAsia" w:ascii="宋体" w:hAnsi="宋体"/>
          <w:kern w:val="0"/>
          <w:szCs w:val="20"/>
        </w:rPr>
        <w:t xml:space="preserve">根据路面坡度（纵坡、横坡），由高处注浆孔向低处注浆孔依次注浆。 </w:t>
      </w:r>
    </w:p>
    <w:p>
      <w:pPr>
        <w:spacing w:line="240" w:lineRule="auto"/>
        <w:rPr>
          <w:rFonts w:ascii="宋体" w:hAnsi="宋体"/>
          <w:kern w:val="0"/>
          <w:szCs w:val="20"/>
        </w:rPr>
      </w:pPr>
      <w:r>
        <w:rPr>
          <w:rFonts w:hint="eastAsia" w:ascii="宋体" w:hAnsi="宋体"/>
          <w:kern w:val="0"/>
          <w:szCs w:val="20"/>
        </w:rPr>
        <w:t>12.3.2.2 注浆时压力</w:t>
      </w:r>
      <w:r>
        <w:t>应控制在</w:t>
      </w:r>
      <w:r>
        <w:rPr>
          <w:rFonts w:hint="eastAsia" w:ascii="宋体" w:hAnsi="宋体"/>
          <w:kern w:val="0"/>
          <w:szCs w:val="20"/>
        </w:rPr>
        <w:t xml:space="preserve">6.5 MPa—7.5 MPa。 </w:t>
      </w:r>
    </w:p>
    <w:p>
      <w:pPr>
        <w:spacing w:line="240" w:lineRule="auto"/>
        <w:rPr>
          <w:rFonts w:ascii="宋体" w:hAnsi="宋体"/>
          <w:kern w:val="0"/>
          <w:szCs w:val="20"/>
        </w:rPr>
      </w:pPr>
      <w:r>
        <w:rPr>
          <w:rFonts w:hint="eastAsia" w:ascii="宋体" w:hAnsi="宋体"/>
          <w:kern w:val="0"/>
          <w:szCs w:val="20"/>
        </w:rPr>
        <w:t xml:space="preserve">12.3.2.3 可单孔逐一注浆，也可多孔同时注浆。同时注浆时应确保同一方向间隔3个及以上注浆孔。 </w:t>
      </w:r>
    </w:p>
    <w:p>
      <w:pPr>
        <w:spacing w:line="240" w:lineRule="auto"/>
        <w:rPr>
          <w:rFonts w:ascii="宋体" w:hAnsi="宋体"/>
          <w:kern w:val="0"/>
          <w:szCs w:val="20"/>
        </w:rPr>
      </w:pPr>
      <w:r>
        <w:rPr>
          <w:rFonts w:hint="eastAsia" w:ascii="宋体" w:hAnsi="宋体"/>
          <w:kern w:val="0"/>
          <w:szCs w:val="20"/>
        </w:rPr>
        <w:t xml:space="preserve">12.3.2.4 </w:t>
      </w:r>
      <w:r>
        <w:t>注浆过程中如发现相邻注浆孔有水或泥浆冒出路面，应待注浆材料完全置换水或泥浆后停止该孔注浆。</w:t>
      </w:r>
      <w:r>
        <w:rPr>
          <w:rFonts w:hint="eastAsia" w:ascii="宋体" w:hAnsi="宋体"/>
          <w:kern w:val="0"/>
          <w:szCs w:val="20"/>
        </w:rPr>
        <w:t xml:space="preserve"> </w:t>
      </w:r>
    </w:p>
    <w:p>
      <w:pPr>
        <w:spacing w:line="240" w:lineRule="auto"/>
        <w:rPr>
          <w:rFonts w:ascii="宋体" w:hAnsi="宋体"/>
          <w:kern w:val="0"/>
          <w:szCs w:val="20"/>
        </w:rPr>
      </w:pPr>
      <w:r>
        <w:rPr>
          <w:rFonts w:hint="eastAsia" w:ascii="宋体" w:hAnsi="宋体"/>
          <w:kern w:val="0"/>
          <w:szCs w:val="20"/>
        </w:rPr>
        <w:t xml:space="preserve">12.3.2.5 </w:t>
      </w:r>
      <w:r>
        <w:t>在注浆材料固化前，应对发生冒水或冒泥浆的注浆孔进行补注，直至达到设计注浆压力。</w:t>
      </w:r>
      <w:r>
        <w:rPr>
          <w:rFonts w:hint="eastAsia" w:ascii="宋体" w:hAnsi="宋体"/>
          <w:kern w:val="0"/>
          <w:szCs w:val="20"/>
        </w:rPr>
        <w:t xml:space="preserve"> </w:t>
      </w:r>
    </w:p>
    <w:p>
      <w:pPr>
        <w:spacing w:line="240" w:lineRule="auto"/>
        <w:rPr>
          <w:rFonts w:ascii="宋体" w:hAnsi="宋体"/>
          <w:kern w:val="0"/>
          <w:szCs w:val="20"/>
        </w:rPr>
      </w:pPr>
      <w:r>
        <w:rPr>
          <w:rFonts w:hint="eastAsia" w:ascii="宋体" w:hAnsi="宋体"/>
          <w:kern w:val="0"/>
          <w:szCs w:val="20"/>
        </w:rPr>
        <w:t xml:space="preserve">12.3.2.6 </w:t>
      </w:r>
      <w:r>
        <w:t>注浆孔持续注浆仍未达到设计注浆压力时，应暂停该孔注浆，并进行相邻孔注浆，同时检查注浆区域是否存在漏浆或跑浆；存在漏浆或跑浆时，应采取封堵措施后继续注浆。</w:t>
      </w:r>
      <w:r>
        <w:rPr>
          <w:rFonts w:hint="eastAsia" w:ascii="宋体" w:hAnsi="宋体"/>
          <w:kern w:val="0"/>
          <w:szCs w:val="20"/>
        </w:rPr>
        <w:t xml:space="preserve"> </w:t>
      </w:r>
    </w:p>
    <w:p>
      <w:pPr>
        <w:spacing w:line="240" w:lineRule="auto"/>
        <w:rPr>
          <w:rFonts w:ascii="宋体" w:hAnsi="宋体"/>
          <w:kern w:val="0"/>
          <w:szCs w:val="20"/>
        </w:rPr>
      </w:pPr>
      <w:r>
        <w:rPr>
          <w:rFonts w:hint="eastAsia" w:ascii="宋体" w:hAnsi="宋体"/>
          <w:kern w:val="0"/>
          <w:szCs w:val="20"/>
        </w:rPr>
        <w:t xml:space="preserve">12.3.2.7 </w:t>
      </w:r>
      <w:r>
        <w:t>未发现漏浆或跑浆时，宜与相邻注浆孔交替注浆，直至达到设计注浆压力。</w:t>
      </w:r>
    </w:p>
    <w:p>
      <w:pPr>
        <w:pStyle w:val="265"/>
        <w:numPr>
          <w:ilvl w:val="1"/>
          <w:numId w:val="34"/>
        </w:numPr>
        <w:wordWrap/>
        <w:spacing w:before="156" w:after="156"/>
        <w:outlineLvl w:val="1"/>
      </w:pPr>
      <w:r>
        <w:rPr>
          <w:rFonts w:hint="eastAsia"/>
        </w:rPr>
        <w:t>地聚物注浆</w:t>
      </w:r>
    </w:p>
    <w:p>
      <w:pPr>
        <w:spacing w:line="240" w:lineRule="auto"/>
        <w:rPr>
          <w:rFonts w:ascii="宋体" w:hAnsi="宋体"/>
          <w:kern w:val="0"/>
          <w:szCs w:val="20"/>
        </w:rPr>
      </w:pPr>
      <w:r>
        <w:rPr>
          <w:rFonts w:hint="eastAsia" w:ascii="黑体" w:hAnsi="黑体" w:eastAsia="黑体"/>
          <w:kern w:val="0"/>
          <w:szCs w:val="20"/>
        </w:rPr>
        <w:t>12.4.1</w:t>
      </w:r>
      <w:r>
        <w:rPr>
          <w:rFonts w:hint="eastAsia" w:ascii="宋体" w:hAnsi="宋体"/>
          <w:kern w:val="0"/>
          <w:szCs w:val="20"/>
        </w:rPr>
        <w:t xml:space="preserve"> 地聚物注浆材料</w:t>
      </w:r>
    </w:p>
    <w:p>
      <w:pPr>
        <w:spacing w:line="240" w:lineRule="auto"/>
        <w:rPr>
          <w:rFonts w:ascii="宋体" w:hAnsi="宋体"/>
          <w:kern w:val="0"/>
          <w:szCs w:val="20"/>
        </w:rPr>
      </w:pPr>
      <w:r>
        <w:rPr>
          <w:rFonts w:ascii="宋体" w:hAnsi="宋体"/>
          <w:kern w:val="0"/>
          <w:szCs w:val="20"/>
        </w:rPr>
        <w:t>12.4.1.1</w:t>
      </w:r>
      <w:r>
        <w:rPr>
          <w:rFonts w:hint="eastAsia" w:ascii="宋体" w:hAnsi="宋体"/>
          <w:kern w:val="0"/>
          <w:szCs w:val="20"/>
        </w:rPr>
        <w:t>地聚合物材料按凝固时间和早期强度的不同，可分为普通型和快凝早强型两种类型。</w:t>
      </w:r>
    </w:p>
    <w:p>
      <w:pPr>
        <w:spacing w:line="240" w:lineRule="auto"/>
        <w:rPr>
          <w:rFonts w:ascii="宋体" w:hAnsi="宋体"/>
          <w:kern w:val="0"/>
          <w:szCs w:val="20"/>
        </w:rPr>
      </w:pPr>
      <w:r>
        <w:rPr>
          <w:rFonts w:hint="eastAsia" w:ascii="宋体" w:hAnsi="宋体"/>
          <w:kern w:val="0"/>
          <w:szCs w:val="20"/>
        </w:rPr>
        <w:t>12.4.1.</w:t>
      </w:r>
      <w:r>
        <w:rPr>
          <w:rFonts w:ascii="宋体" w:hAnsi="宋体"/>
          <w:kern w:val="0"/>
          <w:szCs w:val="20"/>
        </w:rPr>
        <w:t>2地聚合物混合料由地聚合物材料及水组成，其配合比为:地聚合物:水=1:0.3~0.4(重量比)。不</w:t>
      </w:r>
      <w:r>
        <w:rPr>
          <w:rFonts w:hint="eastAsia" w:ascii="宋体" w:hAnsi="宋体"/>
          <w:kern w:val="0"/>
          <w:szCs w:val="20"/>
        </w:rPr>
        <w:t>应</w:t>
      </w:r>
      <w:r>
        <w:rPr>
          <w:rFonts w:ascii="宋体" w:hAnsi="宋体"/>
          <w:kern w:val="0"/>
          <w:szCs w:val="20"/>
        </w:rPr>
        <w:t>采用pH值&lt;6.5的酸酸性水和工业废水。地聚合物混合料主要技术指标见表8，按照</w:t>
      </w:r>
      <w:r>
        <w:rPr>
          <w:rFonts w:hint="eastAsia" w:ascii="宋体" w:hAnsi="宋体"/>
          <w:kern w:val="0"/>
          <w:szCs w:val="20"/>
        </w:rPr>
        <w:t>现行行业标准</w:t>
      </w:r>
      <w:r>
        <w:rPr>
          <w:rFonts w:ascii="宋体" w:hAnsi="宋体"/>
          <w:kern w:val="0"/>
          <w:szCs w:val="20"/>
        </w:rPr>
        <w:t>JTG 3420进行检测。其中抗压强度试险采用70.7mm</w:t>
      </w:r>
      <w:r>
        <w:rPr>
          <w:rFonts w:hint="eastAsia" w:ascii="宋体" w:hAnsi="宋体"/>
          <w:kern w:val="0"/>
          <w:szCs w:val="20"/>
        </w:rPr>
        <w:t>×</w:t>
      </w:r>
      <w:r>
        <w:rPr>
          <w:rFonts w:ascii="宋体" w:hAnsi="宋体"/>
          <w:kern w:val="0"/>
          <w:szCs w:val="20"/>
        </w:rPr>
        <w:t>70.7mm</w:t>
      </w:r>
      <w:r>
        <w:rPr>
          <w:rFonts w:hint="eastAsia" w:ascii="宋体" w:hAnsi="宋体"/>
          <w:kern w:val="0"/>
          <w:szCs w:val="20"/>
        </w:rPr>
        <w:t>×</w:t>
      </w:r>
      <w:r>
        <w:rPr>
          <w:rFonts w:ascii="宋体" w:hAnsi="宋体"/>
          <w:kern w:val="0"/>
          <w:szCs w:val="20"/>
        </w:rPr>
        <w:t>70.7mm试模成型试块，在标准条件下养护后测定立方体抗压强度。</w:t>
      </w:r>
    </w:p>
    <w:p>
      <w:pPr>
        <w:spacing w:line="240" w:lineRule="auto"/>
        <w:jc w:val="center"/>
        <w:rPr>
          <w:rFonts w:ascii="宋体" w:hAnsi="宋体"/>
          <w:kern w:val="0"/>
          <w:szCs w:val="20"/>
        </w:rPr>
      </w:pPr>
      <w:r>
        <w:rPr>
          <w:rFonts w:hint="eastAsia" w:ascii="宋体" w:hAnsi="宋体"/>
          <w:kern w:val="0"/>
          <w:szCs w:val="20"/>
        </w:rPr>
        <w:t>表</w:t>
      </w:r>
      <w:r>
        <w:rPr>
          <w:rFonts w:ascii="宋体" w:hAnsi="宋体"/>
          <w:kern w:val="0"/>
          <w:szCs w:val="20"/>
        </w:rPr>
        <w:t>8</w:t>
      </w:r>
      <w:r>
        <w:rPr>
          <w:rFonts w:hint="eastAsia" w:ascii="宋体" w:hAnsi="宋体"/>
          <w:kern w:val="0"/>
          <w:szCs w:val="20"/>
        </w:rPr>
        <w:t xml:space="preserve"> 地聚物混合料主要技术指标</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1049"/>
        <w:gridCol w:w="1082"/>
        <w:gridCol w:w="1082"/>
        <w:gridCol w:w="1049"/>
        <w:gridCol w:w="1082"/>
        <w:gridCol w:w="984"/>
        <w:gridCol w:w="984"/>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dxa"/>
            <w:vMerge w:val="restart"/>
            <w:vAlign w:val="center"/>
          </w:tcPr>
          <w:p>
            <w:pPr>
              <w:spacing w:line="240" w:lineRule="auto"/>
              <w:jc w:val="center"/>
              <w:rPr>
                <w:rFonts w:ascii="宋体" w:hAnsi="宋体"/>
                <w:kern w:val="0"/>
                <w:szCs w:val="20"/>
              </w:rPr>
            </w:pPr>
            <w:r>
              <w:rPr>
                <w:rFonts w:hint="eastAsia" w:ascii="宋体" w:hAnsi="宋体"/>
                <w:kern w:val="0"/>
                <w:szCs w:val="20"/>
              </w:rPr>
              <w:t>类型</w:t>
            </w:r>
          </w:p>
        </w:tc>
        <w:tc>
          <w:tcPr>
            <w:tcW w:w="1049" w:type="dxa"/>
            <w:vMerge w:val="restart"/>
            <w:vAlign w:val="center"/>
          </w:tcPr>
          <w:p>
            <w:pPr>
              <w:spacing w:line="240" w:lineRule="auto"/>
              <w:jc w:val="center"/>
              <w:rPr>
                <w:rFonts w:ascii="宋体" w:hAnsi="宋体"/>
                <w:kern w:val="0"/>
                <w:szCs w:val="20"/>
              </w:rPr>
            </w:pPr>
            <w:r>
              <w:rPr>
                <w:rFonts w:hint="eastAsia" w:ascii="宋体" w:hAnsi="宋体"/>
                <w:kern w:val="0"/>
                <w:szCs w:val="20"/>
              </w:rPr>
              <w:t>流动度</w:t>
            </w:r>
          </w:p>
          <w:p>
            <w:pPr>
              <w:spacing w:line="240" w:lineRule="auto"/>
              <w:jc w:val="center"/>
              <w:rPr>
                <w:rFonts w:ascii="宋体" w:hAnsi="宋体"/>
                <w:kern w:val="0"/>
                <w:szCs w:val="20"/>
              </w:rPr>
            </w:pPr>
            <w:r>
              <w:rPr>
                <w:rFonts w:hint="eastAsia" w:ascii="宋体" w:hAnsi="宋体"/>
                <w:kern w:val="0"/>
                <w:szCs w:val="20"/>
              </w:rPr>
              <w:t>S</w:t>
            </w:r>
          </w:p>
        </w:tc>
        <w:tc>
          <w:tcPr>
            <w:tcW w:w="1082" w:type="dxa"/>
            <w:vMerge w:val="restart"/>
            <w:vAlign w:val="center"/>
          </w:tcPr>
          <w:p>
            <w:pPr>
              <w:spacing w:line="240" w:lineRule="auto"/>
              <w:jc w:val="center"/>
              <w:rPr>
                <w:rFonts w:ascii="宋体" w:hAnsi="宋体"/>
                <w:kern w:val="0"/>
                <w:szCs w:val="20"/>
              </w:rPr>
            </w:pPr>
            <w:r>
              <w:rPr>
                <w:rFonts w:hint="eastAsia" w:ascii="宋体" w:hAnsi="宋体"/>
                <w:kern w:val="0"/>
                <w:szCs w:val="20"/>
              </w:rPr>
              <w:t>初凝时间</w:t>
            </w:r>
          </w:p>
          <w:p>
            <w:pPr>
              <w:spacing w:line="240" w:lineRule="auto"/>
              <w:jc w:val="center"/>
              <w:rPr>
                <w:rFonts w:ascii="宋体" w:hAnsi="宋体"/>
                <w:kern w:val="0"/>
                <w:szCs w:val="20"/>
              </w:rPr>
            </w:pPr>
            <w:r>
              <w:rPr>
                <w:rFonts w:hint="eastAsia" w:ascii="宋体" w:hAnsi="宋体"/>
                <w:kern w:val="0"/>
                <w:szCs w:val="20"/>
              </w:rPr>
              <w:t>min</w:t>
            </w:r>
          </w:p>
        </w:tc>
        <w:tc>
          <w:tcPr>
            <w:tcW w:w="1082" w:type="dxa"/>
            <w:vMerge w:val="restart"/>
            <w:vAlign w:val="center"/>
          </w:tcPr>
          <w:p>
            <w:pPr>
              <w:spacing w:line="240" w:lineRule="auto"/>
              <w:jc w:val="center"/>
              <w:rPr>
                <w:rFonts w:ascii="宋体" w:hAnsi="宋体"/>
                <w:kern w:val="0"/>
                <w:szCs w:val="20"/>
              </w:rPr>
            </w:pPr>
            <w:r>
              <w:rPr>
                <w:rFonts w:hint="eastAsia" w:ascii="宋体" w:hAnsi="宋体"/>
                <w:kern w:val="0"/>
                <w:szCs w:val="20"/>
              </w:rPr>
              <w:t>终凝时间</w:t>
            </w:r>
          </w:p>
          <w:p>
            <w:pPr>
              <w:spacing w:line="240" w:lineRule="auto"/>
              <w:jc w:val="center"/>
              <w:rPr>
                <w:rFonts w:ascii="宋体" w:hAnsi="宋体"/>
                <w:kern w:val="0"/>
                <w:szCs w:val="20"/>
              </w:rPr>
            </w:pPr>
            <w:r>
              <w:rPr>
                <w:rFonts w:hint="eastAsia" w:ascii="宋体" w:hAnsi="宋体"/>
                <w:kern w:val="0"/>
                <w:szCs w:val="20"/>
              </w:rPr>
              <w:t>min</w:t>
            </w:r>
          </w:p>
        </w:tc>
        <w:tc>
          <w:tcPr>
            <w:tcW w:w="1049" w:type="dxa"/>
            <w:vMerge w:val="restart"/>
            <w:vAlign w:val="center"/>
          </w:tcPr>
          <w:p>
            <w:pPr>
              <w:spacing w:line="240" w:lineRule="auto"/>
              <w:jc w:val="center"/>
              <w:rPr>
                <w:rFonts w:ascii="宋体" w:hAnsi="宋体"/>
                <w:kern w:val="0"/>
                <w:szCs w:val="20"/>
              </w:rPr>
            </w:pPr>
            <w:r>
              <w:rPr>
                <w:rFonts w:hint="eastAsia" w:ascii="宋体" w:hAnsi="宋体"/>
                <w:kern w:val="0"/>
                <w:szCs w:val="20"/>
              </w:rPr>
              <w:t>泌水率</w:t>
            </w:r>
          </w:p>
          <w:p>
            <w:pPr>
              <w:spacing w:line="240" w:lineRule="auto"/>
              <w:jc w:val="center"/>
              <w:rPr>
                <w:rFonts w:ascii="宋体" w:hAnsi="宋体"/>
                <w:kern w:val="0"/>
                <w:szCs w:val="20"/>
              </w:rPr>
            </w:pPr>
            <w:r>
              <w:rPr>
                <w:rFonts w:hint="eastAsia" w:ascii="宋体" w:hAnsi="宋体"/>
                <w:kern w:val="0"/>
                <w:szCs w:val="20"/>
              </w:rPr>
              <w:t>%</w:t>
            </w:r>
          </w:p>
        </w:tc>
        <w:tc>
          <w:tcPr>
            <w:tcW w:w="4034" w:type="dxa"/>
            <w:gridSpan w:val="4"/>
            <w:vAlign w:val="center"/>
          </w:tcPr>
          <w:p>
            <w:pPr>
              <w:spacing w:line="240" w:lineRule="auto"/>
              <w:jc w:val="center"/>
              <w:rPr>
                <w:rFonts w:ascii="宋体" w:hAnsi="宋体"/>
                <w:kern w:val="0"/>
                <w:szCs w:val="20"/>
              </w:rPr>
            </w:pPr>
            <w:r>
              <w:rPr>
                <w:rFonts w:hint="eastAsia" w:ascii="宋体" w:hAnsi="宋体"/>
                <w:kern w:val="0"/>
                <w:szCs w:val="20"/>
              </w:rPr>
              <w:t>抗压强度</w:t>
            </w:r>
          </w:p>
          <w:p>
            <w:pPr>
              <w:spacing w:line="240" w:lineRule="auto"/>
              <w:jc w:val="center"/>
              <w:rPr>
                <w:rFonts w:ascii="宋体" w:hAnsi="宋体"/>
                <w:kern w:val="0"/>
                <w:szCs w:val="20"/>
              </w:rPr>
            </w:pPr>
            <w:r>
              <w:rPr>
                <w:rFonts w:hint="eastAsia" w:ascii="宋体" w:hAnsi="宋体"/>
                <w:kern w:val="0"/>
                <w:szCs w:val="20"/>
              </w:rPr>
              <w:t>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dxa"/>
            <w:vMerge w:val="continue"/>
            <w:vAlign w:val="center"/>
          </w:tcPr>
          <w:p>
            <w:pPr>
              <w:spacing w:line="240" w:lineRule="auto"/>
              <w:jc w:val="center"/>
              <w:rPr>
                <w:rFonts w:ascii="宋体" w:hAnsi="宋体"/>
                <w:kern w:val="0"/>
                <w:szCs w:val="20"/>
              </w:rPr>
            </w:pPr>
          </w:p>
        </w:tc>
        <w:tc>
          <w:tcPr>
            <w:tcW w:w="1049" w:type="dxa"/>
            <w:vMerge w:val="continue"/>
            <w:vAlign w:val="center"/>
          </w:tcPr>
          <w:p>
            <w:pPr>
              <w:spacing w:line="240" w:lineRule="auto"/>
              <w:jc w:val="center"/>
              <w:rPr>
                <w:rFonts w:ascii="宋体" w:hAnsi="宋体"/>
                <w:kern w:val="0"/>
                <w:szCs w:val="20"/>
              </w:rPr>
            </w:pPr>
          </w:p>
        </w:tc>
        <w:tc>
          <w:tcPr>
            <w:tcW w:w="1082" w:type="dxa"/>
            <w:vMerge w:val="continue"/>
            <w:vAlign w:val="center"/>
          </w:tcPr>
          <w:p>
            <w:pPr>
              <w:spacing w:line="240" w:lineRule="auto"/>
              <w:jc w:val="center"/>
              <w:rPr>
                <w:rFonts w:ascii="宋体" w:hAnsi="宋体"/>
                <w:kern w:val="0"/>
                <w:szCs w:val="20"/>
              </w:rPr>
            </w:pPr>
          </w:p>
        </w:tc>
        <w:tc>
          <w:tcPr>
            <w:tcW w:w="1082" w:type="dxa"/>
            <w:vMerge w:val="continue"/>
            <w:vAlign w:val="center"/>
          </w:tcPr>
          <w:p>
            <w:pPr>
              <w:spacing w:line="240" w:lineRule="auto"/>
              <w:jc w:val="center"/>
              <w:rPr>
                <w:rFonts w:ascii="宋体" w:hAnsi="宋体"/>
                <w:kern w:val="0"/>
                <w:szCs w:val="20"/>
              </w:rPr>
            </w:pPr>
          </w:p>
        </w:tc>
        <w:tc>
          <w:tcPr>
            <w:tcW w:w="1049" w:type="dxa"/>
            <w:vMerge w:val="continue"/>
            <w:vAlign w:val="center"/>
          </w:tcPr>
          <w:p>
            <w:pPr>
              <w:spacing w:line="240" w:lineRule="auto"/>
              <w:jc w:val="center"/>
              <w:rPr>
                <w:rFonts w:ascii="宋体" w:hAnsi="宋体"/>
                <w:kern w:val="0"/>
                <w:szCs w:val="20"/>
              </w:rPr>
            </w:pP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4h</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1d</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7d</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28d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pPr>
              <w:spacing w:line="240" w:lineRule="auto"/>
              <w:jc w:val="center"/>
              <w:rPr>
                <w:rFonts w:ascii="宋体" w:hAnsi="宋体"/>
                <w:kern w:val="0"/>
                <w:szCs w:val="20"/>
              </w:rPr>
            </w:pPr>
            <w:r>
              <w:rPr>
                <w:rFonts w:hint="eastAsia" w:ascii="宋体" w:hAnsi="宋体"/>
                <w:kern w:val="0"/>
                <w:szCs w:val="20"/>
              </w:rPr>
              <w:t>普通型</w:t>
            </w:r>
          </w:p>
        </w:tc>
        <w:tc>
          <w:tcPr>
            <w:tcW w:w="1049" w:type="dxa"/>
            <w:vAlign w:val="center"/>
          </w:tcPr>
          <w:p>
            <w:pPr>
              <w:spacing w:line="240" w:lineRule="auto"/>
              <w:jc w:val="center"/>
              <w:rPr>
                <w:rFonts w:ascii="宋体" w:hAnsi="宋体"/>
                <w:kern w:val="0"/>
                <w:szCs w:val="20"/>
              </w:rPr>
            </w:pPr>
            <w:r>
              <w:rPr>
                <w:rFonts w:hint="eastAsia" w:ascii="宋体" w:hAnsi="宋体"/>
                <w:kern w:val="0"/>
                <w:szCs w:val="20"/>
              </w:rPr>
              <w:t>≤20</w:t>
            </w: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≥300</w:t>
            </w: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≤720</w:t>
            </w:r>
          </w:p>
        </w:tc>
        <w:tc>
          <w:tcPr>
            <w:tcW w:w="1049" w:type="dxa"/>
            <w:vAlign w:val="center"/>
          </w:tcPr>
          <w:p>
            <w:pPr>
              <w:spacing w:line="240" w:lineRule="auto"/>
              <w:jc w:val="center"/>
              <w:rPr>
                <w:rFonts w:ascii="宋体" w:hAnsi="宋体"/>
                <w:kern w:val="0"/>
                <w:szCs w:val="20"/>
              </w:rPr>
            </w:pPr>
            <w:r>
              <w:rPr>
                <w:rFonts w:hint="eastAsia" w:ascii="宋体" w:hAnsi="宋体"/>
                <w:kern w:val="0"/>
                <w:szCs w:val="20"/>
              </w:rPr>
              <w:t>≤0.4</w:t>
            </w: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≥5</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≥30</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48" w:type="dxa"/>
            <w:vAlign w:val="center"/>
          </w:tcPr>
          <w:p>
            <w:pPr>
              <w:spacing w:line="240" w:lineRule="auto"/>
              <w:jc w:val="center"/>
              <w:rPr>
                <w:rFonts w:ascii="宋体" w:hAnsi="宋体"/>
                <w:kern w:val="0"/>
                <w:szCs w:val="20"/>
              </w:rPr>
            </w:pPr>
            <w:r>
              <w:rPr>
                <w:rFonts w:hint="eastAsia" w:ascii="宋体" w:hAnsi="宋体"/>
                <w:kern w:val="0"/>
                <w:szCs w:val="20"/>
              </w:rPr>
              <w:t>快凝早强型</w:t>
            </w:r>
          </w:p>
        </w:tc>
        <w:tc>
          <w:tcPr>
            <w:tcW w:w="1049" w:type="dxa"/>
            <w:vAlign w:val="center"/>
          </w:tcPr>
          <w:p>
            <w:pPr>
              <w:spacing w:line="240" w:lineRule="auto"/>
              <w:jc w:val="center"/>
              <w:rPr>
                <w:rFonts w:ascii="宋体" w:hAnsi="宋体"/>
                <w:kern w:val="0"/>
                <w:szCs w:val="20"/>
              </w:rPr>
            </w:pPr>
            <w:r>
              <w:rPr>
                <w:rFonts w:hint="eastAsia" w:ascii="宋体" w:hAnsi="宋体"/>
                <w:kern w:val="0"/>
                <w:szCs w:val="20"/>
              </w:rPr>
              <w:t>≤20</w:t>
            </w: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≥45</w:t>
            </w: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≤150</w:t>
            </w:r>
          </w:p>
        </w:tc>
        <w:tc>
          <w:tcPr>
            <w:tcW w:w="1049" w:type="dxa"/>
            <w:vAlign w:val="center"/>
          </w:tcPr>
          <w:p>
            <w:pPr>
              <w:spacing w:line="240" w:lineRule="auto"/>
              <w:jc w:val="center"/>
              <w:rPr>
                <w:rFonts w:ascii="宋体" w:hAnsi="宋体"/>
                <w:kern w:val="0"/>
                <w:szCs w:val="20"/>
              </w:rPr>
            </w:pPr>
            <w:r>
              <w:rPr>
                <w:rFonts w:hint="eastAsia" w:ascii="宋体" w:hAnsi="宋体"/>
                <w:kern w:val="0"/>
                <w:szCs w:val="20"/>
              </w:rPr>
              <w:t>≤0.4</w:t>
            </w:r>
          </w:p>
        </w:tc>
        <w:tc>
          <w:tcPr>
            <w:tcW w:w="1082" w:type="dxa"/>
            <w:vAlign w:val="center"/>
          </w:tcPr>
          <w:p>
            <w:pPr>
              <w:spacing w:line="240" w:lineRule="auto"/>
              <w:jc w:val="center"/>
              <w:rPr>
                <w:rFonts w:ascii="宋体" w:hAnsi="宋体"/>
                <w:kern w:val="0"/>
                <w:szCs w:val="20"/>
              </w:rPr>
            </w:pPr>
            <w:r>
              <w:rPr>
                <w:rFonts w:hint="eastAsia" w:ascii="宋体" w:hAnsi="宋体"/>
                <w:kern w:val="0"/>
                <w:szCs w:val="20"/>
              </w:rPr>
              <w:t>≥4</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≥20</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≥30</w:t>
            </w:r>
          </w:p>
        </w:tc>
        <w:tc>
          <w:tcPr>
            <w:tcW w:w="984" w:type="dxa"/>
            <w:vAlign w:val="center"/>
          </w:tcPr>
          <w:p>
            <w:pPr>
              <w:spacing w:line="240" w:lineRule="auto"/>
              <w:jc w:val="center"/>
              <w:rPr>
                <w:rFonts w:ascii="宋体" w:hAnsi="宋体"/>
                <w:kern w:val="0"/>
                <w:szCs w:val="20"/>
              </w:rPr>
            </w:pPr>
            <w:r>
              <w:rPr>
                <w:rFonts w:hint="eastAsia" w:ascii="宋体" w:hAnsi="宋体"/>
                <w:kern w:val="0"/>
                <w:szCs w:val="20"/>
              </w:rPr>
              <w:t>≥35</w:t>
            </w:r>
          </w:p>
        </w:tc>
      </w:tr>
    </w:tbl>
    <w:p>
      <w:pPr>
        <w:spacing w:line="240" w:lineRule="auto"/>
        <w:rPr>
          <w:rFonts w:ascii="黑体" w:hAnsi="黑体" w:eastAsia="黑体"/>
          <w:kern w:val="0"/>
          <w:szCs w:val="20"/>
        </w:rPr>
      </w:pPr>
      <w:r>
        <w:rPr>
          <w:rFonts w:ascii="黑体" w:hAnsi="黑体" w:eastAsia="黑体"/>
          <w:kern w:val="0"/>
          <w:szCs w:val="20"/>
        </w:rPr>
        <w:t xml:space="preserve">12.4.2 </w:t>
      </w:r>
      <w:r>
        <w:rPr>
          <w:rFonts w:hint="eastAsia" w:ascii="宋体" w:hAnsi="宋体"/>
          <w:kern w:val="0"/>
          <w:szCs w:val="20"/>
        </w:rPr>
        <w:t>地聚物注浆施工</w:t>
      </w:r>
    </w:p>
    <w:p>
      <w:pPr>
        <w:spacing w:line="240" w:lineRule="auto"/>
        <w:rPr>
          <w:rFonts w:ascii="宋体" w:hAnsi="宋体"/>
          <w:kern w:val="0"/>
          <w:szCs w:val="20"/>
        </w:rPr>
      </w:pPr>
      <w:r>
        <w:rPr>
          <w:rFonts w:hint="eastAsia" w:ascii="宋体" w:hAnsi="宋体"/>
          <w:kern w:val="0"/>
          <w:szCs w:val="20"/>
        </w:rPr>
        <w:t xml:space="preserve">12.4.2.1 注浆时应先启动注浆设备，调整压力进行注浆。 </w:t>
      </w:r>
    </w:p>
    <w:p>
      <w:pPr>
        <w:spacing w:line="240" w:lineRule="auto"/>
        <w:rPr>
          <w:rFonts w:ascii="宋体" w:hAnsi="宋体"/>
          <w:kern w:val="0"/>
          <w:szCs w:val="20"/>
        </w:rPr>
      </w:pPr>
      <w:r>
        <w:rPr>
          <w:rFonts w:hint="eastAsia" w:ascii="宋体" w:hAnsi="宋体"/>
          <w:kern w:val="0"/>
          <w:szCs w:val="20"/>
        </w:rPr>
        <w:t xml:space="preserve">12.4.2.2 注浆压力超过设计允许最大压力时，应立即停止注浆。 </w:t>
      </w:r>
    </w:p>
    <w:p>
      <w:pPr>
        <w:spacing w:line="240" w:lineRule="auto"/>
        <w:rPr>
          <w:rFonts w:ascii="宋体" w:hAnsi="宋体"/>
          <w:kern w:val="0"/>
          <w:szCs w:val="20"/>
        </w:rPr>
      </w:pPr>
      <w:r>
        <w:rPr>
          <w:rFonts w:hint="eastAsia" w:ascii="宋体" w:hAnsi="宋体"/>
          <w:kern w:val="0"/>
          <w:szCs w:val="20"/>
        </w:rPr>
        <w:t>12.4.2.3 注浆过程中应控制路面抬升高度，路面抬升高度</w:t>
      </w:r>
      <w:r>
        <w:t>不应大于</w:t>
      </w:r>
      <w:r>
        <w:rPr>
          <w:rFonts w:hint="eastAsia" w:ascii="宋体" w:hAnsi="宋体"/>
          <w:kern w:val="0"/>
          <w:szCs w:val="20"/>
        </w:rPr>
        <w:t xml:space="preserve">2 cm，超出该控制值时，应立即停止注浆。 </w:t>
      </w:r>
    </w:p>
    <w:p>
      <w:pPr>
        <w:spacing w:line="240" w:lineRule="auto"/>
        <w:rPr>
          <w:rFonts w:ascii="宋体" w:hAnsi="宋体"/>
          <w:kern w:val="0"/>
          <w:szCs w:val="20"/>
        </w:rPr>
      </w:pPr>
      <w:r>
        <w:rPr>
          <w:rFonts w:hint="eastAsia" w:ascii="宋体" w:hAnsi="宋体"/>
          <w:kern w:val="0"/>
          <w:szCs w:val="20"/>
        </w:rPr>
        <w:t xml:space="preserve">12.4.2.4 注浆机活塞停止工作 15 s以上，应立即停止注浆。 </w:t>
      </w:r>
    </w:p>
    <w:p>
      <w:pPr>
        <w:spacing w:line="240" w:lineRule="auto"/>
        <w:rPr>
          <w:rFonts w:ascii="宋体" w:hAnsi="宋体"/>
          <w:kern w:val="0"/>
          <w:szCs w:val="20"/>
        </w:rPr>
      </w:pPr>
      <w:r>
        <w:rPr>
          <w:rFonts w:hint="eastAsia" w:ascii="宋体" w:hAnsi="宋体"/>
          <w:kern w:val="0"/>
          <w:szCs w:val="20"/>
        </w:rPr>
        <w:t>12.4.2.5 临近孔位返浆后，应先停止注浆，待将返浆孔封闭后，在原注浆孔继续注浆，直至浆液不再进入，或满足上述12.4.2.2—12.4.2.</w:t>
      </w:r>
      <w:r>
        <w:rPr>
          <w:rFonts w:ascii="宋体" w:hAnsi="宋体"/>
          <w:kern w:val="0"/>
          <w:szCs w:val="20"/>
        </w:rPr>
        <w:t>4</w:t>
      </w:r>
      <w:r>
        <w:rPr>
          <w:rFonts w:hint="eastAsia" w:ascii="宋体" w:hAnsi="宋体"/>
          <w:kern w:val="0"/>
          <w:szCs w:val="20"/>
        </w:rPr>
        <w:t xml:space="preserve">所述条件后，再换孔注浆。 </w:t>
      </w:r>
    </w:p>
    <w:p>
      <w:pPr>
        <w:spacing w:line="240" w:lineRule="auto"/>
        <w:rPr>
          <w:rFonts w:ascii="宋体" w:hAnsi="宋体"/>
          <w:kern w:val="0"/>
          <w:szCs w:val="20"/>
        </w:rPr>
      </w:pPr>
      <w:r>
        <w:rPr>
          <w:rFonts w:hint="eastAsia" w:ascii="宋体" w:hAnsi="宋体"/>
          <w:kern w:val="0"/>
          <w:szCs w:val="20"/>
        </w:rPr>
        <w:t>12.4.2.6 如采用的布孔方式为水钻机，布孔结束后孔内和破损位置都留存了较多的水分和泥浆，</w:t>
      </w:r>
      <w:r>
        <w:t>应增加临孔返浆后的冒浆时间，待冒出浆液与新拌制浆液颜色相近后封孔</w:t>
      </w:r>
      <w:r>
        <w:rPr>
          <w:rFonts w:hint="eastAsia" w:ascii="宋体" w:hAnsi="宋体"/>
          <w:kern w:val="0"/>
          <w:szCs w:val="20"/>
        </w:rPr>
        <w:t xml:space="preserve">。 </w:t>
      </w:r>
    </w:p>
    <w:p>
      <w:pPr>
        <w:spacing w:line="240" w:lineRule="auto"/>
        <w:rPr>
          <w:rFonts w:ascii="宋体" w:hAnsi="宋体"/>
          <w:kern w:val="0"/>
          <w:szCs w:val="20"/>
        </w:rPr>
      </w:pPr>
      <w:r>
        <w:rPr>
          <w:rFonts w:hint="eastAsia" w:ascii="宋体" w:hAnsi="宋体"/>
          <w:kern w:val="0"/>
          <w:szCs w:val="20"/>
        </w:rPr>
        <w:t xml:space="preserve">12.4.2.7 注浆头拔出时应用容器盛接防止浆液洒落路面，同时快速用塞子封闭注浆孔，并将洒溢在路面的浆液用布擦洗干净。单个施工区域注浆完毕，应用高压水对路面进行刷洗，同时用吸水布围挡吸收废液，并对废液进行收集盛装，集中处理。施工过程中环境保护应符合现行行业标准JTG/T 5142-01的有关规定。 </w:t>
      </w:r>
    </w:p>
    <w:p>
      <w:pPr>
        <w:spacing w:line="240" w:lineRule="auto"/>
        <w:rPr>
          <w:rFonts w:ascii="宋体" w:hAnsi="宋体"/>
          <w:kern w:val="0"/>
          <w:szCs w:val="20"/>
        </w:rPr>
      </w:pPr>
      <w:r>
        <w:rPr>
          <w:rFonts w:hint="eastAsia" w:ascii="宋体" w:hAnsi="宋体"/>
          <w:kern w:val="0"/>
          <w:szCs w:val="20"/>
        </w:rPr>
        <w:t>12.4.2.8 注浆管拔出后应立即封闭注浆孔，同时如不再进行注浆作业，应立即将注浆设备中的残料清除。</w:t>
      </w:r>
    </w:p>
    <w:p>
      <w:pPr>
        <w:pStyle w:val="112"/>
        <w:numPr>
          <w:ilvl w:val="0"/>
          <w:numId w:val="34"/>
        </w:numPr>
        <w:spacing w:before="312" w:after="312"/>
      </w:pPr>
      <w:bookmarkStart w:id="276" w:name="_Toc240476554"/>
      <w:r>
        <w:rPr>
          <w:rFonts w:hint="eastAsia"/>
        </w:rPr>
        <w:t>坑槽病害快速维修技术</w:t>
      </w:r>
      <w:bookmarkEnd w:id="276"/>
    </w:p>
    <w:p>
      <w:pPr>
        <w:pStyle w:val="265"/>
        <w:numPr>
          <w:ilvl w:val="1"/>
          <w:numId w:val="34"/>
        </w:numPr>
        <w:wordWrap/>
        <w:spacing w:before="156" w:after="156"/>
        <w:outlineLvl w:val="1"/>
      </w:pPr>
      <w:r>
        <w:rPr>
          <w:rFonts w:hint="eastAsia"/>
        </w:rPr>
        <w:t>坑槽处治一般要求</w:t>
      </w:r>
    </w:p>
    <w:p>
      <w:pPr>
        <w:pStyle w:val="243"/>
        <w:widowControl/>
        <w:numPr>
          <w:ilvl w:val="1"/>
          <w:numId w:val="2"/>
        </w:numPr>
        <w:wordWrap/>
        <w:autoSpaceDE/>
        <w:autoSpaceDN/>
        <w:spacing w:before="312" w:beforeLines="100" w:after="312" w:afterLines="100"/>
        <w:ind w:firstLineChars="0"/>
        <w:outlineLvl w:val="0"/>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173"/>
        <w:ind w:left="0"/>
      </w:pPr>
      <w:r>
        <w:t>应根据坑槽病害类型、严重程度及原因，采取合理措施及时进行修补。</w:t>
      </w:r>
    </w:p>
    <w:p>
      <w:pPr>
        <w:pStyle w:val="173"/>
        <w:ind w:left="0"/>
      </w:pPr>
      <w:r>
        <w:t>坑槽可采用就地热修补、热料热补、冷料冷补等方式，坑槽修补应符合下列</w:t>
      </w:r>
      <w:r>
        <w:rPr>
          <w:rFonts w:hint="eastAsia"/>
        </w:rPr>
        <w:t>规定：</w:t>
      </w:r>
    </w:p>
    <w:p>
      <w:pPr>
        <w:pStyle w:val="243"/>
        <w:numPr>
          <w:ilvl w:val="0"/>
          <w:numId w:val="35"/>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坑槽修补材料应具有足够的强度以及良好的高低温性能、抗水损坏和老化性能。</w:t>
      </w:r>
    </w:p>
    <w:p>
      <w:pPr>
        <w:pStyle w:val="243"/>
        <w:numPr>
          <w:ilvl w:val="0"/>
          <w:numId w:val="35"/>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应按“圆洞方补、斜洞正补”的原则，确定路面坑槽破损的边界。坑槽修补轮廓线与行车方向平行或垂直，并超过坑槽破损边界10—15cm。</w:t>
      </w:r>
    </w:p>
    <w:p>
      <w:pPr>
        <w:pStyle w:val="243"/>
        <w:numPr>
          <w:ilvl w:val="0"/>
          <w:numId w:val="35"/>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坑槽处治至损坏的最底部，修补后新填补部分应略高于原沥青路面。</w:t>
      </w:r>
    </w:p>
    <w:p>
      <w:pPr>
        <w:pStyle w:val="243"/>
        <w:numPr>
          <w:ilvl w:val="0"/>
          <w:numId w:val="35"/>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对于养护需求I级的坑槽处治，宜采用免养生类冷补技术。</w:t>
      </w:r>
    </w:p>
    <w:p>
      <w:pPr>
        <w:pStyle w:val="243"/>
        <w:numPr>
          <w:ilvl w:val="0"/>
          <w:numId w:val="35"/>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雨季和多雨地区，宜采用短养生水激发冷补技术。</w:t>
      </w:r>
    </w:p>
    <w:p>
      <w:pPr>
        <w:pStyle w:val="243"/>
        <w:numPr>
          <w:ilvl w:val="0"/>
          <w:numId w:val="35"/>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坑槽修补完成后，应清理作业区域，开放交通。</w:t>
      </w:r>
    </w:p>
    <w:p>
      <w:pPr>
        <w:pStyle w:val="265"/>
        <w:numPr>
          <w:ilvl w:val="1"/>
          <w:numId w:val="34"/>
        </w:numPr>
        <w:wordWrap/>
        <w:spacing w:before="156" w:after="156"/>
        <w:outlineLvl w:val="1"/>
      </w:pPr>
      <w:r>
        <w:rPr>
          <w:rFonts w:hint="eastAsia"/>
        </w:rPr>
        <w:t>免养生溶剂型冷补技术</w:t>
      </w: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numPr>
          <w:ilvl w:val="0"/>
          <w:numId w:val="0"/>
        </w:numPr>
        <w:spacing w:before="156" w:after="156"/>
      </w:pPr>
      <w:r>
        <w:rPr>
          <w:rFonts w:hint="eastAsia" w:hAnsi="黑体"/>
        </w:rPr>
        <w:t>1</w:t>
      </w:r>
      <w:r>
        <w:rPr>
          <w:rFonts w:hAnsi="黑体"/>
        </w:rPr>
        <w:t xml:space="preserve">3.2.1 </w:t>
      </w:r>
      <w:r>
        <w:rPr>
          <w:rFonts w:hint="eastAsia"/>
        </w:rPr>
        <w:t>免养生溶剂沥青</w:t>
      </w:r>
    </w:p>
    <w:p>
      <w:pPr>
        <w:pStyle w:val="172"/>
        <w:numPr>
          <w:ilvl w:val="0"/>
          <w:numId w:val="0"/>
        </w:numPr>
      </w:pPr>
      <w:r>
        <w:rPr>
          <w:rFonts w:hint="eastAsia" w:ascii="黑体" w:hAnsi="黑体" w:eastAsia="黑体"/>
        </w:rPr>
        <w:t>1</w:t>
      </w:r>
      <w:r>
        <w:rPr>
          <w:rFonts w:ascii="黑体" w:hAnsi="黑体" w:eastAsia="黑体"/>
        </w:rPr>
        <w:t xml:space="preserve">3.2.1.1 </w:t>
      </w:r>
      <w:r>
        <w:rPr>
          <w:rFonts w:hint="eastAsia"/>
        </w:rPr>
        <w:t>免养生溶剂沥青宜采用符合</w:t>
      </w:r>
      <w:r>
        <w:t>JTG F40</w:t>
      </w:r>
      <w:r>
        <w:rPr>
          <w:rFonts w:hint="eastAsia"/>
        </w:rPr>
        <w:t>规范规定的</w:t>
      </w:r>
      <w:r>
        <w:t>70</w:t>
      </w:r>
      <w:r>
        <w:rPr>
          <w:rFonts w:hint="eastAsia"/>
        </w:rPr>
        <w:t>号、</w:t>
      </w:r>
      <w:r>
        <w:t>90</w:t>
      </w:r>
      <w:r>
        <w:rPr>
          <w:rFonts w:hint="eastAsia"/>
        </w:rPr>
        <w:t>号</w:t>
      </w:r>
      <w:r>
        <w:t>A</w:t>
      </w:r>
      <w:r>
        <w:rPr>
          <w:rFonts w:hint="eastAsia"/>
        </w:rPr>
        <w:t>级道路石油沥青，不宜选用改性沥青。</w:t>
      </w:r>
    </w:p>
    <w:p>
      <w:pPr>
        <w:pStyle w:val="172"/>
        <w:numPr>
          <w:ilvl w:val="0"/>
          <w:numId w:val="0"/>
        </w:numPr>
      </w:pPr>
      <w:r>
        <w:rPr>
          <w:rFonts w:hint="eastAsia" w:ascii="黑体" w:hAnsi="黑体" w:eastAsia="黑体"/>
        </w:rPr>
        <w:t>1</w:t>
      </w:r>
      <w:r>
        <w:rPr>
          <w:rFonts w:ascii="黑体" w:hAnsi="黑体" w:eastAsia="黑体"/>
        </w:rPr>
        <w:t xml:space="preserve">3.2.1.2 </w:t>
      </w:r>
      <w:r>
        <w:rPr>
          <w:rFonts w:hint="eastAsia"/>
        </w:rPr>
        <w:t>免养生溶剂沥青应根据季节与施工温度选择不同黏度的溶剂油作为稀释剂。</w:t>
      </w:r>
    </w:p>
    <w:p>
      <w:pPr>
        <w:pStyle w:val="172"/>
        <w:numPr>
          <w:ilvl w:val="0"/>
          <w:numId w:val="0"/>
        </w:numPr>
      </w:pPr>
      <w:r>
        <w:rPr>
          <w:rFonts w:hint="eastAsia" w:ascii="黑体" w:hAnsi="黑体" w:eastAsia="黑体"/>
        </w:rPr>
        <w:t>1</w:t>
      </w:r>
      <w:r>
        <w:rPr>
          <w:rFonts w:ascii="黑体" w:hAnsi="黑体" w:eastAsia="黑体"/>
        </w:rPr>
        <w:t xml:space="preserve">3.2.1.3 </w:t>
      </w:r>
      <w:r>
        <w:rPr>
          <w:rFonts w:hint="eastAsia"/>
        </w:rPr>
        <w:t>抗剥落剂宜选用多胺类的表面活性剂，应明显提升稀释沥青与集料间的黏附性能。</w:t>
      </w:r>
    </w:p>
    <w:p>
      <w:pPr>
        <w:pStyle w:val="172"/>
        <w:numPr>
          <w:ilvl w:val="0"/>
          <w:numId w:val="0"/>
        </w:numPr>
      </w:pPr>
      <w:r>
        <w:rPr>
          <w:rFonts w:hint="eastAsia" w:ascii="黑体" w:hAnsi="黑体" w:eastAsia="黑体"/>
        </w:rPr>
        <w:t>1</w:t>
      </w:r>
      <w:r>
        <w:rPr>
          <w:rFonts w:ascii="黑体" w:hAnsi="黑体" w:eastAsia="黑体"/>
        </w:rPr>
        <w:t xml:space="preserve">3.2.1.4 </w:t>
      </w:r>
      <w:r>
        <w:rPr>
          <w:rFonts w:hint="eastAsia"/>
        </w:rPr>
        <w:t>免养生溶剂沥青固化时间</w:t>
      </w:r>
      <w:r>
        <w:t>t</w:t>
      </w:r>
      <w:r>
        <w:rPr>
          <w:rFonts w:hint="eastAsia"/>
          <w:vertAlign w:val="subscript"/>
        </w:rPr>
        <w:t>固</w:t>
      </w:r>
      <w:r>
        <w:rPr>
          <w:rFonts w:hint="eastAsia"/>
        </w:rPr>
        <w:t>应不大于</w:t>
      </w:r>
      <w:r>
        <w:t>10min</w:t>
      </w:r>
      <w:r>
        <w:rPr>
          <w:rFonts w:hint="eastAsia"/>
        </w:rPr>
        <w:t>。</w:t>
      </w:r>
    </w:p>
    <w:p>
      <w:pPr>
        <w:pStyle w:val="73"/>
        <w:numPr>
          <w:ilvl w:val="0"/>
          <w:numId w:val="0"/>
        </w:numPr>
        <w:spacing w:before="156" w:after="156"/>
      </w:pPr>
      <w:r>
        <w:rPr>
          <w:rFonts w:hint="eastAsia" w:hAnsi="黑体"/>
        </w:rPr>
        <w:t>1</w:t>
      </w:r>
      <w:r>
        <w:rPr>
          <w:rFonts w:hAnsi="黑体"/>
        </w:rPr>
        <w:t xml:space="preserve">3.2.2 </w:t>
      </w:r>
      <w:r>
        <w:rPr>
          <w:rFonts w:hint="eastAsia"/>
        </w:rPr>
        <w:t>集料</w:t>
      </w:r>
    </w:p>
    <w:p>
      <w:pPr>
        <w:pStyle w:val="172"/>
        <w:numPr>
          <w:ilvl w:val="0"/>
          <w:numId w:val="0"/>
        </w:numPr>
        <w:ind w:firstLine="424" w:firstLineChars="202"/>
      </w:pPr>
      <w:r>
        <w:rPr>
          <w:rFonts w:hint="eastAsia"/>
        </w:rPr>
        <w:t>集料应选择洁净、干燥的玄武岩、石灰岩、磷灰盐，集料最大公称粒径应根据不同坑槽修补厚度进行选择。集料级配应包括粗集料、细集料和填料。粗、细集料在满足传统规范要求基础上，应提高集料的坚固性、压碎值等指标。</w:t>
      </w:r>
    </w:p>
    <w:p>
      <w:pPr>
        <w:pStyle w:val="73"/>
        <w:numPr>
          <w:ilvl w:val="0"/>
          <w:numId w:val="0"/>
        </w:numPr>
        <w:spacing w:before="156" w:after="156"/>
      </w:pPr>
      <w:r>
        <w:rPr>
          <w:rFonts w:hint="eastAsia" w:hAnsi="黑体"/>
        </w:rPr>
        <w:t>1</w:t>
      </w:r>
      <w:r>
        <w:rPr>
          <w:rFonts w:hAnsi="黑体"/>
        </w:rPr>
        <w:t xml:space="preserve">3.2.3 </w:t>
      </w:r>
      <w:r>
        <w:rPr>
          <w:rFonts w:hint="eastAsia"/>
        </w:rPr>
        <w:t>混合料制备</w:t>
      </w:r>
    </w:p>
    <w:p>
      <w:pPr>
        <w:pStyle w:val="172"/>
        <w:numPr>
          <w:ilvl w:val="0"/>
          <w:numId w:val="0"/>
        </w:numPr>
      </w:pPr>
      <w:r>
        <w:rPr>
          <w:rFonts w:hint="eastAsia" w:ascii="黑体" w:hAnsi="黑体" w:eastAsia="黑体"/>
        </w:rPr>
        <w:t>1</w:t>
      </w:r>
      <w:r>
        <w:rPr>
          <w:rFonts w:ascii="黑体" w:hAnsi="黑体" w:eastAsia="黑体"/>
        </w:rPr>
        <w:t xml:space="preserve">3.2.3.1 </w:t>
      </w:r>
      <w:r>
        <w:rPr>
          <w:rFonts w:hint="eastAsia"/>
        </w:rPr>
        <w:t>配合比设计应根据坑槽深度设计相应的级配与油石比，以保证通车后不易产生泛油。</w:t>
      </w:r>
    </w:p>
    <w:p>
      <w:pPr>
        <w:pStyle w:val="172"/>
        <w:numPr>
          <w:ilvl w:val="0"/>
          <w:numId w:val="0"/>
        </w:numPr>
      </w:pPr>
      <w:r>
        <w:rPr>
          <w:rFonts w:hint="eastAsia" w:ascii="黑体" w:hAnsi="黑体" w:eastAsia="黑体"/>
        </w:rPr>
        <w:t>1</w:t>
      </w:r>
      <w:r>
        <w:rPr>
          <w:rFonts w:ascii="黑体" w:hAnsi="黑体" w:eastAsia="黑体"/>
        </w:rPr>
        <w:t>3.2.3.2</w:t>
      </w:r>
      <w:r>
        <w:rPr>
          <w:rFonts w:hint="eastAsia"/>
        </w:rPr>
        <w:t>基质沥青加热温度宜控制在</w:t>
      </w:r>
      <w:r>
        <w:t>110</w:t>
      </w:r>
      <w:r>
        <w:rPr>
          <w:rFonts w:hint="eastAsia"/>
        </w:rPr>
        <w:t>℃±</w:t>
      </w:r>
      <w:r>
        <w:t>10</w:t>
      </w:r>
      <w:r>
        <w:rPr>
          <w:rFonts w:hint="eastAsia"/>
        </w:rPr>
        <w:t>℃，溶剂油温度宜控制在室温加入基质沥青中制备稀释沥青。</w:t>
      </w:r>
    </w:p>
    <w:p>
      <w:pPr>
        <w:pStyle w:val="172"/>
        <w:numPr>
          <w:ilvl w:val="0"/>
          <w:numId w:val="0"/>
        </w:numPr>
      </w:pPr>
      <w:r>
        <w:rPr>
          <w:rFonts w:hint="eastAsia" w:ascii="黑体" w:hAnsi="黑体" w:eastAsia="黑体"/>
        </w:rPr>
        <w:t>1</w:t>
      </w:r>
      <w:r>
        <w:rPr>
          <w:rFonts w:ascii="黑体" w:hAnsi="黑体" w:eastAsia="黑体"/>
        </w:rPr>
        <w:t xml:space="preserve">3.2.3.3 </w:t>
      </w:r>
      <w:r>
        <w:rPr>
          <w:rFonts w:hint="eastAsia"/>
        </w:rPr>
        <w:t>混合料制备时，稀释沥青温度应控制在</w:t>
      </w:r>
      <w:r>
        <w:t>80</w:t>
      </w:r>
      <w:r>
        <w:rPr>
          <w:rFonts w:hint="eastAsia"/>
        </w:rPr>
        <w:t>℃±</w:t>
      </w:r>
      <w:r>
        <w:t>10</w:t>
      </w:r>
      <w:r>
        <w:rPr>
          <w:rFonts w:hint="eastAsia"/>
        </w:rPr>
        <w:t>℃，集料温度应为室温，出料温度应控制在</w:t>
      </w:r>
      <w:r>
        <w:t>40-60</w:t>
      </w:r>
      <w:r>
        <w:rPr>
          <w:rFonts w:hint="eastAsia"/>
        </w:rPr>
        <w:t>℃。</w:t>
      </w:r>
    </w:p>
    <w:p>
      <w:pPr>
        <w:pStyle w:val="73"/>
        <w:numPr>
          <w:ilvl w:val="0"/>
          <w:numId w:val="0"/>
        </w:numPr>
        <w:spacing w:before="156" w:after="156"/>
      </w:pPr>
      <w:r>
        <w:rPr>
          <w:rFonts w:hint="eastAsia" w:hAnsi="黑体"/>
        </w:rPr>
        <w:t>1</w:t>
      </w:r>
      <w:r>
        <w:rPr>
          <w:rFonts w:hAnsi="黑体"/>
        </w:rPr>
        <w:t xml:space="preserve">3.2.4 </w:t>
      </w:r>
      <w:r>
        <w:rPr>
          <w:rFonts w:hint="eastAsia"/>
        </w:rPr>
        <w:t>混合料施工与验收</w:t>
      </w:r>
    </w:p>
    <w:p>
      <w:pPr>
        <w:pStyle w:val="172"/>
        <w:numPr>
          <w:ilvl w:val="0"/>
          <w:numId w:val="0"/>
        </w:numPr>
        <w:rPr>
          <w:rFonts w:hAnsi="宋体"/>
        </w:rPr>
      </w:pPr>
      <w:r>
        <w:rPr>
          <w:rFonts w:hint="eastAsia" w:hAnsi="宋体"/>
        </w:rPr>
        <w:t>1</w:t>
      </w:r>
      <w:r>
        <w:rPr>
          <w:rFonts w:hAnsi="宋体"/>
        </w:rPr>
        <w:t xml:space="preserve">3.2.4.1 </w:t>
      </w:r>
      <w:r>
        <w:rPr>
          <w:rFonts w:hint="eastAsia" w:hAnsi="宋体"/>
        </w:rPr>
        <w:t>免养生溶剂型冷补施工技术要求应符合现行行业标准CJJ 36的有关规定。</w:t>
      </w:r>
    </w:p>
    <w:p>
      <w:pPr>
        <w:pStyle w:val="265"/>
        <w:numPr>
          <w:ilvl w:val="1"/>
          <w:numId w:val="34"/>
        </w:numPr>
        <w:wordWrap/>
        <w:spacing w:before="156" w:after="156"/>
        <w:outlineLvl w:val="1"/>
        <w:rPr>
          <w:rFonts w:ascii="宋体" w:hAnsi="宋体" w:eastAsia="宋体" w:cs="宋体"/>
          <w:szCs w:val="21"/>
        </w:rPr>
      </w:pPr>
      <w:r>
        <w:t xml:space="preserve"> </w:t>
      </w:r>
      <w:r>
        <w:rPr>
          <w:rFonts w:hint="eastAsia"/>
        </w:rPr>
        <w:t>免养生环保型冷补技术</w:t>
      </w:r>
    </w:p>
    <w:p>
      <w:pPr>
        <w:pStyle w:val="73"/>
        <w:numPr>
          <w:ilvl w:val="3"/>
          <w:numId w:val="36"/>
        </w:numPr>
        <w:spacing w:before="156" w:after="156"/>
        <w:ind w:left="0"/>
      </w:pPr>
      <w:r>
        <w:rPr>
          <w:rFonts w:hint="eastAsia"/>
        </w:rPr>
        <w:t>免养生生物基稀释沥青</w:t>
      </w:r>
    </w:p>
    <w:p>
      <w:pPr>
        <w:pStyle w:val="172"/>
        <w:ind w:left="0"/>
      </w:pPr>
      <w:r>
        <w:rPr>
          <w:rFonts w:hint="eastAsia"/>
        </w:rPr>
        <w:t>免养生生物基稀释沥青宜采用符合</w:t>
      </w:r>
      <w:r>
        <w:t>JTG F40</w:t>
      </w:r>
      <w:r>
        <w:rPr>
          <w:rFonts w:hint="eastAsia"/>
        </w:rPr>
        <w:t>规范规定的</w:t>
      </w:r>
      <w:r>
        <w:t>70</w:t>
      </w:r>
      <w:r>
        <w:rPr>
          <w:rFonts w:hint="eastAsia"/>
        </w:rPr>
        <w:t>号、</w:t>
      </w:r>
      <w:r>
        <w:t>90</w:t>
      </w:r>
      <w:r>
        <w:rPr>
          <w:rFonts w:hint="eastAsia"/>
        </w:rPr>
        <w:t>号</w:t>
      </w:r>
      <w:r>
        <w:t>A</w:t>
      </w:r>
      <w:r>
        <w:rPr>
          <w:rFonts w:hint="eastAsia"/>
        </w:rPr>
        <w:t>级道路石油沥青，不宜选用改性沥青。</w:t>
      </w:r>
    </w:p>
    <w:p>
      <w:pPr>
        <w:pStyle w:val="172"/>
        <w:ind w:left="0"/>
      </w:pPr>
      <w:r>
        <w:rPr>
          <w:rFonts w:hint="eastAsia"/>
        </w:rPr>
        <w:t>回收地沟油，应对地沟油进行精馏塔分离油，应保证回收生物油的有效成分不少于</w:t>
      </w:r>
      <w:r>
        <w:t>95%</w:t>
      </w:r>
      <w:r>
        <w:rPr>
          <w:rFonts w:hint="eastAsia"/>
        </w:rPr>
        <w:t>。</w:t>
      </w:r>
    </w:p>
    <w:p>
      <w:pPr>
        <w:pStyle w:val="172"/>
        <w:ind w:left="0"/>
      </w:pPr>
      <w:r>
        <w:rPr>
          <w:rFonts w:hint="eastAsia"/>
        </w:rPr>
        <w:t>应依据季节选择不同甲醇、乙醇、戊醇、十八醇等原材料对生物油进行</w:t>
      </w:r>
      <w:r>
        <w:t>甲酯化</w:t>
      </w:r>
      <w:r>
        <w:rPr>
          <w:rFonts w:hint="eastAsia"/>
        </w:rPr>
        <w:t>制备改性生物油。</w:t>
      </w:r>
    </w:p>
    <w:p>
      <w:pPr>
        <w:pStyle w:val="172"/>
        <w:ind w:left="0"/>
      </w:pPr>
      <w:r>
        <w:rPr>
          <w:rFonts w:hint="eastAsia"/>
        </w:rPr>
        <w:t>抗剥落剂剂宜选用多胺类的表面活性剂，应明显提升稀释沥青与集料间的黏附性能。</w:t>
      </w:r>
    </w:p>
    <w:p>
      <w:pPr>
        <w:pStyle w:val="172"/>
        <w:ind w:left="0"/>
      </w:pPr>
      <w:r>
        <w:rPr>
          <w:rFonts w:hint="eastAsia"/>
        </w:rPr>
        <w:t>免养生生物基稀释沥青固化时间</w:t>
      </w:r>
      <w:r>
        <w:t>t</w:t>
      </w:r>
      <w:r>
        <w:rPr>
          <w:rFonts w:hint="eastAsia"/>
        </w:rPr>
        <w:t>固应不大于</w:t>
      </w:r>
      <w:r>
        <w:t>10min</w:t>
      </w:r>
      <w:r>
        <w:rPr>
          <w:rFonts w:hint="eastAsia"/>
        </w:rPr>
        <w:t>。</w:t>
      </w:r>
    </w:p>
    <w:p>
      <w:pPr>
        <w:pStyle w:val="73"/>
        <w:numPr>
          <w:ilvl w:val="3"/>
          <w:numId w:val="36"/>
        </w:numPr>
        <w:spacing w:before="156" w:after="156"/>
        <w:ind w:left="0"/>
      </w:pPr>
      <w:r>
        <w:rPr>
          <w:rFonts w:hint="eastAsia"/>
        </w:rPr>
        <w:t>集料</w:t>
      </w:r>
    </w:p>
    <w:p>
      <w:pPr>
        <w:pStyle w:val="172"/>
        <w:numPr>
          <w:ilvl w:val="0"/>
          <w:numId w:val="0"/>
        </w:numPr>
        <w:ind w:firstLine="424" w:firstLineChars="202"/>
      </w:pPr>
      <w:r>
        <w:rPr>
          <w:rFonts w:hint="eastAsia"/>
        </w:rPr>
        <w:t>集料应选择洁净、干燥的玄武岩、石灰岩、磷灰盐，集料最大公称粒径应根据不同坑槽修补厚度进行选择。集料级配应包括粗集料、细集料和填料。粗、细集料在满足传统规范要求基础上，应提高集料的坚固性、压碎值等指标。</w:t>
      </w:r>
    </w:p>
    <w:p>
      <w:pPr>
        <w:pStyle w:val="73"/>
        <w:numPr>
          <w:ilvl w:val="3"/>
          <w:numId w:val="36"/>
        </w:numPr>
        <w:spacing w:before="156" w:after="156"/>
        <w:ind w:left="0"/>
      </w:pPr>
      <w:r>
        <w:rPr>
          <w:rFonts w:hint="eastAsia"/>
        </w:rPr>
        <w:t>配合比设计</w:t>
      </w:r>
    </w:p>
    <w:p>
      <w:pPr>
        <w:pStyle w:val="172"/>
        <w:ind w:left="0"/>
      </w:pPr>
      <w:r>
        <w:rPr>
          <w:rFonts w:hint="eastAsia"/>
        </w:rPr>
        <w:t>配合比设计应根据坑槽深度设计想用的级配与油石比，以保证通车后不易产生泛油。</w:t>
      </w:r>
    </w:p>
    <w:p>
      <w:pPr>
        <w:pStyle w:val="172"/>
        <w:ind w:left="0"/>
      </w:pPr>
      <w:r>
        <w:rPr>
          <w:rFonts w:hint="eastAsia"/>
        </w:rPr>
        <w:t>基质沥青加热温度宜控制在</w:t>
      </w:r>
      <w:r>
        <w:t>110</w:t>
      </w:r>
      <w:r>
        <w:rPr>
          <w:rFonts w:hint="eastAsia"/>
        </w:rPr>
        <w:t>℃±</w:t>
      </w:r>
      <w:r>
        <w:t>10</w:t>
      </w:r>
      <w:r>
        <w:rPr>
          <w:rFonts w:hint="eastAsia"/>
        </w:rPr>
        <w:t>℃，溶剂油温度宜控制在室温加入基质沥青中制备稀释沥青。混合料制备时，稀释沥青温度应控制在</w:t>
      </w:r>
      <w:r>
        <w:t>90</w:t>
      </w:r>
      <w:r>
        <w:rPr>
          <w:rFonts w:hint="eastAsia"/>
        </w:rPr>
        <w:t>℃±</w:t>
      </w:r>
      <w:r>
        <w:t>10</w:t>
      </w:r>
      <w:r>
        <w:rPr>
          <w:rFonts w:hint="eastAsia"/>
        </w:rPr>
        <w:t>℃，集料温度应为室温，出料温度应控制在</w:t>
      </w:r>
      <w:r>
        <w:t>60-80</w:t>
      </w:r>
      <w:r>
        <w:rPr>
          <w:rFonts w:hint="eastAsia"/>
        </w:rPr>
        <w:t>℃。</w:t>
      </w:r>
    </w:p>
    <w:p>
      <w:pPr>
        <w:pStyle w:val="73"/>
        <w:numPr>
          <w:ilvl w:val="3"/>
          <w:numId w:val="36"/>
        </w:numPr>
        <w:spacing w:before="156" w:after="156"/>
        <w:ind w:left="0"/>
      </w:pPr>
      <w:r>
        <w:rPr>
          <w:rFonts w:hint="eastAsia"/>
        </w:rPr>
        <w:t>混合料施工与验收</w:t>
      </w:r>
    </w:p>
    <w:p>
      <w:pPr>
        <w:spacing w:line="240" w:lineRule="auto"/>
        <w:ind w:firstLine="420" w:firstLineChars="200"/>
        <w:rPr>
          <w:rFonts w:ascii="宋体" w:hAnsi="宋体" w:cs="宋体"/>
        </w:rPr>
      </w:pPr>
      <w:r>
        <w:rPr>
          <w:rFonts w:hint="eastAsia" w:ascii="宋体" w:hAnsi="宋体" w:cs="宋体"/>
        </w:rPr>
        <w:t>免养生环保型冷补施工技术要求应符合</w:t>
      </w:r>
      <w:r>
        <w:rPr>
          <w:rFonts w:hint="eastAsia" w:ascii="宋体" w:hAnsi="宋体"/>
          <w:kern w:val="0"/>
          <w:szCs w:val="20"/>
        </w:rPr>
        <w:t>现行行业标准</w:t>
      </w:r>
      <w:r>
        <w:rPr>
          <w:rFonts w:hint="eastAsia" w:ascii="宋体" w:hAnsi="宋体" w:cs="宋体"/>
        </w:rPr>
        <w:t>CJJ 36的有关规定。</w:t>
      </w:r>
    </w:p>
    <w:p>
      <w:pPr>
        <w:pStyle w:val="265"/>
        <w:numPr>
          <w:ilvl w:val="1"/>
          <w:numId w:val="34"/>
        </w:numPr>
        <w:wordWrap/>
        <w:spacing w:before="156" w:after="156"/>
        <w:outlineLvl w:val="1"/>
      </w:pPr>
      <w:r>
        <w:rPr>
          <w:rFonts w:hint="eastAsia"/>
        </w:rPr>
        <w:t>短养生水激发冷补技术</w:t>
      </w:r>
    </w:p>
    <w:p>
      <w:pPr>
        <w:pStyle w:val="243"/>
        <w:widowControl/>
        <w:numPr>
          <w:ilvl w:val="2"/>
          <w:numId w:val="36"/>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numPr>
          <w:ilvl w:val="3"/>
          <w:numId w:val="36"/>
        </w:numPr>
        <w:spacing w:before="156" w:after="156"/>
        <w:ind w:left="0"/>
      </w:pPr>
      <w:r>
        <w:rPr>
          <w:rFonts w:hint="eastAsia"/>
        </w:rPr>
        <w:t>短养生水激发冷补液</w:t>
      </w:r>
    </w:p>
    <w:p>
      <w:pPr>
        <w:spacing w:line="240" w:lineRule="auto"/>
        <w:ind w:firstLine="420" w:firstLineChars="200"/>
        <w:rPr>
          <w:rFonts w:ascii="宋体" w:hAnsi="宋体" w:cs="宋体"/>
        </w:rPr>
      </w:pPr>
      <w:r>
        <w:rPr>
          <w:rFonts w:hint="eastAsia" w:ascii="宋体" w:hAnsi="宋体" w:cs="宋体"/>
        </w:rPr>
        <w:t>水激发冷补液宜选用单组分聚氨酯材料，单组分聚氨酯固化后断裂延伸率</w:t>
      </w:r>
      <w:r>
        <w:rPr>
          <w:rFonts w:ascii="Times New Roman" w:hAnsi="Times New Roman"/>
          <w:i/>
          <w:iCs/>
        </w:rPr>
        <w:t>δ</w:t>
      </w:r>
      <w:r>
        <w:rPr>
          <w:rFonts w:ascii="Times New Roman" w:hAnsi="Times New Roman"/>
          <w:i/>
          <w:iCs/>
          <w:vertAlign w:val="subscript"/>
        </w:rPr>
        <w:t>b</w:t>
      </w:r>
      <w:r>
        <w:rPr>
          <w:rFonts w:hint="eastAsia" w:ascii="宋体" w:hAnsi="宋体" w:cs="宋体"/>
        </w:rPr>
        <w:t>不低于</w:t>
      </w:r>
      <w:r>
        <w:rPr>
          <w:rFonts w:ascii="宋体" w:hAnsi="宋体" w:cs="宋体"/>
        </w:rPr>
        <w:t>400%</w:t>
      </w:r>
      <w:r>
        <w:rPr>
          <w:rFonts w:hint="eastAsia" w:ascii="宋体" w:hAnsi="宋体" w:cs="宋体"/>
        </w:rPr>
        <w:t>，拉伸强度</w:t>
      </w:r>
      <w:r>
        <w:rPr>
          <w:rFonts w:ascii="Times New Roman" w:hAnsi="Times New Roman"/>
          <w:i/>
          <w:iCs/>
        </w:rPr>
        <w:t>σ</w:t>
      </w:r>
      <w:r>
        <w:rPr>
          <w:rFonts w:ascii="Times New Roman" w:hAnsi="Times New Roman"/>
          <w:i/>
          <w:iCs/>
          <w:vertAlign w:val="subscript"/>
        </w:rPr>
        <w:t>b</w:t>
      </w:r>
      <w:r>
        <w:rPr>
          <w:rFonts w:hint="eastAsia" w:ascii="宋体" w:hAnsi="宋体" w:cs="宋体"/>
        </w:rPr>
        <w:t>不低于</w:t>
      </w:r>
      <w:r>
        <w:rPr>
          <w:rFonts w:ascii="宋体" w:hAnsi="宋体" w:cs="宋体"/>
        </w:rPr>
        <w:t>2MPa</w:t>
      </w:r>
      <w:r>
        <w:rPr>
          <w:rFonts w:hint="eastAsia" w:ascii="宋体" w:hAnsi="宋体" w:cs="宋体"/>
        </w:rPr>
        <w:t>。</w:t>
      </w:r>
    </w:p>
    <w:p>
      <w:pPr>
        <w:pStyle w:val="73"/>
        <w:numPr>
          <w:ilvl w:val="3"/>
          <w:numId w:val="36"/>
        </w:numPr>
        <w:spacing w:before="156" w:after="156"/>
        <w:ind w:left="0"/>
      </w:pPr>
      <w:r>
        <w:rPr>
          <w:rFonts w:hint="eastAsia"/>
        </w:rPr>
        <w:t>集料</w:t>
      </w:r>
    </w:p>
    <w:p>
      <w:pPr>
        <w:pStyle w:val="172"/>
        <w:ind w:left="0"/>
      </w:pPr>
      <w:r>
        <w:rPr>
          <w:rFonts w:hint="eastAsia"/>
        </w:rPr>
        <w:t>集料应选择洁净、干燥的玄武岩、石灰岩、磷灰盐，集料最大公称粒径应根据不同坑槽修补厚度进行选择。</w:t>
      </w:r>
    </w:p>
    <w:p>
      <w:pPr>
        <w:pStyle w:val="172"/>
        <w:ind w:left="0"/>
      </w:pPr>
      <w:r>
        <w:rPr>
          <w:rFonts w:hint="eastAsia"/>
        </w:rPr>
        <w:t>集料级配应包括粗集料、细集料和填料。粗、细集料在满足传统规范要求基础上，应提高集料的坚固性、压碎值等指标。</w:t>
      </w:r>
    </w:p>
    <w:p>
      <w:pPr>
        <w:pStyle w:val="73"/>
        <w:numPr>
          <w:ilvl w:val="3"/>
          <w:numId w:val="36"/>
        </w:numPr>
        <w:spacing w:before="156" w:after="156"/>
        <w:ind w:left="0"/>
      </w:pPr>
      <w:r>
        <w:rPr>
          <w:rFonts w:hint="eastAsia"/>
        </w:rPr>
        <w:t>混合料制拌</w:t>
      </w:r>
    </w:p>
    <w:p>
      <w:pPr>
        <w:pStyle w:val="172"/>
        <w:ind w:left="0"/>
      </w:pPr>
      <w:r>
        <w:rPr>
          <w:rFonts w:hint="eastAsia"/>
        </w:rPr>
        <w:t>短养生水激发冷补料宜在现场拌合现场修补，拌合设备宜采用水泥卧罐。制拌设备应满足原材料计量、温度控制及混合料拌合的要求。</w:t>
      </w:r>
    </w:p>
    <w:p>
      <w:pPr>
        <w:pStyle w:val="172"/>
        <w:ind w:left="0"/>
      </w:pPr>
      <w:r>
        <w:rPr>
          <w:rFonts w:hint="eastAsia"/>
        </w:rPr>
        <w:t>将特定级配的石料加入到卧罐中，拌合三分钟，加入一定量水激发冷补料，搅拌五分钟，最后加入矿粉再搅拌五分钟制备出水激发冷补料。</w:t>
      </w:r>
    </w:p>
    <w:p>
      <w:pPr>
        <w:pStyle w:val="73"/>
        <w:numPr>
          <w:ilvl w:val="3"/>
          <w:numId w:val="36"/>
        </w:numPr>
        <w:spacing w:before="156" w:after="156"/>
        <w:ind w:left="0"/>
      </w:pPr>
      <w:r>
        <w:rPr>
          <w:rFonts w:hint="eastAsia" w:hAnsi="黑体"/>
        </w:rPr>
        <w:t>混合料施工与验收</w:t>
      </w:r>
    </w:p>
    <w:p>
      <w:pPr>
        <w:spacing w:line="240" w:lineRule="auto"/>
        <w:ind w:firstLine="420" w:firstLineChars="200"/>
        <w:rPr>
          <w:rFonts w:ascii="宋体" w:hAnsi="宋体" w:cs="宋体"/>
        </w:rPr>
      </w:pPr>
      <w:r>
        <w:rPr>
          <w:rFonts w:hint="eastAsia" w:ascii="宋体" w:hAnsi="宋体" w:cs="宋体"/>
        </w:rPr>
        <w:t>短养生水激发冷补施工技术要求应符合</w:t>
      </w:r>
      <w:r>
        <w:rPr>
          <w:rFonts w:hint="eastAsia" w:ascii="宋体" w:hAnsi="宋体"/>
          <w:kern w:val="0"/>
          <w:szCs w:val="20"/>
        </w:rPr>
        <w:t>现行行业标准</w:t>
      </w:r>
      <w:r>
        <w:rPr>
          <w:rFonts w:hint="eastAsia" w:ascii="宋体" w:hAnsi="宋体" w:cs="宋体"/>
        </w:rPr>
        <w:t>CJJ 36的有关规定。</w:t>
      </w:r>
    </w:p>
    <w:p>
      <w:pPr>
        <w:pStyle w:val="112"/>
        <w:numPr>
          <w:ilvl w:val="0"/>
          <w:numId w:val="34"/>
        </w:numPr>
        <w:spacing w:before="312" w:after="312"/>
      </w:pPr>
      <w:bookmarkStart w:id="277" w:name="_Toc240476555"/>
      <w:r>
        <w:rPr>
          <w:rFonts w:hint="eastAsia"/>
        </w:rPr>
        <w:t>车辙病害快速维修技术</w:t>
      </w:r>
      <w:bookmarkEnd w:id="277"/>
    </w:p>
    <w:p>
      <w:pPr>
        <w:pStyle w:val="265"/>
        <w:numPr>
          <w:ilvl w:val="1"/>
          <w:numId w:val="34"/>
        </w:numPr>
        <w:wordWrap/>
        <w:spacing w:before="156" w:after="156"/>
        <w:outlineLvl w:val="1"/>
      </w:pPr>
      <w:r>
        <w:rPr>
          <w:rFonts w:hint="eastAsia"/>
        </w:rPr>
        <w:t>车辙处治一般要求</w:t>
      </w:r>
    </w:p>
    <w:p>
      <w:pPr>
        <w:pStyle w:val="243"/>
        <w:widowControl/>
        <w:numPr>
          <w:ilvl w:val="1"/>
          <w:numId w:val="2"/>
        </w:numPr>
        <w:wordWrap/>
        <w:autoSpaceDE/>
        <w:autoSpaceDN/>
        <w:spacing w:before="312" w:beforeLines="100" w:after="312" w:afterLines="100"/>
        <w:ind w:firstLineChars="0"/>
        <w:outlineLvl w:val="0"/>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173"/>
        <w:ind w:left="0"/>
      </w:pPr>
      <w:r>
        <w:rPr>
          <w:rFonts w:hint="eastAsia"/>
        </w:rPr>
        <w:t>应根据车辙病害类型、范围、严重程度及原因，合理确定采取局部车辙处治或大范围直接填充、铣刨重铺等措施。</w:t>
      </w:r>
    </w:p>
    <w:p>
      <w:pPr>
        <w:pStyle w:val="173"/>
        <w:ind w:left="0"/>
      </w:pPr>
      <w:r>
        <w:t>当车辙在15mm以上时，可采用铣刨机清除</w:t>
      </w:r>
      <w:r>
        <w:rPr>
          <w:rFonts w:hint="eastAsia"/>
        </w:rPr>
        <w:t>；</w:t>
      </w:r>
      <w:r>
        <w:t>当联结层损坏时，应将损坏部位全部挖除，重新修补</w:t>
      </w:r>
      <w:r>
        <w:rPr>
          <w:rFonts w:hint="eastAsia"/>
        </w:rPr>
        <w:t>；</w:t>
      </w:r>
      <w:r>
        <w:t>因基层局部下沉而造成的车辙，应先修补基层。</w:t>
      </w:r>
    </w:p>
    <w:p>
      <w:pPr>
        <w:pStyle w:val="173"/>
        <w:ind w:left="0"/>
      </w:pPr>
      <w:r>
        <w:rPr>
          <w:rFonts w:hint="eastAsia"/>
        </w:rPr>
        <w:t>局部车辙处治可采用微表处填充，也可采用坑槽等病害综合热修补车进行现场加热、耙松、补料与压实处理，还可采取局部铣刨重铺措施。</w:t>
      </w:r>
    </w:p>
    <w:p>
      <w:pPr>
        <w:pStyle w:val="173"/>
        <w:ind w:left="0"/>
      </w:pPr>
      <w:r>
        <w:rPr>
          <w:rFonts w:hint="eastAsia"/>
        </w:rPr>
        <w:t>车辙直接填充材料采用微表处，也可采用热拌或温拌沥青混合料、高模量沥青混合料、功能性罩面材料等。</w:t>
      </w:r>
    </w:p>
    <w:p>
      <w:pPr>
        <w:pStyle w:val="173"/>
        <w:ind w:left="0"/>
      </w:pPr>
      <w:r>
        <w:rPr>
          <w:rFonts w:hint="eastAsia"/>
        </w:rPr>
        <w:t>车辙铣刨重铺材料可采用热拌温拌或冷拌沥青混合料、高模量沥青混合料、功能性罩面材料等。</w:t>
      </w:r>
    </w:p>
    <w:p>
      <w:pPr>
        <w:pStyle w:val="265"/>
        <w:numPr>
          <w:ilvl w:val="1"/>
          <w:numId w:val="34"/>
        </w:numPr>
        <w:wordWrap/>
        <w:spacing w:before="156" w:after="156"/>
        <w:outlineLvl w:val="1"/>
      </w:pPr>
      <w:r>
        <w:rPr>
          <w:rFonts w:hint="eastAsia"/>
        </w:rPr>
        <w:t>微表处</w:t>
      </w:r>
    </w:p>
    <w:p>
      <w:pPr>
        <w:pStyle w:val="243"/>
        <w:widowControl/>
        <w:numPr>
          <w:ilvl w:val="2"/>
          <w:numId w:val="36"/>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243"/>
        <w:widowControl/>
        <w:numPr>
          <w:ilvl w:val="2"/>
          <w:numId w:val="36"/>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numPr>
          <w:ilvl w:val="0"/>
          <w:numId w:val="0"/>
        </w:numPr>
        <w:spacing w:before="156" w:after="156"/>
      </w:pPr>
      <w:r>
        <w:rPr>
          <w:rFonts w:hint="eastAsia"/>
        </w:rPr>
        <w:t>1</w:t>
      </w:r>
      <w:r>
        <w:t>4</w:t>
      </w:r>
      <w:r>
        <w:rPr>
          <w:rFonts w:hint="eastAsia"/>
        </w:rPr>
        <w:t>.</w:t>
      </w:r>
      <w:r>
        <w:t xml:space="preserve">2.1  </w:t>
      </w:r>
      <w:r>
        <w:rPr>
          <w:rFonts w:hint="eastAsia"/>
        </w:rPr>
        <w:t>阳离子型乳化沥青</w:t>
      </w:r>
    </w:p>
    <w:p>
      <w:pPr>
        <w:spacing w:line="240" w:lineRule="auto"/>
        <w:ind w:firstLine="420" w:firstLineChars="200"/>
        <w:rPr>
          <w:rFonts w:ascii="宋体" w:hAnsi="Times New Roman"/>
          <w:kern w:val="0"/>
          <w:szCs w:val="20"/>
        </w:rPr>
      </w:pPr>
      <w:r>
        <w:rPr>
          <w:rFonts w:hint="eastAsia" w:ascii="Times New Roman" w:hAnsi="Times New Roman"/>
          <w:kern w:val="0"/>
          <w:szCs w:val="20"/>
        </w:rPr>
        <w:t>微表处应采阳离子型改性沥青，改性剂剂量（改性剂有效成分占纯沥青的质量百分比）不宜小于3%，其技术指标应符合JTG F4</w:t>
      </w:r>
      <w:r>
        <w:rPr>
          <w:rFonts w:hint="eastAsia" w:ascii="宋体" w:hAnsi="Times New Roman"/>
          <w:kern w:val="0"/>
          <w:szCs w:val="20"/>
        </w:rPr>
        <w:t>0中相关规定。</w:t>
      </w:r>
    </w:p>
    <w:p>
      <w:pPr>
        <w:pStyle w:val="73"/>
        <w:numPr>
          <w:ilvl w:val="0"/>
          <w:numId w:val="0"/>
        </w:numPr>
        <w:spacing w:before="156" w:after="156"/>
      </w:pPr>
      <w:r>
        <w:rPr>
          <w:rFonts w:hint="eastAsia"/>
        </w:rPr>
        <w:t>1</w:t>
      </w:r>
      <w:r>
        <w:t>4</w:t>
      </w:r>
      <w:r>
        <w:rPr>
          <w:rFonts w:hint="eastAsia"/>
        </w:rPr>
        <w:t>.</w:t>
      </w:r>
      <w:r>
        <w:t xml:space="preserve">2.2  </w:t>
      </w:r>
      <w:r>
        <w:rPr>
          <w:rFonts w:hint="eastAsia"/>
        </w:rPr>
        <w:t>集料</w:t>
      </w:r>
    </w:p>
    <w:p>
      <w:pPr>
        <w:spacing w:line="240" w:lineRule="auto"/>
        <w:ind w:firstLine="420" w:firstLineChars="200"/>
        <w:rPr>
          <w:rFonts w:ascii="Times New Roman" w:hAnsi="Times New Roman"/>
          <w:kern w:val="0"/>
          <w:szCs w:val="20"/>
        </w:rPr>
      </w:pPr>
      <w:r>
        <w:rPr>
          <w:rFonts w:hint="eastAsia" w:ascii="Times New Roman" w:hAnsi="Times New Roman"/>
          <w:kern w:val="0"/>
          <w:szCs w:val="20"/>
        </w:rPr>
        <w:t>微表处矿料可采用不同规格的粗细集料、矿粉等掺配而成，粗集料应选择坚硬粗糙、耐磨、洁净的集料，细集料宜采用碱性石料生产的机制砂，其技术指标应满足</w:t>
      </w:r>
      <w:r>
        <w:rPr>
          <w:rFonts w:hint="eastAsia" w:ascii="宋体" w:hAnsi="宋体"/>
          <w:kern w:val="0"/>
          <w:szCs w:val="20"/>
        </w:rPr>
        <w:t>现行行业标准</w:t>
      </w:r>
      <w:r>
        <w:rPr>
          <w:rFonts w:hint="eastAsia" w:ascii="Times New Roman" w:hAnsi="Times New Roman"/>
          <w:kern w:val="0"/>
          <w:szCs w:val="20"/>
        </w:rPr>
        <w:t>JTG F40中的相关规定。</w:t>
      </w:r>
    </w:p>
    <w:p>
      <w:pPr>
        <w:pStyle w:val="73"/>
        <w:numPr>
          <w:ilvl w:val="0"/>
          <w:numId w:val="0"/>
        </w:numPr>
        <w:spacing w:before="156" w:after="156"/>
      </w:pPr>
      <w:r>
        <w:rPr>
          <w:rFonts w:hint="eastAsia"/>
        </w:rPr>
        <w:t>1</w:t>
      </w:r>
      <w:r>
        <w:t>4</w:t>
      </w:r>
      <w:r>
        <w:rPr>
          <w:rFonts w:hint="eastAsia"/>
        </w:rPr>
        <w:t>.</w:t>
      </w:r>
      <w:r>
        <w:t xml:space="preserve">2.3  </w:t>
      </w:r>
      <w:r>
        <w:rPr>
          <w:rFonts w:hint="eastAsia"/>
        </w:rPr>
        <w:t>填料</w:t>
      </w:r>
    </w:p>
    <w:p>
      <w:pPr>
        <w:spacing w:line="240" w:lineRule="auto"/>
        <w:ind w:firstLine="420" w:firstLineChars="200"/>
        <w:rPr>
          <w:rFonts w:ascii="Times New Roman" w:hAnsi="Times New Roman"/>
          <w:kern w:val="0"/>
          <w:szCs w:val="20"/>
        </w:rPr>
      </w:pPr>
      <w:r>
        <w:rPr>
          <w:rFonts w:hint="eastAsia" w:ascii="Times New Roman" w:hAnsi="Times New Roman"/>
          <w:kern w:val="0"/>
          <w:szCs w:val="20"/>
        </w:rPr>
        <w:t>微表处填料可采用矿粉、水泥、消石灰等，应干燥、疏松，无结团，并符合</w:t>
      </w:r>
      <w:r>
        <w:rPr>
          <w:rFonts w:hint="eastAsia" w:ascii="宋体" w:hAnsi="宋体"/>
          <w:kern w:val="0"/>
          <w:szCs w:val="20"/>
        </w:rPr>
        <w:t>现行行业标准</w:t>
      </w:r>
      <w:r>
        <w:rPr>
          <w:rFonts w:hint="eastAsia" w:ascii="Times New Roman" w:hAnsi="Times New Roman"/>
          <w:kern w:val="0"/>
          <w:szCs w:val="20"/>
        </w:rPr>
        <w:t>JTG F40中相关规定。</w:t>
      </w:r>
    </w:p>
    <w:p>
      <w:pPr>
        <w:pStyle w:val="73"/>
        <w:numPr>
          <w:ilvl w:val="0"/>
          <w:numId w:val="0"/>
        </w:numPr>
        <w:spacing w:before="156" w:after="156"/>
      </w:pPr>
      <w:r>
        <w:rPr>
          <w:rFonts w:hint="eastAsia"/>
        </w:rPr>
        <w:t>1</w:t>
      </w:r>
      <w:r>
        <w:t>4</w:t>
      </w:r>
      <w:r>
        <w:rPr>
          <w:rFonts w:hint="eastAsia"/>
        </w:rPr>
        <w:t>.</w:t>
      </w:r>
      <w:r>
        <w:t xml:space="preserve">2.4  </w:t>
      </w:r>
      <w:r>
        <w:rPr>
          <w:rFonts w:hint="eastAsia" w:hAnsi="黑体"/>
        </w:rPr>
        <w:t>添加剂与纤维</w:t>
      </w:r>
    </w:p>
    <w:p>
      <w:pPr>
        <w:pStyle w:val="172"/>
        <w:numPr>
          <w:ilvl w:val="0"/>
          <w:numId w:val="0"/>
        </w:numPr>
      </w:pPr>
      <w:r>
        <w:rPr>
          <w:rFonts w:hint="eastAsia" w:ascii="黑体" w:hAnsi="黑体" w:eastAsia="黑体"/>
        </w:rPr>
        <w:t>1</w:t>
      </w:r>
      <w:r>
        <w:rPr>
          <w:rFonts w:ascii="黑体" w:hAnsi="黑体" w:eastAsia="黑体"/>
        </w:rPr>
        <w:t xml:space="preserve">4.2.4.1  </w:t>
      </w:r>
      <w:r>
        <w:rPr>
          <w:rFonts w:hint="eastAsia"/>
        </w:rPr>
        <w:t>微表处添加剂可采用无机盐类添加剂、有机类添加剂等，添加剂的掺加不应对混合料性能产生不利影响，未经试验验证的添加剂不应在施工中采用。</w:t>
      </w:r>
    </w:p>
    <w:p>
      <w:pPr>
        <w:pStyle w:val="172"/>
        <w:numPr>
          <w:ilvl w:val="0"/>
          <w:numId w:val="0"/>
        </w:numPr>
      </w:pPr>
      <w:r>
        <w:rPr>
          <w:rFonts w:hint="eastAsia" w:ascii="黑体" w:hAnsi="黑体" w:eastAsia="黑体"/>
        </w:rPr>
        <w:t>1</w:t>
      </w:r>
      <w:r>
        <w:rPr>
          <w:rFonts w:ascii="黑体" w:hAnsi="黑体" w:eastAsia="黑体"/>
        </w:rPr>
        <w:t xml:space="preserve">4.2.4.2  </w:t>
      </w:r>
      <w:r>
        <w:rPr>
          <w:rFonts w:hint="eastAsia"/>
        </w:rPr>
        <w:t>掺入微表处的纤维类型可选用玻璃纤维、聚酯纤维、矿物纤维或玄武岩纤维状态为卷轴式纤维盘，长度为6mm、8mm或12mm。</w:t>
      </w:r>
    </w:p>
    <w:p>
      <w:pPr>
        <w:pStyle w:val="73"/>
        <w:numPr>
          <w:ilvl w:val="0"/>
          <w:numId w:val="0"/>
        </w:numPr>
        <w:spacing w:before="156" w:after="156"/>
        <w:rPr>
          <w:rFonts w:hAnsi="黑体"/>
        </w:rPr>
      </w:pPr>
      <w:r>
        <w:rPr>
          <w:rFonts w:hint="eastAsia"/>
        </w:rPr>
        <w:t>1</w:t>
      </w:r>
      <w:r>
        <w:t>4</w:t>
      </w:r>
      <w:r>
        <w:rPr>
          <w:rFonts w:hint="eastAsia"/>
        </w:rPr>
        <w:t>.</w:t>
      </w:r>
      <w:r>
        <w:t xml:space="preserve">2.5  </w:t>
      </w:r>
      <w:r>
        <w:rPr>
          <w:rFonts w:hint="eastAsia"/>
        </w:rPr>
        <w:t>黏层材料</w:t>
      </w:r>
    </w:p>
    <w:p>
      <w:pPr>
        <w:spacing w:line="240" w:lineRule="auto"/>
        <w:ind w:firstLine="420" w:firstLineChars="200"/>
        <w:rPr>
          <w:rFonts w:ascii="Times New Roman" w:hAnsi="Times New Roman"/>
          <w:kern w:val="0"/>
          <w:szCs w:val="20"/>
        </w:rPr>
      </w:pPr>
      <w:r>
        <w:rPr>
          <w:rFonts w:hint="eastAsia" w:ascii="Times New Roman" w:hAnsi="Times New Roman"/>
          <w:kern w:val="0"/>
          <w:szCs w:val="20"/>
        </w:rPr>
        <w:t>同步微表处黏层材料应采用符合</w:t>
      </w:r>
      <w:r>
        <w:rPr>
          <w:rFonts w:hint="eastAsia" w:ascii="宋体" w:hAnsi="宋体"/>
          <w:kern w:val="0"/>
          <w:szCs w:val="20"/>
        </w:rPr>
        <w:t>现行行业标准</w:t>
      </w:r>
      <w:r>
        <w:rPr>
          <w:rFonts w:hint="eastAsia" w:ascii="Times New Roman" w:hAnsi="Times New Roman"/>
          <w:kern w:val="0"/>
          <w:szCs w:val="20"/>
        </w:rPr>
        <w:t>JTG F40中规定的改性乳化沥青，其蒸发残留物含量不应小于62%。</w:t>
      </w:r>
    </w:p>
    <w:p>
      <w:pPr>
        <w:pStyle w:val="73"/>
        <w:numPr>
          <w:ilvl w:val="0"/>
          <w:numId w:val="0"/>
        </w:numPr>
        <w:spacing w:before="156" w:after="156"/>
      </w:pPr>
      <w:r>
        <w:rPr>
          <w:rFonts w:hint="eastAsia"/>
        </w:rPr>
        <w:t>1</w:t>
      </w:r>
      <w:r>
        <w:t>4</w:t>
      </w:r>
      <w:r>
        <w:rPr>
          <w:rFonts w:hint="eastAsia"/>
        </w:rPr>
        <w:t>.</w:t>
      </w:r>
      <w:r>
        <w:t xml:space="preserve">2.6  </w:t>
      </w:r>
      <w:r>
        <w:rPr>
          <w:rFonts w:hint="eastAsia"/>
        </w:rPr>
        <w:t>配合比设计</w:t>
      </w:r>
    </w:p>
    <w:p>
      <w:pPr>
        <w:spacing w:line="240" w:lineRule="auto"/>
        <w:ind w:firstLine="420" w:firstLineChars="200"/>
        <w:rPr>
          <w:rFonts w:ascii="Times New Roman" w:hAnsi="Times New Roman"/>
          <w:kern w:val="0"/>
          <w:szCs w:val="20"/>
        </w:rPr>
      </w:pPr>
      <w:r>
        <w:rPr>
          <w:rFonts w:hint="eastAsia" w:ascii="Times New Roman" w:hAnsi="Times New Roman"/>
          <w:kern w:val="0"/>
          <w:szCs w:val="20"/>
        </w:rPr>
        <w:t>用于车辙填充的微表处混合料配合比设计，其矿料级配宜在MS-3型级配范围的中值和下限之间，级配范围与混合料使用性能应符合</w:t>
      </w:r>
      <w:r>
        <w:rPr>
          <w:rFonts w:hint="eastAsia" w:ascii="宋体" w:hAnsi="宋体"/>
          <w:kern w:val="0"/>
          <w:szCs w:val="20"/>
        </w:rPr>
        <w:t>现行行业标准</w:t>
      </w:r>
      <w:r>
        <w:rPr>
          <w:rFonts w:hint="eastAsia" w:ascii="Times New Roman" w:hAnsi="Times New Roman"/>
          <w:kern w:val="0"/>
          <w:szCs w:val="20"/>
        </w:rPr>
        <w:t>JTG F40中的相关规定。</w:t>
      </w:r>
    </w:p>
    <w:p>
      <w:pPr>
        <w:pStyle w:val="73"/>
        <w:numPr>
          <w:ilvl w:val="0"/>
          <w:numId w:val="0"/>
        </w:numPr>
        <w:spacing w:before="156" w:after="156"/>
      </w:pPr>
      <w:r>
        <w:rPr>
          <w:rFonts w:hint="eastAsia"/>
        </w:rPr>
        <w:t>1</w:t>
      </w:r>
      <w:r>
        <w:t>4</w:t>
      </w:r>
      <w:r>
        <w:rPr>
          <w:rFonts w:hint="eastAsia"/>
        </w:rPr>
        <w:t>.</w:t>
      </w:r>
      <w:r>
        <w:t xml:space="preserve">2.7  </w:t>
      </w:r>
      <w:r>
        <w:rPr>
          <w:rFonts w:hint="eastAsia"/>
        </w:rPr>
        <w:t>施工工艺</w:t>
      </w:r>
    </w:p>
    <w:p>
      <w:pPr>
        <w:pStyle w:val="172"/>
        <w:numPr>
          <w:ilvl w:val="0"/>
          <w:numId w:val="0"/>
        </w:numPr>
      </w:pPr>
      <w:r>
        <w:rPr>
          <w:rFonts w:hint="eastAsia" w:ascii="黑体" w:hAnsi="黑体" w:eastAsia="黑体"/>
        </w:rPr>
        <w:t>1</w:t>
      </w:r>
      <w:r>
        <w:rPr>
          <w:rFonts w:ascii="黑体" w:hAnsi="黑体" w:eastAsia="黑体"/>
        </w:rPr>
        <w:t xml:space="preserve">4.2.7.1 </w:t>
      </w:r>
      <w:r>
        <w:rPr>
          <w:rFonts w:hint="eastAsia"/>
        </w:rPr>
        <w:t>微表处应采用专用摊铺机摊铺，微表处摊铺机的拌和箱应为大功率双轴强制搅拌式，摊铺箱应带有两排布料器，摊铺机应具有精确计量系统并可记录或显示矿料、改性乳化沥青等的用量。</w:t>
      </w:r>
    </w:p>
    <w:p>
      <w:pPr>
        <w:pStyle w:val="172"/>
        <w:numPr>
          <w:ilvl w:val="0"/>
          <w:numId w:val="0"/>
        </w:numPr>
      </w:pPr>
      <w:r>
        <w:rPr>
          <w:rFonts w:hint="eastAsia" w:ascii="黑体" w:hAnsi="黑体" w:eastAsia="黑体"/>
        </w:rPr>
        <w:t>1</w:t>
      </w:r>
      <w:r>
        <w:rPr>
          <w:rFonts w:ascii="黑体" w:hAnsi="黑体" w:eastAsia="黑体"/>
        </w:rPr>
        <w:t xml:space="preserve">4.2.7.2 </w:t>
      </w:r>
      <w:r>
        <w:rPr>
          <w:rFonts w:hint="eastAsia"/>
        </w:rPr>
        <w:t>掺入纤维的微表处应采用同步微表处摊铺机进行黏层喷洒、纤维切割添加和微表处摊铺的同步施工方法。原路面表面光滑时，宜采用同步微表处摊铺机进行黏层喷洒和微表处摊铺的同步施工方法，过于光滑的原路面表面可采用拉毛处理，保证微表处与原路面黏结良好而不脱落。</w:t>
      </w:r>
    </w:p>
    <w:p>
      <w:pPr>
        <w:pStyle w:val="172"/>
        <w:numPr>
          <w:ilvl w:val="0"/>
          <w:numId w:val="0"/>
        </w:numPr>
      </w:pPr>
      <w:r>
        <w:rPr>
          <w:rFonts w:hint="eastAsia" w:ascii="黑体" w:hAnsi="黑体" w:eastAsia="黑体"/>
        </w:rPr>
        <w:t>1</w:t>
      </w:r>
      <w:r>
        <w:rPr>
          <w:rFonts w:ascii="黑体" w:hAnsi="黑体" w:eastAsia="黑体"/>
        </w:rPr>
        <w:t xml:space="preserve">4.2.7.3 </w:t>
      </w:r>
      <w:r>
        <w:rPr>
          <w:rFonts w:hint="eastAsia"/>
        </w:rPr>
        <w:t>微表处施工环境要求以及拌和、摊铺、供料、人工找补、纵横缝搭接、养生等工艺应符合JTG F40中的有关规定执行。</w:t>
      </w:r>
    </w:p>
    <w:p>
      <w:pPr>
        <w:pStyle w:val="172"/>
        <w:numPr>
          <w:ilvl w:val="0"/>
          <w:numId w:val="0"/>
        </w:numPr>
      </w:pPr>
      <w:r>
        <w:rPr>
          <w:rFonts w:hint="eastAsia" w:ascii="黑体" w:hAnsi="黑体" w:eastAsia="黑体"/>
        </w:rPr>
        <w:t>1</w:t>
      </w:r>
      <w:r>
        <w:rPr>
          <w:rFonts w:ascii="黑体" w:hAnsi="黑体" w:eastAsia="黑体"/>
        </w:rPr>
        <w:t xml:space="preserve">4.2.7.4 </w:t>
      </w:r>
      <w:r>
        <w:rPr>
          <w:rFonts w:hint="eastAsia"/>
        </w:rPr>
        <w:t>深度不大于15mm的不规则车辙或轻度车辙，可按要求一次全宽刮平摊铺；深度为15—30mm的车辙填补应采用专用的V形摊铺箱，并按两层进行摊铺，宜在第一层摊铺完开放交通24h后进行第二层摊铺。</w:t>
      </w:r>
    </w:p>
    <w:p>
      <w:pPr>
        <w:pStyle w:val="265"/>
        <w:numPr>
          <w:ilvl w:val="1"/>
          <w:numId w:val="34"/>
        </w:numPr>
        <w:wordWrap/>
        <w:spacing w:before="156" w:after="156"/>
        <w:outlineLvl w:val="1"/>
      </w:pPr>
      <w:r>
        <w:rPr>
          <w:rFonts w:hint="eastAsia"/>
        </w:rPr>
        <w:t>超薄罩面</w:t>
      </w:r>
    </w:p>
    <w:p>
      <w:pPr>
        <w:pStyle w:val="73"/>
        <w:numPr>
          <w:ilvl w:val="3"/>
          <w:numId w:val="37"/>
        </w:numPr>
        <w:spacing w:before="156" w:after="156"/>
        <w:ind w:left="0"/>
      </w:pPr>
      <w:r>
        <w:rPr>
          <w:rFonts w:hint="eastAsia"/>
        </w:rPr>
        <w:t>集料</w:t>
      </w:r>
    </w:p>
    <w:p>
      <w:pPr>
        <w:pStyle w:val="172"/>
        <w:spacing w:before="156" w:beforeLines="50" w:after="156" w:afterLines="50"/>
        <w:ind w:left="0"/>
        <w:outlineLvl w:val="3"/>
        <w:rPr>
          <w:b/>
          <w:bCs/>
        </w:rPr>
      </w:pPr>
      <w:r>
        <w:rPr>
          <w:rFonts w:hint="eastAsia" w:ascii="黑体" w:eastAsia="黑体"/>
        </w:rPr>
        <w:t>一般规定</w:t>
      </w:r>
    </w:p>
    <w:p>
      <w:pPr>
        <w:pStyle w:val="175"/>
      </w:pPr>
      <w:r>
        <w:rPr>
          <w:rFonts w:hint="eastAsia"/>
        </w:rPr>
        <w:t>沥青路面使用的各种材料运至现场后应取样进行质量检验，经检验合格后可使用；不应以供应商提供的检测报告或商检报告代替现场检测。</w:t>
      </w:r>
    </w:p>
    <w:p>
      <w:pPr>
        <w:pStyle w:val="175"/>
      </w:pPr>
      <w:r>
        <w:rPr>
          <w:rFonts w:hint="eastAsia"/>
        </w:rPr>
        <w:t>沥青路面集料选择应进行料源调查，料源宜就地选择，质量应符合使用要求。</w:t>
      </w:r>
    </w:p>
    <w:p>
      <w:pPr>
        <w:pStyle w:val="175"/>
      </w:pPr>
      <w:r>
        <w:rPr>
          <w:rFonts w:hint="eastAsia"/>
        </w:rPr>
        <w:t>集料粒径规格以方孔筛为准，不同料源、品种、规格的集料不应混杂堆放。</w:t>
      </w:r>
    </w:p>
    <w:p>
      <w:pPr>
        <w:pStyle w:val="172"/>
        <w:spacing w:before="156" w:beforeLines="50" w:after="156" w:afterLines="50"/>
        <w:ind w:left="0"/>
        <w:outlineLvl w:val="3"/>
        <w:rPr>
          <w:rFonts w:ascii="黑体" w:eastAsia="黑体"/>
        </w:rPr>
      </w:pPr>
      <w:r>
        <w:rPr>
          <w:rFonts w:hint="eastAsia" w:ascii="黑体" w:eastAsia="黑体"/>
        </w:rPr>
        <w:t>粗、细集料</w:t>
      </w:r>
    </w:p>
    <w:p>
      <w:pPr>
        <w:pStyle w:val="175"/>
      </w:pPr>
      <w:r>
        <w:rPr>
          <w:rFonts w:hint="eastAsia"/>
        </w:rPr>
        <w:t>密级配超薄铺装应采用石质坚硬、清洁、不含风化颗粒、近立方体颗粒的碎石，粒径大于</w:t>
      </w:r>
      <w:r>
        <w:t>2.36mm</w:t>
      </w:r>
      <w:r>
        <w:rPr>
          <w:rFonts w:hint="eastAsia"/>
        </w:rPr>
        <w:t>。</w:t>
      </w:r>
      <w:r>
        <w:t>应控制</w:t>
      </w:r>
      <w:r>
        <w:rPr>
          <w:rFonts w:hint="eastAsia"/>
        </w:rPr>
        <w:t>细长扁平颗粒含量，确保粗集料的质量。</w:t>
      </w:r>
    </w:p>
    <w:p>
      <w:pPr>
        <w:pStyle w:val="175"/>
      </w:pPr>
      <w:r>
        <w:rPr>
          <w:rFonts w:hint="eastAsia"/>
        </w:rPr>
        <w:t>密级配超薄铺装采用坚硬、洁净、干燥、无风化、无杂质并有适当级配的人工轧制的机制砂，不应采用山场下脚料。</w:t>
      </w:r>
    </w:p>
    <w:p>
      <w:pPr>
        <w:pStyle w:val="172"/>
        <w:spacing w:before="156" w:beforeLines="50" w:after="156" w:afterLines="50"/>
        <w:ind w:left="0"/>
        <w:outlineLvl w:val="3"/>
        <w:rPr>
          <w:rFonts w:ascii="黑体" w:eastAsia="黑体"/>
        </w:rPr>
      </w:pPr>
      <w:r>
        <w:rPr>
          <w:rFonts w:hint="eastAsia" w:ascii="黑体" w:eastAsia="黑体"/>
        </w:rPr>
        <w:t>矿粉</w:t>
      </w:r>
    </w:p>
    <w:p>
      <w:pPr>
        <w:pStyle w:val="175"/>
      </w:pPr>
      <w:r>
        <w:rPr>
          <w:rFonts w:hint="eastAsia"/>
        </w:rPr>
        <w:t>宜采用石灰岩等碱性石料经磨细得到的矿粉。</w:t>
      </w:r>
    </w:p>
    <w:p>
      <w:pPr>
        <w:pStyle w:val="175"/>
      </w:pPr>
      <w:r>
        <w:rPr>
          <w:rFonts w:hint="eastAsia"/>
        </w:rPr>
        <w:t>拌和机回收的粉料不宜用于拌制沥青混合料，以确保沥青面层的质量。</w:t>
      </w:r>
    </w:p>
    <w:p>
      <w:pPr>
        <w:pStyle w:val="175"/>
      </w:pPr>
      <w:r>
        <w:rPr>
          <w:rFonts w:hint="eastAsia"/>
        </w:rPr>
        <w:t>矿粉应干燥、清洁。</w:t>
      </w:r>
    </w:p>
    <w:p>
      <w:pPr>
        <w:pStyle w:val="172"/>
        <w:spacing w:before="156" w:beforeLines="50" w:after="156" w:afterLines="50"/>
        <w:ind w:left="0"/>
        <w:outlineLvl w:val="3"/>
        <w:rPr>
          <w:rFonts w:ascii="黑体" w:eastAsia="黑体"/>
        </w:rPr>
      </w:pPr>
      <w:r>
        <w:rPr>
          <w:rFonts w:hint="eastAsia" w:ascii="黑体" w:eastAsia="黑体"/>
        </w:rPr>
        <w:t>沥青</w:t>
      </w:r>
    </w:p>
    <w:p>
      <w:pPr>
        <w:spacing w:line="240" w:lineRule="auto"/>
        <w:ind w:firstLine="420" w:firstLineChars="200"/>
        <w:rPr>
          <w:rFonts w:ascii="宋体" w:hAnsi="宋体" w:cs="宋体"/>
        </w:rPr>
      </w:pPr>
      <w:r>
        <w:rPr>
          <w:rFonts w:hint="eastAsia" w:ascii="宋体" w:hAnsi="宋体" w:cs="宋体"/>
        </w:rPr>
        <w:t>沥青宜采用</w:t>
      </w:r>
      <w:r>
        <w:rPr>
          <w:rFonts w:ascii="宋体" w:hAnsi="宋体" w:cs="宋体"/>
        </w:rPr>
        <w:t>I-C</w:t>
      </w:r>
      <w:r>
        <w:rPr>
          <w:rFonts w:hint="eastAsia" w:ascii="宋体" w:hAnsi="宋体" w:cs="宋体"/>
        </w:rPr>
        <w:t>、</w:t>
      </w:r>
      <w:r>
        <w:rPr>
          <w:rFonts w:ascii="宋体" w:hAnsi="宋体" w:cs="宋体"/>
        </w:rPr>
        <w:t>I-D</w:t>
      </w:r>
      <w:r>
        <w:rPr>
          <w:rFonts w:hint="eastAsia" w:ascii="宋体" w:hAnsi="宋体" w:cs="宋体"/>
        </w:rPr>
        <w:t>、</w:t>
      </w:r>
      <w:r>
        <w:rPr>
          <w:rFonts w:ascii="宋体" w:hAnsi="宋体" w:cs="宋体"/>
        </w:rPr>
        <w:t>PG76-22 SBS</w:t>
      </w:r>
      <w:r>
        <w:rPr>
          <w:rFonts w:hint="eastAsia" w:ascii="宋体" w:hAnsi="宋体" w:cs="宋体"/>
        </w:rPr>
        <w:t>改性沥青等。</w:t>
      </w:r>
    </w:p>
    <w:p>
      <w:pPr>
        <w:pStyle w:val="172"/>
        <w:spacing w:before="156" w:beforeLines="50" w:after="156" w:afterLines="50"/>
        <w:ind w:left="0"/>
        <w:outlineLvl w:val="3"/>
        <w:rPr>
          <w:rFonts w:ascii="黑体" w:eastAsia="黑体"/>
        </w:rPr>
      </w:pPr>
      <w:r>
        <w:rPr>
          <w:rFonts w:hint="eastAsia" w:ascii="黑体" w:eastAsia="黑体"/>
        </w:rPr>
        <w:t>复合增效剂</w:t>
      </w:r>
    </w:p>
    <w:p>
      <w:pPr>
        <w:spacing w:line="240" w:lineRule="auto"/>
        <w:ind w:firstLine="420" w:firstLineChars="200"/>
        <w:rPr>
          <w:rFonts w:ascii="宋体" w:hAnsi="宋体" w:cs="宋体"/>
        </w:rPr>
      </w:pPr>
      <w:r>
        <w:rPr>
          <w:rFonts w:hint="eastAsia" w:ascii="宋体" w:hAnsi="宋体" w:cs="宋体"/>
        </w:rPr>
        <w:t>复合增效剂宜选用经过试验验证，有良好的路用性能的外掺剂，</w:t>
      </w:r>
      <w:r>
        <w:t>不宜采用</w:t>
      </w:r>
      <w:r>
        <w:rPr>
          <w:rFonts w:hint="eastAsia" w:ascii="宋体" w:hAnsi="宋体" w:cs="宋体"/>
        </w:rPr>
        <w:t>未经过实际应用的同类产品。为确保施工和易性，复合增效剂融滴点宜控制在</w:t>
      </w:r>
      <w:r>
        <w:rPr>
          <w:rFonts w:ascii="宋体" w:hAnsi="宋体" w:cs="宋体"/>
        </w:rPr>
        <w:t>120-140</w:t>
      </w:r>
      <w:r>
        <w:rPr>
          <w:rFonts w:hint="eastAsia" w:ascii="宋体" w:hAnsi="宋体" w:cs="宋体"/>
        </w:rPr>
        <w:t>℃。</w:t>
      </w:r>
    </w:p>
    <w:p>
      <w:pPr>
        <w:pStyle w:val="172"/>
        <w:spacing w:before="156" w:beforeLines="50" w:after="156" w:afterLines="50"/>
        <w:ind w:left="0"/>
        <w:outlineLvl w:val="3"/>
        <w:rPr>
          <w:rFonts w:ascii="黑体" w:eastAsia="黑体"/>
        </w:rPr>
      </w:pPr>
      <w:r>
        <w:rPr>
          <w:rFonts w:hint="eastAsia" w:ascii="黑体" w:eastAsia="黑体"/>
        </w:rPr>
        <w:t>粘层油</w:t>
      </w:r>
    </w:p>
    <w:p>
      <w:pPr>
        <w:spacing w:line="240" w:lineRule="auto"/>
        <w:ind w:firstLine="420" w:firstLineChars="200"/>
        <w:rPr>
          <w:rFonts w:ascii="宋体" w:hAnsi="宋体" w:cs="宋体"/>
        </w:rPr>
      </w:pPr>
      <w:r>
        <w:rPr>
          <w:rFonts w:hint="eastAsia" w:ascii="宋体" w:hAnsi="宋体" w:cs="宋体"/>
        </w:rPr>
        <w:t>为保证施工质量，粘层油宜采用高黏粘层油、不粘轮乳化沥青等。</w:t>
      </w:r>
    </w:p>
    <w:p>
      <w:pPr>
        <w:pStyle w:val="73"/>
        <w:numPr>
          <w:ilvl w:val="3"/>
          <w:numId w:val="37"/>
        </w:numPr>
        <w:spacing w:before="156" w:after="156"/>
        <w:ind w:left="0"/>
      </w:pPr>
      <w:r>
        <w:rPr>
          <w:rFonts w:hint="eastAsia"/>
        </w:rPr>
        <w:t>混合料配合比设计</w:t>
      </w:r>
    </w:p>
    <w:p>
      <w:pPr>
        <w:pStyle w:val="172"/>
        <w:spacing w:before="156" w:beforeLines="50" w:after="156" w:afterLines="50"/>
        <w:ind w:left="0"/>
        <w:outlineLvl w:val="3"/>
        <w:rPr>
          <w:rFonts w:ascii="黑体" w:eastAsia="黑体"/>
        </w:rPr>
      </w:pPr>
      <w:r>
        <w:rPr>
          <w:rFonts w:hint="eastAsia" w:ascii="黑体" w:eastAsia="黑体"/>
        </w:rPr>
        <w:t>设计原则</w:t>
      </w:r>
    </w:p>
    <w:p>
      <w:pPr>
        <w:pStyle w:val="175"/>
      </w:pPr>
      <w:r>
        <w:rPr>
          <w:rFonts w:hint="eastAsia"/>
        </w:rPr>
        <w:t>密级配超薄铺装的配合比设计，应充分考虑使用要求、原路面状况、交通量、气候条件等因素，选择适当的密级配超薄铺装类型，确定施工方案。</w:t>
      </w:r>
    </w:p>
    <w:p>
      <w:pPr>
        <w:pStyle w:val="175"/>
      </w:pPr>
      <w:r>
        <w:rPr>
          <w:rFonts w:hint="eastAsia"/>
        </w:rPr>
        <w:t>密级配超薄铺装混合料的设计，应遵循现行规范关于热拌沥青混合料配合比设计的目标配合比、生产配合比以及试拌试铺验证三个阶段，确定矿料级配及最佳沥青用量。</w:t>
      </w:r>
    </w:p>
    <w:p>
      <w:pPr>
        <w:pStyle w:val="175"/>
      </w:pPr>
      <w:r>
        <w:rPr>
          <w:rFonts w:hint="eastAsia"/>
        </w:rPr>
        <w:t>密级配超薄铺装混合料配合比具体设计流程可遵循</w:t>
      </w:r>
      <w:r>
        <w:rPr>
          <w:rFonts w:hint="eastAsia" w:hAnsi="宋体"/>
          <w:szCs w:val="20"/>
        </w:rPr>
        <w:t>现行行业标准</w:t>
      </w:r>
      <w:r>
        <w:t>JTG F40</w:t>
      </w:r>
      <w:r>
        <w:rPr>
          <w:rFonts w:hint="eastAsia"/>
        </w:rPr>
        <w:t>中热拌沥青混合料配合比设计进行。</w:t>
      </w:r>
    </w:p>
    <w:p>
      <w:pPr>
        <w:pStyle w:val="172"/>
        <w:spacing w:before="156" w:beforeLines="50" w:after="156" w:afterLines="50"/>
        <w:ind w:left="0"/>
        <w:outlineLvl w:val="3"/>
        <w:rPr>
          <w:rFonts w:ascii="黑体" w:eastAsia="黑体"/>
        </w:rPr>
      </w:pPr>
      <w:r>
        <w:rPr>
          <w:rFonts w:hint="eastAsia" w:ascii="黑体" w:eastAsia="黑体"/>
        </w:rPr>
        <w:t>设计标准</w:t>
      </w:r>
    </w:p>
    <w:p>
      <w:pPr>
        <w:spacing w:line="240" w:lineRule="auto"/>
        <w:ind w:firstLine="420" w:firstLineChars="200"/>
        <w:rPr>
          <w:rFonts w:ascii="宋体" w:hAnsi="宋体" w:cs="宋体"/>
        </w:rPr>
      </w:pPr>
      <w:r>
        <w:rPr>
          <w:rFonts w:hint="eastAsia" w:ascii="宋体" w:hAnsi="宋体" w:cs="宋体"/>
        </w:rPr>
        <w:t>密级配超薄铺装混合料矿料级配应采用密级配。</w:t>
      </w:r>
    </w:p>
    <w:p>
      <w:pPr>
        <w:pStyle w:val="172"/>
        <w:spacing w:before="156" w:beforeLines="50" w:after="156" w:afterLines="50"/>
        <w:ind w:left="0"/>
        <w:outlineLvl w:val="3"/>
        <w:rPr>
          <w:rFonts w:ascii="黑体" w:eastAsia="黑体"/>
        </w:rPr>
      </w:pPr>
      <w:r>
        <w:rPr>
          <w:rFonts w:hint="eastAsia" w:ascii="黑体" w:eastAsia="黑体"/>
        </w:rPr>
        <w:t>复合增效剂掺量确定</w:t>
      </w:r>
    </w:p>
    <w:p>
      <w:pPr>
        <w:spacing w:line="240" w:lineRule="auto"/>
        <w:ind w:firstLine="420" w:firstLineChars="200"/>
        <w:rPr>
          <w:rFonts w:ascii="Times New Roman" w:hAnsi="Times New Roman"/>
        </w:rPr>
      </w:pPr>
      <w:r>
        <w:rPr>
          <w:rFonts w:hint="eastAsia" w:ascii="宋体" w:hAnsi="宋体" w:cs="宋体"/>
        </w:rPr>
        <w:t>复合增效剂掺量的选择应考虑以下因素：复合增效剂的种类与性能，且根据工程项目的交通、气候、环境条件及设计使用层位进行适当的调整。</w:t>
      </w:r>
    </w:p>
    <w:p>
      <w:pPr>
        <w:pStyle w:val="73"/>
        <w:numPr>
          <w:ilvl w:val="3"/>
          <w:numId w:val="37"/>
        </w:numPr>
        <w:spacing w:before="156" w:after="156"/>
        <w:ind w:left="0"/>
      </w:pPr>
      <w:r>
        <w:rPr>
          <w:rFonts w:hint="eastAsia"/>
        </w:rPr>
        <w:t>施工工艺</w:t>
      </w:r>
    </w:p>
    <w:p>
      <w:pPr>
        <w:pStyle w:val="172"/>
        <w:numPr>
          <w:ilvl w:val="0"/>
          <w:numId w:val="0"/>
        </w:numPr>
        <w:ind w:firstLine="424" w:firstLineChars="202"/>
        <w:rPr>
          <w:rFonts w:hAnsi="宋体" w:cs="宋体"/>
          <w:kern w:val="2"/>
          <w:szCs w:val="21"/>
        </w:rPr>
      </w:pPr>
      <w:r>
        <w:rPr>
          <w:rFonts w:hint="eastAsia" w:hAnsi="宋体" w:cs="宋体"/>
          <w:kern w:val="2"/>
          <w:szCs w:val="21"/>
        </w:rPr>
        <w:t>超薄罩面施工技术要求应符合</w:t>
      </w:r>
      <w:r>
        <w:rPr>
          <w:rFonts w:hint="eastAsia" w:hAnsi="宋体"/>
        </w:rPr>
        <w:t>现行行业标准</w:t>
      </w:r>
      <w:r>
        <w:rPr>
          <w:rFonts w:hint="eastAsia" w:hAnsi="宋体" w:cs="宋体"/>
          <w:kern w:val="2"/>
          <w:szCs w:val="21"/>
        </w:rPr>
        <w:t>JTG/T</w:t>
      </w:r>
      <w:r>
        <w:rPr>
          <w:rFonts w:hAnsi="宋体" w:cs="宋体"/>
          <w:kern w:val="2"/>
          <w:szCs w:val="21"/>
        </w:rPr>
        <w:t xml:space="preserve"> </w:t>
      </w:r>
      <w:r>
        <w:rPr>
          <w:rFonts w:hint="eastAsia" w:hAnsi="宋体" w:cs="宋体"/>
          <w:kern w:val="2"/>
          <w:szCs w:val="21"/>
        </w:rPr>
        <w:t>5142-01的有关规定。</w:t>
      </w:r>
    </w:p>
    <w:p>
      <w:pPr>
        <w:pStyle w:val="112"/>
        <w:numPr>
          <w:ilvl w:val="0"/>
          <w:numId w:val="34"/>
        </w:numPr>
        <w:spacing w:before="312" w:after="312"/>
        <w:rPr>
          <w:rFonts w:hAnsi="黑体"/>
        </w:rPr>
      </w:pPr>
      <w:bookmarkStart w:id="278" w:name="_Toc240476556"/>
      <w:r>
        <w:rPr>
          <w:rFonts w:hint="eastAsia" w:hAnsi="黑体"/>
        </w:rPr>
        <w:t>拥包</w:t>
      </w:r>
      <w:r>
        <w:rPr>
          <w:rFonts w:hint="eastAsia"/>
        </w:rPr>
        <w:t>病害快速维修技术</w:t>
      </w:r>
      <w:bookmarkEnd w:id="278"/>
    </w:p>
    <w:p>
      <w:pPr>
        <w:pStyle w:val="265"/>
        <w:numPr>
          <w:ilvl w:val="1"/>
          <w:numId w:val="34"/>
        </w:numPr>
        <w:wordWrap/>
        <w:spacing w:before="156" w:after="156"/>
        <w:outlineLvl w:val="1"/>
      </w:pPr>
      <w:r>
        <w:rPr>
          <w:rFonts w:hint="eastAsia"/>
        </w:rPr>
        <w:t>拥包处治一般要求</w:t>
      </w:r>
    </w:p>
    <w:p>
      <w:pPr>
        <w:pStyle w:val="243"/>
        <w:widowControl/>
        <w:numPr>
          <w:ilvl w:val="1"/>
          <w:numId w:val="2"/>
        </w:numPr>
        <w:wordWrap/>
        <w:autoSpaceDE/>
        <w:autoSpaceDN/>
        <w:spacing w:before="312" w:beforeLines="100" w:after="312" w:afterLines="100"/>
        <w:ind w:firstLineChars="0"/>
        <w:outlineLvl w:val="0"/>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spacing w:before="156" w:after="0" w:afterLines="0"/>
        <w:ind w:left="0"/>
        <w:rPr>
          <w:rFonts w:ascii="宋体" w:eastAsia="宋体"/>
        </w:rPr>
      </w:pPr>
      <w:r>
        <w:rPr>
          <w:rFonts w:hint="eastAsia" w:ascii="宋体" w:eastAsia="宋体"/>
        </w:rPr>
        <w:t>根据拥包病害类型及产生原因，可采用局部铣刨、局部铣刨重铺、整体铣刨重铺等处治方式，重铺材料可采用热拌或冷拌沥青混合料、功能性罩面材料、高性能冷补材料等。</w:t>
      </w:r>
    </w:p>
    <w:p>
      <w:pPr>
        <w:pStyle w:val="73"/>
        <w:spacing w:before="0" w:beforeLines="0" w:after="0" w:afterLines="0"/>
        <w:ind w:left="0"/>
        <w:rPr>
          <w:rFonts w:ascii="宋体" w:eastAsia="宋体"/>
        </w:rPr>
      </w:pPr>
      <w:r>
        <w:rPr>
          <w:rFonts w:hint="eastAsia" w:ascii="宋体" w:eastAsia="宋体"/>
        </w:rPr>
        <w:t>因沥青面层引起不同程度的路面波浪拥包，可采用下列方法进行处治：</w:t>
      </w:r>
    </w:p>
    <w:p>
      <w:pPr>
        <w:pStyle w:val="243"/>
        <w:numPr>
          <w:ilvl w:val="0"/>
          <w:numId w:val="38"/>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在波谷部位喷洒沥青，均匀撒布适当粒径的矿料，找平并压实。</w:t>
      </w:r>
    </w:p>
    <w:p>
      <w:pPr>
        <w:pStyle w:val="243"/>
        <w:numPr>
          <w:ilvl w:val="0"/>
          <w:numId w:val="38"/>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采用机械铣刨方法铣平波浪拥包的鼓起部分，必要时采用冷拌或温拌沥青混合料进行摊铺与压实。</w:t>
      </w:r>
    </w:p>
    <w:p>
      <w:pPr>
        <w:pStyle w:val="243"/>
        <w:numPr>
          <w:ilvl w:val="0"/>
          <w:numId w:val="38"/>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采用就地热再生进行处治。</w:t>
      </w:r>
    </w:p>
    <w:p>
      <w:pPr>
        <w:pStyle w:val="243"/>
        <w:numPr>
          <w:ilvl w:val="0"/>
          <w:numId w:val="38"/>
        </w:numPr>
        <w:ind w:firstLineChars="0"/>
        <w:rPr>
          <w:rFonts w:ascii="宋体" w:hAnsi="Times New Roman" w:eastAsia="宋体" w:cs="Times New Roman"/>
          <w:kern w:val="0"/>
          <w:szCs w:val="20"/>
        </w:rPr>
      </w:pPr>
      <w:r>
        <w:rPr>
          <w:rFonts w:hint="eastAsia" w:ascii="宋体" w:hAnsi="Times New Roman" w:eastAsia="宋体" w:cs="Times New Roman"/>
          <w:kern w:val="0"/>
          <w:szCs w:val="20"/>
        </w:rPr>
        <w:t>铣刨或挖除沥青面层，重铺沥青面层。</w:t>
      </w:r>
    </w:p>
    <w:p>
      <w:pPr>
        <w:pStyle w:val="73"/>
        <w:spacing w:before="0" w:beforeLines="0" w:after="0" w:afterLines="0"/>
        <w:ind w:left="0"/>
        <w:rPr>
          <w:rFonts w:ascii="宋体" w:eastAsia="宋体"/>
        </w:rPr>
      </w:pPr>
      <w:r>
        <w:rPr>
          <w:rFonts w:hint="eastAsia" w:ascii="宋体" w:eastAsia="宋体"/>
        </w:rPr>
        <w:t>因沥青面层与基层之间存在不稳定的夹层引起的波浪拥包，应铣刨或挖除沥青面层，清除不稳定的夹层后，喷洒黏层沥青，重铺沥青面层。</w:t>
      </w:r>
    </w:p>
    <w:p>
      <w:pPr>
        <w:pStyle w:val="73"/>
        <w:spacing w:before="0" w:beforeLines="0" w:after="0" w:afterLines="0"/>
        <w:ind w:left="0"/>
        <w:rPr>
          <w:rFonts w:ascii="宋体" w:eastAsia="宋体"/>
        </w:rPr>
      </w:pPr>
      <w:r>
        <w:rPr>
          <w:rFonts w:hint="eastAsia" w:ascii="宋体" w:eastAsia="宋体"/>
        </w:rPr>
        <w:t>因基层引起的路面波浪拥包，可采用下列方法进行处治：</w:t>
      </w:r>
    </w:p>
    <w:p>
      <w:pPr>
        <w:pStyle w:val="175"/>
        <w:numPr>
          <w:ilvl w:val="0"/>
          <w:numId w:val="39"/>
        </w:numPr>
      </w:pPr>
      <w:r>
        <w:rPr>
          <w:rFonts w:hint="eastAsia"/>
        </w:rPr>
        <w:t>因基层局部强度不足、稳定性差、局部松散等原因引起的波浪拥包，</w:t>
      </w:r>
      <w:r>
        <w:t>铣刨</w:t>
      </w:r>
      <w:r>
        <w:rPr>
          <w:rFonts w:hint="eastAsia"/>
        </w:rPr>
        <w:t>或挖除沥青面层，处治或重做基层后，重铺沥青面层。</w:t>
      </w:r>
    </w:p>
    <w:p>
      <w:pPr>
        <w:pStyle w:val="175"/>
        <w:numPr>
          <w:ilvl w:val="0"/>
          <w:numId w:val="39"/>
        </w:numPr>
      </w:pPr>
      <w:r>
        <w:rPr>
          <w:rFonts w:hint="eastAsia"/>
        </w:rPr>
        <w:t>因基层局部积水使面层与基层间结合不良、水稳定性不好等原因引起的波浪拥包，铣刨或挖除沥青面层，晾晒干基层表面水分并增设排水盲沟，或清除基层用水稳定性较好的材料更换基层后，重铺沥青面层。</w:t>
      </w:r>
    </w:p>
    <w:p>
      <w:pPr>
        <w:pStyle w:val="265"/>
        <w:numPr>
          <w:ilvl w:val="1"/>
          <w:numId w:val="34"/>
        </w:numPr>
        <w:wordWrap/>
        <w:spacing w:before="156" w:after="156"/>
        <w:outlineLvl w:val="1"/>
      </w:pPr>
      <w:r>
        <w:rPr>
          <w:rFonts w:hint="eastAsia"/>
        </w:rPr>
        <w:t>短养生环氧基冷补技术</w:t>
      </w:r>
    </w:p>
    <w:p>
      <w:pPr>
        <w:pStyle w:val="243"/>
        <w:widowControl/>
        <w:numPr>
          <w:ilvl w:val="2"/>
          <w:numId w:val="37"/>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243"/>
        <w:widowControl/>
        <w:numPr>
          <w:ilvl w:val="2"/>
          <w:numId w:val="37"/>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numPr>
          <w:ilvl w:val="0"/>
          <w:numId w:val="0"/>
        </w:numPr>
        <w:spacing w:before="156" w:after="156"/>
      </w:pPr>
      <w:r>
        <w:rPr>
          <w:rFonts w:hint="eastAsia"/>
        </w:rPr>
        <w:t>1</w:t>
      </w:r>
      <w:r>
        <w:t xml:space="preserve">5.2.1 </w:t>
      </w:r>
      <w:r>
        <w:rPr>
          <w:rFonts w:hint="eastAsia"/>
        </w:rPr>
        <w:t>短养生环氧树脂材料</w:t>
      </w:r>
    </w:p>
    <w:p>
      <w:pPr>
        <w:spacing w:line="240" w:lineRule="auto"/>
        <w:ind w:firstLine="420" w:firstLineChars="200"/>
        <w:rPr>
          <w:rFonts w:ascii="宋体" w:hAnsi="宋体" w:cs="宋体"/>
        </w:rPr>
      </w:pPr>
      <w:r>
        <w:t>环氧基冷补料</w:t>
      </w:r>
      <w:r>
        <w:rPr>
          <w:rFonts w:hint="eastAsia" w:ascii="宋体" w:hAnsi="宋体" w:cs="宋体"/>
        </w:rPr>
        <w:t>宜采用双组份环氧，应控制主剂与固化剂混合料后</w:t>
      </w:r>
      <w:r>
        <w:rPr>
          <w:rFonts w:ascii="宋体" w:hAnsi="宋体" w:cs="宋体"/>
        </w:rPr>
        <w:t>60min</w:t>
      </w:r>
      <w:r>
        <w:rPr>
          <w:rFonts w:hint="eastAsia" w:ascii="宋体" w:hAnsi="宋体" w:cs="宋体"/>
        </w:rPr>
        <w:t>黏度</w:t>
      </w:r>
      <w:r>
        <w:rPr>
          <w:rFonts w:ascii="Times New Roman" w:hAnsi="Times New Roman"/>
          <w:i/>
          <w:iCs/>
        </w:rPr>
        <w:t>η</w:t>
      </w:r>
      <w:r>
        <w:rPr>
          <w:rFonts w:ascii="Times New Roman" w:hAnsi="Times New Roman"/>
          <w:i/>
          <w:iCs/>
          <w:vertAlign w:val="subscript"/>
        </w:rPr>
        <w:t>60</w:t>
      </w:r>
      <w:r>
        <w:rPr>
          <w:rFonts w:hint="eastAsia" w:ascii="宋体" w:hAnsi="宋体" w:cs="宋体"/>
        </w:rPr>
        <w:t>不大于</w:t>
      </w:r>
      <w:r>
        <w:rPr>
          <w:rFonts w:ascii="宋体" w:hAnsi="宋体" w:cs="宋体"/>
        </w:rPr>
        <w:t>3Pa</w:t>
      </w:r>
      <w:r>
        <w:t>·</w:t>
      </w:r>
      <w:r>
        <w:rPr>
          <w:rFonts w:ascii="宋体" w:hAnsi="宋体" w:cs="宋体"/>
        </w:rPr>
        <w:t>S</w:t>
      </w:r>
      <w:r>
        <w:rPr>
          <w:rFonts w:hint="eastAsia" w:ascii="宋体" w:hAnsi="宋体" w:cs="宋体"/>
        </w:rPr>
        <w:t>，固化后环氧树脂断裂延伸率</w:t>
      </w:r>
      <w:r>
        <w:rPr>
          <w:rFonts w:ascii="Times New Roman" w:hAnsi="Times New Roman"/>
          <w:i/>
          <w:iCs/>
        </w:rPr>
        <w:t>δ</w:t>
      </w:r>
      <w:r>
        <w:rPr>
          <w:rFonts w:ascii="Times New Roman" w:hAnsi="Times New Roman"/>
          <w:i/>
          <w:iCs/>
          <w:vertAlign w:val="subscript"/>
        </w:rPr>
        <w:t>r</w:t>
      </w:r>
      <w:r>
        <w:rPr>
          <w:rFonts w:hint="eastAsia" w:ascii="宋体" w:hAnsi="宋体" w:cs="宋体"/>
        </w:rPr>
        <w:t>不低于</w:t>
      </w:r>
      <w:r>
        <w:rPr>
          <w:rFonts w:ascii="宋体" w:hAnsi="宋体" w:cs="宋体"/>
        </w:rPr>
        <w:t>20%</w:t>
      </w:r>
      <w:r>
        <w:rPr>
          <w:rFonts w:hint="eastAsia" w:ascii="宋体" w:hAnsi="宋体" w:cs="宋体"/>
        </w:rPr>
        <w:t>，拉伸强度</w:t>
      </w:r>
      <w:r>
        <w:rPr>
          <w:rFonts w:ascii="Times New Roman" w:hAnsi="Times New Roman"/>
          <w:i/>
          <w:iCs/>
        </w:rPr>
        <w:t>σ</w:t>
      </w:r>
      <w:r>
        <w:rPr>
          <w:rFonts w:ascii="Times New Roman" w:hAnsi="Times New Roman"/>
          <w:i/>
          <w:iCs/>
          <w:vertAlign w:val="subscript"/>
        </w:rPr>
        <w:t>r</w:t>
      </w:r>
      <w:r>
        <w:rPr>
          <w:rFonts w:hint="eastAsia" w:ascii="宋体" w:hAnsi="宋体" w:cs="宋体"/>
        </w:rPr>
        <w:t>不低于</w:t>
      </w:r>
      <w:r>
        <w:rPr>
          <w:rFonts w:ascii="宋体" w:hAnsi="宋体" w:cs="宋体"/>
        </w:rPr>
        <w:t>8MPa</w:t>
      </w:r>
      <w:r>
        <w:rPr>
          <w:rFonts w:hint="eastAsia" w:ascii="宋体" w:hAnsi="宋体" w:cs="宋体"/>
        </w:rPr>
        <w:t>。</w:t>
      </w:r>
    </w:p>
    <w:p>
      <w:pPr>
        <w:spacing w:line="240" w:lineRule="auto"/>
        <w:rPr>
          <w:rFonts w:ascii="黑体" w:hAnsi="黑体" w:eastAsia="黑体"/>
          <w:szCs w:val="20"/>
        </w:rPr>
      </w:pPr>
      <w:r>
        <w:rPr>
          <w:rFonts w:hint="eastAsia" w:ascii="黑体" w:hAnsi="黑体" w:eastAsia="黑体"/>
          <w:kern w:val="0"/>
          <w:szCs w:val="20"/>
        </w:rPr>
        <w:t>1</w:t>
      </w:r>
      <w:r>
        <w:rPr>
          <w:rFonts w:ascii="黑体" w:hAnsi="黑体" w:eastAsia="黑体"/>
          <w:kern w:val="0"/>
          <w:szCs w:val="20"/>
        </w:rPr>
        <w:t xml:space="preserve">5.2.2 </w:t>
      </w:r>
      <w:r>
        <w:rPr>
          <w:rFonts w:hint="eastAsia" w:ascii="黑体" w:hAnsi="黑体" w:eastAsia="黑体"/>
          <w:kern w:val="0"/>
          <w:szCs w:val="20"/>
        </w:rPr>
        <w:t>集料</w:t>
      </w:r>
    </w:p>
    <w:p>
      <w:pPr>
        <w:spacing w:line="240" w:lineRule="auto"/>
        <w:ind w:firstLine="420" w:firstLineChars="200"/>
        <w:rPr>
          <w:rFonts w:ascii="宋体" w:hAnsi="宋体" w:cs="宋体"/>
        </w:rPr>
      </w:pPr>
      <w:r>
        <w:rPr>
          <w:rFonts w:hint="eastAsia" w:ascii="宋体" w:hAnsi="宋体" w:cs="宋体"/>
        </w:rPr>
        <w:t>集料应选择洁净、干燥的玄武岩、石灰岩、磷灰盐，集料最大公称粒径应根据不同拥包修补厚度进行选择。集料级配应包括粗集料、细集料和填料。粗、细集料在满足传统规范要求基础上，应提高集料的坚固性、压碎值等指标。</w:t>
      </w:r>
    </w:p>
    <w:p>
      <w:pPr>
        <w:spacing w:line="240" w:lineRule="auto"/>
        <w:rPr>
          <w:rFonts w:ascii="黑体" w:hAnsi="黑体" w:eastAsia="黑体"/>
          <w:szCs w:val="20"/>
        </w:rPr>
      </w:pPr>
      <w:r>
        <w:rPr>
          <w:rFonts w:hint="eastAsia" w:ascii="黑体" w:hAnsi="黑体" w:eastAsia="黑体"/>
          <w:kern w:val="0"/>
          <w:szCs w:val="20"/>
        </w:rPr>
        <w:t>1</w:t>
      </w:r>
      <w:r>
        <w:rPr>
          <w:rFonts w:ascii="黑体" w:hAnsi="黑体" w:eastAsia="黑体"/>
          <w:kern w:val="0"/>
          <w:szCs w:val="20"/>
        </w:rPr>
        <w:t xml:space="preserve">5.2.3 </w:t>
      </w:r>
      <w:r>
        <w:rPr>
          <w:rFonts w:hint="eastAsia" w:ascii="黑体" w:hAnsi="黑体" w:eastAsia="黑体"/>
          <w:kern w:val="0"/>
          <w:szCs w:val="20"/>
        </w:rPr>
        <w:t>混合料制拌</w:t>
      </w:r>
    </w:p>
    <w:p>
      <w:pPr>
        <w:spacing w:line="240" w:lineRule="auto"/>
        <w:ind w:firstLine="420" w:firstLineChars="200"/>
        <w:rPr>
          <w:rFonts w:ascii="宋体" w:hAnsi="宋体" w:cs="宋体"/>
        </w:rPr>
      </w:pPr>
      <w:r>
        <w:rPr>
          <w:rFonts w:hint="eastAsia" w:ascii="宋体" w:hAnsi="宋体" w:cs="宋体"/>
        </w:rPr>
        <w:t>短养生环氧基冷补施工技术要求应符合</w:t>
      </w:r>
      <w:r>
        <w:rPr>
          <w:rFonts w:hint="eastAsia" w:ascii="宋体" w:hAnsi="宋体"/>
          <w:kern w:val="0"/>
          <w:szCs w:val="20"/>
        </w:rPr>
        <w:t>现行行业标准</w:t>
      </w:r>
      <w:r>
        <w:rPr>
          <w:rFonts w:hint="eastAsia" w:ascii="宋体" w:hAnsi="宋体" w:cs="宋体"/>
        </w:rPr>
        <w:t>CJJ 36的有关规定。</w:t>
      </w:r>
    </w:p>
    <w:p>
      <w:pPr>
        <w:pStyle w:val="112"/>
        <w:numPr>
          <w:ilvl w:val="0"/>
          <w:numId w:val="34"/>
        </w:numPr>
        <w:spacing w:before="312" w:after="312"/>
        <w:rPr>
          <w:rFonts w:hAnsi="黑体"/>
          <w:szCs w:val="21"/>
        </w:rPr>
      </w:pPr>
      <w:bookmarkStart w:id="279" w:name="_Toc240476557"/>
      <w:r>
        <w:rPr>
          <w:rFonts w:hint="eastAsia" w:hAnsi="黑体"/>
          <w:szCs w:val="21"/>
        </w:rPr>
        <w:t>沉陷</w:t>
      </w:r>
      <w:r>
        <w:rPr>
          <w:rFonts w:hint="eastAsia"/>
        </w:rPr>
        <w:t>病害快速维修技术</w:t>
      </w:r>
      <w:bookmarkEnd w:id="279"/>
    </w:p>
    <w:p>
      <w:pPr>
        <w:pStyle w:val="265"/>
        <w:numPr>
          <w:ilvl w:val="1"/>
          <w:numId w:val="34"/>
        </w:numPr>
        <w:wordWrap/>
        <w:spacing w:before="156" w:after="156"/>
        <w:outlineLvl w:val="1"/>
      </w:pPr>
      <w:r>
        <w:rPr>
          <w:rFonts w:hint="eastAsia"/>
        </w:rPr>
        <w:t>沉陷病害处治措施确定</w:t>
      </w:r>
    </w:p>
    <w:p>
      <w:pPr>
        <w:spacing w:line="240" w:lineRule="auto"/>
        <w:ind w:firstLine="420" w:firstLineChars="200"/>
        <w:rPr>
          <w:rFonts w:ascii="Times New Roman" w:hAnsi="Times New Roman"/>
        </w:rPr>
      </w:pPr>
      <w:r>
        <w:rPr>
          <w:rFonts w:hint="eastAsia" w:ascii="Times New Roman" w:hAnsi="Times New Roman"/>
        </w:rPr>
        <w:t>沉陷处治技术措施和结构层位应根据沉陷病害类型、发生部位、严重程度及原因合理确定。</w:t>
      </w:r>
    </w:p>
    <w:p>
      <w:pPr>
        <w:pStyle w:val="265"/>
        <w:numPr>
          <w:ilvl w:val="1"/>
          <w:numId w:val="34"/>
        </w:numPr>
        <w:wordWrap/>
        <w:spacing w:before="156" w:after="156"/>
        <w:outlineLvl w:val="1"/>
      </w:pPr>
      <w:r>
        <w:rPr>
          <w:rFonts w:hint="eastAsia"/>
        </w:rPr>
        <w:t>基层问题造成的路面沉陷</w:t>
      </w:r>
    </w:p>
    <w:p>
      <w:pPr>
        <w:spacing w:line="240" w:lineRule="auto"/>
        <w:ind w:firstLine="420" w:firstLineChars="200"/>
        <w:rPr>
          <w:rFonts w:ascii="Times New Roman" w:hAnsi="Times New Roman"/>
        </w:rPr>
      </w:pPr>
      <w:r>
        <w:rPr>
          <w:rFonts w:hint="eastAsia" w:ascii="Times New Roman" w:hAnsi="Times New Roman"/>
        </w:rPr>
        <w:t>因基层局部强度不足或松散造成的路面沉陷，应铣刨或挖除沥青面层，处理好基层后，重铺沥青面层。</w:t>
      </w:r>
    </w:p>
    <w:p>
      <w:pPr>
        <w:pStyle w:val="265"/>
        <w:numPr>
          <w:ilvl w:val="1"/>
          <w:numId w:val="34"/>
        </w:numPr>
        <w:wordWrap/>
        <w:spacing w:before="156" w:after="156"/>
        <w:outlineLvl w:val="1"/>
        <w:rPr>
          <w:szCs w:val="21"/>
        </w:rPr>
      </w:pPr>
      <w:r>
        <w:rPr>
          <w:rFonts w:hint="eastAsia"/>
          <w:szCs w:val="21"/>
        </w:rPr>
        <w:t>路基问题引起的路面沉陷</w:t>
      </w:r>
    </w:p>
    <w:p>
      <w:pPr>
        <w:pStyle w:val="243"/>
        <w:widowControl/>
        <w:numPr>
          <w:ilvl w:val="1"/>
          <w:numId w:val="2"/>
        </w:numPr>
        <w:wordWrap/>
        <w:autoSpaceDE/>
        <w:autoSpaceDN/>
        <w:spacing w:before="312" w:beforeLines="100" w:after="312" w:afterLines="100"/>
        <w:ind w:firstLineChars="0"/>
        <w:outlineLvl w:val="0"/>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243"/>
        <w:widowControl/>
        <w:numPr>
          <w:ilvl w:val="2"/>
          <w:numId w:val="2"/>
        </w:numPr>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tabs>
          <w:tab w:val="left" w:pos="2269"/>
        </w:tabs>
        <w:spacing w:before="156" w:after="0" w:afterLines="0"/>
        <w:ind w:left="0"/>
        <w:rPr>
          <w:rFonts w:ascii="宋体" w:eastAsia="宋体"/>
        </w:rPr>
      </w:pPr>
      <w:r>
        <w:rPr>
          <w:rFonts w:hint="eastAsia" w:ascii="宋体" w:eastAsia="宋体"/>
        </w:rPr>
        <w:t>路面略有下沉、无破损或仅有少量轻微裂缝时，可在沉陷部位喷洒黏层沥青用沥青混合料将沉陷部分填补，并压实、整平。</w:t>
      </w:r>
    </w:p>
    <w:p>
      <w:pPr>
        <w:pStyle w:val="73"/>
        <w:tabs>
          <w:tab w:val="left" w:pos="2269"/>
        </w:tabs>
        <w:spacing w:before="0" w:beforeLines="0" w:after="0" w:afterLines="0"/>
        <w:ind w:left="0"/>
        <w:rPr>
          <w:rFonts w:ascii="宋体" w:eastAsia="宋体"/>
        </w:rPr>
      </w:pPr>
      <w:r>
        <w:rPr>
          <w:rFonts w:hint="eastAsia" w:ascii="宋体" w:eastAsia="宋体"/>
        </w:rPr>
        <w:t>路面出现较大范围的不均匀下沉时，可对沉陷路段两端衔接部位各10m范围内分层、分台阶铣刨沥青面层，纵向台阶搭接宽度不宜小于30cm，横向台阶搭接宽度不宜小于20cm，清理干净下承层，喷洒黏层沥青，在侧壁涂覆乳化沥青后，分层重铺沥青面层。</w:t>
      </w:r>
    </w:p>
    <w:p>
      <w:pPr>
        <w:pStyle w:val="73"/>
        <w:tabs>
          <w:tab w:val="left" w:pos="2269"/>
        </w:tabs>
        <w:spacing w:before="0" w:beforeLines="0" w:after="0" w:afterLines="0"/>
        <w:ind w:left="0"/>
        <w:rPr>
          <w:rFonts w:ascii="宋体" w:eastAsia="宋体"/>
        </w:rPr>
      </w:pPr>
      <w:r>
        <w:rPr>
          <w:rFonts w:hint="eastAsia" w:ascii="宋体" w:eastAsia="宋体"/>
        </w:rPr>
        <w:t>路基密实稳定且不再继续下沉后，应进行沥青面层处治。</w:t>
      </w:r>
    </w:p>
    <w:p>
      <w:pPr>
        <w:pStyle w:val="265"/>
        <w:numPr>
          <w:ilvl w:val="1"/>
          <w:numId w:val="34"/>
        </w:numPr>
        <w:tabs>
          <w:tab w:val="left" w:pos="2269"/>
        </w:tabs>
        <w:wordWrap/>
        <w:spacing w:before="156" w:after="156"/>
        <w:outlineLvl w:val="1"/>
        <w:rPr>
          <w:szCs w:val="21"/>
        </w:rPr>
      </w:pPr>
      <w:r>
        <w:rPr>
          <w:rFonts w:hint="eastAsia"/>
          <w:szCs w:val="21"/>
        </w:rPr>
        <w:t>桥涵台背问题引起的路面沉陷</w:t>
      </w:r>
    </w:p>
    <w:p>
      <w:pPr>
        <w:pStyle w:val="243"/>
        <w:widowControl/>
        <w:numPr>
          <w:ilvl w:val="2"/>
          <w:numId w:val="2"/>
        </w:numPr>
        <w:tabs>
          <w:tab w:val="left" w:pos="2269"/>
        </w:tabs>
        <w:wordWrap/>
        <w:autoSpaceDE/>
        <w:autoSpaceDN/>
        <w:spacing w:before="156" w:beforeLines="50" w:after="156" w:afterLines="50"/>
        <w:ind w:firstLineChars="0"/>
        <w:outlineLvl w:val="1"/>
        <w:rPr>
          <w:rFonts w:ascii="黑体" w:hAnsi="Times New Roman" w:eastAsia="黑体" w:cs="Times New Roman"/>
          <w:vanish/>
          <w:kern w:val="0"/>
          <w:szCs w:val="20"/>
        </w:rPr>
      </w:pPr>
    </w:p>
    <w:p>
      <w:pPr>
        <w:pStyle w:val="73"/>
        <w:tabs>
          <w:tab w:val="left" w:pos="2269"/>
        </w:tabs>
        <w:spacing w:before="0" w:beforeLines="0" w:after="0" w:afterLines="0"/>
        <w:ind w:left="0"/>
      </w:pPr>
      <w:r>
        <w:rPr>
          <w:rFonts w:ascii="宋体" w:eastAsia="宋体"/>
        </w:rPr>
        <w:t>台背回填材料选择不适的，宜采</w:t>
      </w:r>
      <w:r>
        <w:rPr>
          <w:rFonts w:hint="eastAsia" w:ascii="宋体" w:eastAsia="宋体"/>
        </w:rPr>
        <w:t>用</w:t>
      </w:r>
      <w:r>
        <w:rPr>
          <w:rFonts w:ascii="宋体" w:eastAsia="宋体"/>
        </w:rPr>
        <w:t>强度高、透水性好且级配合理的材料进行换填处理。</w:t>
      </w:r>
    </w:p>
    <w:p>
      <w:pPr>
        <w:pStyle w:val="73"/>
        <w:tabs>
          <w:tab w:val="left" w:pos="2269"/>
        </w:tabs>
        <w:spacing w:before="0" w:beforeLines="0" w:after="0" w:afterLines="0"/>
        <w:ind w:left="0"/>
        <w:rPr>
          <w:rFonts w:ascii="宋体" w:eastAsia="宋体"/>
        </w:rPr>
      </w:pPr>
      <w:r>
        <w:rPr>
          <w:rFonts w:hint="eastAsia" w:ascii="宋体" w:eastAsia="宋体"/>
        </w:rPr>
        <w:t>台背回填压实不足的，可采用重新压实处理，台背死角处采用夯实机械进行压实。</w:t>
      </w:r>
    </w:p>
    <w:p>
      <w:pPr>
        <w:pStyle w:val="73"/>
        <w:tabs>
          <w:tab w:val="left" w:pos="2269"/>
        </w:tabs>
        <w:spacing w:before="0" w:beforeLines="0" w:after="0" w:afterLines="0"/>
        <w:ind w:left="0"/>
        <w:rPr>
          <w:rFonts w:ascii="宋体" w:eastAsia="宋体"/>
        </w:rPr>
      </w:pPr>
      <w:r>
        <w:rPr>
          <w:rFonts w:hint="eastAsia" w:ascii="宋体" w:eastAsia="宋体"/>
        </w:rPr>
        <w:t>可采用台背注浆进行加固处理。</w:t>
      </w:r>
    </w:p>
    <w:p>
      <w:pPr>
        <w:pStyle w:val="73"/>
        <w:tabs>
          <w:tab w:val="left" w:pos="2269"/>
        </w:tabs>
        <w:spacing w:before="0" w:beforeLines="0" w:after="0" w:afterLines="0"/>
        <w:ind w:left="0"/>
        <w:rPr>
          <w:rFonts w:ascii="宋体" w:eastAsia="宋体"/>
        </w:rPr>
      </w:pPr>
      <w:r>
        <w:rPr>
          <w:rFonts w:hint="eastAsia" w:ascii="宋体" w:eastAsia="宋体"/>
        </w:rPr>
        <w:t>可铣刨或挖除沥青面层，在沉陷部分加铺基层后，重铺沥青面层。</w:t>
      </w:r>
    </w:p>
    <w:p>
      <w:pPr>
        <w:pStyle w:val="73"/>
        <w:tabs>
          <w:tab w:val="left" w:pos="2269"/>
        </w:tabs>
        <w:spacing w:before="0" w:beforeLines="0" w:after="0" w:afterLines="0"/>
        <w:ind w:left="0"/>
        <w:rPr>
          <w:rFonts w:ascii="宋体" w:eastAsia="宋体"/>
        </w:rPr>
      </w:pPr>
      <w:r>
        <w:rPr>
          <w:rFonts w:hint="eastAsia" w:ascii="宋体" w:eastAsia="宋体"/>
        </w:rPr>
        <w:t>可直接按沉陷病害进行处治。</w:t>
      </w:r>
    </w:p>
    <w:p>
      <w:pPr>
        <w:pStyle w:val="112"/>
        <w:numPr>
          <w:ilvl w:val="0"/>
          <w:numId w:val="34"/>
        </w:numPr>
        <w:spacing w:before="312" w:after="312"/>
        <w:rPr>
          <w:rFonts w:hAnsi="黑体"/>
          <w:szCs w:val="21"/>
        </w:rPr>
      </w:pPr>
      <w:bookmarkStart w:id="280" w:name="_Toc240476558"/>
      <w:r>
        <w:rPr>
          <w:rFonts w:hint="eastAsia" w:hAnsi="黑体"/>
          <w:szCs w:val="21"/>
        </w:rPr>
        <w:t>维修效果检验与评价</w:t>
      </w:r>
      <w:bookmarkEnd w:id="280"/>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病害维修前应记录病害位置、类型、尺寸及影响区域，并留存影像资料作为维修效果复检的依据。</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病害影响区域应根据维修前病害调查结果确定。横纵裂缝为裂缝中心线两侧各0.1m的带状区域；其他病害为病害外缘的最小外接矩形区域，其边线宜平行或垂直于道路方向。</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维修质量检验与验收范围应覆盖原病害影响区域。</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城镇道路沥青路面病害维养完成后，应在规定期限内对原病害影响区域进行维修效果复检。复检时应调查原病害是否存在残余或复发，并对残余或复发病害的尺寸特征进行重新测量。</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维修效果复检时间应根据病害类型确定，裂缝宜在维修完成三个月后进行，坑槽宜在两个月后进行，车辙宜在六个月后进行，拥包宜在三个月后进行，沉陷宜在一个月后进行。</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复检时原病害影响区域内未发现原病害残余或复发，维修效果应判定为合格；发现原病害残余或复发时，维修效果应判定为不合格，并应按照本文件第7章至第11章规定，先重新计算病害综合维养需求指数RI，再确定维养需求等级和维养方案。</w:t>
      </w:r>
    </w:p>
    <w:p>
      <w:pPr>
        <w:pStyle w:val="112"/>
        <w:numPr>
          <w:ilvl w:val="0"/>
          <w:numId w:val="34"/>
        </w:numPr>
        <w:spacing w:before="312" w:after="312"/>
        <w:rPr>
          <w:rFonts w:hAnsi="黑体"/>
          <w:szCs w:val="21"/>
        </w:rPr>
      </w:pPr>
      <w:bookmarkStart w:id="281" w:name="_Toc240476559"/>
      <w:r>
        <w:rPr>
          <w:rFonts w:hAnsi="黑体"/>
          <w:szCs w:val="21"/>
        </w:rPr>
        <w:t>标准实施及评价</w:t>
      </w:r>
      <w:bookmarkEnd w:id="281"/>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实施准备。结合湖北省城镇道路沥青路面病害快速维修实际，认真做好本文件实施准备。依据路面病害调查、评价及维养需求分级结果，制定快速维修实施方案，做好方案准备；明确道路管理单位、养护实施单位、养护设计单位、施工单位、检测单位等相关单位和人员的职责，并对相关人员开展标准培训，重点掌握病害分类、病害特征测量、路面结构安全效应、交通运行安全效应、驾驶舒适性效应和城市景观效应评价、维养需求分级、快速维修技术选择及施工工艺等内容，做好组织准备和知识准备；根据所采用的维修技术，配备路况调查检测仪器、维修施工设备和安全防护设施，按照有关标准和本文件要求做好材料检验、配合比设计等工作，做好手段准备和物质条件准备。</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实施方案。本方案适用于湖北省行政区域内城镇道路机动车道沥青路面局部病害维养需求分类分级和快速维修处治全流程。从组织、制度、资金、人员、设备仪器、材料等方面提供实施保障，按照病害调查与分类、病害影响效应评价、维养需求分级、维修技术选择、维修效果检验与评价流程，合理配置人员、资金、设备等资源，明确关键环节和控制要求。根据所采用的维修技术，对材料性能、施工温度、注浆压力、摊铺厚度、压实质量、开放交通条件等关键技术指标进行控制，同时加强安全生产、交通组织和环境保护等注意事项。</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宣贯培训。面向城镇道路主管部门、养护管理单位、养护设计单位、施工单位、检测机构及一线作业人员等相关方，对不同岗位职责开展针对性培训，明确各环节的责任人与职责边界，通过现场演示、实操考核等方式确保作业人员掌握技术要领，保障标准规范实施。</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实施。本标准实施于城镇道路沥青路面病害快速维修活动，应落实国家环境保护、健康卫生及安全生产要求，维护道路通行安全，保障作业安全。实施过程应确保作业设计、材料规格、施工工艺、质量控制等指标明确统一，推动病害处治标准化、快速化，通过提高维修质量和耐久性，减少养护作业对城市交通运行的影响，实现长期养护成本的有效控制。</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实施检查。检查标准实施所需的人员、技术配备、作业装备、物资材料等支持条件情况，核查病害分类分级、维修技术选择是否与病害实际状况相匹配，检验维修效果是否按标准执行，并记录未实施内容的原因或理由。做好标准实施验证记录，畅通标准实施信息采集的方式方法和反馈渠道，定期整理并处理收集到的意见建议。</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实施评价。在快速维修完成并达到本文件第17章规定的维修效果复检时间后，进行综合评价。对照实施方案及本标准技术要求，评价病害维养需求分级是否准确、快速维修技术选择是否合理、维修后病害是否残余或复发；维修效率、交通影响和养护成本是否优化等实际问题。</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标准修订。适时向专业标准化技术委员会和标准归口管理单位反馈情况，提出标准推广、修改、补充、完善或者废止等意见建议。</w:t>
      </w:r>
    </w:p>
    <w:p>
      <w:pPr>
        <w:pStyle w:val="265"/>
        <w:numPr>
          <w:ilvl w:val="1"/>
          <w:numId w:val="34"/>
        </w:numPr>
        <w:spacing w:before="0" w:beforeLines="0" w:after="0" w:afterLines="0"/>
        <w:outlineLvl w:val="1"/>
        <w:rPr>
          <w:rFonts w:ascii="宋体" w:hAnsi="宋体" w:eastAsia="宋体"/>
          <w:szCs w:val="21"/>
        </w:rPr>
      </w:pPr>
      <w:r>
        <w:rPr>
          <w:rFonts w:hint="eastAsia" w:ascii="宋体" w:hAnsi="宋体" w:eastAsia="宋体"/>
          <w:szCs w:val="21"/>
        </w:rPr>
        <w:t>标准实施信息及意见反馈表相关示例见附录A。</w:t>
      </w: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p>
      <w:pPr>
        <w:pStyle w:val="265"/>
        <w:numPr>
          <w:ilvl w:val="0"/>
          <w:numId w:val="0"/>
        </w:numPr>
        <w:wordWrap w:val="0"/>
        <w:autoSpaceDE w:val="0"/>
        <w:autoSpaceDN w:val="0"/>
        <w:snapToGrid w:val="0"/>
        <w:spacing w:before="0" w:beforeLines="0" w:after="0" w:afterLines="0"/>
        <w:jc w:val="both"/>
        <w:outlineLvl w:val="1"/>
        <w:rPr>
          <w:rFonts w:hint="eastAsia" w:ascii="宋体" w:hAnsi="宋体" w:eastAsia="宋体"/>
          <w:szCs w:val="21"/>
        </w:rPr>
      </w:pPr>
    </w:p>
    <w:bookmarkEnd w:id="20"/>
    <w:p>
      <w:pPr>
        <w:pStyle w:val="64"/>
        <w:ind w:firstLine="0" w:firstLineChars="0"/>
        <w:rPr>
          <w:rFonts w:hint="eastAsia"/>
        </w:rPr>
      </w:pPr>
    </w:p>
    <w:p>
      <w:pPr>
        <w:pStyle w:val="84"/>
        <w:numPr>
          <w:ilvl w:val="0"/>
          <w:numId w:val="5"/>
        </w:numPr>
        <w:spacing w:before="78" w:beforeLines="25" w:after="156"/>
      </w:pPr>
    </w:p>
    <w:p>
      <w:pPr>
        <w:pStyle w:val="84"/>
        <w:numPr>
          <w:ilvl w:val="0"/>
          <w:numId w:val="0"/>
        </w:numPr>
        <w:spacing w:before="78" w:beforeLines="25" w:after="156"/>
        <w:ind w:leftChars="0"/>
        <w:jc w:val="center"/>
      </w:pPr>
      <w:bookmarkStart w:id="282" w:name="_Toc151390230"/>
      <w:bookmarkStart w:id="283" w:name="_Toc151390325"/>
      <w:bookmarkStart w:id="284" w:name="_Toc151389568"/>
      <w:bookmarkStart w:id="285" w:name="_Toc240476560"/>
      <w:r>
        <w:rPr>
          <w:rFonts w:hint="eastAsia"/>
        </w:rPr>
        <w:t>（资料性）</w:t>
      </w:r>
      <w:r>
        <w:br w:type="textWrapping"/>
      </w:r>
      <w:r>
        <w:rPr>
          <w:rFonts w:hint="eastAsia"/>
        </w:rPr>
        <w:t>湖北省地方标准实施信息及意见反馈表</w:t>
      </w:r>
      <w:bookmarkEnd w:id="282"/>
      <w:bookmarkEnd w:id="283"/>
      <w:bookmarkEnd w:id="284"/>
      <w:bookmarkEnd w:id="285"/>
    </w:p>
    <w:p>
      <w:pPr>
        <w:pStyle w:val="64"/>
        <w:ind w:firstLine="420"/>
      </w:pPr>
      <w:r>
        <w:rPr>
          <w:rFonts w:hint="eastAsia"/>
        </w:rPr>
        <w:t>湖北省地方标准实施信息及意见反馈表如表</w:t>
      </w:r>
      <w:r>
        <w:t>A</w:t>
      </w:r>
      <w:r>
        <w:rPr>
          <w:rFonts w:hint="eastAsia"/>
        </w:rPr>
        <w:t>.1所示。</w:t>
      </w:r>
    </w:p>
    <w:p>
      <w:pPr>
        <w:pStyle w:val="85"/>
        <w:spacing w:before="156" w:after="156"/>
        <w:ind w:firstLine="420"/>
      </w:pPr>
      <w:r>
        <w:rPr>
          <w:rFonts w:hint="eastAsia"/>
        </w:rPr>
        <w:t>湖北省地方标准实施信息及意见反馈表</w:t>
      </w:r>
    </w:p>
    <w:tbl>
      <w:tblPr>
        <w:tblStyle w:val="279"/>
        <w:tblW w:w="90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823"/>
        <w:gridCol w:w="338"/>
        <w:gridCol w:w="2192"/>
        <w:gridCol w:w="3109"/>
        <w:gridCol w:w="13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2034" w:type="dxa"/>
            <w:gridSpan w:val="2"/>
            <w:tcBorders>
              <w:top w:val="single" w:color="auto" w:sz="12" w:space="0"/>
              <w:left w:val="single" w:color="auto" w:sz="12" w:space="0"/>
              <w:bottom w:val="single" w:color="000000" w:sz="2" w:space="0"/>
              <w:right w:val="single" w:color="auto" w:sz="4" w:space="0"/>
            </w:tcBorders>
            <w:vAlign w:val="center"/>
          </w:tcPr>
          <w:p>
            <w:pPr>
              <w:widowControl/>
              <w:kinsoku w:val="0"/>
              <w:autoSpaceDE w:val="0"/>
              <w:autoSpaceDN w:val="0"/>
              <w:snapToGrid w:val="0"/>
              <w:ind w:left="816"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9"/>
                <w:kern w:val="0"/>
                <w:sz w:val="18"/>
                <w:szCs w:val="18"/>
              </w:rPr>
              <w:t>标准名称及编号</w:t>
            </w:r>
          </w:p>
        </w:tc>
        <w:tc>
          <w:tcPr>
            <w:tcW w:w="7023" w:type="dxa"/>
            <w:gridSpan w:val="4"/>
            <w:tcBorders>
              <w:top w:val="single" w:color="auto" w:sz="12" w:space="0"/>
              <w:left w:val="single" w:color="auto" w:sz="4" w:space="0"/>
              <w:bottom w:val="single" w:color="000000" w:sz="2" w:space="0"/>
              <w:right w:val="single" w:color="auto" w:sz="12" w:space="0"/>
            </w:tcBorders>
            <w:vAlign w:val="center"/>
          </w:tcPr>
          <w:p>
            <w:pPr>
              <w:ind w:left="780" w:hanging="701"/>
              <w:jc w:val="left"/>
              <w:rPr>
                <w:rFonts w:ascii="宋体" w:hAnsi="宋体" w:eastAsia="Times New Roman" w:cs="Arial"/>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jc w:val="center"/>
        </w:trPr>
        <w:tc>
          <w:tcPr>
            <w:tcW w:w="1211" w:type="dxa"/>
            <w:vMerge w:val="restart"/>
            <w:tcBorders>
              <w:top w:val="single" w:color="auto" w:sz="12" w:space="0"/>
              <w:left w:val="single" w:color="auto" w:sz="12" w:space="0"/>
              <w:bottom w:val="single" w:color="auto" w:sz="4" w:space="0"/>
              <w:right w:val="single" w:color="auto" w:sz="4" w:space="0"/>
            </w:tcBorders>
            <w:vAlign w:val="center"/>
          </w:tcPr>
          <w:p>
            <w:pPr>
              <w:widowControl/>
              <w:kinsoku w:val="0"/>
              <w:autoSpaceDE w:val="0"/>
              <w:autoSpaceDN w:val="0"/>
              <w:snapToGrid w:val="0"/>
              <w:ind w:left="792"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3"/>
                <w:kern w:val="0"/>
                <w:sz w:val="18"/>
                <w:szCs w:val="18"/>
              </w:rPr>
              <w:t>总体评价</w:t>
            </w:r>
          </w:p>
        </w:tc>
        <w:tc>
          <w:tcPr>
            <w:tcW w:w="1161" w:type="dxa"/>
            <w:gridSpan w:val="2"/>
            <w:tcBorders>
              <w:top w:val="single" w:color="auto" w:sz="12" w:space="0"/>
              <w:left w:val="single" w:color="auto" w:sz="4" w:space="0"/>
              <w:bottom w:val="single" w:color="auto" w:sz="4" w:space="0"/>
              <w:right w:val="single" w:color="auto" w:sz="4" w:space="0"/>
            </w:tcBorders>
            <w:vAlign w:val="center"/>
          </w:tcPr>
          <w:p>
            <w:pPr>
              <w:widowControl/>
              <w:kinsoku w:val="0"/>
              <w:autoSpaceDE w:val="0"/>
              <w:autoSpaceDN w:val="0"/>
              <w:snapToGrid w:val="0"/>
              <w:ind w:left="800"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5"/>
                <w:kern w:val="0"/>
                <w:sz w:val="18"/>
                <w:szCs w:val="18"/>
              </w:rPr>
              <w:t>适用性</w:t>
            </w:r>
          </w:p>
        </w:tc>
        <w:tc>
          <w:tcPr>
            <w:tcW w:w="5301" w:type="dxa"/>
            <w:gridSpan w:val="2"/>
            <w:tcBorders>
              <w:top w:val="single" w:color="auto" w:sz="12" w:space="0"/>
              <w:left w:val="single" w:color="auto" w:sz="4" w:space="0"/>
              <w:bottom w:val="single" w:color="auto" w:sz="4" w:space="0"/>
              <w:right w:val="single" w:color="auto" w:sz="4" w:space="0"/>
            </w:tcBorders>
            <w:vAlign w:val="center"/>
          </w:tcPr>
          <w:p>
            <w:pPr>
              <w:widowControl/>
              <w:kinsoku w:val="0"/>
              <w:autoSpaceDE w:val="0"/>
              <w:autoSpaceDN w:val="0"/>
              <w:snapToGrid w:val="0"/>
              <w:ind w:left="824" w:right="103" w:hanging="701"/>
              <w:jc w:val="left"/>
              <w:textAlignment w:val="baseline"/>
              <w:rPr>
                <w:rFonts w:ascii="宋体" w:hAnsi="宋体" w:eastAsia="Times New Roman"/>
                <w:color w:val="000000"/>
                <w:spacing w:val="11"/>
                <w:kern w:val="0"/>
                <w:sz w:val="18"/>
                <w:szCs w:val="18"/>
              </w:rPr>
            </w:pPr>
            <w:r>
              <w:rPr>
                <w:rFonts w:hint="eastAsia" w:ascii="宋体" w:hAnsi="宋体" w:eastAsia="Times New Roman"/>
                <w:color w:val="000000"/>
                <w:spacing w:val="11"/>
                <w:kern w:val="0"/>
                <w:sz w:val="18"/>
                <w:szCs w:val="18"/>
              </w:rPr>
              <w:t>该标准与当前所在地的产业或社会发展水平是否</w:t>
            </w:r>
          </w:p>
          <w:p>
            <w:pPr>
              <w:widowControl/>
              <w:kinsoku w:val="0"/>
              <w:autoSpaceDE w:val="0"/>
              <w:autoSpaceDN w:val="0"/>
              <w:snapToGrid w:val="0"/>
              <w:ind w:left="824" w:right="103"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11"/>
                <w:kern w:val="0"/>
                <w:sz w:val="18"/>
                <w:szCs w:val="18"/>
              </w:rPr>
              <w:t>相匹配？</w:t>
            </w:r>
          </w:p>
        </w:tc>
        <w:tc>
          <w:tcPr>
            <w:tcW w:w="1384" w:type="dxa"/>
            <w:tcBorders>
              <w:top w:val="single" w:color="auto" w:sz="12" w:space="0"/>
              <w:left w:val="single" w:color="auto" w:sz="4" w:space="0"/>
              <w:bottom w:val="single" w:color="auto" w:sz="4" w:space="0"/>
              <w:right w:val="single" w:color="auto" w:sz="12" w:space="0"/>
            </w:tcBorders>
            <w:vAlign w:val="center"/>
          </w:tcPr>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2" name="图片 2" descr="C:\Users\ADMINI~1.USE\AppData\Local\Temp\ksohtml11916\wps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C:\Users\ADMINI~1.USE\AppData\Local\Temp\ksohtml11916\wps1.png"/>
                          <pic:cNvPicPr>
                            <a:picLocks noChangeAspect="true" noChangeArrowheads="true"/>
                          </pic:cNvPicPr>
                        </pic:nvPicPr>
                        <pic:blipFill>
                          <a:blip r:embed="rId2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3" name="图片 3" descr="C:\Users\ADMINI~1.USE\AppData\Local\Temp\ksohtml11916\wps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C:\Users\ADMINI~1.USE\AppData\Local\Temp\ksohtml11916\wps2.png"/>
                          <pic:cNvPicPr>
                            <a:picLocks noChangeAspect="true" noChangeArrowheads="true"/>
                          </pic:cNvPicPr>
                        </pic:nvPicPr>
                        <pic:blipFill>
                          <a:blip r:embed="rId2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ind w:left="780" w:hanging="701"/>
              <w:jc w:val="left"/>
              <w:rPr>
                <w:rFonts w:ascii="宋体" w:hAnsi="宋体" w:eastAsia="Times New Roman"/>
                <w:color w:val="000000"/>
                <w:kern w:val="0"/>
                <w:sz w:val="18"/>
                <w:szCs w:val="18"/>
              </w:rPr>
            </w:pP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800"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5"/>
                <w:kern w:val="0"/>
                <w:sz w:val="18"/>
                <w:szCs w:val="18"/>
              </w:rPr>
              <w:t>协调性</w:t>
            </w:r>
          </w:p>
        </w:tc>
        <w:tc>
          <w:tcPr>
            <w:tcW w:w="530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824" w:right="103"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11"/>
                <w:kern w:val="0"/>
                <w:sz w:val="18"/>
                <w:szCs w:val="18"/>
              </w:rPr>
              <w:t>该标准的特色要求与其他强制性标准的主要技术指标、相关法律法规、部门规章或产业政策是否</w:t>
            </w:r>
            <w:r>
              <w:rPr>
                <w:rFonts w:hint="eastAsia" w:ascii="宋体" w:hAnsi="宋体" w:eastAsia="Times New Roman"/>
                <w:color w:val="000000"/>
                <w:spacing w:val="2"/>
                <w:kern w:val="0"/>
                <w:sz w:val="18"/>
                <w:szCs w:val="18"/>
              </w:rPr>
              <w:t>协调？</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4" name="图片 4" descr="C:\Users\ADMINI~1.USE\AppData\Local\Temp\ksohtml11916\wps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C:\Users\ADMINI~1.USE\AppData\Local\Temp\ksohtml11916\wps3.png"/>
                          <pic:cNvPicPr>
                            <a:picLocks noChangeAspect="true" noChangeArrowheads="true"/>
                          </pic:cNvPicPr>
                        </pic:nvPicPr>
                        <pic:blipFill>
                          <a:blip r:embed="rId2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6" name="图片 6" descr="C:\Users\ADMINI~1.USE\AppData\Local\Temp\ksohtml11916\wps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C:\Users\ADMINI~1.USE\AppData\Local\Temp\ksohtml11916\wps4.png"/>
                          <pic:cNvPicPr>
                            <a:picLocks noChangeAspect="true" noChangeArrowheads="true"/>
                          </pic:cNvPicPr>
                        </pic:nvPicPr>
                        <pic:blipFill>
                          <a:blip r:embed="rId2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ind w:left="780" w:hanging="701"/>
              <w:jc w:val="left"/>
              <w:rPr>
                <w:rFonts w:ascii="宋体" w:hAnsi="宋体" w:eastAsia="Times New Roman"/>
                <w:color w:val="000000"/>
                <w:kern w:val="0"/>
                <w:sz w:val="18"/>
                <w:szCs w:val="18"/>
              </w:rPr>
            </w:pP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788"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2"/>
                <w:kern w:val="0"/>
                <w:position w:val="12"/>
                <w:sz w:val="18"/>
                <w:szCs w:val="18"/>
              </w:rPr>
              <w:t>执行</w:t>
            </w:r>
          </w:p>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kern w:val="0"/>
                <w:sz w:val="18"/>
                <w:szCs w:val="18"/>
              </w:rPr>
              <w:t>情况</w:t>
            </w:r>
          </w:p>
        </w:tc>
        <w:tc>
          <w:tcPr>
            <w:tcW w:w="530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824" w:right="103" w:hanging="701"/>
              <w:jc w:val="left"/>
              <w:textAlignment w:val="baseline"/>
              <w:rPr>
                <w:rFonts w:ascii="宋体" w:hAnsi="宋体" w:eastAsia="Times New Roman"/>
                <w:color w:val="000000"/>
                <w:spacing w:val="11"/>
                <w:kern w:val="0"/>
                <w:sz w:val="18"/>
                <w:szCs w:val="18"/>
              </w:rPr>
            </w:pPr>
            <w:r>
              <w:rPr>
                <w:rFonts w:hint="eastAsia" w:ascii="宋体" w:hAnsi="宋体" w:eastAsia="Times New Roman"/>
                <w:color w:val="000000"/>
                <w:spacing w:val="11"/>
                <w:kern w:val="0"/>
                <w:sz w:val="18"/>
                <w:szCs w:val="18"/>
              </w:rPr>
              <w:t>标准执行单位或人员是否按照标准要求组织开展</w:t>
            </w:r>
          </w:p>
          <w:p>
            <w:pPr>
              <w:widowControl/>
              <w:kinsoku w:val="0"/>
              <w:autoSpaceDE w:val="0"/>
              <w:autoSpaceDN w:val="0"/>
              <w:snapToGrid w:val="0"/>
              <w:ind w:left="824" w:right="103"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11"/>
                <w:kern w:val="0"/>
                <w:sz w:val="18"/>
                <w:szCs w:val="18"/>
              </w:rPr>
              <w:t>相关工作？</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7" name="图片 7" descr="C:\Users\ADMINI~1.USE\AppData\Local\Temp\ksohtml11916\wps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C:\Users\ADMINI~1.USE\AppData\Local\Temp\ksohtml11916\wps5.png"/>
                          <pic:cNvPicPr>
                            <a:picLocks noChangeAspect="true" noChangeArrowheads="true"/>
                          </pic:cNvPicPr>
                        </pic:nvPicPr>
                        <pic:blipFill>
                          <a:blip r:embed="rId2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8" name="图片 8" descr="C:\Users\ADMINI~1.USE\AppData\Local\Temp\ksohtml11916\wps6.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C:\Users\ADMINI~1.USE\AppData\Local\Temp\ksohtml11916\wps6.png"/>
                          <pic:cNvPicPr>
                            <a:picLocks noChangeAspect="true" noChangeArrowheads="true"/>
                          </pic:cNvPicPr>
                        </pic:nvPicPr>
                        <pic:blipFill>
                          <a:blip r:embed="rId2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1211" w:type="dxa"/>
            <w:vMerge w:val="restart"/>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ind w:left="796"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4"/>
                <w:kern w:val="0"/>
                <w:sz w:val="18"/>
                <w:szCs w:val="18"/>
              </w:rPr>
              <w:t>实施信息</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812"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8"/>
                <w:kern w:val="0"/>
                <w:sz w:val="18"/>
                <w:szCs w:val="18"/>
              </w:rPr>
              <w:t>标准实施过程中是否存在阻力和障碍？</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9" name="图片 9" descr="C:\Users\ADMINI~1.USE\AppData\Local\Temp\ksohtml11916\wps7.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C:\Users\ADMINI~1.USE\AppData\Local\Temp\ksohtml11916\wps7.png"/>
                          <pic:cNvPicPr>
                            <a:picLocks noChangeAspect="true" noChangeArrowheads="true"/>
                          </pic:cNvPicPr>
                        </pic:nvPicPr>
                        <pic:blipFill>
                          <a:blip r:embed="rId2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 xml:space="preserve">是  </w:t>
            </w:r>
            <w:r>
              <w:rPr>
                <w:rFonts w:ascii="宋体" w:hAnsi="宋体" w:eastAsia="Times New Roman"/>
                <w:color w:val="000000"/>
                <w:kern w:val="0"/>
                <w:sz w:val="18"/>
                <w:szCs w:val="18"/>
              </w:rPr>
              <w:drawing>
                <wp:inline distT="0" distB="0" distL="0" distR="0">
                  <wp:extent cx="114300" cy="114300"/>
                  <wp:effectExtent l="0" t="0" r="0" b="0"/>
                  <wp:docPr id="10" name="图片 10" descr="C:\Users\ADMINI~1.USE\AppData\Local\Temp\ksohtml11916\wps8.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C:\Users\ADMINI~1.USE\AppData\Local\Temp\ksohtml11916\wps8.png"/>
                          <pic:cNvPicPr>
                            <a:picLocks noChangeAspect="true" noChangeArrowheads="true"/>
                          </pic:cNvPicPr>
                        </pic:nvPicPr>
                        <pic:blipFill>
                          <a:blip r:embed="rId2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ind w:left="780" w:hanging="701"/>
              <w:jc w:val="left"/>
              <w:rPr>
                <w:rFonts w:ascii="宋体" w:hAnsi="宋体" w:eastAsia="Times New Roman"/>
                <w:color w:val="000000"/>
                <w:kern w:val="0"/>
                <w:sz w:val="18"/>
                <w:szCs w:val="18"/>
              </w:rPr>
            </w:pPr>
          </w:p>
        </w:tc>
        <w:tc>
          <w:tcPr>
            <w:tcW w:w="3353" w:type="dxa"/>
            <w:gridSpan w:val="3"/>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812"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8"/>
                <w:kern w:val="0"/>
                <w:sz w:val="18"/>
                <w:szCs w:val="18"/>
              </w:rPr>
              <w:t>实施过程中存在的主要问题</w:t>
            </w:r>
          </w:p>
        </w:tc>
        <w:tc>
          <w:tcPr>
            <w:tcW w:w="4493" w:type="dxa"/>
            <w:gridSpan w:val="2"/>
            <w:tcBorders>
              <w:top w:val="single" w:color="auto" w:sz="4" w:space="0"/>
              <w:left w:val="single" w:color="auto" w:sz="4" w:space="0"/>
              <w:bottom w:val="single" w:color="auto" w:sz="4" w:space="0"/>
              <w:right w:val="single" w:color="auto" w:sz="12" w:space="0"/>
            </w:tcBorders>
            <w:vAlign w:val="center"/>
          </w:tcPr>
          <w:p>
            <w:pPr>
              <w:ind w:left="780" w:hanging="701"/>
              <w:jc w:val="left"/>
              <w:rPr>
                <w:rFonts w:ascii="宋体" w:hAnsi="宋体" w:eastAsia="Times New Roman" w:cs="Arial"/>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jc w:val="center"/>
        </w:trPr>
        <w:tc>
          <w:tcPr>
            <w:tcW w:w="1211" w:type="dxa"/>
            <w:vMerge w:val="restart"/>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ind w:left="812"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8"/>
                <w:kern w:val="0"/>
                <w:sz w:val="18"/>
                <w:szCs w:val="18"/>
              </w:rPr>
              <w:t>修改意见</w:t>
            </w: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768"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3"/>
                <w:kern w:val="0"/>
                <w:position w:val="12"/>
                <w:sz w:val="18"/>
                <w:szCs w:val="18"/>
              </w:rPr>
              <w:t>总体</w:t>
            </w:r>
          </w:p>
          <w:p>
            <w:pPr>
              <w:widowControl/>
              <w:kinsoku w:val="0"/>
              <w:autoSpaceDE w:val="0"/>
              <w:autoSpaceDN w:val="0"/>
              <w:snapToGrid w:val="0"/>
              <w:ind w:left="768"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3"/>
                <w:kern w:val="0"/>
                <w:sz w:val="18"/>
                <w:szCs w:val="18"/>
              </w:rPr>
              <w:t>意见</w:t>
            </w:r>
          </w:p>
        </w:tc>
        <w:tc>
          <w:tcPr>
            <w:tcW w:w="6685" w:type="dxa"/>
            <w:gridSpan w:val="3"/>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1" name="图片 11" descr="C:\Users\ADMINI~1.USE\AppData\Local\Temp\ksohtml11916\wps9.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C:\Users\ADMINI~1.USE\AppData\Local\Temp\ksohtml11916\wps9.png"/>
                          <pic:cNvPicPr>
                            <a:picLocks noChangeAspect="true" noChangeArrowheads="true"/>
                          </pic:cNvPicPr>
                        </pic:nvPicPr>
                        <pic:blipFill>
                          <a:blip r:embed="rId2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4"/>
                <w:kern w:val="0"/>
                <w:sz w:val="18"/>
                <w:szCs w:val="18"/>
              </w:rPr>
              <w:t xml:space="preserve">适用    </w:t>
            </w:r>
            <w:r>
              <w:rPr>
                <w:rFonts w:ascii="宋体" w:hAnsi="宋体" w:eastAsia="Times New Roman"/>
                <w:color w:val="000000"/>
                <w:kern w:val="0"/>
                <w:sz w:val="18"/>
                <w:szCs w:val="18"/>
              </w:rPr>
              <w:drawing>
                <wp:inline distT="0" distB="0" distL="0" distR="0">
                  <wp:extent cx="114300" cy="114300"/>
                  <wp:effectExtent l="0" t="0" r="0" b="0"/>
                  <wp:docPr id="12" name="图片 12" descr="C:\Users\ADMINI~1.USE\AppData\Local\Temp\ksohtml11916\wps10.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C:\Users\ADMINI~1.USE\AppData\Local\Temp\ksohtml11916\wps10.png"/>
                          <pic:cNvPicPr>
                            <a:picLocks noChangeAspect="true" noChangeArrowheads="true"/>
                          </pic:cNvPicPr>
                        </pic:nvPicPr>
                        <pic:blipFill>
                          <a:blip r:embed="rId28">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4"/>
                <w:kern w:val="0"/>
                <w:sz w:val="18"/>
                <w:szCs w:val="18"/>
              </w:rPr>
              <w:t xml:space="preserve">修改    </w:t>
            </w:r>
            <w:r>
              <w:rPr>
                <w:rFonts w:ascii="宋体" w:hAnsi="宋体" w:eastAsia="Times New Roman"/>
                <w:color w:val="000000"/>
                <w:kern w:val="0"/>
                <w:sz w:val="18"/>
                <w:szCs w:val="18"/>
              </w:rPr>
              <w:drawing>
                <wp:inline distT="0" distB="0" distL="0" distR="0">
                  <wp:extent cx="114300" cy="114300"/>
                  <wp:effectExtent l="0" t="0" r="0" b="0"/>
                  <wp:docPr id="13" name="图片 13" descr="C:\Users\ADMINI~1.USE\AppData\Local\Temp\ksohtml11916\wps1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C:\Users\ADMINI~1.USE\AppData\Local\Temp\ksohtml11916\wps11.png"/>
                          <pic:cNvPicPr>
                            <a:picLocks noChangeAspect="true" noChangeArrowheads="true"/>
                          </pic:cNvPicPr>
                        </pic:nvPicPr>
                        <pic:blipFill>
                          <a:blip r:embed="rId28">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4"/>
                <w:kern w:val="0"/>
                <w:sz w:val="18"/>
                <w:szCs w:val="18"/>
              </w:rPr>
              <w:t>废止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jc w:val="center"/>
        </w:trPr>
        <w:tc>
          <w:tcPr>
            <w:tcW w:w="1211" w:type="dxa"/>
            <w:vMerge w:val="continue"/>
            <w:tcBorders>
              <w:top w:val="single" w:color="auto" w:sz="4" w:space="0"/>
              <w:left w:val="single" w:color="auto" w:sz="12" w:space="0"/>
              <w:bottom w:val="single" w:color="auto" w:sz="4" w:space="0"/>
              <w:right w:val="single" w:color="auto" w:sz="4" w:space="0"/>
            </w:tcBorders>
            <w:vAlign w:val="center"/>
          </w:tcPr>
          <w:p>
            <w:pPr>
              <w:widowControl/>
              <w:ind w:left="780" w:hanging="701"/>
              <w:jc w:val="left"/>
              <w:rPr>
                <w:rFonts w:ascii="宋体" w:hAnsi="宋体" w:eastAsia="Times New Roman"/>
                <w:color w:val="000000"/>
                <w:kern w:val="0"/>
                <w:sz w:val="18"/>
                <w:szCs w:val="18"/>
              </w:rPr>
            </w:pPr>
          </w:p>
        </w:tc>
        <w:tc>
          <w:tcPr>
            <w:tcW w:w="1161" w:type="dxa"/>
            <w:gridSpan w:val="2"/>
            <w:tcBorders>
              <w:top w:val="single" w:color="auto" w:sz="4" w:space="0"/>
              <w:left w:val="single" w:color="auto" w:sz="4" w:space="0"/>
              <w:bottom w:val="single" w:color="000000" w:sz="2" w:space="0"/>
              <w:right w:val="single" w:color="auto" w:sz="4" w:space="0"/>
            </w:tcBorders>
            <w:vAlign w:val="center"/>
          </w:tcPr>
          <w:p>
            <w:pPr>
              <w:widowControl/>
              <w:kinsoku w:val="0"/>
              <w:autoSpaceDE w:val="0"/>
              <w:autoSpaceDN w:val="0"/>
              <w:snapToGrid w:val="0"/>
              <w:ind w:left="796"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4"/>
                <w:kern w:val="0"/>
                <w:position w:val="12"/>
                <w:sz w:val="18"/>
                <w:szCs w:val="18"/>
              </w:rPr>
              <w:t>具体修</w:t>
            </w:r>
          </w:p>
          <w:p>
            <w:pPr>
              <w:widowControl/>
              <w:kinsoku w:val="0"/>
              <w:autoSpaceDE w:val="0"/>
              <w:autoSpaceDN w:val="0"/>
              <w:snapToGrid w:val="0"/>
              <w:ind w:left="772"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2"/>
                <w:kern w:val="0"/>
                <w:sz w:val="18"/>
                <w:szCs w:val="18"/>
              </w:rPr>
              <w:t>改意见</w:t>
            </w:r>
          </w:p>
        </w:tc>
        <w:tc>
          <w:tcPr>
            <w:tcW w:w="6685" w:type="dxa"/>
            <w:gridSpan w:val="3"/>
            <w:tcBorders>
              <w:top w:val="single" w:color="auto" w:sz="4" w:space="0"/>
              <w:left w:val="single" w:color="auto" w:sz="4" w:space="0"/>
              <w:bottom w:val="single" w:color="000000" w:sz="2" w:space="0"/>
              <w:right w:val="single" w:color="auto" w:sz="12" w:space="0"/>
            </w:tcBorders>
            <w:vAlign w:val="center"/>
          </w:tcPr>
          <w:p>
            <w:pPr>
              <w:widowControl/>
              <w:kinsoku w:val="0"/>
              <w:autoSpaceDE w:val="0"/>
              <w:autoSpaceDN w:val="0"/>
              <w:snapToGrid w:val="0"/>
              <w:ind w:left="796"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4"/>
                <w:kern w:val="0"/>
                <w:sz w:val="18"/>
                <w:szCs w:val="18"/>
              </w:rPr>
              <w:t>需修改章节：</w:t>
            </w:r>
          </w:p>
          <w:p>
            <w:pPr>
              <w:widowControl/>
              <w:kinsoku w:val="0"/>
              <w:autoSpaceDE w:val="0"/>
              <w:autoSpaceDN w:val="0"/>
              <w:snapToGrid w:val="0"/>
              <w:ind w:left="804"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6"/>
                <w:kern w:val="0"/>
                <w:sz w:val="18"/>
                <w:szCs w:val="18"/>
              </w:rPr>
              <w:t>具体修改意见：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jc w:val="center"/>
        </w:trPr>
        <w:tc>
          <w:tcPr>
            <w:tcW w:w="1211" w:type="dxa"/>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ind w:left="808"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7"/>
                <w:kern w:val="0"/>
                <w:sz w:val="18"/>
                <w:szCs w:val="18"/>
              </w:rPr>
              <w:t>反馈渠道</w:t>
            </w:r>
          </w:p>
        </w:tc>
        <w:tc>
          <w:tcPr>
            <w:tcW w:w="7846" w:type="dxa"/>
            <w:gridSpan w:val="5"/>
            <w:tcBorders>
              <w:top w:val="single" w:color="000000" w:sz="2" w:space="0"/>
              <w:left w:val="single" w:color="auto" w:sz="4" w:space="0"/>
              <w:bottom w:val="single" w:color="000000" w:sz="2" w:space="0"/>
              <w:right w:val="single" w:color="auto" w:sz="4" w:space="0"/>
            </w:tcBorders>
            <w:vAlign w:val="center"/>
          </w:tcPr>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4" name="图片 14" descr="C:\Users\ADMINI~1.USE\AppData\Local\Temp\ksohtml11916\wps1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C:\Users\ADMINI~1.USE\AppData\Local\Temp\ksohtml11916\wps12.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2"/>
                <w:kern w:val="0"/>
                <w:sz w:val="18"/>
                <w:szCs w:val="18"/>
              </w:rPr>
              <w:t>标准化行政主管部门</w:t>
            </w:r>
          </w:p>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5" name="图片 15" descr="C:\Users\ADMINI~1.USE\AppData\Local\Temp\ksohtml11916\wps13.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C:\Users\ADMINI~1.USE\AppData\Local\Temp\ksohtml11916\wps13.png"/>
                          <pic:cNvPicPr>
                            <a:picLocks noChangeAspect="true" noChangeArrowheads="true"/>
                          </pic:cNvPicPr>
                        </pic:nvPicPr>
                        <pic:blipFill>
                          <a:blip r:embed="rId30">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2"/>
                <w:kern w:val="0"/>
                <w:sz w:val="18"/>
                <w:szCs w:val="18"/>
              </w:rPr>
              <w:t>省直行业主管部门</w:t>
            </w:r>
          </w:p>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6" name="图片 16" descr="C:\Users\ADMINI~1.USE\AppData\Local\Temp\ksohtml11916\wps1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C:\Users\ADMINI~1.USE\AppData\Local\Temp\ksohtml11916\wps14.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0"/>
                <w:kern w:val="0"/>
                <w:sz w:val="18"/>
                <w:szCs w:val="18"/>
              </w:rPr>
              <w:t>专业标准化技术委员会（工作组）</w:t>
            </w:r>
          </w:p>
          <w:p>
            <w:pPr>
              <w:widowControl/>
              <w:kinsoku w:val="0"/>
              <w:autoSpaceDE w:val="0"/>
              <w:autoSpaceDN w:val="0"/>
              <w:snapToGrid w:val="0"/>
              <w:ind w:left="780" w:hanging="701"/>
              <w:jc w:val="left"/>
              <w:textAlignment w:val="baseline"/>
              <w:rPr>
                <w:rFonts w:ascii="宋体" w:hAnsi="宋体" w:eastAsia="Times New Roman"/>
                <w:color w:val="000000"/>
                <w:kern w:val="0"/>
                <w:sz w:val="18"/>
                <w:szCs w:val="18"/>
              </w:rPr>
            </w:pPr>
            <w:r>
              <w:rPr>
                <w:rFonts w:ascii="宋体" w:hAnsi="宋体" w:eastAsia="Times New Roman"/>
                <w:color w:val="000000"/>
                <w:kern w:val="0"/>
                <w:sz w:val="18"/>
                <w:szCs w:val="18"/>
              </w:rPr>
              <w:drawing>
                <wp:inline distT="0" distB="0" distL="0" distR="0">
                  <wp:extent cx="114300" cy="114300"/>
                  <wp:effectExtent l="0" t="0" r="0" b="0"/>
                  <wp:docPr id="17" name="图片 17" descr="C:\Users\ADMINI~1.USE\AppData\Local\Temp\ksohtml11916\wps15.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C:\Users\ADMINI~1.USE\AppData\Local\Temp\ksohtml11916\wps15.png"/>
                          <pic:cNvPicPr>
                            <a:picLocks noChangeAspect="true" noChangeArrowheads="true"/>
                          </pic:cNvPicPr>
                        </pic:nvPicPr>
                        <pic:blipFill>
                          <a:blip r:embed="rId29">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color w:val="000000"/>
                <w:spacing w:val="11"/>
                <w:kern w:val="0"/>
                <w:sz w:val="18"/>
                <w:szCs w:val="18"/>
              </w:rPr>
              <w:t>标准起草组（牵头起草单位）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4" w:hRule="atLeast"/>
          <w:jc w:val="center"/>
        </w:trPr>
        <w:tc>
          <w:tcPr>
            <w:tcW w:w="1211" w:type="dxa"/>
            <w:tcBorders>
              <w:top w:val="single" w:color="auto" w:sz="4" w:space="0"/>
              <w:left w:val="single" w:color="auto" w:sz="12" w:space="0"/>
              <w:bottom w:val="single" w:color="auto" w:sz="12" w:space="0"/>
              <w:right w:val="single" w:color="auto" w:sz="4" w:space="0"/>
            </w:tcBorders>
            <w:vAlign w:val="center"/>
          </w:tcPr>
          <w:p>
            <w:pPr>
              <w:widowControl/>
              <w:kinsoku w:val="0"/>
              <w:autoSpaceDE w:val="0"/>
              <w:autoSpaceDN w:val="0"/>
              <w:snapToGrid w:val="0"/>
              <w:ind w:left="804"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6"/>
                <w:kern w:val="0"/>
                <w:sz w:val="18"/>
                <w:szCs w:val="18"/>
              </w:rPr>
              <w:t>反馈人</w:t>
            </w:r>
          </w:p>
        </w:tc>
        <w:tc>
          <w:tcPr>
            <w:tcW w:w="7846" w:type="dxa"/>
            <w:gridSpan w:val="5"/>
            <w:tcBorders>
              <w:top w:val="single" w:color="000000" w:sz="2" w:space="0"/>
              <w:left w:val="single" w:color="auto" w:sz="4" w:space="0"/>
              <w:bottom w:val="single" w:color="auto" w:sz="12" w:space="0"/>
              <w:right w:val="single" w:color="auto" w:sz="12" w:space="0"/>
            </w:tcBorders>
            <w:vAlign w:val="center"/>
          </w:tcPr>
          <w:p>
            <w:pPr>
              <w:widowControl/>
              <w:kinsoku w:val="0"/>
              <w:autoSpaceDE w:val="0"/>
              <w:autoSpaceDN w:val="0"/>
              <w:snapToGrid w:val="0"/>
              <w:ind w:left="788" w:hanging="701"/>
              <w:jc w:val="left"/>
              <w:textAlignment w:val="baseline"/>
              <w:rPr>
                <w:rFonts w:ascii="宋体" w:hAnsi="宋体" w:eastAsia="Times New Roman"/>
                <w:color w:val="000000"/>
                <w:kern w:val="0"/>
                <w:sz w:val="18"/>
                <w:szCs w:val="18"/>
              </w:rPr>
            </w:pPr>
            <w:r>
              <w:rPr>
                <w:rFonts w:hint="eastAsia" w:ascii="宋体" w:hAnsi="宋体" w:eastAsia="Times New Roman"/>
                <w:color w:val="000000"/>
                <w:spacing w:val="2"/>
                <w:kern w:val="0"/>
                <w:sz w:val="18"/>
                <w:szCs w:val="18"/>
              </w:rPr>
              <w:t>姓名：</w:t>
            </w:r>
            <w:r>
              <w:rPr>
                <w:rFonts w:hint="eastAsia" w:ascii="宋体" w:hAnsi="宋体" w:eastAsia="Times New Roman"/>
                <w:color w:val="000000"/>
                <w:spacing w:val="8"/>
                <w:kern w:val="0"/>
                <w:sz w:val="18"/>
                <w:szCs w:val="18"/>
              </w:rPr>
              <w:t xml:space="preserve">           </w:t>
            </w:r>
            <w:r>
              <w:rPr>
                <w:rFonts w:hint="eastAsia" w:ascii="宋体" w:hAnsi="宋体" w:eastAsia="Times New Roman"/>
                <w:color w:val="000000"/>
                <w:spacing w:val="2"/>
                <w:kern w:val="0"/>
                <w:sz w:val="18"/>
                <w:szCs w:val="18"/>
              </w:rPr>
              <w:t>单位：</w:t>
            </w:r>
            <w:r>
              <w:rPr>
                <w:rFonts w:hint="eastAsia" w:ascii="宋体" w:hAnsi="宋体" w:eastAsia="Times New Roman"/>
                <w:color w:val="000000"/>
                <w:spacing w:val="1"/>
                <w:kern w:val="0"/>
                <w:sz w:val="18"/>
                <w:szCs w:val="18"/>
              </w:rPr>
              <w:t xml:space="preserve">                      </w:t>
            </w:r>
            <w:r>
              <w:rPr>
                <w:rFonts w:hint="eastAsia" w:ascii="宋体" w:hAnsi="宋体" w:eastAsia="Times New Roman"/>
                <w:color w:val="000000"/>
                <w:spacing w:val="2"/>
                <w:kern w:val="0"/>
                <w:sz w:val="18"/>
                <w:szCs w:val="18"/>
              </w:rPr>
              <w:t>联系方式：</w:t>
            </w:r>
          </w:p>
        </w:tc>
      </w:tr>
    </w:tbl>
    <w:p>
      <w:pPr>
        <w:ind w:firstLine="360" w:firstLineChars="200"/>
        <w:jc w:val="left"/>
        <w:rPr>
          <w:rFonts w:ascii="宋体" w:hAnsi="宋体" w:cs="宋体"/>
          <w:color w:val="000000"/>
          <w:sz w:val="18"/>
          <w:szCs w:val="18"/>
        </w:rPr>
      </w:pPr>
      <w:r>
        <w:rPr>
          <w:rFonts w:hint="eastAsia" w:ascii="宋体" w:hAnsi="宋体" w:cs="宋体"/>
          <w:color w:val="000000"/>
          <w:sz w:val="18"/>
          <w:szCs w:val="18"/>
        </w:rPr>
        <w:t>填表说明：为及时掌握标准实施情况，了解地方标准实施过程中存在的问题，并为标准复审提供科学依据，特制定《湖北省地方标准实施信息及意见反馈表》。可根据实际情况在表格中对应方框打勾，有需要文字说明的反馈意见可在相应位置进行文字描述，也可另附页。</w:t>
      </w:r>
    </w:p>
    <w:p>
      <w:pPr>
        <w:pStyle w:val="64"/>
        <w:ind w:firstLine="0" w:firstLineChars="0"/>
        <w:jc w:val="center"/>
      </w:pPr>
    </w:p>
    <w:sectPr>
      <w:headerReference r:id="rId21" w:type="default"/>
      <w:footerReference r:id="rId23" w:type="default"/>
      <w:headerReference r:id="rId22" w:type="even"/>
      <w:footerReference r:id="rId24" w:type="even"/>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Noto Sans CJK SC"/>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Segoe UI">
    <w:altName w:val="Noto Naskh Arabic"/>
    <w:panose1 w:val="020B0502040204020203"/>
    <w:charset w:val="00"/>
    <w:family w:val="swiss"/>
    <w:pitch w:val="default"/>
    <w:sig w:usb0="00000000" w:usb1="00000000" w:usb2="00000009" w:usb3="00000000" w:csb0="200001FF" w:csb1="00000000"/>
  </w:font>
  <w:font w:name="Cambria Math">
    <w:altName w:val="DejaVu Math TeX Gyre"/>
    <w:panose1 w:val="02040503050406030204"/>
    <w:charset w:val="00"/>
    <w:family w:val="roman"/>
    <w:pitch w:val="default"/>
    <w:sig w:usb0="00000000" w:usb1="00000000" w:usb2="02000000" w:usb3="00000000" w:csb0="2000019F" w:csb1="00000000"/>
  </w:font>
  <w:font w:name="微软雅黑">
    <w:altName w:val="方正黑体_GBK"/>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9"/>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pPr>
    <w:r>
      <w:fldChar w:fldCharType="begin"/>
    </w:r>
    <w:r>
      <w:instrText xml:space="preserve">PAGE   \* MERGEFORMAT</w:instrText>
    </w:r>
    <w:r>
      <w:fldChar w:fldCharType="separate"/>
    </w:r>
    <w:r>
      <w:rPr>
        <w:lang w:val="zh-CN"/>
      </w:rPr>
      <w:t>III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9"/>
    </w:pPr>
    <w:r>
      <w:fldChar w:fldCharType="begin"/>
    </w:r>
    <w:r>
      <w:instrText xml:space="preserve"> PAGE   \* MERGEFORMAT \* MERGEFORMAT </w:instrText>
    </w:r>
    <w:r>
      <w:fldChar w:fldCharType="separate"/>
    </w:r>
    <w:r>
      <w:t>III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pPr>
    <w:r>
      <w:fldChar w:fldCharType="begin"/>
    </w:r>
    <w:r>
      <w:instrText xml:space="preserve">PAGE   \* MERGEFORMAT</w:instrText>
    </w:r>
    <w:r>
      <w:fldChar w:fldCharType="separate"/>
    </w:r>
    <w:r>
      <w:rPr>
        <w:lang w:val="zh-CN"/>
      </w:rP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9"/>
    </w:pPr>
    <w:r>
      <w:fldChar w:fldCharType="begin"/>
    </w:r>
    <w:r>
      <w:instrText xml:space="preserve"> PAGE   \* MERGEFORMAT \* MERGEFORMAT </w:instrText>
    </w:r>
    <w:r>
      <w:fldChar w:fldCharType="separate"/>
    </w:r>
    <w:r>
      <w:t>IV</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0"/>
    </w:pPr>
    <w:r>
      <w:fldChar w:fldCharType="begin"/>
    </w:r>
    <w:r>
      <w:instrText xml:space="preserve">PAGE   \* MERGEFORMAT</w:instrText>
    </w:r>
    <w:r>
      <w:fldChar w:fldCharType="separate"/>
    </w:r>
    <w:r>
      <w:rPr>
        <w:lang w:val="zh-CN"/>
      </w:rPr>
      <w:t>21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9"/>
    </w:pPr>
    <w:r>
      <w:fldChar w:fldCharType="begin"/>
    </w:r>
    <w:r>
      <w:instrText xml:space="preserve"> PAGE   \* MERGEFORMAT \* MERGEFORMAT </w:instrText>
    </w:r>
    <w:r>
      <w:fldChar w:fldCharType="separate"/>
    </w:r>
    <w: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Pr>
    <w:r>
      <w:fldChar w:fldCharType="begin"/>
    </w:r>
    <w:r>
      <w:instrText xml:space="preserve"> STYLEREF  标准文件_文件编号  \* MERGEFORMAT </w:instrText>
    </w:r>
    <w:r>
      <w:fldChar w:fldCharType="separate"/>
    </w:r>
    <w:r>
      <w:t>DBXX/T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fldChar w:fldCharType="begin"/>
    </w:r>
    <w:r>
      <w:instrText xml:space="preserve"> STYLEREF  标准文件_文件编号 \* MERGEFORMAT </w:instrText>
    </w:r>
    <w:r>
      <w:fldChar w:fldCharType="separate"/>
    </w:r>
    <w:r>
      <w:t>DBXX/T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Pr>
    <w:r>
      <w:fldChar w:fldCharType="begin"/>
    </w:r>
    <w:r>
      <w:instrText xml:space="preserve"> STYLEREF  标准文件_文件编号  \* MERGEFORMAT </w:instrText>
    </w:r>
    <w:r>
      <w:fldChar w:fldCharType="separate"/>
    </w:r>
    <w:r>
      <w:t>DBXX/T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rPr>
        <w:rFonts w:hint="eastAsia"/>
      </w:rPr>
      <w:fldChar w:fldCharType="begin"/>
    </w:r>
    <w:r>
      <w:rPr>
        <w:rFonts w:hint="eastAsia"/>
      </w:rPr>
      <w:instrText xml:space="preserve"> </w:instrText>
    </w:r>
    <w:r>
      <w:instrText xml:space="preserve">STYLEREF  标准文件_文件编号 \* MERGEFORMAT</w:instrText>
    </w:r>
    <w:r>
      <w:rPr>
        <w:rFonts w:hint="eastAsia"/>
      </w:rPr>
      <w:instrText xml:space="preserve"> </w:instrText>
    </w:r>
    <w:r>
      <w:rPr>
        <w:rFonts w:hint="eastAsia"/>
      </w:rPr>
      <w:fldChar w:fldCharType="separate"/>
    </w:r>
    <w:r>
      <w:rPr>
        <w:rFonts w:hint="eastAsia"/>
      </w:rPr>
      <w:t>DBXX/T XXXX—XXXX</w:t>
    </w:r>
    <w:r>
      <w:rPr>
        <w:rFonts w:hint="eastAsia"/>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Pr>
    <w:r>
      <w:fldChar w:fldCharType="begin"/>
    </w:r>
    <w:r>
      <w:instrText xml:space="preserve"> STYLEREF  标准文件_文件编号  \* MERGEFORMAT </w:instrText>
    </w:r>
    <w:r>
      <w:fldChar w:fldCharType="separate"/>
    </w:r>
    <w:r>
      <w:t>DBXX/T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DBXX/T XXXX—XXXX</w:t>
    </w:r>
    <w:r>
      <w:rPr>
        <w:rFonts w:hint="eastAsia"/>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Pr>
    <w:r>
      <w:fldChar w:fldCharType="begin"/>
    </w:r>
    <w:r>
      <w:instrText xml:space="preserve"> STYLEREF  标准文件_文件编号  \* MERGEFORMAT </w:instrText>
    </w:r>
    <w:r>
      <w:fldChar w:fldCharType="separate"/>
    </w:r>
    <w:r>
      <w:t>DBXX/T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0"/>
    </w:pPr>
    <w:r>
      <w:rPr>
        <w:rFonts w:hint="eastAsia"/>
      </w:rPr>
      <w:fldChar w:fldCharType="begin"/>
    </w:r>
    <w:r>
      <w:rPr>
        <w:rFonts w:hint="eastAsia"/>
      </w:rPr>
      <w:instrText xml:space="preserve"> STYLEREF  标准文件_文件编号 \* MERGEFORMAT </w:instrText>
    </w:r>
    <w:r>
      <w:rPr>
        <w:rFonts w:hint="eastAsia"/>
      </w:rPr>
      <w:fldChar w:fldCharType="separate"/>
    </w:r>
    <w:r>
      <w:rPr>
        <w:rFonts w:hint="eastAsia"/>
      </w:rPr>
      <w:t>DBXX/T XXXX—XXXX</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72"/>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7"/>
      <w:suff w:val="nothing"/>
      <w:lvlText w:val="%1%2.%3　"/>
      <w:lvlJc w:val="left"/>
      <w:pPr>
        <w:ind w:left="0" w:firstLine="0"/>
      </w:pPr>
    </w:lvl>
    <w:lvl w:ilvl="3" w:tentative="0">
      <w:start w:val="1"/>
      <w:numFmt w:val="decimal"/>
      <w:pStyle w:val="126"/>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pStyle w:val="163"/>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8"/>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7"/>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pStyle w:val="211"/>
      <w:suff w:val="nothing"/>
      <w:lvlText w:val="%10.%2.%3.%4.%5 "/>
      <w:lvlJc w:val="left"/>
      <w:pPr>
        <w:ind w:left="0" w:firstLine="0"/>
      </w:pPr>
      <w:rPr>
        <w:rFonts w:hint="eastAsia" w:ascii="黑体" w:eastAsia="黑体" w:hAnsiTheme="minorHAnsi"/>
        <w:b w:val="0"/>
        <w:i w:val="0"/>
        <w:sz w:val="21"/>
      </w:rPr>
    </w:lvl>
    <w:lvl w:ilvl="5" w:tentative="0">
      <w:start w:val="1"/>
      <w:numFmt w:val="decimal"/>
      <w:pStyle w:val="212"/>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9"/>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5"/>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BF97B70"/>
    <w:multiLevelType w:val="multilevel"/>
    <w:tmpl w:val="0BF97B70"/>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D051F45"/>
    <w:multiLevelType w:val="multilevel"/>
    <w:tmpl w:val="0D051F45"/>
    <w:lvl w:ilvl="0" w:tentative="0">
      <w:start w:val="1"/>
      <w:numFmt w:val="lowerRoman"/>
      <w:pStyle w:val="177"/>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8E12AFA"/>
    <w:multiLevelType w:val="multilevel"/>
    <w:tmpl w:val="18E12AFA"/>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AA722AB"/>
    <w:multiLevelType w:val="multilevel"/>
    <w:tmpl w:val="1AA722AB"/>
    <w:lvl w:ilvl="0" w:tentative="0">
      <w:start w:val="12"/>
      <w:numFmt w:val="decimal"/>
      <w:suff w:val="space"/>
      <w:lvlText w:val="%1 "/>
      <w:lvlJc w:val="left"/>
      <w:pPr>
        <w:ind w:left="0" w:firstLine="0"/>
      </w:pPr>
      <w:rPr>
        <w:rFonts w:hint="default" w:ascii="黑体" w:hAnsi="黑体" w:eastAsia="黑体" w:cs="黑体"/>
        <w:snapToGrid w:val="0"/>
        <w:sz w:val="21"/>
        <w:szCs w:val="21"/>
      </w:rPr>
    </w:lvl>
    <w:lvl w:ilvl="1" w:tentative="0">
      <w:start w:val="1"/>
      <w:numFmt w:val="decimal"/>
      <w:suff w:val="space"/>
      <w:lvlText w:val="%1.%2 "/>
      <w:lvlJc w:val="left"/>
      <w:pPr>
        <w:ind w:left="0" w:firstLine="0"/>
      </w:pPr>
      <w:rPr>
        <w:rFonts w:hint="default" w:ascii="黑体" w:hAnsi="黑体" w:eastAsia="黑体" w:cs="黑体"/>
        <w:snapToGrid w:val="0"/>
        <w:sz w:val="21"/>
        <w:szCs w:val="21"/>
      </w:rPr>
    </w:lvl>
    <w:lvl w:ilvl="2" w:tentative="0">
      <w:start w:val="0"/>
      <w:numFmt w:val="decimal"/>
      <w:lvlText w:val=""/>
      <w:lvlJc w:val="left"/>
      <w:pPr>
        <w:ind w:left="0" w:firstLine="0"/>
      </w:pPr>
      <w:rPr>
        <w:rFonts w:hint="eastAsia"/>
      </w:rPr>
    </w:lvl>
    <w:lvl w:ilvl="3" w:tentative="0">
      <w:start w:val="0"/>
      <w:numFmt w:val="decimal"/>
      <w:lvlText w:val=""/>
      <w:lvlJc w:val="left"/>
      <w:pPr>
        <w:ind w:left="0" w:firstLine="0"/>
      </w:pPr>
      <w:rPr>
        <w:rFonts w:hint="eastAsia"/>
      </w:rPr>
    </w:lvl>
    <w:lvl w:ilvl="4" w:tentative="0">
      <w:start w:val="0"/>
      <w:numFmt w:val="decimal"/>
      <w:lvlText w:val=""/>
      <w:lvlJc w:val="left"/>
      <w:pPr>
        <w:ind w:left="0" w:firstLine="0"/>
      </w:pPr>
      <w:rPr>
        <w:rFonts w:hint="eastAsia"/>
      </w:rPr>
    </w:lvl>
    <w:lvl w:ilvl="5" w:tentative="0">
      <w:start w:val="0"/>
      <w:numFmt w:val="decimal"/>
      <w:lvlText w:val=""/>
      <w:lvlJc w:val="left"/>
      <w:pPr>
        <w:ind w:left="0" w:firstLine="0"/>
      </w:pPr>
      <w:rPr>
        <w:rFonts w:hint="eastAsia"/>
      </w:rPr>
    </w:lvl>
    <w:lvl w:ilvl="6" w:tentative="0">
      <w:start w:val="0"/>
      <w:numFmt w:val="decimal"/>
      <w:lvlText w:val=""/>
      <w:lvlJc w:val="left"/>
      <w:pPr>
        <w:ind w:left="0" w:firstLine="0"/>
      </w:pPr>
      <w:rPr>
        <w:rFonts w:hint="eastAsia"/>
      </w:rPr>
    </w:lvl>
    <w:lvl w:ilvl="7" w:tentative="0">
      <w:start w:val="0"/>
      <w:numFmt w:val="decimal"/>
      <w:lvlText w:val=""/>
      <w:lvlJc w:val="left"/>
      <w:pPr>
        <w:ind w:left="0" w:firstLine="0"/>
      </w:pPr>
      <w:rPr>
        <w:rFonts w:hint="eastAsia"/>
      </w:rPr>
    </w:lvl>
    <w:lvl w:ilvl="8" w:tentative="0">
      <w:start w:val="0"/>
      <w:numFmt w:val="decimal"/>
      <w:lvlText w:val=""/>
      <w:lvlJc w:val="left"/>
      <w:pPr>
        <w:ind w:left="0" w:firstLine="0"/>
      </w:pPr>
      <w:rPr>
        <w:rFonts w:hint="eastAsia"/>
      </w:rPr>
    </w:lvl>
  </w:abstractNum>
  <w:abstractNum w:abstractNumId="10">
    <w:nsid w:val="1AD20F90"/>
    <w:multiLevelType w:val="multilevel"/>
    <w:tmpl w:val="1AD20F90"/>
    <w:lvl w:ilvl="0" w:tentative="0">
      <w:start w:val="1"/>
      <w:numFmt w:val="none"/>
      <w:pStyle w:val="118"/>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AF15012"/>
    <w:multiLevelType w:val="multilevel"/>
    <w:tmpl w:val="1AF15012"/>
    <w:lvl w:ilvl="0" w:tentative="0">
      <w:start w:val="1"/>
      <w:numFmt w:val="upperLetter"/>
      <w:pStyle w:val="93"/>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
    <w:nsid w:val="1EAA1992"/>
    <w:multiLevelType w:val="multilevel"/>
    <w:tmpl w:val="1EAA1992"/>
    <w:lvl w:ilvl="0" w:tentative="0">
      <w:start w:val="1"/>
      <w:numFmt w:val="none"/>
      <w:pStyle w:val="100"/>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3">
    <w:nsid w:val="2BF62CD9"/>
    <w:multiLevelType w:val="multilevel"/>
    <w:tmpl w:val="2BF62CD9"/>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5917C3"/>
    <w:multiLevelType w:val="multilevel"/>
    <w:tmpl w:val="2C5917C3"/>
    <w:lvl w:ilvl="0" w:tentative="0">
      <w:start w:val="1"/>
      <w:numFmt w:val="none"/>
      <w:pStyle w:val="140"/>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5"/>
      <w:lvlText w:val=""/>
      <w:lvlJc w:val="left"/>
      <w:pPr>
        <w:ind w:left="851" w:hanging="431"/>
      </w:pPr>
      <w:rPr>
        <w:rFonts w:hint="default" w:ascii="Symbol" w:hAnsi="Symbol"/>
        <w:sz w:val="21"/>
      </w:rPr>
    </w:lvl>
    <w:lvl w:ilvl="2" w:tentative="0">
      <w:start w:val="1"/>
      <w:numFmt w:val="bullet"/>
      <w:pStyle w:val="180"/>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5">
    <w:nsid w:val="32F04FB2"/>
    <w:multiLevelType w:val="multilevel"/>
    <w:tmpl w:val="32F04FB2"/>
    <w:lvl w:ilvl="0" w:tentative="0">
      <w:start w:val="1"/>
      <w:numFmt w:val="lowerLetter"/>
      <w:pStyle w:val="109"/>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6">
    <w:nsid w:val="44C50F90"/>
    <w:multiLevelType w:val="multilevel"/>
    <w:tmpl w:val="44C50F90"/>
    <w:lvl w:ilvl="0" w:tentative="0">
      <w:start w:val="1"/>
      <w:numFmt w:val="lowerLetter"/>
      <w:pStyle w:val="182"/>
      <w:lvlText w:val="%1)"/>
      <w:lvlJc w:val="left"/>
      <w:pPr>
        <w:tabs>
          <w:tab w:val="left" w:pos="851"/>
        </w:tabs>
        <w:ind w:left="851" w:hanging="426"/>
      </w:pPr>
      <w:rPr>
        <w:rFonts w:hint="eastAsia" w:ascii="宋体" w:hAnsi="Times New Roman" w:eastAsia="宋体"/>
        <w:sz w:val="21"/>
      </w:rPr>
    </w:lvl>
    <w:lvl w:ilvl="1" w:tentative="0">
      <w:start w:val="1"/>
      <w:numFmt w:val="decimal"/>
      <w:pStyle w:val="117"/>
      <w:lvlText w:val="%2)"/>
      <w:lvlJc w:val="left"/>
      <w:pPr>
        <w:tabs>
          <w:tab w:val="left" w:pos="1276"/>
        </w:tabs>
        <w:ind w:left="1276" w:hanging="425"/>
      </w:pPr>
      <w:rPr>
        <w:rFonts w:hint="eastAsia" w:ascii="宋体" w:hAnsi="Times New Roman" w:eastAsia="宋体"/>
        <w:sz w:val="21"/>
      </w:rPr>
    </w:lvl>
    <w:lvl w:ilvl="2" w:tentative="0">
      <w:start w:val="1"/>
      <w:numFmt w:val="decimal"/>
      <w:pStyle w:val="125"/>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48802D1C"/>
    <w:multiLevelType w:val="multilevel"/>
    <w:tmpl w:val="48802D1C"/>
    <w:lvl w:ilvl="0" w:tentative="0">
      <w:start w:val="1"/>
      <w:numFmt w:val="upperLetter"/>
      <w:pStyle w:val="206"/>
      <w:lvlText w:val="%1"/>
      <w:lvlJc w:val="left"/>
      <w:pPr>
        <w:ind w:left="420" w:hanging="420"/>
      </w:pPr>
      <w:rPr>
        <w:rFonts w:hint="eastAsia"/>
      </w:rPr>
    </w:lvl>
    <w:lvl w:ilvl="1" w:tentative="0">
      <w:start w:val="1"/>
      <w:numFmt w:val="decimal"/>
      <w:pStyle w:val="91"/>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8">
    <w:nsid w:val="4B733A5F"/>
    <w:multiLevelType w:val="multilevel"/>
    <w:tmpl w:val="4B733A5F"/>
    <w:lvl w:ilvl="0" w:tentative="0">
      <w:start w:val="1"/>
      <w:numFmt w:val="decimal"/>
      <w:pStyle w:val="191"/>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9">
    <w:nsid w:val="4E5D0534"/>
    <w:multiLevelType w:val="multilevel"/>
    <w:tmpl w:val="4E5D0534"/>
    <w:lvl w:ilvl="0" w:tentative="0">
      <w:start w:val="1"/>
      <w:numFmt w:val="decimal"/>
      <w:pStyle w:val="124"/>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4632751"/>
    <w:multiLevelType w:val="multilevel"/>
    <w:tmpl w:val="54632751"/>
    <w:lvl w:ilvl="0" w:tentative="0">
      <w:start w:val="1"/>
      <w:numFmt w:val="none"/>
      <w:pStyle w:val="101"/>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1">
    <w:nsid w:val="557C2AF5"/>
    <w:multiLevelType w:val="multilevel"/>
    <w:tmpl w:val="557C2AF5"/>
    <w:lvl w:ilvl="0" w:tentative="0">
      <w:start w:val="1"/>
      <w:numFmt w:val="decimal"/>
      <w:pStyle w:val="122"/>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2">
    <w:nsid w:val="5603797C"/>
    <w:multiLevelType w:val="multilevel"/>
    <w:tmpl w:val="5603797C"/>
    <w:lvl w:ilvl="0" w:tentative="0">
      <w:start w:val="1"/>
      <w:numFmt w:val="upperLetter"/>
      <w:pStyle w:val="207"/>
      <w:suff w:val="space"/>
      <w:lvlText w:val="%1"/>
      <w:lvlJc w:val="left"/>
      <w:pPr>
        <w:ind w:left="425" w:hanging="425"/>
      </w:pPr>
      <w:rPr>
        <w:rFonts w:hint="eastAsia"/>
      </w:rPr>
    </w:lvl>
    <w:lvl w:ilvl="1" w:tentative="0">
      <w:start w:val="1"/>
      <w:numFmt w:val="decimal"/>
      <w:pStyle w:val="85"/>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3">
    <w:nsid w:val="564D2089"/>
    <w:multiLevelType w:val="multilevel"/>
    <w:tmpl w:val="564D2089"/>
    <w:lvl w:ilvl="0" w:tentative="0">
      <w:start w:val="1"/>
      <w:numFmt w:val="none"/>
      <w:pStyle w:val="119"/>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5FAA4019"/>
    <w:multiLevelType w:val="multilevel"/>
    <w:tmpl w:val="5FAA4019"/>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644622F9"/>
    <w:multiLevelType w:val="multilevel"/>
    <w:tmpl w:val="644622F9"/>
    <w:lvl w:ilvl="0" w:tentative="0">
      <w:start w:val="1"/>
      <w:numFmt w:val="upperRoman"/>
      <w:pStyle w:val="176"/>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6">
    <w:nsid w:val="646260FA"/>
    <w:multiLevelType w:val="multilevel"/>
    <w:tmpl w:val="646260FA"/>
    <w:lvl w:ilvl="0" w:tentative="0">
      <w:start w:val="1"/>
      <w:numFmt w:val="decimal"/>
      <w:pStyle w:val="120"/>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7">
    <w:nsid w:val="654A26C9"/>
    <w:multiLevelType w:val="multilevel"/>
    <w:tmpl w:val="654A26C9"/>
    <w:lvl w:ilvl="0" w:tentative="0">
      <w:start w:val="1"/>
      <w:numFmt w:val="none"/>
      <w:pStyle w:val="197"/>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8">
    <w:nsid w:val="657D3FBC"/>
    <w:multiLevelType w:val="multilevel"/>
    <w:tmpl w:val="657D3FBC"/>
    <w:lvl w:ilvl="0" w:tentative="0">
      <w:start w:val="1"/>
      <w:numFmt w:val="upperLetter"/>
      <w:suff w:val="nothing"/>
      <w:lvlText w:val="附录%1"/>
      <w:lvlJc w:val="left"/>
      <w:pPr>
        <w:ind w:left="0" w:firstLine="0"/>
      </w:pPr>
      <w:rPr>
        <w:rFonts w:hint="eastAsia"/>
        <w:spacing w:val="100"/>
      </w:rPr>
    </w:lvl>
    <w:lvl w:ilvl="1" w:tentative="0">
      <w:start w:val="1"/>
      <w:numFmt w:val="decimal"/>
      <w:pStyle w:val="86"/>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eastAsia="黑体"/>
        <w:b w:val="0"/>
        <w:i w:val="0"/>
        <w:sz w:val="21"/>
      </w:rPr>
    </w:lvl>
    <w:lvl w:ilvl="3" w:tentative="0">
      <w:start w:val="1"/>
      <w:numFmt w:val="decimal"/>
      <w:pStyle w:val="8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pStyle w:val="92"/>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9">
    <w:nsid w:val="69506ABF"/>
    <w:multiLevelType w:val="multilevel"/>
    <w:tmpl w:val="69506ABF"/>
    <w:lvl w:ilvl="0" w:tentative="0">
      <w:start w:val="1"/>
      <w:numFmt w:val="bullet"/>
      <w:pStyle w:val="196"/>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0">
    <w:nsid w:val="6CA41985"/>
    <w:multiLevelType w:val="multilevel"/>
    <w:tmpl w:val="6CA41985"/>
    <w:lvl w:ilvl="0" w:tentative="0">
      <w:start w:val="1"/>
      <w:numFmt w:val="decimal"/>
      <w:pStyle w:val="105"/>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6CE42AC1"/>
    <w:multiLevelType w:val="multilevel"/>
    <w:tmpl w:val="6CE42AC1"/>
    <w:lvl w:ilvl="0" w:tentative="0">
      <w:start w:val="1"/>
      <w:numFmt w:val="lowerLetter"/>
      <w:pStyle w:val="18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6CEA2025"/>
    <w:multiLevelType w:val="multilevel"/>
    <w:tmpl w:val="6CEA2025"/>
    <w:lvl w:ilvl="0" w:tentative="0">
      <w:start w:val="1"/>
      <w:numFmt w:val="none"/>
      <w:pStyle w:val="160"/>
      <w:suff w:val="nothing"/>
      <w:lvlText w:val="%1"/>
      <w:lvlJc w:val="left"/>
      <w:pPr>
        <w:ind w:left="0" w:firstLine="0"/>
      </w:pPr>
      <w:rPr>
        <w:rFonts w:hint="eastAsia"/>
      </w:rPr>
    </w:lvl>
    <w:lvl w:ilvl="1" w:tentative="0">
      <w:start w:val="1"/>
      <w:numFmt w:val="decimal"/>
      <w:pStyle w:val="112"/>
      <w:suff w:val="nothing"/>
      <w:lvlText w:val="%1%2　"/>
      <w:lvlJc w:val="left"/>
      <w:pPr>
        <w:ind w:left="0" w:firstLine="0"/>
      </w:pPr>
      <w:rPr>
        <w:rFonts w:hint="eastAsia" w:ascii="黑体" w:eastAsia="黑体"/>
        <w:b w:val="0"/>
        <w:i w:val="0"/>
        <w:sz w:val="21"/>
      </w:rPr>
    </w:lvl>
    <w:lvl w:ilvl="2" w:tentative="0">
      <w:start w:val="1"/>
      <w:numFmt w:val="decimal"/>
      <w:pStyle w:val="113"/>
      <w:suff w:val="nothing"/>
      <w:lvlText w:val="%1%2.%3　"/>
      <w:lvlJc w:val="left"/>
      <w:pPr>
        <w:ind w:left="0" w:firstLine="0"/>
      </w:pPr>
      <w:rPr>
        <w:rFonts w:hint="eastAsia" w:ascii="黑体" w:hAnsi="黑体"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3"/>
      <w:suff w:val="nothing"/>
      <w:lvlText w:val="%1%2.%3.%4　"/>
      <w:lvlJc w:val="left"/>
      <w:pPr>
        <w:ind w:left="2269" w:firstLine="0"/>
      </w:pPr>
      <w:rPr>
        <w:rFonts w:hint="eastAsia" w:ascii="黑体" w:eastAsia="黑体"/>
        <w:b w:val="0"/>
        <w:i w:val="0"/>
        <w:sz w:val="21"/>
      </w:rPr>
    </w:lvl>
    <w:lvl w:ilvl="4" w:tentative="0">
      <w:start w:val="1"/>
      <w:numFmt w:val="decimal"/>
      <w:pStyle w:val="102"/>
      <w:suff w:val="nothing"/>
      <w:lvlText w:val="%1%2.%3.%4.%5　"/>
      <w:lvlJc w:val="left"/>
      <w:pPr>
        <w:ind w:left="0" w:firstLine="0"/>
      </w:pPr>
      <w:rPr>
        <w:rFonts w:hint="eastAsia" w:ascii="黑体" w:eastAsia="黑体"/>
        <w:b w:val="0"/>
        <w:i w:val="0"/>
        <w:sz w:val="21"/>
      </w:rPr>
    </w:lvl>
    <w:lvl w:ilvl="5" w:tentative="0">
      <w:start w:val="1"/>
      <w:numFmt w:val="decimal"/>
      <w:pStyle w:val="10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3">
    <w:nsid w:val="6DBF04F4"/>
    <w:multiLevelType w:val="multilevel"/>
    <w:tmpl w:val="6DBF04F4"/>
    <w:lvl w:ilvl="0" w:tentative="0">
      <w:start w:val="1"/>
      <w:numFmt w:val="none"/>
      <w:pStyle w:val="187"/>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4">
    <w:nsid w:val="6DF35F19"/>
    <w:multiLevelType w:val="multilevel"/>
    <w:tmpl w:val="6DF35F19"/>
    <w:lvl w:ilvl="0" w:tentative="0">
      <w:start w:val="1"/>
      <w:numFmt w:val="decimal"/>
      <w:pStyle w:val="123"/>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5">
    <w:nsid w:val="73E85D3B"/>
    <w:multiLevelType w:val="multilevel"/>
    <w:tmpl w:val="73E85D3B"/>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76933334"/>
    <w:multiLevelType w:val="multilevel"/>
    <w:tmpl w:val="76933334"/>
    <w:lvl w:ilvl="0" w:tentative="0">
      <w:start w:val="1"/>
      <w:numFmt w:val="none"/>
      <w:pStyle w:val="147"/>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32"/>
  </w:num>
  <w:num w:numId="3">
    <w:abstractNumId w:val="5"/>
  </w:num>
  <w:num w:numId="4">
    <w:abstractNumId w:val="22"/>
  </w:num>
  <w:num w:numId="5">
    <w:abstractNumId w:val="28"/>
  </w:num>
  <w:num w:numId="6">
    <w:abstractNumId w:val="17"/>
  </w:num>
  <w:num w:numId="7">
    <w:abstractNumId w:val="11"/>
  </w:num>
  <w:num w:numId="8">
    <w:abstractNumId w:val="3"/>
  </w:num>
  <w:num w:numId="9">
    <w:abstractNumId w:val="12"/>
  </w:num>
  <w:num w:numId="10">
    <w:abstractNumId w:val="20"/>
  </w:num>
  <w:num w:numId="11">
    <w:abstractNumId w:val="30"/>
  </w:num>
  <w:num w:numId="12">
    <w:abstractNumId w:val="15"/>
  </w:num>
  <w:num w:numId="13">
    <w:abstractNumId w:val="16"/>
  </w:num>
  <w:num w:numId="14">
    <w:abstractNumId w:val="10"/>
  </w:num>
  <w:num w:numId="15">
    <w:abstractNumId w:val="23"/>
  </w:num>
  <w:num w:numId="16">
    <w:abstractNumId w:val="26"/>
  </w:num>
  <w:num w:numId="17">
    <w:abstractNumId w:val="21"/>
  </w:num>
  <w:num w:numId="18">
    <w:abstractNumId w:val="34"/>
  </w:num>
  <w:num w:numId="19">
    <w:abstractNumId w:val="19"/>
  </w:num>
  <w:num w:numId="20">
    <w:abstractNumId w:val="1"/>
  </w:num>
  <w:num w:numId="21">
    <w:abstractNumId w:val="14"/>
  </w:num>
  <w:num w:numId="22">
    <w:abstractNumId w:val="36"/>
  </w:num>
  <w:num w:numId="23">
    <w:abstractNumId w:val="25"/>
  </w:num>
  <w:num w:numId="24">
    <w:abstractNumId w:val="7"/>
  </w:num>
  <w:num w:numId="25">
    <w:abstractNumId w:val="31"/>
  </w:num>
  <w:num w:numId="26">
    <w:abstractNumId w:val="33"/>
  </w:num>
  <w:num w:numId="27">
    <w:abstractNumId w:val="2"/>
  </w:num>
  <w:num w:numId="28">
    <w:abstractNumId w:val="4"/>
  </w:num>
  <w:num w:numId="29">
    <w:abstractNumId w:val="18"/>
  </w:num>
  <w:num w:numId="30">
    <w:abstractNumId w:val="29"/>
  </w:num>
  <w:num w:numId="31">
    <w:abstractNumId w:val="27"/>
  </w:num>
  <w:num w:numId="32">
    <w:abstractNumId w:val="13"/>
  </w:num>
  <w:num w:numId="33">
    <w:abstractNumId w:val="8"/>
  </w:num>
  <w:num w:numId="34">
    <w:abstractNumId w:val="9"/>
  </w:num>
  <w:num w:numId="35">
    <w:abstractNumId w:val="24"/>
  </w:num>
  <w:num w:numId="36">
    <w:abstractNumId w:val="32"/>
    <w:lvlOverride w:ilvl="0">
      <w:startOverride w:val="1"/>
    </w:lvlOverride>
    <w:lvlOverride w:ilvl="1">
      <w:startOverride w:val="1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attachedTemplate r:id="rId1"/>
  <w:documentProtection w:edit="forms" w:enforcement="0"/>
  <w:defaultTabStop w:val="8400"/>
  <w:evenAndOddHeaders w:val="true"/>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3NWExNzFkYTc1ODA3MzY1NjZiZGI1ZjQ3OTFkOTkifQ=="/>
  </w:docVars>
  <w:rsids>
    <w:rsidRoot w:val="00726D7E"/>
    <w:rsid w:val="0000040A"/>
    <w:rsid w:val="000006D0"/>
    <w:rsid w:val="00000A94"/>
    <w:rsid w:val="00001972"/>
    <w:rsid w:val="00001D9A"/>
    <w:rsid w:val="000033CD"/>
    <w:rsid w:val="00004008"/>
    <w:rsid w:val="00004CCF"/>
    <w:rsid w:val="000064D7"/>
    <w:rsid w:val="00007B3A"/>
    <w:rsid w:val="000107E0"/>
    <w:rsid w:val="00011FDE"/>
    <w:rsid w:val="00012FFD"/>
    <w:rsid w:val="000131FA"/>
    <w:rsid w:val="00014162"/>
    <w:rsid w:val="00014340"/>
    <w:rsid w:val="000149DA"/>
    <w:rsid w:val="0001548F"/>
    <w:rsid w:val="00016A9C"/>
    <w:rsid w:val="00020513"/>
    <w:rsid w:val="00022184"/>
    <w:rsid w:val="00022762"/>
    <w:rsid w:val="000238E0"/>
    <w:rsid w:val="000247F4"/>
    <w:rsid w:val="000249DB"/>
    <w:rsid w:val="00024A56"/>
    <w:rsid w:val="0002595E"/>
    <w:rsid w:val="00027DB9"/>
    <w:rsid w:val="000303C3"/>
    <w:rsid w:val="00032602"/>
    <w:rsid w:val="000326BF"/>
    <w:rsid w:val="000331D3"/>
    <w:rsid w:val="0003369E"/>
    <w:rsid w:val="000346A5"/>
    <w:rsid w:val="00035149"/>
    <w:rsid w:val="000359C3"/>
    <w:rsid w:val="00035A7D"/>
    <w:rsid w:val="000365ED"/>
    <w:rsid w:val="00037BBA"/>
    <w:rsid w:val="0004249A"/>
    <w:rsid w:val="00043282"/>
    <w:rsid w:val="00044286"/>
    <w:rsid w:val="00044AA3"/>
    <w:rsid w:val="000478A9"/>
    <w:rsid w:val="00047F28"/>
    <w:rsid w:val="000503AA"/>
    <w:rsid w:val="000506A1"/>
    <w:rsid w:val="000515DD"/>
    <w:rsid w:val="0005265A"/>
    <w:rsid w:val="000533D5"/>
    <w:rsid w:val="000539DD"/>
    <w:rsid w:val="00053BD3"/>
    <w:rsid w:val="000556ED"/>
    <w:rsid w:val="00055FE2"/>
    <w:rsid w:val="0005616F"/>
    <w:rsid w:val="00060195"/>
    <w:rsid w:val="00060C2E"/>
    <w:rsid w:val="00061033"/>
    <w:rsid w:val="000619E9"/>
    <w:rsid w:val="00061BC7"/>
    <w:rsid w:val="000622D4"/>
    <w:rsid w:val="000628C0"/>
    <w:rsid w:val="0006345A"/>
    <w:rsid w:val="0006357D"/>
    <w:rsid w:val="00065600"/>
    <w:rsid w:val="00067F1E"/>
    <w:rsid w:val="00070697"/>
    <w:rsid w:val="00071CC0"/>
    <w:rsid w:val="00073AD5"/>
    <w:rsid w:val="00073C54"/>
    <w:rsid w:val="00073C8C"/>
    <w:rsid w:val="00077AAF"/>
    <w:rsid w:val="00077B64"/>
    <w:rsid w:val="00077E6D"/>
    <w:rsid w:val="0008034C"/>
    <w:rsid w:val="00080A1C"/>
    <w:rsid w:val="00082317"/>
    <w:rsid w:val="00082F0F"/>
    <w:rsid w:val="00083D2C"/>
    <w:rsid w:val="000842C4"/>
    <w:rsid w:val="00086AA1"/>
    <w:rsid w:val="00087A77"/>
    <w:rsid w:val="0009044F"/>
    <w:rsid w:val="00090CA6"/>
    <w:rsid w:val="00090DD4"/>
    <w:rsid w:val="00091793"/>
    <w:rsid w:val="00092B8A"/>
    <w:rsid w:val="00092FA3"/>
    <w:rsid w:val="00092FB0"/>
    <w:rsid w:val="000934C5"/>
    <w:rsid w:val="00093D25"/>
    <w:rsid w:val="00093DAB"/>
    <w:rsid w:val="000948FB"/>
    <w:rsid w:val="000949C5"/>
    <w:rsid w:val="00094A2E"/>
    <w:rsid w:val="00094D73"/>
    <w:rsid w:val="00094DF5"/>
    <w:rsid w:val="00096D63"/>
    <w:rsid w:val="000A0B60"/>
    <w:rsid w:val="000A0EB8"/>
    <w:rsid w:val="000A19FC"/>
    <w:rsid w:val="000A296B"/>
    <w:rsid w:val="000A7311"/>
    <w:rsid w:val="000A7DE6"/>
    <w:rsid w:val="000B060F"/>
    <w:rsid w:val="000B1592"/>
    <w:rsid w:val="000B1FF2"/>
    <w:rsid w:val="000B2D8B"/>
    <w:rsid w:val="000B3CDA"/>
    <w:rsid w:val="000B5C8F"/>
    <w:rsid w:val="000B5DEC"/>
    <w:rsid w:val="000B6A0B"/>
    <w:rsid w:val="000C0F6C"/>
    <w:rsid w:val="000C11DB"/>
    <w:rsid w:val="000C1492"/>
    <w:rsid w:val="000C1D6F"/>
    <w:rsid w:val="000C2FBD"/>
    <w:rsid w:val="000C3B27"/>
    <w:rsid w:val="000C4B41"/>
    <w:rsid w:val="000C57D6"/>
    <w:rsid w:val="000C60B9"/>
    <w:rsid w:val="000C6362"/>
    <w:rsid w:val="000C66BF"/>
    <w:rsid w:val="000C6C86"/>
    <w:rsid w:val="000C720D"/>
    <w:rsid w:val="000C7666"/>
    <w:rsid w:val="000D0A9C"/>
    <w:rsid w:val="000D1795"/>
    <w:rsid w:val="000D2745"/>
    <w:rsid w:val="000D329A"/>
    <w:rsid w:val="000D4B9C"/>
    <w:rsid w:val="000D4EB6"/>
    <w:rsid w:val="000D5984"/>
    <w:rsid w:val="000D64DB"/>
    <w:rsid w:val="000D753B"/>
    <w:rsid w:val="000E1F32"/>
    <w:rsid w:val="000E3735"/>
    <w:rsid w:val="000E4C9E"/>
    <w:rsid w:val="000E5432"/>
    <w:rsid w:val="000E6FD7"/>
    <w:rsid w:val="000F0218"/>
    <w:rsid w:val="000F0631"/>
    <w:rsid w:val="000F06E1"/>
    <w:rsid w:val="000F070D"/>
    <w:rsid w:val="000F0E3C"/>
    <w:rsid w:val="000F13C7"/>
    <w:rsid w:val="000F19D5"/>
    <w:rsid w:val="000F2086"/>
    <w:rsid w:val="000F4AEA"/>
    <w:rsid w:val="000F633F"/>
    <w:rsid w:val="000F67E9"/>
    <w:rsid w:val="00101E49"/>
    <w:rsid w:val="00103C6A"/>
    <w:rsid w:val="00104926"/>
    <w:rsid w:val="00106419"/>
    <w:rsid w:val="00107393"/>
    <w:rsid w:val="0010793D"/>
    <w:rsid w:val="001121F4"/>
    <w:rsid w:val="0011259D"/>
    <w:rsid w:val="00113B1E"/>
    <w:rsid w:val="00114557"/>
    <w:rsid w:val="00114DE6"/>
    <w:rsid w:val="00116739"/>
    <w:rsid w:val="00116D3F"/>
    <w:rsid w:val="0011711C"/>
    <w:rsid w:val="00117DCF"/>
    <w:rsid w:val="00120274"/>
    <w:rsid w:val="0012059C"/>
    <w:rsid w:val="00124E4F"/>
    <w:rsid w:val="001260B7"/>
    <w:rsid w:val="001265CB"/>
    <w:rsid w:val="00126633"/>
    <w:rsid w:val="00126841"/>
    <w:rsid w:val="00130171"/>
    <w:rsid w:val="00130D1F"/>
    <w:rsid w:val="00131308"/>
    <w:rsid w:val="0013203B"/>
    <w:rsid w:val="001321C6"/>
    <w:rsid w:val="001325C4"/>
    <w:rsid w:val="00133010"/>
    <w:rsid w:val="001338EE"/>
    <w:rsid w:val="00133AAE"/>
    <w:rsid w:val="0013445D"/>
    <w:rsid w:val="00134F99"/>
    <w:rsid w:val="00135323"/>
    <w:rsid w:val="001356C4"/>
    <w:rsid w:val="001357D1"/>
    <w:rsid w:val="00135A29"/>
    <w:rsid w:val="00141114"/>
    <w:rsid w:val="00142969"/>
    <w:rsid w:val="001446C2"/>
    <w:rsid w:val="001457E7"/>
    <w:rsid w:val="00145977"/>
    <w:rsid w:val="00145D9D"/>
    <w:rsid w:val="00146388"/>
    <w:rsid w:val="00146C60"/>
    <w:rsid w:val="001529E5"/>
    <w:rsid w:val="00153C7E"/>
    <w:rsid w:val="00154881"/>
    <w:rsid w:val="00155054"/>
    <w:rsid w:val="00156B25"/>
    <w:rsid w:val="00156E1A"/>
    <w:rsid w:val="00157894"/>
    <w:rsid w:val="00157B55"/>
    <w:rsid w:val="00161E2A"/>
    <w:rsid w:val="00163881"/>
    <w:rsid w:val="00163B1F"/>
    <w:rsid w:val="00163B82"/>
    <w:rsid w:val="001642FA"/>
    <w:rsid w:val="001649EB"/>
    <w:rsid w:val="00164BAF"/>
    <w:rsid w:val="00164FA8"/>
    <w:rsid w:val="00165065"/>
    <w:rsid w:val="00165434"/>
    <w:rsid w:val="0016580B"/>
    <w:rsid w:val="00165F49"/>
    <w:rsid w:val="00166524"/>
    <w:rsid w:val="00166B88"/>
    <w:rsid w:val="001672EE"/>
    <w:rsid w:val="0016770A"/>
    <w:rsid w:val="00170804"/>
    <w:rsid w:val="001708E9"/>
    <w:rsid w:val="0017340B"/>
    <w:rsid w:val="001734A4"/>
    <w:rsid w:val="00173FB1"/>
    <w:rsid w:val="00176DFD"/>
    <w:rsid w:val="00182366"/>
    <w:rsid w:val="001852C9"/>
    <w:rsid w:val="00190087"/>
    <w:rsid w:val="001913C4"/>
    <w:rsid w:val="001922FD"/>
    <w:rsid w:val="001932F5"/>
    <w:rsid w:val="0019348F"/>
    <w:rsid w:val="00193A07"/>
    <w:rsid w:val="00194C95"/>
    <w:rsid w:val="00195C34"/>
    <w:rsid w:val="00196EF5"/>
    <w:rsid w:val="001973B5"/>
    <w:rsid w:val="001A1A53"/>
    <w:rsid w:val="001A234A"/>
    <w:rsid w:val="001A2665"/>
    <w:rsid w:val="001A29F6"/>
    <w:rsid w:val="001A4CF3"/>
    <w:rsid w:val="001B06E8"/>
    <w:rsid w:val="001B71D0"/>
    <w:rsid w:val="001B71EE"/>
    <w:rsid w:val="001C04A8"/>
    <w:rsid w:val="001C1B9F"/>
    <w:rsid w:val="001C1F28"/>
    <w:rsid w:val="001C2C03"/>
    <w:rsid w:val="001C2E07"/>
    <w:rsid w:val="001C42F7"/>
    <w:rsid w:val="001C48DE"/>
    <w:rsid w:val="001C49E5"/>
    <w:rsid w:val="001C5BB9"/>
    <w:rsid w:val="001C5F7F"/>
    <w:rsid w:val="001C680C"/>
    <w:rsid w:val="001C6CBB"/>
    <w:rsid w:val="001C7FEA"/>
    <w:rsid w:val="001D0499"/>
    <w:rsid w:val="001D0BBE"/>
    <w:rsid w:val="001D0ED4"/>
    <w:rsid w:val="001D212F"/>
    <w:rsid w:val="001D29D7"/>
    <w:rsid w:val="001D2DE7"/>
    <w:rsid w:val="001D411C"/>
    <w:rsid w:val="001E1B6A"/>
    <w:rsid w:val="001E2484"/>
    <w:rsid w:val="001E2EEE"/>
    <w:rsid w:val="001E3B3B"/>
    <w:rsid w:val="001E3CC4"/>
    <w:rsid w:val="001E4303"/>
    <w:rsid w:val="001E4882"/>
    <w:rsid w:val="001E638F"/>
    <w:rsid w:val="001E7282"/>
    <w:rsid w:val="001E72A5"/>
    <w:rsid w:val="001E73AB"/>
    <w:rsid w:val="001F092D"/>
    <w:rsid w:val="001F143A"/>
    <w:rsid w:val="001F1566"/>
    <w:rsid w:val="001F1568"/>
    <w:rsid w:val="001F1605"/>
    <w:rsid w:val="001F1CC1"/>
    <w:rsid w:val="001F1D58"/>
    <w:rsid w:val="001F2508"/>
    <w:rsid w:val="001F4816"/>
    <w:rsid w:val="001F4EE9"/>
    <w:rsid w:val="001F583E"/>
    <w:rsid w:val="001F6051"/>
    <w:rsid w:val="001F612F"/>
    <w:rsid w:val="001F69B4"/>
    <w:rsid w:val="001F77C7"/>
    <w:rsid w:val="00200183"/>
    <w:rsid w:val="00200333"/>
    <w:rsid w:val="0020107D"/>
    <w:rsid w:val="00201400"/>
    <w:rsid w:val="00202AA4"/>
    <w:rsid w:val="002031F7"/>
    <w:rsid w:val="002040E6"/>
    <w:rsid w:val="00204364"/>
    <w:rsid w:val="0020527B"/>
    <w:rsid w:val="00205CB0"/>
    <w:rsid w:val="00205F2C"/>
    <w:rsid w:val="0020754F"/>
    <w:rsid w:val="00210B15"/>
    <w:rsid w:val="00210CEA"/>
    <w:rsid w:val="002112F3"/>
    <w:rsid w:val="002142EA"/>
    <w:rsid w:val="002150C4"/>
    <w:rsid w:val="002204BB"/>
    <w:rsid w:val="00220792"/>
    <w:rsid w:val="00221B79"/>
    <w:rsid w:val="00221C6B"/>
    <w:rsid w:val="00223807"/>
    <w:rsid w:val="002253A1"/>
    <w:rsid w:val="00225488"/>
    <w:rsid w:val="00225CF8"/>
    <w:rsid w:val="0022794E"/>
    <w:rsid w:val="00233D64"/>
    <w:rsid w:val="0023482A"/>
    <w:rsid w:val="002359CB"/>
    <w:rsid w:val="00240D0B"/>
    <w:rsid w:val="002414CE"/>
    <w:rsid w:val="00243540"/>
    <w:rsid w:val="0024497B"/>
    <w:rsid w:val="0024515B"/>
    <w:rsid w:val="00245424"/>
    <w:rsid w:val="00245442"/>
    <w:rsid w:val="00246021"/>
    <w:rsid w:val="0024666E"/>
    <w:rsid w:val="00247F52"/>
    <w:rsid w:val="00250B25"/>
    <w:rsid w:val="00250BBE"/>
    <w:rsid w:val="002515C2"/>
    <w:rsid w:val="0025194F"/>
    <w:rsid w:val="0025457F"/>
    <w:rsid w:val="002562F1"/>
    <w:rsid w:val="00257DD5"/>
    <w:rsid w:val="0026148A"/>
    <w:rsid w:val="00262696"/>
    <w:rsid w:val="00263192"/>
    <w:rsid w:val="00263D25"/>
    <w:rsid w:val="002642F3"/>
    <w:rsid w:val="002643C3"/>
    <w:rsid w:val="002644C4"/>
    <w:rsid w:val="00264A0C"/>
    <w:rsid w:val="00264BB7"/>
    <w:rsid w:val="002666E8"/>
    <w:rsid w:val="00266EEB"/>
    <w:rsid w:val="00267EF4"/>
    <w:rsid w:val="00270CB8"/>
    <w:rsid w:val="00272B08"/>
    <w:rsid w:val="00273E63"/>
    <w:rsid w:val="002761B2"/>
    <w:rsid w:val="0027680C"/>
    <w:rsid w:val="002771AC"/>
    <w:rsid w:val="00281BB8"/>
    <w:rsid w:val="00281E9E"/>
    <w:rsid w:val="00282405"/>
    <w:rsid w:val="00285170"/>
    <w:rsid w:val="00285361"/>
    <w:rsid w:val="00290B89"/>
    <w:rsid w:val="00291FD0"/>
    <w:rsid w:val="00292D60"/>
    <w:rsid w:val="00293B30"/>
    <w:rsid w:val="0029494A"/>
    <w:rsid w:val="00294C43"/>
    <w:rsid w:val="00294D34"/>
    <w:rsid w:val="00294E3B"/>
    <w:rsid w:val="00295AEC"/>
    <w:rsid w:val="00296193"/>
    <w:rsid w:val="0029633A"/>
    <w:rsid w:val="00296C66"/>
    <w:rsid w:val="00296EBE"/>
    <w:rsid w:val="002974E3"/>
    <w:rsid w:val="002A084B"/>
    <w:rsid w:val="002A1260"/>
    <w:rsid w:val="002A1589"/>
    <w:rsid w:val="002A1608"/>
    <w:rsid w:val="002A25DC"/>
    <w:rsid w:val="002A3AAB"/>
    <w:rsid w:val="002A47D3"/>
    <w:rsid w:val="002A4CEA"/>
    <w:rsid w:val="002A5722"/>
    <w:rsid w:val="002A5977"/>
    <w:rsid w:val="002A5A13"/>
    <w:rsid w:val="002A6963"/>
    <w:rsid w:val="002A757F"/>
    <w:rsid w:val="002A7825"/>
    <w:rsid w:val="002A7F44"/>
    <w:rsid w:val="002B09F5"/>
    <w:rsid w:val="002B0C40"/>
    <w:rsid w:val="002B1966"/>
    <w:rsid w:val="002B1D94"/>
    <w:rsid w:val="002B3531"/>
    <w:rsid w:val="002B4508"/>
    <w:rsid w:val="002B5779"/>
    <w:rsid w:val="002B7332"/>
    <w:rsid w:val="002B7F51"/>
    <w:rsid w:val="002C09E7"/>
    <w:rsid w:val="002C1E06"/>
    <w:rsid w:val="002C1E1C"/>
    <w:rsid w:val="002C36A6"/>
    <w:rsid w:val="002C3F07"/>
    <w:rsid w:val="002C5278"/>
    <w:rsid w:val="002C613F"/>
    <w:rsid w:val="002C7984"/>
    <w:rsid w:val="002C7EBB"/>
    <w:rsid w:val="002D06C1"/>
    <w:rsid w:val="002D40CF"/>
    <w:rsid w:val="002D42B5"/>
    <w:rsid w:val="002D4F1A"/>
    <w:rsid w:val="002D6EC6"/>
    <w:rsid w:val="002D6FD9"/>
    <w:rsid w:val="002D79AC"/>
    <w:rsid w:val="002E039D"/>
    <w:rsid w:val="002E08D1"/>
    <w:rsid w:val="002E18EA"/>
    <w:rsid w:val="002E4145"/>
    <w:rsid w:val="002E4D5A"/>
    <w:rsid w:val="002E5E08"/>
    <w:rsid w:val="002E6164"/>
    <w:rsid w:val="002E6326"/>
    <w:rsid w:val="002F30E0"/>
    <w:rsid w:val="002F31DD"/>
    <w:rsid w:val="002F35E4"/>
    <w:rsid w:val="002F3730"/>
    <w:rsid w:val="002F38E1"/>
    <w:rsid w:val="002F40B3"/>
    <w:rsid w:val="002F4157"/>
    <w:rsid w:val="002F5130"/>
    <w:rsid w:val="002F7AF6"/>
    <w:rsid w:val="00300E63"/>
    <w:rsid w:val="00302F5F"/>
    <w:rsid w:val="0030347B"/>
    <w:rsid w:val="0030441D"/>
    <w:rsid w:val="00306063"/>
    <w:rsid w:val="00311279"/>
    <w:rsid w:val="00311882"/>
    <w:rsid w:val="003126E7"/>
    <w:rsid w:val="00313B85"/>
    <w:rsid w:val="003145D5"/>
    <w:rsid w:val="00317988"/>
    <w:rsid w:val="00317B60"/>
    <w:rsid w:val="00317FD2"/>
    <w:rsid w:val="00320D87"/>
    <w:rsid w:val="003221B4"/>
    <w:rsid w:val="0032258D"/>
    <w:rsid w:val="00322E62"/>
    <w:rsid w:val="00324D13"/>
    <w:rsid w:val="00324D2A"/>
    <w:rsid w:val="00324EDD"/>
    <w:rsid w:val="003275DA"/>
    <w:rsid w:val="00330D77"/>
    <w:rsid w:val="003330F7"/>
    <w:rsid w:val="003331E4"/>
    <w:rsid w:val="00336505"/>
    <w:rsid w:val="00336C64"/>
    <w:rsid w:val="00337162"/>
    <w:rsid w:val="00341107"/>
    <w:rsid w:val="0034194F"/>
    <w:rsid w:val="00344605"/>
    <w:rsid w:val="0034539A"/>
    <w:rsid w:val="003456C3"/>
    <w:rsid w:val="00346E4A"/>
    <w:rsid w:val="003474AA"/>
    <w:rsid w:val="00350D1D"/>
    <w:rsid w:val="00351486"/>
    <w:rsid w:val="00352C83"/>
    <w:rsid w:val="003615D2"/>
    <w:rsid w:val="003640C8"/>
    <w:rsid w:val="0036429C"/>
    <w:rsid w:val="00364A53"/>
    <w:rsid w:val="003654CB"/>
    <w:rsid w:val="00365AA9"/>
    <w:rsid w:val="00365F86"/>
    <w:rsid w:val="00365F87"/>
    <w:rsid w:val="00366E89"/>
    <w:rsid w:val="0037024D"/>
    <w:rsid w:val="003705F4"/>
    <w:rsid w:val="00370D58"/>
    <w:rsid w:val="00371316"/>
    <w:rsid w:val="00376713"/>
    <w:rsid w:val="003800EE"/>
    <w:rsid w:val="00381815"/>
    <w:rsid w:val="003819AF"/>
    <w:rsid w:val="003820E9"/>
    <w:rsid w:val="00382DE7"/>
    <w:rsid w:val="00383FC2"/>
    <w:rsid w:val="003844C8"/>
    <w:rsid w:val="00384FFC"/>
    <w:rsid w:val="0038649D"/>
    <w:rsid w:val="003872FC"/>
    <w:rsid w:val="00387ADC"/>
    <w:rsid w:val="00390020"/>
    <w:rsid w:val="003903D6"/>
    <w:rsid w:val="00390EE6"/>
    <w:rsid w:val="0039118F"/>
    <w:rsid w:val="003915A0"/>
    <w:rsid w:val="003920FB"/>
    <w:rsid w:val="003928E8"/>
    <w:rsid w:val="00392AD7"/>
    <w:rsid w:val="003938D9"/>
    <w:rsid w:val="00393D9E"/>
    <w:rsid w:val="00394376"/>
    <w:rsid w:val="003943FF"/>
    <w:rsid w:val="00395700"/>
    <w:rsid w:val="003974EB"/>
    <w:rsid w:val="00397CC5"/>
    <w:rsid w:val="003A1582"/>
    <w:rsid w:val="003A4077"/>
    <w:rsid w:val="003A4DC9"/>
    <w:rsid w:val="003B09AD"/>
    <w:rsid w:val="003B1F18"/>
    <w:rsid w:val="003B5BF0"/>
    <w:rsid w:val="003B5DE8"/>
    <w:rsid w:val="003B60BF"/>
    <w:rsid w:val="003B6BE3"/>
    <w:rsid w:val="003C010C"/>
    <w:rsid w:val="003C0A6C"/>
    <w:rsid w:val="003C14F8"/>
    <w:rsid w:val="003C5750"/>
    <w:rsid w:val="003C5A43"/>
    <w:rsid w:val="003C7BFC"/>
    <w:rsid w:val="003D0519"/>
    <w:rsid w:val="003D09EA"/>
    <w:rsid w:val="003D0FF6"/>
    <w:rsid w:val="003D1595"/>
    <w:rsid w:val="003D262C"/>
    <w:rsid w:val="003D53D8"/>
    <w:rsid w:val="003D6D61"/>
    <w:rsid w:val="003D79C6"/>
    <w:rsid w:val="003E0558"/>
    <w:rsid w:val="003E091D"/>
    <w:rsid w:val="003E0B7A"/>
    <w:rsid w:val="003E0C22"/>
    <w:rsid w:val="003E1C53"/>
    <w:rsid w:val="003E2618"/>
    <w:rsid w:val="003E2A69"/>
    <w:rsid w:val="003E2D49"/>
    <w:rsid w:val="003E2FD4"/>
    <w:rsid w:val="003E49F6"/>
    <w:rsid w:val="003E660F"/>
    <w:rsid w:val="003E75C6"/>
    <w:rsid w:val="003F0305"/>
    <w:rsid w:val="003F0841"/>
    <w:rsid w:val="003F23D3"/>
    <w:rsid w:val="003F37F9"/>
    <w:rsid w:val="003F3F08"/>
    <w:rsid w:val="003F49F1"/>
    <w:rsid w:val="003F4A58"/>
    <w:rsid w:val="003F55CB"/>
    <w:rsid w:val="003F5AAD"/>
    <w:rsid w:val="003F6272"/>
    <w:rsid w:val="003F73D3"/>
    <w:rsid w:val="00400E72"/>
    <w:rsid w:val="00401400"/>
    <w:rsid w:val="0040229D"/>
    <w:rsid w:val="00403B81"/>
    <w:rsid w:val="00404869"/>
    <w:rsid w:val="00405884"/>
    <w:rsid w:val="0040730F"/>
    <w:rsid w:val="00407D39"/>
    <w:rsid w:val="004123C6"/>
    <w:rsid w:val="00412E33"/>
    <w:rsid w:val="0041477A"/>
    <w:rsid w:val="004158B7"/>
    <w:rsid w:val="00416299"/>
    <w:rsid w:val="0041670A"/>
    <w:rsid w:val="004167A3"/>
    <w:rsid w:val="00421BEB"/>
    <w:rsid w:val="00424EC5"/>
    <w:rsid w:val="004258FB"/>
    <w:rsid w:val="004263E5"/>
    <w:rsid w:val="00427626"/>
    <w:rsid w:val="004278DF"/>
    <w:rsid w:val="0043056E"/>
    <w:rsid w:val="0043062D"/>
    <w:rsid w:val="00432BA5"/>
    <w:rsid w:val="00432DAA"/>
    <w:rsid w:val="00434305"/>
    <w:rsid w:val="00435DF7"/>
    <w:rsid w:val="00437BC3"/>
    <w:rsid w:val="00437FF6"/>
    <w:rsid w:val="0044083F"/>
    <w:rsid w:val="00441024"/>
    <w:rsid w:val="00441AE7"/>
    <w:rsid w:val="0044245F"/>
    <w:rsid w:val="00442882"/>
    <w:rsid w:val="00445574"/>
    <w:rsid w:val="004464FE"/>
    <w:rsid w:val="004467FB"/>
    <w:rsid w:val="00451221"/>
    <w:rsid w:val="004520E9"/>
    <w:rsid w:val="00452D6B"/>
    <w:rsid w:val="00454484"/>
    <w:rsid w:val="0045517B"/>
    <w:rsid w:val="004559D9"/>
    <w:rsid w:val="00461DEB"/>
    <w:rsid w:val="00463B77"/>
    <w:rsid w:val="00463C7B"/>
    <w:rsid w:val="004644A6"/>
    <w:rsid w:val="0046471E"/>
    <w:rsid w:val="00464787"/>
    <w:rsid w:val="004659BD"/>
    <w:rsid w:val="00470775"/>
    <w:rsid w:val="00471D52"/>
    <w:rsid w:val="00471F13"/>
    <w:rsid w:val="00472603"/>
    <w:rsid w:val="00473A20"/>
    <w:rsid w:val="00474058"/>
    <w:rsid w:val="004746B1"/>
    <w:rsid w:val="0047583F"/>
    <w:rsid w:val="00475DE8"/>
    <w:rsid w:val="0047632E"/>
    <w:rsid w:val="004773D7"/>
    <w:rsid w:val="0047747D"/>
    <w:rsid w:val="00480641"/>
    <w:rsid w:val="00481C44"/>
    <w:rsid w:val="004824FD"/>
    <w:rsid w:val="004842BF"/>
    <w:rsid w:val="00484936"/>
    <w:rsid w:val="00485C89"/>
    <w:rsid w:val="00486BE3"/>
    <w:rsid w:val="004905E4"/>
    <w:rsid w:val="00490A89"/>
    <w:rsid w:val="00490AB4"/>
    <w:rsid w:val="00492F02"/>
    <w:rsid w:val="004939AE"/>
    <w:rsid w:val="004A12DF"/>
    <w:rsid w:val="004A17E6"/>
    <w:rsid w:val="004A1BA8"/>
    <w:rsid w:val="004A2461"/>
    <w:rsid w:val="004A321F"/>
    <w:rsid w:val="004A4B57"/>
    <w:rsid w:val="004A63FA"/>
    <w:rsid w:val="004B0000"/>
    <w:rsid w:val="004B0272"/>
    <w:rsid w:val="004B2701"/>
    <w:rsid w:val="004B2E1B"/>
    <w:rsid w:val="004B3696"/>
    <w:rsid w:val="004B37B1"/>
    <w:rsid w:val="004B3AA8"/>
    <w:rsid w:val="004B3E20"/>
    <w:rsid w:val="004B3E93"/>
    <w:rsid w:val="004B4029"/>
    <w:rsid w:val="004B4200"/>
    <w:rsid w:val="004B4613"/>
    <w:rsid w:val="004B6375"/>
    <w:rsid w:val="004B73DF"/>
    <w:rsid w:val="004C1FBC"/>
    <w:rsid w:val="004C384C"/>
    <w:rsid w:val="004C3F1D"/>
    <w:rsid w:val="004C458D"/>
    <w:rsid w:val="004C5B5D"/>
    <w:rsid w:val="004C7207"/>
    <w:rsid w:val="004C7556"/>
    <w:rsid w:val="004C7E8B"/>
    <w:rsid w:val="004C7E9D"/>
    <w:rsid w:val="004C7F67"/>
    <w:rsid w:val="004D076D"/>
    <w:rsid w:val="004D0EF1"/>
    <w:rsid w:val="004D140A"/>
    <w:rsid w:val="004D1BFC"/>
    <w:rsid w:val="004D2253"/>
    <w:rsid w:val="004D340D"/>
    <w:rsid w:val="004D4406"/>
    <w:rsid w:val="004D651C"/>
    <w:rsid w:val="004D7C42"/>
    <w:rsid w:val="004E013C"/>
    <w:rsid w:val="004E0465"/>
    <w:rsid w:val="004E127B"/>
    <w:rsid w:val="004E1C0A"/>
    <w:rsid w:val="004E2B06"/>
    <w:rsid w:val="004E2FED"/>
    <w:rsid w:val="004E30C5"/>
    <w:rsid w:val="004E4159"/>
    <w:rsid w:val="004E4AA5"/>
    <w:rsid w:val="004E4AEE"/>
    <w:rsid w:val="004E59E3"/>
    <w:rsid w:val="004E67C0"/>
    <w:rsid w:val="004E72EA"/>
    <w:rsid w:val="004F391A"/>
    <w:rsid w:val="004F3CFB"/>
    <w:rsid w:val="004F3DA3"/>
    <w:rsid w:val="004F6456"/>
    <w:rsid w:val="004F696E"/>
    <w:rsid w:val="004F6C71"/>
    <w:rsid w:val="004F6D4A"/>
    <w:rsid w:val="00501139"/>
    <w:rsid w:val="00502411"/>
    <w:rsid w:val="0050363E"/>
    <w:rsid w:val="005039BC"/>
    <w:rsid w:val="005043BB"/>
    <w:rsid w:val="00504A3D"/>
    <w:rsid w:val="005053C4"/>
    <w:rsid w:val="00505674"/>
    <w:rsid w:val="00505767"/>
    <w:rsid w:val="005073F0"/>
    <w:rsid w:val="00510A7B"/>
    <w:rsid w:val="005117A7"/>
    <w:rsid w:val="0051238F"/>
    <w:rsid w:val="00512C0C"/>
    <w:rsid w:val="00512F6E"/>
    <w:rsid w:val="00513038"/>
    <w:rsid w:val="00514174"/>
    <w:rsid w:val="00516088"/>
    <w:rsid w:val="00516B0B"/>
    <w:rsid w:val="005219D5"/>
    <w:rsid w:val="005220EC"/>
    <w:rsid w:val="00523F95"/>
    <w:rsid w:val="00524262"/>
    <w:rsid w:val="00524D65"/>
    <w:rsid w:val="00525635"/>
    <w:rsid w:val="00525B16"/>
    <w:rsid w:val="00526E0B"/>
    <w:rsid w:val="005337CC"/>
    <w:rsid w:val="00533D04"/>
    <w:rsid w:val="00534804"/>
    <w:rsid w:val="00534BDF"/>
    <w:rsid w:val="005354EA"/>
    <w:rsid w:val="005357C3"/>
    <w:rsid w:val="0053585F"/>
    <w:rsid w:val="00535EC4"/>
    <w:rsid w:val="00535ED9"/>
    <w:rsid w:val="0053658D"/>
    <w:rsid w:val="0053692B"/>
    <w:rsid w:val="005375ED"/>
    <w:rsid w:val="00541853"/>
    <w:rsid w:val="00543BDA"/>
    <w:rsid w:val="005441CC"/>
    <w:rsid w:val="005479DA"/>
    <w:rsid w:val="00547BCC"/>
    <w:rsid w:val="0055013B"/>
    <w:rsid w:val="00551F6F"/>
    <w:rsid w:val="00554CC1"/>
    <w:rsid w:val="00555044"/>
    <w:rsid w:val="005607CB"/>
    <w:rsid w:val="00561475"/>
    <w:rsid w:val="00561F02"/>
    <w:rsid w:val="00563D23"/>
    <w:rsid w:val="0056487B"/>
    <w:rsid w:val="00564FB9"/>
    <w:rsid w:val="00573D9E"/>
    <w:rsid w:val="0057475A"/>
    <w:rsid w:val="005801E3"/>
    <w:rsid w:val="00581802"/>
    <w:rsid w:val="005836A8"/>
    <w:rsid w:val="0058409C"/>
    <w:rsid w:val="00584262"/>
    <w:rsid w:val="00585CD9"/>
    <w:rsid w:val="00586630"/>
    <w:rsid w:val="00587ADD"/>
    <w:rsid w:val="00587CEA"/>
    <w:rsid w:val="00590363"/>
    <w:rsid w:val="0059074D"/>
    <w:rsid w:val="00591E27"/>
    <w:rsid w:val="0059563C"/>
    <w:rsid w:val="00596160"/>
    <w:rsid w:val="005966E2"/>
    <w:rsid w:val="00596FB3"/>
    <w:rsid w:val="00597007"/>
    <w:rsid w:val="005A07FC"/>
    <w:rsid w:val="005A0966"/>
    <w:rsid w:val="005A11B7"/>
    <w:rsid w:val="005A1A82"/>
    <w:rsid w:val="005A260B"/>
    <w:rsid w:val="005A4A1B"/>
    <w:rsid w:val="005A684A"/>
    <w:rsid w:val="005A7830"/>
    <w:rsid w:val="005A7FCE"/>
    <w:rsid w:val="005B0F3F"/>
    <w:rsid w:val="005B3B4E"/>
    <w:rsid w:val="005B411D"/>
    <w:rsid w:val="005B4903"/>
    <w:rsid w:val="005B51CE"/>
    <w:rsid w:val="005B5885"/>
    <w:rsid w:val="005B5CD7"/>
    <w:rsid w:val="005B6CF6"/>
    <w:rsid w:val="005B71B4"/>
    <w:rsid w:val="005B7422"/>
    <w:rsid w:val="005C29B8"/>
    <w:rsid w:val="005C5F21"/>
    <w:rsid w:val="005C6828"/>
    <w:rsid w:val="005C7010"/>
    <w:rsid w:val="005C7156"/>
    <w:rsid w:val="005C7FFD"/>
    <w:rsid w:val="005D026B"/>
    <w:rsid w:val="005D0C75"/>
    <w:rsid w:val="005D3ACD"/>
    <w:rsid w:val="005D4171"/>
    <w:rsid w:val="005D68D5"/>
    <w:rsid w:val="005D68D9"/>
    <w:rsid w:val="005D6A95"/>
    <w:rsid w:val="005D6B2C"/>
    <w:rsid w:val="005D6D9C"/>
    <w:rsid w:val="005E0C30"/>
    <w:rsid w:val="005E0FED"/>
    <w:rsid w:val="005E1B33"/>
    <w:rsid w:val="005E2335"/>
    <w:rsid w:val="005E2495"/>
    <w:rsid w:val="005E3070"/>
    <w:rsid w:val="005E34CA"/>
    <w:rsid w:val="005E3C18"/>
    <w:rsid w:val="005E59CA"/>
    <w:rsid w:val="005E5F29"/>
    <w:rsid w:val="005E6812"/>
    <w:rsid w:val="005E7881"/>
    <w:rsid w:val="005E78E0"/>
    <w:rsid w:val="005E7F70"/>
    <w:rsid w:val="005F0D9C"/>
    <w:rsid w:val="005F0DC9"/>
    <w:rsid w:val="005F284E"/>
    <w:rsid w:val="005F3855"/>
    <w:rsid w:val="005F4712"/>
    <w:rsid w:val="00600058"/>
    <w:rsid w:val="00601499"/>
    <w:rsid w:val="006015CE"/>
    <w:rsid w:val="00601721"/>
    <w:rsid w:val="006026B1"/>
    <w:rsid w:val="00602DBF"/>
    <w:rsid w:val="00604784"/>
    <w:rsid w:val="00605F66"/>
    <w:rsid w:val="00606202"/>
    <w:rsid w:val="00606419"/>
    <w:rsid w:val="00607D29"/>
    <w:rsid w:val="00610069"/>
    <w:rsid w:val="006108D9"/>
    <w:rsid w:val="00612952"/>
    <w:rsid w:val="00614CC1"/>
    <w:rsid w:val="00615A9D"/>
    <w:rsid w:val="00616D0C"/>
    <w:rsid w:val="00617387"/>
    <w:rsid w:val="006173AC"/>
    <w:rsid w:val="00620470"/>
    <w:rsid w:val="006205D6"/>
    <w:rsid w:val="00623846"/>
    <w:rsid w:val="00624219"/>
    <w:rsid w:val="00624E95"/>
    <w:rsid w:val="006252D8"/>
    <w:rsid w:val="006259BC"/>
    <w:rsid w:val="0062636B"/>
    <w:rsid w:val="00626ED6"/>
    <w:rsid w:val="006279B5"/>
    <w:rsid w:val="00630207"/>
    <w:rsid w:val="00632182"/>
    <w:rsid w:val="0063221F"/>
    <w:rsid w:val="00632AE0"/>
    <w:rsid w:val="00632ED0"/>
    <w:rsid w:val="00633C17"/>
    <w:rsid w:val="00634D5E"/>
    <w:rsid w:val="00634D9E"/>
    <w:rsid w:val="00636E3E"/>
    <w:rsid w:val="006379F7"/>
    <w:rsid w:val="00637E4D"/>
    <w:rsid w:val="00640620"/>
    <w:rsid w:val="00641A1F"/>
    <w:rsid w:val="006420D2"/>
    <w:rsid w:val="00643E8B"/>
    <w:rsid w:val="006440D7"/>
    <w:rsid w:val="00645904"/>
    <w:rsid w:val="0064706A"/>
    <w:rsid w:val="00651ACB"/>
    <w:rsid w:val="00651C47"/>
    <w:rsid w:val="006527F5"/>
    <w:rsid w:val="00652AB2"/>
    <w:rsid w:val="00653143"/>
    <w:rsid w:val="00653FED"/>
    <w:rsid w:val="00654EC0"/>
    <w:rsid w:val="0065525B"/>
    <w:rsid w:val="00655D4F"/>
    <w:rsid w:val="00656D29"/>
    <w:rsid w:val="00657FEC"/>
    <w:rsid w:val="006607DF"/>
    <w:rsid w:val="006611CB"/>
    <w:rsid w:val="006640E5"/>
    <w:rsid w:val="006646F1"/>
    <w:rsid w:val="00664929"/>
    <w:rsid w:val="00664F62"/>
    <w:rsid w:val="006655E1"/>
    <w:rsid w:val="00665AE3"/>
    <w:rsid w:val="00672060"/>
    <w:rsid w:val="00672BFD"/>
    <w:rsid w:val="006749D8"/>
    <w:rsid w:val="00675778"/>
    <w:rsid w:val="00676ACA"/>
    <w:rsid w:val="00676D09"/>
    <w:rsid w:val="006770F4"/>
    <w:rsid w:val="00677A84"/>
    <w:rsid w:val="0068026D"/>
    <w:rsid w:val="00680A27"/>
    <w:rsid w:val="00681249"/>
    <w:rsid w:val="006816A4"/>
    <w:rsid w:val="00681727"/>
    <w:rsid w:val="006819B8"/>
    <w:rsid w:val="006840A6"/>
    <w:rsid w:val="00684ECD"/>
    <w:rsid w:val="006850CD"/>
    <w:rsid w:val="00685AAB"/>
    <w:rsid w:val="006906A3"/>
    <w:rsid w:val="00690D61"/>
    <w:rsid w:val="00691497"/>
    <w:rsid w:val="00691FE9"/>
    <w:rsid w:val="00695D22"/>
    <w:rsid w:val="006A013E"/>
    <w:rsid w:val="006A07AA"/>
    <w:rsid w:val="006A1B60"/>
    <w:rsid w:val="006A25E5"/>
    <w:rsid w:val="006A284E"/>
    <w:rsid w:val="006A2B46"/>
    <w:rsid w:val="006A336D"/>
    <w:rsid w:val="006A37B9"/>
    <w:rsid w:val="006B06A3"/>
    <w:rsid w:val="006B2672"/>
    <w:rsid w:val="006B41D7"/>
    <w:rsid w:val="006B54BF"/>
    <w:rsid w:val="006B5F44"/>
    <w:rsid w:val="006B5F90"/>
    <w:rsid w:val="006B62E4"/>
    <w:rsid w:val="006C1BBA"/>
    <w:rsid w:val="006C2079"/>
    <w:rsid w:val="006C27F9"/>
    <w:rsid w:val="006C5A62"/>
    <w:rsid w:val="006C5D68"/>
    <w:rsid w:val="006C640D"/>
    <w:rsid w:val="006C6976"/>
    <w:rsid w:val="006C6DD0"/>
    <w:rsid w:val="006C7F02"/>
    <w:rsid w:val="006D04EA"/>
    <w:rsid w:val="006D0AB7"/>
    <w:rsid w:val="006D1354"/>
    <w:rsid w:val="006D16C4"/>
    <w:rsid w:val="006D3E96"/>
    <w:rsid w:val="006D4515"/>
    <w:rsid w:val="006D48A8"/>
    <w:rsid w:val="006D4BB1"/>
    <w:rsid w:val="006D550F"/>
    <w:rsid w:val="006D6593"/>
    <w:rsid w:val="006E23EA"/>
    <w:rsid w:val="006E28E5"/>
    <w:rsid w:val="006E2BB3"/>
    <w:rsid w:val="006E459A"/>
    <w:rsid w:val="006E6C12"/>
    <w:rsid w:val="006E6FBD"/>
    <w:rsid w:val="006F03A8"/>
    <w:rsid w:val="006F0E01"/>
    <w:rsid w:val="006F0F96"/>
    <w:rsid w:val="006F1C7A"/>
    <w:rsid w:val="006F2ACA"/>
    <w:rsid w:val="006F2ADC"/>
    <w:rsid w:val="006F2BFE"/>
    <w:rsid w:val="006F2FFA"/>
    <w:rsid w:val="006F31E9"/>
    <w:rsid w:val="006F4A15"/>
    <w:rsid w:val="006F5D0B"/>
    <w:rsid w:val="006F6284"/>
    <w:rsid w:val="007002C5"/>
    <w:rsid w:val="00700929"/>
    <w:rsid w:val="00701FC0"/>
    <w:rsid w:val="0070226E"/>
    <w:rsid w:val="007038E4"/>
    <w:rsid w:val="00704387"/>
    <w:rsid w:val="0070499A"/>
    <w:rsid w:val="00707669"/>
    <w:rsid w:val="00711CBA"/>
    <w:rsid w:val="00711FB5"/>
    <w:rsid w:val="007127A4"/>
    <w:rsid w:val="00712A01"/>
    <w:rsid w:val="00714F58"/>
    <w:rsid w:val="0071759B"/>
    <w:rsid w:val="00721B92"/>
    <w:rsid w:val="00722FBF"/>
    <w:rsid w:val="00722FC2"/>
    <w:rsid w:val="007246D2"/>
    <w:rsid w:val="00724879"/>
    <w:rsid w:val="00724E1B"/>
    <w:rsid w:val="00725949"/>
    <w:rsid w:val="00726D7E"/>
    <w:rsid w:val="00727FA2"/>
    <w:rsid w:val="007322D9"/>
    <w:rsid w:val="00732674"/>
    <w:rsid w:val="00732BC0"/>
    <w:rsid w:val="00732C37"/>
    <w:rsid w:val="0073720F"/>
    <w:rsid w:val="00737796"/>
    <w:rsid w:val="0074165C"/>
    <w:rsid w:val="00741983"/>
    <w:rsid w:val="00742C35"/>
    <w:rsid w:val="007432CA"/>
    <w:rsid w:val="00743883"/>
    <w:rsid w:val="007439EB"/>
    <w:rsid w:val="00743CB4"/>
    <w:rsid w:val="00743F0A"/>
    <w:rsid w:val="007440EB"/>
    <w:rsid w:val="007444E8"/>
    <w:rsid w:val="00744ACB"/>
    <w:rsid w:val="0074548E"/>
    <w:rsid w:val="00745773"/>
    <w:rsid w:val="0074607B"/>
    <w:rsid w:val="007465DC"/>
    <w:rsid w:val="00746800"/>
    <w:rsid w:val="00747923"/>
    <w:rsid w:val="007500E0"/>
    <w:rsid w:val="007501A8"/>
    <w:rsid w:val="00750D61"/>
    <w:rsid w:val="00750EE1"/>
    <w:rsid w:val="00752B4D"/>
    <w:rsid w:val="00755402"/>
    <w:rsid w:val="00756B26"/>
    <w:rsid w:val="00756D71"/>
    <w:rsid w:val="00756EDF"/>
    <w:rsid w:val="00757F0C"/>
    <w:rsid w:val="007600E3"/>
    <w:rsid w:val="007627E7"/>
    <w:rsid w:val="00763BBA"/>
    <w:rsid w:val="00764BB5"/>
    <w:rsid w:val="00765C43"/>
    <w:rsid w:val="00765EFB"/>
    <w:rsid w:val="007671CA"/>
    <w:rsid w:val="00767C61"/>
    <w:rsid w:val="0077008A"/>
    <w:rsid w:val="00771E10"/>
    <w:rsid w:val="00773C1F"/>
    <w:rsid w:val="00774DA4"/>
    <w:rsid w:val="00775DE8"/>
    <w:rsid w:val="00776599"/>
    <w:rsid w:val="007767CA"/>
    <w:rsid w:val="00780AE4"/>
    <w:rsid w:val="0078114B"/>
    <w:rsid w:val="00781DD2"/>
    <w:rsid w:val="00782CD9"/>
    <w:rsid w:val="0078331C"/>
    <w:rsid w:val="007839D2"/>
    <w:rsid w:val="00783A26"/>
    <w:rsid w:val="00783ECF"/>
    <w:rsid w:val="0078413A"/>
    <w:rsid w:val="00790315"/>
    <w:rsid w:val="00790C4A"/>
    <w:rsid w:val="0079202A"/>
    <w:rsid w:val="00794F59"/>
    <w:rsid w:val="007959E8"/>
    <w:rsid w:val="00795E9C"/>
    <w:rsid w:val="007A0521"/>
    <w:rsid w:val="007A05AC"/>
    <w:rsid w:val="007A13B1"/>
    <w:rsid w:val="007A2E12"/>
    <w:rsid w:val="007A3475"/>
    <w:rsid w:val="007A41C8"/>
    <w:rsid w:val="007A54CE"/>
    <w:rsid w:val="007A6C67"/>
    <w:rsid w:val="007A6FD9"/>
    <w:rsid w:val="007A7FFA"/>
    <w:rsid w:val="007B04EB"/>
    <w:rsid w:val="007B0D4F"/>
    <w:rsid w:val="007B1376"/>
    <w:rsid w:val="007B5A3D"/>
    <w:rsid w:val="007B5B95"/>
    <w:rsid w:val="007B68EA"/>
    <w:rsid w:val="007B7120"/>
    <w:rsid w:val="007B7453"/>
    <w:rsid w:val="007B78B9"/>
    <w:rsid w:val="007C1658"/>
    <w:rsid w:val="007C1E8B"/>
    <w:rsid w:val="007C2D89"/>
    <w:rsid w:val="007C3134"/>
    <w:rsid w:val="007C4593"/>
    <w:rsid w:val="007C5309"/>
    <w:rsid w:val="007C6069"/>
    <w:rsid w:val="007C73ED"/>
    <w:rsid w:val="007C7CBC"/>
    <w:rsid w:val="007D06C4"/>
    <w:rsid w:val="007D1352"/>
    <w:rsid w:val="007D2508"/>
    <w:rsid w:val="007D346A"/>
    <w:rsid w:val="007D6518"/>
    <w:rsid w:val="007D76BD"/>
    <w:rsid w:val="007E0BF1"/>
    <w:rsid w:val="007E2E7F"/>
    <w:rsid w:val="007E4278"/>
    <w:rsid w:val="007E4EB3"/>
    <w:rsid w:val="007E5550"/>
    <w:rsid w:val="007E6FBE"/>
    <w:rsid w:val="007F0ED8"/>
    <w:rsid w:val="007F0F63"/>
    <w:rsid w:val="007F5710"/>
    <w:rsid w:val="007F75CE"/>
    <w:rsid w:val="007F7F7A"/>
    <w:rsid w:val="00800B23"/>
    <w:rsid w:val="008013A4"/>
    <w:rsid w:val="008027CE"/>
    <w:rsid w:val="00802F42"/>
    <w:rsid w:val="008042E2"/>
    <w:rsid w:val="00804333"/>
    <w:rsid w:val="00804383"/>
    <w:rsid w:val="008048D6"/>
    <w:rsid w:val="00804BB7"/>
    <w:rsid w:val="00804D41"/>
    <w:rsid w:val="00805A72"/>
    <w:rsid w:val="00810257"/>
    <w:rsid w:val="008104F5"/>
    <w:rsid w:val="00811072"/>
    <w:rsid w:val="00811369"/>
    <w:rsid w:val="00812D61"/>
    <w:rsid w:val="00813C08"/>
    <w:rsid w:val="00815419"/>
    <w:rsid w:val="008163C8"/>
    <w:rsid w:val="008164A1"/>
    <w:rsid w:val="00817129"/>
    <w:rsid w:val="00817325"/>
    <w:rsid w:val="008202EE"/>
    <w:rsid w:val="008209E6"/>
    <w:rsid w:val="008231EA"/>
    <w:rsid w:val="00823303"/>
    <w:rsid w:val="008233B2"/>
    <w:rsid w:val="00823A9F"/>
    <w:rsid w:val="00823C85"/>
    <w:rsid w:val="00825138"/>
    <w:rsid w:val="008269DD"/>
    <w:rsid w:val="00830621"/>
    <w:rsid w:val="0083348C"/>
    <w:rsid w:val="00833ABE"/>
    <w:rsid w:val="00834410"/>
    <w:rsid w:val="0083463F"/>
    <w:rsid w:val="0083648C"/>
    <w:rsid w:val="008373D3"/>
    <w:rsid w:val="00840617"/>
    <w:rsid w:val="00840F84"/>
    <w:rsid w:val="00842A47"/>
    <w:rsid w:val="00843C13"/>
    <w:rsid w:val="0084494C"/>
    <w:rsid w:val="008454F8"/>
    <w:rsid w:val="00845C42"/>
    <w:rsid w:val="00845EE0"/>
    <w:rsid w:val="00847846"/>
    <w:rsid w:val="00850EE4"/>
    <w:rsid w:val="0085173A"/>
    <w:rsid w:val="00854AAD"/>
    <w:rsid w:val="00856316"/>
    <w:rsid w:val="00857A7F"/>
    <w:rsid w:val="008603CE"/>
    <w:rsid w:val="008620FC"/>
    <w:rsid w:val="00862665"/>
    <w:rsid w:val="008627A5"/>
    <w:rsid w:val="00863055"/>
    <w:rsid w:val="008637EE"/>
    <w:rsid w:val="00863E05"/>
    <w:rsid w:val="00865ACA"/>
    <w:rsid w:val="00865D28"/>
    <w:rsid w:val="00865F85"/>
    <w:rsid w:val="00867C10"/>
    <w:rsid w:val="00870406"/>
    <w:rsid w:val="00870439"/>
    <w:rsid w:val="00870DA1"/>
    <w:rsid w:val="00871565"/>
    <w:rsid w:val="00873207"/>
    <w:rsid w:val="008749E9"/>
    <w:rsid w:val="00877D14"/>
    <w:rsid w:val="00880A54"/>
    <w:rsid w:val="00883F93"/>
    <w:rsid w:val="00884402"/>
    <w:rsid w:val="00884DB3"/>
    <w:rsid w:val="00884EAB"/>
    <w:rsid w:val="00885A9D"/>
    <w:rsid w:val="008864F6"/>
    <w:rsid w:val="00887177"/>
    <w:rsid w:val="00887979"/>
    <w:rsid w:val="0089049D"/>
    <w:rsid w:val="0089053A"/>
    <w:rsid w:val="008928C9"/>
    <w:rsid w:val="008930CB"/>
    <w:rsid w:val="008938DC"/>
    <w:rsid w:val="00893CD4"/>
    <w:rsid w:val="00893FD1"/>
    <w:rsid w:val="00894836"/>
    <w:rsid w:val="00895172"/>
    <w:rsid w:val="00895680"/>
    <w:rsid w:val="00896DFF"/>
    <w:rsid w:val="0089762C"/>
    <w:rsid w:val="00897B02"/>
    <w:rsid w:val="008A1893"/>
    <w:rsid w:val="008A3215"/>
    <w:rsid w:val="008A57E6"/>
    <w:rsid w:val="008A6F67"/>
    <w:rsid w:val="008A6F81"/>
    <w:rsid w:val="008A769A"/>
    <w:rsid w:val="008B04EF"/>
    <w:rsid w:val="008B0C9C"/>
    <w:rsid w:val="008B0FD5"/>
    <w:rsid w:val="008B1552"/>
    <w:rsid w:val="008B166D"/>
    <w:rsid w:val="008B17F4"/>
    <w:rsid w:val="008B3615"/>
    <w:rsid w:val="008B4AC4"/>
    <w:rsid w:val="008B50C8"/>
    <w:rsid w:val="008B5281"/>
    <w:rsid w:val="008B7752"/>
    <w:rsid w:val="008B782B"/>
    <w:rsid w:val="008B7E05"/>
    <w:rsid w:val="008C147E"/>
    <w:rsid w:val="008C1797"/>
    <w:rsid w:val="008C219C"/>
    <w:rsid w:val="008C475E"/>
    <w:rsid w:val="008C619A"/>
    <w:rsid w:val="008D0CE8"/>
    <w:rsid w:val="008D2D1D"/>
    <w:rsid w:val="008D453D"/>
    <w:rsid w:val="008D50D8"/>
    <w:rsid w:val="008D53AD"/>
    <w:rsid w:val="008D562B"/>
    <w:rsid w:val="008D5733"/>
    <w:rsid w:val="008D622B"/>
    <w:rsid w:val="008D666C"/>
    <w:rsid w:val="008D7459"/>
    <w:rsid w:val="008D7B54"/>
    <w:rsid w:val="008E01B5"/>
    <w:rsid w:val="008E0C9D"/>
    <w:rsid w:val="008E1648"/>
    <w:rsid w:val="008E1B3E"/>
    <w:rsid w:val="008E2319"/>
    <w:rsid w:val="008E2810"/>
    <w:rsid w:val="008E4155"/>
    <w:rsid w:val="008E4BB6"/>
    <w:rsid w:val="008E53D4"/>
    <w:rsid w:val="008E5518"/>
    <w:rsid w:val="008E6A84"/>
    <w:rsid w:val="008E714E"/>
    <w:rsid w:val="008F0CDC"/>
    <w:rsid w:val="008F17A3"/>
    <w:rsid w:val="008F1ED3"/>
    <w:rsid w:val="008F23A5"/>
    <w:rsid w:val="008F2412"/>
    <w:rsid w:val="008F2A13"/>
    <w:rsid w:val="008F2F07"/>
    <w:rsid w:val="008F33D0"/>
    <w:rsid w:val="008F4C29"/>
    <w:rsid w:val="008F70BD"/>
    <w:rsid w:val="008F788F"/>
    <w:rsid w:val="008F7EA2"/>
    <w:rsid w:val="009002F7"/>
    <w:rsid w:val="0090262A"/>
    <w:rsid w:val="00902722"/>
    <w:rsid w:val="009027BC"/>
    <w:rsid w:val="00906271"/>
    <w:rsid w:val="009062E6"/>
    <w:rsid w:val="00906A50"/>
    <w:rsid w:val="009108C9"/>
    <w:rsid w:val="009118FC"/>
    <w:rsid w:val="00911BE5"/>
    <w:rsid w:val="00911C14"/>
    <w:rsid w:val="00911D9F"/>
    <w:rsid w:val="00912FF9"/>
    <w:rsid w:val="0091307A"/>
    <w:rsid w:val="00913CA9"/>
    <w:rsid w:val="009145AE"/>
    <w:rsid w:val="009146CE"/>
    <w:rsid w:val="00914CA7"/>
    <w:rsid w:val="00914DCF"/>
    <w:rsid w:val="00915C3E"/>
    <w:rsid w:val="009161A8"/>
    <w:rsid w:val="00921CCE"/>
    <w:rsid w:val="00923C4E"/>
    <w:rsid w:val="009245F5"/>
    <w:rsid w:val="009249EC"/>
    <w:rsid w:val="00924F27"/>
    <w:rsid w:val="00925460"/>
    <w:rsid w:val="009256CA"/>
    <w:rsid w:val="009273B3"/>
    <w:rsid w:val="009305B5"/>
    <w:rsid w:val="00936CEF"/>
    <w:rsid w:val="00936FA3"/>
    <w:rsid w:val="009427EC"/>
    <w:rsid w:val="009429D5"/>
    <w:rsid w:val="00942A69"/>
    <w:rsid w:val="00942BF1"/>
    <w:rsid w:val="00945180"/>
    <w:rsid w:val="00945428"/>
    <w:rsid w:val="0094607B"/>
    <w:rsid w:val="00953604"/>
    <w:rsid w:val="00953F33"/>
    <w:rsid w:val="0095496B"/>
    <w:rsid w:val="00960DDF"/>
    <w:rsid w:val="009610DC"/>
    <w:rsid w:val="00961490"/>
    <w:rsid w:val="00962275"/>
    <w:rsid w:val="0096381A"/>
    <w:rsid w:val="00965E04"/>
    <w:rsid w:val="009674AD"/>
    <w:rsid w:val="00967C7D"/>
    <w:rsid w:val="00970CDC"/>
    <w:rsid w:val="00977010"/>
    <w:rsid w:val="009779F7"/>
    <w:rsid w:val="00977D02"/>
    <w:rsid w:val="009809BB"/>
    <w:rsid w:val="00981968"/>
    <w:rsid w:val="00982BA1"/>
    <w:rsid w:val="00982C34"/>
    <w:rsid w:val="0098364B"/>
    <w:rsid w:val="00985064"/>
    <w:rsid w:val="009872F2"/>
    <w:rsid w:val="00990B0C"/>
    <w:rsid w:val="009911AF"/>
    <w:rsid w:val="00991875"/>
    <w:rsid w:val="00991F92"/>
    <w:rsid w:val="009925F7"/>
    <w:rsid w:val="00992985"/>
    <w:rsid w:val="00993889"/>
    <w:rsid w:val="00994D6B"/>
    <w:rsid w:val="0099551B"/>
    <w:rsid w:val="00997BF1"/>
    <w:rsid w:val="009A089C"/>
    <w:rsid w:val="009A118E"/>
    <w:rsid w:val="009A21CD"/>
    <w:rsid w:val="009A2245"/>
    <w:rsid w:val="009A278C"/>
    <w:rsid w:val="009A2BC2"/>
    <w:rsid w:val="009A42C1"/>
    <w:rsid w:val="009A5429"/>
    <w:rsid w:val="009A6AF6"/>
    <w:rsid w:val="009A72AD"/>
    <w:rsid w:val="009A7BA0"/>
    <w:rsid w:val="009B04CB"/>
    <w:rsid w:val="009B09E0"/>
    <w:rsid w:val="009B0BC5"/>
    <w:rsid w:val="009B1247"/>
    <w:rsid w:val="009B2795"/>
    <w:rsid w:val="009B46DC"/>
    <w:rsid w:val="009B46F9"/>
    <w:rsid w:val="009B6029"/>
    <w:rsid w:val="009B6971"/>
    <w:rsid w:val="009C27B4"/>
    <w:rsid w:val="009C27F1"/>
    <w:rsid w:val="009C3152"/>
    <w:rsid w:val="009C4CFA"/>
    <w:rsid w:val="009C5070"/>
    <w:rsid w:val="009C6748"/>
    <w:rsid w:val="009D0B65"/>
    <w:rsid w:val="009D112C"/>
    <w:rsid w:val="009D47FA"/>
    <w:rsid w:val="009D4C5B"/>
    <w:rsid w:val="009D50D2"/>
    <w:rsid w:val="009D6BCA"/>
    <w:rsid w:val="009D76BE"/>
    <w:rsid w:val="009E0F62"/>
    <w:rsid w:val="009E1FF0"/>
    <w:rsid w:val="009E2189"/>
    <w:rsid w:val="009E4A58"/>
    <w:rsid w:val="009E5A2D"/>
    <w:rsid w:val="009E5AB2"/>
    <w:rsid w:val="009E6219"/>
    <w:rsid w:val="009E7E1B"/>
    <w:rsid w:val="009E7E51"/>
    <w:rsid w:val="009F03B3"/>
    <w:rsid w:val="009F17C0"/>
    <w:rsid w:val="009F2EE1"/>
    <w:rsid w:val="009F6881"/>
    <w:rsid w:val="009F7904"/>
    <w:rsid w:val="00A0096C"/>
    <w:rsid w:val="00A016D9"/>
    <w:rsid w:val="00A01757"/>
    <w:rsid w:val="00A028C0"/>
    <w:rsid w:val="00A02BAE"/>
    <w:rsid w:val="00A04C41"/>
    <w:rsid w:val="00A06A6B"/>
    <w:rsid w:val="00A074E0"/>
    <w:rsid w:val="00A07E47"/>
    <w:rsid w:val="00A113DB"/>
    <w:rsid w:val="00A119B1"/>
    <w:rsid w:val="00A11AF2"/>
    <w:rsid w:val="00A12797"/>
    <w:rsid w:val="00A129D0"/>
    <w:rsid w:val="00A12C33"/>
    <w:rsid w:val="00A12FC1"/>
    <w:rsid w:val="00A138BA"/>
    <w:rsid w:val="00A14C8E"/>
    <w:rsid w:val="00A153D9"/>
    <w:rsid w:val="00A15F09"/>
    <w:rsid w:val="00A169B6"/>
    <w:rsid w:val="00A2271D"/>
    <w:rsid w:val="00A22AD3"/>
    <w:rsid w:val="00A237D5"/>
    <w:rsid w:val="00A30395"/>
    <w:rsid w:val="00A30EFC"/>
    <w:rsid w:val="00A313A1"/>
    <w:rsid w:val="00A31984"/>
    <w:rsid w:val="00A319E1"/>
    <w:rsid w:val="00A32D73"/>
    <w:rsid w:val="00A3367B"/>
    <w:rsid w:val="00A3597D"/>
    <w:rsid w:val="00A36DD1"/>
    <w:rsid w:val="00A4006C"/>
    <w:rsid w:val="00A40091"/>
    <w:rsid w:val="00A4030F"/>
    <w:rsid w:val="00A40603"/>
    <w:rsid w:val="00A41C79"/>
    <w:rsid w:val="00A41CB5"/>
    <w:rsid w:val="00A42CDF"/>
    <w:rsid w:val="00A4452E"/>
    <w:rsid w:val="00A4472C"/>
    <w:rsid w:val="00A44E69"/>
    <w:rsid w:val="00A4661E"/>
    <w:rsid w:val="00A520F6"/>
    <w:rsid w:val="00A52AE3"/>
    <w:rsid w:val="00A55903"/>
    <w:rsid w:val="00A55BD6"/>
    <w:rsid w:val="00A55D50"/>
    <w:rsid w:val="00A57142"/>
    <w:rsid w:val="00A5763E"/>
    <w:rsid w:val="00A606FC"/>
    <w:rsid w:val="00A62E33"/>
    <w:rsid w:val="00A648CD"/>
    <w:rsid w:val="00A6537A"/>
    <w:rsid w:val="00A67866"/>
    <w:rsid w:val="00A70B07"/>
    <w:rsid w:val="00A70B7C"/>
    <w:rsid w:val="00A71D12"/>
    <w:rsid w:val="00A723F8"/>
    <w:rsid w:val="00A77CCB"/>
    <w:rsid w:val="00A77F64"/>
    <w:rsid w:val="00A83D8D"/>
    <w:rsid w:val="00A8446B"/>
    <w:rsid w:val="00A8473F"/>
    <w:rsid w:val="00A8531C"/>
    <w:rsid w:val="00A862D6"/>
    <w:rsid w:val="00A86FFB"/>
    <w:rsid w:val="00A8715E"/>
    <w:rsid w:val="00A912AC"/>
    <w:rsid w:val="00A9295B"/>
    <w:rsid w:val="00A93B09"/>
    <w:rsid w:val="00A94247"/>
    <w:rsid w:val="00A9484D"/>
    <w:rsid w:val="00A949B3"/>
    <w:rsid w:val="00A952D7"/>
    <w:rsid w:val="00A963F7"/>
    <w:rsid w:val="00A96AD8"/>
    <w:rsid w:val="00AA052C"/>
    <w:rsid w:val="00AA080E"/>
    <w:rsid w:val="00AA0F9F"/>
    <w:rsid w:val="00AA149B"/>
    <w:rsid w:val="00AA1E45"/>
    <w:rsid w:val="00AA360C"/>
    <w:rsid w:val="00AA4286"/>
    <w:rsid w:val="00AA456B"/>
    <w:rsid w:val="00AA57F5"/>
    <w:rsid w:val="00AA672E"/>
    <w:rsid w:val="00AA6EC9"/>
    <w:rsid w:val="00AB41D5"/>
    <w:rsid w:val="00AB5B89"/>
    <w:rsid w:val="00AB62B0"/>
    <w:rsid w:val="00AB6309"/>
    <w:rsid w:val="00AB6C5F"/>
    <w:rsid w:val="00AB7129"/>
    <w:rsid w:val="00AC0C72"/>
    <w:rsid w:val="00AC1166"/>
    <w:rsid w:val="00AC2254"/>
    <w:rsid w:val="00AC27A6"/>
    <w:rsid w:val="00AC30F7"/>
    <w:rsid w:val="00AC3560"/>
    <w:rsid w:val="00AC3A5A"/>
    <w:rsid w:val="00AC4198"/>
    <w:rsid w:val="00AC4D95"/>
    <w:rsid w:val="00AC5DF4"/>
    <w:rsid w:val="00AD0AEF"/>
    <w:rsid w:val="00AD10DC"/>
    <w:rsid w:val="00AD11B7"/>
    <w:rsid w:val="00AD1A94"/>
    <w:rsid w:val="00AD1AA5"/>
    <w:rsid w:val="00AD1C05"/>
    <w:rsid w:val="00AD1E7E"/>
    <w:rsid w:val="00AD4126"/>
    <w:rsid w:val="00AD421C"/>
    <w:rsid w:val="00AD44FA"/>
    <w:rsid w:val="00AD4E24"/>
    <w:rsid w:val="00AE070A"/>
    <w:rsid w:val="00AE0990"/>
    <w:rsid w:val="00AE0DB9"/>
    <w:rsid w:val="00AE101C"/>
    <w:rsid w:val="00AE1B2D"/>
    <w:rsid w:val="00AE2477"/>
    <w:rsid w:val="00AE2D6F"/>
    <w:rsid w:val="00AE300B"/>
    <w:rsid w:val="00AE37E5"/>
    <w:rsid w:val="00AE3CD6"/>
    <w:rsid w:val="00AE5059"/>
    <w:rsid w:val="00AE5EB4"/>
    <w:rsid w:val="00AE774B"/>
    <w:rsid w:val="00AF0BE1"/>
    <w:rsid w:val="00AF0C18"/>
    <w:rsid w:val="00AF47C5"/>
    <w:rsid w:val="00AF5398"/>
    <w:rsid w:val="00AF656B"/>
    <w:rsid w:val="00AF6757"/>
    <w:rsid w:val="00AF79E1"/>
    <w:rsid w:val="00B00548"/>
    <w:rsid w:val="00B014B2"/>
    <w:rsid w:val="00B015C6"/>
    <w:rsid w:val="00B02F25"/>
    <w:rsid w:val="00B049AF"/>
    <w:rsid w:val="00B07242"/>
    <w:rsid w:val="00B10534"/>
    <w:rsid w:val="00B113DB"/>
    <w:rsid w:val="00B11795"/>
    <w:rsid w:val="00B11D8A"/>
    <w:rsid w:val="00B12340"/>
    <w:rsid w:val="00B12981"/>
    <w:rsid w:val="00B147DD"/>
    <w:rsid w:val="00B14836"/>
    <w:rsid w:val="00B154E2"/>
    <w:rsid w:val="00B156FD"/>
    <w:rsid w:val="00B1657C"/>
    <w:rsid w:val="00B175CB"/>
    <w:rsid w:val="00B2026F"/>
    <w:rsid w:val="00B20902"/>
    <w:rsid w:val="00B21F61"/>
    <w:rsid w:val="00B23900"/>
    <w:rsid w:val="00B25591"/>
    <w:rsid w:val="00B2581C"/>
    <w:rsid w:val="00B261F1"/>
    <w:rsid w:val="00B26522"/>
    <w:rsid w:val="00B265BC"/>
    <w:rsid w:val="00B26E78"/>
    <w:rsid w:val="00B31842"/>
    <w:rsid w:val="00B31FB1"/>
    <w:rsid w:val="00B33952"/>
    <w:rsid w:val="00B33C5E"/>
    <w:rsid w:val="00B342F4"/>
    <w:rsid w:val="00B34369"/>
    <w:rsid w:val="00B34DC2"/>
    <w:rsid w:val="00B35C56"/>
    <w:rsid w:val="00B372B7"/>
    <w:rsid w:val="00B378E5"/>
    <w:rsid w:val="00B37BB8"/>
    <w:rsid w:val="00B40032"/>
    <w:rsid w:val="00B41087"/>
    <w:rsid w:val="00B4346D"/>
    <w:rsid w:val="00B440F4"/>
    <w:rsid w:val="00B447A5"/>
    <w:rsid w:val="00B464D8"/>
    <w:rsid w:val="00B4654C"/>
    <w:rsid w:val="00B46AF0"/>
    <w:rsid w:val="00B47293"/>
    <w:rsid w:val="00B50825"/>
    <w:rsid w:val="00B50E50"/>
    <w:rsid w:val="00B52120"/>
    <w:rsid w:val="00B52A88"/>
    <w:rsid w:val="00B54ABC"/>
    <w:rsid w:val="00B54DDE"/>
    <w:rsid w:val="00B5683B"/>
    <w:rsid w:val="00B56FBE"/>
    <w:rsid w:val="00B60ACF"/>
    <w:rsid w:val="00B62AB9"/>
    <w:rsid w:val="00B62B58"/>
    <w:rsid w:val="00B64609"/>
    <w:rsid w:val="00B65149"/>
    <w:rsid w:val="00B66567"/>
    <w:rsid w:val="00B66F52"/>
    <w:rsid w:val="00B66FE5"/>
    <w:rsid w:val="00B71759"/>
    <w:rsid w:val="00B72880"/>
    <w:rsid w:val="00B72BAC"/>
    <w:rsid w:val="00B73E0D"/>
    <w:rsid w:val="00B74113"/>
    <w:rsid w:val="00B758BF"/>
    <w:rsid w:val="00B77EC8"/>
    <w:rsid w:val="00B80D1D"/>
    <w:rsid w:val="00B814E0"/>
    <w:rsid w:val="00B827A6"/>
    <w:rsid w:val="00B831CE"/>
    <w:rsid w:val="00B83F6B"/>
    <w:rsid w:val="00B84E3F"/>
    <w:rsid w:val="00B856BE"/>
    <w:rsid w:val="00B86677"/>
    <w:rsid w:val="00B86690"/>
    <w:rsid w:val="00B869ED"/>
    <w:rsid w:val="00B87131"/>
    <w:rsid w:val="00B901D8"/>
    <w:rsid w:val="00B90DD6"/>
    <w:rsid w:val="00B9111A"/>
    <w:rsid w:val="00B91E40"/>
    <w:rsid w:val="00B939B1"/>
    <w:rsid w:val="00B960BC"/>
    <w:rsid w:val="00B96D40"/>
    <w:rsid w:val="00B97386"/>
    <w:rsid w:val="00BA263B"/>
    <w:rsid w:val="00BA3FEC"/>
    <w:rsid w:val="00BA42B2"/>
    <w:rsid w:val="00BA4AB0"/>
    <w:rsid w:val="00BA562C"/>
    <w:rsid w:val="00BA58D4"/>
    <w:rsid w:val="00BA5B9E"/>
    <w:rsid w:val="00BA69D8"/>
    <w:rsid w:val="00BA7C9A"/>
    <w:rsid w:val="00BB0321"/>
    <w:rsid w:val="00BB06FF"/>
    <w:rsid w:val="00BB203B"/>
    <w:rsid w:val="00BB5F8F"/>
    <w:rsid w:val="00BB657A"/>
    <w:rsid w:val="00BB7901"/>
    <w:rsid w:val="00BC12FA"/>
    <w:rsid w:val="00BC1A4E"/>
    <w:rsid w:val="00BC4790"/>
    <w:rsid w:val="00BC4E8B"/>
    <w:rsid w:val="00BC5DC7"/>
    <w:rsid w:val="00BC6B61"/>
    <w:rsid w:val="00BC6B8B"/>
    <w:rsid w:val="00BC6E69"/>
    <w:rsid w:val="00BC73D8"/>
    <w:rsid w:val="00BD09AB"/>
    <w:rsid w:val="00BD1491"/>
    <w:rsid w:val="00BD1B31"/>
    <w:rsid w:val="00BD52D7"/>
    <w:rsid w:val="00BD57A7"/>
    <w:rsid w:val="00BD5AD2"/>
    <w:rsid w:val="00BD7928"/>
    <w:rsid w:val="00BE0E62"/>
    <w:rsid w:val="00BE22F3"/>
    <w:rsid w:val="00BE5B52"/>
    <w:rsid w:val="00BE6D2B"/>
    <w:rsid w:val="00BE7B8D"/>
    <w:rsid w:val="00BF0239"/>
    <w:rsid w:val="00BF0993"/>
    <w:rsid w:val="00BF10A9"/>
    <w:rsid w:val="00BF1703"/>
    <w:rsid w:val="00BF231C"/>
    <w:rsid w:val="00BF51E5"/>
    <w:rsid w:val="00BF74A6"/>
    <w:rsid w:val="00C013AD"/>
    <w:rsid w:val="00C02204"/>
    <w:rsid w:val="00C038BF"/>
    <w:rsid w:val="00C0470E"/>
    <w:rsid w:val="00C04904"/>
    <w:rsid w:val="00C04B44"/>
    <w:rsid w:val="00C056B3"/>
    <w:rsid w:val="00C05DB9"/>
    <w:rsid w:val="00C06C0C"/>
    <w:rsid w:val="00C103E5"/>
    <w:rsid w:val="00C1131A"/>
    <w:rsid w:val="00C13126"/>
    <w:rsid w:val="00C13319"/>
    <w:rsid w:val="00C134AC"/>
    <w:rsid w:val="00C13EE9"/>
    <w:rsid w:val="00C142C6"/>
    <w:rsid w:val="00C15F45"/>
    <w:rsid w:val="00C203CF"/>
    <w:rsid w:val="00C2045C"/>
    <w:rsid w:val="00C21540"/>
    <w:rsid w:val="00C21906"/>
    <w:rsid w:val="00C21BFA"/>
    <w:rsid w:val="00C21FD5"/>
    <w:rsid w:val="00C22148"/>
    <w:rsid w:val="00C23B02"/>
    <w:rsid w:val="00C24C8D"/>
    <w:rsid w:val="00C25FE2"/>
    <w:rsid w:val="00C26260"/>
    <w:rsid w:val="00C26B53"/>
    <w:rsid w:val="00C279B2"/>
    <w:rsid w:val="00C33E50"/>
    <w:rsid w:val="00C34C20"/>
    <w:rsid w:val="00C35A3E"/>
    <w:rsid w:val="00C35FB5"/>
    <w:rsid w:val="00C36712"/>
    <w:rsid w:val="00C41483"/>
    <w:rsid w:val="00C42130"/>
    <w:rsid w:val="00C423A4"/>
    <w:rsid w:val="00C43260"/>
    <w:rsid w:val="00C44BF5"/>
    <w:rsid w:val="00C45A4D"/>
    <w:rsid w:val="00C47A9F"/>
    <w:rsid w:val="00C50104"/>
    <w:rsid w:val="00C521D6"/>
    <w:rsid w:val="00C5341D"/>
    <w:rsid w:val="00C55232"/>
    <w:rsid w:val="00C553A4"/>
    <w:rsid w:val="00C55A06"/>
    <w:rsid w:val="00C55D03"/>
    <w:rsid w:val="00C5795B"/>
    <w:rsid w:val="00C57998"/>
    <w:rsid w:val="00C601BC"/>
    <w:rsid w:val="00C6329F"/>
    <w:rsid w:val="00C63340"/>
    <w:rsid w:val="00C64224"/>
    <w:rsid w:val="00C643F9"/>
    <w:rsid w:val="00C64E95"/>
    <w:rsid w:val="00C66286"/>
    <w:rsid w:val="00C674CB"/>
    <w:rsid w:val="00C70ABC"/>
    <w:rsid w:val="00C71372"/>
    <w:rsid w:val="00C72410"/>
    <w:rsid w:val="00C7287F"/>
    <w:rsid w:val="00C80CB8"/>
    <w:rsid w:val="00C819F8"/>
    <w:rsid w:val="00C8248C"/>
    <w:rsid w:val="00C83682"/>
    <w:rsid w:val="00C844D2"/>
    <w:rsid w:val="00C847F1"/>
    <w:rsid w:val="00C84E33"/>
    <w:rsid w:val="00C85B3A"/>
    <w:rsid w:val="00C86582"/>
    <w:rsid w:val="00C86D6F"/>
    <w:rsid w:val="00C905FC"/>
    <w:rsid w:val="00C92D03"/>
    <w:rsid w:val="00C9319C"/>
    <w:rsid w:val="00C937C4"/>
    <w:rsid w:val="00C93DE2"/>
    <w:rsid w:val="00C9435D"/>
    <w:rsid w:val="00C948A0"/>
    <w:rsid w:val="00C94DF2"/>
    <w:rsid w:val="00C96741"/>
    <w:rsid w:val="00C96D05"/>
    <w:rsid w:val="00C9720C"/>
    <w:rsid w:val="00C97D59"/>
    <w:rsid w:val="00CA24AE"/>
    <w:rsid w:val="00CA2D1B"/>
    <w:rsid w:val="00CA375D"/>
    <w:rsid w:val="00CA6496"/>
    <w:rsid w:val="00CA662A"/>
    <w:rsid w:val="00CA7AFD"/>
    <w:rsid w:val="00CA7C3C"/>
    <w:rsid w:val="00CB0189"/>
    <w:rsid w:val="00CB0BA2"/>
    <w:rsid w:val="00CB0C74"/>
    <w:rsid w:val="00CB1A42"/>
    <w:rsid w:val="00CB1B0C"/>
    <w:rsid w:val="00CB2058"/>
    <w:rsid w:val="00CB2C0B"/>
    <w:rsid w:val="00CB517D"/>
    <w:rsid w:val="00CB79DF"/>
    <w:rsid w:val="00CC038D"/>
    <w:rsid w:val="00CC0896"/>
    <w:rsid w:val="00CC08DB"/>
    <w:rsid w:val="00CC1613"/>
    <w:rsid w:val="00CC30E9"/>
    <w:rsid w:val="00CC39FF"/>
    <w:rsid w:val="00CC3C2F"/>
    <w:rsid w:val="00CC4AC8"/>
    <w:rsid w:val="00CC4B58"/>
    <w:rsid w:val="00CC5233"/>
    <w:rsid w:val="00CC5DE6"/>
    <w:rsid w:val="00CC6E4E"/>
    <w:rsid w:val="00CC6FE8"/>
    <w:rsid w:val="00CC7202"/>
    <w:rsid w:val="00CD22FD"/>
    <w:rsid w:val="00CD2808"/>
    <w:rsid w:val="00CD28BF"/>
    <w:rsid w:val="00CD2AEF"/>
    <w:rsid w:val="00CD3A3F"/>
    <w:rsid w:val="00CD4092"/>
    <w:rsid w:val="00CD4A20"/>
    <w:rsid w:val="00CD50A1"/>
    <w:rsid w:val="00CD519E"/>
    <w:rsid w:val="00CD561D"/>
    <w:rsid w:val="00CE0988"/>
    <w:rsid w:val="00CE0A23"/>
    <w:rsid w:val="00CE0C4F"/>
    <w:rsid w:val="00CE0F4A"/>
    <w:rsid w:val="00CE23AA"/>
    <w:rsid w:val="00CE30EA"/>
    <w:rsid w:val="00CE490C"/>
    <w:rsid w:val="00CE5266"/>
    <w:rsid w:val="00CE6D83"/>
    <w:rsid w:val="00CE74C0"/>
    <w:rsid w:val="00CF048A"/>
    <w:rsid w:val="00CF0BA5"/>
    <w:rsid w:val="00CF155A"/>
    <w:rsid w:val="00CF2947"/>
    <w:rsid w:val="00CF686F"/>
    <w:rsid w:val="00CF6E60"/>
    <w:rsid w:val="00CF6EA6"/>
    <w:rsid w:val="00CF7BCA"/>
    <w:rsid w:val="00D008FD"/>
    <w:rsid w:val="00D0321C"/>
    <w:rsid w:val="00D035EC"/>
    <w:rsid w:val="00D03F45"/>
    <w:rsid w:val="00D06AB1"/>
    <w:rsid w:val="00D072ED"/>
    <w:rsid w:val="00D07A16"/>
    <w:rsid w:val="00D07C45"/>
    <w:rsid w:val="00D1067E"/>
    <w:rsid w:val="00D10F50"/>
    <w:rsid w:val="00D11272"/>
    <w:rsid w:val="00D126B6"/>
    <w:rsid w:val="00D126F5"/>
    <w:rsid w:val="00D1489E"/>
    <w:rsid w:val="00D1661E"/>
    <w:rsid w:val="00D169F3"/>
    <w:rsid w:val="00D173F8"/>
    <w:rsid w:val="00D20737"/>
    <w:rsid w:val="00D21E81"/>
    <w:rsid w:val="00D223DE"/>
    <w:rsid w:val="00D24C93"/>
    <w:rsid w:val="00D25E37"/>
    <w:rsid w:val="00D2661A"/>
    <w:rsid w:val="00D27582"/>
    <w:rsid w:val="00D27EC4"/>
    <w:rsid w:val="00D30EBD"/>
    <w:rsid w:val="00D32719"/>
    <w:rsid w:val="00D33333"/>
    <w:rsid w:val="00D33457"/>
    <w:rsid w:val="00D3483C"/>
    <w:rsid w:val="00D352A2"/>
    <w:rsid w:val="00D3740E"/>
    <w:rsid w:val="00D4162B"/>
    <w:rsid w:val="00D41C18"/>
    <w:rsid w:val="00D41D53"/>
    <w:rsid w:val="00D44FD7"/>
    <w:rsid w:val="00D4514F"/>
    <w:rsid w:val="00D451E2"/>
    <w:rsid w:val="00D458F3"/>
    <w:rsid w:val="00D45E89"/>
    <w:rsid w:val="00D45E8D"/>
    <w:rsid w:val="00D466AE"/>
    <w:rsid w:val="00D4734F"/>
    <w:rsid w:val="00D475DC"/>
    <w:rsid w:val="00D51BF3"/>
    <w:rsid w:val="00D53DA2"/>
    <w:rsid w:val="00D55A0B"/>
    <w:rsid w:val="00D566B8"/>
    <w:rsid w:val="00D6124B"/>
    <w:rsid w:val="00D62081"/>
    <w:rsid w:val="00D63097"/>
    <w:rsid w:val="00D66846"/>
    <w:rsid w:val="00D675FB"/>
    <w:rsid w:val="00D71F25"/>
    <w:rsid w:val="00D72956"/>
    <w:rsid w:val="00D72A9C"/>
    <w:rsid w:val="00D73146"/>
    <w:rsid w:val="00D73763"/>
    <w:rsid w:val="00D73841"/>
    <w:rsid w:val="00D77031"/>
    <w:rsid w:val="00D84941"/>
    <w:rsid w:val="00D84FA1"/>
    <w:rsid w:val="00D851F0"/>
    <w:rsid w:val="00D851F7"/>
    <w:rsid w:val="00D86DB7"/>
    <w:rsid w:val="00D926D0"/>
    <w:rsid w:val="00D93030"/>
    <w:rsid w:val="00D942A2"/>
    <w:rsid w:val="00D942C9"/>
    <w:rsid w:val="00D950E1"/>
    <w:rsid w:val="00D952A6"/>
    <w:rsid w:val="00D963B0"/>
    <w:rsid w:val="00D96A30"/>
    <w:rsid w:val="00D97F99"/>
    <w:rsid w:val="00DA1E08"/>
    <w:rsid w:val="00DA24F8"/>
    <w:rsid w:val="00DA28E8"/>
    <w:rsid w:val="00DA38D3"/>
    <w:rsid w:val="00DA3932"/>
    <w:rsid w:val="00DA3AFC"/>
    <w:rsid w:val="00DA4956"/>
    <w:rsid w:val="00DA5191"/>
    <w:rsid w:val="00DA64F8"/>
    <w:rsid w:val="00DA6C15"/>
    <w:rsid w:val="00DB0258"/>
    <w:rsid w:val="00DB2F04"/>
    <w:rsid w:val="00DB38EE"/>
    <w:rsid w:val="00DB411C"/>
    <w:rsid w:val="00DB498B"/>
    <w:rsid w:val="00DB66CA"/>
    <w:rsid w:val="00DB6BCA"/>
    <w:rsid w:val="00DB73F7"/>
    <w:rsid w:val="00DC0321"/>
    <w:rsid w:val="00DC2C55"/>
    <w:rsid w:val="00DC3067"/>
    <w:rsid w:val="00DC370B"/>
    <w:rsid w:val="00DC3F7C"/>
    <w:rsid w:val="00DC5B90"/>
    <w:rsid w:val="00DD00FF"/>
    <w:rsid w:val="00DD0619"/>
    <w:rsid w:val="00DD07FB"/>
    <w:rsid w:val="00DD1E11"/>
    <w:rsid w:val="00DD25C6"/>
    <w:rsid w:val="00DD2D2F"/>
    <w:rsid w:val="00DD4194"/>
    <w:rsid w:val="00DD4FE5"/>
    <w:rsid w:val="00DD54B0"/>
    <w:rsid w:val="00DD57EE"/>
    <w:rsid w:val="00DD6BCC"/>
    <w:rsid w:val="00DD79D3"/>
    <w:rsid w:val="00DE0A4B"/>
    <w:rsid w:val="00DE0B76"/>
    <w:rsid w:val="00DE2410"/>
    <w:rsid w:val="00DE2939"/>
    <w:rsid w:val="00DE3A04"/>
    <w:rsid w:val="00DE6E81"/>
    <w:rsid w:val="00DE6EED"/>
    <w:rsid w:val="00DE703F"/>
    <w:rsid w:val="00DE7595"/>
    <w:rsid w:val="00DF1961"/>
    <w:rsid w:val="00DF41C6"/>
    <w:rsid w:val="00DF44DE"/>
    <w:rsid w:val="00DF47C7"/>
    <w:rsid w:val="00DF5F11"/>
    <w:rsid w:val="00DF6FFC"/>
    <w:rsid w:val="00DF7D3F"/>
    <w:rsid w:val="00E00031"/>
    <w:rsid w:val="00E01138"/>
    <w:rsid w:val="00E018D5"/>
    <w:rsid w:val="00E02DFB"/>
    <w:rsid w:val="00E030F9"/>
    <w:rsid w:val="00E0311A"/>
    <w:rsid w:val="00E03138"/>
    <w:rsid w:val="00E06404"/>
    <w:rsid w:val="00E065D2"/>
    <w:rsid w:val="00E1067E"/>
    <w:rsid w:val="00E110E1"/>
    <w:rsid w:val="00E11A85"/>
    <w:rsid w:val="00E11CB1"/>
    <w:rsid w:val="00E12495"/>
    <w:rsid w:val="00E12829"/>
    <w:rsid w:val="00E12CDC"/>
    <w:rsid w:val="00E13D28"/>
    <w:rsid w:val="00E13E4A"/>
    <w:rsid w:val="00E143FC"/>
    <w:rsid w:val="00E15CCD"/>
    <w:rsid w:val="00E16ED4"/>
    <w:rsid w:val="00E202EF"/>
    <w:rsid w:val="00E210B5"/>
    <w:rsid w:val="00E21DC4"/>
    <w:rsid w:val="00E23D99"/>
    <w:rsid w:val="00E242F8"/>
    <w:rsid w:val="00E2552F"/>
    <w:rsid w:val="00E3137A"/>
    <w:rsid w:val="00E32109"/>
    <w:rsid w:val="00E32CCF"/>
    <w:rsid w:val="00E347C0"/>
    <w:rsid w:val="00E34A98"/>
    <w:rsid w:val="00E35ADB"/>
    <w:rsid w:val="00E35D1E"/>
    <w:rsid w:val="00E364F9"/>
    <w:rsid w:val="00E365FA"/>
    <w:rsid w:val="00E36789"/>
    <w:rsid w:val="00E36D25"/>
    <w:rsid w:val="00E376E1"/>
    <w:rsid w:val="00E40ACE"/>
    <w:rsid w:val="00E424AC"/>
    <w:rsid w:val="00E43A93"/>
    <w:rsid w:val="00E43CBE"/>
    <w:rsid w:val="00E44A83"/>
    <w:rsid w:val="00E44D70"/>
    <w:rsid w:val="00E45001"/>
    <w:rsid w:val="00E45ED8"/>
    <w:rsid w:val="00E46FE7"/>
    <w:rsid w:val="00E47CB8"/>
    <w:rsid w:val="00E502C1"/>
    <w:rsid w:val="00E502DD"/>
    <w:rsid w:val="00E50D3A"/>
    <w:rsid w:val="00E51387"/>
    <w:rsid w:val="00E51E68"/>
    <w:rsid w:val="00E52EFD"/>
    <w:rsid w:val="00E53F7B"/>
    <w:rsid w:val="00E5408A"/>
    <w:rsid w:val="00E5414C"/>
    <w:rsid w:val="00E54645"/>
    <w:rsid w:val="00E561F0"/>
    <w:rsid w:val="00E56800"/>
    <w:rsid w:val="00E5733B"/>
    <w:rsid w:val="00E57904"/>
    <w:rsid w:val="00E60C63"/>
    <w:rsid w:val="00E60D51"/>
    <w:rsid w:val="00E60EEE"/>
    <w:rsid w:val="00E62FF9"/>
    <w:rsid w:val="00E6323C"/>
    <w:rsid w:val="00E635D6"/>
    <w:rsid w:val="00E639BC"/>
    <w:rsid w:val="00E65273"/>
    <w:rsid w:val="00E664CC"/>
    <w:rsid w:val="00E669EF"/>
    <w:rsid w:val="00E70388"/>
    <w:rsid w:val="00E70467"/>
    <w:rsid w:val="00E70F92"/>
    <w:rsid w:val="00E74C54"/>
    <w:rsid w:val="00E76833"/>
    <w:rsid w:val="00E77A03"/>
    <w:rsid w:val="00E77C19"/>
    <w:rsid w:val="00E822E8"/>
    <w:rsid w:val="00E82554"/>
    <w:rsid w:val="00E82606"/>
    <w:rsid w:val="00E842C7"/>
    <w:rsid w:val="00E846C8"/>
    <w:rsid w:val="00E84957"/>
    <w:rsid w:val="00E84A55"/>
    <w:rsid w:val="00E85074"/>
    <w:rsid w:val="00E85BFF"/>
    <w:rsid w:val="00E85FC0"/>
    <w:rsid w:val="00E90391"/>
    <w:rsid w:val="00E906C2"/>
    <w:rsid w:val="00E91B50"/>
    <w:rsid w:val="00E9311F"/>
    <w:rsid w:val="00E934D1"/>
    <w:rsid w:val="00E94AF0"/>
    <w:rsid w:val="00E95D13"/>
    <w:rsid w:val="00E95DD3"/>
    <w:rsid w:val="00E96090"/>
    <w:rsid w:val="00E969D5"/>
    <w:rsid w:val="00EA1BB5"/>
    <w:rsid w:val="00EA443B"/>
    <w:rsid w:val="00EA58D1"/>
    <w:rsid w:val="00EA5903"/>
    <w:rsid w:val="00EA61BC"/>
    <w:rsid w:val="00EA681A"/>
    <w:rsid w:val="00EA735B"/>
    <w:rsid w:val="00EB17DE"/>
    <w:rsid w:val="00EB1E69"/>
    <w:rsid w:val="00EB2086"/>
    <w:rsid w:val="00EB36ED"/>
    <w:rsid w:val="00EB5EDF"/>
    <w:rsid w:val="00EB60FE"/>
    <w:rsid w:val="00EB74DB"/>
    <w:rsid w:val="00EC095A"/>
    <w:rsid w:val="00EC1BC1"/>
    <w:rsid w:val="00EC1DAA"/>
    <w:rsid w:val="00EC2C1C"/>
    <w:rsid w:val="00EC334F"/>
    <w:rsid w:val="00EC354A"/>
    <w:rsid w:val="00EC5359"/>
    <w:rsid w:val="00EC562A"/>
    <w:rsid w:val="00ED067A"/>
    <w:rsid w:val="00ED27E5"/>
    <w:rsid w:val="00ED2B50"/>
    <w:rsid w:val="00ED4A14"/>
    <w:rsid w:val="00ED7F05"/>
    <w:rsid w:val="00EE0350"/>
    <w:rsid w:val="00EE0719"/>
    <w:rsid w:val="00EE0E80"/>
    <w:rsid w:val="00EE4695"/>
    <w:rsid w:val="00EE4A26"/>
    <w:rsid w:val="00EE54A6"/>
    <w:rsid w:val="00EE613F"/>
    <w:rsid w:val="00EE6EA3"/>
    <w:rsid w:val="00EE7295"/>
    <w:rsid w:val="00EE77BC"/>
    <w:rsid w:val="00EE7869"/>
    <w:rsid w:val="00EE7F0C"/>
    <w:rsid w:val="00EF054A"/>
    <w:rsid w:val="00EF2EA9"/>
    <w:rsid w:val="00EF3235"/>
    <w:rsid w:val="00EF40AD"/>
    <w:rsid w:val="00EF4ADF"/>
    <w:rsid w:val="00EF7E72"/>
    <w:rsid w:val="00F02DAA"/>
    <w:rsid w:val="00F03171"/>
    <w:rsid w:val="00F0472F"/>
    <w:rsid w:val="00F05B1E"/>
    <w:rsid w:val="00F06D37"/>
    <w:rsid w:val="00F07B9D"/>
    <w:rsid w:val="00F07E3D"/>
    <w:rsid w:val="00F11586"/>
    <w:rsid w:val="00F1183B"/>
    <w:rsid w:val="00F11C9F"/>
    <w:rsid w:val="00F12263"/>
    <w:rsid w:val="00F1409D"/>
    <w:rsid w:val="00F14214"/>
    <w:rsid w:val="00F1494C"/>
    <w:rsid w:val="00F157A9"/>
    <w:rsid w:val="00F2165A"/>
    <w:rsid w:val="00F21A97"/>
    <w:rsid w:val="00F21B48"/>
    <w:rsid w:val="00F220DE"/>
    <w:rsid w:val="00F2442E"/>
    <w:rsid w:val="00F25BB6"/>
    <w:rsid w:val="00F26A9C"/>
    <w:rsid w:val="00F26B7E"/>
    <w:rsid w:val="00F27A3B"/>
    <w:rsid w:val="00F30741"/>
    <w:rsid w:val="00F307E4"/>
    <w:rsid w:val="00F33817"/>
    <w:rsid w:val="00F33E0E"/>
    <w:rsid w:val="00F3623A"/>
    <w:rsid w:val="00F420D5"/>
    <w:rsid w:val="00F451EA"/>
    <w:rsid w:val="00F45447"/>
    <w:rsid w:val="00F456C6"/>
    <w:rsid w:val="00F4577B"/>
    <w:rsid w:val="00F4591E"/>
    <w:rsid w:val="00F45CB7"/>
    <w:rsid w:val="00F46496"/>
    <w:rsid w:val="00F474D0"/>
    <w:rsid w:val="00F50179"/>
    <w:rsid w:val="00F515EE"/>
    <w:rsid w:val="00F53EDE"/>
    <w:rsid w:val="00F5574B"/>
    <w:rsid w:val="00F56500"/>
    <w:rsid w:val="00F56511"/>
    <w:rsid w:val="00F616DA"/>
    <w:rsid w:val="00F6194E"/>
    <w:rsid w:val="00F623AC"/>
    <w:rsid w:val="00F6412A"/>
    <w:rsid w:val="00F65893"/>
    <w:rsid w:val="00F66A4A"/>
    <w:rsid w:val="00F674F8"/>
    <w:rsid w:val="00F70050"/>
    <w:rsid w:val="00F71E22"/>
    <w:rsid w:val="00F72142"/>
    <w:rsid w:val="00F72AE7"/>
    <w:rsid w:val="00F73011"/>
    <w:rsid w:val="00F747CF"/>
    <w:rsid w:val="00F76CF0"/>
    <w:rsid w:val="00F804C1"/>
    <w:rsid w:val="00F806B6"/>
    <w:rsid w:val="00F810F0"/>
    <w:rsid w:val="00F81141"/>
    <w:rsid w:val="00F8190B"/>
    <w:rsid w:val="00F81ABF"/>
    <w:rsid w:val="00F81BB9"/>
    <w:rsid w:val="00F82C10"/>
    <w:rsid w:val="00F833BA"/>
    <w:rsid w:val="00F84C28"/>
    <w:rsid w:val="00F84FD0"/>
    <w:rsid w:val="00F859A8"/>
    <w:rsid w:val="00F86D87"/>
    <w:rsid w:val="00F9108B"/>
    <w:rsid w:val="00F91349"/>
    <w:rsid w:val="00F9303D"/>
    <w:rsid w:val="00F934EB"/>
    <w:rsid w:val="00F9372D"/>
    <w:rsid w:val="00F93A8A"/>
    <w:rsid w:val="00F94051"/>
    <w:rsid w:val="00F95248"/>
    <w:rsid w:val="00F956A9"/>
    <w:rsid w:val="00F963ED"/>
    <w:rsid w:val="00F966CF"/>
    <w:rsid w:val="00F96CAE"/>
    <w:rsid w:val="00F97C99"/>
    <w:rsid w:val="00FA1514"/>
    <w:rsid w:val="00FA1CB4"/>
    <w:rsid w:val="00FA3D34"/>
    <w:rsid w:val="00FA4DAC"/>
    <w:rsid w:val="00FA5B76"/>
    <w:rsid w:val="00FA662D"/>
    <w:rsid w:val="00FA73B1"/>
    <w:rsid w:val="00FA7585"/>
    <w:rsid w:val="00FB0CB9"/>
    <w:rsid w:val="00FB231D"/>
    <w:rsid w:val="00FB45F1"/>
    <w:rsid w:val="00FB4A72"/>
    <w:rsid w:val="00FB512B"/>
    <w:rsid w:val="00FB54E8"/>
    <w:rsid w:val="00FB7054"/>
    <w:rsid w:val="00FC17B7"/>
    <w:rsid w:val="00FC2CB7"/>
    <w:rsid w:val="00FC4090"/>
    <w:rsid w:val="00FC53C4"/>
    <w:rsid w:val="00FC55A7"/>
    <w:rsid w:val="00FC55B4"/>
    <w:rsid w:val="00FD00E6"/>
    <w:rsid w:val="00FD09A1"/>
    <w:rsid w:val="00FD1C91"/>
    <w:rsid w:val="00FD220D"/>
    <w:rsid w:val="00FD2A7C"/>
    <w:rsid w:val="00FD59EB"/>
    <w:rsid w:val="00FD60F8"/>
    <w:rsid w:val="00FD7299"/>
    <w:rsid w:val="00FE1FBE"/>
    <w:rsid w:val="00FE3901"/>
    <w:rsid w:val="00FE39D3"/>
    <w:rsid w:val="00FE4BCE"/>
    <w:rsid w:val="00FE54AE"/>
    <w:rsid w:val="00FE576A"/>
    <w:rsid w:val="00FE709A"/>
    <w:rsid w:val="00FE7E79"/>
    <w:rsid w:val="00FF2448"/>
    <w:rsid w:val="00FF3E7D"/>
    <w:rsid w:val="00FF5B99"/>
    <w:rsid w:val="00FF730C"/>
    <w:rsid w:val="00FF73F4"/>
    <w:rsid w:val="00FF7A20"/>
    <w:rsid w:val="00FF7CE4"/>
    <w:rsid w:val="00FF7E39"/>
    <w:rsid w:val="024154CE"/>
    <w:rsid w:val="3B7FA726"/>
    <w:rsid w:val="587924B3"/>
    <w:rsid w:val="6F7140B8"/>
    <w:rsid w:val="759725FD"/>
    <w:rsid w:val="7C171815"/>
    <w:rsid w:val="F7FF0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4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4"/>
    <w:qFormat/>
    <w:uiPriority w:val="0"/>
    <w:pPr>
      <w:keepNext/>
      <w:keepLines/>
      <w:spacing w:before="260" w:after="260" w:line="416" w:lineRule="auto"/>
      <w:outlineLvl w:val="2"/>
    </w:pPr>
    <w:rPr>
      <w:b/>
      <w:bCs/>
      <w:sz w:val="32"/>
      <w:szCs w:val="32"/>
    </w:rPr>
  </w:style>
  <w:style w:type="paragraph" w:styleId="5">
    <w:name w:val="heading 4"/>
    <w:basedOn w:val="1"/>
    <w:next w:val="1"/>
    <w:link w:val="45"/>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6"/>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7"/>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8"/>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9"/>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50"/>
    <w:qFormat/>
    <w:uiPriority w:val="0"/>
    <w:pPr>
      <w:keepNext/>
      <w:keepLines/>
      <w:adjustRightInd/>
      <w:spacing w:before="240" w:after="64" w:line="320" w:lineRule="auto"/>
      <w:outlineLvl w:val="8"/>
    </w:pPr>
    <w:rPr>
      <w:rFonts w:ascii="Arial" w:hAnsi="Arial" w:eastAsia="黑体"/>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caption"/>
    <w:basedOn w:val="1"/>
    <w:next w:val="1"/>
    <w:link w:val="242"/>
    <w:semiHidden/>
    <w:unhideWhenUsed/>
    <w:qFormat/>
    <w:uiPriority w:val="35"/>
    <w:pPr>
      <w:wordWrap w:val="0"/>
      <w:autoSpaceDE w:val="0"/>
      <w:autoSpaceDN w:val="0"/>
      <w:adjustRightInd/>
      <w:spacing w:line="240" w:lineRule="auto"/>
    </w:pPr>
    <w:rPr>
      <w:rFonts w:ascii="Arial" w:hAnsi="Arial" w:eastAsia="黑体" w:cstheme="minorBidi"/>
      <w:sz w:val="20"/>
      <w:szCs w:val="24"/>
    </w:rPr>
  </w:style>
  <w:style w:type="paragraph" w:styleId="14">
    <w:name w:val="annotation text"/>
    <w:basedOn w:val="1"/>
    <w:link w:val="239"/>
    <w:semiHidden/>
    <w:unhideWhenUsed/>
    <w:qFormat/>
    <w:uiPriority w:val="99"/>
    <w:pPr>
      <w:wordWrap w:val="0"/>
      <w:autoSpaceDE w:val="0"/>
      <w:autoSpaceDN w:val="0"/>
      <w:adjustRightInd/>
      <w:spacing w:line="240" w:lineRule="auto"/>
      <w:jc w:val="left"/>
    </w:pPr>
    <w:rPr>
      <w:rFonts w:asciiTheme="minorHAnsi" w:hAnsiTheme="minorHAnsi" w:eastAsiaTheme="minorEastAsia" w:cstheme="minorBidi"/>
      <w:szCs w:val="24"/>
    </w:rPr>
  </w:style>
  <w:style w:type="paragraph" w:styleId="15">
    <w:name w:val="Body Text"/>
    <w:basedOn w:val="1"/>
    <w:link w:val="94"/>
    <w:qFormat/>
    <w:uiPriority w:val="1"/>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toc 8"/>
    <w:basedOn w:val="1"/>
    <w:next w:val="1"/>
    <w:unhideWhenUsed/>
    <w:qFormat/>
    <w:uiPriority w:val="39"/>
    <w:pPr>
      <w:widowControl/>
      <w:adjustRightInd/>
      <w:spacing w:after="100" w:line="278" w:lineRule="auto"/>
      <w:ind w:left="1680"/>
      <w:jc w:val="left"/>
    </w:pPr>
    <w:rPr>
      <w:rFonts w:asciiTheme="minorHAnsi" w:hAnsiTheme="minorHAnsi" w:eastAsiaTheme="minorEastAsia" w:cstheme="minorBidi"/>
      <w:sz w:val="24"/>
      <w:szCs w:val="24"/>
      <w14:ligatures w14:val="standardContextual"/>
    </w:rPr>
  </w:style>
  <w:style w:type="paragraph" w:styleId="19">
    <w:name w:val="Date"/>
    <w:basedOn w:val="1"/>
    <w:next w:val="1"/>
    <w:link w:val="240"/>
    <w:semiHidden/>
    <w:unhideWhenUsed/>
    <w:qFormat/>
    <w:uiPriority w:val="99"/>
    <w:pPr>
      <w:wordWrap w:val="0"/>
      <w:autoSpaceDE w:val="0"/>
      <w:autoSpaceDN w:val="0"/>
      <w:adjustRightInd/>
      <w:spacing w:line="240" w:lineRule="auto"/>
      <w:ind w:left="100" w:leftChars="2500"/>
    </w:pPr>
    <w:rPr>
      <w:rFonts w:asciiTheme="minorHAnsi" w:hAnsiTheme="minorHAnsi" w:eastAsiaTheme="minorEastAsia" w:cstheme="minorBidi"/>
      <w:szCs w:val="24"/>
    </w:rPr>
  </w:style>
  <w:style w:type="paragraph" w:styleId="20">
    <w:name w:val="Balloon Text"/>
    <w:basedOn w:val="1"/>
    <w:link w:val="53"/>
    <w:semiHidden/>
    <w:unhideWhenUsed/>
    <w:qFormat/>
    <w:uiPriority w:val="99"/>
    <w:rPr>
      <w:sz w:val="18"/>
      <w:szCs w:val="18"/>
    </w:rPr>
  </w:style>
  <w:style w:type="paragraph" w:styleId="21">
    <w:name w:val="footer"/>
    <w:basedOn w:val="1"/>
    <w:link w:val="52"/>
    <w:qFormat/>
    <w:uiPriority w:val="99"/>
    <w:pPr>
      <w:tabs>
        <w:tab w:val="center" w:pos="4153"/>
        <w:tab w:val="right" w:pos="8306"/>
      </w:tabs>
      <w:adjustRightInd/>
      <w:snapToGrid w:val="0"/>
      <w:spacing w:line="240" w:lineRule="auto"/>
      <w:jc w:val="right"/>
    </w:pPr>
    <w:rPr>
      <w:rFonts w:ascii="宋体"/>
      <w:sz w:val="18"/>
      <w:szCs w:val="18"/>
    </w:rPr>
  </w:style>
  <w:style w:type="paragraph" w:styleId="22">
    <w:name w:val="header"/>
    <w:basedOn w:val="1"/>
    <w:link w:val="51"/>
    <w:qFormat/>
    <w:uiPriority w:val="99"/>
    <w:pPr>
      <w:tabs>
        <w:tab w:val="center" w:pos="4153"/>
        <w:tab w:val="right" w:pos="8306"/>
      </w:tabs>
      <w:adjustRightInd/>
      <w:snapToGrid w:val="0"/>
      <w:jc w:val="center"/>
    </w:pPr>
    <w:rPr>
      <w:sz w:val="18"/>
      <w:szCs w:val="18"/>
    </w:rPr>
  </w:style>
  <w:style w:type="paragraph" w:styleId="23">
    <w:name w:val="toc 1"/>
    <w:basedOn w:val="1"/>
    <w:next w:val="1"/>
    <w:unhideWhenUsed/>
    <w:qFormat/>
    <w:uiPriority w:val="39"/>
    <w:rPr>
      <w:rFonts w:ascii="宋体"/>
    </w:rPr>
  </w:style>
  <w:style w:type="paragraph" w:styleId="24">
    <w:name w:val="toc 4"/>
    <w:basedOn w:val="1"/>
    <w:next w:val="1"/>
    <w:unhideWhenUsed/>
    <w:qFormat/>
    <w:uiPriority w:val="39"/>
    <w:pPr>
      <w:tabs>
        <w:tab w:val="right" w:leader="dot" w:pos="9344"/>
      </w:tabs>
      <w:spacing w:line="300" w:lineRule="exact"/>
      <w:ind w:left="629"/>
    </w:pPr>
    <w:rPr>
      <w:rFonts w:ascii="宋体"/>
    </w:rPr>
  </w:style>
  <w:style w:type="paragraph" w:styleId="25">
    <w:name w:val="footnote text"/>
    <w:basedOn w:val="1"/>
    <w:next w:val="1"/>
    <w:link w:val="107"/>
    <w:qFormat/>
    <w:uiPriority w:val="0"/>
    <w:pPr>
      <w:adjustRightInd/>
      <w:snapToGrid w:val="0"/>
      <w:spacing w:line="300" w:lineRule="exact"/>
      <w:ind w:left="400" w:leftChars="200" w:hanging="200" w:hangingChars="200"/>
      <w:jc w:val="left"/>
    </w:pPr>
    <w:rPr>
      <w:rFonts w:ascii="宋体"/>
      <w:sz w:val="18"/>
      <w:szCs w:val="18"/>
    </w:rPr>
  </w:style>
  <w:style w:type="paragraph" w:styleId="26">
    <w:name w:val="toc 6"/>
    <w:basedOn w:val="1"/>
    <w:next w:val="1"/>
    <w:unhideWhenUsed/>
    <w:qFormat/>
    <w:uiPriority w:val="39"/>
    <w:pPr>
      <w:spacing w:line="300" w:lineRule="exact"/>
      <w:ind w:left="1049"/>
    </w:pPr>
    <w:rPr>
      <w:rFonts w:ascii="宋体"/>
    </w:rPr>
  </w:style>
  <w:style w:type="paragraph" w:styleId="27">
    <w:name w:val="table of figures"/>
    <w:basedOn w:val="1"/>
    <w:next w:val="1"/>
    <w:semiHidden/>
    <w:qFormat/>
    <w:uiPriority w:val="0"/>
    <w:pPr>
      <w:adjustRightInd/>
      <w:spacing w:line="240" w:lineRule="auto"/>
      <w:jc w:val="left"/>
    </w:pPr>
    <w:rPr>
      <w:szCs w:val="24"/>
    </w:rPr>
  </w:style>
  <w:style w:type="paragraph" w:styleId="28">
    <w:name w:val="toc 2"/>
    <w:basedOn w:val="1"/>
    <w:next w:val="1"/>
    <w:unhideWhenUsed/>
    <w:qFormat/>
    <w:uiPriority w:val="39"/>
    <w:pPr>
      <w:tabs>
        <w:tab w:val="right" w:leader="dot" w:pos="9344"/>
      </w:tabs>
      <w:spacing w:line="300" w:lineRule="exact"/>
      <w:ind w:left="210"/>
    </w:pPr>
    <w:rPr>
      <w:rFonts w:ascii="宋体"/>
    </w:rPr>
  </w:style>
  <w:style w:type="paragraph" w:styleId="29">
    <w:name w:val="toc 9"/>
    <w:basedOn w:val="1"/>
    <w:next w:val="1"/>
    <w:unhideWhenUsed/>
    <w:qFormat/>
    <w:uiPriority w:val="39"/>
    <w:pPr>
      <w:widowControl/>
      <w:adjustRightInd/>
      <w:spacing w:after="100" w:line="278" w:lineRule="auto"/>
      <w:ind w:left="1920"/>
      <w:jc w:val="left"/>
    </w:pPr>
    <w:rPr>
      <w:rFonts w:asciiTheme="minorHAnsi" w:hAnsiTheme="minorHAnsi" w:eastAsiaTheme="minorEastAsia" w:cstheme="minorBidi"/>
      <w:sz w:val="24"/>
      <w:szCs w:val="24"/>
      <w14:ligatures w14:val="standardContextual"/>
    </w:rPr>
  </w:style>
  <w:style w:type="paragraph" w:styleId="30">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31">
    <w:name w:val="Title"/>
    <w:basedOn w:val="1"/>
    <w:link w:val="56"/>
    <w:qFormat/>
    <w:uiPriority w:val="0"/>
    <w:pPr>
      <w:spacing w:before="240" w:after="60"/>
      <w:jc w:val="center"/>
      <w:outlineLvl w:val="0"/>
    </w:pPr>
    <w:rPr>
      <w:rFonts w:ascii="Arial" w:hAnsi="Arial" w:cs="Arial"/>
      <w:b/>
      <w:bCs/>
      <w:sz w:val="32"/>
      <w:szCs w:val="32"/>
    </w:rPr>
  </w:style>
  <w:style w:type="paragraph" w:styleId="32">
    <w:name w:val="annotation subject"/>
    <w:basedOn w:val="14"/>
    <w:next w:val="14"/>
    <w:link w:val="241"/>
    <w:semiHidden/>
    <w:unhideWhenUsed/>
    <w:qFormat/>
    <w:uiPriority w:val="99"/>
    <w:rPr>
      <w:b/>
      <w:bCs/>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bCs/>
    </w:rPr>
  </w:style>
  <w:style w:type="character" w:styleId="37">
    <w:name w:val="page number"/>
    <w:qFormat/>
    <w:uiPriority w:val="0"/>
    <w:rPr>
      <w:rFonts w:ascii="宋体" w:hAnsi="Times New Roman" w:eastAsia="宋体"/>
      <w:sz w:val="18"/>
    </w:rPr>
  </w:style>
  <w:style w:type="character" w:styleId="38">
    <w:name w:val="Emphasis"/>
    <w:qFormat/>
    <w:uiPriority w:val="20"/>
    <w:rPr>
      <w:i/>
      <w:iCs/>
    </w:rPr>
  </w:style>
  <w:style w:type="character" w:styleId="39">
    <w:name w:val="Hyperlink"/>
    <w:qFormat/>
    <w:uiPriority w:val="99"/>
    <w:rPr>
      <w:rFonts w:ascii="宋体" w:hAnsi="Times New Roman" w:eastAsia="宋体"/>
      <w:color w:val="auto"/>
      <w:spacing w:val="0"/>
      <w:w w:val="100"/>
      <w:position w:val="0"/>
      <w:sz w:val="21"/>
      <w:u w:val="none"/>
      <w:vertAlign w:val="baseline"/>
    </w:rPr>
  </w:style>
  <w:style w:type="character" w:styleId="40">
    <w:name w:val="annotation reference"/>
    <w:basedOn w:val="35"/>
    <w:semiHidden/>
    <w:unhideWhenUsed/>
    <w:qFormat/>
    <w:uiPriority w:val="99"/>
    <w:rPr>
      <w:sz w:val="21"/>
      <w:szCs w:val="21"/>
    </w:rPr>
  </w:style>
  <w:style w:type="character" w:styleId="41">
    <w:name w:val="footnote reference"/>
    <w:semiHidden/>
    <w:qFormat/>
    <w:uiPriority w:val="99"/>
    <w:rPr>
      <w:rFonts w:ascii="宋体" w:hAnsi="宋体" w:eastAsia="宋体" w:cs="Times New Roman"/>
      <w:spacing w:val="0"/>
      <w:sz w:val="18"/>
      <w:vertAlign w:val="superscript"/>
    </w:rPr>
  </w:style>
  <w:style w:type="character" w:customStyle="1" w:styleId="42">
    <w:name w:val="标题 1 字符"/>
    <w:link w:val="2"/>
    <w:qFormat/>
    <w:uiPriority w:val="0"/>
    <w:rPr>
      <w:b/>
      <w:bCs/>
      <w:kern w:val="44"/>
      <w:sz w:val="44"/>
      <w:szCs w:val="44"/>
    </w:rPr>
  </w:style>
  <w:style w:type="character" w:customStyle="1" w:styleId="43">
    <w:name w:val="标题 2 字符"/>
    <w:link w:val="3"/>
    <w:qFormat/>
    <w:uiPriority w:val="0"/>
    <w:rPr>
      <w:rFonts w:ascii="Arial" w:hAnsi="Arial" w:eastAsia="黑体"/>
      <w:b/>
      <w:bCs/>
      <w:kern w:val="2"/>
      <w:sz w:val="32"/>
      <w:szCs w:val="32"/>
    </w:rPr>
  </w:style>
  <w:style w:type="character" w:customStyle="1" w:styleId="44">
    <w:name w:val="标题 3 字符"/>
    <w:link w:val="4"/>
    <w:qFormat/>
    <w:uiPriority w:val="0"/>
    <w:rPr>
      <w:b/>
      <w:bCs/>
      <w:kern w:val="2"/>
      <w:sz w:val="32"/>
      <w:szCs w:val="32"/>
    </w:rPr>
  </w:style>
  <w:style w:type="character" w:customStyle="1" w:styleId="45">
    <w:name w:val="标题 4 字符"/>
    <w:link w:val="5"/>
    <w:qFormat/>
    <w:uiPriority w:val="0"/>
    <w:rPr>
      <w:rFonts w:ascii="Arial" w:hAnsi="Arial" w:eastAsia="黑体"/>
      <w:b/>
      <w:bCs/>
      <w:kern w:val="2"/>
      <w:sz w:val="28"/>
      <w:szCs w:val="28"/>
    </w:rPr>
  </w:style>
  <w:style w:type="character" w:customStyle="1" w:styleId="46">
    <w:name w:val="标题 5 字符"/>
    <w:link w:val="6"/>
    <w:qFormat/>
    <w:uiPriority w:val="0"/>
    <w:rPr>
      <w:b/>
      <w:bCs/>
      <w:kern w:val="2"/>
      <w:sz w:val="28"/>
      <w:szCs w:val="28"/>
    </w:rPr>
  </w:style>
  <w:style w:type="character" w:customStyle="1" w:styleId="47">
    <w:name w:val="标题 6 字符"/>
    <w:link w:val="7"/>
    <w:qFormat/>
    <w:uiPriority w:val="0"/>
    <w:rPr>
      <w:rFonts w:ascii="Arial" w:hAnsi="Arial" w:eastAsia="黑体"/>
      <w:b/>
      <w:bCs/>
      <w:kern w:val="2"/>
      <w:sz w:val="24"/>
      <w:szCs w:val="24"/>
    </w:rPr>
  </w:style>
  <w:style w:type="character" w:customStyle="1" w:styleId="48">
    <w:name w:val="标题 7 字符"/>
    <w:link w:val="8"/>
    <w:qFormat/>
    <w:uiPriority w:val="0"/>
    <w:rPr>
      <w:b/>
      <w:bCs/>
      <w:kern w:val="2"/>
      <w:sz w:val="24"/>
      <w:szCs w:val="24"/>
    </w:rPr>
  </w:style>
  <w:style w:type="character" w:customStyle="1" w:styleId="49">
    <w:name w:val="标题 8 字符"/>
    <w:link w:val="9"/>
    <w:qFormat/>
    <w:uiPriority w:val="0"/>
    <w:rPr>
      <w:rFonts w:ascii="Arial" w:hAnsi="Arial" w:eastAsia="黑体"/>
      <w:kern w:val="2"/>
      <w:sz w:val="24"/>
      <w:szCs w:val="24"/>
    </w:rPr>
  </w:style>
  <w:style w:type="character" w:customStyle="1" w:styleId="50">
    <w:name w:val="标题 9 字符"/>
    <w:link w:val="10"/>
    <w:qFormat/>
    <w:uiPriority w:val="0"/>
    <w:rPr>
      <w:rFonts w:ascii="Arial" w:hAnsi="Arial" w:eastAsia="黑体"/>
      <w:kern w:val="2"/>
      <w:sz w:val="21"/>
      <w:szCs w:val="21"/>
    </w:rPr>
  </w:style>
  <w:style w:type="character" w:customStyle="1" w:styleId="51">
    <w:name w:val="页眉 字符"/>
    <w:link w:val="22"/>
    <w:qFormat/>
    <w:uiPriority w:val="99"/>
    <w:rPr>
      <w:kern w:val="2"/>
      <w:sz w:val="18"/>
      <w:szCs w:val="18"/>
    </w:rPr>
  </w:style>
  <w:style w:type="character" w:customStyle="1" w:styleId="52">
    <w:name w:val="页脚 字符"/>
    <w:link w:val="21"/>
    <w:qFormat/>
    <w:uiPriority w:val="99"/>
    <w:rPr>
      <w:rFonts w:ascii="宋体"/>
      <w:kern w:val="2"/>
      <w:sz w:val="18"/>
      <w:szCs w:val="18"/>
    </w:rPr>
  </w:style>
  <w:style w:type="character" w:customStyle="1" w:styleId="53">
    <w:name w:val="批注框文本 字符"/>
    <w:link w:val="20"/>
    <w:semiHidden/>
    <w:qFormat/>
    <w:uiPriority w:val="99"/>
    <w:rPr>
      <w:kern w:val="2"/>
      <w:sz w:val="18"/>
      <w:szCs w:val="18"/>
    </w:rPr>
  </w:style>
  <w:style w:type="paragraph" w:styleId="54">
    <w:name w:val="Quote"/>
    <w:basedOn w:val="1"/>
    <w:next w:val="1"/>
    <w:link w:val="55"/>
    <w:qFormat/>
    <w:uiPriority w:val="29"/>
    <w:rPr>
      <w:i/>
      <w:iCs/>
      <w:color w:val="000000"/>
    </w:rPr>
  </w:style>
  <w:style w:type="character" w:customStyle="1" w:styleId="55">
    <w:name w:val="引用 字符"/>
    <w:link w:val="54"/>
    <w:qFormat/>
    <w:uiPriority w:val="29"/>
    <w:rPr>
      <w:i/>
      <w:iCs/>
      <w:color w:val="000000"/>
      <w:kern w:val="2"/>
      <w:sz w:val="21"/>
      <w:szCs w:val="21"/>
    </w:rPr>
  </w:style>
  <w:style w:type="character" w:customStyle="1" w:styleId="56">
    <w:name w:val="标题 字符"/>
    <w:link w:val="31"/>
    <w:qFormat/>
    <w:uiPriority w:val="0"/>
    <w:rPr>
      <w:rFonts w:ascii="Arial" w:hAnsi="Arial" w:cs="Arial"/>
      <w:b/>
      <w:bCs/>
      <w:kern w:val="2"/>
      <w:sz w:val="32"/>
      <w:szCs w:val="32"/>
    </w:rPr>
  </w:style>
  <w:style w:type="paragraph" w:customStyle="1" w:styleId="5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文件_ICS"/>
    <w:basedOn w:val="1"/>
    <w:qFormat/>
    <w:uiPriority w:val="0"/>
    <w:pPr>
      <w:spacing w:line="0" w:lineRule="atLeast"/>
    </w:pPr>
    <w:rPr>
      <w:rFonts w:ascii="黑体" w:hAnsi="宋体" w:eastAsia="黑体"/>
    </w:rPr>
  </w:style>
  <w:style w:type="paragraph" w:customStyle="1" w:styleId="63">
    <w:name w:val="标准文件_标准正文"/>
    <w:basedOn w:val="1"/>
    <w:next w:val="64"/>
    <w:qFormat/>
    <w:uiPriority w:val="0"/>
    <w:pPr>
      <w:snapToGrid w:val="0"/>
      <w:ind w:firstLine="200" w:firstLineChars="200"/>
    </w:pPr>
    <w:rPr>
      <w:kern w:val="0"/>
    </w:rPr>
  </w:style>
  <w:style w:type="paragraph" w:customStyle="1" w:styleId="64">
    <w:name w:val="标准文件_段"/>
    <w:link w:val="192"/>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5">
    <w:name w:val="标准文件_版本"/>
    <w:basedOn w:val="63"/>
    <w:qFormat/>
    <w:uiPriority w:val="0"/>
    <w:pPr>
      <w:adjustRightInd/>
      <w:snapToGrid/>
      <w:ind w:firstLine="0" w:firstLineChars="0"/>
    </w:pPr>
    <w:rPr>
      <w:rFonts w:ascii="宋体" w:hAnsi="宋体"/>
      <w:kern w:val="2"/>
    </w:rPr>
  </w:style>
  <w:style w:type="paragraph" w:customStyle="1" w:styleId="66">
    <w:name w:val="标准文件_标准部门"/>
    <w:basedOn w:val="1"/>
    <w:qFormat/>
    <w:uiPriority w:val="0"/>
    <w:pPr>
      <w:jc w:val="center"/>
    </w:pPr>
    <w:rPr>
      <w:rFonts w:ascii="黑体" w:eastAsia="黑体"/>
      <w:kern w:val="0"/>
      <w:sz w:val="44"/>
    </w:rPr>
  </w:style>
  <w:style w:type="paragraph" w:customStyle="1" w:styleId="67">
    <w:name w:val="标准文件_标准代替"/>
    <w:basedOn w:val="1"/>
    <w:next w:val="1"/>
    <w:qFormat/>
    <w:uiPriority w:val="0"/>
    <w:pPr>
      <w:spacing w:line="310" w:lineRule="exact"/>
      <w:jc w:val="right"/>
    </w:pPr>
    <w:rPr>
      <w:rFonts w:ascii="宋体" w:hAnsi="宋体"/>
      <w:kern w:val="0"/>
    </w:rPr>
  </w:style>
  <w:style w:type="paragraph" w:customStyle="1" w:styleId="68">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0">
    <w:name w:val="标准文件_页眉偶数页"/>
    <w:basedOn w:val="69"/>
    <w:next w:val="1"/>
    <w:qFormat/>
    <w:uiPriority w:val="0"/>
    <w:pPr>
      <w:jc w:val="left"/>
    </w:pPr>
  </w:style>
  <w:style w:type="paragraph" w:customStyle="1" w:styleId="71">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72">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3">
    <w:name w:val="标准文件_二级条标题"/>
    <w:next w:val="64"/>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4">
    <w:name w:val="标准文件_发布"/>
    <w:qFormat/>
    <w:uiPriority w:val="0"/>
    <w:rPr>
      <w:rFonts w:ascii="黑体" w:eastAsia="黑体"/>
      <w:spacing w:val="0"/>
      <w:w w:val="100"/>
      <w:position w:val="3"/>
      <w:sz w:val="28"/>
    </w:rPr>
  </w:style>
  <w:style w:type="paragraph" w:customStyle="1" w:styleId="75">
    <w:name w:val="标准文件_方框数字列项"/>
    <w:basedOn w:val="64"/>
    <w:qFormat/>
    <w:uiPriority w:val="0"/>
    <w:pPr>
      <w:numPr>
        <w:ilvl w:val="0"/>
        <w:numId w:val="3"/>
      </w:numPr>
      <w:ind w:firstLine="0" w:firstLineChars="0"/>
    </w:pPr>
  </w:style>
  <w:style w:type="paragraph" w:customStyle="1" w:styleId="76">
    <w:name w:val="标准文件_封面标准编号"/>
    <w:basedOn w:val="1"/>
    <w:next w:val="67"/>
    <w:qFormat/>
    <w:uiPriority w:val="0"/>
    <w:pPr>
      <w:spacing w:line="310" w:lineRule="exact"/>
      <w:jc w:val="right"/>
    </w:pPr>
    <w:rPr>
      <w:rFonts w:ascii="黑体" w:eastAsia="黑体"/>
      <w:kern w:val="0"/>
      <w:sz w:val="28"/>
    </w:rPr>
  </w:style>
  <w:style w:type="paragraph" w:customStyle="1" w:styleId="77">
    <w:name w:val="标准文件_封面标准分类号"/>
    <w:basedOn w:val="1"/>
    <w:qFormat/>
    <w:uiPriority w:val="0"/>
    <w:rPr>
      <w:rFonts w:ascii="黑体" w:eastAsia="黑体"/>
      <w:b/>
      <w:kern w:val="0"/>
      <w:sz w:val="28"/>
    </w:rPr>
  </w:style>
  <w:style w:type="paragraph" w:customStyle="1" w:styleId="78">
    <w:name w:val="标准文件_封面标准名称"/>
    <w:basedOn w:val="1"/>
    <w:qFormat/>
    <w:uiPriority w:val="0"/>
    <w:pPr>
      <w:spacing w:line="240" w:lineRule="auto"/>
      <w:jc w:val="center"/>
    </w:pPr>
    <w:rPr>
      <w:rFonts w:ascii="黑体" w:eastAsia="黑体"/>
      <w:kern w:val="0"/>
      <w:sz w:val="52"/>
    </w:rPr>
  </w:style>
  <w:style w:type="paragraph" w:customStyle="1" w:styleId="79">
    <w:name w:val="标准文件_封面标准英文名称"/>
    <w:basedOn w:val="1"/>
    <w:qFormat/>
    <w:uiPriority w:val="0"/>
    <w:pPr>
      <w:spacing w:line="240" w:lineRule="auto"/>
      <w:jc w:val="center"/>
    </w:pPr>
    <w:rPr>
      <w:rFonts w:ascii="黑体" w:eastAsia="黑体"/>
      <w:b/>
      <w:sz w:val="28"/>
    </w:rPr>
  </w:style>
  <w:style w:type="paragraph" w:customStyle="1" w:styleId="80">
    <w:name w:val="标准文件_封面发布日期"/>
    <w:basedOn w:val="1"/>
    <w:qFormat/>
    <w:uiPriority w:val="0"/>
    <w:pPr>
      <w:spacing w:line="310" w:lineRule="exact"/>
    </w:pPr>
    <w:rPr>
      <w:rFonts w:ascii="黑体" w:eastAsia="黑体"/>
      <w:kern w:val="0"/>
      <w:sz w:val="28"/>
    </w:rPr>
  </w:style>
  <w:style w:type="paragraph" w:customStyle="1" w:styleId="81">
    <w:name w:val="标准文件_封面密级"/>
    <w:basedOn w:val="1"/>
    <w:qFormat/>
    <w:uiPriority w:val="0"/>
    <w:rPr>
      <w:rFonts w:eastAsia="黑体"/>
      <w:sz w:val="32"/>
    </w:rPr>
  </w:style>
  <w:style w:type="paragraph" w:customStyle="1" w:styleId="82">
    <w:name w:val="标准文件_封面实施日期"/>
    <w:basedOn w:val="1"/>
    <w:qFormat/>
    <w:uiPriority w:val="0"/>
    <w:pPr>
      <w:spacing w:line="310" w:lineRule="exact"/>
      <w:jc w:val="right"/>
    </w:pPr>
    <w:rPr>
      <w:rFonts w:ascii="黑体" w:eastAsia="黑体"/>
      <w:sz w:val="28"/>
    </w:rPr>
  </w:style>
  <w:style w:type="paragraph" w:customStyle="1" w:styleId="83">
    <w:name w:val="标准文件_封面抬头"/>
    <w:basedOn w:val="64"/>
    <w:qFormat/>
    <w:uiPriority w:val="0"/>
    <w:pPr>
      <w:adjustRightInd w:val="0"/>
      <w:spacing w:line="800" w:lineRule="exact"/>
      <w:ind w:firstLine="0" w:firstLineChars="0"/>
      <w:jc w:val="distribute"/>
    </w:pPr>
    <w:rPr>
      <w:rFonts w:ascii="黑体" w:eastAsia="黑体"/>
      <w:b/>
      <w:sz w:val="64"/>
    </w:rPr>
  </w:style>
  <w:style w:type="paragraph" w:customStyle="1" w:styleId="84">
    <w:name w:val="标准文件_附录标识"/>
    <w:next w:val="64"/>
    <w:qFormat/>
    <w:uiPriority w:val="0"/>
    <w:p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5">
    <w:name w:val="标准文件_附录表标题"/>
    <w:next w:val="64"/>
    <w:qFormat/>
    <w:uiPriority w:val="0"/>
    <w:pPr>
      <w:numPr>
        <w:ilvl w:val="1"/>
        <w:numId w:val="4"/>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6">
    <w:name w:val="标准文件_附录一级条标题"/>
    <w:next w:val="64"/>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7">
    <w:name w:val="标准文件_附录二级条标题"/>
    <w:basedOn w:val="86"/>
    <w:next w:val="64"/>
    <w:qFormat/>
    <w:uiPriority w:val="0"/>
    <w:pPr>
      <w:widowControl/>
      <w:numPr>
        <w:ilvl w:val="0"/>
        <w:numId w:val="0"/>
      </w:numPr>
      <w:wordWrap w:val="0"/>
      <w:overflowPunct w:val="0"/>
      <w:autoSpaceDE w:val="0"/>
      <w:autoSpaceDN w:val="0"/>
      <w:textAlignment w:val="baseline"/>
      <w:outlineLvl w:val="3"/>
    </w:pPr>
  </w:style>
  <w:style w:type="paragraph" w:customStyle="1" w:styleId="88">
    <w:name w:val="标准文件_附录公式"/>
    <w:basedOn w:val="63"/>
    <w:next w:val="63"/>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9">
    <w:name w:val="标准文件_附录三级条标题"/>
    <w:next w:val="64"/>
    <w:qFormat/>
    <w:uiPriority w:val="0"/>
    <w:pPr>
      <w:widowControl w:val="0"/>
      <w:numPr>
        <w:ilvl w:val="3"/>
        <w:numId w:val="5"/>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0">
    <w:name w:val="标准文件_附录四级条标题"/>
    <w:next w:val="64"/>
    <w:qFormat/>
    <w:uiPriority w:val="0"/>
    <w:pPr>
      <w:widowControl w:val="0"/>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1">
    <w:name w:val="标准文件_附录图标题"/>
    <w:next w:val="64"/>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2">
    <w:name w:val="标准文件_附录五级条标题"/>
    <w:next w:val="64"/>
    <w:qFormat/>
    <w:uiPriority w:val="0"/>
    <w:pPr>
      <w:widowControl w:val="0"/>
      <w:numPr>
        <w:ilvl w:val="5"/>
        <w:numId w:val="5"/>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3">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4">
    <w:name w:val="正文文本 字符"/>
    <w:link w:val="15"/>
    <w:qFormat/>
    <w:uiPriority w:val="0"/>
    <w:rPr>
      <w:kern w:val="2"/>
      <w:sz w:val="21"/>
      <w:szCs w:val="21"/>
    </w:rPr>
  </w:style>
  <w:style w:type="paragraph" w:customStyle="1" w:styleId="95">
    <w:name w:val="标准文件_附录章标题"/>
    <w:next w:val="64"/>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6">
    <w:name w:val="标准文件_公式后的破折号"/>
    <w:basedOn w:val="64"/>
    <w:next w:val="64"/>
    <w:qFormat/>
    <w:uiPriority w:val="0"/>
    <w:pPr>
      <w:ind w:left="488" w:leftChars="200" w:hanging="289" w:hangingChars="290"/>
    </w:pPr>
  </w:style>
  <w:style w:type="paragraph" w:customStyle="1" w:styleId="97">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8">
    <w:name w:val="标准文件_目次、标准名称标题"/>
    <w:basedOn w:val="97"/>
    <w:next w:val="64"/>
    <w:qFormat/>
    <w:uiPriority w:val="0"/>
    <w:pPr>
      <w:spacing w:line="460" w:lineRule="exact"/>
      <w:ind w:left="0" w:firstLine="0"/>
    </w:pPr>
  </w:style>
  <w:style w:type="paragraph" w:customStyle="1" w:styleId="99">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100">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101">
    <w:name w:val="标准文件_破折号列项（二级）"/>
    <w:basedOn w:val="100"/>
    <w:qFormat/>
    <w:uiPriority w:val="0"/>
    <w:pPr>
      <w:numPr>
        <w:numId w:val="10"/>
      </w:numPr>
    </w:pPr>
  </w:style>
  <w:style w:type="paragraph" w:customStyle="1" w:styleId="102">
    <w:name w:val="标准文件_三级条标题"/>
    <w:basedOn w:val="73"/>
    <w:next w:val="64"/>
    <w:qFormat/>
    <w:uiPriority w:val="0"/>
    <w:pPr>
      <w:widowControl/>
      <w:numPr>
        <w:ilvl w:val="4"/>
      </w:numPr>
      <w:ind w:left="284"/>
      <w:outlineLvl w:val="3"/>
    </w:pPr>
  </w:style>
  <w:style w:type="character" w:customStyle="1" w:styleId="103">
    <w:name w:val="不明显参考1"/>
    <w:qFormat/>
    <w:uiPriority w:val="31"/>
    <w:rPr>
      <w:smallCaps/>
      <w:color w:val="C0504D"/>
      <w:u w:val="single"/>
    </w:rPr>
  </w:style>
  <w:style w:type="paragraph" w:customStyle="1" w:styleId="104">
    <w:name w:val="标准文件_示例后续"/>
    <w:basedOn w:val="1"/>
    <w:qFormat/>
    <w:uiPriority w:val="0"/>
    <w:pPr>
      <w:adjustRightInd/>
      <w:spacing w:line="240" w:lineRule="auto"/>
      <w:ind w:firstLine="200" w:firstLineChars="200"/>
    </w:pPr>
    <w:rPr>
      <w:sz w:val="18"/>
      <w:szCs w:val="24"/>
    </w:rPr>
  </w:style>
  <w:style w:type="paragraph" w:customStyle="1" w:styleId="105">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6">
    <w:name w:val="标准文件_四级条标题"/>
    <w:next w:val="64"/>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7">
    <w:name w:val="脚注文本 字符"/>
    <w:link w:val="25"/>
    <w:semiHidden/>
    <w:qFormat/>
    <w:uiPriority w:val="0"/>
    <w:rPr>
      <w:rFonts w:ascii="宋体"/>
      <w:kern w:val="2"/>
      <w:sz w:val="18"/>
      <w:szCs w:val="18"/>
    </w:rPr>
  </w:style>
  <w:style w:type="paragraph" w:customStyle="1" w:styleId="108">
    <w:name w:val="标准文件_条文脚注"/>
    <w:basedOn w:val="25"/>
    <w:qFormat/>
    <w:uiPriority w:val="0"/>
    <w:pPr>
      <w:adjustRightInd w:val="0"/>
      <w:spacing w:line="240" w:lineRule="auto"/>
      <w:ind w:left="0" w:leftChars="0" w:firstLine="200" w:firstLineChars="200"/>
      <w:jc w:val="both"/>
    </w:pPr>
    <w:rPr>
      <w:rFonts w:hAnsi="宋体"/>
    </w:rPr>
  </w:style>
  <w:style w:type="paragraph" w:customStyle="1" w:styleId="109">
    <w:name w:val="标准文件_图表脚注"/>
    <w:basedOn w:val="1"/>
    <w:next w:val="64"/>
    <w:qFormat/>
    <w:uiPriority w:val="0"/>
    <w:pPr>
      <w:numPr>
        <w:ilvl w:val="0"/>
        <w:numId w:val="12"/>
      </w:numPr>
      <w:spacing w:line="240" w:lineRule="auto"/>
      <w:jc w:val="left"/>
    </w:pPr>
    <w:rPr>
      <w:rFonts w:ascii="宋体" w:hAnsi="宋体"/>
      <w:sz w:val="18"/>
    </w:rPr>
  </w:style>
  <w:style w:type="character" w:customStyle="1" w:styleId="110">
    <w:name w:val="标准文件_图表脚注内容"/>
    <w:qFormat/>
    <w:uiPriority w:val="0"/>
    <w:rPr>
      <w:rFonts w:ascii="宋体" w:hAnsi="宋体" w:eastAsia="宋体" w:cs="Times New Roman"/>
      <w:spacing w:val="0"/>
      <w:sz w:val="18"/>
      <w:vertAlign w:val="superscript"/>
    </w:rPr>
  </w:style>
  <w:style w:type="paragraph" w:customStyle="1" w:styleId="111">
    <w:name w:val="标准文件_五级条标题"/>
    <w:next w:val="64"/>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2">
    <w:name w:val="标准文件_章标题"/>
    <w:next w:val="64"/>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3">
    <w:name w:val="标准文件_一级条标题"/>
    <w:basedOn w:val="112"/>
    <w:next w:val="64"/>
    <w:qFormat/>
    <w:uiPriority w:val="0"/>
    <w:pPr>
      <w:numPr>
        <w:ilvl w:val="2"/>
      </w:numPr>
      <w:spacing w:before="50" w:beforeLines="50" w:after="50" w:afterLines="50"/>
      <w:outlineLvl w:val="1"/>
    </w:pPr>
  </w:style>
  <w:style w:type="paragraph" w:customStyle="1" w:styleId="114">
    <w:name w:val="标准文件_一致程度"/>
    <w:basedOn w:val="1"/>
    <w:qFormat/>
    <w:uiPriority w:val="0"/>
    <w:pPr>
      <w:spacing w:line="440" w:lineRule="exact"/>
      <w:jc w:val="center"/>
    </w:pPr>
    <w:rPr>
      <w:sz w:val="28"/>
    </w:rPr>
  </w:style>
  <w:style w:type="paragraph" w:customStyle="1" w:styleId="115">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6">
    <w:name w:val="标准文件_英文图表脚注"/>
    <w:basedOn w:val="63"/>
    <w:qFormat/>
    <w:uiPriority w:val="0"/>
    <w:pPr>
      <w:widowControl/>
      <w:adjustRightInd/>
      <w:snapToGrid/>
      <w:spacing w:line="240" w:lineRule="auto"/>
      <w:ind w:left="79" w:hanging="79" w:hangingChars="80"/>
    </w:pPr>
    <w:rPr>
      <w:rFonts w:ascii="宋体" w:hAnsi="宋体"/>
    </w:rPr>
  </w:style>
  <w:style w:type="paragraph" w:customStyle="1" w:styleId="117">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8">
    <w:name w:val="标准文件_英文注："/>
    <w:basedOn w:val="1"/>
    <w:next w:val="64"/>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9">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20">
    <w:name w:val="标准文件_正文表标题"/>
    <w:next w:val="64"/>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公式"/>
    <w:basedOn w:val="1"/>
    <w:next w:val="63"/>
    <w:qFormat/>
    <w:uiPriority w:val="0"/>
    <w:pPr>
      <w:tabs>
        <w:tab w:val="center" w:pos="4678"/>
        <w:tab w:val="right" w:leader="middleDot" w:pos="9356"/>
      </w:tabs>
      <w:spacing w:line="240" w:lineRule="auto"/>
    </w:pPr>
    <w:rPr>
      <w:rFonts w:ascii="宋体" w:hAnsi="宋体"/>
    </w:rPr>
  </w:style>
  <w:style w:type="paragraph" w:customStyle="1" w:styleId="122">
    <w:name w:val="标准文件_正文图标题"/>
    <w:next w:val="64"/>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3">
    <w:name w:val="标准文件_正文英文表标题"/>
    <w:next w:val="64"/>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4">
    <w:name w:val="标准文件_正文英文图标题"/>
    <w:next w:val="64"/>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5">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6">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7">
    <w:name w:val="发布部门"/>
    <w:next w:val="64"/>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8">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9">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30">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3">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4">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5">
    <w:name w:val="封面正文"/>
    <w:qFormat/>
    <w:uiPriority w:val="0"/>
    <w:pPr>
      <w:jc w:val="both"/>
    </w:pPr>
    <w:rPr>
      <w:rFonts w:ascii="Times New Roman" w:hAnsi="Times New Roman" w:eastAsia="宋体" w:cs="Times New Roman"/>
      <w:lang w:val="en-US" w:eastAsia="zh-CN" w:bidi="ar-SA"/>
    </w:rPr>
  </w:style>
  <w:style w:type="paragraph" w:customStyle="1" w:styleId="136">
    <w:name w:val="附录二级无标题条"/>
    <w:basedOn w:val="1"/>
    <w:next w:val="64"/>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7">
    <w:name w:val="附录三级无标题条"/>
    <w:basedOn w:val="136"/>
    <w:next w:val="64"/>
    <w:qFormat/>
    <w:uiPriority w:val="0"/>
    <w:pPr>
      <w:outlineLvl w:val="4"/>
    </w:pPr>
  </w:style>
  <w:style w:type="paragraph" w:customStyle="1" w:styleId="138">
    <w:name w:val="附录四级无标题条"/>
    <w:basedOn w:val="137"/>
    <w:next w:val="64"/>
    <w:qFormat/>
    <w:uiPriority w:val="0"/>
    <w:pPr>
      <w:outlineLvl w:val="5"/>
    </w:pPr>
  </w:style>
  <w:style w:type="paragraph" w:customStyle="1" w:styleId="139">
    <w:name w:val="附录图"/>
    <w:next w:val="64"/>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40">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41">
    <w:name w:val="附录五级无标题条"/>
    <w:basedOn w:val="138"/>
    <w:next w:val="64"/>
    <w:qFormat/>
    <w:uiPriority w:val="0"/>
    <w:pPr>
      <w:outlineLvl w:val="6"/>
    </w:pPr>
  </w:style>
  <w:style w:type="paragraph" w:customStyle="1" w:styleId="142">
    <w:name w:val="附录性质"/>
    <w:basedOn w:val="1"/>
    <w:qFormat/>
    <w:uiPriority w:val="0"/>
    <w:pPr>
      <w:widowControl/>
      <w:adjustRightInd/>
      <w:jc w:val="center"/>
    </w:pPr>
    <w:rPr>
      <w:rFonts w:ascii="黑体" w:eastAsia="黑体"/>
    </w:rPr>
  </w:style>
  <w:style w:type="paragraph" w:customStyle="1" w:styleId="143">
    <w:name w:val="附录一级无标题条"/>
    <w:basedOn w:val="95"/>
    <w:next w:val="64"/>
    <w:qFormat/>
    <w:uiPriority w:val="0"/>
    <w:pPr>
      <w:autoSpaceDN w:val="0"/>
      <w:outlineLvl w:val="2"/>
    </w:pPr>
    <w:rPr>
      <w:rFonts w:ascii="宋体" w:hAnsi="宋体" w:eastAsia="宋体"/>
    </w:rPr>
  </w:style>
  <w:style w:type="character" w:customStyle="1" w:styleId="144">
    <w:name w:val="个人答复风格"/>
    <w:qFormat/>
    <w:uiPriority w:val="0"/>
    <w:rPr>
      <w:rFonts w:ascii="Arial" w:hAnsi="Arial" w:eastAsia="宋体" w:cs="Arial"/>
      <w:color w:val="auto"/>
      <w:spacing w:val="0"/>
      <w:sz w:val="20"/>
    </w:rPr>
  </w:style>
  <w:style w:type="character" w:customStyle="1" w:styleId="145">
    <w:name w:val="个人撰写风格"/>
    <w:qFormat/>
    <w:uiPriority w:val="0"/>
    <w:rPr>
      <w:rFonts w:ascii="Arial" w:hAnsi="Arial" w:eastAsia="宋体" w:cs="Arial"/>
      <w:color w:val="auto"/>
      <w:spacing w:val="0"/>
      <w:sz w:val="20"/>
    </w:rPr>
  </w:style>
  <w:style w:type="paragraph" w:customStyle="1" w:styleId="146">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7">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8">
    <w:name w:val="列项·"/>
    <w:basedOn w:val="64"/>
    <w:qFormat/>
    <w:uiPriority w:val="0"/>
    <w:pPr>
      <w:tabs>
        <w:tab w:val="left" w:pos="840"/>
      </w:tabs>
    </w:pPr>
  </w:style>
  <w:style w:type="paragraph" w:customStyle="1" w:styleId="14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50">
    <w:name w:val="目录 21"/>
    <w:basedOn w:val="1"/>
    <w:next w:val="1"/>
    <w:semiHidden/>
    <w:qFormat/>
    <w:uiPriority w:val="0"/>
    <w:pPr>
      <w:adjustRightInd/>
      <w:spacing w:line="240" w:lineRule="auto"/>
      <w:jc w:val="left"/>
    </w:pPr>
    <w:rPr>
      <w:bCs/>
      <w:iCs/>
    </w:rPr>
  </w:style>
  <w:style w:type="paragraph" w:customStyle="1" w:styleId="151">
    <w:name w:val="目录 31"/>
    <w:basedOn w:val="1"/>
    <w:next w:val="1"/>
    <w:semiHidden/>
    <w:qFormat/>
    <w:uiPriority w:val="0"/>
    <w:pPr>
      <w:spacing w:line="240" w:lineRule="auto"/>
    </w:pPr>
    <w:rPr>
      <w:rFonts w:ascii="宋体" w:hAnsi="宋体"/>
      <w:iCs/>
    </w:rPr>
  </w:style>
  <w:style w:type="paragraph" w:customStyle="1" w:styleId="152">
    <w:name w:val="目录 41"/>
    <w:basedOn w:val="1"/>
    <w:next w:val="1"/>
    <w:semiHidden/>
    <w:qFormat/>
    <w:uiPriority w:val="0"/>
    <w:pPr>
      <w:adjustRightInd/>
      <w:spacing w:line="240" w:lineRule="auto"/>
      <w:jc w:val="left"/>
    </w:pPr>
  </w:style>
  <w:style w:type="paragraph" w:customStyle="1" w:styleId="153">
    <w:name w:val="目录 51"/>
    <w:basedOn w:val="1"/>
    <w:next w:val="1"/>
    <w:semiHidden/>
    <w:qFormat/>
    <w:uiPriority w:val="0"/>
    <w:pPr>
      <w:spacing w:line="240" w:lineRule="auto"/>
    </w:pPr>
    <w:rPr>
      <w:rFonts w:ascii="宋体" w:hAnsi="宋体"/>
    </w:rPr>
  </w:style>
  <w:style w:type="paragraph" w:customStyle="1" w:styleId="154">
    <w:name w:val="目录 61"/>
    <w:basedOn w:val="1"/>
    <w:next w:val="1"/>
    <w:semiHidden/>
    <w:qFormat/>
    <w:uiPriority w:val="0"/>
    <w:pPr>
      <w:adjustRightInd/>
      <w:spacing w:line="240" w:lineRule="auto"/>
      <w:jc w:val="left"/>
    </w:pPr>
  </w:style>
  <w:style w:type="paragraph" w:customStyle="1" w:styleId="155">
    <w:name w:val="目录 71"/>
    <w:basedOn w:val="154"/>
    <w:semiHidden/>
    <w:qFormat/>
    <w:uiPriority w:val="0"/>
    <w:pPr>
      <w:ind w:left="1260"/>
    </w:pPr>
  </w:style>
  <w:style w:type="paragraph" w:customStyle="1" w:styleId="156">
    <w:name w:val="目录 81"/>
    <w:basedOn w:val="155"/>
    <w:semiHidden/>
    <w:qFormat/>
    <w:uiPriority w:val="0"/>
    <w:pPr>
      <w:ind w:left="1470"/>
    </w:pPr>
  </w:style>
  <w:style w:type="paragraph" w:customStyle="1" w:styleId="157">
    <w:name w:val="目录 91"/>
    <w:basedOn w:val="156"/>
    <w:semiHidden/>
    <w:qFormat/>
    <w:uiPriority w:val="0"/>
    <w:pPr>
      <w:ind w:left="1680"/>
    </w:pPr>
  </w:style>
  <w:style w:type="paragraph" w:customStyle="1" w:styleId="158">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9">
    <w:name w:val="其他发布部门"/>
    <w:basedOn w:val="127"/>
    <w:qFormat/>
    <w:uiPriority w:val="0"/>
    <w:pPr>
      <w:framePr/>
      <w:spacing w:line="0" w:lineRule="atLeast"/>
    </w:pPr>
    <w:rPr>
      <w:rFonts w:ascii="黑体" w:eastAsia="黑体"/>
      <w:b w:val="0"/>
    </w:rPr>
  </w:style>
  <w:style w:type="paragraph" w:customStyle="1" w:styleId="160">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61">
    <w:name w:val="三级无标题条"/>
    <w:basedOn w:val="1"/>
    <w:qFormat/>
    <w:uiPriority w:val="0"/>
    <w:pPr>
      <w:adjustRightInd/>
      <w:spacing w:line="240" w:lineRule="auto"/>
    </w:pPr>
    <w:rPr>
      <w:rFonts w:ascii="宋体" w:hAnsi="宋体"/>
      <w:szCs w:val="24"/>
    </w:rPr>
  </w:style>
  <w:style w:type="paragraph" w:customStyle="1" w:styleId="162">
    <w:name w:val="实施日期"/>
    <w:basedOn w:val="128"/>
    <w:qFormat/>
    <w:uiPriority w:val="0"/>
    <w:pPr>
      <w:framePr w:hSpace="0" w:xAlign="right"/>
      <w:jc w:val="right"/>
    </w:pPr>
  </w:style>
  <w:style w:type="paragraph" w:customStyle="1" w:styleId="163">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4">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5">
    <w:name w:val="无标题条"/>
    <w:next w:val="64"/>
    <w:qFormat/>
    <w:uiPriority w:val="0"/>
    <w:pPr>
      <w:jc w:val="both"/>
    </w:pPr>
    <w:rPr>
      <w:rFonts w:ascii="宋体" w:hAnsi="宋体" w:eastAsia="宋体" w:cs="Times New Roman"/>
      <w:sz w:val="21"/>
      <w:lang w:val="en-US" w:eastAsia="zh-CN" w:bidi="ar-SA"/>
    </w:rPr>
  </w:style>
  <w:style w:type="paragraph" w:customStyle="1" w:styleId="166">
    <w:name w:val="五级无标题条"/>
    <w:basedOn w:val="1"/>
    <w:qFormat/>
    <w:uiPriority w:val="0"/>
    <w:pPr>
      <w:adjustRightInd/>
    </w:pPr>
    <w:rPr>
      <w:szCs w:val="24"/>
    </w:rPr>
  </w:style>
  <w:style w:type="paragraph" w:customStyle="1" w:styleId="167">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8">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9">
    <w:name w:val="注×:后续"/>
    <w:basedOn w:val="168"/>
    <w:qFormat/>
    <w:uiPriority w:val="0"/>
    <w:pPr>
      <w:ind w:left="1406" w:leftChars="0" w:hanging="499" w:firstLineChars="0"/>
    </w:pPr>
  </w:style>
  <w:style w:type="paragraph" w:customStyle="1" w:styleId="170">
    <w:name w:val="标准文件_一级无标题"/>
    <w:basedOn w:val="113"/>
    <w:qFormat/>
    <w:uiPriority w:val="0"/>
    <w:pPr>
      <w:spacing w:before="0" w:beforeLines="0" w:after="0" w:afterLines="0"/>
      <w:outlineLvl w:val="9"/>
    </w:pPr>
    <w:rPr>
      <w:rFonts w:ascii="宋体" w:eastAsia="宋体"/>
    </w:rPr>
  </w:style>
  <w:style w:type="paragraph" w:customStyle="1" w:styleId="171">
    <w:name w:val="标准文件_五级无标题"/>
    <w:basedOn w:val="111"/>
    <w:qFormat/>
    <w:uiPriority w:val="0"/>
    <w:pPr>
      <w:spacing w:before="0" w:beforeLines="0" w:after="0" w:afterLines="0"/>
      <w:outlineLvl w:val="9"/>
    </w:pPr>
    <w:rPr>
      <w:rFonts w:ascii="宋体" w:eastAsia="宋体"/>
    </w:rPr>
  </w:style>
  <w:style w:type="paragraph" w:customStyle="1" w:styleId="172">
    <w:name w:val="标准文件_三级无标题"/>
    <w:basedOn w:val="102"/>
    <w:qFormat/>
    <w:uiPriority w:val="0"/>
    <w:pPr>
      <w:spacing w:before="0" w:beforeLines="0" w:after="0" w:afterLines="0"/>
      <w:outlineLvl w:val="9"/>
    </w:pPr>
    <w:rPr>
      <w:rFonts w:ascii="宋体" w:eastAsia="宋体"/>
    </w:rPr>
  </w:style>
  <w:style w:type="paragraph" w:customStyle="1" w:styleId="173">
    <w:name w:val="标准文件_二级无标题"/>
    <w:basedOn w:val="73"/>
    <w:qFormat/>
    <w:uiPriority w:val="0"/>
    <w:pPr>
      <w:spacing w:before="0" w:beforeLines="0" w:after="0" w:afterLines="0"/>
      <w:outlineLvl w:val="9"/>
    </w:pPr>
    <w:rPr>
      <w:rFonts w:ascii="宋体" w:eastAsia="宋体"/>
    </w:rPr>
  </w:style>
  <w:style w:type="paragraph" w:customStyle="1" w:styleId="174">
    <w:name w:val="标准_四级无标题"/>
    <w:basedOn w:val="106"/>
    <w:next w:val="64"/>
    <w:qFormat/>
    <w:uiPriority w:val="0"/>
    <w:rPr>
      <w:rFonts w:eastAsia="宋体"/>
    </w:rPr>
  </w:style>
  <w:style w:type="paragraph" w:customStyle="1" w:styleId="175">
    <w:name w:val="标准文件_四级无标题"/>
    <w:basedOn w:val="106"/>
    <w:qFormat/>
    <w:uiPriority w:val="0"/>
    <w:pPr>
      <w:spacing w:before="0" w:beforeLines="0" w:after="0" w:afterLines="0"/>
      <w:outlineLvl w:val="9"/>
    </w:pPr>
    <w:rPr>
      <w:rFonts w:ascii="宋体" w:hAnsi="黑体" w:eastAsia="宋体"/>
      <w:szCs w:val="52"/>
    </w:rPr>
  </w:style>
  <w:style w:type="paragraph" w:customStyle="1" w:styleId="176">
    <w:name w:val="标准文件_大写罗马数字编号列项"/>
    <w:basedOn w:val="64"/>
    <w:qFormat/>
    <w:uiPriority w:val="0"/>
    <w:pPr>
      <w:numPr>
        <w:ilvl w:val="0"/>
        <w:numId w:val="23"/>
      </w:numPr>
      <w:ind w:firstLine="0" w:firstLineChars="0"/>
    </w:pPr>
    <w:rPr>
      <w:rFonts w:ascii="Times New Roman" w:cs="Arial"/>
      <w:szCs w:val="28"/>
    </w:rPr>
  </w:style>
  <w:style w:type="paragraph" w:customStyle="1" w:styleId="177">
    <w:name w:val="标准文件_小写罗马数字编号列项"/>
    <w:basedOn w:val="64"/>
    <w:qFormat/>
    <w:uiPriority w:val="0"/>
    <w:pPr>
      <w:numPr>
        <w:ilvl w:val="0"/>
        <w:numId w:val="24"/>
      </w:numPr>
      <w:ind w:firstLine="0" w:firstLineChars="0"/>
    </w:pPr>
    <w:rPr>
      <w:rFonts w:cs="Arial"/>
      <w:szCs w:val="28"/>
    </w:rPr>
  </w:style>
  <w:style w:type="paragraph" w:customStyle="1" w:styleId="178">
    <w:name w:val="标准文件_附录标题"/>
    <w:basedOn w:val="84"/>
    <w:qFormat/>
    <w:uiPriority w:val="0"/>
    <w:pPr>
      <w:spacing w:after="280"/>
      <w:outlineLvl w:val="9"/>
    </w:pPr>
  </w:style>
  <w:style w:type="paragraph" w:customStyle="1" w:styleId="179">
    <w:name w:val="标准文件_二级项"/>
    <w:qFormat/>
    <w:uiPriority w:val="0"/>
    <w:rPr>
      <w:rFonts w:ascii="宋体" w:hAnsi="Times New Roman" w:eastAsia="宋体" w:cs="Times New Roman"/>
      <w:sz w:val="21"/>
      <w:lang w:val="en-US" w:eastAsia="zh-CN" w:bidi="ar-SA"/>
    </w:rPr>
  </w:style>
  <w:style w:type="paragraph" w:customStyle="1" w:styleId="180">
    <w:name w:val="标准文件_三级项"/>
    <w:basedOn w:val="1"/>
    <w:qFormat/>
    <w:uiPriority w:val="0"/>
    <w:pPr>
      <w:numPr>
        <w:ilvl w:val="2"/>
        <w:numId w:val="21"/>
      </w:numPr>
      <w:spacing w:line="536870612" w:lineRule="auto"/>
    </w:pPr>
    <w:rPr>
      <w:rFonts w:ascii="Times New Roman" w:hAnsi="Times New Roman"/>
    </w:rPr>
  </w:style>
  <w:style w:type="paragraph" w:customStyle="1" w:styleId="181">
    <w:name w:val="图表脚注说明"/>
    <w:basedOn w:val="1"/>
    <w:next w:val="64"/>
    <w:qFormat/>
    <w:uiPriority w:val="0"/>
    <w:pPr>
      <w:numPr>
        <w:ilvl w:val="0"/>
        <w:numId w:val="25"/>
      </w:numPr>
      <w:adjustRightInd/>
      <w:spacing w:line="240" w:lineRule="auto"/>
    </w:pPr>
    <w:rPr>
      <w:rFonts w:ascii="宋体" w:hAnsi="Times New Roman"/>
      <w:sz w:val="18"/>
      <w:szCs w:val="18"/>
    </w:rPr>
  </w:style>
  <w:style w:type="paragraph" w:customStyle="1" w:styleId="182">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3">
    <w:name w:val="标准文件_索引字母"/>
    <w:next w:val="64"/>
    <w:qFormat/>
    <w:uiPriority w:val="0"/>
    <w:pPr>
      <w:jc w:val="center"/>
    </w:pPr>
    <w:rPr>
      <w:rFonts w:ascii="宋体" w:hAnsi="宋体" w:eastAsia="Times New Roman" w:cs="Times New Roman"/>
      <w:b/>
      <w:kern w:val="2"/>
      <w:sz w:val="21"/>
      <w:lang w:val="en-US" w:eastAsia="zh-CN" w:bidi="ar-SA"/>
    </w:rPr>
  </w:style>
  <w:style w:type="paragraph" w:customStyle="1" w:styleId="184">
    <w:name w:val="标准文件_附录前"/>
    <w:next w:val="64"/>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5">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6">
    <w:name w:val="标准文件_表格"/>
    <w:basedOn w:val="64"/>
    <w:qFormat/>
    <w:uiPriority w:val="0"/>
    <w:pPr>
      <w:ind w:firstLine="0" w:firstLineChars="0"/>
      <w:jc w:val="center"/>
    </w:pPr>
    <w:rPr>
      <w:sz w:val="18"/>
    </w:rPr>
  </w:style>
  <w:style w:type="paragraph" w:customStyle="1" w:styleId="187">
    <w:name w:val="标准文件_注："/>
    <w:next w:val="64"/>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8">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9">
    <w:name w:val="标准文件_示例："/>
    <w:next w:val="190"/>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90">
    <w:name w:val="标准文件_示例内容"/>
    <w:basedOn w:val="64"/>
    <w:qFormat/>
    <w:uiPriority w:val="0"/>
    <w:pPr>
      <w:ind w:firstLine="420"/>
    </w:pPr>
    <w:rPr>
      <w:sz w:val="18"/>
    </w:rPr>
  </w:style>
  <w:style w:type="paragraph" w:customStyle="1" w:styleId="191">
    <w:name w:val="标准文件_示例×："/>
    <w:basedOn w:val="1"/>
    <w:next w:val="190"/>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2">
    <w:name w:val="标准文件_段 Char"/>
    <w:link w:val="64"/>
    <w:qFormat/>
    <w:uiPriority w:val="0"/>
    <w:rPr>
      <w:rFonts w:ascii="宋体" w:hAnsi="Times New Roman"/>
      <w:sz w:val="21"/>
    </w:rPr>
  </w:style>
  <w:style w:type="paragraph" w:customStyle="1" w:styleId="193">
    <w:name w:val="标准文件_表格续"/>
    <w:basedOn w:val="64"/>
    <w:next w:val="64"/>
    <w:qFormat/>
    <w:uiPriority w:val="0"/>
    <w:pPr>
      <w:jc w:val="center"/>
    </w:pPr>
    <w:rPr>
      <w:rFonts w:ascii="黑体" w:hAnsi="黑体" w:eastAsia="黑体"/>
    </w:rPr>
  </w:style>
  <w:style w:type="character" w:styleId="194">
    <w:name w:val="Placeholder Text"/>
    <w:basedOn w:val="35"/>
    <w:qFormat/>
    <w:uiPriority w:val="99"/>
    <w:rPr>
      <w:color w:val="808080"/>
    </w:rPr>
  </w:style>
  <w:style w:type="paragraph" w:customStyle="1" w:styleId="195">
    <w:name w:val="标准文件_二级项2"/>
    <w:basedOn w:val="64"/>
    <w:qFormat/>
    <w:uiPriority w:val="0"/>
    <w:pPr>
      <w:numPr>
        <w:ilvl w:val="1"/>
        <w:numId w:val="21"/>
      </w:numPr>
      <w:ind w:firstLine="0" w:firstLineChars="0"/>
    </w:pPr>
  </w:style>
  <w:style w:type="paragraph" w:customStyle="1" w:styleId="196">
    <w:name w:val="标准文件_三级项2"/>
    <w:basedOn w:val="64"/>
    <w:qFormat/>
    <w:uiPriority w:val="0"/>
    <w:pPr>
      <w:numPr>
        <w:ilvl w:val="0"/>
        <w:numId w:val="30"/>
      </w:numPr>
      <w:spacing w:line="300" w:lineRule="exact"/>
      <w:ind w:firstLineChars="0"/>
    </w:pPr>
    <w:rPr>
      <w:rFonts w:ascii="Times New Roman"/>
    </w:rPr>
  </w:style>
  <w:style w:type="paragraph" w:customStyle="1" w:styleId="197">
    <w:name w:val="标准文件_一级项2"/>
    <w:basedOn w:val="64"/>
    <w:qFormat/>
    <w:uiPriority w:val="0"/>
    <w:pPr>
      <w:numPr>
        <w:ilvl w:val="0"/>
        <w:numId w:val="31"/>
      </w:numPr>
      <w:spacing w:line="300" w:lineRule="exact"/>
      <w:ind w:firstLineChars="0"/>
    </w:pPr>
    <w:rPr>
      <w:rFonts w:ascii="Times New Roman"/>
    </w:rPr>
  </w:style>
  <w:style w:type="paragraph" w:customStyle="1" w:styleId="198">
    <w:name w:val="标准文件_提示"/>
    <w:basedOn w:val="64"/>
    <w:next w:val="64"/>
    <w:qFormat/>
    <w:uiPriority w:val="0"/>
    <w:pPr>
      <w:ind w:firstLine="420"/>
    </w:pPr>
    <w:rPr>
      <w:rFonts w:ascii="黑体" w:eastAsia="黑体"/>
    </w:rPr>
  </w:style>
  <w:style w:type="character" w:customStyle="1" w:styleId="199">
    <w:name w:val="标准文件_来源"/>
    <w:basedOn w:val="35"/>
    <w:qFormat/>
    <w:uiPriority w:val="1"/>
    <w:rPr>
      <w:rFonts w:eastAsia="宋体"/>
      <w:sz w:val="21"/>
    </w:rPr>
  </w:style>
  <w:style w:type="paragraph" w:customStyle="1" w:styleId="200">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201">
    <w:name w:val="其他发布日期"/>
    <w:basedOn w:val="128"/>
    <w:qFormat/>
    <w:uiPriority w:val="0"/>
    <w:pPr>
      <w:framePr w:w="3997" w:h="471" w:hRule="exact" w:hSpace="0" w:vSpace="181" w:vAnchor="page" w:hAnchor="page" w:x="1419" w:y="14097"/>
    </w:pPr>
  </w:style>
  <w:style w:type="paragraph" w:customStyle="1" w:styleId="202">
    <w:name w:val="其他实施日期"/>
    <w:basedOn w:val="162"/>
    <w:qFormat/>
    <w:uiPriority w:val="0"/>
    <w:pPr>
      <w:framePr w:w="3997" w:h="471" w:hRule="exact" w:vSpace="181" w:vAnchor="page" w:hAnchor="page" w:x="7089" w:y="14097"/>
    </w:pPr>
  </w:style>
  <w:style w:type="paragraph" w:customStyle="1" w:styleId="203">
    <w:name w:val="标准文件_文件编号"/>
    <w:basedOn w:val="64"/>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4">
    <w:name w:val="标准文件_替换文件编号"/>
    <w:basedOn w:val="203"/>
    <w:qFormat/>
    <w:uiPriority w:val="0"/>
    <w:pPr>
      <w:spacing w:before="57"/>
    </w:pPr>
    <w:rPr>
      <w:sz w:val="21"/>
    </w:rPr>
  </w:style>
  <w:style w:type="paragraph" w:customStyle="1" w:styleId="205">
    <w:name w:val="标准文件_文件名称"/>
    <w:basedOn w:val="64"/>
    <w:next w:val="64"/>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6">
    <w:name w:val="标准文件_附录图标号"/>
    <w:basedOn w:val="64"/>
    <w:next w:val="64"/>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7">
    <w:name w:val="标准文件_附录表标号"/>
    <w:basedOn w:val="64"/>
    <w:next w:val="64"/>
    <w:qFormat/>
    <w:uiPriority w:val="0"/>
    <w:pPr>
      <w:numPr>
        <w:ilvl w:val="0"/>
        <w:numId w:val="4"/>
      </w:numPr>
      <w:spacing w:line="14" w:lineRule="exact"/>
      <w:ind w:firstLine="0" w:firstLineChars="0"/>
      <w:jc w:val="center"/>
    </w:pPr>
    <w:rPr>
      <w:rFonts w:eastAsia="黑体"/>
      <w:vanish/>
      <w:sz w:val="2"/>
    </w:rPr>
  </w:style>
  <w:style w:type="paragraph" w:customStyle="1" w:styleId="208">
    <w:name w:val="标准文件_引言一级条标题"/>
    <w:basedOn w:val="64"/>
    <w:next w:val="64"/>
    <w:qFormat/>
    <w:uiPriority w:val="0"/>
    <w:pPr>
      <w:spacing w:before="50" w:beforeLines="50" w:after="50" w:afterLines="50"/>
      <w:ind w:firstLine="0" w:firstLineChars="0"/>
    </w:pPr>
    <w:rPr>
      <w:rFonts w:ascii="黑体" w:eastAsia="黑体"/>
    </w:rPr>
  </w:style>
  <w:style w:type="paragraph" w:customStyle="1" w:styleId="209">
    <w:name w:val="标准文件_引言二级条标题"/>
    <w:basedOn w:val="64"/>
    <w:next w:val="64"/>
    <w:qFormat/>
    <w:uiPriority w:val="0"/>
    <w:pPr>
      <w:spacing w:before="50" w:beforeLines="50" w:after="50" w:afterLines="50"/>
      <w:ind w:firstLine="0" w:firstLineChars="0"/>
    </w:pPr>
    <w:rPr>
      <w:rFonts w:ascii="黑体" w:eastAsia="黑体"/>
    </w:rPr>
  </w:style>
  <w:style w:type="paragraph" w:customStyle="1" w:styleId="210">
    <w:name w:val="标准文件_引言三级条标题"/>
    <w:basedOn w:val="64"/>
    <w:next w:val="64"/>
    <w:qFormat/>
    <w:uiPriority w:val="0"/>
    <w:pPr>
      <w:spacing w:before="50" w:beforeLines="50" w:after="50" w:afterLines="50"/>
      <w:ind w:firstLine="0" w:firstLineChars="0"/>
    </w:pPr>
    <w:rPr>
      <w:rFonts w:ascii="黑体" w:eastAsia="黑体"/>
    </w:rPr>
  </w:style>
  <w:style w:type="paragraph" w:customStyle="1" w:styleId="211">
    <w:name w:val="标准文件_引言四级条标题"/>
    <w:basedOn w:val="64"/>
    <w:next w:val="64"/>
    <w:qFormat/>
    <w:uiPriority w:val="0"/>
    <w:pPr>
      <w:numPr>
        <w:ilvl w:val="4"/>
        <w:numId w:val="8"/>
      </w:numPr>
      <w:spacing w:before="50" w:beforeLines="50" w:after="50" w:afterLines="50"/>
      <w:ind w:firstLineChars="0"/>
    </w:pPr>
    <w:rPr>
      <w:rFonts w:ascii="黑体" w:eastAsia="黑体"/>
    </w:rPr>
  </w:style>
  <w:style w:type="paragraph" w:customStyle="1" w:styleId="212">
    <w:name w:val="标准文件_引言五级条标题"/>
    <w:basedOn w:val="64"/>
    <w:next w:val="64"/>
    <w:qFormat/>
    <w:uiPriority w:val="0"/>
    <w:pPr>
      <w:numPr>
        <w:ilvl w:val="5"/>
        <w:numId w:val="8"/>
      </w:numPr>
      <w:spacing w:before="50" w:beforeLines="50" w:after="50" w:afterLines="50"/>
      <w:ind w:firstLineChars="0"/>
    </w:pPr>
    <w:rPr>
      <w:rFonts w:ascii="黑体" w:eastAsia="黑体"/>
    </w:rPr>
  </w:style>
  <w:style w:type="paragraph" w:customStyle="1" w:styleId="213">
    <w:name w:val="标准文件_注后"/>
    <w:basedOn w:val="64"/>
    <w:qFormat/>
    <w:uiPriority w:val="0"/>
    <w:pPr>
      <w:ind w:left="811" w:firstLine="0" w:firstLineChars="0"/>
    </w:pPr>
    <w:rPr>
      <w:sz w:val="18"/>
    </w:rPr>
  </w:style>
  <w:style w:type="paragraph" w:customStyle="1" w:styleId="214">
    <w:name w:val="标准文件_注X后"/>
    <w:basedOn w:val="64"/>
    <w:qFormat/>
    <w:uiPriority w:val="0"/>
    <w:pPr>
      <w:ind w:left="811" w:firstLine="0" w:firstLineChars="0"/>
    </w:pPr>
    <w:rPr>
      <w:sz w:val="18"/>
    </w:rPr>
  </w:style>
  <w:style w:type="paragraph" w:customStyle="1" w:styleId="215">
    <w:name w:val="标准文件_示例后"/>
    <w:basedOn w:val="64"/>
    <w:qFormat/>
    <w:uiPriority w:val="0"/>
    <w:pPr>
      <w:ind w:left="964" w:firstLine="0" w:firstLineChars="0"/>
    </w:pPr>
    <w:rPr>
      <w:sz w:val="18"/>
    </w:rPr>
  </w:style>
  <w:style w:type="paragraph" w:customStyle="1" w:styleId="216">
    <w:name w:val="标准文件_示例X后"/>
    <w:basedOn w:val="64"/>
    <w:link w:val="217"/>
    <w:qFormat/>
    <w:uiPriority w:val="0"/>
    <w:pPr>
      <w:ind w:left="1049" w:firstLine="0" w:firstLineChars="0"/>
    </w:pPr>
    <w:rPr>
      <w:sz w:val="18"/>
    </w:rPr>
  </w:style>
  <w:style w:type="character" w:customStyle="1" w:styleId="217">
    <w:name w:val="标准文件_示例X后 字符"/>
    <w:basedOn w:val="192"/>
    <w:link w:val="216"/>
    <w:qFormat/>
    <w:uiPriority w:val="0"/>
    <w:rPr>
      <w:rFonts w:ascii="宋体" w:hAnsi="Times New Roman"/>
      <w:sz w:val="18"/>
    </w:rPr>
  </w:style>
  <w:style w:type="paragraph" w:customStyle="1" w:styleId="218">
    <w:name w:val="标准文件_索引项"/>
    <w:basedOn w:val="64"/>
    <w:next w:val="64"/>
    <w:qFormat/>
    <w:uiPriority w:val="0"/>
    <w:pPr>
      <w:tabs>
        <w:tab w:val="right" w:leader="dot" w:pos="9356"/>
      </w:tabs>
      <w:ind w:left="210" w:hanging="210" w:firstLineChars="0"/>
      <w:jc w:val="left"/>
    </w:pPr>
  </w:style>
  <w:style w:type="paragraph" w:customStyle="1" w:styleId="219">
    <w:name w:val="标准文件_附录一级无标题"/>
    <w:basedOn w:val="86"/>
    <w:qFormat/>
    <w:uiPriority w:val="0"/>
    <w:pPr>
      <w:spacing w:before="0" w:beforeLines="0" w:after="0" w:afterLines="0" w:line="276" w:lineRule="auto"/>
      <w:outlineLvl w:val="9"/>
    </w:pPr>
    <w:rPr>
      <w:rFonts w:ascii="宋体" w:eastAsia="宋体"/>
    </w:rPr>
  </w:style>
  <w:style w:type="paragraph" w:customStyle="1" w:styleId="220">
    <w:name w:val="标准文件_附录二级无标题"/>
    <w:basedOn w:val="87"/>
    <w:qFormat/>
    <w:uiPriority w:val="0"/>
    <w:pPr>
      <w:spacing w:before="0" w:beforeLines="0" w:after="0" w:afterLines="0" w:line="276" w:lineRule="auto"/>
      <w:outlineLvl w:val="9"/>
    </w:pPr>
    <w:rPr>
      <w:rFonts w:ascii="宋体" w:eastAsia="宋体"/>
    </w:rPr>
  </w:style>
  <w:style w:type="paragraph" w:customStyle="1" w:styleId="221">
    <w:name w:val="标准文件_附录三级无标题"/>
    <w:basedOn w:val="89"/>
    <w:qFormat/>
    <w:uiPriority w:val="0"/>
    <w:pPr>
      <w:spacing w:before="0" w:beforeLines="0" w:after="0" w:afterLines="0" w:line="276" w:lineRule="auto"/>
      <w:outlineLvl w:val="9"/>
    </w:pPr>
    <w:rPr>
      <w:rFonts w:ascii="宋体" w:eastAsia="宋体"/>
    </w:rPr>
  </w:style>
  <w:style w:type="paragraph" w:customStyle="1" w:styleId="222">
    <w:name w:val="标准文件_附录四级无标题"/>
    <w:basedOn w:val="90"/>
    <w:qFormat/>
    <w:uiPriority w:val="0"/>
    <w:pPr>
      <w:spacing w:before="0" w:beforeLines="0" w:after="0" w:afterLines="0" w:line="276" w:lineRule="auto"/>
      <w:outlineLvl w:val="9"/>
    </w:pPr>
    <w:rPr>
      <w:rFonts w:ascii="宋体" w:eastAsia="宋体"/>
    </w:rPr>
  </w:style>
  <w:style w:type="paragraph" w:customStyle="1" w:styleId="223">
    <w:name w:val="标准文件_附录五级无标题"/>
    <w:basedOn w:val="92"/>
    <w:qFormat/>
    <w:uiPriority w:val="0"/>
    <w:pPr>
      <w:spacing w:before="0" w:beforeLines="0" w:after="0" w:afterLines="0" w:line="276" w:lineRule="auto"/>
      <w:outlineLvl w:val="9"/>
    </w:pPr>
    <w:rPr>
      <w:rFonts w:ascii="宋体" w:eastAsia="宋体"/>
    </w:rPr>
  </w:style>
  <w:style w:type="paragraph" w:customStyle="1" w:styleId="224">
    <w:name w:val="标准文件_引言一级无标题"/>
    <w:basedOn w:val="208"/>
    <w:next w:val="64"/>
    <w:qFormat/>
    <w:uiPriority w:val="0"/>
    <w:pPr>
      <w:spacing w:before="0" w:beforeLines="0" w:after="0" w:afterLines="0" w:line="276" w:lineRule="auto"/>
    </w:pPr>
    <w:rPr>
      <w:rFonts w:ascii="宋体" w:eastAsia="宋体"/>
    </w:rPr>
  </w:style>
  <w:style w:type="paragraph" w:customStyle="1" w:styleId="225">
    <w:name w:val="标准文件_引言二级无标题"/>
    <w:basedOn w:val="209"/>
    <w:next w:val="64"/>
    <w:qFormat/>
    <w:uiPriority w:val="0"/>
    <w:pPr>
      <w:spacing w:before="0" w:beforeLines="0" w:after="0" w:afterLines="0" w:line="276" w:lineRule="auto"/>
    </w:pPr>
    <w:rPr>
      <w:rFonts w:ascii="宋体" w:eastAsia="宋体"/>
    </w:rPr>
  </w:style>
  <w:style w:type="paragraph" w:customStyle="1" w:styleId="226">
    <w:name w:val="标准文件_引言三级无标题"/>
    <w:basedOn w:val="210"/>
    <w:qFormat/>
    <w:uiPriority w:val="0"/>
    <w:pPr>
      <w:spacing w:before="0" w:beforeLines="0" w:after="0" w:afterLines="0" w:line="276" w:lineRule="auto"/>
    </w:pPr>
    <w:rPr>
      <w:rFonts w:ascii="宋体" w:eastAsia="宋体"/>
    </w:rPr>
  </w:style>
  <w:style w:type="paragraph" w:customStyle="1" w:styleId="227">
    <w:name w:val="标准文件_引言四级无标题"/>
    <w:basedOn w:val="211"/>
    <w:next w:val="64"/>
    <w:qFormat/>
    <w:uiPriority w:val="0"/>
    <w:pPr>
      <w:spacing w:before="0" w:beforeLines="0" w:after="0" w:afterLines="0" w:line="276" w:lineRule="auto"/>
    </w:pPr>
    <w:rPr>
      <w:rFonts w:ascii="宋体" w:eastAsia="宋体"/>
    </w:rPr>
  </w:style>
  <w:style w:type="paragraph" w:customStyle="1" w:styleId="228">
    <w:name w:val="标准文件_引言五级无标题"/>
    <w:basedOn w:val="212"/>
    <w:next w:val="64"/>
    <w:qFormat/>
    <w:uiPriority w:val="0"/>
    <w:pPr>
      <w:spacing w:before="0" w:beforeLines="0" w:after="0" w:afterLines="0" w:line="276" w:lineRule="auto"/>
    </w:pPr>
    <w:rPr>
      <w:rFonts w:ascii="宋体" w:eastAsia="宋体"/>
    </w:rPr>
  </w:style>
  <w:style w:type="paragraph" w:customStyle="1" w:styleId="229">
    <w:name w:val="标准文件_索引标题"/>
    <w:basedOn w:val="71"/>
    <w:next w:val="64"/>
    <w:qFormat/>
    <w:uiPriority w:val="0"/>
    <w:rPr>
      <w:rFonts w:hAnsi="黑体"/>
    </w:rPr>
  </w:style>
  <w:style w:type="paragraph" w:customStyle="1" w:styleId="230">
    <w:name w:val="标准文件_脚注内容"/>
    <w:basedOn w:val="64"/>
    <w:qFormat/>
    <w:uiPriority w:val="0"/>
    <w:pPr>
      <w:ind w:left="400" w:leftChars="200" w:hanging="200" w:hangingChars="200"/>
    </w:pPr>
    <w:rPr>
      <w:sz w:val="15"/>
    </w:rPr>
  </w:style>
  <w:style w:type="paragraph" w:customStyle="1" w:styleId="231">
    <w:name w:val="标准文件_术语条一"/>
    <w:basedOn w:val="170"/>
    <w:next w:val="64"/>
    <w:qFormat/>
    <w:uiPriority w:val="0"/>
  </w:style>
  <w:style w:type="paragraph" w:customStyle="1" w:styleId="232">
    <w:name w:val="标准文件_术语条二"/>
    <w:basedOn w:val="173"/>
    <w:next w:val="64"/>
    <w:qFormat/>
    <w:uiPriority w:val="0"/>
  </w:style>
  <w:style w:type="paragraph" w:customStyle="1" w:styleId="233">
    <w:name w:val="标准文件_术语条三"/>
    <w:basedOn w:val="172"/>
    <w:next w:val="64"/>
    <w:qFormat/>
    <w:uiPriority w:val="0"/>
  </w:style>
  <w:style w:type="paragraph" w:customStyle="1" w:styleId="234">
    <w:name w:val="标准文件_术语条四"/>
    <w:basedOn w:val="175"/>
    <w:next w:val="64"/>
    <w:qFormat/>
    <w:uiPriority w:val="0"/>
  </w:style>
  <w:style w:type="paragraph" w:customStyle="1" w:styleId="235">
    <w:name w:val="标准文件_术语条五"/>
    <w:basedOn w:val="171"/>
    <w:next w:val="64"/>
    <w:qFormat/>
    <w:uiPriority w:val="0"/>
  </w:style>
  <w:style w:type="paragraph" w:customStyle="1" w:styleId="2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7">
    <w:name w:val="发布"/>
    <w:basedOn w:val="35"/>
    <w:qFormat/>
    <w:uiPriority w:val="0"/>
    <w:rPr>
      <w:rFonts w:ascii="黑体" w:eastAsia="黑体"/>
      <w:spacing w:val="85"/>
      <w:w w:val="100"/>
      <w:position w:val="3"/>
      <w:sz w:val="28"/>
      <w:szCs w:val="28"/>
    </w:rPr>
  </w:style>
  <w:style w:type="paragraph" w:customStyle="1" w:styleId="238">
    <w:name w:val="段落"/>
    <w:qFormat/>
    <w:uiPriority w:val="0"/>
    <w:pPr>
      <w:autoSpaceDE w:val="0"/>
      <w:autoSpaceDN w:val="0"/>
      <w:ind w:firstLine="420" w:firstLineChars="200"/>
    </w:pPr>
    <w:rPr>
      <w:rFonts w:ascii="宋体" w:hAnsi="Times New Roman" w:eastAsia="宋体" w:cs="Times New Roman"/>
      <w:sz w:val="21"/>
      <w:lang w:val="en-US" w:eastAsia="zh-CN" w:bidi="ar-SA"/>
    </w:rPr>
  </w:style>
  <w:style w:type="character" w:customStyle="1" w:styleId="239">
    <w:name w:val="批注文字 字符"/>
    <w:basedOn w:val="35"/>
    <w:link w:val="14"/>
    <w:semiHidden/>
    <w:qFormat/>
    <w:uiPriority w:val="99"/>
    <w:rPr>
      <w:rFonts w:asciiTheme="minorHAnsi" w:hAnsiTheme="minorHAnsi" w:eastAsiaTheme="minorEastAsia" w:cstheme="minorBidi"/>
      <w:kern w:val="2"/>
      <w:sz w:val="21"/>
      <w:szCs w:val="24"/>
    </w:rPr>
  </w:style>
  <w:style w:type="character" w:customStyle="1" w:styleId="240">
    <w:name w:val="日期 字符"/>
    <w:basedOn w:val="35"/>
    <w:link w:val="19"/>
    <w:semiHidden/>
    <w:qFormat/>
    <w:uiPriority w:val="99"/>
    <w:rPr>
      <w:rFonts w:asciiTheme="minorHAnsi" w:hAnsiTheme="minorHAnsi" w:eastAsiaTheme="minorEastAsia" w:cstheme="minorBidi"/>
      <w:kern w:val="2"/>
      <w:sz w:val="21"/>
      <w:szCs w:val="24"/>
    </w:rPr>
  </w:style>
  <w:style w:type="character" w:customStyle="1" w:styleId="241">
    <w:name w:val="批注主题 字符"/>
    <w:basedOn w:val="239"/>
    <w:link w:val="32"/>
    <w:semiHidden/>
    <w:qFormat/>
    <w:uiPriority w:val="99"/>
    <w:rPr>
      <w:rFonts w:asciiTheme="minorHAnsi" w:hAnsiTheme="minorHAnsi" w:eastAsiaTheme="minorEastAsia" w:cstheme="minorBidi"/>
      <w:b/>
      <w:bCs/>
      <w:kern w:val="2"/>
      <w:sz w:val="21"/>
      <w:szCs w:val="24"/>
    </w:rPr>
  </w:style>
  <w:style w:type="character" w:customStyle="1" w:styleId="242">
    <w:name w:val="题注 字符"/>
    <w:basedOn w:val="35"/>
    <w:link w:val="13"/>
    <w:semiHidden/>
    <w:qFormat/>
    <w:uiPriority w:val="35"/>
    <w:rPr>
      <w:rFonts w:ascii="Arial" w:hAnsi="Arial" w:eastAsia="黑体" w:cstheme="minorBidi"/>
      <w:kern w:val="2"/>
      <w:szCs w:val="24"/>
    </w:rPr>
  </w:style>
  <w:style w:type="paragraph" w:styleId="243">
    <w:name w:val="List Paragraph"/>
    <w:basedOn w:val="1"/>
    <w:qFormat/>
    <w:uiPriority w:val="34"/>
    <w:pPr>
      <w:wordWrap w:val="0"/>
      <w:autoSpaceDE w:val="0"/>
      <w:autoSpaceDN w:val="0"/>
      <w:adjustRightInd/>
      <w:spacing w:line="240" w:lineRule="auto"/>
      <w:ind w:firstLine="420" w:firstLineChars="200"/>
    </w:pPr>
    <w:rPr>
      <w:rFonts w:asciiTheme="minorHAnsi" w:hAnsiTheme="minorHAnsi" w:eastAsiaTheme="minorEastAsia" w:cstheme="minorBidi"/>
      <w:szCs w:val="24"/>
    </w:rPr>
  </w:style>
  <w:style w:type="paragraph" w:customStyle="1" w:styleId="244">
    <w:name w:val="WPSOffice手动目录 1"/>
    <w:qFormat/>
    <w:uiPriority w:val="0"/>
    <w:rPr>
      <w:rFonts w:asciiTheme="minorHAnsi" w:hAnsiTheme="minorHAnsi" w:eastAsiaTheme="minorEastAsia" w:cstheme="minorBidi"/>
      <w:lang w:val="en-US" w:eastAsia="zh-CN" w:bidi="ar-SA"/>
    </w:rPr>
  </w:style>
  <w:style w:type="paragraph" w:customStyle="1" w:styleId="245">
    <w:name w:val="WPSOffice手动目录 2"/>
    <w:qFormat/>
    <w:uiPriority w:val="0"/>
    <w:pPr>
      <w:wordWrap w:val="0"/>
      <w:autoSpaceDE w:val="0"/>
      <w:autoSpaceDN w:val="0"/>
      <w:ind w:left="200" w:leftChars="200"/>
    </w:pPr>
    <w:rPr>
      <w:rFonts w:asciiTheme="minorHAnsi" w:hAnsiTheme="minorHAnsi" w:eastAsiaTheme="minorEastAsia" w:cstheme="minorBidi"/>
      <w:lang w:val="en-US" w:eastAsia="zh-CN" w:bidi="ar-SA"/>
    </w:rPr>
  </w:style>
  <w:style w:type="paragraph" w:customStyle="1" w:styleId="246">
    <w:name w:val="正文标题"/>
    <w:qFormat/>
    <w:uiPriority w:val="0"/>
    <w:pPr>
      <w:keepNext/>
      <w:pageBreakBefore/>
      <w:wordWrap w:val="0"/>
      <w:autoSpaceDE w:val="0"/>
      <w:autoSpaceDN w:val="0"/>
      <w:spacing w:before="360" w:after="440" w:line="360" w:lineRule="auto"/>
      <w:jc w:val="center"/>
    </w:pPr>
    <w:rPr>
      <w:rFonts w:ascii="黑体" w:hAnsi="黑体" w:eastAsia="黑体" w:cstheme="minorBidi"/>
      <w:color w:val="000000"/>
      <w:szCs w:val="22"/>
      <w:lang w:val="en-US" w:eastAsia="en-US" w:bidi="ar-SA"/>
    </w:rPr>
  </w:style>
  <w:style w:type="paragraph" w:customStyle="1" w:styleId="247">
    <w:name w:val="目次标题"/>
    <w:qFormat/>
    <w:uiPriority w:val="0"/>
    <w:pPr>
      <w:keepNext/>
      <w:pageBreakBefore/>
      <w:shd w:val="clear" w:color="FFFFFF" w:fill="FFFFFF"/>
      <w:spacing w:before="640" w:after="560" w:line="460" w:lineRule="exact"/>
      <w:jc w:val="center"/>
      <w:outlineLvl w:val="3"/>
    </w:pPr>
    <w:rPr>
      <w:rFonts w:ascii="黑体" w:hAnsi="Times New Roman" w:eastAsia="黑体" w:cs="Times New Roman"/>
      <w:sz w:val="32"/>
      <w:szCs w:val="32"/>
      <w:lang w:val="en-US" w:eastAsia="zh-CN" w:bidi="ar-SA"/>
    </w:rPr>
  </w:style>
  <w:style w:type="paragraph" w:customStyle="1" w:styleId="248">
    <w:name w:val="目次标题级"/>
    <w:next w:val="2"/>
    <w:qFormat/>
    <w:uiPriority w:val="39"/>
    <w:pPr>
      <w:tabs>
        <w:tab w:val="right" w:leader="dot" w:pos="9241"/>
      </w:tabs>
      <w:wordWrap w:val="0"/>
      <w:spacing w:before="25" w:beforeLines="25" w:after="25" w:afterLines="25"/>
      <w:outlineLvl w:val="0"/>
    </w:pPr>
    <w:rPr>
      <w:rFonts w:ascii="宋体" w:hAnsi="宋体" w:eastAsia="宋体" w:cs="Times New Roman"/>
      <w:sz w:val="21"/>
      <w:szCs w:val="21"/>
      <w:lang w:val="en-US" w:eastAsia="zh-CN" w:bidi="ar-SA"/>
    </w:rPr>
  </w:style>
  <w:style w:type="paragraph" w:customStyle="1" w:styleId="249">
    <w:name w:val="目次第1级"/>
    <w:next w:val="2"/>
    <w:qFormat/>
    <w:uiPriority w:val="39"/>
    <w:pPr>
      <w:tabs>
        <w:tab w:val="right" w:leader="dot" w:pos="9241"/>
      </w:tabs>
      <w:wordWrap w:val="0"/>
      <w:spacing w:before="25" w:beforeLines="25" w:after="25" w:afterLines="25"/>
    </w:pPr>
    <w:rPr>
      <w:rFonts w:ascii="宋体" w:hAnsi="宋体" w:eastAsia="宋体" w:cs="宋体"/>
      <w:sz w:val="21"/>
      <w:szCs w:val="21"/>
      <w:lang w:val="en-US" w:eastAsia="zh-CN" w:bidi="ar-SA"/>
    </w:rPr>
  </w:style>
  <w:style w:type="paragraph" w:customStyle="1" w:styleId="250">
    <w:name w:val="目次第2级"/>
    <w:qFormat/>
    <w:uiPriority w:val="39"/>
    <w:pPr>
      <w:tabs>
        <w:tab w:val="right" w:leader="dot" w:pos="9241"/>
      </w:tabs>
      <w:wordWrap w:val="0"/>
      <w:ind w:firstLine="100" w:firstLineChars="100"/>
    </w:pPr>
    <w:rPr>
      <w:rFonts w:ascii="宋体" w:hAnsi="宋体" w:eastAsia="宋体" w:cs="宋体"/>
      <w:sz w:val="21"/>
      <w:szCs w:val="21"/>
      <w:lang w:val="en-US" w:eastAsia="zh-CN" w:bidi="ar-SA"/>
    </w:rPr>
  </w:style>
  <w:style w:type="paragraph" w:customStyle="1" w:styleId="251">
    <w:name w:val="目次第3级"/>
    <w:qFormat/>
    <w:uiPriority w:val="39"/>
    <w:pPr>
      <w:tabs>
        <w:tab w:val="right" w:leader="dot" w:pos="9241"/>
      </w:tabs>
      <w:wordWrap w:val="0"/>
      <w:ind w:firstLine="200" w:firstLineChars="200"/>
    </w:pPr>
    <w:rPr>
      <w:rFonts w:ascii="宋体" w:hAnsi="宋体" w:eastAsia="宋体" w:cs="宋体"/>
      <w:sz w:val="21"/>
      <w:szCs w:val="21"/>
      <w:lang w:val="en-US" w:eastAsia="zh-CN" w:bidi="ar-SA"/>
    </w:rPr>
  </w:style>
  <w:style w:type="paragraph" w:customStyle="1" w:styleId="252">
    <w:name w:val="目次第4级"/>
    <w:qFormat/>
    <w:uiPriority w:val="39"/>
    <w:pPr>
      <w:tabs>
        <w:tab w:val="right" w:leader="dot" w:pos="9241"/>
      </w:tabs>
      <w:wordWrap w:val="0"/>
      <w:ind w:firstLine="300" w:firstLineChars="300"/>
    </w:pPr>
    <w:rPr>
      <w:rFonts w:ascii="宋体" w:hAnsi="宋体" w:eastAsia="宋体" w:cs="宋体"/>
      <w:sz w:val="21"/>
      <w:szCs w:val="21"/>
      <w:lang w:val="en-US" w:eastAsia="zh-CN" w:bidi="ar-SA"/>
    </w:rPr>
  </w:style>
  <w:style w:type="paragraph" w:customStyle="1" w:styleId="253">
    <w:name w:val="目次第5级"/>
    <w:qFormat/>
    <w:uiPriority w:val="39"/>
    <w:pPr>
      <w:tabs>
        <w:tab w:val="right" w:leader="dot" w:pos="9241"/>
      </w:tabs>
      <w:wordWrap w:val="0"/>
      <w:ind w:firstLine="400" w:firstLineChars="400"/>
    </w:pPr>
    <w:rPr>
      <w:rFonts w:ascii="宋体" w:hAnsi="宋体" w:eastAsia="宋体" w:cs="宋体"/>
      <w:sz w:val="21"/>
      <w:szCs w:val="21"/>
      <w:lang w:val="en-US" w:eastAsia="zh-CN" w:bidi="ar-SA"/>
    </w:rPr>
  </w:style>
  <w:style w:type="paragraph" w:customStyle="1" w:styleId="254">
    <w:name w:val="目次第6级"/>
    <w:qFormat/>
    <w:uiPriority w:val="39"/>
    <w:pPr>
      <w:tabs>
        <w:tab w:val="right" w:leader="dot" w:pos="9241"/>
      </w:tabs>
      <w:wordWrap w:val="0"/>
      <w:ind w:firstLine="500" w:firstLineChars="500"/>
    </w:pPr>
    <w:rPr>
      <w:rFonts w:ascii="宋体" w:hAnsi="宋体" w:eastAsia="宋体" w:cs="宋体"/>
      <w:sz w:val="21"/>
      <w:szCs w:val="21"/>
      <w:lang w:val="en-US" w:eastAsia="zh-CN" w:bidi="ar-SA"/>
    </w:rPr>
  </w:style>
  <w:style w:type="paragraph" w:customStyle="1" w:styleId="255">
    <w:name w:val="目次第7级"/>
    <w:qFormat/>
    <w:uiPriority w:val="39"/>
    <w:pPr>
      <w:tabs>
        <w:tab w:val="right" w:leader="dot" w:pos="9241"/>
      </w:tabs>
      <w:wordWrap w:val="0"/>
      <w:ind w:firstLine="600" w:firstLineChars="600"/>
    </w:pPr>
    <w:rPr>
      <w:rFonts w:ascii="宋体" w:hAnsi="宋体" w:eastAsia="宋体" w:cs="宋体"/>
      <w:sz w:val="21"/>
      <w:szCs w:val="21"/>
      <w:lang w:val="en-US" w:eastAsia="zh-CN" w:bidi="ar-SA"/>
    </w:rPr>
  </w:style>
  <w:style w:type="paragraph" w:customStyle="1" w:styleId="256">
    <w:name w:val="目次第8级"/>
    <w:qFormat/>
    <w:uiPriority w:val="39"/>
    <w:pPr>
      <w:tabs>
        <w:tab w:val="right" w:leader="dot" w:pos="9241"/>
      </w:tabs>
      <w:wordWrap w:val="0"/>
      <w:ind w:firstLine="700" w:firstLineChars="700"/>
    </w:pPr>
    <w:rPr>
      <w:rFonts w:ascii="宋体" w:hAnsi="宋体" w:eastAsia="宋体" w:cs="宋体"/>
      <w:sz w:val="21"/>
      <w:szCs w:val="21"/>
      <w:lang w:val="en-US" w:eastAsia="zh-CN" w:bidi="ar-SA"/>
    </w:rPr>
  </w:style>
  <w:style w:type="character" w:customStyle="1" w:styleId="257">
    <w:name w:val="书籍标题1"/>
    <w:basedOn w:val="35"/>
    <w:qFormat/>
    <w:uiPriority w:val="33"/>
    <w:rPr>
      <w:b/>
      <w:bCs/>
      <w:smallCaps/>
      <w:spacing w:val="5"/>
    </w:rPr>
  </w:style>
  <w:style w:type="paragraph" w:customStyle="1" w:styleId="258">
    <w:name w:val="文档名称标题"/>
    <w:qFormat/>
    <w:uiPriority w:val="0"/>
    <w:pPr>
      <w:wordWrap w:val="0"/>
      <w:autoSpaceDE w:val="0"/>
      <w:autoSpaceDN w:val="0"/>
      <w:spacing w:before="640" w:after="560" w:line="460" w:lineRule="exact"/>
      <w:jc w:val="center"/>
    </w:pPr>
    <w:rPr>
      <w:rFonts w:ascii="黑体" w:hAnsi="Times New Roman" w:eastAsia="黑体" w:cs="Times New Roman"/>
      <w:sz w:val="32"/>
      <w:szCs w:val="32"/>
      <w:lang w:val="en-US" w:eastAsia="zh-CN" w:bidi="ar-SA"/>
    </w:rPr>
  </w:style>
  <w:style w:type="paragraph" w:customStyle="1" w:styleId="259">
    <w:name w:val="章节页面标题"/>
    <w:qFormat/>
    <w:uiPriority w:val="0"/>
    <w:pPr>
      <w:wordWrap w:val="0"/>
      <w:autoSpaceDE w:val="0"/>
      <w:autoSpaceDN w:val="0"/>
      <w:spacing w:before="640" w:after="560" w:line="460" w:lineRule="exact"/>
      <w:jc w:val="center"/>
      <w:outlineLvl w:val="0"/>
    </w:pPr>
    <w:rPr>
      <w:rFonts w:ascii="黑体" w:hAnsi="Times New Roman" w:eastAsia="黑体" w:cs="Times New Roman"/>
      <w:sz w:val="32"/>
      <w:szCs w:val="32"/>
      <w:lang w:val="en-US" w:eastAsia="zh-CN" w:bidi="ar-SA"/>
    </w:rPr>
  </w:style>
  <w:style w:type="paragraph" w:customStyle="1" w:styleId="260">
    <w:name w:val="附录页面标题"/>
    <w:qFormat/>
    <w:uiPriority w:val="0"/>
    <w:pPr>
      <w:wordWrap w:val="0"/>
      <w:autoSpaceDE w:val="0"/>
      <w:autoSpaceDN w:val="0"/>
      <w:spacing w:before="640" w:after="280"/>
      <w:contextualSpacing/>
      <w:jc w:val="center"/>
    </w:pPr>
    <w:rPr>
      <w:rFonts w:ascii="黑体" w:hAnsi="黑体" w:eastAsia="黑体" w:cs="黑体"/>
      <w:sz w:val="21"/>
      <w:szCs w:val="21"/>
      <w:lang w:val="en-US" w:eastAsia="zh-CN" w:bidi="ar-SA"/>
    </w:rPr>
  </w:style>
  <w:style w:type="paragraph" w:customStyle="1" w:styleId="261">
    <w:name w:val="其他页面标题"/>
    <w:qFormat/>
    <w:uiPriority w:val="0"/>
    <w:pPr>
      <w:wordWrap w:val="0"/>
      <w:autoSpaceDE w:val="0"/>
      <w:autoSpaceDN w:val="0"/>
      <w:spacing w:before="640" w:after="200"/>
      <w:jc w:val="center"/>
      <w:outlineLvl w:val="0"/>
    </w:pPr>
    <w:rPr>
      <w:rFonts w:ascii="黑体" w:hAnsi="Times New Roman" w:eastAsia="黑体" w:cs="Times New Roman"/>
      <w:sz w:val="21"/>
      <w:szCs w:val="21"/>
      <w:lang w:val="en-US" w:eastAsia="zh-CN" w:bidi="ar-SA"/>
    </w:rPr>
  </w:style>
  <w:style w:type="paragraph" w:customStyle="1" w:styleId="262">
    <w:name w:val="一级首章标题"/>
    <w:qFormat/>
    <w:uiPriority w:val="0"/>
    <w:pPr>
      <w:wordWrap w:val="0"/>
      <w:autoSpaceDE w:val="0"/>
      <w:autoSpaceDN w:val="0"/>
      <w:snapToGrid w:val="0"/>
      <w:spacing w:after="100" w:afterLines="100"/>
      <w:jc w:val="both"/>
    </w:pPr>
    <w:rPr>
      <w:rFonts w:ascii="黑体" w:hAnsi="黑体" w:eastAsia="黑体" w:cs="Times New Roman"/>
      <w:sz w:val="21"/>
      <w:lang w:val="en-US" w:eastAsia="zh-CN" w:bidi="ar-SA"/>
    </w:rPr>
  </w:style>
  <w:style w:type="paragraph" w:customStyle="1" w:styleId="263">
    <w:name w:val="二级首章标题"/>
    <w:qFormat/>
    <w:uiPriority w:val="0"/>
    <w:pPr>
      <w:wordWrap w:val="0"/>
      <w:autoSpaceDE w:val="0"/>
      <w:autoSpaceDN w:val="0"/>
      <w:snapToGrid w:val="0"/>
      <w:spacing w:after="50" w:afterLines="50"/>
      <w:jc w:val="both"/>
    </w:pPr>
    <w:rPr>
      <w:rFonts w:ascii="黑体" w:hAnsi="黑体" w:eastAsia="黑体" w:cs="Times New Roman"/>
      <w:sz w:val="21"/>
      <w:lang w:val="en-US" w:eastAsia="zh-CN" w:bidi="ar-SA"/>
    </w:rPr>
  </w:style>
  <w:style w:type="paragraph" w:customStyle="1" w:styleId="264">
    <w:name w:val="一级章标题"/>
    <w:qFormat/>
    <w:uiPriority w:val="0"/>
    <w:pPr>
      <w:wordWrap w:val="0"/>
      <w:autoSpaceDE w:val="0"/>
      <w:autoSpaceDN w:val="0"/>
      <w:snapToGrid w:val="0"/>
      <w:spacing w:before="312" w:beforeLines="100" w:after="312" w:afterLines="100"/>
      <w:jc w:val="both"/>
    </w:pPr>
    <w:rPr>
      <w:rFonts w:ascii="黑体" w:hAnsi="黑体" w:eastAsia="黑体" w:cs="Times New Roman"/>
      <w:sz w:val="21"/>
      <w:lang w:val="en-US" w:eastAsia="zh-CN" w:bidi="ar-SA"/>
    </w:rPr>
  </w:style>
  <w:style w:type="paragraph" w:customStyle="1" w:styleId="265">
    <w:name w:val="章节条款"/>
    <w:qFormat/>
    <w:uiPriority w:val="0"/>
    <w:pPr>
      <w:wordWrap w:val="0"/>
      <w:autoSpaceDE w:val="0"/>
      <w:autoSpaceDN w:val="0"/>
      <w:snapToGrid w:val="0"/>
      <w:spacing w:before="50" w:beforeLines="50" w:after="50" w:afterLines="50"/>
      <w:jc w:val="both"/>
    </w:pPr>
    <w:rPr>
      <w:rFonts w:ascii="黑体" w:hAnsi="黑体" w:eastAsia="黑体" w:cs="Times New Roman"/>
      <w:sz w:val="21"/>
      <w:lang w:val="en-US" w:eastAsia="zh-CN" w:bidi="ar-SA"/>
    </w:rPr>
  </w:style>
  <w:style w:type="paragraph" w:customStyle="1" w:styleId="266">
    <w:name w:val="章标题-无条题"/>
    <w:qFormat/>
    <w:uiPriority w:val="0"/>
    <w:pPr>
      <w:wordWrap w:val="0"/>
      <w:autoSpaceDE w:val="0"/>
      <w:autoSpaceDN w:val="0"/>
    </w:pPr>
    <w:rPr>
      <w:rFonts w:ascii="宋体" w:hAnsi="宋体" w:eastAsia="宋体" w:cs="Times New Roman"/>
      <w:lang w:val="en-US" w:eastAsia="zh-CN" w:bidi="ar-SA"/>
    </w:rPr>
  </w:style>
  <w:style w:type="paragraph" w:customStyle="1" w:styleId="267">
    <w:name w:val="附录章标题-有条题"/>
    <w:qFormat/>
    <w:uiPriority w:val="0"/>
    <w:pPr>
      <w:wordWrap w:val="0"/>
      <w:autoSpaceDE w:val="0"/>
      <w:autoSpaceDN w:val="0"/>
      <w:snapToGrid w:val="0"/>
      <w:spacing w:before="50" w:beforeLines="50" w:after="50" w:afterLines="50"/>
    </w:pPr>
    <w:rPr>
      <w:rFonts w:ascii="宋体" w:hAnsi="宋体" w:eastAsia="宋体" w:cs="Times New Roman"/>
      <w:lang w:val="en-US" w:eastAsia="zh-CN" w:bidi="ar-SA"/>
    </w:rPr>
  </w:style>
  <w:style w:type="paragraph" w:customStyle="1" w:styleId="268">
    <w:name w:val="表标题"/>
    <w:qFormat/>
    <w:uiPriority w:val="0"/>
    <w:pPr>
      <w:wordWrap w:val="0"/>
      <w:autoSpaceDE w:val="0"/>
      <w:autoSpaceDN w:val="0"/>
      <w:spacing w:before="50" w:beforeLines="50" w:after="50" w:afterLines="50"/>
      <w:jc w:val="center"/>
    </w:pPr>
    <w:rPr>
      <w:rFonts w:ascii="黑体" w:hAnsi="黑体" w:eastAsia="黑体" w:cs="Times New Roman"/>
      <w:sz w:val="21"/>
      <w:lang w:val="en-US" w:eastAsia="zh-CN" w:bidi="ar-SA"/>
    </w:rPr>
  </w:style>
  <w:style w:type="paragraph" w:customStyle="1" w:styleId="269">
    <w:name w:val="图标题"/>
    <w:qFormat/>
    <w:uiPriority w:val="0"/>
    <w:pPr>
      <w:wordWrap w:val="0"/>
      <w:autoSpaceDE w:val="0"/>
      <w:autoSpaceDN w:val="0"/>
      <w:spacing w:before="50" w:beforeLines="50" w:after="50" w:afterLines="50"/>
      <w:jc w:val="center"/>
    </w:pPr>
    <w:rPr>
      <w:rFonts w:ascii="黑体" w:hAnsi="黑体" w:eastAsia="黑体" w:cs="Times New Roman"/>
      <w:sz w:val="21"/>
      <w:lang w:val="en-US" w:eastAsia="zh-CN" w:bidi="ar-SA"/>
    </w:rPr>
  </w:style>
  <w:style w:type="paragraph" w:customStyle="1" w:styleId="270">
    <w:name w:val="图脚注"/>
    <w:unhideWhenUsed/>
    <w:qFormat/>
    <w:uiPriority w:val="99"/>
    <w:pPr>
      <w:wordWrap w:val="0"/>
      <w:autoSpaceDE w:val="0"/>
      <w:autoSpaceDN w:val="0"/>
      <w:ind w:left="765" w:leftChars="300" w:hanging="135" w:hangingChars="75"/>
    </w:pPr>
    <w:rPr>
      <w:rFonts w:hint="eastAsia" w:ascii="宋体" w:hAnsi="宋体" w:eastAsia="宋体" w:cs="宋体"/>
      <w:sz w:val="18"/>
      <w:szCs w:val="18"/>
      <w:lang w:val="en-US" w:eastAsia="zh-CN" w:bidi="ar-SA"/>
    </w:rPr>
  </w:style>
  <w:style w:type="paragraph" w:customStyle="1" w:styleId="271">
    <w:name w:val="公式居中"/>
    <w:next w:val="2"/>
    <w:qFormat/>
    <w:uiPriority w:val="0"/>
    <w:pPr>
      <w:tabs>
        <w:tab w:val="center" w:pos="4620"/>
        <w:tab w:val="right" w:pos="6510"/>
        <w:tab w:val="right" w:leader="middleDot" w:pos="9240"/>
      </w:tabs>
      <w:wordWrap w:val="0"/>
      <w:autoSpaceDE w:val="0"/>
      <w:autoSpaceDN w:val="0"/>
      <w:snapToGrid w:val="0"/>
      <w:jc w:val="center"/>
      <w:textAlignment w:val="center"/>
    </w:pPr>
    <w:rPr>
      <w:rFonts w:ascii="Times New Roman" w:hAnsi="Times New Roman" w:eastAsia="宋体" w:cs="Times New Roman"/>
      <w:kern w:val="2"/>
      <w:lang w:val="en-US" w:eastAsia="zh-CN" w:bidi="ar-SA"/>
    </w:rPr>
  </w:style>
  <w:style w:type="paragraph" w:customStyle="1" w:styleId="272">
    <w:name w:val="终结线"/>
    <w:qFormat/>
    <w:uiPriority w:val="0"/>
    <w:pPr>
      <w:tabs>
        <w:tab w:val="center" w:pos="4620"/>
        <w:tab w:val="right" w:pos="6510"/>
        <w:tab w:val="right" w:leader="middleDot" w:pos="9240"/>
      </w:tabs>
      <w:wordWrap w:val="0"/>
      <w:autoSpaceDE w:val="0"/>
      <w:autoSpaceDN w:val="0"/>
      <w:jc w:val="center"/>
      <w:textAlignment w:val="center"/>
    </w:pPr>
    <w:rPr>
      <w:rFonts w:ascii="Times New Roman" w:hAnsi="Times New Roman" w:eastAsia="宋体" w:cs="Times New Roman"/>
      <w:lang w:val="en-US" w:eastAsia="zh-CN" w:bidi="ar-SA"/>
    </w:rPr>
  </w:style>
  <w:style w:type="paragraph" w:customStyle="1" w:styleId="273">
    <w:name w:val="正文文本缩进 21"/>
    <w:basedOn w:val="1"/>
    <w:qFormat/>
    <w:uiPriority w:val="0"/>
    <w:pPr>
      <w:spacing w:line="480" w:lineRule="auto"/>
      <w:ind w:left="200" w:leftChars="200"/>
    </w:pPr>
  </w:style>
  <w:style w:type="character" w:customStyle="1" w:styleId="274">
    <w:name w:val="书籍标题2"/>
    <w:basedOn w:val="35"/>
    <w:qFormat/>
    <w:uiPriority w:val="33"/>
    <w:rPr>
      <w:b/>
      <w:bCs/>
      <w:smallCaps/>
      <w:spacing w:val="5"/>
    </w:rPr>
  </w:style>
  <w:style w:type="paragraph" w:customStyle="1" w:styleId="275">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76">
    <w:name w:val="未处理的提及1"/>
    <w:basedOn w:val="35"/>
    <w:semiHidden/>
    <w:unhideWhenUsed/>
    <w:qFormat/>
    <w:uiPriority w:val="99"/>
    <w:rPr>
      <w:color w:val="605E5C"/>
      <w:shd w:val="clear" w:color="auto" w:fill="E1DFDD"/>
    </w:rPr>
  </w:style>
  <w:style w:type="paragraph" w:customStyle="1" w:styleId="277">
    <w:name w:val="修订2"/>
    <w:hidden/>
    <w:semiHidden/>
    <w:qFormat/>
    <w:uiPriority w:val="99"/>
    <w:rPr>
      <w:rFonts w:ascii="Calibri" w:hAnsi="Calibri" w:eastAsia="宋体" w:cs="Times New Roman"/>
      <w:kern w:val="2"/>
      <w:sz w:val="21"/>
      <w:szCs w:val="21"/>
      <w:lang w:val="en-US" w:eastAsia="zh-CN" w:bidi="ar-SA"/>
    </w:rPr>
  </w:style>
  <w:style w:type="paragraph" w:customStyle="1" w:styleId="278">
    <w:name w:val="isselectedend"/>
    <w:basedOn w:val="1"/>
    <w:qFormat/>
    <w:uiPriority w:val="0"/>
    <w:pPr>
      <w:widowControl/>
      <w:adjustRightInd/>
      <w:spacing w:before="100" w:beforeAutospacing="1" w:after="100" w:afterAutospacing="1" w:line="240" w:lineRule="auto"/>
      <w:jc w:val="left"/>
    </w:pPr>
    <w:rPr>
      <w:rFonts w:ascii="宋体" w:hAnsi="宋体" w:cs="宋体"/>
      <w:kern w:val="0"/>
      <w:sz w:val="24"/>
      <w:szCs w:val="24"/>
    </w:rPr>
  </w:style>
  <w:style w:type="table" w:customStyle="1" w:styleId="279">
    <w:name w:val="Table Normal11"/>
    <w:basedOn w:val="33"/>
    <w:qFormat/>
    <w:uiPriority w:val="0"/>
    <w:rPr>
      <w:rFonts w:ascii="Times New Roman" w:hAnsi="Times New Roman" w:eastAsia="Times New Roman"/>
    </w:rPr>
    <w:tblPr>
      <w:tblCellMar>
        <w:left w:w="0" w:type="dxa"/>
        <w:right w:w="0" w:type="dxa"/>
      </w:tblCellMar>
    </w:tblPr>
  </w:style>
  <w:style w:type="paragraph" w:customStyle="1" w:styleId="280">
    <w:name w:val="pdq2pg_selectionanchorcontainer"/>
    <w:basedOn w:val="1"/>
    <w:qFormat/>
    <w:uiPriority w:val="0"/>
    <w:pPr>
      <w:widowControl/>
      <w:adjustRightInd/>
      <w:spacing w:before="100" w:beforeAutospacing="1" w:after="100" w:afterAutospacing="1" w:line="240" w:lineRule="auto"/>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glossaryDocument" Target="glossary/document.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PC1/C:\Program%20Files%20(x86)\StandardEditor\template\&#22320;&#26041;&#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3E27A4E9F7140548CC23BDF87FD75C9"/>
        <w:style w:val=""/>
        <w:category>
          <w:name w:val="常规"/>
          <w:gallery w:val="placeholder"/>
        </w:category>
        <w:types>
          <w:type w:val="bbPlcHdr"/>
        </w:types>
        <w:behaviors>
          <w:behavior w:val="content"/>
        </w:behaviors>
        <w:description w:val=""/>
        <w:guid w:val="{5E5960AB-7CD7-4FBB-A7EF-D9C5744B853F}"/>
      </w:docPartPr>
      <w:docPartBody>
        <w:p>
          <w:pPr>
            <w:pStyle w:val="5"/>
          </w:pPr>
          <w:r>
            <w:rPr>
              <w:rStyle w:val="4"/>
              <w:rFonts w:hint="eastAsia"/>
            </w:rPr>
            <w:t>单击或点击此处输入文字。</w:t>
          </w:r>
        </w:p>
      </w:docPartBody>
    </w:docPart>
    <w:docPart>
      <w:docPartPr>
        <w:name w:val="A2C1B7E837AE41C4928B6920B35BC56B"/>
        <w:style w:val=""/>
        <w:category>
          <w:name w:val="常规"/>
          <w:gallery w:val="placeholder"/>
        </w:category>
        <w:types>
          <w:type w:val="bbPlcHdr"/>
        </w:types>
        <w:behaviors>
          <w:behavior w:val="content"/>
        </w:behaviors>
        <w:description w:val=""/>
        <w:guid w:val="{60875FA7-B9D0-4F6F-B79A-B49756FD691D}"/>
      </w:docPartPr>
      <w:docPartBody>
        <w:p>
          <w:pPr>
            <w:pStyle w:val="6"/>
          </w:pPr>
          <w:r>
            <w:rPr>
              <w:rStyle w:val="4"/>
              <w:rFonts w:hint="eastAsia"/>
            </w:rPr>
            <w:t>选择一项。</w:t>
          </w:r>
        </w:p>
      </w:docPartBody>
    </w:docPart>
    <w:docPart>
      <w:docPartPr>
        <w:name w:val="BD9681BF9E6C455B893B9903295B5E83"/>
        <w:style w:val=""/>
        <w:category>
          <w:name w:val="常规"/>
          <w:gallery w:val="placeholder"/>
        </w:category>
        <w:types>
          <w:type w:val="bbPlcHdr"/>
        </w:types>
        <w:behaviors>
          <w:behavior w:val="content"/>
        </w:behaviors>
        <w:description w:val=""/>
        <w:guid w:val="{83D5352B-A58C-4EBE-9EF6-E1DAEA60AC94}"/>
      </w:docPartPr>
      <w:docPartBody>
        <w:p>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Noto Sans CJK SC"/>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BB9"/>
    <w:rsid w:val="00022ED6"/>
    <w:rsid w:val="000624BE"/>
    <w:rsid w:val="000C3BB9"/>
    <w:rsid w:val="000C4CC1"/>
    <w:rsid w:val="001E1260"/>
    <w:rsid w:val="001E7133"/>
    <w:rsid w:val="002055AD"/>
    <w:rsid w:val="00330DB7"/>
    <w:rsid w:val="0037024D"/>
    <w:rsid w:val="00385186"/>
    <w:rsid w:val="004842BF"/>
    <w:rsid w:val="004C417F"/>
    <w:rsid w:val="004E013C"/>
    <w:rsid w:val="00515CDF"/>
    <w:rsid w:val="00583F95"/>
    <w:rsid w:val="005C7010"/>
    <w:rsid w:val="007038E4"/>
    <w:rsid w:val="00725AE1"/>
    <w:rsid w:val="00777C37"/>
    <w:rsid w:val="008662B5"/>
    <w:rsid w:val="009713D1"/>
    <w:rsid w:val="0097201E"/>
    <w:rsid w:val="009763F1"/>
    <w:rsid w:val="009B04A1"/>
    <w:rsid w:val="009E7379"/>
    <w:rsid w:val="00A6239C"/>
    <w:rsid w:val="00A80EC3"/>
    <w:rsid w:val="00B17E3A"/>
    <w:rsid w:val="00B925C0"/>
    <w:rsid w:val="00BB7AE0"/>
    <w:rsid w:val="00C904C9"/>
    <w:rsid w:val="00CC0896"/>
    <w:rsid w:val="00CF7AE6"/>
    <w:rsid w:val="00D848F1"/>
    <w:rsid w:val="00DF336F"/>
    <w:rsid w:val="00F11EB3"/>
    <w:rsid w:val="00F26A9C"/>
    <w:rsid w:val="00F65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semiHidden="0"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qFormat/>
    <w:uiPriority w:val="99"/>
    <w:rPr>
      <w:color w:val="808080"/>
    </w:rPr>
  </w:style>
  <w:style w:type="paragraph" w:customStyle="1" w:styleId="5">
    <w:name w:val="83E27A4E9F7140548CC23BDF87FD75C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A2C1B7E837AE41C4928B6920B35BC56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BD9681BF9E6C455B893B9903295B5E8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27</Pages>
  <Words>15237</Words>
  <Characters>17020</Characters>
  <Lines>155</Lines>
  <Paragraphs>43</Paragraphs>
  <TotalTime>216</TotalTime>
  <ScaleCrop>false</ScaleCrop>
  <LinksUpToDate>false</LinksUpToDate>
  <CharactersWithSpaces>17398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2026-09-17T00:18:00Z</dcterms:created>
  <dc:creator>ASUS</dc:creator>
  <dc:description>&lt;config cover="true" show_menu="true" version="1.0.0" doctype="SDKXY"&gt;_x000d_
&lt;/config&gt;</dc:description>
  <cp:lastModifiedBy>user</cp:lastModifiedBy>
  <cp:lastPrinted>2020-08-31T17:00:00Z</cp:lastPrinted>
  <dcterms:modified xsi:type="dcterms:W3CDTF">2026-09-21T15:43:15Z</dcterms:modified>
  <dc:title>地方标准</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2052-11.8.2.10489</vt:lpwstr>
  </property>
  <property fmtid="{D5CDD505-2E9C-101B-9397-08002B2CF9AE}" pid="16" name="ICV">
    <vt:lpwstr>795D1B0A08834D97BD55165619F19AE9_13</vt:lpwstr>
  </property>
</Properties>
</file>