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14:paraId="51AC2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BB6AEE4">
            <w:pPr>
              <w:pStyle w:val="21"/>
              <w:framePr w:wrap="notBeside" w:vAnchor="page" w:hAnchor="page" w:x="1372" w:y="568"/>
              <w:tabs>
                <w:tab w:val="clear" w:pos="4153"/>
                <w:tab w:val="clear" w:pos="8306"/>
              </w:tabs>
              <w:spacing w:line="276" w:lineRule="auto"/>
              <w:jc w:val="left"/>
              <w:rPr>
                <w:rFonts w:ascii="黑体" w:hAnsi="黑体" w:eastAsia="黑体"/>
                <w:sz w:val="21"/>
                <w:szCs w:val="21"/>
                <w:highlight w:val="none"/>
              </w:rPr>
            </w:pPr>
            <w:r>
              <w:rPr>
                <w:rFonts w:ascii="黑体" w:hAnsi="黑体" w:eastAsia="黑体"/>
                <w:sz w:val="21"/>
                <w:szCs w:val="21"/>
                <w:highlight w:val="none"/>
              </w:rPr>
              <w:t xml:space="preserve">ICS  </w:t>
            </w:r>
          </w:p>
        </w:tc>
        <w:tc>
          <w:tcPr>
            <w:tcW w:w="8855" w:type="dxa"/>
          </w:tcPr>
          <w:p w14:paraId="0512CE1E">
            <w:pPr>
              <w:pStyle w:val="21"/>
              <w:framePr w:wrap="notBeside" w:vAnchor="page" w:hAnchor="page" w:x="1372" w:y="568"/>
              <w:tabs>
                <w:tab w:val="clear" w:pos="4153"/>
                <w:tab w:val="clear" w:pos="8306"/>
              </w:tabs>
              <w:spacing w:line="276" w:lineRule="auto"/>
              <w:jc w:val="both"/>
              <w:rPr>
                <w:rFonts w:ascii="黑体" w:hAnsi="黑体" w:eastAsia="黑体"/>
                <w:sz w:val="21"/>
                <w:szCs w:val="21"/>
                <w:highlight w:val="none"/>
              </w:rPr>
            </w:pPr>
            <w:r>
              <w:rPr>
                <w:rFonts w:hint="eastAsia" w:ascii="黑体" w:hAnsi="黑体" w:eastAsia="黑体"/>
                <w:sz w:val="21"/>
                <w:szCs w:val="21"/>
                <w:highlight w:val="none"/>
              </w:rPr>
              <w:t>91.020</w:t>
            </w:r>
          </w:p>
        </w:tc>
      </w:tr>
      <w:tr w14:paraId="7B08A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F5C919F">
            <w:pPr>
              <w:pStyle w:val="21"/>
              <w:framePr w:wrap="notBeside" w:vAnchor="page" w:hAnchor="page" w:x="1372" w:y="568"/>
              <w:tabs>
                <w:tab w:val="clear" w:pos="4153"/>
                <w:tab w:val="clear" w:pos="8306"/>
              </w:tabs>
              <w:spacing w:line="276" w:lineRule="auto"/>
              <w:jc w:val="left"/>
              <w:rPr>
                <w:rFonts w:ascii="黑体" w:hAnsi="黑体" w:eastAsia="黑体"/>
                <w:sz w:val="21"/>
                <w:szCs w:val="21"/>
                <w:highlight w:val="none"/>
              </w:rPr>
            </w:pPr>
            <w:r>
              <w:rPr>
                <w:rFonts w:ascii="黑体" w:hAnsi="黑体" w:eastAsia="黑体"/>
                <w:sz w:val="21"/>
                <w:szCs w:val="21"/>
                <w:highlight w:val="none"/>
              </w:rPr>
              <w:t xml:space="preserve">CCS  </w:t>
            </w:r>
          </w:p>
        </w:tc>
        <w:tc>
          <w:tcPr>
            <w:tcW w:w="8855" w:type="dxa"/>
          </w:tcPr>
          <w:p w14:paraId="578DF1F2">
            <w:pPr>
              <w:pStyle w:val="21"/>
              <w:framePr w:wrap="notBeside" w:vAnchor="page" w:hAnchor="page" w:x="1372" w:y="568"/>
              <w:tabs>
                <w:tab w:val="clear" w:pos="4153"/>
                <w:tab w:val="clear" w:pos="8306"/>
              </w:tabs>
              <w:spacing w:line="276" w:lineRule="auto"/>
              <w:jc w:val="left"/>
              <w:rPr>
                <w:rFonts w:ascii="黑体" w:hAnsi="黑体" w:eastAsia="黑体"/>
                <w:sz w:val="21"/>
                <w:szCs w:val="21"/>
                <w:highlight w:val="none"/>
              </w:rPr>
            </w:pPr>
            <w:r>
              <w:rPr>
                <w:rFonts w:hint="eastAsia" w:ascii="黑体" w:hAnsi="黑体" w:eastAsia="黑体"/>
                <w:sz w:val="21"/>
                <w:szCs w:val="21"/>
                <w:highlight w:val="none"/>
              </w:rPr>
              <w:t>P</w:t>
            </w:r>
            <w:r>
              <w:rPr>
                <w:rFonts w:ascii="黑体" w:hAnsi="黑体" w:eastAsia="黑体"/>
                <w:sz w:val="21"/>
                <w:szCs w:val="21"/>
                <w:highlight w:val="none"/>
              </w:rPr>
              <w:t xml:space="preserve"> </w:t>
            </w:r>
            <w:r>
              <w:rPr>
                <w:rFonts w:hint="eastAsia" w:ascii="黑体" w:hAnsi="黑体" w:eastAsia="黑体"/>
                <w:sz w:val="21"/>
                <w:szCs w:val="21"/>
                <w:highlight w:val="none"/>
              </w:rPr>
              <w:t>50</w:t>
            </w:r>
          </w:p>
        </w:tc>
      </w:tr>
    </w:tbl>
    <w:tbl>
      <w:tblPr>
        <w:tblStyle w:val="33"/>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3CF0295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220A11A2">
            <w:pPr>
              <w:pStyle w:val="91"/>
              <w:framePr w:w="0" w:hRule="auto" w:wrap="auto" w:vAnchor="margin" w:hAnchor="text" w:xAlign="left" w:yAlign="inline"/>
              <w:rPr>
                <w:rFonts w:ascii="宋体" w:hAnsi="宋体"/>
                <w:sz w:val="28"/>
                <w:szCs w:val="28"/>
                <w:highlight w:val="none"/>
              </w:rPr>
            </w:pPr>
            <w:bookmarkStart w:id="0" w:name="_Hlk26473981"/>
            <w:r>
              <w:rPr>
                <w:highlight w:val="none"/>
              </w:rPr>
              <w:t>DB42</w:t>
            </w:r>
          </w:p>
        </w:tc>
      </w:tr>
    </w:tbl>
    <w:p w14:paraId="1549A91F">
      <w:pPr>
        <w:pStyle w:val="216"/>
        <w:framePr w:w="9639" w:h="624" w:hRule="exact" w:hSpace="181" w:vSpace="181" w:wrap="around" w:hAnchor="page" w:x="1305" w:y="2269"/>
        <w:rPr>
          <w:rFonts w:ascii="黑体" w:hAnsi="黑体" w:eastAsia="黑体"/>
          <w:b w:val="0"/>
          <w:bCs w:val="0"/>
          <w:w w:val="100"/>
          <w:sz w:val="48"/>
          <w:szCs w:val="48"/>
          <w:highlight w:val="none"/>
        </w:rPr>
      </w:pPr>
      <w:r>
        <w:rPr>
          <w:rFonts w:ascii="黑体" w:eastAsia="黑体"/>
          <w:b w:val="0"/>
          <w:w w:val="100"/>
          <w:sz w:val="48"/>
          <w:highlight w:val="none"/>
        </w:rPr>
        <w:fldChar w:fldCharType="begin">
          <w:ffData>
            <w:name w:val="c2"/>
            <w:enabled/>
            <w:calcOnExit w:val="0"/>
            <w:textInput/>
          </w:ffData>
        </w:fldChar>
      </w:r>
      <w:bookmarkStart w:id="1" w:name="c2"/>
      <w:r>
        <w:rPr>
          <w:rFonts w:ascii="黑体" w:eastAsia="黑体"/>
          <w:b w:val="0"/>
          <w:w w:val="100"/>
          <w:sz w:val="48"/>
          <w:highlight w:val="none"/>
        </w:rPr>
        <w:instrText xml:space="preserve"> FORMTEXT </w:instrText>
      </w:r>
      <w:r>
        <w:rPr>
          <w:rFonts w:ascii="黑体" w:eastAsia="黑体"/>
          <w:b w:val="0"/>
          <w:w w:val="100"/>
          <w:sz w:val="48"/>
          <w:highlight w:val="none"/>
        </w:rPr>
        <w:fldChar w:fldCharType="separate"/>
      </w:r>
      <w:r>
        <w:rPr>
          <w:rFonts w:hint="eastAsia" w:ascii="黑体" w:eastAsia="黑体"/>
          <w:b w:val="0"/>
          <w:w w:val="100"/>
          <w:sz w:val="48"/>
          <w:highlight w:val="none"/>
        </w:rPr>
        <w:t>湖北省</w:t>
      </w:r>
      <w:r>
        <w:rPr>
          <w:rFonts w:ascii="黑体" w:eastAsia="黑体"/>
          <w:b w:val="0"/>
          <w:w w:val="100"/>
          <w:sz w:val="48"/>
          <w:highlight w:val="none"/>
        </w:rPr>
        <w:fldChar w:fldCharType="end"/>
      </w:r>
      <w:bookmarkEnd w:id="1"/>
      <w:r>
        <w:rPr>
          <w:rFonts w:hint="eastAsia" w:ascii="黑体" w:hAnsi="黑体" w:eastAsia="黑体"/>
          <w:b w:val="0"/>
          <w:bCs w:val="0"/>
          <w:w w:val="100"/>
          <w:sz w:val="48"/>
          <w:szCs w:val="48"/>
          <w:highlight w:val="none"/>
        </w:rPr>
        <w:t>地方标准</w:t>
      </w:r>
    </w:p>
    <w:bookmarkEnd w:id="0"/>
    <w:p w14:paraId="489AA05C">
      <w:pPr>
        <w:pStyle w:val="135"/>
        <w:rPr>
          <w:highlight w:val="none"/>
          <w:lang w:val="fr-FR"/>
        </w:rPr>
      </w:pPr>
      <w:r>
        <w:rPr>
          <w:highlight w:val="none"/>
          <w:lang w:val="fr-FR"/>
        </w:rPr>
        <w:t>DB</w:t>
      </w:r>
      <w:r>
        <w:rPr>
          <w:highlight w:val="none"/>
        </w:rPr>
        <w:fldChar w:fldCharType="begin">
          <w:ffData>
            <w:name w:val="文字1"/>
            <w:enabled/>
            <w:calcOnExit w:val="0"/>
            <w:textInput>
              <w:default w:val="XX/T"/>
            </w:textInput>
          </w:ffData>
        </w:fldChar>
      </w:r>
      <w:bookmarkStart w:id="2" w:name="文字1"/>
      <w:r>
        <w:rPr>
          <w:highlight w:val="none"/>
          <w:lang w:val="fr-FR"/>
        </w:rPr>
        <w:instrText xml:space="preserve"> FORMTEXT </w:instrText>
      </w:r>
      <w:r>
        <w:rPr>
          <w:highlight w:val="none"/>
        </w:rPr>
        <w:fldChar w:fldCharType="separate"/>
      </w:r>
      <w:r>
        <w:rPr>
          <w:highlight w:val="none"/>
          <w:lang w:val="fr-FR"/>
        </w:rPr>
        <w:t>42/T</w:t>
      </w:r>
      <w:r>
        <w:rPr>
          <w:highlight w:val="none"/>
        </w:rPr>
        <w:fldChar w:fldCharType="end"/>
      </w:r>
      <w:bookmarkEnd w:id="2"/>
      <w:r>
        <w:rPr>
          <w:highlight w:val="none"/>
          <w:lang w:val="fr-FR"/>
        </w:rPr>
        <w:t xml:space="preserve"> </w:t>
      </w:r>
      <w:r>
        <w:rPr>
          <w:highlight w:val="none"/>
        </w:rPr>
        <w:fldChar w:fldCharType="begin">
          <w:ffData>
            <w:name w:val="NSTD_CODE_F"/>
            <w:enabled/>
            <w:calcOnExit w:val="0"/>
            <w:textInput>
              <w:default w:val="XXXX"/>
            </w:textInput>
          </w:ffData>
        </w:fldChar>
      </w:r>
      <w:bookmarkStart w:id="3" w:name="NSTD_CODE_F"/>
      <w:r>
        <w:rPr>
          <w:highlight w:val="none"/>
          <w:lang w:val="fr-FR"/>
        </w:rPr>
        <w:instrText xml:space="preserve"> FORMTEXT </w:instrText>
      </w:r>
      <w:r>
        <w:rPr>
          <w:highlight w:val="none"/>
        </w:rPr>
        <w:fldChar w:fldCharType="separate"/>
      </w:r>
      <w:r>
        <w:rPr>
          <w:highlight w:val="none"/>
          <w:lang w:val="fr-FR"/>
        </w:rPr>
        <w:t>XXXX</w:t>
      </w:r>
      <w:r>
        <w:rPr>
          <w:highlight w:val="none"/>
        </w:rPr>
        <w:fldChar w:fldCharType="end"/>
      </w:r>
      <w:bookmarkEnd w:id="3"/>
      <w:r>
        <w:rPr>
          <w:rFonts w:hAnsi="黑体"/>
          <w:highlight w:val="none"/>
          <w:lang w:val="fr-FR"/>
        </w:rPr>
        <w:t>—</w:t>
      </w:r>
      <w:r>
        <w:rPr>
          <w:highlight w:val="none"/>
        </w:rPr>
        <w:fldChar w:fldCharType="begin">
          <w:ffData>
            <w:name w:val="NSTD_CODE_B"/>
            <w:enabled/>
            <w:calcOnExit w:val="0"/>
            <w:textInput>
              <w:default w:val="XXXX"/>
            </w:textInput>
          </w:ffData>
        </w:fldChar>
      </w:r>
      <w:bookmarkStart w:id="4" w:name="NSTD_CODE_B"/>
      <w:r>
        <w:rPr>
          <w:highlight w:val="none"/>
          <w:lang w:val="fr-FR"/>
        </w:rPr>
        <w:instrText xml:space="preserve"> FORMTEXT </w:instrText>
      </w:r>
      <w:r>
        <w:rPr>
          <w:highlight w:val="none"/>
        </w:rPr>
        <w:fldChar w:fldCharType="separate"/>
      </w:r>
      <w:r>
        <w:rPr>
          <w:highlight w:val="none"/>
          <w:lang w:val="fr-FR"/>
        </w:rPr>
        <w:t>XXXX</w:t>
      </w:r>
      <w:r>
        <w:rPr>
          <w:highlight w:val="none"/>
        </w:rPr>
        <w:fldChar w:fldCharType="end"/>
      </w:r>
      <w:bookmarkEnd w:id="4"/>
    </w:p>
    <w:p w14:paraId="332EB990">
      <w:pPr>
        <w:pStyle w:val="247"/>
        <w:rPr>
          <w:highlight w:val="none"/>
        </w:rPr>
      </w:pPr>
      <w:r>
        <w:rPr>
          <w:highlight w:val="none"/>
        </w:rPr>
        <w:fldChar w:fldCharType="begin">
          <w:ffData>
            <w:name w:val="OSTD_CODE"/>
            <w:enabled/>
            <w:calcOnExit w:val="0"/>
            <w:textInput/>
          </w:ffData>
        </w:fldChar>
      </w:r>
      <w:bookmarkStart w:id="5" w:name="OSTD_CODE"/>
      <w:r>
        <w:rPr>
          <w:highlight w:val="none"/>
        </w:rPr>
        <w:instrText xml:space="preserve"> FORMTEXT </w:instrText>
      </w:r>
      <w:r>
        <w:rPr>
          <w:highlight w:val="none"/>
        </w:rPr>
        <w:fldChar w:fldCharType="separate"/>
      </w:r>
      <w:r>
        <w:rPr>
          <w:highlight w:val="none"/>
        </w:rPr>
        <w:t>     </w:t>
      </w:r>
      <w:r>
        <w:rPr>
          <w:highlight w:val="none"/>
        </w:rPr>
        <w:fldChar w:fldCharType="end"/>
      </w:r>
      <w:bookmarkEnd w:id="5"/>
    </w:p>
    <w:p w14:paraId="494F4803">
      <w:pPr>
        <w:pStyle w:val="44"/>
        <w:rPr>
          <w:highlight w:val="none"/>
        </w:rPr>
      </w:pPr>
      <w:r>
        <w:rPr>
          <w:highlight w:val="none"/>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2"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直接连接符 73"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YrLBAOUBAACr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3zKmROW&#10;Bn775efvz9/+/PpK5+2P7+zVy6RS57Gk4IVbhcRT9u7aX4H8hMzBohVuo3K3N3tPEJOUUTxISQZ6&#10;qrXu3kFNMWIbIUvWN8EmSBKD9Xky+9NkVB+ZpMfzCa3OmIYmj75ClMdEHzC+VWBZulTcaJdEE6XY&#10;XWFMjYjyGJKeHVxqY/LgjWNdxd+cTc9yAoLRdXKmMAyb9cIEthNpdfKXWZHnfliArauHIsYdSCee&#10;g2JrqPercBSDZpi7OexbWpL7ds6++8fm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YrLB&#10;AOUBAACrAwAADgAAAAAAAAABACAAAAAnAQAAZHJzL2Uyb0RvYy54bWxQSwUGAAAAAAYABgBZAQAA&#10;fgUAAAAA&#10;">
                <v:fill on="f" focussize="0,0"/>
                <v:stroke color="#000000" joinstyle="round"/>
                <v:imagedata o:title=""/>
                <o:lock v:ext="edit" aspectratio="f"/>
              </v:line>
            </w:pict>
          </mc:Fallback>
        </mc:AlternateContent>
      </w:r>
    </w:p>
    <w:p w14:paraId="49E9D76A">
      <w:pPr>
        <w:pStyle w:val="44"/>
        <w:rPr>
          <w:highlight w:val="none"/>
        </w:rPr>
      </w:pPr>
    </w:p>
    <w:p w14:paraId="2EFB58E4">
      <w:pPr>
        <w:pStyle w:val="44"/>
        <w:rPr>
          <w:highlight w:val="none"/>
        </w:rPr>
      </w:pPr>
    </w:p>
    <w:p w14:paraId="0EB9FC9C">
      <w:pPr>
        <w:pStyle w:val="181"/>
        <w:framePr w:wrap="around" w:y="14176"/>
        <w:rPr>
          <w:highlight w:val="none"/>
        </w:rPr>
      </w:pPr>
      <w:r>
        <w:rPr>
          <w:rFonts w:ascii="黑体"/>
          <w:highlight w:val="none"/>
        </w:rPr>
        <w:fldChar w:fldCharType="begin">
          <w:ffData>
            <w:name w:val="PLSH_DATE_Y"/>
            <w:enabled/>
            <w:calcOnExit w:val="0"/>
            <w:textInput>
              <w:default w:val="XXXX"/>
              <w:maxLength w:val="4"/>
            </w:textInput>
          </w:ffData>
        </w:fldChar>
      </w:r>
      <w:bookmarkStart w:id="6" w:name="PLSH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6"/>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M"/>
            <w:enabled/>
            <w:calcOnExit w:val="0"/>
            <w:textInput>
              <w:default w:val="XX"/>
              <w:maxLength w:val="2"/>
            </w:textInput>
          </w:ffData>
        </w:fldChar>
      </w:r>
      <w:bookmarkStart w:id="7"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7"/>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D"/>
            <w:enabled/>
            <w:calcOnExit w:val="0"/>
            <w:textInput>
              <w:default w:val="XX"/>
              <w:maxLength w:val="2"/>
            </w:textInput>
          </w:ffData>
        </w:fldChar>
      </w:r>
      <w:bookmarkStart w:id="8"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8"/>
      <w:r>
        <w:rPr>
          <w:rFonts w:hint="eastAsia"/>
          <w:highlight w:val="none"/>
        </w:rPr>
        <w:t>发布</w:t>
      </w:r>
    </w:p>
    <w:p w14:paraId="719FF1F0">
      <w:pPr>
        <w:pStyle w:val="200"/>
        <w:framePr w:wrap="around" w:y="14176"/>
        <w:rPr>
          <w:highlight w:val="none"/>
        </w:rPr>
      </w:pPr>
      <w:r>
        <w:rPr>
          <w:rFonts w:ascii="黑体"/>
          <w:highlight w:val="none"/>
        </w:rPr>
        <w:fldChar w:fldCharType="begin">
          <w:ffData>
            <w:name w:val="CROT_DATE_Y"/>
            <w:enabled/>
            <w:calcOnExit w:val="0"/>
            <w:textInput>
              <w:default w:val="XXXX"/>
              <w:maxLength w:val="4"/>
            </w:textInput>
          </w:ffData>
        </w:fldChar>
      </w:r>
      <w:bookmarkStart w:id="9" w:name="CROT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9"/>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M"/>
            <w:enabled/>
            <w:calcOnExit w:val="0"/>
            <w:textInput>
              <w:default w:val="XX"/>
              <w:maxLength w:val="2"/>
            </w:textInput>
          </w:ffData>
        </w:fldChar>
      </w:r>
      <w:bookmarkStart w:id="10"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0"/>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D"/>
            <w:enabled/>
            <w:calcOnExit w:val="0"/>
            <w:textInput>
              <w:default w:val="XX"/>
              <w:maxLength w:val="2"/>
            </w:textInput>
          </w:ffData>
        </w:fldChar>
      </w:r>
      <w:bookmarkStart w:id="11"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1"/>
      <w:r>
        <w:rPr>
          <w:rFonts w:hint="eastAsia"/>
          <w:highlight w:val="none"/>
        </w:rPr>
        <w:t>实施</w:t>
      </w:r>
    </w:p>
    <w:tbl>
      <w:tblPr>
        <w:tblStyle w:val="32"/>
        <w:tblW w:w="0" w:type="auto"/>
        <w:tblInd w:w="0" w:type="dxa"/>
        <w:tblLayout w:type="fixed"/>
        <w:tblCellMar>
          <w:top w:w="0" w:type="dxa"/>
          <w:left w:w="108" w:type="dxa"/>
          <w:bottom w:w="0" w:type="dxa"/>
          <w:right w:w="108" w:type="dxa"/>
        </w:tblCellMar>
      </w:tblPr>
      <w:tblGrid>
        <w:gridCol w:w="5019"/>
        <w:gridCol w:w="3453"/>
      </w:tblGrid>
      <w:tr w14:paraId="359F0130">
        <w:tblPrEx>
          <w:tblCellMar>
            <w:top w:w="0" w:type="dxa"/>
            <w:left w:w="108" w:type="dxa"/>
            <w:bottom w:w="0" w:type="dxa"/>
            <w:right w:w="108" w:type="dxa"/>
          </w:tblCellMar>
        </w:tblPrEx>
        <w:tc>
          <w:tcPr>
            <w:tcW w:w="5019" w:type="dxa"/>
          </w:tcPr>
          <w:p w14:paraId="59C62526">
            <w:pPr>
              <w:pStyle w:val="122"/>
              <w:framePr w:h="984" w:hRule="exact" w:hSpace="181" w:vSpace="181" w:wrap="around" w:vAnchor="page" w:hAnchor="page" w:x="2415" w:y="15076"/>
              <w:jc w:val="distribute"/>
              <w:rPr>
                <w:rFonts w:ascii="Times New Roman"/>
                <w:sz w:val="28"/>
                <w:szCs w:val="16"/>
                <w:highlight w:val="none"/>
              </w:rPr>
            </w:pPr>
            <w:r>
              <w:rPr>
                <w:rFonts w:ascii="Times New Roman"/>
                <w:sz w:val="28"/>
                <w:szCs w:val="16"/>
                <w:highlight w:val="none"/>
              </w:rPr>
              <w:t>湖北省住房和城乡建设厅</w:t>
            </w:r>
          </w:p>
        </w:tc>
        <w:tc>
          <w:tcPr>
            <w:tcW w:w="3453" w:type="dxa"/>
            <w:vMerge w:val="restart"/>
            <w:vAlign w:val="center"/>
          </w:tcPr>
          <w:p w14:paraId="555C8499">
            <w:pPr>
              <w:pStyle w:val="122"/>
              <w:framePr w:h="984" w:hRule="exact" w:hSpace="181" w:vSpace="181" w:wrap="around" w:vAnchor="page" w:hAnchor="page" w:x="2415" w:y="15076"/>
              <w:rPr>
                <w:rFonts w:ascii="Times New Roman"/>
                <w:highlight w:val="none"/>
              </w:rPr>
            </w:pPr>
            <w:r>
              <w:rPr>
                <w:rStyle w:val="153"/>
                <w:rFonts w:ascii="Times New Roman"/>
                <w:highlight w:val="none"/>
              </w:rPr>
              <w:t>联合发布</w:t>
            </w:r>
          </w:p>
        </w:tc>
      </w:tr>
      <w:tr w14:paraId="13F3C869">
        <w:tblPrEx>
          <w:tblCellMar>
            <w:top w:w="0" w:type="dxa"/>
            <w:left w:w="108" w:type="dxa"/>
            <w:bottom w:w="0" w:type="dxa"/>
            <w:right w:w="108" w:type="dxa"/>
          </w:tblCellMar>
        </w:tblPrEx>
        <w:tc>
          <w:tcPr>
            <w:tcW w:w="5019" w:type="dxa"/>
          </w:tcPr>
          <w:p w14:paraId="55F9EFDE">
            <w:pPr>
              <w:pStyle w:val="122"/>
              <w:framePr w:h="984" w:hRule="exact" w:hSpace="181" w:vSpace="181" w:wrap="around" w:vAnchor="page" w:hAnchor="page" w:x="2415" w:y="15076"/>
              <w:jc w:val="distribute"/>
              <w:rPr>
                <w:rFonts w:ascii="Times New Roman"/>
                <w:sz w:val="28"/>
                <w:szCs w:val="16"/>
                <w:highlight w:val="none"/>
              </w:rPr>
            </w:pPr>
            <w:r>
              <w:rPr>
                <w:rFonts w:ascii="Times New Roman"/>
                <w:sz w:val="28"/>
                <w:szCs w:val="16"/>
                <w:highlight w:val="none"/>
              </w:rPr>
              <w:t xml:space="preserve">湖北省市场监督管理局    </w:t>
            </w:r>
          </w:p>
        </w:tc>
        <w:tc>
          <w:tcPr>
            <w:tcW w:w="3453" w:type="dxa"/>
            <w:vMerge w:val="continue"/>
          </w:tcPr>
          <w:p w14:paraId="717796FD">
            <w:pPr>
              <w:pStyle w:val="122"/>
              <w:framePr w:h="984" w:hRule="exact" w:hSpace="181" w:vSpace="181" w:wrap="around" w:vAnchor="page" w:hAnchor="page" w:x="2415" w:y="15076"/>
              <w:jc w:val="both"/>
              <w:rPr>
                <w:rFonts w:ascii="Times New Roman"/>
                <w:highlight w:val="none"/>
              </w:rPr>
            </w:pPr>
          </w:p>
        </w:tc>
      </w:tr>
    </w:tbl>
    <w:p w14:paraId="27392ED5">
      <w:pPr>
        <w:pStyle w:val="102"/>
        <w:rPr>
          <w:highlight w:val="none"/>
        </w:rPr>
      </w:pPr>
      <w:bookmarkStart w:id="12" w:name="CSTD_NAME"/>
      <w:r>
        <w:rPr>
          <w:rFonts w:hint="eastAsia" w:ascii="黑体" w:hAnsi="黑体" w:eastAsia="黑体" w:cs="Times New Roman"/>
          <w:bCs/>
          <w:sz w:val="52"/>
          <w:highlight w:val="none"/>
          <w:lang w:val="en-US" w:eastAsia="zh-CN" w:bidi="ar-SA"/>
        </w:rPr>
        <w:fldChar w:fldCharType="begin">
          <w:ffData>
            <w:name w:val="CSTD_NAME"/>
            <w:enabled/>
            <w:calcOnExit w:val="0"/>
            <w:textInput>
              <w:default w:val="城市更新单元体检评估技术规程"/>
            </w:textInput>
          </w:ffData>
        </w:fldChar>
      </w:r>
      <w:r>
        <w:rPr>
          <w:rFonts w:hint="eastAsia" w:ascii="黑体" w:hAnsi="黑体" w:eastAsia="黑体" w:cs="Times New Roman"/>
          <w:bCs/>
          <w:sz w:val="52"/>
          <w:highlight w:val="none"/>
          <w:lang w:val="en-US" w:eastAsia="zh-CN" w:bidi="ar-SA"/>
        </w:rPr>
        <w:instrText xml:space="preserve">FORMTEXT</w:instrText>
      </w:r>
      <w:r>
        <w:rPr>
          <w:rFonts w:hint="eastAsia" w:ascii="黑体" w:hAnsi="黑体" w:eastAsia="黑体" w:cs="Times New Roman"/>
          <w:bCs/>
          <w:sz w:val="52"/>
          <w:highlight w:val="none"/>
          <w:lang w:val="en-US" w:eastAsia="zh-CN" w:bidi="ar-SA"/>
        </w:rPr>
        <w:fldChar w:fldCharType="separate"/>
      </w:r>
      <w:r>
        <w:rPr>
          <w:rFonts w:hint="eastAsia" w:ascii="黑体" w:hAnsi="黑体" w:eastAsia="黑体" w:cs="Times New Roman"/>
          <w:bCs/>
          <w:sz w:val="52"/>
          <w:highlight w:val="none"/>
          <w:lang w:val="en-US" w:eastAsia="zh-CN" w:bidi="ar-SA"/>
        </w:rPr>
        <w:t>城市更新单元体检评估技术规程</w:t>
      </w:r>
      <w:r>
        <w:rPr>
          <w:rFonts w:hint="eastAsia" w:ascii="黑体" w:hAnsi="黑体" w:eastAsia="黑体" w:cs="Times New Roman"/>
          <w:bCs/>
          <w:sz w:val="52"/>
          <w:highlight w:val="none"/>
          <w:lang w:val="en-US" w:eastAsia="zh-CN" w:bidi="ar-SA"/>
        </w:rPr>
        <w:fldChar w:fldCharType="end"/>
      </w:r>
      <w:bookmarkEnd w:id="12"/>
    </w:p>
    <w:p w14:paraId="37CDE12A">
      <w:pPr>
        <w:framePr w:w="9639" w:h="6974" w:hRule="exact" w:wrap="around" w:vAnchor="page" w:hAnchor="page" w:x="1419" w:y="6408" w:anchorLock="1"/>
        <w:spacing w:before="60" w:after="120"/>
        <w:ind w:left="-1418"/>
        <w:jc w:val="both"/>
        <w:rPr>
          <w:highlight w:val="none"/>
        </w:rPr>
      </w:pPr>
    </w:p>
    <w:p w14:paraId="2A3AAF84">
      <w:pPr>
        <w:framePr w:w="9639" w:h="6974" w:hRule="exact" w:wrap="around" w:vAnchor="page" w:hAnchor="page" w:x="1419" w:y="6408" w:anchorLock="1"/>
        <w:spacing w:before="60" w:after="120"/>
        <w:ind w:left="-1418"/>
        <w:rPr>
          <w:highlight w:val="none"/>
        </w:rPr>
      </w:pPr>
    </w:p>
    <w:p w14:paraId="713B5F0D">
      <w:pPr>
        <w:pStyle w:val="232"/>
        <w:framePr w:w="9639" w:h="6974" w:hRule="exact" w:wrap="around" w:vAnchor="page" w:hAnchor="page" w:x="1419" w:y="6408" w:anchorLock="1"/>
        <w:textAlignment w:val="bottom"/>
        <w:rPr>
          <w:rFonts w:ascii="黑体" w:hAnsi="黑体" w:eastAsia="黑体"/>
          <w:szCs w:val="28"/>
          <w:highlight w:val="none"/>
        </w:rPr>
      </w:pPr>
      <w:r>
        <w:rPr>
          <w:rFonts w:ascii="黑体" w:hAnsi="黑体" w:eastAsia="黑体"/>
          <w:szCs w:val="28"/>
          <w:highlight w:val="none"/>
        </w:rPr>
        <w:t xml:space="preserve">Technical Specification for Health Check and Assessment </w:t>
      </w:r>
    </w:p>
    <w:p w14:paraId="4370C5AE">
      <w:pPr>
        <w:pStyle w:val="232"/>
        <w:framePr w:w="9639" w:h="6974" w:hRule="exact" w:wrap="around" w:vAnchor="page" w:hAnchor="page" w:x="1419" w:y="6408" w:anchorLock="1"/>
        <w:textAlignment w:val="bottom"/>
        <w:rPr>
          <w:rFonts w:ascii="黑体" w:hAnsi="黑体" w:eastAsia="黑体"/>
          <w:szCs w:val="28"/>
          <w:highlight w:val="none"/>
        </w:rPr>
      </w:pPr>
      <w:r>
        <w:rPr>
          <w:rFonts w:ascii="黑体" w:hAnsi="黑体" w:eastAsia="黑体"/>
          <w:szCs w:val="28"/>
          <w:highlight w:val="none"/>
        </w:rPr>
        <w:t>of Urban Renewal Units</w:t>
      </w:r>
    </w:p>
    <w:p w14:paraId="116DE268">
      <w:pPr>
        <w:framePr w:w="9639" w:h="6974" w:hRule="exact" w:wrap="around" w:vAnchor="page" w:hAnchor="page" w:x="1419" w:y="6408" w:anchorLock="1"/>
        <w:spacing w:before="60" w:after="120" w:line="760" w:lineRule="exact"/>
        <w:ind w:left="-1418"/>
        <w:jc w:val="center"/>
        <w:rPr>
          <w:highlight w:val="none"/>
        </w:rPr>
      </w:pPr>
    </w:p>
    <w:p w14:paraId="6D4C3743">
      <w:pPr>
        <w:pStyle w:val="232"/>
        <w:framePr w:w="9639" w:h="6974" w:hRule="exact" w:wrap="around" w:vAnchor="page" w:hAnchor="page" w:x="1419" w:y="6408" w:anchorLock="1"/>
        <w:pBdr>
          <w:top w:val="none" w:color="auto" w:sz="0" w:space="0"/>
          <w:left w:val="none" w:color="auto" w:sz="0" w:space="0"/>
          <w:bottom w:val="none" w:color="auto" w:sz="0" w:space="0"/>
          <w:right w:val="none" w:color="auto" w:sz="0" w:space="0"/>
        </w:pBdr>
        <w:spacing w:before="180" w:line="240" w:lineRule="atLeast"/>
        <w:textAlignment w:val="bottom"/>
        <w:rPr>
          <w:sz w:val="24"/>
          <w:szCs w:val="28"/>
        </w:rPr>
      </w:pPr>
      <w:r>
        <w:rPr>
          <w:rFonts w:hint="eastAsia"/>
          <w:sz w:val="24"/>
          <w:szCs w:val="28"/>
        </w:rPr>
        <w:t>（征求意见稿）</w:t>
      </w:r>
    </w:p>
    <w:p w14:paraId="69764536">
      <w:pPr>
        <w:pStyle w:val="232"/>
        <w:framePr w:w="9639" w:h="6974" w:hRule="exact" w:wrap="around" w:vAnchor="page" w:hAnchor="page" w:x="1419" w:y="6408" w:anchorLock="1"/>
        <w:textAlignment w:val="bottom"/>
        <w:rPr>
          <w:rFonts w:eastAsia="黑体"/>
          <w:szCs w:val="28"/>
          <w:highlight w:val="none"/>
        </w:rPr>
      </w:pPr>
    </w:p>
    <w:p w14:paraId="20F686C5">
      <w:pPr>
        <w:pStyle w:val="232"/>
        <w:framePr w:w="9639" w:h="6974" w:hRule="exact" w:wrap="around" w:vAnchor="page" w:hAnchor="page" w:x="1419" w:y="6408" w:anchorLock="1"/>
        <w:spacing w:before="180" w:line="240" w:lineRule="atLeast"/>
        <w:textAlignment w:val="bottom"/>
        <w:rPr>
          <w:sz w:val="21"/>
          <w:szCs w:val="28"/>
          <w:highlight w:val="none"/>
        </w:rPr>
      </w:pPr>
    </w:p>
    <w:p w14:paraId="3C32A5B0">
      <w:pPr>
        <w:pStyle w:val="232"/>
        <w:framePr w:w="9639" w:h="6974" w:hRule="exact" w:wrap="around" w:vAnchor="page" w:hAnchor="page" w:x="1419" w:y="6408" w:anchorLock="1"/>
        <w:spacing w:before="720" w:beforeLines="300" w:after="72" w:afterLines="30" w:line="240" w:lineRule="auto"/>
        <w:textAlignment w:val="bottom"/>
        <w:rPr>
          <w:b/>
          <w:sz w:val="21"/>
          <w:szCs w:val="28"/>
          <w:highlight w:val="none"/>
        </w:rPr>
      </w:pPr>
    </w:p>
    <w:p w14:paraId="5BC6C009">
      <w:pPr>
        <w:pStyle w:val="44"/>
        <w:rPr>
          <w:highlight w:val="none"/>
        </w:rPr>
        <w:sectPr>
          <w:headerReference r:id="rId6" w:type="first"/>
          <w:headerReference r:id="rId5" w:type="default"/>
          <w:footerReference r:id="rId7" w:type="even"/>
          <w:type w:val="continuous"/>
          <w:pgSz w:w="11906" w:h="16838"/>
          <w:pgMar w:top="-338" w:right="1134" w:bottom="1021" w:left="1134" w:header="0" w:footer="0" w:gutter="284"/>
          <w:pgNumType w:fmt="upperRoman"/>
          <w:cols w:space="425" w:num="1"/>
          <w:titlePg/>
          <w:docGrid w:linePitch="312" w:charSpace="0"/>
        </w:sectPr>
      </w:pPr>
      <w:r>
        <w:rPr>
          <w:rFonts w:hint="eastAsia"/>
          <w:highlight w:val="none"/>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4"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直接连接符 5"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BYYnuMB&#10;AACqAwAADgAAAAAAAAABACAAAAAmAQAAZHJzL2Uyb0RvYy54bWxQSwUGAAAAAAYABgBZAQAAewUA&#10;AAAA&#10;">
                <v:fill on="f" focussize="0,0"/>
                <v:stroke color="#000000" joinstyle="round"/>
                <v:imagedata o:title=""/>
                <o:lock v:ext="edit" aspectratio="f"/>
                <w10:anchorlock/>
              </v:line>
            </w:pict>
          </mc:Fallback>
        </mc:AlternateContent>
      </w:r>
    </w:p>
    <w:p w14:paraId="0FAE563B">
      <w:pPr>
        <w:pStyle w:val="128"/>
        <w:rPr>
          <w:highlight w:val="none"/>
        </w:rPr>
      </w:pPr>
      <w:bookmarkStart w:id="13" w:name="BookMark1"/>
      <w:bookmarkStart w:id="14" w:name="_Toc132017399"/>
      <w:bookmarkStart w:id="15" w:name="_Toc172539785"/>
      <w:r>
        <w:rPr>
          <w:rFonts w:hint="eastAsia"/>
          <w:spacing w:val="320"/>
          <w:highlight w:val="none"/>
        </w:rPr>
        <w:t>目</w:t>
      </w:r>
      <w:r>
        <w:rPr>
          <w:rFonts w:hint="eastAsia"/>
          <w:highlight w:val="none"/>
        </w:rPr>
        <w:t>次</w:t>
      </w:r>
    </w:p>
    <w:p w14:paraId="1A79713A">
      <w:pPr>
        <w:pStyle w:val="22"/>
      </w:pPr>
      <w:r>
        <w:rPr>
          <w:highlight w:val="none"/>
        </w:rPr>
        <w:fldChar w:fldCharType="begin"/>
      </w:r>
      <w:r>
        <w:rPr>
          <w:highlight w:val="none"/>
        </w:rPr>
        <w:instrText xml:space="preserve"> TOC \o "1-1" \h \t "标准文件_一级条标题,2,标准文件_附录一级条标题,2," </w:instrText>
      </w:r>
      <w:r>
        <w:rPr>
          <w:highlight w:val="none"/>
        </w:rPr>
        <w:fldChar w:fldCharType="separate"/>
      </w:r>
      <w:r>
        <w:rPr>
          <w:highlight w:val="none"/>
        </w:rPr>
        <w:fldChar w:fldCharType="begin"/>
      </w:r>
      <w:r>
        <w:rPr>
          <w:highlight w:val="none"/>
        </w:rPr>
        <w:instrText xml:space="preserve"> HYPERLINK \l _Toc19406 </w:instrText>
      </w:r>
      <w:r>
        <w:rPr>
          <w:highlight w:val="none"/>
        </w:rPr>
        <w:fldChar w:fldCharType="separate"/>
      </w:r>
      <w:r>
        <w:rPr>
          <w:highlight w:val="none"/>
        </w:rPr>
        <w:t>前</w:t>
      </w:r>
      <w:r>
        <w:rPr>
          <w:rFonts w:hint="eastAsia"/>
          <w:highlight w:val="none"/>
        </w:rPr>
        <w:t xml:space="preserve"> </w:t>
      </w:r>
      <w:r>
        <w:rPr>
          <w:highlight w:val="none"/>
        </w:rPr>
        <w:t xml:space="preserve">  言</w:t>
      </w:r>
      <w:r>
        <w:tab/>
      </w:r>
      <w:r>
        <w:fldChar w:fldCharType="begin"/>
      </w:r>
      <w:r>
        <w:instrText xml:space="preserve"> PAGEREF _Toc19406 \h </w:instrText>
      </w:r>
      <w:r>
        <w:fldChar w:fldCharType="separate"/>
      </w:r>
      <w:r>
        <w:t>III</w:t>
      </w:r>
      <w:r>
        <w:fldChar w:fldCharType="end"/>
      </w:r>
      <w:r>
        <w:rPr>
          <w:highlight w:val="none"/>
        </w:rPr>
        <w:fldChar w:fldCharType="end"/>
      </w:r>
    </w:p>
    <w:p w14:paraId="616C7514">
      <w:pPr>
        <w:pStyle w:val="22"/>
      </w:pPr>
      <w:r>
        <w:rPr>
          <w:highlight w:val="none"/>
        </w:rPr>
        <w:fldChar w:fldCharType="begin"/>
      </w:r>
      <w:r>
        <w:rPr>
          <w:highlight w:val="none"/>
        </w:rPr>
        <w:instrText xml:space="preserve"> HYPERLINK \l _Toc29782 </w:instrText>
      </w:r>
      <w:r>
        <w:rPr>
          <w:highlight w:val="none"/>
        </w:rPr>
        <w:fldChar w:fldCharType="separate"/>
      </w:r>
      <w:r>
        <w:rPr>
          <w:rFonts w:hint="eastAsia"/>
          <w:highlight w:val="none"/>
        </w:rPr>
        <w:t xml:space="preserve">引 </w:t>
      </w:r>
      <w:r>
        <w:rPr>
          <w:highlight w:val="none"/>
        </w:rPr>
        <w:t xml:space="preserve">  </w:t>
      </w:r>
      <w:r>
        <w:rPr>
          <w:rFonts w:hint="eastAsia"/>
          <w:highlight w:val="none"/>
        </w:rPr>
        <w:t>言</w:t>
      </w:r>
      <w:r>
        <w:tab/>
      </w:r>
      <w:r>
        <w:fldChar w:fldCharType="begin"/>
      </w:r>
      <w:r>
        <w:instrText xml:space="preserve"> PAGEREF _Toc29782 \h </w:instrText>
      </w:r>
      <w:r>
        <w:fldChar w:fldCharType="separate"/>
      </w:r>
      <w:r>
        <w:t>IV</w:t>
      </w:r>
      <w:r>
        <w:fldChar w:fldCharType="end"/>
      </w:r>
      <w:r>
        <w:rPr>
          <w:highlight w:val="none"/>
        </w:rPr>
        <w:fldChar w:fldCharType="end"/>
      </w:r>
    </w:p>
    <w:p w14:paraId="2A62E223">
      <w:pPr>
        <w:pStyle w:val="22"/>
      </w:pPr>
      <w:r>
        <w:rPr>
          <w:highlight w:val="none"/>
        </w:rPr>
        <w:fldChar w:fldCharType="begin"/>
      </w:r>
      <w:r>
        <w:rPr>
          <w:highlight w:val="none"/>
        </w:rPr>
        <w:instrText xml:space="preserve"> HYPERLINK \l _Toc20309 </w:instrText>
      </w:r>
      <w:r>
        <w:rPr>
          <w:highlight w:val="none"/>
        </w:rPr>
        <w:fldChar w:fldCharType="separate"/>
      </w:r>
      <w:r>
        <w:rPr>
          <w:rFonts w:hint="eastAsia" w:ascii="黑体" w:eastAsia="黑体"/>
          <w:i w:val="0"/>
        </w:rPr>
        <w:t xml:space="preserve">1 </w:t>
      </w:r>
      <w:r>
        <w:rPr>
          <w:rFonts w:hint="eastAsia"/>
          <w:highlight w:val="none"/>
        </w:rPr>
        <w:t>范围</w:t>
      </w:r>
      <w:r>
        <w:tab/>
      </w:r>
      <w:r>
        <w:fldChar w:fldCharType="begin"/>
      </w:r>
      <w:r>
        <w:instrText xml:space="preserve"> PAGEREF _Toc20309 \h </w:instrText>
      </w:r>
      <w:r>
        <w:fldChar w:fldCharType="separate"/>
      </w:r>
      <w:r>
        <w:t>1</w:t>
      </w:r>
      <w:r>
        <w:fldChar w:fldCharType="end"/>
      </w:r>
      <w:r>
        <w:rPr>
          <w:highlight w:val="none"/>
        </w:rPr>
        <w:fldChar w:fldCharType="end"/>
      </w:r>
    </w:p>
    <w:p w14:paraId="09DFF1B6">
      <w:pPr>
        <w:pStyle w:val="22"/>
      </w:pPr>
      <w:r>
        <w:rPr>
          <w:highlight w:val="none"/>
        </w:rPr>
        <w:fldChar w:fldCharType="begin"/>
      </w:r>
      <w:r>
        <w:rPr>
          <w:highlight w:val="none"/>
        </w:rPr>
        <w:instrText xml:space="preserve"> HYPERLINK \l _Toc6279 </w:instrText>
      </w:r>
      <w:r>
        <w:rPr>
          <w:highlight w:val="none"/>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_Toc6279 \h </w:instrText>
      </w:r>
      <w:r>
        <w:fldChar w:fldCharType="separate"/>
      </w:r>
      <w:r>
        <w:t>1</w:t>
      </w:r>
      <w:r>
        <w:fldChar w:fldCharType="end"/>
      </w:r>
      <w:r>
        <w:rPr>
          <w:highlight w:val="none"/>
        </w:rPr>
        <w:fldChar w:fldCharType="end"/>
      </w:r>
    </w:p>
    <w:p w14:paraId="07413BED">
      <w:pPr>
        <w:pStyle w:val="22"/>
      </w:pPr>
      <w:r>
        <w:rPr>
          <w:highlight w:val="none"/>
        </w:rPr>
        <w:fldChar w:fldCharType="begin"/>
      </w:r>
      <w:r>
        <w:rPr>
          <w:highlight w:val="none"/>
        </w:rPr>
        <w:instrText xml:space="preserve"> HYPERLINK \l _Toc26256 </w:instrText>
      </w:r>
      <w:r>
        <w:rPr>
          <w:highlight w:val="none"/>
        </w:rPr>
        <w:fldChar w:fldCharType="separate"/>
      </w:r>
      <w:r>
        <w:rPr>
          <w:rFonts w:hint="eastAsia" w:ascii="黑体" w:eastAsia="黑体"/>
          <w:i w:val="0"/>
        </w:rPr>
        <w:t xml:space="preserve">3 </w:t>
      </w:r>
      <w:r>
        <w:rPr>
          <w:rFonts w:hint="eastAsia"/>
          <w:highlight w:val="none"/>
        </w:rPr>
        <w:t>术语和定义</w:t>
      </w:r>
      <w:r>
        <w:tab/>
      </w:r>
      <w:r>
        <w:fldChar w:fldCharType="begin"/>
      </w:r>
      <w:r>
        <w:instrText xml:space="preserve"> PAGEREF _Toc26256 \h </w:instrText>
      </w:r>
      <w:r>
        <w:fldChar w:fldCharType="separate"/>
      </w:r>
      <w:r>
        <w:t>1</w:t>
      </w:r>
      <w:r>
        <w:fldChar w:fldCharType="end"/>
      </w:r>
      <w:r>
        <w:rPr>
          <w:highlight w:val="none"/>
        </w:rPr>
        <w:fldChar w:fldCharType="end"/>
      </w:r>
    </w:p>
    <w:p w14:paraId="3F00D0C9">
      <w:pPr>
        <w:pStyle w:val="22"/>
      </w:pPr>
      <w:r>
        <w:rPr>
          <w:highlight w:val="none"/>
        </w:rPr>
        <w:fldChar w:fldCharType="begin"/>
      </w:r>
      <w:r>
        <w:rPr>
          <w:highlight w:val="none"/>
        </w:rPr>
        <w:instrText xml:space="preserve"> HYPERLINK \l _Toc5897 </w:instrText>
      </w:r>
      <w:r>
        <w:rPr>
          <w:highlight w:val="none"/>
        </w:rPr>
        <w:fldChar w:fldCharType="separate"/>
      </w:r>
      <w:r>
        <w:rPr>
          <w:rFonts w:hint="eastAsia" w:ascii="黑体" w:eastAsia="黑体"/>
          <w:i w:val="0"/>
        </w:rPr>
        <w:t xml:space="preserve">4 </w:t>
      </w:r>
      <w:r>
        <w:rPr>
          <w:rFonts w:hint="eastAsia"/>
          <w:highlight w:val="none"/>
        </w:rPr>
        <w:t>基本规定</w:t>
      </w:r>
      <w:r>
        <w:tab/>
      </w:r>
      <w:r>
        <w:fldChar w:fldCharType="begin"/>
      </w:r>
      <w:r>
        <w:instrText xml:space="preserve"> PAGEREF _Toc5897 \h </w:instrText>
      </w:r>
      <w:r>
        <w:fldChar w:fldCharType="separate"/>
      </w:r>
      <w:r>
        <w:t>1</w:t>
      </w:r>
      <w:r>
        <w:fldChar w:fldCharType="end"/>
      </w:r>
      <w:r>
        <w:rPr>
          <w:highlight w:val="none"/>
        </w:rPr>
        <w:fldChar w:fldCharType="end"/>
      </w:r>
    </w:p>
    <w:p w14:paraId="71EA46E6">
      <w:pPr>
        <w:pStyle w:val="22"/>
      </w:pPr>
      <w:r>
        <w:rPr>
          <w:highlight w:val="none"/>
        </w:rPr>
        <w:fldChar w:fldCharType="begin"/>
      </w:r>
      <w:r>
        <w:rPr>
          <w:highlight w:val="none"/>
        </w:rPr>
        <w:instrText xml:space="preserve"> HYPERLINK \l _Toc12180 </w:instrText>
      </w:r>
      <w:r>
        <w:rPr>
          <w:highlight w:val="none"/>
        </w:rPr>
        <w:fldChar w:fldCharType="separate"/>
      </w:r>
      <w:r>
        <w:rPr>
          <w:rFonts w:hint="eastAsia" w:ascii="黑体" w:eastAsia="黑体"/>
          <w:i w:val="0"/>
        </w:rPr>
        <w:t xml:space="preserve">5 </w:t>
      </w:r>
      <w:r>
        <w:rPr>
          <w:rFonts w:hint="eastAsia"/>
          <w:highlight w:val="none"/>
        </w:rPr>
        <w:t>基础调查</w:t>
      </w:r>
      <w:r>
        <w:tab/>
      </w:r>
      <w:r>
        <w:fldChar w:fldCharType="begin"/>
      </w:r>
      <w:r>
        <w:instrText xml:space="preserve"> PAGEREF _Toc12180 \h </w:instrText>
      </w:r>
      <w:r>
        <w:fldChar w:fldCharType="separate"/>
      </w:r>
      <w:r>
        <w:t>2</w:t>
      </w:r>
      <w:r>
        <w:fldChar w:fldCharType="end"/>
      </w:r>
      <w:r>
        <w:rPr>
          <w:highlight w:val="none"/>
        </w:rPr>
        <w:fldChar w:fldCharType="end"/>
      </w:r>
    </w:p>
    <w:p w14:paraId="75BD0001">
      <w:pPr>
        <w:pStyle w:val="27"/>
        <w:tabs>
          <w:tab w:val="right" w:leader="dot" w:pos="9354"/>
          <w:tab w:val="clear" w:pos="9344"/>
        </w:tabs>
      </w:pPr>
      <w:r>
        <w:rPr>
          <w:highlight w:val="none"/>
        </w:rPr>
        <w:fldChar w:fldCharType="begin"/>
      </w:r>
      <w:r>
        <w:rPr>
          <w:highlight w:val="none"/>
        </w:rPr>
        <w:instrText xml:space="preserve"> HYPERLINK \l _Toc15100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5.1 </w:t>
      </w:r>
      <w:r>
        <w:rPr>
          <w:rFonts w:hint="eastAsia"/>
          <w:highlight w:val="none"/>
        </w:rPr>
        <w:t>基础数据调查</w:t>
      </w:r>
      <w:r>
        <w:tab/>
      </w:r>
      <w:r>
        <w:fldChar w:fldCharType="begin"/>
      </w:r>
      <w:r>
        <w:instrText xml:space="preserve"> PAGEREF _Toc15100 \h </w:instrText>
      </w:r>
      <w:r>
        <w:fldChar w:fldCharType="separate"/>
      </w:r>
      <w:r>
        <w:t>2</w:t>
      </w:r>
      <w:r>
        <w:fldChar w:fldCharType="end"/>
      </w:r>
      <w:r>
        <w:rPr>
          <w:highlight w:val="none"/>
        </w:rPr>
        <w:fldChar w:fldCharType="end"/>
      </w:r>
    </w:p>
    <w:p w14:paraId="01F7EE13">
      <w:pPr>
        <w:pStyle w:val="27"/>
        <w:tabs>
          <w:tab w:val="right" w:leader="dot" w:pos="9354"/>
          <w:tab w:val="clear" w:pos="9344"/>
        </w:tabs>
      </w:pPr>
      <w:r>
        <w:rPr>
          <w:highlight w:val="none"/>
        </w:rPr>
        <w:fldChar w:fldCharType="begin"/>
      </w:r>
      <w:r>
        <w:rPr>
          <w:highlight w:val="none"/>
        </w:rPr>
        <w:instrText xml:space="preserve"> HYPERLINK \l _Toc24796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5.2 </w:t>
      </w:r>
      <w:r>
        <w:rPr>
          <w:rFonts w:hint="eastAsia"/>
          <w:highlight w:val="none"/>
        </w:rPr>
        <w:t>更新意愿调查</w:t>
      </w:r>
      <w:r>
        <w:tab/>
      </w:r>
      <w:r>
        <w:fldChar w:fldCharType="begin"/>
      </w:r>
      <w:r>
        <w:instrText xml:space="preserve"> PAGEREF _Toc24796 \h </w:instrText>
      </w:r>
      <w:r>
        <w:fldChar w:fldCharType="separate"/>
      </w:r>
      <w:r>
        <w:t>2</w:t>
      </w:r>
      <w:r>
        <w:fldChar w:fldCharType="end"/>
      </w:r>
      <w:r>
        <w:rPr>
          <w:highlight w:val="none"/>
        </w:rPr>
        <w:fldChar w:fldCharType="end"/>
      </w:r>
    </w:p>
    <w:p w14:paraId="7064400F">
      <w:pPr>
        <w:pStyle w:val="27"/>
        <w:tabs>
          <w:tab w:val="right" w:leader="dot" w:pos="9354"/>
          <w:tab w:val="clear" w:pos="9344"/>
        </w:tabs>
      </w:pPr>
      <w:r>
        <w:rPr>
          <w:highlight w:val="none"/>
        </w:rPr>
        <w:fldChar w:fldCharType="begin"/>
      </w:r>
      <w:r>
        <w:rPr>
          <w:highlight w:val="none"/>
        </w:rPr>
        <w:instrText xml:space="preserve"> HYPERLINK \l _Toc357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5.3 </w:t>
      </w:r>
      <w:r>
        <w:rPr>
          <w:rFonts w:hint="eastAsia"/>
          <w:highlight w:val="none"/>
        </w:rPr>
        <w:t>体检评估指标</w:t>
      </w:r>
      <w:r>
        <w:tab/>
      </w:r>
      <w:r>
        <w:fldChar w:fldCharType="begin"/>
      </w:r>
      <w:r>
        <w:instrText xml:space="preserve"> PAGEREF _Toc357 \h </w:instrText>
      </w:r>
      <w:r>
        <w:fldChar w:fldCharType="separate"/>
      </w:r>
      <w:r>
        <w:t>3</w:t>
      </w:r>
      <w:r>
        <w:fldChar w:fldCharType="end"/>
      </w:r>
      <w:r>
        <w:rPr>
          <w:highlight w:val="none"/>
        </w:rPr>
        <w:fldChar w:fldCharType="end"/>
      </w:r>
    </w:p>
    <w:p w14:paraId="1A366D31">
      <w:pPr>
        <w:pStyle w:val="22"/>
      </w:pPr>
      <w:r>
        <w:rPr>
          <w:highlight w:val="none"/>
        </w:rPr>
        <w:fldChar w:fldCharType="begin"/>
      </w:r>
      <w:r>
        <w:rPr>
          <w:highlight w:val="none"/>
        </w:rPr>
        <w:instrText xml:space="preserve"> HYPERLINK \l _Toc27136 </w:instrText>
      </w:r>
      <w:r>
        <w:rPr>
          <w:highlight w:val="none"/>
        </w:rPr>
        <w:fldChar w:fldCharType="separate"/>
      </w:r>
      <w:r>
        <w:rPr>
          <w:rFonts w:hint="eastAsia" w:ascii="黑体" w:eastAsia="黑体"/>
          <w:i w:val="0"/>
        </w:rPr>
        <w:t xml:space="preserve">6 </w:t>
      </w:r>
      <w:r>
        <w:rPr>
          <w:rFonts w:hint="eastAsia"/>
          <w:highlight w:val="none"/>
        </w:rPr>
        <w:t>单元（片区）范围划定</w:t>
      </w:r>
      <w:r>
        <w:tab/>
      </w:r>
      <w:r>
        <w:fldChar w:fldCharType="begin"/>
      </w:r>
      <w:r>
        <w:instrText xml:space="preserve"> PAGEREF _Toc27136 \h </w:instrText>
      </w:r>
      <w:r>
        <w:fldChar w:fldCharType="separate"/>
      </w:r>
      <w:r>
        <w:t>3</w:t>
      </w:r>
      <w:r>
        <w:fldChar w:fldCharType="end"/>
      </w:r>
      <w:r>
        <w:rPr>
          <w:highlight w:val="none"/>
        </w:rPr>
        <w:fldChar w:fldCharType="end"/>
      </w:r>
    </w:p>
    <w:p w14:paraId="227E97FA">
      <w:pPr>
        <w:pStyle w:val="27"/>
        <w:tabs>
          <w:tab w:val="right" w:leader="dot" w:pos="9354"/>
          <w:tab w:val="clear" w:pos="9344"/>
        </w:tabs>
      </w:pPr>
      <w:r>
        <w:rPr>
          <w:highlight w:val="none"/>
        </w:rPr>
        <w:fldChar w:fldCharType="begin"/>
      </w:r>
      <w:r>
        <w:rPr>
          <w:highlight w:val="none"/>
        </w:rPr>
        <w:instrText xml:space="preserve"> HYPERLINK \l _Toc3963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6.1 </w:t>
      </w:r>
      <w:r>
        <w:rPr>
          <w:rFonts w:hint="eastAsia"/>
          <w:highlight w:val="none"/>
          <w:lang w:eastAsia="zh-CN"/>
        </w:rPr>
        <w:t>城市更新单元（片区）</w:t>
      </w:r>
      <w:r>
        <w:rPr>
          <w:rFonts w:hint="eastAsia"/>
          <w:highlight w:val="none"/>
        </w:rPr>
        <w:t>范围划定</w:t>
      </w:r>
      <w:r>
        <w:tab/>
      </w:r>
      <w:r>
        <w:fldChar w:fldCharType="begin"/>
      </w:r>
      <w:r>
        <w:instrText xml:space="preserve"> PAGEREF _Toc3963 \h </w:instrText>
      </w:r>
      <w:r>
        <w:fldChar w:fldCharType="separate"/>
      </w:r>
      <w:r>
        <w:t>3</w:t>
      </w:r>
      <w:r>
        <w:fldChar w:fldCharType="end"/>
      </w:r>
      <w:r>
        <w:rPr>
          <w:highlight w:val="none"/>
        </w:rPr>
        <w:fldChar w:fldCharType="end"/>
      </w:r>
    </w:p>
    <w:p w14:paraId="6091DC67">
      <w:pPr>
        <w:pStyle w:val="27"/>
        <w:tabs>
          <w:tab w:val="right" w:leader="dot" w:pos="9354"/>
          <w:tab w:val="clear" w:pos="9344"/>
        </w:tabs>
      </w:pPr>
      <w:r>
        <w:rPr>
          <w:highlight w:val="none"/>
        </w:rPr>
        <w:fldChar w:fldCharType="begin"/>
      </w:r>
      <w:r>
        <w:rPr>
          <w:highlight w:val="none"/>
        </w:rPr>
        <w:instrText xml:space="preserve"> HYPERLINK \l _Toc1878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6.2 </w:t>
      </w:r>
      <w:r>
        <w:rPr>
          <w:rFonts w:hint="eastAsia"/>
          <w:highlight w:val="none"/>
          <w:lang w:eastAsia="zh-CN"/>
        </w:rPr>
        <w:t>城市更新单元（片区）</w:t>
      </w:r>
      <w:r>
        <w:rPr>
          <w:rFonts w:hint="eastAsia"/>
          <w:highlight w:val="none"/>
        </w:rPr>
        <w:t>范围调整</w:t>
      </w:r>
      <w:r>
        <w:tab/>
      </w:r>
      <w:r>
        <w:fldChar w:fldCharType="begin"/>
      </w:r>
      <w:r>
        <w:instrText xml:space="preserve"> PAGEREF _Toc1878 \h </w:instrText>
      </w:r>
      <w:r>
        <w:fldChar w:fldCharType="separate"/>
      </w:r>
      <w:r>
        <w:t>3</w:t>
      </w:r>
      <w:r>
        <w:fldChar w:fldCharType="end"/>
      </w:r>
      <w:r>
        <w:rPr>
          <w:highlight w:val="none"/>
        </w:rPr>
        <w:fldChar w:fldCharType="end"/>
      </w:r>
    </w:p>
    <w:p w14:paraId="15DF56CB">
      <w:pPr>
        <w:pStyle w:val="22"/>
      </w:pPr>
      <w:r>
        <w:rPr>
          <w:highlight w:val="none"/>
        </w:rPr>
        <w:fldChar w:fldCharType="begin"/>
      </w:r>
      <w:r>
        <w:rPr>
          <w:highlight w:val="none"/>
        </w:rPr>
        <w:instrText xml:space="preserve"> HYPERLINK \l _Toc5198 </w:instrText>
      </w:r>
      <w:r>
        <w:rPr>
          <w:highlight w:val="none"/>
        </w:rPr>
        <w:fldChar w:fldCharType="separate"/>
      </w:r>
      <w:r>
        <w:rPr>
          <w:rFonts w:hint="eastAsia" w:ascii="黑体" w:eastAsia="黑体"/>
          <w:i w:val="0"/>
        </w:rPr>
        <w:t xml:space="preserve">7 </w:t>
      </w:r>
      <w:r>
        <w:rPr>
          <w:rFonts w:hint="eastAsia"/>
          <w:highlight w:val="none"/>
        </w:rPr>
        <w:t>分析评估</w:t>
      </w:r>
      <w:r>
        <w:tab/>
      </w:r>
      <w:r>
        <w:fldChar w:fldCharType="begin"/>
      </w:r>
      <w:r>
        <w:instrText xml:space="preserve"> PAGEREF _Toc5198 \h </w:instrText>
      </w:r>
      <w:r>
        <w:fldChar w:fldCharType="separate"/>
      </w:r>
      <w:r>
        <w:t>3</w:t>
      </w:r>
      <w:r>
        <w:fldChar w:fldCharType="end"/>
      </w:r>
      <w:r>
        <w:rPr>
          <w:highlight w:val="none"/>
        </w:rPr>
        <w:fldChar w:fldCharType="end"/>
      </w:r>
    </w:p>
    <w:p w14:paraId="79D96475">
      <w:pPr>
        <w:pStyle w:val="27"/>
        <w:tabs>
          <w:tab w:val="right" w:leader="dot" w:pos="9354"/>
          <w:tab w:val="clear" w:pos="9344"/>
        </w:tabs>
      </w:pPr>
      <w:r>
        <w:rPr>
          <w:highlight w:val="none"/>
        </w:rPr>
        <w:fldChar w:fldCharType="begin"/>
      </w:r>
      <w:r>
        <w:rPr>
          <w:highlight w:val="none"/>
        </w:rPr>
        <w:instrText xml:space="preserve"> HYPERLINK \l _Toc18296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7.1 </w:t>
      </w:r>
      <w:r>
        <w:rPr>
          <w:rFonts w:hint="eastAsia"/>
          <w:highlight w:val="none"/>
        </w:rPr>
        <w:t>现状</w:t>
      </w:r>
      <w:r>
        <w:rPr>
          <w:rFonts w:hint="eastAsia"/>
          <w:highlight w:val="none"/>
          <w:lang w:val="en-US" w:eastAsia="zh-CN"/>
        </w:rPr>
        <w:t>情况调查</w:t>
      </w:r>
      <w:r>
        <w:tab/>
      </w:r>
      <w:r>
        <w:fldChar w:fldCharType="begin"/>
      </w:r>
      <w:r>
        <w:instrText xml:space="preserve"> PAGEREF _Toc18296 \h </w:instrText>
      </w:r>
      <w:r>
        <w:fldChar w:fldCharType="separate"/>
      </w:r>
      <w:r>
        <w:t>3</w:t>
      </w:r>
      <w:r>
        <w:fldChar w:fldCharType="end"/>
      </w:r>
      <w:r>
        <w:rPr>
          <w:highlight w:val="none"/>
        </w:rPr>
        <w:fldChar w:fldCharType="end"/>
      </w:r>
    </w:p>
    <w:p w14:paraId="79324DAC">
      <w:pPr>
        <w:pStyle w:val="27"/>
        <w:tabs>
          <w:tab w:val="right" w:leader="dot" w:pos="9354"/>
          <w:tab w:val="clear" w:pos="9344"/>
        </w:tabs>
      </w:pPr>
      <w:r>
        <w:rPr>
          <w:highlight w:val="none"/>
        </w:rPr>
        <w:fldChar w:fldCharType="begin"/>
      </w:r>
      <w:r>
        <w:rPr>
          <w:highlight w:val="none"/>
        </w:rPr>
        <w:instrText xml:space="preserve"> HYPERLINK \l _Toc14519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7.2 </w:t>
      </w:r>
      <w:r>
        <w:rPr>
          <w:rFonts w:hint="eastAsia"/>
          <w:highlight w:val="none"/>
        </w:rPr>
        <w:t>更新分析评估</w:t>
      </w:r>
      <w:r>
        <w:tab/>
      </w:r>
      <w:r>
        <w:fldChar w:fldCharType="begin"/>
      </w:r>
      <w:r>
        <w:instrText xml:space="preserve"> PAGEREF _Toc14519 \h </w:instrText>
      </w:r>
      <w:r>
        <w:fldChar w:fldCharType="separate"/>
      </w:r>
      <w:r>
        <w:t>4</w:t>
      </w:r>
      <w:r>
        <w:fldChar w:fldCharType="end"/>
      </w:r>
      <w:r>
        <w:rPr>
          <w:highlight w:val="none"/>
        </w:rPr>
        <w:fldChar w:fldCharType="end"/>
      </w:r>
    </w:p>
    <w:p w14:paraId="6C1B3FC4">
      <w:pPr>
        <w:pStyle w:val="27"/>
        <w:tabs>
          <w:tab w:val="right" w:leader="dot" w:pos="9354"/>
          <w:tab w:val="clear" w:pos="9344"/>
        </w:tabs>
      </w:pPr>
      <w:r>
        <w:rPr>
          <w:highlight w:val="none"/>
        </w:rPr>
        <w:fldChar w:fldCharType="begin"/>
      </w:r>
      <w:r>
        <w:rPr>
          <w:highlight w:val="none"/>
        </w:rPr>
        <w:instrText xml:space="preserve"> HYPERLINK \l _Toc14839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7.3 </w:t>
      </w:r>
      <w:r>
        <w:rPr>
          <w:rFonts w:hint="eastAsia"/>
          <w:highlight w:val="none"/>
        </w:rPr>
        <w:t>更新体检结论</w:t>
      </w:r>
      <w:r>
        <w:tab/>
      </w:r>
      <w:r>
        <w:fldChar w:fldCharType="begin"/>
      </w:r>
      <w:r>
        <w:instrText xml:space="preserve"> PAGEREF _Toc14839 \h </w:instrText>
      </w:r>
      <w:r>
        <w:fldChar w:fldCharType="separate"/>
      </w:r>
      <w:r>
        <w:t>5</w:t>
      </w:r>
      <w:r>
        <w:fldChar w:fldCharType="end"/>
      </w:r>
      <w:r>
        <w:rPr>
          <w:highlight w:val="none"/>
        </w:rPr>
        <w:fldChar w:fldCharType="end"/>
      </w:r>
    </w:p>
    <w:p w14:paraId="5E9FAE86">
      <w:pPr>
        <w:pStyle w:val="22"/>
      </w:pPr>
      <w:r>
        <w:rPr>
          <w:highlight w:val="none"/>
        </w:rPr>
        <w:fldChar w:fldCharType="begin"/>
      </w:r>
      <w:r>
        <w:rPr>
          <w:highlight w:val="none"/>
        </w:rPr>
        <w:instrText xml:space="preserve"> HYPERLINK \l _Toc6062 </w:instrText>
      </w:r>
      <w:r>
        <w:rPr>
          <w:highlight w:val="none"/>
        </w:rPr>
        <w:fldChar w:fldCharType="separate"/>
      </w:r>
      <w:r>
        <w:rPr>
          <w:rFonts w:hint="eastAsia" w:ascii="黑体" w:eastAsia="黑体"/>
          <w:i w:val="0"/>
        </w:rPr>
        <w:t xml:space="preserve">8 </w:t>
      </w:r>
      <w:r>
        <w:rPr>
          <w:rFonts w:hint="eastAsia"/>
          <w:highlight w:val="none"/>
        </w:rPr>
        <w:t>更新建议</w:t>
      </w:r>
      <w:r>
        <w:tab/>
      </w:r>
      <w:r>
        <w:fldChar w:fldCharType="begin"/>
      </w:r>
      <w:r>
        <w:instrText xml:space="preserve"> PAGEREF _Toc6062 \h </w:instrText>
      </w:r>
      <w:r>
        <w:fldChar w:fldCharType="separate"/>
      </w:r>
      <w:r>
        <w:t>6</w:t>
      </w:r>
      <w:r>
        <w:fldChar w:fldCharType="end"/>
      </w:r>
      <w:r>
        <w:rPr>
          <w:highlight w:val="none"/>
        </w:rPr>
        <w:fldChar w:fldCharType="end"/>
      </w:r>
    </w:p>
    <w:p w14:paraId="123E9048">
      <w:pPr>
        <w:pStyle w:val="27"/>
        <w:tabs>
          <w:tab w:val="right" w:leader="dot" w:pos="9354"/>
          <w:tab w:val="clear" w:pos="9344"/>
        </w:tabs>
      </w:pPr>
      <w:r>
        <w:rPr>
          <w:highlight w:val="none"/>
        </w:rPr>
        <w:fldChar w:fldCharType="begin"/>
      </w:r>
      <w:r>
        <w:rPr>
          <w:highlight w:val="none"/>
        </w:rPr>
        <w:instrText xml:space="preserve"> HYPERLINK \l _Toc30929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8.1 </w:t>
      </w:r>
      <w:r>
        <w:rPr>
          <w:rFonts w:hint="eastAsia"/>
          <w:highlight w:val="none"/>
        </w:rPr>
        <w:t>更新目标</w:t>
      </w:r>
      <w:r>
        <w:tab/>
      </w:r>
      <w:r>
        <w:fldChar w:fldCharType="begin"/>
      </w:r>
      <w:r>
        <w:instrText xml:space="preserve"> PAGEREF _Toc30929 \h </w:instrText>
      </w:r>
      <w:r>
        <w:fldChar w:fldCharType="separate"/>
      </w:r>
      <w:r>
        <w:t>6</w:t>
      </w:r>
      <w:r>
        <w:fldChar w:fldCharType="end"/>
      </w:r>
      <w:r>
        <w:rPr>
          <w:highlight w:val="none"/>
        </w:rPr>
        <w:fldChar w:fldCharType="end"/>
      </w:r>
    </w:p>
    <w:p w14:paraId="4F60FDD4">
      <w:pPr>
        <w:pStyle w:val="27"/>
        <w:tabs>
          <w:tab w:val="right" w:leader="dot" w:pos="9354"/>
          <w:tab w:val="clear" w:pos="9344"/>
        </w:tabs>
      </w:pPr>
      <w:r>
        <w:rPr>
          <w:highlight w:val="none"/>
        </w:rPr>
        <w:fldChar w:fldCharType="begin"/>
      </w:r>
      <w:r>
        <w:rPr>
          <w:highlight w:val="none"/>
        </w:rPr>
        <w:instrText xml:space="preserve"> HYPERLINK \l _Toc19072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8.2 </w:t>
      </w:r>
      <w:r>
        <w:rPr>
          <w:rFonts w:hint="eastAsia"/>
          <w:highlight w:val="none"/>
        </w:rPr>
        <w:t>更新模式</w:t>
      </w:r>
      <w:r>
        <w:tab/>
      </w:r>
      <w:r>
        <w:fldChar w:fldCharType="begin"/>
      </w:r>
      <w:r>
        <w:instrText xml:space="preserve"> PAGEREF _Toc19072 \h </w:instrText>
      </w:r>
      <w:r>
        <w:fldChar w:fldCharType="separate"/>
      </w:r>
      <w:r>
        <w:t>6</w:t>
      </w:r>
      <w:r>
        <w:fldChar w:fldCharType="end"/>
      </w:r>
      <w:r>
        <w:rPr>
          <w:highlight w:val="none"/>
        </w:rPr>
        <w:fldChar w:fldCharType="end"/>
      </w:r>
    </w:p>
    <w:p w14:paraId="1D1DCF97">
      <w:pPr>
        <w:pStyle w:val="27"/>
        <w:tabs>
          <w:tab w:val="right" w:leader="dot" w:pos="9354"/>
          <w:tab w:val="clear" w:pos="9344"/>
        </w:tabs>
      </w:pPr>
      <w:r>
        <w:rPr>
          <w:highlight w:val="none"/>
        </w:rPr>
        <w:fldChar w:fldCharType="begin"/>
      </w:r>
      <w:r>
        <w:rPr>
          <w:highlight w:val="none"/>
        </w:rPr>
        <w:instrText xml:space="preserve"> HYPERLINK \l _Toc2654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8.3 </w:t>
      </w:r>
      <w:r>
        <w:rPr>
          <w:rFonts w:hint="eastAsia"/>
          <w:highlight w:val="none"/>
        </w:rPr>
        <w:t>管控指标优化建议</w:t>
      </w:r>
      <w:r>
        <w:tab/>
      </w:r>
      <w:r>
        <w:fldChar w:fldCharType="begin"/>
      </w:r>
      <w:r>
        <w:instrText xml:space="preserve"> PAGEREF _Toc2654 \h </w:instrText>
      </w:r>
      <w:r>
        <w:fldChar w:fldCharType="separate"/>
      </w:r>
      <w:r>
        <w:t>6</w:t>
      </w:r>
      <w:r>
        <w:fldChar w:fldCharType="end"/>
      </w:r>
      <w:r>
        <w:rPr>
          <w:highlight w:val="none"/>
        </w:rPr>
        <w:fldChar w:fldCharType="end"/>
      </w:r>
    </w:p>
    <w:p w14:paraId="54B24B60">
      <w:pPr>
        <w:pStyle w:val="27"/>
        <w:tabs>
          <w:tab w:val="right" w:leader="dot" w:pos="9354"/>
          <w:tab w:val="clear" w:pos="9344"/>
        </w:tabs>
      </w:pPr>
      <w:r>
        <w:rPr>
          <w:highlight w:val="none"/>
        </w:rPr>
        <w:fldChar w:fldCharType="begin"/>
      </w:r>
      <w:r>
        <w:rPr>
          <w:highlight w:val="none"/>
        </w:rPr>
        <w:instrText xml:space="preserve"> HYPERLINK \l _Toc12149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8.4 </w:t>
      </w:r>
      <w:r>
        <w:rPr>
          <w:rFonts w:hint="eastAsia"/>
          <w:highlight w:val="none"/>
        </w:rPr>
        <w:t>法定规划协调</w:t>
      </w:r>
      <w:r>
        <w:tab/>
      </w:r>
      <w:r>
        <w:fldChar w:fldCharType="begin"/>
      </w:r>
      <w:r>
        <w:instrText xml:space="preserve"> PAGEREF _Toc12149 \h </w:instrText>
      </w:r>
      <w:r>
        <w:fldChar w:fldCharType="separate"/>
      </w:r>
      <w:r>
        <w:t>6</w:t>
      </w:r>
      <w:r>
        <w:fldChar w:fldCharType="end"/>
      </w:r>
      <w:r>
        <w:rPr>
          <w:highlight w:val="none"/>
        </w:rPr>
        <w:fldChar w:fldCharType="end"/>
      </w:r>
    </w:p>
    <w:p w14:paraId="5CB360E6">
      <w:pPr>
        <w:pStyle w:val="27"/>
        <w:tabs>
          <w:tab w:val="right" w:leader="dot" w:pos="9354"/>
          <w:tab w:val="clear" w:pos="9344"/>
        </w:tabs>
      </w:pPr>
      <w:r>
        <w:rPr>
          <w:highlight w:val="none"/>
        </w:rPr>
        <w:fldChar w:fldCharType="begin"/>
      </w:r>
      <w:r>
        <w:rPr>
          <w:highlight w:val="none"/>
        </w:rPr>
        <w:instrText xml:space="preserve"> HYPERLINK \l _Toc18379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8.5 </w:t>
      </w:r>
      <w:r>
        <w:rPr>
          <w:rFonts w:hint="eastAsia"/>
          <w:highlight w:val="none"/>
        </w:rPr>
        <w:t>片区体检项目库</w:t>
      </w:r>
      <w:r>
        <w:tab/>
      </w:r>
      <w:r>
        <w:fldChar w:fldCharType="begin"/>
      </w:r>
      <w:r>
        <w:instrText xml:space="preserve"> PAGEREF _Toc18379 \h </w:instrText>
      </w:r>
      <w:r>
        <w:fldChar w:fldCharType="separate"/>
      </w:r>
      <w:r>
        <w:t>7</w:t>
      </w:r>
      <w:r>
        <w:fldChar w:fldCharType="end"/>
      </w:r>
      <w:r>
        <w:rPr>
          <w:highlight w:val="none"/>
        </w:rPr>
        <w:fldChar w:fldCharType="end"/>
      </w:r>
    </w:p>
    <w:p w14:paraId="5642F860">
      <w:pPr>
        <w:pStyle w:val="27"/>
        <w:tabs>
          <w:tab w:val="right" w:leader="dot" w:pos="9354"/>
          <w:tab w:val="clear" w:pos="9344"/>
        </w:tabs>
      </w:pPr>
      <w:r>
        <w:rPr>
          <w:highlight w:val="none"/>
        </w:rPr>
        <w:fldChar w:fldCharType="begin"/>
      </w:r>
      <w:r>
        <w:rPr>
          <w:highlight w:val="none"/>
        </w:rPr>
        <w:instrText xml:space="preserve"> HYPERLINK \l _Toc1767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8.6 </w:t>
      </w:r>
      <w:r>
        <w:rPr>
          <w:rFonts w:hint="eastAsia"/>
          <w:highlight w:val="none"/>
        </w:rPr>
        <w:t>更新效益预期</w:t>
      </w:r>
      <w:r>
        <w:tab/>
      </w:r>
      <w:r>
        <w:fldChar w:fldCharType="begin"/>
      </w:r>
      <w:r>
        <w:instrText xml:space="preserve"> PAGEREF _Toc1767 \h </w:instrText>
      </w:r>
      <w:r>
        <w:fldChar w:fldCharType="separate"/>
      </w:r>
      <w:r>
        <w:t>7</w:t>
      </w:r>
      <w:r>
        <w:fldChar w:fldCharType="end"/>
      </w:r>
      <w:r>
        <w:rPr>
          <w:highlight w:val="none"/>
        </w:rPr>
        <w:fldChar w:fldCharType="end"/>
      </w:r>
    </w:p>
    <w:p w14:paraId="39152C29">
      <w:pPr>
        <w:pStyle w:val="27"/>
        <w:tabs>
          <w:tab w:val="right" w:leader="dot" w:pos="9354"/>
          <w:tab w:val="clear" w:pos="9344"/>
        </w:tabs>
      </w:pPr>
      <w:r>
        <w:rPr>
          <w:highlight w:val="none"/>
        </w:rPr>
        <w:fldChar w:fldCharType="begin"/>
      </w:r>
      <w:r>
        <w:rPr>
          <w:highlight w:val="none"/>
        </w:rPr>
        <w:instrText xml:space="preserve"> HYPERLINK \l _Toc5223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8.7 </w:t>
      </w:r>
      <w:r>
        <w:rPr>
          <w:rFonts w:hint="eastAsia"/>
          <w:highlight w:val="none"/>
        </w:rPr>
        <w:t>风险控制</w:t>
      </w:r>
      <w:r>
        <w:tab/>
      </w:r>
      <w:r>
        <w:fldChar w:fldCharType="begin"/>
      </w:r>
      <w:r>
        <w:instrText xml:space="preserve"> PAGEREF _Toc5223 \h </w:instrText>
      </w:r>
      <w:r>
        <w:fldChar w:fldCharType="separate"/>
      </w:r>
      <w:r>
        <w:t>7</w:t>
      </w:r>
      <w:r>
        <w:fldChar w:fldCharType="end"/>
      </w:r>
      <w:r>
        <w:rPr>
          <w:highlight w:val="none"/>
        </w:rPr>
        <w:fldChar w:fldCharType="end"/>
      </w:r>
    </w:p>
    <w:p w14:paraId="615E964A">
      <w:pPr>
        <w:pStyle w:val="22"/>
      </w:pPr>
      <w:r>
        <w:rPr>
          <w:highlight w:val="none"/>
        </w:rPr>
        <w:fldChar w:fldCharType="begin"/>
      </w:r>
      <w:r>
        <w:rPr>
          <w:highlight w:val="none"/>
        </w:rPr>
        <w:instrText xml:space="preserve"> HYPERLINK \l _Toc8670 </w:instrText>
      </w:r>
      <w:r>
        <w:rPr>
          <w:highlight w:val="none"/>
        </w:rPr>
        <w:fldChar w:fldCharType="separate"/>
      </w:r>
      <w:r>
        <w:rPr>
          <w:rFonts w:hint="eastAsia" w:ascii="黑体" w:eastAsia="黑体"/>
          <w:i w:val="0"/>
        </w:rPr>
        <w:t xml:space="preserve">9 </w:t>
      </w:r>
      <w:r>
        <w:rPr>
          <w:rFonts w:hint="eastAsia"/>
          <w:highlight w:val="none"/>
          <w:lang w:val="en-US" w:eastAsia="zh-CN"/>
        </w:rPr>
        <w:t>与片区策划的应用关系</w:t>
      </w:r>
      <w:r>
        <w:tab/>
      </w:r>
      <w:r>
        <w:fldChar w:fldCharType="begin"/>
      </w:r>
      <w:r>
        <w:instrText xml:space="preserve"> PAGEREF _Toc8670 \h </w:instrText>
      </w:r>
      <w:r>
        <w:fldChar w:fldCharType="separate"/>
      </w:r>
      <w:r>
        <w:t>7</w:t>
      </w:r>
      <w:r>
        <w:fldChar w:fldCharType="end"/>
      </w:r>
      <w:r>
        <w:rPr>
          <w:highlight w:val="none"/>
        </w:rPr>
        <w:fldChar w:fldCharType="end"/>
      </w:r>
    </w:p>
    <w:p w14:paraId="6EBE38FC">
      <w:pPr>
        <w:pStyle w:val="27"/>
        <w:tabs>
          <w:tab w:val="right" w:leader="dot" w:pos="9354"/>
          <w:tab w:val="clear" w:pos="9344"/>
        </w:tabs>
      </w:pPr>
      <w:r>
        <w:rPr>
          <w:highlight w:val="none"/>
        </w:rPr>
        <w:fldChar w:fldCharType="begin"/>
      </w:r>
      <w:r>
        <w:rPr>
          <w:highlight w:val="none"/>
        </w:rPr>
        <w:instrText xml:space="preserve"> HYPERLINK \l _Toc21572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9.1 </w:t>
      </w:r>
      <w:r>
        <w:rPr>
          <w:rFonts w:hint="eastAsia"/>
          <w:highlight w:val="none"/>
        </w:rPr>
        <w:t>工作流程衔接</w:t>
      </w:r>
      <w:r>
        <w:tab/>
      </w:r>
      <w:r>
        <w:fldChar w:fldCharType="begin"/>
      </w:r>
      <w:r>
        <w:instrText xml:space="preserve"> PAGEREF _Toc21572 \h </w:instrText>
      </w:r>
      <w:r>
        <w:fldChar w:fldCharType="separate"/>
      </w:r>
      <w:r>
        <w:t>7</w:t>
      </w:r>
      <w:r>
        <w:fldChar w:fldCharType="end"/>
      </w:r>
      <w:r>
        <w:rPr>
          <w:highlight w:val="none"/>
        </w:rPr>
        <w:fldChar w:fldCharType="end"/>
      </w:r>
    </w:p>
    <w:p w14:paraId="6A220435">
      <w:pPr>
        <w:pStyle w:val="27"/>
        <w:tabs>
          <w:tab w:val="right" w:leader="dot" w:pos="9354"/>
          <w:tab w:val="clear" w:pos="9344"/>
        </w:tabs>
      </w:pPr>
      <w:r>
        <w:rPr>
          <w:highlight w:val="none"/>
        </w:rPr>
        <w:fldChar w:fldCharType="begin"/>
      </w:r>
      <w:r>
        <w:rPr>
          <w:highlight w:val="none"/>
        </w:rPr>
        <w:instrText xml:space="preserve"> HYPERLINK \l _Toc30371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9.2 </w:t>
      </w:r>
      <w:r>
        <w:rPr>
          <w:rFonts w:hint="eastAsia"/>
          <w:highlight w:val="none"/>
        </w:rPr>
        <w:t>成果应用关系</w:t>
      </w:r>
      <w:r>
        <w:tab/>
      </w:r>
      <w:r>
        <w:fldChar w:fldCharType="begin"/>
      </w:r>
      <w:r>
        <w:instrText xml:space="preserve"> PAGEREF _Toc30371 \h </w:instrText>
      </w:r>
      <w:r>
        <w:fldChar w:fldCharType="separate"/>
      </w:r>
      <w:r>
        <w:t>7</w:t>
      </w:r>
      <w:r>
        <w:fldChar w:fldCharType="end"/>
      </w:r>
      <w:r>
        <w:rPr>
          <w:highlight w:val="none"/>
        </w:rPr>
        <w:fldChar w:fldCharType="end"/>
      </w:r>
    </w:p>
    <w:p w14:paraId="02F28B39">
      <w:pPr>
        <w:pStyle w:val="22"/>
      </w:pPr>
      <w:r>
        <w:rPr>
          <w:highlight w:val="none"/>
        </w:rPr>
        <w:fldChar w:fldCharType="begin"/>
      </w:r>
      <w:r>
        <w:rPr>
          <w:highlight w:val="none"/>
        </w:rPr>
        <w:instrText xml:space="preserve"> HYPERLINK \l _Toc17663 </w:instrText>
      </w:r>
      <w:r>
        <w:rPr>
          <w:highlight w:val="none"/>
        </w:rPr>
        <w:fldChar w:fldCharType="separate"/>
      </w:r>
      <w:r>
        <w:rPr>
          <w:rFonts w:hint="eastAsia" w:ascii="黑体" w:eastAsia="黑体"/>
          <w:i w:val="0"/>
        </w:rPr>
        <w:t xml:space="preserve">10 </w:t>
      </w:r>
      <w:r>
        <w:rPr>
          <w:rFonts w:hint="eastAsia"/>
          <w:highlight w:val="none"/>
        </w:rPr>
        <w:t>成果应用</w:t>
      </w:r>
      <w:r>
        <w:tab/>
      </w:r>
      <w:r>
        <w:fldChar w:fldCharType="begin"/>
      </w:r>
      <w:r>
        <w:instrText xml:space="preserve"> PAGEREF _Toc17663 \h </w:instrText>
      </w:r>
      <w:r>
        <w:fldChar w:fldCharType="separate"/>
      </w:r>
      <w:r>
        <w:t>7</w:t>
      </w:r>
      <w:r>
        <w:fldChar w:fldCharType="end"/>
      </w:r>
      <w:r>
        <w:rPr>
          <w:highlight w:val="none"/>
        </w:rPr>
        <w:fldChar w:fldCharType="end"/>
      </w:r>
    </w:p>
    <w:p w14:paraId="4564B7CB">
      <w:pPr>
        <w:pStyle w:val="27"/>
        <w:tabs>
          <w:tab w:val="right" w:leader="dot" w:pos="9354"/>
          <w:tab w:val="clear" w:pos="9344"/>
        </w:tabs>
      </w:pPr>
      <w:r>
        <w:rPr>
          <w:highlight w:val="none"/>
        </w:rPr>
        <w:fldChar w:fldCharType="begin"/>
      </w:r>
      <w:r>
        <w:rPr>
          <w:highlight w:val="none"/>
        </w:rPr>
        <w:instrText xml:space="preserve"> HYPERLINK \l _Toc21235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10.1 </w:t>
      </w:r>
      <w:r>
        <w:rPr>
          <w:rFonts w:hint="eastAsia"/>
          <w:highlight w:val="none"/>
        </w:rPr>
        <w:t>成果形式</w:t>
      </w:r>
      <w:r>
        <w:tab/>
      </w:r>
      <w:r>
        <w:fldChar w:fldCharType="begin"/>
      </w:r>
      <w:r>
        <w:instrText xml:space="preserve"> PAGEREF _Toc21235 \h </w:instrText>
      </w:r>
      <w:r>
        <w:fldChar w:fldCharType="separate"/>
      </w:r>
      <w:r>
        <w:t>7</w:t>
      </w:r>
      <w:r>
        <w:fldChar w:fldCharType="end"/>
      </w:r>
      <w:r>
        <w:rPr>
          <w:highlight w:val="none"/>
        </w:rPr>
        <w:fldChar w:fldCharType="end"/>
      </w:r>
    </w:p>
    <w:p w14:paraId="777D22E1">
      <w:pPr>
        <w:pStyle w:val="27"/>
        <w:tabs>
          <w:tab w:val="right" w:leader="dot" w:pos="9354"/>
          <w:tab w:val="clear" w:pos="9344"/>
        </w:tabs>
      </w:pPr>
      <w:r>
        <w:rPr>
          <w:highlight w:val="none"/>
        </w:rPr>
        <w:fldChar w:fldCharType="begin"/>
      </w:r>
      <w:r>
        <w:rPr>
          <w:highlight w:val="none"/>
        </w:rPr>
        <w:instrText xml:space="preserve"> HYPERLINK \l _Toc12716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t xml:space="preserve">10.2 </w:t>
      </w:r>
      <w:r>
        <w:rPr>
          <w:rFonts w:hint="eastAsia"/>
          <w:highlight w:val="none"/>
        </w:rPr>
        <w:t>成果应用</w:t>
      </w:r>
      <w:r>
        <w:tab/>
      </w:r>
      <w:r>
        <w:fldChar w:fldCharType="begin"/>
      </w:r>
      <w:r>
        <w:instrText xml:space="preserve"> PAGEREF _Toc12716 \h </w:instrText>
      </w:r>
      <w:r>
        <w:fldChar w:fldCharType="separate"/>
      </w:r>
      <w:r>
        <w:t>8</w:t>
      </w:r>
      <w:r>
        <w:fldChar w:fldCharType="end"/>
      </w:r>
      <w:r>
        <w:rPr>
          <w:highlight w:val="none"/>
        </w:rPr>
        <w:fldChar w:fldCharType="end"/>
      </w:r>
    </w:p>
    <w:p w14:paraId="6DA81438">
      <w:pPr>
        <w:pStyle w:val="22"/>
      </w:pPr>
      <w:r>
        <w:rPr>
          <w:highlight w:val="none"/>
        </w:rPr>
        <w:fldChar w:fldCharType="begin"/>
      </w:r>
      <w:r>
        <w:rPr>
          <w:highlight w:val="none"/>
        </w:rPr>
        <w:instrText xml:space="preserve"> HYPERLINK \l _Toc24755 </w:instrText>
      </w:r>
      <w:r>
        <w:rPr>
          <w:highlight w:val="none"/>
        </w:rPr>
        <w:fldChar w:fldCharType="separate"/>
      </w:r>
      <w:r>
        <w:rPr>
          <w:rFonts w:hint="eastAsia" w:ascii="黑体" w:eastAsia="黑体"/>
          <w:i w:val="0"/>
        </w:rPr>
        <w:t xml:space="preserve">11 </w:t>
      </w:r>
      <w:r>
        <w:rPr>
          <w:rFonts w:hint="eastAsia"/>
          <w:highlight w:val="none"/>
        </w:rPr>
        <w:t>标准实施及评价</w:t>
      </w:r>
      <w:r>
        <w:tab/>
      </w:r>
      <w:r>
        <w:fldChar w:fldCharType="begin"/>
      </w:r>
      <w:r>
        <w:instrText xml:space="preserve"> PAGEREF _Toc24755 \h </w:instrText>
      </w:r>
      <w:r>
        <w:fldChar w:fldCharType="separate"/>
      </w:r>
      <w:r>
        <w:t>8</w:t>
      </w:r>
      <w:r>
        <w:fldChar w:fldCharType="end"/>
      </w:r>
      <w:r>
        <w:rPr>
          <w:highlight w:val="none"/>
        </w:rPr>
        <w:fldChar w:fldCharType="end"/>
      </w:r>
    </w:p>
    <w:p w14:paraId="09F63FDB">
      <w:pPr>
        <w:pStyle w:val="22"/>
      </w:pPr>
      <w:r>
        <w:rPr>
          <w:highlight w:val="none"/>
        </w:rPr>
        <w:fldChar w:fldCharType="begin"/>
      </w:r>
      <w:r>
        <w:rPr>
          <w:highlight w:val="none"/>
        </w:rPr>
        <w:instrText xml:space="preserve"> HYPERLINK \l _Toc6483 </w:instrText>
      </w:r>
      <w:r>
        <w:rPr>
          <w:highlight w:val="none"/>
        </w:rPr>
        <w:fldChar w:fldCharType="separate"/>
      </w:r>
      <w:r>
        <w:rPr>
          <w:rFonts w:hint="eastAsia"/>
          <w:spacing w:val="100"/>
        </w:rPr>
        <w:t xml:space="preserve">附录A </w:t>
      </w:r>
      <w:r>
        <w:rPr>
          <w:highlight w:val="none"/>
        </w:rPr>
        <w:fldChar w:fldCharType="end"/>
      </w:r>
      <w:r>
        <w:rPr>
          <w:highlight w:val="none"/>
        </w:rPr>
        <w:fldChar w:fldCharType="begin"/>
      </w:r>
      <w:r>
        <w:rPr>
          <w:highlight w:val="none"/>
        </w:rPr>
        <w:instrText xml:space="preserve"> HYPERLINK \l _Toc30905 </w:instrText>
      </w:r>
      <w:r>
        <w:rPr>
          <w:highlight w:val="none"/>
        </w:rPr>
        <w:fldChar w:fldCharType="separate"/>
      </w:r>
      <w:r>
        <w:rPr>
          <w:rFonts w:hint="eastAsia"/>
          <w:highlight w:val="none"/>
        </w:rPr>
        <w:t>（资料性）</w:t>
      </w:r>
      <w:r>
        <w:rPr>
          <w:highlight w:val="none"/>
        </w:rPr>
        <w:t xml:space="preserve"> </w:t>
      </w:r>
      <w:r>
        <w:rPr>
          <w:rFonts w:hint="eastAsia"/>
          <w:highlight w:val="none"/>
          <w:lang w:eastAsia="zh-CN"/>
        </w:rPr>
        <w:t>城市更新单元（片区）</w:t>
      </w:r>
      <w:r>
        <w:rPr>
          <w:rFonts w:hint="eastAsia"/>
          <w:highlight w:val="none"/>
        </w:rPr>
        <w:t>体检评估基础数据调查内容汇总表</w:t>
      </w:r>
      <w:r>
        <w:tab/>
      </w:r>
      <w:r>
        <w:fldChar w:fldCharType="begin"/>
      </w:r>
      <w:r>
        <w:instrText xml:space="preserve"> PAGEREF _Toc30905 \h </w:instrText>
      </w:r>
      <w:r>
        <w:fldChar w:fldCharType="separate"/>
      </w:r>
      <w:r>
        <w:t>X</w:t>
      </w:r>
      <w:r>
        <w:fldChar w:fldCharType="end"/>
      </w:r>
      <w:r>
        <w:rPr>
          <w:highlight w:val="none"/>
        </w:rPr>
        <w:fldChar w:fldCharType="end"/>
      </w:r>
    </w:p>
    <w:p w14:paraId="22192B49">
      <w:pPr>
        <w:pStyle w:val="22"/>
      </w:pPr>
      <w:r>
        <w:rPr>
          <w:highlight w:val="none"/>
        </w:rPr>
        <w:fldChar w:fldCharType="begin"/>
      </w:r>
      <w:r>
        <w:rPr>
          <w:highlight w:val="none"/>
        </w:rPr>
        <w:instrText xml:space="preserve"> HYPERLINK \l _Toc25925 </w:instrText>
      </w:r>
      <w:r>
        <w:rPr>
          <w:highlight w:val="none"/>
        </w:rPr>
        <w:fldChar w:fldCharType="separate"/>
      </w:r>
      <w:r>
        <w:rPr>
          <w:rFonts w:hint="eastAsia"/>
          <w:spacing w:val="100"/>
        </w:rPr>
        <w:t xml:space="preserve">附录B </w:t>
      </w:r>
      <w:r>
        <w:rPr>
          <w:highlight w:val="none"/>
        </w:rPr>
        <w:fldChar w:fldCharType="end"/>
      </w:r>
      <w:r>
        <w:rPr>
          <w:highlight w:val="none"/>
        </w:rPr>
        <w:fldChar w:fldCharType="begin"/>
      </w:r>
      <w:r>
        <w:rPr>
          <w:highlight w:val="none"/>
        </w:rPr>
        <w:instrText xml:space="preserve"> HYPERLINK \l _Toc28567 </w:instrText>
      </w:r>
      <w:r>
        <w:rPr>
          <w:highlight w:val="none"/>
        </w:rPr>
        <w:fldChar w:fldCharType="separate"/>
      </w:r>
      <w:r>
        <w:rPr>
          <w:rFonts w:hint="eastAsia"/>
          <w:highlight w:val="none"/>
        </w:rPr>
        <w:t>（资料性）</w:t>
      </w:r>
      <w:r>
        <w:rPr>
          <w:highlight w:val="none"/>
        </w:rPr>
        <w:t xml:space="preserve"> </w:t>
      </w:r>
      <w:r>
        <w:rPr>
          <w:rFonts w:hint="eastAsia"/>
          <w:highlight w:val="none"/>
        </w:rPr>
        <w:t>城市更新</w:t>
      </w:r>
      <w:r>
        <w:rPr>
          <w:rFonts w:hint="eastAsia"/>
          <w:highlight w:val="none"/>
          <w:lang w:val="en-US" w:eastAsia="zh-CN"/>
        </w:rPr>
        <w:t>意愿调查要点汇总</w:t>
      </w:r>
      <w:r>
        <w:rPr>
          <w:rFonts w:hint="eastAsia"/>
          <w:highlight w:val="none"/>
        </w:rPr>
        <w:t>表</w:t>
      </w:r>
      <w:r>
        <w:tab/>
      </w:r>
      <w:r>
        <w:fldChar w:fldCharType="begin"/>
      </w:r>
      <w:r>
        <w:instrText xml:space="preserve"> PAGEREF _Toc28567 \h </w:instrText>
      </w:r>
      <w:r>
        <w:fldChar w:fldCharType="separate"/>
      </w:r>
      <w:r>
        <w:t>XII</w:t>
      </w:r>
      <w:r>
        <w:fldChar w:fldCharType="end"/>
      </w:r>
      <w:r>
        <w:rPr>
          <w:highlight w:val="none"/>
        </w:rPr>
        <w:fldChar w:fldCharType="end"/>
      </w:r>
    </w:p>
    <w:p w14:paraId="66834233">
      <w:pPr>
        <w:pStyle w:val="22"/>
      </w:pPr>
      <w:r>
        <w:rPr>
          <w:highlight w:val="none"/>
        </w:rPr>
        <w:fldChar w:fldCharType="begin"/>
      </w:r>
      <w:r>
        <w:rPr>
          <w:highlight w:val="none"/>
        </w:rPr>
        <w:instrText xml:space="preserve"> HYPERLINK \l _Toc20531 </w:instrText>
      </w:r>
      <w:r>
        <w:rPr>
          <w:highlight w:val="none"/>
        </w:rPr>
        <w:fldChar w:fldCharType="separate"/>
      </w:r>
      <w:r>
        <w:rPr>
          <w:rFonts w:hint="eastAsia"/>
          <w:spacing w:val="100"/>
        </w:rPr>
        <w:t xml:space="preserve">附录C </w:t>
      </w:r>
      <w:r>
        <w:rPr>
          <w:highlight w:val="none"/>
        </w:rPr>
        <w:fldChar w:fldCharType="end"/>
      </w:r>
      <w:r>
        <w:rPr>
          <w:highlight w:val="none"/>
        </w:rPr>
        <w:fldChar w:fldCharType="begin"/>
      </w:r>
      <w:r>
        <w:rPr>
          <w:highlight w:val="none"/>
        </w:rPr>
        <w:instrText xml:space="preserve"> HYPERLINK \l _Toc8540 </w:instrText>
      </w:r>
      <w:r>
        <w:rPr>
          <w:highlight w:val="none"/>
        </w:rPr>
        <w:fldChar w:fldCharType="separate"/>
      </w:r>
      <w:r>
        <w:rPr>
          <w:rFonts w:hint="eastAsia"/>
          <w:highlight w:val="none"/>
        </w:rPr>
        <w:t>（资料性）</w:t>
      </w:r>
      <w:r>
        <w:rPr>
          <w:highlight w:val="none"/>
        </w:rPr>
        <w:t xml:space="preserve"> </w:t>
      </w:r>
      <w:r>
        <w:rPr>
          <w:rFonts w:hint="eastAsia"/>
          <w:highlight w:val="none"/>
        </w:rPr>
        <w:t>城市更新单元（片区）体检问题清单、需求清单、可利用资源清单样表</w:t>
      </w:r>
      <w:r>
        <w:tab/>
      </w:r>
      <w:r>
        <w:fldChar w:fldCharType="begin"/>
      </w:r>
      <w:r>
        <w:instrText xml:space="preserve"> PAGEREF _Toc8540 \h </w:instrText>
      </w:r>
      <w:r>
        <w:fldChar w:fldCharType="separate"/>
      </w:r>
      <w:r>
        <w:t>XIII</w:t>
      </w:r>
      <w:r>
        <w:fldChar w:fldCharType="end"/>
      </w:r>
      <w:r>
        <w:rPr>
          <w:highlight w:val="none"/>
        </w:rPr>
        <w:fldChar w:fldCharType="end"/>
      </w:r>
    </w:p>
    <w:p w14:paraId="5616F4B2">
      <w:pPr>
        <w:pStyle w:val="22"/>
      </w:pPr>
      <w:r>
        <w:rPr>
          <w:highlight w:val="none"/>
        </w:rPr>
        <w:fldChar w:fldCharType="begin"/>
      </w:r>
      <w:r>
        <w:rPr>
          <w:highlight w:val="none"/>
        </w:rPr>
        <w:instrText xml:space="preserve"> HYPERLINK \l _Toc16343 </w:instrText>
      </w:r>
      <w:r>
        <w:rPr>
          <w:highlight w:val="none"/>
        </w:rPr>
        <w:fldChar w:fldCharType="separate"/>
      </w:r>
      <w:r>
        <w:rPr>
          <w:rFonts w:hint="eastAsia"/>
          <w:spacing w:val="100"/>
        </w:rPr>
        <w:t xml:space="preserve">附录D </w:t>
      </w:r>
      <w:r>
        <w:rPr>
          <w:highlight w:val="none"/>
        </w:rPr>
        <w:fldChar w:fldCharType="end"/>
      </w:r>
      <w:r>
        <w:rPr>
          <w:highlight w:val="none"/>
        </w:rPr>
        <w:fldChar w:fldCharType="begin"/>
      </w:r>
      <w:r>
        <w:rPr>
          <w:highlight w:val="none"/>
        </w:rPr>
        <w:instrText xml:space="preserve"> HYPERLINK \l _Toc11700 </w:instrText>
      </w:r>
      <w:r>
        <w:rPr>
          <w:highlight w:val="none"/>
        </w:rPr>
        <w:fldChar w:fldCharType="separate"/>
      </w:r>
      <w:r>
        <w:rPr>
          <w:rFonts w:hint="eastAsia"/>
          <w:highlight w:val="none"/>
        </w:rPr>
        <w:t>（资料性）</w:t>
      </w:r>
      <w:r>
        <w:rPr>
          <w:highlight w:val="none"/>
        </w:rPr>
        <w:t xml:space="preserve"> </w:t>
      </w:r>
      <w:r>
        <w:rPr>
          <w:rFonts w:hint="eastAsia"/>
          <w:highlight w:val="none"/>
          <w:lang w:eastAsia="zh-CN"/>
        </w:rPr>
        <w:t>城市更新单元（片区）</w:t>
      </w:r>
      <w:r>
        <w:rPr>
          <w:rFonts w:hint="eastAsia"/>
          <w:highlight w:val="none"/>
        </w:rPr>
        <w:t>体检评估指标表</w:t>
      </w:r>
      <w:r>
        <w:tab/>
      </w:r>
      <w:r>
        <w:fldChar w:fldCharType="begin"/>
      </w:r>
      <w:r>
        <w:instrText xml:space="preserve"> PAGEREF _Toc11700 \h </w:instrText>
      </w:r>
      <w:r>
        <w:fldChar w:fldCharType="separate"/>
      </w:r>
      <w:r>
        <w:t>XIV</w:t>
      </w:r>
      <w:r>
        <w:fldChar w:fldCharType="end"/>
      </w:r>
      <w:r>
        <w:rPr>
          <w:highlight w:val="none"/>
        </w:rPr>
        <w:fldChar w:fldCharType="end"/>
      </w:r>
    </w:p>
    <w:p w14:paraId="4B5E91CC">
      <w:pPr>
        <w:pStyle w:val="22"/>
      </w:pPr>
      <w:r>
        <w:rPr>
          <w:highlight w:val="none"/>
        </w:rPr>
        <w:fldChar w:fldCharType="begin"/>
      </w:r>
      <w:r>
        <w:rPr>
          <w:highlight w:val="none"/>
        </w:rPr>
        <w:instrText xml:space="preserve"> HYPERLINK \l _Toc19107 </w:instrText>
      </w:r>
      <w:r>
        <w:rPr>
          <w:highlight w:val="none"/>
        </w:rPr>
        <w:fldChar w:fldCharType="separate"/>
      </w:r>
      <w:r>
        <w:rPr>
          <w:rFonts w:hint="eastAsia"/>
          <w:spacing w:val="100"/>
        </w:rPr>
        <w:t xml:space="preserve">附录E </w:t>
      </w:r>
      <w:r>
        <w:rPr>
          <w:highlight w:val="none"/>
        </w:rPr>
        <w:fldChar w:fldCharType="end"/>
      </w:r>
      <w:r>
        <w:rPr>
          <w:highlight w:val="none"/>
        </w:rPr>
        <w:fldChar w:fldCharType="begin"/>
      </w:r>
      <w:r>
        <w:rPr>
          <w:highlight w:val="none"/>
        </w:rPr>
        <w:instrText xml:space="preserve"> HYPERLINK \l _Toc14579 </w:instrText>
      </w:r>
      <w:r>
        <w:rPr>
          <w:highlight w:val="none"/>
        </w:rPr>
        <w:fldChar w:fldCharType="separate"/>
      </w:r>
      <w:r>
        <w:rPr>
          <w:rFonts w:hint="eastAsia"/>
          <w:highlight w:val="none"/>
        </w:rPr>
        <w:t>（资料性）</w:t>
      </w:r>
      <w:r>
        <w:rPr>
          <w:highlight w:val="none"/>
        </w:rPr>
        <w:t xml:space="preserve"> </w:t>
      </w:r>
      <w:r>
        <w:rPr>
          <w:rFonts w:hint="eastAsia"/>
          <w:highlight w:val="none"/>
          <w:lang w:eastAsia="zh-CN"/>
        </w:rPr>
        <w:t>更新单元评估对法定规划协调、优化建议详细指引表</w:t>
      </w:r>
      <w:r>
        <w:tab/>
      </w:r>
      <w:r>
        <w:fldChar w:fldCharType="begin"/>
      </w:r>
      <w:r>
        <w:instrText xml:space="preserve"> PAGEREF _Toc14579 \h </w:instrText>
      </w:r>
      <w:r>
        <w:fldChar w:fldCharType="separate"/>
      </w:r>
      <w:r>
        <w:t>XVIII</w:t>
      </w:r>
      <w:r>
        <w:fldChar w:fldCharType="end"/>
      </w:r>
      <w:r>
        <w:rPr>
          <w:highlight w:val="none"/>
        </w:rPr>
        <w:fldChar w:fldCharType="end"/>
      </w:r>
    </w:p>
    <w:p w14:paraId="22D183D9">
      <w:pPr>
        <w:pStyle w:val="22"/>
      </w:pPr>
      <w:r>
        <w:rPr>
          <w:highlight w:val="none"/>
        </w:rPr>
        <w:fldChar w:fldCharType="begin"/>
      </w:r>
      <w:r>
        <w:rPr>
          <w:highlight w:val="none"/>
        </w:rPr>
        <w:instrText xml:space="preserve"> HYPERLINK \l _Toc29852 </w:instrText>
      </w:r>
      <w:r>
        <w:rPr>
          <w:highlight w:val="none"/>
        </w:rPr>
        <w:fldChar w:fldCharType="separate"/>
      </w:r>
      <w:r>
        <w:rPr>
          <w:rFonts w:hint="eastAsia"/>
          <w:spacing w:val="100"/>
        </w:rPr>
        <w:t xml:space="preserve">附录F </w:t>
      </w:r>
      <w:r>
        <w:rPr>
          <w:rFonts w:hint="eastAsia"/>
          <w:highlight w:val="none"/>
        </w:rPr>
        <w:t>（资料性）</w:t>
      </w:r>
      <w:r>
        <w:rPr>
          <w:highlight w:val="none"/>
        </w:rPr>
        <w:t xml:space="preserve"> </w:t>
      </w:r>
      <w:r>
        <w:rPr>
          <w:rFonts w:hint="eastAsia"/>
          <w:highlight w:val="none"/>
          <w:lang w:eastAsia="zh-CN"/>
        </w:rPr>
        <w:t>城市更新单元（片区）</w:t>
      </w:r>
      <w:r>
        <w:rPr>
          <w:rFonts w:hint="eastAsia"/>
          <w:highlight w:val="none"/>
        </w:rPr>
        <w:t>体检评估报告提纲参考</w:t>
      </w:r>
      <w:r>
        <w:tab/>
      </w:r>
      <w:r>
        <w:fldChar w:fldCharType="begin"/>
      </w:r>
      <w:r>
        <w:instrText xml:space="preserve"> PAGEREF _Toc29852 \h </w:instrText>
      </w:r>
      <w:r>
        <w:fldChar w:fldCharType="separate"/>
      </w:r>
      <w:r>
        <w:t>XX</w:t>
      </w:r>
      <w:r>
        <w:fldChar w:fldCharType="end"/>
      </w:r>
      <w:r>
        <w:rPr>
          <w:highlight w:val="none"/>
        </w:rPr>
        <w:fldChar w:fldCharType="end"/>
      </w:r>
    </w:p>
    <w:p w14:paraId="07306DEF">
      <w:pPr>
        <w:pStyle w:val="22"/>
      </w:pPr>
      <w:r>
        <w:rPr>
          <w:highlight w:val="none"/>
        </w:rPr>
        <w:fldChar w:fldCharType="begin"/>
      </w:r>
      <w:r>
        <w:rPr>
          <w:highlight w:val="none"/>
        </w:rPr>
        <w:instrText xml:space="preserve"> HYPERLINK \l _Toc27652 </w:instrText>
      </w:r>
      <w:r>
        <w:rPr>
          <w:highlight w:val="none"/>
        </w:rPr>
        <w:fldChar w:fldCharType="separate"/>
      </w:r>
      <w:r>
        <w:rPr>
          <w:rFonts w:hint="eastAsia"/>
          <w:spacing w:val="100"/>
        </w:rPr>
        <w:t xml:space="preserve">附录G </w:t>
      </w:r>
      <w:r>
        <w:rPr>
          <w:rFonts w:hint="eastAsia"/>
          <w:highlight w:val="none"/>
        </w:rPr>
        <w:t>（资料性）</w:t>
      </w:r>
      <w:r>
        <w:rPr>
          <w:highlight w:val="none"/>
        </w:rPr>
        <w:t xml:space="preserve"> </w:t>
      </w:r>
      <w:r>
        <w:rPr>
          <w:rFonts w:hint="eastAsia"/>
          <w:highlight w:val="none"/>
        </w:rPr>
        <w:t>湖北省地方标准实施信息及意见反馈表</w:t>
      </w:r>
      <w:r>
        <w:tab/>
      </w:r>
      <w:r>
        <w:fldChar w:fldCharType="begin"/>
      </w:r>
      <w:r>
        <w:instrText xml:space="preserve"> PAGEREF _Toc27652 \h </w:instrText>
      </w:r>
      <w:r>
        <w:fldChar w:fldCharType="separate"/>
      </w:r>
      <w:r>
        <w:t>XXI</w:t>
      </w:r>
      <w:r>
        <w:fldChar w:fldCharType="end"/>
      </w:r>
      <w:r>
        <w:rPr>
          <w:highlight w:val="none"/>
        </w:rPr>
        <w:fldChar w:fldCharType="end"/>
      </w:r>
    </w:p>
    <w:p w14:paraId="26D56D24">
      <w:pPr>
        <w:pStyle w:val="22"/>
        <w:jc w:val="left"/>
      </w:pPr>
      <w:r>
        <w:rPr>
          <w:highlight w:val="none"/>
        </w:rPr>
        <w:fldChar w:fldCharType="begin"/>
      </w:r>
      <w:r>
        <w:rPr>
          <w:highlight w:val="none"/>
        </w:rPr>
        <w:instrText xml:space="preserve"> HYPERLINK \l _Toc3090 </w:instrText>
      </w:r>
      <w:r>
        <w:rPr>
          <w:highlight w:val="none"/>
        </w:rPr>
        <w:fldChar w:fldCharType="separate"/>
      </w:r>
      <w:r>
        <w:rPr>
          <w:rFonts w:hint="eastAsia"/>
          <w:spacing w:val="105"/>
        </w:rPr>
        <w:t>参考文</w:t>
      </w:r>
      <w:r>
        <w:rPr>
          <w:rFonts w:hint="eastAsia"/>
        </w:rPr>
        <w:t>献</w:t>
      </w:r>
      <w:r>
        <w:tab/>
      </w:r>
      <w:r>
        <w:fldChar w:fldCharType="begin"/>
      </w:r>
      <w:r>
        <w:instrText xml:space="preserve"> PAGEREF _Toc3090 \h </w:instrText>
      </w:r>
      <w:r>
        <w:fldChar w:fldCharType="separate"/>
      </w:r>
      <w:r>
        <w:t>XXII</w:t>
      </w:r>
      <w:r>
        <w:fldChar w:fldCharType="end"/>
      </w:r>
      <w:r>
        <w:rPr>
          <w:highlight w:val="none"/>
        </w:rPr>
        <w:fldChar w:fldCharType="end"/>
      </w:r>
    </w:p>
    <w:p w14:paraId="1423AA09">
      <w:pPr>
        <w:pStyle w:val="128"/>
        <w:tabs>
          <w:tab w:val="center" w:pos="4677"/>
          <w:tab w:val="right" w:pos="9354"/>
        </w:tabs>
        <w:jc w:val="left"/>
        <w:rPr>
          <w:highlight w:val="none"/>
        </w:rPr>
        <w:sectPr>
          <w:footerReference r:id="rId12" w:type="first"/>
          <w:headerReference r:id="rId8" w:type="default"/>
          <w:footerReference r:id="rId10" w:type="default"/>
          <w:headerReference r:id="rId9" w:type="even"/>
          <w:footerReference r:id="rId11" w:type="even"/>
          <w:pgSz w:w="11906" w:h="16838"/>
          <w:pgMar w:top="1928" w:right="1134" w:bottom="1134" w:left="1134" w:header="1418" w:footer="1134" w:gutter="284"/>
          <w:pgNumType w:fmt="upperRoman" w:start="1"/>
          <w:cols w:space="425" w:num="1"/>
          <w:formProt w:val="0"/>
          <w:titlePg/>
          <w:docGrid w:type="lines" w:linePitch="312" w:charSpace="0"/>
        </w:sectPr>
      </w:pPr>
      <w:r>
        <w:rPr>
          <w:highlight w:val="none"/>
        </w:rPr>
        <w:fldChar w:fldCharType="end"/>
      </w:r>
    </w:p>
    <w:bookmarkEnd w:id="13"/>
    <w:p w14:paraId="101A4125">
      <w:pPr>
        <w:pStyle w:val="169"/>
        <w:rPr>
          <w:highlight w:val="none"/>
        </w:rPr>
      </w:pPr>
      <w:bookmarkStart w:id="16" w:name="_Toc19406"/>
      <w:r>
        <w:rPr>
          <w:highlight w:val="none"/>
        </w:rPr>
        <w:t>前</w:t>
      </w:r>
      <w:r>
        <w:rPr>
          <w:rFonts w:hint="eastAsia"/>
          <w:highlight w:val="none"/>
        </w:rPr>
        <w:t xml:space="preserve"> </w:t>
      </w:r>
      <w:r>
        <w:rPr>
          <w:highlight w:val="none"/>
        </w:rPr>
        <w:t xml:space="preserve">  言</w:t>
      </w:r>
      <w:bookmarkEnd w:id="14"/>
      <w:bookmarkEnd w:id="15"/>
      <w:bookmarkEnd w:id="16"/>
    </w:p>
    <w:p w14:paraId="64C05B39">
      <w:pPr>
        <w:pStyle w:val="44"/>
        <w:rPr>
          <w:highlight w:val="none"/>
        </w:rPr>
      </w:pPr>
      <w:r>
        <w:rPr>
          <w:rFonts w:hint="eastAsia"/>
          <w:highlight w:val="none"/>
        </w:rPr>
        <w:t>本文件按照GB/T 1.1－2020《标准化工作导则 第1部分：标准化文件的结构和起草规则》、GB/T</w:t>
      </w:r>
      <w:r>
        <w:rPr>
          <w:highlight w:val="none"/>
        </w:rPr>
        <w:t xml:space="preserve"> </w:t>
      </w:r>
      <w:r>
        <w:rPr>
          <w:rFonts w:hint="eastAsia"/>
          <w:highlight w:val="none"/>
        </w:rPr>
        <w:t>20001.7《标准编写规则 第7部分：指南标准》的规定起草。</w:t>
      </w:r>
    </w:p>
    <w:p w14:paraId="5204F7F0">
      <w:pPr>
        <w:pStyle w:val="44"/>
        <w:rPr>
          <w:highlight w:val="none"/>
        </w:rPr>
      </w:pPr>
      <w:r>
        <w:rPr>
          <w:rFonts w:hint="eastAsia"/>
          <w:highlight w:val="none"/>
        </w:rPr>
        <w:t>请注意本文件的某些内容可能涉及专利。本文件的发布机构不承担识别专利的责任。</w:t>
      </w:r>
    </w:p>
    <w:p w14:paraId="49554221">
      <w:pPr>
        <w:pStyle w:val="44"/>
        <w:rPr>
          <w:highlight w:val="none"/>
        </w:rPr>
      </w:pPr>
      <w:r>
        <w:rPr>
          <w:rFonts w:hint="eastAsia"/>
          <w:highlight w:val="none"/>
        </w:rPr>
        <w:t>本文件由湖北省住房和城乡建设厅提出并归口。</w:t>
      </w:r>
    </w:p>
    <w:p w14:paraId="44B96DBB">
      <w:pPr>
        <w:pStyle w:val="44"/>
        <w:rPr>
          <w:rFonts w:hint="default"/>
          <w:highlight w:val="none"/>
          <w:lang w:val="en-US" w:eastAsia="zh-CN"/>
        </w:rPr>
      </w:pPr>
      <w:r>
        <w:rPr>
          <w:rFonts w:hint="eastAsia"/>
          <w:highlight w:val="none"/>
        </w:rPr>
        <w:t>本文件起草单位：湖北省规划设计研究总院有限责任公司</w:t>
      </w:r>
      <w:r>
        <w:rPr>
          <w:rFonts w:hint="eastAsia"/>
          <w:highlight w:val="none"/>
          <w:lang w:eastAsia="zh-CN"/>
        </w:rPr>
        <w:t>、</w:t>
      </w:r>
      <w:r>
        <w:rPr>
          <w:rFonts w:hint="eastAsia"/>
          <w:highlight w:val="none"/>
          <w:lang w:val="en-US" w:eastAsia="zh-CN"/>
        </w:rPr>
        <w:t>湖北省标准化与质量研究院。</w:t>
      </w:r>
    </w:p>
    <w:p w14:paraId="1D50E286">
      <w:pPr>
        <w:pStyle w:val="44"/>
        <w:rPr>
          <w:rFonts w:hint="default" w:eastAsia="宋体"/>
          <w:highlight w:val="none"/>
          <w:lang w:val="en-US" w:eastAsia="zh-CN"/>
        </w:rPr>
      </w:pPr>
      <w:r>
        <w:rPr>
          <w:rFonts w:hint="eastAsia"/>
          <w:highlight w:val="none"/>
        </w:rPr>
        <w:t>本文件主要起草人员：</w:t>
      </w:r>
      <w:r>
        <w:rPr>
          <w:rFonts w:hint="eastAsia"/>
          <w:highlight w:val="none"/>
          <w:lang w:val="en-US" w:eastAsia="zh-CN"/>
        </w:rPr>
        <w:t>位欣、张媛、万雯、陈佳骏、刘晨阳、郑重、吴思、方可、祝卫东、陆文婷、董文、李阳。</w:t>
      </w:r>
    </w:p>
    <w:p w14:paraId="44955206">
      <w:pPr>
        <w:pStyle w:val="44"/>
        <w:rPr>
          <w:highlight w:val="none"/>
        </w:rPr>
      </w:pPr>
      <w:r>
        <w:rPr>
          <w:rFonts w:hint="eastAsia"/>
          <w:highlight w:val="none"/>
        </w:rPr>
        <w:t>本文件为首次发布。本文件实施应用中的疑问，可咨询湖北省住房和城乡建设厅，联系电话：027-68873063，邮箱：bkc@hbszjt.net.cn。在执行过程中如有意见和建议请邮湖北省规划设计研究总院有限责任公司，电话：027-87897971，邮箱：hbupid@163.com，地址：武汉市武昌区中南一路47号，邮编430060。</w:t>
      </w:r>
    </w:p>
    <w:p w14:paraId="25847AF0">
      <w:pPr>
        <w:rPr>
          <w:highlight w:val="none"/>
        </w:rPr>
      </w:pPr>
    </w:p>
    <w:p w14:paraId="5C096DB0">
      <w:pPr>
        <w:rPr>
          <w:highlight w:val="none"/>
        </w:rPr>
      </w:pPr>
    </w:p>
    <w:p w14:paraId="1102DF16">
      <w:pPr>
        <w:rPr>
          <w:highlight w:val="none"/>
        </w:rPr>
      </w:pPr>
    </w:p>
    <w:p w14:paraId="7EF27EF1">
      <w:pPr>
        <w:rPr>
          <w:highlight w:val="none"/>
        </w:rPr>
      </w:pPr>
    </w:p>
    <w:p w14:paraId="724CD5CB">
      <w:pPr>
        <w:rPr>
          <w:highlight w:val="none"/>
        </w:rPr>
      </w:pPr>
    </w:p>
    <w:p w14:paraId="322D712F">
      <w:pPr>
        <w:rPr>
          <w:highlight w:val="none"/>
        </w:rPr>
      </w:pPr>
    </w:p>
    <w:p w14:paraId="4D218B9F">
      <w:pPr>
        <w:rPr>
          <w:highlight w:val="none"/>
        </w:rPr>
      </w:pPr>
    </w:p>
    <w:p w14:paraId="0895A171">
      <w:pPr>
        <w:rPr>
          <w:highlight w:val="none"/>
        </w:rPr>
      </w:pPr>
    </w:p>
    <w:p w14:paraId="179633DB">
      <w:pPr>
        <w:rPr>
          <w:highlight w:val="none"/>
        </w:rPr>
      </w:pPr>
    </w:p>
    <w:p w14:paraId="2DBA5DF2">
      <w:pPr>
        <w:rPr>
          <w:highlight w:val="none"/>
        </w:rPr>
      </w:pPr>
    </w:p>
    <w:p w14:paraId="574C2683">
      <w:pPr>
        <w:rPr>
          <w:highlight w:val="none"/>
        </w:rPr>
      </w:pPr>
    </w:p>
    <w:p w14:paraId="2B3B0B5D">
      <w:pPr>
        <w:rPr>
          <w:highlight w:val="none"/>
        </w:rPr>
      </w:pPr>
    </w:p>
    <w:p w14:paraId="754A9F32">
      <w:pPr>
        <w:rPr>
          <w:highlight w:val="none"/>
        </w:rPr>
      </w:pPr>
    </w:p>
    <w:p w14:paraId="5AE1C940">
      <w:pPr>
        <w:rPr>
          <w:highlight w:val="none"/>
        </w:rPr>
      </w:pPr>
    </w:p>
    <w:p w14:paraId="051DF974">
      <w:pPr>
        <w:rPr>
          <w:highlight w:val="none"/>
        </w:rPr>
      </w:pPr>
    </w:p>
    <w:p w14:paraId="26FBA0EE">
      <w:pPr>
        <w:rPr>
          <w:highlight w:val="none"/>
        </w:rPr>
      </w:pPr>
      <w:r>
        <w:rPr>
          <w:rFonts w:hint="eastAsia"/>
          <w:highlight w:val="none"/>
        </w:rPr>
        <w:br w:type="page"/>
      </w:r>
    </w:p>
    <w:p w14:paraId="545A2D38">
      <w:pPr>
        <w:pStyle w:val="169"/>
        <w:rPr>
          <w:highlight w:val="none"/>
        </w:rPr>
      </w:pPr>
      <w:bookmarkStart w:id="17" w:name="_Toc172539786"/>
      <w:bookmarkStart w:id="18" w:name="_Toc29782"/>
      <w:r>
        <w:rPr>
          <w:rFonts w:hint="eastAsia"/>
          <w:highlight w:val="none"/>
        </w:rPr>
        <w:t xml:space="preserve">引 </w:t>
      </w:r>
      <w:r>
        <w:rPr>
          <w:highlight w:val="none"/>
        </w:rPr>
        <w:t xml:space="preserve">  </w:t>
      </w:r>
      <w:r>
        <w:rPr>
          <w:rFonts w:hint="eastAsia"/>
          <w:highlight w:val="none"/>
        </w:rPr>
        <w:t>言</w:t>
      </w:r>
      <w:bookmarkEnd w:id="17"/>
      <w:bookmarkEnd w:id="18"/>
    </w:p>
    <w:p w14:paraId="6F42A448">
      <w:pPr>
        <w:pStyle w:val="44"/>
        <w:rPr>
          <w:highlight w:val="none"/>
        </w:rPr>
      </w:pPr>
      <w:r>
        <w:rPr>
          <w:rFonts w:hint="eastAsia"/>
          <w:highlight w:val="none"/>
        </w:rPr>
        <w:t>实施城市更新行动，是顺应城市发展新阶段，推动城市高质量发展的重大战略举措。坚持城市体检先行，建立城市体检机制，是扎实有序推进城市更新工作的重要前提。</w:t>
      </w:r>
      <w:r>
        <w:rPr>
          <w:rFonts w:hint="eastAsia"/>
          <w:highlight w:val="none"/>
          <w:lang w:eastAsia="zh-CN"/>
        </w:rPr>
        <w:t>城市更新单元（片区）</w:t>
      </w:r>
      <w:r>
        <w:rPr>
          <w:rFonts w:hint="eastAsia"/>
          <w:highlight w:val="none"/>
        </w:rPr>
        <w:t>作为推进城市更新的基础单元，在其层面开展体检评估，通过综合现状评估，有针对性地制定对策措施，优化片区发展目标，补齐建设短板，解决</w:t>
      </w:r>
      <w:r>
        <w:rPr>
          <w:rFonts w:hint="eastAsia"/>
          <w:highlight w:val="none"/>
          <w:lang w:eastAsia="zh-CN"/>
        </w:rPr>
        <w:t>“</w:t>
      </w:r>
      <w:r>
        <w:rPr>
          <w:rFonts w:hint="eastAsia"/>
          <w:highlight w:val="none"/>
        </w:rPr>
        <w:t>城市病</w:t>
      </w:r>
      <w:r>
        <w:rPr>
          <w:rFonts w:hint="eastAsia"/>
          <w:highlight w:val="none"/>
          <w:lang w:eastAsia="zh-CN"/>
        </w:rPr>
        <w:t>”</w:t>
      </w:r>
      <w:r>
        <w:rPr>
          <w:rFonts w:hint="eastAsia"/>
          <w:highlight w:val="none"/>
        </w:rPr>
        <w:t>问题，推动城市有序更新。</w:t>
      </w:r>
    </w:p>
    <w:p w14:paraId="67AE1283">
      <w:pPr>
        <w:pStyle w:val="44"/>
        <w:rPr>
          <w:highlight w:val="none"/>
        </w:rPr>
      </w:pPr>
      <w:r>
        <w:rPr>
          <w:rFonts w:hint="eastAsia"/>
          <w:highlight w:val="none"/>
        </w:rPr>
        <w:t>为落实以城市体检推动城市更新的工作要求，明确</w:t>
      </w:r>
      <w:r>
        <w:rPr>
          <w:rFonts w:hint="eastAsia"/>
          <w:highlight w:val="none"/>
          <w:lang w:eastAsia="zh-CN"/>
        </w:rPr>
        <w:t>城市更新单元（片区）</w:t>
      </w:r>
      <w:r>
        <w:rPr>
          <w:rFonts w:hint="eastAsia"/>
          <w:highlight w:val="none"/>
        </w:rPr>
        <w:t>体检评估的方法路径，加强城市体检与</w:t>
      </w:r>
      <w:r>
        <w:rPr>
          <w:rFonts w:hint="eastAsia"/>
          <w:highlight w:val="none"/>
          <w:lang w:eastAsia="zh-CN"/>
        </w:rPr>
        <w:t>城市更新单元（片区）</w:t>
      </w:r>
      <w:r>
        <w:rPr>
          <w:rFonts w:hint="eastAsia"/>
          <w:highlight w:val="none"/>
        </w:rPr>
        <w:t>划定、方案编制等事前工作的衔接，规范</w:t>
      </w:r>
      <w:r>
        <w:rPr>
          <w:rFonts w:hint="eastAsia"/>
          <w:highlight w:val="none"/>
          <w:lang w:eastAsia="zh-CN"/>
        </w:rPr>
        <w:t>城市更新单元（片区）</w:t>
      </w:r>
      <w:r>
        <w:rPr>
          <w:rFonts w:hint="eastAsia"/>
          <w:highlight w:val="none"/>
        </w:rPr>
        <w:t>体检评估编制技术要求，结合我省实际，制定本文件。</w:t>
      </w:r>
    </w:p>
    <w:p w14:paraId="1136F8C1">
      <w:pPr>
        <w:widowControl/>
        <w:adjustRightInd/>
        <w:spacing w:line="240" w:lineRule="auto"/>
        <w:jc w:val="left"/>
        <w:rPr>
          <w:highlight w:val="none"/>
        </w:rPr>
        <w:sectPr>
          <w:headerReference r:id="rId13" w:type="default"/>
          <w:footerReference r:id="rId14" w:type="even"/>
          <w:pgSz w:w="11906" w:h="16838"/>
          <w:pgMar w:top="1928" w:right="1134" w:bottom="1134" w:left="1134" w:header="1418" w:footer="1134" w:gutter="284"/>
          <w:pgNumType w:fmt="upperRoman" w:start="3"/>
          <w:cols w:space="425" w:num="1"/>
          <w:formProt w:val="0"/>
          <w:docGrid w:type="lines" w:linePitch="312" w:charSpace="0"/>
        </w:sectPr>
      </w:pPr>
    </w:p>
    <w:sdt>
      <w:sdtPr>
        <w:rPr>
          <w:highlight w:val="none"/>
        </w:rPr>
        <w:tag w:val="NEW_STAND_NAME"/>
        <w:id w:val="595910757"/>
        <w:lock w:val="sdtLocked"/>
        <w:placeholder>
          <w:docPart w:val="29EC1D01C2234E879DC74E8EF155D865"/>
        </w:placeholder>
      </w:sdtPr>
      <w:sdtEndPr>
        <w:rPr>
          <w:highlight w:val="none"/>
        </w:rPr>
      </w:sdtEndPr>
      <w:sdtContent>
        <w:p w14:paraId="3A9E06EA">
          <w:pPr>
            <w:pStyle w:val="113"/>
            <w:spacing w:before="332" w:beforeLines="100" w:after="3" w:afterLines="1"/>
            <w:rPr>
              <w:highlight w:val="none"/>
            </w:rPr>
          </w:pPr>
          <w:r>
            <w:rPr>
              <w:rFonts w:hint="eastAsia"/>
              <w:highlight w:val="none"/>
            </w:rPr>
            <w:t xml:space="preserve"> </w:t>
          </w:r>
          <w:r>
            <w:rPr>
              <w:rFonts w:hint="eastAsia"/>
              <w:highlight w:val="none"/>
              <w:lang w:eastAsia="zh-CN"/>
            </w:rPr>
            <w:t>城市更新单元</w:t>
          </w:r>
          <w:r>
            <w:rPr>
              <w:rFonts w:hint="eastAsia"/>
              <w:highlight w:val="none"/>
            </w:rPr>
            <w:t>体检评估技术规程</w:t>
          </w:r>
        </w:p>
      </w:sdtContent>
    </w:sdt>
    <w:p w14:paraId="62185D4E">
      <w:pPr>
        <w:pStyle w:val="80"/>
        <w:spacing w:before="332" w:after="332"/>
        <w:rPr>
          <w:highlight w:val="none"/>
        </w:rPr>
      </w:pPr>
      <w:bookmarkStart w:id="19" w:name="_Toc20309"/>
      <w:r>
        <w:rPr>
          <w:rFonts w:hint="eastAsia"/>
          <w:highlight w:val="none"/>
        </w:rPr>
        <w:t>范围</w:t>
      </w:r>
      <w:bookmarkEnd w:id="19"/>
    </w:p>
    <w:p w14:paraId="382C3B7F">
      <w:pPr>
        <w:pStyle w:val="78"/>
        <w:numPr>
          <w:ilvl w:val="0"/>
          <w:numId w:val="0"/>
        </w:numPr>
        <w:ind w:firstLine="420" w:firstLineChars="200"/>
        <w:rPr>
          <w:rFonts w:hint="eastAsia"/>
          <w:highlight w:val="none"/>
        </w:rPr>
      </w:pPr>
      <w:r>
        <w:rPr>
          <w:rFonts w:hint="eastAsia"/>
          <w:highlight w:val="none"/>
        </w:rPr>
        <w:t>本文件规定了湖北省</w:t>
      </w:r>
      <w:r>
        <w:rPr>
          <w:rFonts w:hint="eastAsia"/>
          <w:highlight w:val="none"/>
          <w:lang w:eastAsia="zh-CN"/>
        </w:rPr>
        <w:t>城市更新单元（片区）</w:t>
      </w:r>
      <w:r>
        <w:rPr>
          <w:rFonts w:hint="eastAsia"/>
          <w:highlight w:val="none"/>
        </w:rPr>
        <w:t>体检评估的基本规定、问题评估、更新建议、成果应用等相关要求。</w:t>
      </w:r>
    </w:p>
    <w:p w14:paraId="273C9206">
      <w:pPr>
        <w:pStyle w:val="78"/>
        <w:numPr>
          <w:ilvl w:val="0"/>
          <w:numId w:val="0"/>
        </w:numPr>
        <w:ind w:firstLine="420" w:firstLineChars="200"/>
        <w:rPr>
          <w:rFonts w:hint="eastAsia"/>
          <w:highlight w:val="none"/>
        </w:rPr>
      </w:pPr>
      <w:r>
        <w:rPr>
          <w:rFonts w:hint="eastAsia"/>
          <w:highlight w:val="none"/>
        </w:rPr>
        <w:t>本文件适用于湖北省各县市区开展</w:t>
      </w:r>
      <w:r>
        <w:rPr>
          <w:rFonts w:hint="eastAsia"/>
          <w:highlight w:val="none"/>
          <w:lang w:eastAsia="zh-CN"/>
        </w:rPr>
        <w:t>城市更新单元（片区）</w:t>
      </w:r>
      <w:r>
        <w:rPr>
          <w:rFonts w:hint="eastAsia"/>
          <w:highlight w:val="none"/>
        </w:rPr>
        <w:t>体检评估工作使用，乡镇可参照执行。本文件可用于指导可行性研究报告、城市更新实施方案中相关评估内容的编制，以及单元划定等工作。城市更新单元（片区）体检评估的相关要求，尚应执行国家现行有关技术标准的规定。</w:t>
      </w:r>
    </w:p>
    <w:p w14:paraId="6C8752E1">
      <w:pPr>
        <w:pStyle w:val="80"/>
        <w:spacing w:before="332" w:after="332"/>
        <w:rPr>
          <w:highlight w:val="none"/>
        </w:rPr>
      </w:pPr>
      <w:bookmarkStart w:id="20" w:name="_Toc6279"/>
      <w:r>
        <w:rPr>
          <w:rFonts w:hint="eastAsia"/>
          <w:highlight w:val="none"/>
        </w:rPr>
        <w:t>规范性引用文件</w:t>
      </w:r>
      <w:bookmarkEnd w:id="20"/>
    </w:p>
    <w:p w14:paraId="5706A51B">
      <w:pPr>
        <w:pStyle w:val="44"/>
        <w:rPr>
          <w:rFonts w:hint="eastAsia"/>
          <w:highlight w:val="none"/>
        </w:rPr>
      </w:pPr>
      <w:sdt>
        <w:sdtPr>
          <w:rPr>
            <w:rFonts w:hint="eastAsia"/>
            <w:highlight w:val="none"/>
          </w:rPr>
          <w:id w:val="715848253"/>
          <w:placeholder>
            <w:docPart w:val="{1d64a503-f54b-4bb1-9a07-235f76bcaf6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r>
            <w:rPr>
              <w:rFonts w:hint="eastAsia" w:ascii="宋体" w:hAnsi="Times New Roman" w:eastAsia="宋体" w:cs="Times New Roman"/>
              <w:sz w:val="21"/>
              <w:highlight w:val="none"/>
              <w:lang w:val="en-US" w:eastAsia="zh-CN" w:bidi="ar-SA"/>
            </w:rPr>
            <w:t>本文件没有规范性引用文件。</w:t>
          </w:r>
        </w:sdtContent>
      </w:sdt>
    </w:p>
    <w:p w14:paraId="22CFC65D">
      <w:pPr>
        <w:pStyle w:val="80"/>
        <w:spacing w:before="332" w:after="332"/>
        <w:rPr>
          <w:highlight w:val="none"/>
        </w:rPr>
      </w:pPr>
      <w:bookmarkStart w:id="21" w:name="_Toc26256"/>
      <w:r>
        <w:rPr>
          <w:rFonts w:hint="eastAsia"/>
          <w:highlight w:val="none"/>
        </w:rPr>
        <w:t>术语和定义</w:t>
      </w:r>
      <w:bookmarkEnd w:id="21"/>
    </w:p>
    <w:p w14:paraId="2959B4B0">
      <w:pPr>
        <w:pStyle w:val="44"/>
        <w:rPr>
          <w:highlight w:val="none"/>
        </w:rPr>
      </w:pPr>
      <w:r>
        <w:rPr>
          <w:rFonts w:hint="eastAsia"/>
          <w:highlight w:val="none"/>
        </w:rPr>
        <w:t>下列术语和定义适用于本文件。</w:t>
      </w:r>
    </w:p>
    <w:p w14:paraId="5174B375">
      <w:pPr>
        <w:pStyle w:val="107"/>
        <w:rPr>
          <w:rFonts w:ascii="黑体" w:hAnsi="黑体" w:eastAsia="黑体"/>
          <w:highlight w:val="none"/>
        </w:rPr>
      </w:pPr>
    </w:p>
    <w:p w14:paraId="1F0268B8">
      <w:pPr>
        <w:pStyle w:val="107"/>
        <w:numPr>
          <w:ilvl w:val="0"/>
          <w:numId w:val="0"/>
        </w:numPr>
        <w:ind w:firstLine="420" w:firstLineChars="200"/>
        <w:rPr>
          <w:rFonts w:ascii="黑体" w:hAnsi="黑体" w:eastAsia="黑体"/>
          <w:highlight w:val="none"/>
        </w:rPr>
      </w:pPr>
      <w:r>
        <w:rPr>
          <w:rFonts w:hint="eastAsia" w:ascii="黑体" w:hAnsi="黑体" w:eastAsia="黑体"/>
          <w:highlight w:val="none"/>
          <w:lang w:eastAsia="zh-CN"/>
        </w:rPr>
        <w:t>城市更新单元（片区）</w:t>
      </w:r>
      <w:r>
        <w:rPr>
          <w:rFonts w:hint="eastAsia" w:ascii="黑体" w:hAnsi="黑体" w:eastAsia="黑体"/>
          <w:highlight w:val="none"/>
        </w:rPr>
        <w:t xml:space="preserve">  Urban renewal unit</w:t>
      </w:r>
      <w:r>
        <w:rPr>
          <w:rFonts w:hint="eastAsia" w:ascii="黑体" w:hAnsi="黑体" w:eastAsia="黑体"/>
          <w:highlight w:val="none"/>
          <w:lang w:val="en-US" w:eastAsia="zh-CN"/>
        </w:rPr>
        <w:t xml:space="preserve"> </w:t>
      </w:r>
      <w:r>
        <w:rPr>
          <w:rFonts w:hint="eastAsia" w:ascii="黑体" w:hAnsi="黑体" w:eastAsia="黑体"/>
          <w:highlight w:val="none"/>
        </w:rPr>
        <w:t>(area)</w:t>
      </w:r>
    </w:p>
    <w:p w14:paraId="7D6CE385">
      <w:pPr>
        <w:pStyle w:val="44"/>
        <w:rPr>
          <w:highlight w:val="none"/>
        </w:rPr>
      </w:pPr>
      <w:r>
        <w:rPr>
          <w:rFonts w:hint="eastAsia"/>
          <w:highlight w:val="none"/>
        </w:rPr>
        <w:t>指为便于统筹各类资源配置、平衡多方利益、优化功能布局、补齐公共服务配套、实现片区一体化更新及可持续发展而划定的城市更新活动相对成片连片区域，是城市更新实施的基本单位，一个</w:t>
      </w:r>
      <w:r>
        <w:rPr>
          <w:rFonts w:hint="eastAsia"/>
          <w:highlight w:val="none"/>
          <w:lang w:eastAsia="zh-CN"/>
        </w:rPr>
        <w:t>城市更新单元（片区）</w:t>
      </w:r>
      <w:r>
        <w:rPr>
          <w:rFonts w:hint="eastAsia"/>
          <w:highlight w:val="none"/>
        </w:rPr>
        <w:t>可以包括一个或者多个城市更新项目。</w:t>
      </w:r>
    </w:p>
    <w:p w14:paraId="1CE77F67">
      <w:pPr>
        <w:pStyle w:val="107"/>
        <w:rPr>
          <w:rFonts w:ascii="黑体" w:hAnsi="黑体" w:eastAsia="黑体"/>
          <w:highlight w:val="none"/>
        </w:rPr>
      </w:pPr>
    </w:p>
    <w:p w14:paraId="09781AC5">
      <w:pPr>
        <w:pStyle w:val="107"/>
        <w:numPr>
          <w:ilvl w:val="0"/>
          <w:numId w:val="0"/>
        </w:numPr>
        <w:ind w:firstLine="420" w:firstLineChars="200"/>
        <w:rPr>
          <w:rFonts w:ascii="黑体" w:hAnsi="黑体" w:eastAsia="黑体"/>
          <w:highlight w:val="none"/>
        </w:rPr>
      </w:pPr>
      <w:r>
        <w:rPr>
          <w:rFonts w:hint="eastAsia" w:ascii="黑体" w:hAnsi="黑体" w:eastAsia="黑体"/>
          <w:highlight w:val="none"/>
          <w:lang w:val="en-US" w:eastAsia="zh-CN"/>
        </w:rPr>
        <w:t>城市更新单元（片区）</w:t>
      </w:r>
      <w:r>
        <w:rPr>
          <w:rFonts w:hint="eastAsia" w:ascii="黑体" w:hAnsi="黑体" w:eastAsia="黑体"/>
          <w:highlight w:val="none"/>
        </w:rPr>
        <w:t>体检评估  Urban renewal</w:t>
      </w:r>
      <w:r>
        <w:rPr>
          <w:rFonts w:hint="eastAsia" w:ascii="黑体" w:hAnsi="黑体" w:eastAsia="黑体"/>
          <w:highlight w:val="none"/>
          <w:lang w:val="en-US" w:eastAsia="zh-CN"/>
        </w:rPr>
        <w:t xml:space="preserve"> </w:t>
      </w:r>
      <w:r>
        <w:rPr>
          <w:rFonts w:hint="eastAsia" w:ascii="黑体" w:hAnsi="黑体" w:eastAsia="黑体"/>
          <w:highlight w:val="none"/>
        </w:rPr>
        <w:t>unit</w:t>
      </w:r>
      <w:r>
        <w:rPr>
          <w:rFonts w:hint="eastAsia" w:ascii="黑体" w:hAnsi="黑体" w:eastAsia="黑体"/>
          <w:highlight w:val="none"/>
          <w:lang w:val="en-US" w:eastAsia="zh-CN"/>
        </w:rPr>
        <w:t xml:space="preserve"> </w:t>
      </w:r>
      <w:r>
        <w:rPr>
          <w:rFonts w:hint="eastAsia" w:ascii="黑体" w:hAnsi="黑体" w:eastAsia="黑体"/>
          <w:highlight w:val="none"/>
        </w:rPr>
        <w:t>(area) physical examination evaluation</w:t>
      </w:r>
    </w:p>
    <w:p w14:paraId="7E0901DC">
      <w:pPr>
        <w:pStyle w:val="44"/>
        <w:rPr>
          <w:highlight w:val="none"/>
        </w:rPr>
      </w:pPr>
      <w:r>
        <w:rPr>
          <w:rFonts w:hint="eastAsia"/>
          <w:highlight w:val="none"/>
          <w:lang w:eastAsia="zh-CN"/>
        </w:rPr>
        <w:t>城市更新单元（片区）</w:t>
      </w:r>
      <w:r>
        <w:rPr>
          <w:rFonts w:hint="eastAsia"/>
          <w:highlight w:val="none"/>
        </w:rPr>
        <w:t>规划实施前的前置性体检评估，通过构建</w:t>
      </w:r>
      <w:r>
        <w:rPr>
          <w:rFonts w:hint="eastAsia"/>
          <w:highlight w:val="none"/>
          <w:lang w:val="en-US" w:eastAsia="zh-CN"/>
        </w:rPr>
        <w:t>城市更新单元（片区）</w:t>
      </w:r>
      <w:r>
        <w:rPr>
          <w:rFonts w:hint="eastAsia"/>
          <w:highlight w:val="none"/>
        </w:rPr>
        <w:t>体检指标体系，全面系统分析评估更新单元</w:t>
      </w:r>
      <w:r>
        <w:rPr>
          <w:rFonts w:hint="eastAsia"/>
          <w:highlight w:val="none"/>
          <w:lang w:eastAsia="zh-CN"/>
        </w:rPr>
        <w:t>（</w:t>
      </w:r>
      <w:r>
        <w:rPr>
          <w:rFonts w:hint="eastAsia"/>
          <w:highlight w:val="none"/>
        </w:rPr>
        <w:t>片区</w:t>
      </w:r>
      <w:r>
        <w:rPr>
          <w:rFonts w:hint="eastAsia"/>
          <w:highlight w:val="none"/>
          <w:lang w:eastAsia="zh-CN"/>
        </w:rPr>
        <w:t>）</w:t>
      </w:r>
      <w:r>
        <w:rPr>
          <w:rFonts w:hint="eastAsia"/>
          <w:highlight w:val="none"/>
        </w:rPr>
        <w:t>的人居环境建设情况与问题短板的多维度评价、主客观相结合的体检评估。</w:t>
      </w:r>
    </w:p>
    <w:p w14:paraId="0B83018C">
      <w:pPr>
        <w:pStyle w:val="107"/>
        <w:rPr>
          <w:rFonts w:ascii="黑体" w:hAnsi="黑体" w:eastAsia="黑体"/>
          <w:highlight w:val="none"/>
        </w:rPr>
      </w:pPr>
    </w:p>
    <w:p w14:paraId="6638A2D2">
      <w:pPr>
        <w:pStyle w:val="107"/>
        <w:numPr>
          <w:ilvl w:val="0"/>
          <w:numId w:val="0"/>
        </w:numPr>
        <w:ind w:firstLine="420" w:firstLineChars="200"/>
        <w:rPr>
          <w:rFonts w:ascii="黑体" w:hAnsi="黑体" w:eastAsia="黑体"/>
          <w:highlight w:val="none"/>
        </w:rPr>
      </w:pPr>
      <w:r>
        <w:rPr>
          <w:rFonts w:hint="eastAsia" w:ascii="黑体" w:hAnsi="黑体" w:eastAsia="黑体"/>
          <w:highlight w:val="none"/>
          <w:lang w:val="en-US" w:eastAsia="zh-CN"/>
        </w:rPr>
        <w:t>城市更新单元（片区）策划</w:t>
      </w:r>
      <w:r>
        <w:rPr>
          <w:rFonts w:hint="eastAsia" w:ascii="黑体" w:hAnsi="黑体" w:eastAsia="黑体"/>
          <w:highlight w:val="none"/>
        </w:rPr>
        <w:t xml:space="preserve">  Urban renewal</w:t>
      </w:r>
      <w:r>
        <w:rPr>
          <w:rFonts w:hint="eastAsia" w:ascii="黑体" w:hAnsi="黑体" w:eastAsia="黑体"/>
          <w:highlight w:val="none"/>
          <w:lang w:val="en-US" w:eastAsia="zh-CN"/>
        </w:rPr>
        <w:t xml:space="preserve"> </w:t>
      </w:r>
      <w:r>
        <w:rPr>
          <w:rFonts w:hint="eastAsia" w:ascii="黑体" w:hAnsi="黑体" w:eastAsia="黑体"/>
          <w:highlight w:val="none"/>
        </w:rPr>
        <w:t>unit</w:t>
      </w:r>
      <w:r>
        <w:rPr>
          <w:rFonts w:hint="eastAsia" w:ascii="黑体" w:hAnsi="黑体" w:eastAsia="黑体"/>
          <w:highlight w:val="none"/>
          <w:lang w:val="en-US" w:eastAsia="zh-CN"/>
        </w:rPr>
        <w:t xml:space="preserve"> </w:t>
      </w:r>
      <w:r>
        <w:rPr>
          <w:rFonts w:hint="eastAsia" w:ascii="黑体" w:hAnsi="黑体" w:eastAsia="黑体"/>
          <w:highlight w:val="none"/>
        </w:rPr>
        <w:t xml:space="preserve">(area) </w:t>
      </w:r>
      <w:r>
        <w:rPr>
          <w:rFonts w:hint="eastAsia" w:ascii="黑体" w:hAnsi="黑体" w:eastAsia="黑体"/>
          <w:highlight w:val="none"/>
          <w:lang w:val="en-US" w:eastAsia="zh-CN"/>
        </w:rPr>
        <w:t>p</w:t>
      </w:r>
      <w:r>
        <w:rPr>
          <w:rFonts w:hint="eastAsia" w:ascii="黑体" w:hAnsi="黑体" w:eastAsia="黑体"/>
          <w:highlight w:val="none"/>
        </w:rPr>
        <w:t>lanning</w:t>
      </w:r>
    </w:p>
    <w:p w14:paraId="75F037FC">
      <w:pPr>
        <w:pStyle w:val="44"/>
        <w:rPr>
          <w:highlight w:val="none"/>
        </w:rPr>
      </w:pPr>
      <w:r>
        <w:rPr>
          <w:rFonts w:hint="eastAsia"/>
          <w:highlight w:val="none"/>
          <w:lang w:eastAsia="zh-CN"/>
        </w:rPr>
        <w:t>城市更新单元（片区）</w:t>
      </w:r>
      <w:r>
        <w:rPr>
          <w:rFonts w:hint="eastAsia"/>
          <w:highlight w:val="none"/>
        </w:rPr>
        <w:t>策划是综合考虑单元（片区）功能业态优化、存量资源统筹、公共要素配置、空间布局完善、更新项目划定等的综合性策划方案。</w:t>
      </w:r>
    </w:p>
    <w:p w14:paraId="7C34A515">
      <w:pPr>
        <w:pStyle w:val="107"/>
        <w:rPr>
          <w:rFonts w:ascii="黑体" w:hAnsi="黑体" w:eastAsia="黑体"/>
          <w:color w:val="auto"/>
          <w:highlight w:val="none"/>
        </w:rPr>
      </w:pPr>
    </w:p>
    <w:p w14:paraId="65CCA15A">
      <w:pPr>
        <w:pStyle w:val="107"/>
        <w:numPr>
          <w:ilvl w:val="0"/>
          <w:numId w:val="0"/>
        </w:numPr>
        <w:ind w:firstLine="420" w:firstLineChars="200"/>
        <w:rPr>
          <w:rFonts w:ascii="黑体" w:hAnsi="黑体" w:eastAsia="黑体"/>
          <w:color w:val="auto"/>
          <w:highlight w:val="none"/>
        </w:rPr>
      </w:pPr>
      <w:r>
        <w:rPr>
          <w:rFonts w:hint="eastAsia" w:ascii="黑体" w:hAnsi="黑体" w:eastAsia="黑体"/>
          <w:color w:val="auto"/>
          <w:highlight w:val="none"/>
          <w:lang w:val="en-US" w:eastAsia="zh-CN"/>
        </w:rPr>
        <w:t>城市更新单元（片区）</w:t>
      </w:r>
      <w:r>
        <w:rPr>
          <w:rFonts w:hint="eastAsia" w:ascii="黑体" w:hAnsi="黑体" w:eastAsia="黑体"/>
          <w:color w:val="auto"/>
          <w:highlight w:val="none"/>
        </w:rPr>
        <w:t>实施主体  Update the implementation subject of the unit(area)</w:t>
      </w:r>
    </w:p>
    <w:p w14:paraId="20A5567C">
      <w:pPr>
        <w:pStyle w:val="44"/>
        <w:rPr>
          <w:rFonts w:hint="eastAsia"/>
          <w:color w:val="auto"/>
          <w:highlight w:val="none"/>
        </w:rPr>
      </w:pPr>
      <w:r>
        <w:rPr>
          <w:rFonts w:hint="eastAsia"/>
          <w:color w:val="auto"/>
          <w:highlight w:val="none"/>
          <w:lang w:val="en-US" w:eastAsia="zh-CN"/>
        </w:rPr>
        <w:t>城市更新单元（片区）实施主体是由物业权利人或地方人民政府依法确定，具有推动达成片区更新意愿、整合市场资源、推动项目统筹组合、编制更新项目实施方案、依法办理建设管理手续、推进更新项目实施等职能的责任主体。</w:t>
      </w:r>
    </w:p>
    <w:p w14:paraId="7854A3AE">
      <w:pPr>
        <w:pStyle w:val="80"/>
        <w:spacing w:before="332" w:after="332"/>
        <w:rPr>
          <w:highlight w:val="none"/>
        </w:rPr>
      </w:pPr>
      <w:bookmarkStart w:id="22" w:name="_Toc5897"/>
      <w:r>
        <w:rPr>
          <w:rFonts w:hint="eastAsia"/>
          <w:highlight w:val="none"/>
        </w:rPr>
        <w:t>基本规定</w:t>
      </w:r>
      <w:bookmarkEnd w:id="22"/>
    </w:p>
    <w:p w14:paraId="0E96BFB1">
      <w:pPr>
        <w:pStyle w:val="78"/>
        <w:rPr>
          <w:rFonts w:hint="eastAsia"/>
          <w:highlight w:val="none"/>
        </w:rPr>
      </w:pPr>
      <w:r>
        <w:rPr>
          <w:rFonts w:hint="eastAsia"/>
          <w:highlight w:val="none"/>
        </w:rPr>
        <w:t>城市更新实施中应加强</w:t>
      </w:r>
      <w:r>
        <w:rPr>
          <w:rFonts w:hint="eastAsia"/>
          <w:highlight w:val="none"/>
          <w:lang w:eastAsia="zh-CN"/>
        </w:rPr>
        <w:t>城市更新单元（片区）</w:t>
      </w:r>
      <w:r>
        <w:rPr>
          <w:rFonts w:hint="eastAsia"/>
          <w:highlight w:val="none"/>
        </w:rPr>
        <w:t>规划与实施的前置评估引导，通过</w:t>
      </w:r>
      <w:r>
        <w:rPr>
          <w:rFonts w:hint="eastAsia"/>
          <w:highlight w:val="none"/>
          <w:lang w:eastAsia="zh-CN"/>
        </w:rPr>
        <w:t>城市更新单元（片区）</w:t>
      </w:r>
      <w:r>
        <w:rPr>
          <w:rFonts w:hint="eastAsia"/>
          <w:highlight w:val="none"/>
        </w:rPr>
        <w:t>体检评估，强化对更新主体意图的引导与管控，落实城市更新规划与政策的具体要求。</w:t>
      </w:r>
    </w:p>
    <w:p w14:paraId="67AF0689">
      <w:pPr>
        <w:pStyle w:val="78"/>
        <w:rPr>
          <w:rFonts w:hint="eastAsia"/>
          <w:highlight w:val="none"/>
        </w:rPr>
      </w:pPr>
      <w:r>
        <w:rPr>
          <w:rFonts w:hint="eastAsia"/>
          <w:highlight w:val="none"/>
        </w:rPr>
        <w:t>聚焦</w:t>
      </w:r>
      <w:r>
        <w:rPr>
          <w:rFonts w:hint="eastAsia"/>
          <w:highlight w:val="none"/>
          <w:lang w:eastAsia="zh-CN"/>
        </w:rPr>
        <w:t>城市更新单元（片区）</w:t>
      </w:r>
      <w:r>
        <w:rPr>
          <w:rFonts w:hint="eastAsia"/>
          <w:highlight w:val="none"/>
        </w:rPr>
        <w:t>中的突出问题和短板，多角度充分挖掘、查找问题背后的深层次原因，因“病”施策，精准、高效、系统地补齐基础设施、公共服务、社会治理等各方面的短板。</w:t>
      </w:r>
    </w:p>
    <w:p w14:paraId="26DC186E">
      <w:pPr>
        <w:pStyle w:val="78"/>
        <w:rPr>
          <w:rFonts w:hint="eastAsia"/>
          <w:highlight w:val="none"/>
        </w:rPr>
      </w:pPr>
      <w:r>
        <w:rPr>
          <w:rFonts w:hint="eastAsia"/>
          <w:highlight w:val="none"/>
        </w:rPr>
        <w:t>在</w:t>
      </w:r>
      <w:r>
        <w:rPr>
          <w:rFonts w:hint="eastAsia"/>
          <w:highlight w:val="none"/>
          <w:lang w:eastAsia="zh-CN"/>
        </w:rPr>
        <w:t>城市更新单元（片区）</w:t>
      </w:r>
      <w:r>
        <w:rPr>
          <w:rFonts w:hint="eastAsia"/>
          <w:highlight w:val="none"/>
        </w:rPr>
        <w:t>体检评估中以产城融合、职住平衡、生态宜居等为目标，依托区域发展要求，深入查找影响地区竞争力、承载力和可持续发展的短板弱项。</w:t>
      </w:r>
    </w:p>
    <w:p w14:paraId="324CA641">
      <w:pPr>
        <w:pStyle w:val="78"/>
        <w:rPr>
          <w:rFonts w:hint="eastAsia"/>
          <w:highlight w:val="none"/>
        </w:rPr>
      </w:pPr>
      <w:r>
        <w:rPr>
          <w:rFonts w:hint="eastAsia"/>
          <w:highlight w:val="none"/>
        </w:rPr>
        <w:t>坚持以人民为中心，保障公共利益优先，通过体检评估分析发现人民诉求，强化公共参与，尊重人民意愿，统筹考虑不同人群对于美好生活的差异化需求，满足人民群众对城市宜居生活的期待。</w:t>
      </w:r>
    </w:p>
    <w:p w14:paraId="6D5CFE56">
      <w:pPr>
        <w:pStyle w:val="78"/>
        <w:rPr>
          <w:highlight w:val="none"/>
        </w:rPr>
      </w:pPr>
      <w:r>
        <w:rPr>
          <w:rFonts w:hint="eastAsia"/>
          <w:highlight w:val="none"/>
        </w:rPr>
        <w:t>尊重地域特点，延续历史脉络，结合时代特征，充分考虑</w:t>
      </w:r>
      <w:r>
        <w:rPr>
          <w:rFonts w:hint="eastAsia"/>
          <w:highlight w:val="none"/>
          <w:lang w:eastAsia="zh-CN"/>
        </w:rPr>
        <w:t>城市更新单元（片区）</w:t>
      </w:r>
      <w:r>
        <w:rPr>
          <w:rFonts w:hint="eastAsia"/>
          <w:highlight w:val="none"/>
        </w:rPr>
        <w:t>及周边区域的自然条件、历史人文和建设现状，有针对性</w:t>
      </w:r>
      <w:r>
        <w:rPr>
          <w:rFonts w:hint="eastAsia"/>
          <w:highlight w:val="none"/>
          <w:lang w:val="en-US" w:eastAsia="zh-CN"/>
        </w:rPr>
        <w:t>地</w:t>
      </w:r>
      <w:r>
        <w:rPr>
          <w:rFonts w:hint="eastAsia"/>
          <w:highlight w:val="none"/>
        </w:rPr>
        <w:t>开展体检评估工作。</w:t>
      </w:r>
    </w:p>
    <w:p w14:paraId="0DD72D2B">
      <w:pPr>
        <w:pStyle w:val="80"/>
        <w:spacing w:before="332" w:after="332"/>
        <w:rPr>
          <w:highlight w:val="none"/>
        </w:rPr>
      </w:pPr>
      <w:bookmarkStart w:id="23" w:name="_Toc12180"/>
      <w:r>
        <w:rPr>
          <w:rFonts w:hint="eastAsia"/>
          <w:highlight w:val="none"/>
        </w:rPr>
        <w:t>基础调查</w:t>
      </w:r>
      <w:bookmarkEnd w:id="23"/>
    </w:p>
    <w:p w14:paraId="6F05B297">
      <w:pPr>
        <w:pStyle w:val="79"/>
        <w:spacing w:before="166" w:after="166"/>
        <w:rPr>
          <w:highlight w:val="none"/>
        </w:rPr>
      </w:pPr>
      <w:bookmarkStart w:id="24" w:name="_Toc15100"/>
      <w:r>
        <w:rPr>
          <w:rFonts w:hint="eastAsia"/>
          <w:highlight w:val="none"/>
        </w:rPr>
        <w:t>基础数据调查</w:t>
      </w:r>
      <w:bookmarkEnd w:id="24"/>
    </w:p>
    <w:p w14:paraId="78948EFD">
      <w:pPr>
        <w:pStyle w:val="44"/>
        <w:rPr>
          <w:highlight w:val="none"/>
        </w:rPr>
      </w:pPr>
      <w:r>
        <w:rPr>
          <w:rFonts w:hint="eastAsia"/>
          <w:highlight w:val="none"/>
          <w:lang w:val="en-US" w:eastAsia="zh-CN"/>
        </w:rPr>
        <w:t>基础数据调查是</w:t>
      </w:r>
      <w:r>
        <w:rPr>
          <w:rFonts w:hint="eastAsia"/>
          <w:highlight w:val="none"/>
        </w:rPr>
        <w:t>指采集、汇总、整理、校核</w:t>
      </w:r>
      <w:r>
        <w:rPr>
          <w:rFonts w:hint="eastAsia"/>
          <w:highlight w:val="none"/>
          <w:lang w:eastAsia="zh-CN"/>
        </w:rPr>
        <w:t>城市更新单元（片区）</w:t>
      </w:r>
      <w:r>
        <w:rPr>
          <w:rFonts w:hint="eastAsia"/>
          <w:highlight w:val="none"/>
        </w:rPr>
        <w:t>体检评估工作所需要的现状数据及资料。</w:t>
      </w:r>
    </w:p>
    <w:p w14:paraId="0E64DFC3">
      <w:pPr>
        <w:pStyle w:val="256"/>
        <w:rPr>
          <w:rFonts w:hint="eastAsia"/>
          <w:highlight w:val="none"/>
        </w:rPr>
      </w:pPr>
      <w:r>
        <w:rPr>
          <w:rFonts w:hint="eastAsia"/>
          <w:highlight w:val="none"/>
        </w:rPr>
        <w:t>调查方式包括资料收集和实地调查。资料收集以政府行政部门数据共享为主，可采用社会大数据挖掘等方式作为补充。对于无法通过资料收集获取或需要复核复查的数据，通过实地调查的方式获取，包括现场踏勘、座谈访问和现场测绘等方式。</w:t>
      </w:r>
    </w:p>
    <w:p w14:paraId="2E195A0F">
      <w:pPr>
        <w:pStyle w:val="256"/>
        <w:rPr>
          <w:rFonts w:hint="eastAsia"/>
          <w:highlight w:val="none"/>
        </w:rPr>
      </w:pPr>
      <w:r>
        <w:rPr>
          <w:rFonts w:hint="eastAsia"/>
          <w:highlight w:val="none"/>
        </w:rPr>
        <w:t>数据来源包括政府部门统计数据、行业年度数据、互联网数据、遥感数据、专项调查数据等。</w:t>
      </w:r>
    </w:p>
    <w:p w14:paraId="6F2E7B12">
      <w:pPr>
        <w:pStyle w:val="256"/>
        <w:rPr>
          <w:rFonts w:hint="eastAsia"/>
          <w:highlight w:val="none"/>
        </w:rPr>
      </w:pPr>
      <w:r>
        <w:rPr>
          <w:rFonts w:hint="eastAsia"/>
          <w:highlight w:val="none"/>
        </w:rPr>
        <w:t>调查内容遵循全面、准确、客观的原则，对</w:t>
      </w:r>
      <w:r>
        <w:rPr>
          <w:rFonts w:hint="eastAsia"/>
          <w:highlight w:val="none"/>
          <w:lang w:eastAsia="zh-CN"/>
        </w:rPr>
        <w:t>城市更新单元（片区）</w:t>
      </w:r>
      <w:r>
        <w:rPr>
          <w:rFonts w:hint="eastAsia"/>
          <w:highlight w:val="none"/>
        </w:rPr>
        <w:t>及周边区域的基础地理信息、土地与规划、产权权属信息、房屋建筑、人口情况、公共服务设施、公共空间、经济产业、历史文化遗产、道路交通、市政设施等进行详尽的调查，形成</w:t>
      </w:r>
      <w:r>
        <w:rPr>
          <w:rFonts w:hint="eastAsia"/>
          <w:highlight w:val="none"/>
          <w:lang w:eastAsia="zh-CN"/>
        </w:rPr>
        <w:t>城市更新单元（片区）</w:t>
      </w:r>
      <w:r>
        <w:rPr>
          <w:rFonts w:hint="eastAsia"/>
          <w:highlight w:val="none"/>
        </w:rPr>
        <w:t>体检基础数据信息库（见附</w:t>
      </w:r>
      <w:r>
        <w:rPr>
          <w:rFonts w:hint="eastAsia"/>
          <w:highlight w:val="none"/>
          <w:lang w:val="en-US" w:eastAsia="zh-CN"/>
        </w:rPr>
        <w:t>录A</w:t>
      </w:r>
      <w:r>
        <w:rPr>
          <w:rFonts w:hint="eastAsia"/>
          <w:highlight w:val="none"/>
        </w:rPr>
        <w:t>）。鼓励应用CIM/GIS、倾斜摄影及智能仿真分析等数字化技术手段，提升体检评估的精准度与动态监测能力</w:t>
      </w:r>
      <w:r>
        <w:rPr>
          <w:rFonts w:hint="eastAsia"/>
          <w:highlight w:val="none"/>
          <w:lang w:eastAsia="zh-CN"/>
        </w:rPr>
        <w:t>。</w:t>
      </w:r>
    </w:p>
    <w:p w14:paraId="271BDB01">
      <w:pPr>
        <w:pStyle w:val="256"/>
        <w:rPr>
          <w:rFonts w:hint="eastAsia"/>
          <w:highlight w:val="none"/>
        </w:rPr>
      </w:pPr>
      <w:r>
        <w:rPr>
          <w:rFonts w:hint="eastAsia"/>
          <w:highlight w:val="none"/>
          <w:lang w:val="en-US" w:eastAsia="zh-CN"/>
        </w:rPr>
        <w:t>城市更新单元（片区）体检评估数据采集要坚持实事求是，并充分使用已有数据资源，与住房、小区（社区）、街区维度体检统筹开展，避免重复调查。</w:t>
      </w:r>
      <w:r>
        <w:rPr>
          <w:rFonts w:hint="eastAsia"/>
          <w:highlight w:val="none"/>
        </w:rPr>
        <w:t>鼓励有条件、有需求的城市逐步将</w:t>
      </w:r>
      <w:r>
        <w:rPr>
          <w:rFonts w:hint="eastAsia"/>
          <w:highlight w:val="none"/>
          <w:lang w:eastAsia="zh-CN"/>
        </w:rPr>
        <w:t>城市更新单元（片区）</w:t>
      </w:r>
      <w:r>
        <w:rPr>
          <w:rFonts w:hint="eastAsia"/>
          <w:highlight w:val="none"/>
        </w:rPr>
        <w:t>体检基础数据库对接到城市数据管理部门的综合性CIM平台，以便持续性指导城市更新等后续工作开展。</w:t>
      </w:r>
    </w:p>
    <w:p w14:paraId="7A5D7E99">
      <w:pPr>
        <w:pStyle w:val="79"/>
        <w:spacing w:before="166" w:after="166"/>
        <w:rPr>
          <w:highlight w:val="none"/>
        </w:rPr>
      </w:pPr>
      <w:bookmarkStart w:id="25" w:name="_Toc24796"/>
      <w:r>
        <w:rPr>
          <w:rFonts w:hint="eastAsia"/>
          <w:highlight w:val="none"/>
        </w:rPr>
        <w:t>更新意愿调查</w:t>
      </w:r>
      <w:bookmarkEnd w:id="25"/>
    </w:p>
    <w:p w14:paraId="41B9ED55">
      <w:pPr>
        <w:pStyle w:val="44"/>
        <w:rPr>
          <w:highlight w:val="none"/>
        </w:rPr>
      </w:pPr>
      <w:r>
        <w:rPr>
          <w:rFonts w:hint="eastAsia"/>
          <w:highlight w:val="none"/>
        </w:rPr>
        <w:t>更新意愿调查是指全面征集城市更新单元（片区）范围内居民、企业、行政及物业运营管理部门等全体物业权利人，对片区人居生活环境、企业生产经营环境、公共服务环境的现状短板、现存问题的评价意见，精准收集各方主体针对性、可落地的改造改善诉求、优化建议及更新参与意愿，为城市更新方案编制、改造项目落地、配套设施优化提供民生依据的基础性调研工作。</w:t>
      </w:r>
    </w:p>
    <w:p w14:paraId="720ACE76">
      <w:pPr>
        <w:pStyle w:val="256"/>
        <w:numPr>
          <w:ilvl w:val="0"/>
          <w:numId w:val="33"/>
        </w:numPr>
        <w:rPr>
          <w:rFonts w:hint="eastAsia"/>
          <w:highlight w:val="none"/>
        </w:rPr>
      </w:pPr>
      <w:r>
        <w:rPr>
          <w:rFonts w:hint="eastAsia"/>
          <w:highlight w:val="none"/>
        </w:rPr>
        <w:t>调查方式主要采用问卷调查，包括发放网络电子问卷和实地纸质问卷两种方式，有条件情况下可以辅以采用电话调查、现场座谈等方式。</w:t>
      </w:r>
    </w:p>
    <w:p w14:paraId="75239675">
      <w:pPr>
        <w:pStyle w:val="256"/>
        <w:numPr>
          <w:ilvl w:val="0"/>
          <w:numId w:val="33"/>
        </w:numPr>
        <w:rPr>
          <w:rFonts w:hint="eastAsia"/>
          <w:color w:val="auto"/>
          <w:highlight w:val="none"/>
        </w:rPr>
      </w:pPr>
      <w:r>
        <w:rPr>
          <w:rFonts w:hint="eastAsia"/>
          <w:highlight w:val="none"/>
        </w:rPr>
        <w:t>调查对象主要为</w:t>
      </w:r>
      <w:r>
        <w:rPr>
          <w:rFonts w:hint="eastAsia"/>
          <w:highlight w:val="none"/>
          <w:lang w:val="en-US" w:eastAsia="zh-CN"/>
        </w:rPr>
        <w:t>城市更新单元（片区）</w:t>
      </w:r>
      <w:r>
        <w:rPr>
          <w:rFonts w:hint="eastAsia"/>
          <w:highlight w:val="none"/>
        </w:rPr>
        <w:t>范围内的物业权利人</w:t>
      </w:r>
      <w:r>
        <w:rPr>
          <w:rFonts w:hint="eastAsia"/>
          <w:highlight w:val="none"/>
          <w:lang w:eastAsia="zh-CN"/>
        </w:rPr>
        <w:t>、</w:t>
      </w:r>
      <w:r>
        <w:rPr>
          <w:rFonts w:hint="eastAsia"/>
          <w:highlight w:val="none"/>
          <w:lang w:val="en-US" w:eastAsia="zh-CN"/>
        </w:rPr>
        <w:t>常住居民、利害关系人及街道社区</w:t>
      </w:r>
      <w:r>
        <w:rPr>
          <w:rFonts w:hint="eastAsia"/>
          <w:color w:val="auto"/>
          <w:highlight w:val="none"/>
          <w:lang w:val="en-US" w:eastAsia="zh-CN"/>
        </w:rPr>
        <w:t>工作人员等</w:t>
      </w:r>
      <w:r>
        <w:rPr>
          <w:rFonts w:hint="eastAsia"/>
          <w:color w:val="auto"/>
          <w:highlight w:val="none"/>
        </w:rPr>
        <w:t>，包括建设用地使用权人、房屋所有权人、公房承租人等。</w:t>
      </w:r>
    </w:p>
    <w:p w14:paraId="369C887B">
      <w:pPr>
        <w:pStyle w:val="256"/>
        <w:numPr>
          <w:ilvl w:val="0"/>
          <w:numId w:val="33"/>
        </w:numPr>
        <w:rPr>
          <w:rFonts w:hint="eastAsia"/>
          <w:color w:val="auto"/>
          <w:highlight w:val="none"/>
        </w:rPr>
      </w:pPr>
      <w:r>
        <w:rPr>
          <w:rFonts w:hint="eastAsia"/>
          <w:color w:val="auto"/>
          <w:highlight w:val="none"/>
        </w:rPr>
        <w:t>调查内容主要分为物业权利人基本信息、现状满意度评价、核心更新诉求、改造意愿落地等四个方面</w:t>
      </w:r>
      <w:r>
        <w:rPr>
          <w:rFonts w:hint="eastAsia"/>
          <w:color w:val="auto"/>
          <w:highlight w:val="none"/>
          <w:lang w:eastAsia="zh-CN"/>
        </w:rPr>
        <w:t>，采集权利人居住年限、房屋属性、使用需求等基础信息，对市政道路、市容环境、停车绿化、养老教育医疗、楼栋环境、出行便民等细分维度开展满意度评价，重点收集居民迫切改造需求、环境短板、保留意愿及个性化便民诉求，征集设施增补、老旧翻新、空间优化等改造建议，同步了解群众对更新实施模式、施工安排、后期运维的意见。</w:t>
      </w:r>
      <w:r>
        <w:rPr>
          <w:rFonts w:hint="eastAsia"/>
          <w:color w:val="auto"/>
          <w:highlight w:val="none"/>
          <w:lang w:val="en-US" w:eastAsia="zh-CN"/>
        </w:rPr>
        <w:t>调查</w:t>
      </w:r>
      <w:r>
        <w:rPr>
          <w:rFonts w:hint="eastAsia"/>
          <w:color w:val="auto"/>
          <w:highlight w:val="none"/>
          <w:lang w:eastAsia="zh-CN"/>
        </w:rPr>
        <w:t>可结合老旧小区、产业片区、商住混合片区等不同单元实际特性，灵活增减专项调研内容，强化居民刚需类模块调研权重。</w:t>
      </w:r>
      <w:r>
        <w:rPr>
          <w:rFonts w:hint="eastAsia"/>
          <w:color w:val="auto"/>
          <w:highlight w:val="none"/>
          <w:lang w:val="en-US" w:eastAsia="zh-CN"/>
        </w:rPr>
        <w:t>调查</w:t>
      </w:r>
      <w:r>
        <w:rPr>
          <w:rFonts w:hint="eastAsia"/>
          <w:color w:val="auto"/>
          <w:highlight w:val="none"/>
        </w:rPr>
        <w:t>具体内容可根据实际</w:t>
      </w:r>
      <w:r>
        <w:rPr>
          <w:rFonts w:hint="eastAsia"/>
          <w:color w:val="auto"/>
          <w:highlight w:val="none"/>
          <w:lang w:eastAsia="zh-CN"/>
        </w:rPr>
        <w:t>城市更新单元（片区）</w:t>
      </w:r>
      <w:r>
        <w:rPr>
          <w:rFonts w:hint="eastAsia"/>
          <w:color w:val="auto"/>
          <w:highlight w:val="none"/>
        </w:rPr>
        <w:t>的实际情况和需求进行增减（见附</w:t>
      </w:r>
      <w:r>
        <w:rPr>
          <w:rFonts w:hint="eastAsia"/>
          <w:color w:val="auto"/>
          <w:highlight w:val="none"/>
          <w:lang w:val="en-US" w:eastAsia="zh-CN"/>
        </w:rPr>
        <w:t>录B</w:t>
      </w:r>
      <w:r>
        <w:rPr>
          <w:rFonts w:hint="eastAsia"/>
          <w:color w:val="auto"/>
          <w:highlight w:val="none"/>
        </w:rPr>
        <w:t>）。</w:t>
      </w:r>
    </w:p>
    <w:p w14:paraId="226E5656">
      <w:pPr>
        <w:pStyle w:val="79"/>
        <w:spacing w:before="166" w:after="166"/>
        <w:rPr>
          <w:highlight w:val="none"/>
        </w:rPr>
      </w:pPr>
      <w:bookmarkStart w:id="26" w:name="_Toc357"/>
      <w:r>
        <w:rPr>
          <w:rFonts w:hint="eastAsia"/>
          <w:highlight w:val="none"/>
        </w:rPr>
        <w:t>体检评估指标</w:t>
      </w:r>
      <w:bookmarkEnd w:id="26"/>
    </w:p>
    <w:p w14:paraId="505FF335">
      <w:pPr>
        <w:pStyle w:val="53"/>
        <w:spacing w:before="166" w:after="166"/>
        <w:rPr>
          <w:highlight w:val="none"/>
        </w:rPr>
      </w:pPr>
      <w:r>
        <w:rPr>
          <w:rFonts w:hint="eastAsia"/>
          <w:highlight w:val="none"/>
        </w:rPr>
        <w:t>构建体检评估指标体系</w:t>
      </w:r>
    </w:p>
    <w:p w14:paraId="48F27096">
      <w:pPr>
        <w:pStyle w:val="44"/>
        <w:rPr>
          <w:highlight w:val="none"/>
        </w:rPr>
      </w:pPr>
      <w:r>
        <w:rPr>
          <w:rFonts w:hint="eastAsia"/>
          <w:highlight w:val="none"/>
        </w:rPr>
        <w:t>本规程提供了</w:t>
      </w:r>
      <w:r>
        <w:rPr>
          <w:rFonts w:hint="eastAsia"/>
          <w:highlight w:val="none"/>
          <w:lang w:eastAsia="zh-CN"/>
        </w:rPr>
        <w:t>城市更新单元（片区）</w:t>
      </w:r>
      <w:r>
        <w:rPr>
          <w:rFonts w:hint="eastAsia"/>
          <w:highlight w:val="none"/>
        </w:rPr>
        <w:t>体检评估指标体系参考（见附</w:t>
      </w:r>
      <w:r>
        <w:rPr>
          <w:rFonts w:hint="eastAsia"/>
          <w:highlight w:val="none"/>
          <w:lang w:val="en-US" w:eastAsia="zh-CN"/>
        </w:rPr>
        <w:t>录C</w:t>
      </w:r>
      <w:r>
        <w:rPr>
          <w:rFonts w:hint="eastAsia"/>
          <w:highlight w:val="none"/>
        </w:rPr>
        <w:t>）。遵循科学性、系统性、综合性、区域性等原则，结合</w:t>
      </w:r>
      <w:r>
        <w:rPr>
          <w:rFonts w:hint="eastAsia"/>
          <w:highlight w:val="none"/>
          <w:lang w:eastAsia="zh-CN"/>
        </w:rPr>
        <w:t>城市更新单元（片区）</w:t>
      </w:r>
      <w:r>
        <w:rPr>
          <w:rFonts w:hint="eastAsia"/>
          <w:highlight w:val="none"/>
        </w:rPr>
        <w:t>的自身特点，构建分层级体检评估指标体系，明确核心指标刚性管控要求。根据城市更新单元（片区）的类型特征与功能定位，从参考指标体系中选取适用维度指标；并结合片区产业特色、历史文化资源、生态本底条件等禀赋，补充具有地方辨识度的特色指标，形成适配本单元（片区）的体检评估指标体系。体检评估指标体系中的单项指标对于不同类型的</w:t>
      </w:r>
      <w:r>
        <w:rPr>
          <w:rFonts w:hint="eastAsia"/>
          <w:highlight w:val="none"/>
          <w:lang w:val="en-US" w:eastAsia="zh-CN"/>
        </w:rPr>
        <w:t>城市更新单元（片区）</w:t>
      </w:r>
      <w:r>
        <w:rPr>
          <w:rFonts w:hint="eastAsia"/>
          <w:highlight w:val="none"/>
        </w:rPr>
        <w:t>影响深度不同，宜在权重赋值上予以充分考虑，做到权重赋值科学。</w:t>
      </w:r>
    </w:p>
    <w:p w14:paraId="089A4C54">
      <w:pPr>
        <w:pStyle w:val="53"/>
        <w:spacing w:before="166" w:after="166"/>
        <w:rPr>
          <w:highlight w:val="none"/>
        </w:rPr>
      </w:pPr>
      <w:r>
        <w:rPr>
          <w:rFonts w:hint="eastAsia"/>
          <w:highlight w:val="none"/>
        </w:rPr>
        <w:t>诊断城市问题</w:t>
      </w:r>
    </w:p>
    <w:p w14:paraId="7EAAF535">
      <w:pPr>
        <w:pStyle w:val="44"/>
        <w:rPr>
          <w:rFonts w:hint="eastAsia"/>
          <w:highlight w:val="none"/>
        </w:rPr>
      </w:pPr>
      <w:r>
        <w:rPr>
          <w:rFonts w:hint="eastAsia"/>
          <w:highlight w:val="none"/>
        </w:rPr>
        <w:t>对照</w:t>
      </w:r>
      <w:r>
        <w:rPr>
          <w:rFonts w:hint="eastAsia"/>
          <w:highlight w:val="none"/>
          <w:lang w:eastAsia="zh-CN"/>
        </w:rPr>
        <w:t>城市更新单元（片区）</w:t>
      </w:r>
      <w:r>
        <w:rPr>
          <w:rFonts w:hint="eastAsia"/>
          <w:highlight w:val="none"/>
        </w:rPr>
        <w:t>体检评估的各项指标，按照定性与定量、主观与客观相结合的原则分析论证，综合评价</w:t>
      </w:r>
      <w:r>
        <w:rPr>
          <w:rFonts w:hint="eastAsia"/>
          <w:highlight w:val="none"/>
          <w:lang w:eastAsia="zh-CN"/>
        </w:rPr>
        <w:t>城市更新单元（片区）</w:t>
      </w:r>
      <w:r>
        <w:rPr>
          <w:rFonts w:hint="eastAsia"/>
          <w:highlight w:val="none"/>
        </w:rPr>
        <w:t>的城市人居环境质量，查找诊断存在的城市问题。</w:t>
      </w:r>
    </w:p>
    <w:p w14:paraId="400D19BA">
      <w:pPr>
        <w:pStyle w:val="44"/>
        <w:rPr>
          <w:highlight w:val="none"/>
        </w:rPr>
      </w:pPr>
      <w:r>
        <w:rPr>
          <w:rFonts w:hint="eastAsia"/>
          <w:highlight w:val="none"/>
        </w:rPr>
        <w:t>对于可定量分析的指标，数据应准确可靠；对于难以量化的定性指标，应有一定的量化手段与之相对应，如采用专家问卷等方式，力求实现对</w:t>
      </w:r>
      <w:r>
        <w:rPr>
          <w:rFonts w:hint="eastAsia"/>
          <w:highlight w:val="none"/>
          <w:lang w:eastAsia="zh-CN"/>
        </w:rPr>
        <w:t>城市更新单元（片区）</w:t>
      </w:r>
      <w:r>
        <w:rPr>
          <w:rFonts w:hint="eastAsia"/>
          <w:highlight w:val="none"/>
        </w:rPr>
        <w:t>体检的结果量化分级。</w:t>
      </w:r>
    </w:p>
    <w:p w14:paraId="1C72D9AA">
      <w:pPr>
        <w:pStyle w:val="80"/>
        <w:spacing w:before="332" w:after="332"/>
        <w:rPr>
          <w:highlight w:val="none"/>
        </w:rPr>
      </w:pPr>
      <w:bookmarkStart w:id="27" w:name="_Toc27136"/>
      <w:r>
        <w:rPr>
          <w:rFonts w:hint="eastAsia"/>
          <w:highlight w:val="none"/>
        </w:rPr>
        <w:t>单元（片区）范围划定</w:t>
      </w:r>
      <w:bookmarkEnd w:id="27"/>
    </w:p>
    <w:p w14:paraId="6C746D4F">
      <w:pPr>
        <w:pStyle w:val="79"/>
        <w:spacing w:before="166" w:after="166"/>
        <w:rPr>
          <w:rFonts w:hint="eastAsia"/>
          <w:highlight w:val="none"/>
        </w:rPr>
      </w:pPr>
      <w:bookmarkStart w:id="28" w:name="_Toc3963"/>
      <w:r>
        <w:rPr>
          <w:rFonts w:hint="eastAsia"/>
          <w:highlight w:val="none"/>
          <w:lang w:eastAsia="zh-CN"/>
        </w:rPr>
        <w:t>城市更新单元（片区）</w:t>
      </w:r>
      <w:r>
        <w:rPr>
          <w:rFonts w:hint="eastAsia"/>
          <w:highlight w:val="none"/>
        </w:rPr>
        <w:t>范围划定</w:t>
      </w:r>
      <w:bookmarkEnd w:id="28"/>
    </w:p>
    <w:p w14:paraId="5BAB40F4">
      <w:pPr>
        <w:pStyle w:val="44"/>
        <w:rPr>
          <w:rFonts w:hint="default" w:eastAsia="宋体"/>
          <w:color w:val="0000FF"/>
          <w:highlight w:val="none"/>
          <w:lang w:val="en-US" w:eastAsia="zh-CN"/>
        </w:rPr>
      </w:pPr>
      <w:r>
        <w:rPr>
          <w:rFonts w:hint="eastAsia"/>
          <w:highlight w:val="none"/>
          <w:lang w:eastAsia="zh-CN"/>
        </w:rPr>
        <w:t>城市更新单元（片区）范围划定应落实已编制的城市更新专项规划、国土空间详细规划中的单元划分成果要求，边界与自然地理、地块权属、行政管理、规划管理等边界做好衔接，规模宜控制在0.5-3平方公里，并可根据不同更新类型（如历史文化街区、老旧小区集中区、产业园区等）及地形地貌特征适当调整划定规模</w:t>
      </w:r>
      <w:r>
        <w:rPr>
          <w:rFonts w:hint="eastAsia"/>
          <w:highlight w:val="none"/>
        </w:rPr>
        <w:t>。</w:t>
      </w:r>
    </w:p>
    <w:p w14:paraId="0FA8898A">
      <w:pPr>
        <w:pStyle w:val="79"/>
        <w:spacing w:before="166" w:after="166"/>
        <w:rPr>
          <w:rFonts w:hint="eastAsia"/>
          <w:highlight w:val="none"/>
        </w:rPr>
      </w:pPr>
      <w:bookmarkStart w:id="29" w:name="_Toc1878"/>
      <w:r>
        <w:rPr>
          <w:rFonts w:hint="eastAsia"/>
          <w:highlight w:val="none"/>
          <w:lang w:eastAsia="zh-CN"/>
        </w:rPr>
        <w:t>城市更新单元（片区）</w:t>
      </w:r>
      <w:r>
        <w:rPr>
          <w:rFonts w:hint="eastAsia"/>
          <w:highlight w:val="none"/>
        </w:rPr>
        <w:t>范围调整</w:t>
      </w:r>
      <w:bookmarkEnd w:id="29"/>
    </w:p>
    <w:p w14:paraId="33B277A1">
      <w:pPr>
        <w:pStyle w:val="44"/>
        <w:rPr>
          <w:highlight w:val="none"/>
        </w:rPr>
      </w:pPr>
      <w:r>
        <w:rPr>
          <w:rFonts w:hint="eastAsia"/>
          <w:highlight w:val="none"/>
        </w:rPr>
        <w:t>经批准的城市更新单元（片区）范围原则上不得调整，因上位规划调整、重大公共利益和公共安全保障需要等确需对实施单元边界进行局部优化调整的，由城市更新单元（片区）实施主体提出申请，城市更新主管部门会同相关行业主管部门出具审查意见，报地方人民政府备案后调整。</w:t>
      </w:r>
    </w:p>
    <w:p w14:paraId="5EF5F75C">
      <w:pPr>
        <w:pStyle w:val="80"/>
        <w:spacing w:before="332" w:after="332"/>
        <w:rPr>
          <w:highlight w:val="none"/>
        </w:rPr>
      </w:pPr>
      <w:bookmarkStart w:id="30" w:name="_Toc5198"/>
      <w:r>
        <w:rPr>
          <w:rFonts w:hint="eastAsia"/>
          <w:highlight w:val="none"/>
        </w:rPr>
        <w:t>分析评估</w:t>
      </w:r>
      <w:bookmarkEnd w:id="30"/>
    </w:p>
    <w:p w14:paraId="5CBF721F">
      <w:pPr>
        <w:pStyle w:val="79"/>
        <w:spacing w:before="166" w:after="166"/>
        <w:rPr>
          <w:highlight w:val="none"/>
        </w:rPr>
      </w:pPr>
      <w:bookmarkStart w:id="31" w:name="_Toc18296"/>
      <w:r>
        <w:rPr>
          <w:rFonts w:hint="eastAsia"/>
          <w:highlight w:val="none"/>
        </w:rPr>
        <w:t>现状</w:t>
      </w:r>
      <w:r>
        <w:rPr>
          <w:rFonts w:hint="eastAsia"/>
          <w:highlight w:val="none"/>
          <w:lang w:val="en-US" w:eastAsia="zh-CN"/>
        </w:rPr>
        <w:t>情况调查</w:t>
      </w:r>
      <w:bookmarkEnd w:id="31"/>
    </w:p>
    <w:p w14:paraId="7EFB3B11">
      <w:pPr>
        <w:pStyle w:val="53"/>
        <w:spacing w:before="166" w:after="166"/>
        <w:rPr>
          <w:highlight w:val="none"/>
        </w:rPr>
      </w:pPr>
      <w:r>
        <w:rPr>
          <w:rFonts w:hint="eastAsia"/>
          <w:highlight w:val="none"/>
        </w:rPr>
        <w:t>区域条件研判</w:t>
      </w:r>
    </w:p>
    <w:p w14:paraId="2EC62A12">
      <w:pPr>
        <w:pStyle w:val="51"/>
        <w:ind w:left="0"/>
        <w:rPr>
          <w:rFonts w:hint="eastAsia"/>
          <w:highlight w:val="none"/>
        </w:rPr>
      </w:pPr>
      <w:r>
        <w:rPr>
          <w:rFonts w:hint="eastAsia"/>
          <w:highlight w:val="none"/>
        </w:rPr>
        <w:t>说明</w:t>
      </w:r>
      <w:r>
        <w:rPr>
          <w:rFonts w:hint="eastAsia"/>
          <w:highlight w:val="none"/>
          <w:lang w:val="en-US" w:eastAsia="zh-CN"/>
        </w:rPr>
        <w:t>城市更新单元（片区）</w:t>
      </w:r>
      <w:r>
        <w:rPr>
          <w:rFonts w:hint="eastAsia"/>
          <w:highlight w:val="none"/>
        </w:rPr>
        <w:t>的地理位置、研究范围、交通情况、配套情况等，分析其在区域中的功能、交通、环境景观等方面的地位和作用</w:t>
      </w:r>
      <w:r>
        <w:rPr>
          <w:rFonts w:hint="eastAsia"/>
          <w:highlight w:val="none"/>
          <w:lang w:eastAsia="zh-CN"/>
        </w:rPr>
        <w:t>，</w:t>
      </w:r>
      <w:r>
        <w:rPr>
          <w:rFonts w:hint="eastAsia"/>
          <w:highlight w:val="none"/>
        </w:rPr>
        <w:t>包括交通区位分析、地理区位分析、经济区位分析、文化区位分析及其他区位分析。</w:t>
      </w:r>
    </w:p>
    <w:p w14:paraId="7BE551A1">
      <w:pPr>
        <w:pStyle w:val="51"/>
        <w:ind w:left="0"/>
        <w:rPr>
          <w:highlight w:val="none"/>
        </w:rPr>
      </w:pPr>
      <w:r>
        <w:rPr>
          <w:rFonts w:hint="eastAsia"/>
          <w:highlight w:val="none"/>
        </w:rPr>
        <w:t>立足于</w:t>
      </w:r>
      <w:r>
        <w:rPr>
          <w:rFonts w:hint="eastAsia"/>
          <w:highlight w:val="none"/>
          <w:lang w:val="en-US" w:eastAsia="zh-CN"/>
        </w:rPr>
        <w:t>城市更新单元（片区）</w:t>
      </w:r>
      <w:r>
        <w:rPr>
          <w:rFonts w:hint="eastAsia"/>
          <w:highlight w:val="none"/>
        </w:rPr>
        <w:t>所在</w:t>
      </w:r>
      <w:r>
        <w:rPr>
          <w:rFonts w:hint="eastAsia"/>
          <w:highlight w:val="none"/>
          <w:lang w:val="en-US" w:eastAsia="zh-CN"/>
        </w:rPr>
        <w:t>区域</w:t>
      </w:r>
      <w:r>
        <w:rPr>
          <w:rFonts w:hint="eastAsia"/>
          <w:highlight w:val="none"/>
        </w:rPr>
        <w:t>，评估周边地区的功能发展趋势，结合当前发展条件，分析</w:t>
      </w:r>
      <w:r>
        <w:rPr>
          <w:rFonts w:hint="eastAsia"/>
          <w:highlight w:val="none"/>
          <w:lang w:val="en-US" w:eastAsia="zh-CN"/>
        </w:rPr>
        <w:t>城市更新单元（片区）</w:t>
      </w:r>
      <w:r>
        <w:rPr>
          <w:rFonts w:hint="eastAsia"/>
          <w:highlight w:val="none"/>
        </w:rPr>
        <w:t>的功能发展方向。综合上位产业发展研究、区域政策研究，评估</w:t>
      </w:r>
      <w:r>
        <w:rPr>
          <w:rFonts w:hint="eastAsia"/>
          <w:highlight w:val="none"/>
          <w:lang w:val="en-US" w:eastAsia="zh-CN"/>
        </w:rPr>
        <w:t>城市更新单元（片区）</w:t>
      </w:r>
      <w:r>
        <w:rPr>
          <w:rFonts w:hint="eastAsia"/>
          <w:highlight w:val="none"/>
        </w:rPr>
        <w:t>的产业发展机遇，分析产业发展的需求和供给潜力。</w:t>
      </w:r>
    </w:p>
    <w:p w14:paraId="0F25663C">
      <w:pPr>
        <w:pStyle w:val="53"/>
        <w:rPr>
          <w:highlight w:val="none"/>
        </w:rPr>
      </w:pPr>
      <w:r>
        <w:rPr>
          <w:rFonts w:hint="eastAsia"/>
          <w:highlight w:val="none"/>
        </w:rPr>
        <w:t>管控要素梳理</w:t>
      </w:r>
    </w:p>
    <w:p w14:paraId="43C1830A">
      <w:pPr>
        <w:pStyle w:val="44"/>
        <w:rPr>
          <w:highlight w:val="none"/>
        </w:rPr>
      </w:pPr>
      <w:r>
        <w:rPr>
          <w:rFonts w:hint="eastAsia"/>
          <w:highlight w:val="none"/>
        </w:rPr>
        <w:t>对</w:t>
      </w:r>
      <w:r>
        <w:rPr>
          <w:rFonts w:hint="eastAsia"/>
          <w:highlight w:val="none"/>
          <w:lang w:val="en-US" w:eastAsia="zh-CN"/>
        </w:rPr>
        <w:t>城市更新单元（片区）</w:t>
      </w:r>
      <w:r>
        <w:rPr>
          <w:rFonts w:hint="eastAsia"/>
          <w:highlight w:val="none"/>
        </w:rPr>
        <w:t>以及周边相关区域进行刚性规划管控要素梳理，明确国土空间总体规划、详细规划、各类专项规划等法定规划对本区域内的管控要素，列明本区域内刚性管控要素清单。</w:t>
      </w:r>
    </w:p>
    <w:p w14:paraId="0DCCC6E7">
      <w:pPr>
        <w:pStyle w:val="53"/>
        <w:rPr>
          <w:highlight w:val="none"/>
        </w:rPr>
      </w:pPr>
      <w:r>
        <w:rPr>
          <w:rFonts w:hint="eastAsia"/>
          <w:highlight w:val="none"/>
        </w:rPr>
        <w:t>现状条件梳理</w:t>
      </w:r>
    </w:p>
    <w:p w14:paraId="0C12B9A3">
      <w:pPr>
        <w:pStyle w:val="44"/>
        <w:rPr>
          <w:rFonts w:hint="eastAsia"/>
          <w:highlight w:val="none"/>
        </w:rPr>
      </w:pPr>
      <w:r>
        <w:rPr>
          <w:rFonts w:hint="eastAsia"/>
          <w:highlight w:val="none"/>
        </w:rPr>
        <w:t>梳理明确</w:t>
      </w:r>
      <w:r>
        <w:rPr>
          <w:rFonts w:hint="eastAsia"/>
          <w:highlight w:val="none"/>
          <w:lang w:val="en-US" w:eastAsia="zh-CN"/>
        </w:rPr>
        <w:t>城市更新单元（片区）</w:t>
      </w:r>
      <w:r>
        <w:rPr>
          <w:rFonts w:hint="eastAsia"/>
          <w:highlight w:val="none"/>
        </w:rPr>
        <w:t>内的用地、公共服务与基础设施、生态环境、产业发展、安全韧性等基础情况。其中</w:t>
      </w:r>
      <w:r>
        <w:rPr>
          <w:rFonts w:hint="eastAsia"/>
          <w:highlight w:val="none"/>
          <w:lang w:eastAsia="zh-CN"/>
        </w:rPr>
        <w:t>，</w:t>
      </w:r>
      <w:r>
        <w:rPr>
          <w:rFonts w:hint="eastAsia"/>
          <w:highlight w:val="none"/>
        </w:rPr>
        <w:t>用地和现状建筑物应调查收集权属资料，根据权属调查的基本情况分别归类，统计核算</w:t>
      </w:r>
      <w:r>
        <w:rPr>
          <w:rFonts w:hint="eastAsia"/>
          <w:highlight w:val="none"/>
          <w:lang w:val="en-US" w:eastAsia="zh-CN"/>
        </w:rPr>
        <w:t>城市更新单元（片区）</w:t>
      </w:r>
      <w:r>
        <w:rPr>
          <w:rFonts w:hint="eastAsia"/>
          <w:highlight w:val="none"/>
        </w:rPr>
        <w:t>内现状合法、违法建筑物的建筑面积。</w:t>
      </w:r>
    </w:p>
    <w:p w14:paraId="6ADA8BC3">
      <w:pPr>
        <w:pStyle w:val="53"/>
        <w:rPr>
          <w:rFonts w:hint="eastAsia"/>
          <w:highlight w:val="none"/>
        </w:rPr>
      </w:pPr>
      <w:r>
        <w:rPr>
          <w:rFonts w:hint="eastAsia"/>
          <w:highlight w:val="none"/>
        </w:rPr>
        <w:t>更新意愿与需求调查</w:t>
      </w:r>
    </w:p>
    <w:p w14:paraId="3A5BBB40">
      <w:pPr>
        <w:pStyle w:val="44"/>
        <w:rPr>
          <w:highlight w:val="none"/>
        </w:rPr>
      </w:pPr>
      <w:r>
        <w:rPr>
          <w:rFonts w:hint="eastAsia"/>
          <w:highlight w:val="none"/>
        </w:rPr>
        <w:t>通过现场调研走访、发放调查问卷等方式，收集</w:t>
      </w:r>
      <w:r>
        <w:rPr>
          <w:rFonts w:hint="eastAsia"/>
          <w:highlight w:val="none"/>
          <w:lang w:val="en-US" w:eastAsia="zh-CN"/>
        </w:rPr>
        <w:t>城市更新单元（片区）</w:t>
      </w:r>
      <w:r>
        <w:rPr>
          <w:rFonts w:hint="eastAsia"/>
          <w:highlight w:val="none"/>
        </w:rPr>
        <w:t>范围内的居民</w:t>
      </w:r>
      <w:r>
        <w:rPr>
          <w:rFonts w:hint="eastAsia"/>
          <w:highlight w:val="none"/>
          <w:lang w:eastAsia="zh-CN"/>
        </w:rPr>
        <w:t>、</w:t>
      </w:r>
      <w:r>
        <w:rPr>
          <w:rFonts w:hint="eastAsia"/>
          <w:highlight w:val="none"/>
          <w:lang w:val="en-US" w:eastAsia="zh-CN"/>
        </w:rPr>
        <w:t>企业</w:t>
      </w:r>
      <w:r>
        <w:rPr>
          <w:rFonts w:hint="eastAsia"/>
          <w:highlight w:val="none"/>
        </w:rPr>
        <w:t>对</w:t>
      </w:r>
      <w:r>
        <w:rPr>
          <w:rFonts w:hint="eastAsia"/>
          <w:highlight w:val="none"/>
          <w:lang w:val="en-US" w:eastAsia="zh-CN"/>
        </w:rPr>
        <w:t>单元（</w:t>
      </w:r>
      <w:r>
        <w:rPr>
          <w:rFonts w:hint="eastAsia"/>
          <w:highlight w:val="none"/>
        </w:rPr>
        <w:t>片区</w:t>
      </w:r>
      <w:r>
        <w:rPr>
          <w:rFonts w:hint="eastAsia"/>
          <w:highlight w:val="none"/>
          <w:lang w:val="en-US" w:eastAsia="zh-CN"/>
        </w:rPr>
        <w:t>）</w:t>
      </w:r>
      <w:r>
        <w:rPr>
          <w:rFonts w:hint="eastAsia"/>
          <w:highlight w:val="none"/>
        </w:rPr>
        <w:t>实施城市更新改造的需求。重点调查</w:t>
      </w:r>
      <w:r>
        <w:rPr>
          <w:rFonts w:hint="eastAsia"/>
          <w:highlight w:val="none"/>
          <w:lang w:val="en-US" w:eastAsia="zh-CN"/>
        </w:rPr>
        <w:t>单元（</w:t>
      </w:r>
      <w:r>
        <w:rPr>
          <w:rFonts w:hint="eastAsia"/>
          <w:highlight w:val="none"/>
        </w:rPr>
        <w:t>片区</w:t>
      </w:r>
      <w:r>
        <w:rPr>
          <w:rFonts w:hint="eastAsia"/>
          <w:highlight w:val="none"/>
          <w:lang w:val="en-US" w:eastAsia="zh-CN"/>
        </w:rPr>
        <w:t>）</w:t>
      </w:r>
      <w:r>
        <w:rPr>
          <w:rFonts w:hint="eastAsia"/>
          <w:highlight w:val="none"/>
        </w:rPr>
        <w:t>主体、主要权利人或组织对城市更新的核心诉求与相关意愿。</w:t>
      </w:r>
    </w:p>
    <w:p w14:paraId="63A058FC">
      <w:pPr>
        <w:pStyle w:val="79"/>
        <w:rPr>
          <w:rFonts w:hint="eastAsia"/>
          <w:highlight w:val="none"/>
        </w:rPr>
      </w:pPr>
      <w:bookmarkStart w:id="32" w:name="_Toc14519"/>
      <w:r>
        <w:rPr>
          <w:rFonts w:hint="eastAsia"/>
          <w:highlight w:val="none"/>
        </w:rPr>
        <w:t>更新分析评估</w:t>
      </w:r>
      <w:bookmarkEnd w:id="32"/>
    </w:p>
    <w:p w14:paraId="0EA338D2">
      <w:pPr>
        <w:pStyle w:val="53"/>
        <w:rPr>
          <w:rFonts w:hint="eastAsia"/>
          <w:highlight w:val="none"/>
        </w:rPr>
      </w:pPr>
      <w:r>
        <w:rPr>
          <w:rFonts w:hint="eastAsia"/>
          <w:highlight w:val="none"/>
        </w:rPr>
        <w:t>空间资源</w:t>
      </w:r>
      <w:r>
        <w:rPr>
          <w:rFonts w:hint="eastAsia"/>
          <w:highlight w:val="none"/>
          <w:lang w:val="en-US" w:eastAsia="zh-CN"/>
        </w:rPr>
        <w:t>梳理</w:t>
      </w:r>
    </w:p>
    <w:p w14:paraId="191853B8">
      <w:pPr>
        <w:pStyle w:val="44"/>
        <w:rPr>
          <w:rFonts w:hint="eastAsia"/>
          <w:highlight w:val="none"/>
        </w:rPr>
      </w:pPr>
      <w:r>
        <w:rPr>
          <w:rFonts w:hint="eastAsia"/>
          <w:highlight w:val="none"/>
        </w:rPr>
        <w:t>对单元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范围内用地性质、用地权属、现状用地开发强度、与详细规划是否相符等方面进行分析。对</w:t>
      </w:r>
      <w:r>
        <w:rPr>
          <w:rFonts w:hint="eastAsia"/>
          <w:highlight w:val="none"/>
          <w:lang w:val="en-US" w:eastAsia="zh-CN"/>
        </w:rPr>
        <w:t>城市更新单元（片区）</w:t>
      </w:r>
      <w:r>
        <w:rPr>
          <w:rFonts w:hint="eastAsia"/>
          <w:highlight w:val="none"/>
        </w:rPr>
        <w:t>范围内现状建筑的建筑质量、建成年代、使用功能、建筑高度、建筑结构、建筑密度、安全隐患住宅等情况进行分析。对产权主体、实施主体、运营主体等产权信息进行调查、登记，梳理权属相关历史遗留问题。</w:t>
      </w:r>
    </w:p>
    <w:p w14:paraId="4D1E60E2">
      <w:pPr>
        <w:pStyle w:val="53"/>
        <w:rPr>
          <w:rFonts w:hint="eastAsia"/>
          <w:highlight w:val="none"/>
        </w:rPr>
      </w:pPr>
      <w:r>
        <w:rPr>
          <w:rFonts w:hint="eastAsia"/>
          <w:highlight w:val="none"/>
        </w:rPr>
        <w:t>存量潜力分析</w:t>
      </w:r>
    </w:p>
    <w:p w14:paraId="28161D1E">
      <w:pPr>
        <w:pStyle w:val="44"/>
        <w:rPr>
          <w:rFonts w:hint="eastAsia"/>
          <w:highlight w:val="none"/>
        </w:rPr>
      </w:pPr>
      <w:r>
        <w:rPr>
          <w:rFonts w:hint="eastAsia"/>
          <w:highlight w:val="none"/>
        </w:rPr>
        <w:t>结合</w:t>
      </w:r>
      <w:r>
        <w:rPr>
          <w:rFonts w:hint="eastAsia"/>
          <w:highlight w:val="none"/>
          <w:lang w:val="en-US" w:eastAsia="zh-CN"/>
        </w:rPr>
        <w:t>城市更新单元（片区）</w:t>
      </w:r>
      <w:r>
        <w:rPr>
          <w:rFonts w:hint="eastAsia"/>
          <w:highlight w:val="none"/>
        </w:rPr>
        <w:t>主导功能，在全面摸清</w:t>
      </w:r>
      <w:r>
        <w:rPr>
          <w:rFonts w:hint="eastAsia"/>
          <w:highlight w:val="none"/>
          <w:lang w:val="en-US" w:eastAsia="zh-CN"/>
        </w:rPr>
        <w:t>单元</w:t>
      </w:r>
      <w:r>
        <w:rPr>
          <w:rFonts w:hint="eastAsia"/>
          <w:highlight w:val="none"/>
          <w:lang w:eastAsia="zh-CN"/>
        </w:rPr>
        <w:t>（</w:t>
      </w:r>
      <w:r>
        <w:rPr>
          <w:rFonts w:hint="eastAsia"/>
          <w:highlight w:val="none"/>
        </w:rPr>
        <w:t>片区</w:t>
      </w:r>
      <w:r>
        <w:rPr>
          <w:rFonts w:hint="eastAsia"/>
          <w:highlight w:val="none"/>
          <w:lang w:eastAsia="zh-CN"/>
        </w:rPr>
        <w:t>）</w:t>
      </w:r>
      <w:r>
        <w:rPr>
          <w:rFonts w:hint="eastAsia"/>
          <w:highlight w:val="none"/>
        </w:rPr>
        <w:t>存量资源“底数”基础上，按照市场标准客观评估</w:t>
      </w:r>
      <w:r>
        <w:rPr>
          <w:rFonts w:hint="eastAsia"/>
          <w:highlight w:val="none"/>
          <w:lang w:val="en-US" w:eastAsia="zh-CN"/>
        </w:rPr>
        <w:t>城市更新单元（片区）</w:t>
      </w:r>
      <w:r>
        <w:rPr>
          <w:rFonts w:hint="eastAsia"/>
          <w:highlight w:val="none"/>
        </w:rPr>
        <w:t>存量资源的更新利用价值，挖掘具有更新潜力的低效闲置用地、建筑和地下空间。</w:t>
      </w:r>
    </w:p>
    <w:p w14:paraId="07DB9186">
      <w:pPr>
        <w:pStyle w:val="53"/>
        <w:rPr>
          <w:rFonts w:hint="eastAsia"/>
          <w:highlight w:val="none"/>
        </w:rPr>
      </w:pPr>
      <w:r>
        <w:rPr>
          <w:rFonts w:hint="eastAsia"/>
          <w:highlight w:val="none"/>
        </w:rPr>
        <w:t>人口</w:t>
      </w:r>
      <w:r>
        <w:rPr>
          <w:rFonts w:hint="eastAsia"/>
          <w:highlight w:val="none"/>
          <w:lang w:val="en-US" w:eastAsia="zh-CN"/>
        </w:rPr>
        <w:t>结构和分布</w:t>
      </w:r>
    </w:p>
    <w:p w14:paraId="358086A2">
      <w:pPr>
        <w:pStyle w:val="44"/>
        <w:rPr>
          <w:rFonts w:hint="eastAsia"/>
          <w:highlight w:val="none"/>
        </w:rPr>
      </w:pPr>
      <w:r>
        <w:rPr>
          <w:rFonts w:hint="eastAsia"/>
          <w:highlight w:val="none"/>
        </w:rPr>
        <w:t>对单元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范围内现状人口的总量、年龄结构、职住情况、学历结构、特困人群等情况进行分析，根据更新目标定位、更新路径，结合单元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生态资源、交通、基础设施等承载能力情况，综合评估单元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开发建设人口容量，为分析单元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增补公共服务设施、提升片区服务品质等需求提供依据。</w:t>
      </w:r>
    </w:p>
    <w:p w14:paraId="0A46D42E">
      <w:pPr>
        <w:pStyle w:val="53"/>
        <w:rPr>
          <w:rFonts w:hint="eastAsia"/>
          <w:highlight w:val="none"/>
        </w:rPr>
      </w:pPr>
      <w:r>
        <w:rPr>
          <w:rFonts w:hint="eastAsia"/>
          <w:highlight w:val="none"/>
        </w:rPr>
        <w:t>历史文化与风貌保护</w:t>
      </w:r>
    </w:p>
    <w:p w14:paraId="5037C00F">
      <w:pPr>
        <w:pStyle w:val="44"/>
        <w:rPr>
          <w:rFonts w:hint="eastAsia"/>
          <w:highlight w:val="none"/>
        </w:rPr>
      </w:pPr>
      <w:r>
        <w:rPr>
          <w:rFonts w:hint="eastAsia"/>
          <w:highlight w:val="none"/>
        </w:rPr>
        <w:t>对单元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范围内传统格局和街巷肌理、历史建筑和具有保护价值的老建筑、古树名木、老地名等历史文化要素进行梳理，结合上层次规划及相关技术标准、规范要求，对涉及历史文化</w:t>
      </w:r>
      <w:r>
        <w:rPr>
          <w:rFonts w:hint="eastAsia"/>
          <w:highlight w:val="none"/>
          <w:lang w:val="en-US" w:eastAsia="zh-CN"/>
        </w:rPr>
        <w:t>单元（</w:t>
      </w:r>
      <w:r>
        <w:rPr>
          <w:rFonts w:hint="eastAsia"/>
          <w:highlight w:val="none"/>
        </w:rPr>
        <w:t>片区</w:t>
      </w:r>
      <w:r>
        <w:rPr>
          <w:rFonts w:hint="eastAsia"/>
          <w:highlight w:val="none"/>
          <w:lang w:val="en-US" w:eastAsia="zh-CN"/>
        </w:rPr>
        <w:t>）</w:t>
      </w:r>
      <w:r>
        <w:rPr>
          <w:rFonts w:hint="eastAsia"/>
          <w:highlight w:val="none"/>
        </w:rPr>
        <w:t>的使用功能、建设活动、风貌保护控制措施、活化利用情况进行评估，并对脱管失修、修而不用、长期闲置等问题进行分析。</w:t>
      </w:r>
    </w:p>
    <w:p w14:paraId="7FC5C6D4">
      <w:pPr>
        <w:pStyle w:val="53"/>
        <w:rPr>
          <w:rFonts w:hint="eastAsia"/>
          <w:highlight w:val="none"/>
        </w:rPr>
      </w:pPr>
      <w:r>
        <w:rPr>
          <w:rFonts w:hint="eastAsia"/>
          <w:highlight w:val="none"/>
        </w:rPr>
        <w:t>公共空间与环境品质</w:t>
      </w:r>
    </w:p>
    <w:p w14:paraId="6EDEE046">
      <w:pPr>
        <w:pStyle w:val="44"/>
        <w:rPr>
          <w:rFonts w:hint="eastAsia"/>
          <w:highlight w:val="none"/>
        </w:rPr>
      </w:pPr>
      <w:r>
        <w:rPr>
          <w:rFonts w:hint="eastAsia"/>
          <w:highlight w:val="none"/>
        </w:rPr>
        <w:t>依据上位规划、专项规划及技术标准规范及相关政策文件要求，对</w:t>
      </w:r>
      <w:r>
        <w:rPr>
          <w:rFonts w:hint="eastAsia"/>
          <w:highlight w:val="none"/>
          <w:lang w:val="en-US" w:eastAsia="zh-CN"/>
        </w:rPr>
        <w:t>城市</w:t>
      </w:r>
      <w:r>
        <w:rPr>
          <w:rFonts w:hint="eastAsia"/>
          <w:highlight w:val="none"/>
        </w:rPr>
        <w:t>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范围内绿地公共空间规模与体系构成、街道空间环境品质进行分析；结合区域生态本底，评估</w:t>
      </w:r>
      <w:r>
        <w:rPr>
          <w:rFonts w:hint="eastAsia"/>
          <w:highlight w:val="none"/>
          <w:lang w:val="en-US" w:eastAsia="zh-CN"/>
        </w:rPr>
        <w:t>城市</w:t>
      </w:r>
      <w:r>
        <w:rPr>
          <w:rFonts w:hint="eastAsia"/>
          <w:highlight w:val="none"/>
        </w:rPr>
        <w:t>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及周边城市河道、湖泊、湿地等水体生态保护情况、城市雨水调蓄与利用能力等海绵城市建设情况，必要时对风环境、热环境、光环境、声环境进行专项分析。</w:t>
      </w:r>
    </w:p>
    <w:p w14:paraId="04A3A8D1">
      <w:pPr>
        <w:pStyle w:val="53"/>
        <w:rPr>
          <w:rFonts w:hint="eastAsia"/>
          <w:highlight w:val="none"/>
        </w:rPr>
      </w:pPr>
      <w:r>
        <w:rPr>
          <w:rFonts w:hint="eastAsia"/>
          <w:highlight w:val="none"/>
        </w:rPr>
        <w:t>公共服务设施分析</w:t>
      </w:r>
    </w:p>
    <w:p w14:paraId="6196F3B6">
      <w:pPr>
        <w:pStyle w:val="44"/>
        <w:rPr>
          <w:rFonts w:hint="eastAsia"/>
          <w:highlight w:val="none"/>
        </w:rPr>
      </w:pPr>
      <w:r>
        <w:rPr>
          <w:rFonts w:hint="eastAsia"/>
          <w:highlight w:val="none"/>
        </w:rPr>
        <w:t>依据技术标准规范与相关政策文件要求，对</w:t>
      </w:r>
      <w:r>
        <w:rPr>
          <w:rFonts w:hint="eastAsia"/>
          <w:highlight w:val="none"/>
          <w:lang w:val="en-US" w:eastAsia="zh-CN"/>
        </w:rPr>
        <w:t>城市</w:t>
      </w:r>
      <w:r>
        <w:rPr>
          <w:rFonts w:hint="eastAsia"/>
          <w:highlight w:val="none"/>
        </w:rPr>
        <w:t>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各类公共服务设施规模、服务能力与品质等进行评估。鼓励根据上位规划与片区特色发展要求，适当增补托育、养老、康养等个性化公共服务设施配给。</w:t>
      </w:r>
    </w:p>
    <w:p w14:paraId="36B37F42">
      <w:pPr>
        <w:pStyle w:val="53"/>
        <w:rPr>
          <w:rFonts w:hint="eastAsia"/>
          <w:highlight w:val="none"/>
        </w:rPr>
      </w:pPr>
      <w:r>
        <w:rPr>
          <w:rFonts w:hint="eastAsia"/>
          <w:highlight w:val="none"/>
        </w:rPr>
        <w:t>交通与基础设施分析</w:t>
      </w:r>
    </w:p>
    <w:p w14:paraId="6EBAD96A">
      <w:pPr>
        <w:pStyle w:val="44"/>
        <w:rPr>
          <w:rFonts w:hint="eastAsia"/>
          <w:highlight w:val="none"/>
        </w:rPr>
      </w:pPr>
      <w:r>
        <w:rPr>
          <w:rFonts w:hint="eastAsia"/>
          <w:highlight w:val="none"/>
        </w:rPr>
        <w:t>依据技术标准规范与相关政策文件要求，以提升城市交通服务水平、推广绿色出行方式为目标，对</w:t>
      </w:r>
      <w:r>
        <w:rPr>
          <w:rFonts w:hint="eastAsia"/>
          <w:highlight w:val="none"/>
          <w:lang w:val="en-US" w:eastAsia="zh-CN"/>
        </w:rPr>
        <w:t>城市</w:t>
      </w:r>
      <w:r>
        <w:rPr>
          <w:rFonts w:hint="eastAsia"/>
          <w:highlight w:val="none"/>
        </w:rPr>
        <w:t>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与周边区域交通服务能力、城市路网结构、步行与自行车等慢行交通系统，城市交通基础设施情况进行评估。</w:t>
      </w:r>
    </w:p>
    <w:p w14:paraId="06B7DE69">
      <w:pPr>
        <w:pStyle w:val="44"/>
        <w:rPr>
          <w:rFonts w:hint="eastAsia"/>
          <w:highlight w:val="none"/>
        </w:rPr>
      </w:pPr>
      <w:r>
        <w:rPr>
          <w:rFonts w:hint="eastAsia"/>
          <w:highlight w:val="none"/>
        </w:rPr>
        <w:t>依据相关政策文件、上位规划、专项规划及技术标准、规范的要求，以排除城市基础设施风险隐患、提升城市基础供应能力与安全韧性为目标，进行</w:t>
      </w:r>
      <w:r>
        <w:rPr>
          <w:rFonts w:hint="eastAsia"/>
          <w:highlight w:val="none"/>
          <w:lang w:val="en-US" w:eastAsia="zh-CN"/>
        </w:rPr>
        <w:t>城市</w:t>
      </w:r>
      <w:r>
        <w:rPr>
          <w:rFonts w:hint="eastAsia"/>
          <w:highlight w:val="none"/>
        </w:rPr>
        <w:t>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市政设施支撑能力分析及对市政系统的影响评估</w:t>
      </w:r>
      <w:r>
        <w:rPr>
          <w:rFonts w:hint="eastAsia"/>
          <w:highlight w:val="none"/>
          <w:lang w:eastAsia="zh-CN"/>
        </w:rPr>
        <w:t>，</w:t>
      </w:r>
      <w:r>
        <w:rPr>
          <w:rFonts w:hint="eastAsia"/>
          <w:highlight w:val="none"/>
        </w:rPr>
        <w:t>包括城市燃气、供水、排水、污水、供热等地下管线管网及相关设施。</w:t>
      </w:r>
    </w:p>
    <w:p w14:paraId="37F5B4B2">
      <w:pPr>
        <w:pStyle w:val="53"/>
        <w:rPr>
          <w:rFonts w:hint="eastAsia"/>
          <w:highlight w:val="none"/>
        </w:rPr>
      </w:pPr>
      <w:r>
        <w:rPr>
          <w:rFonts w:hint="eastAsia"/>
          <w:highlight w:val="none"/>
        </w:rPr>
        <w:t>安全韧性与运行管理</w:t>
      </w:r>
    </w:p>
    <w:p w14:paraId="0A44469A">
      <w:pPr>
        <w:pStyle w:val="44"/>
        <w:rPr>
          <w:rFonts w:hint="eastAsia"/>
          <w:highlight w:val="none"/>
        </w:rPr>
      </w:pPr>
      <w:r>
        <w:rPr>
          <w:rFonts w:hint="eastAsia"/>
          <w:highlight w:val="none"/>
        </w:rPr>
        <w:t>结合上位规划要求与现状实际情况，对单元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范围内紧急避难场所布局和规模、消防设施布局和规模、严重易涝积水风险点位、窨井盖使用安全情况、日常街道管理和物业管理情况进行梳理。结合相关技术标准、规范要求，对</w:t>
      </w:r>
      <w:r>
        <w:rPr>
          <w:rFonts w:hint="eastAsia"/>
          <w:highlight w:val="none"/>
          <w:lang w:eastAsia="zh-CN"/>
        </w:rPr>
        <w:t>城市更新单元（片区）</w:t>
      </w:r>
      <w:r>
        <w:rPr>
          <w:rFonts w:hint="eastAsia"/>
          <w:highlight w:val="none"/>
        </w:rPr>
        <w:t>的突发情况下应急保障能力和日常管理维护能力进行评估，主要包括避难场所建设、消防设施布局、易涝积水治理、空中线路管理、车辆停放管理、小区物业管理水平等。</w:t>
      </w:r>
    </w:p>
    <w:p w14:paraId="48C2F2F4">
      <w:pPr>
        <w:pStyle w:val="79"/>
        <w:rPr>
          <w:rFonts w:hint="eastAsia"/>
          <w:highlight w:val="none"/>
        </w:rPr>
      </w:pPr>
      <w:bookmarkStart w:id="33" w:name="_Toc14839"/>
      <w:r>
        <w:rPr>
          <w:rFonts w:hint="eastAsia"/>
          <w:highlight w:val="none"/>
        </w:rPr>
        <w:t>更新体检结论</w:t>
      </w:r>
      <w:bookmarkEnd w:id="33"/>
    </w:p>
    <w:p w14:paraId="33D47D67">
      <w:pPr>
        <w:pStyle w:val="44"/>
        <w:rPr>
          <w:rFonts w:hint="eastAsia"/>
          <w:highlight w:val="none"/>
        </w:rPr>
      </w:pPr>
      <w:r>
        <w:rPr>
          <w:rFonts w:hint="eastAsia"/>
          <w:highlight w:val="none"/>
        </w:rPr>
        <w:t>结合现状评估结论，对城市更新单元（片区）的主要问题进行诊断，形成城市更新单元（片区）问题清单</w:t>
      </w:r>
      <w:r>
        <w:rPr>
          <w:rFonts w:hint="eastAsia"/>
          <w:highlight w:val="none"/>
          <w:lang w:eastAsia="zh-CN"/>
        </w:rPr>
        <w:t>、</w:t>
      </w:r>
      <w:r>
        <w:rPr>
          <w:rFonts w:hint="eastAsia"/>
          <w:highlight w:val="none"/>
          <w:lang w:val="en-US" w:eastAsia="zh-CN"/>
        </w:rPr>
        <w:t>需求清单、可利用资源</w:t>
      </w:r>
      <w:r>
        <w:rPr>
          <w:rFonts w:hint="eastAsia"/>
          <w:highlight w:val="none"/>
        </w:rPr>
        <w:t>清单</w:t>
      </w:r>
      <w:r>
        <w:rPr>
          <w:rFonts w:hint="eastAsia"/>
          <w:highlight w:val="none"/>
          <w:lang w:eastAsia="zh-CN"/>
        </w:rPr>
        <w:t>（参考附录</w:t>
      </w:r>
      <w:r>
        <w:rPr>
          <w:rFonts w:hint="eastAsia"/>
          <w:highlight w:val="none"/>
          <w:lang w:val="en-US" w:eastAsia="zh-CN"/>
        </w:rPr>
        <w:t>D</w:t>
      </w:r>
      <w:r>
        <w:rPr>
          <w:rFonts w:hint="eastAsia"/>
          <w:highlight w:val="none"/>
          <w:lang w:eastAsia="zh-CN"/>
        </w:rPr>
        <w:t>）</w:t>
      </w:r>
      <w:r>
        <w:rPr>
          <w:rFonts w:hint="eastAsia"/>
          <w:highlight w:val="none"/>
          <w:lang w:val="en-US" w:eastAsia="zh-CN"/>
        </w:rPr>
        <w:t>,</w:t>
      </w:r>
      <w:r>
        <w:rPr>
          <w:rFonts w:hint="eastAsia"/>
          <w:highlight w:val="none"/>
        </w:rPr>
        <w:t>总结</w:t>
      </w:r>
      <w:r>
        <w:rPr>
          <w:rFonts w:hint="eastAsia"/>
          <w:highlight w:val="none"/>
          <w:lang w:eastAsia="zh-CN"/>
        </w:rPr>
        <w:t>城市更新单元（片区）</w:t>
      </w:r>
      <w:r>
        <w:rPr>
          <w:rFonts w:hint="eastAsia"/>
          <w:highlight w:val="none"/>
        </w:rPr>
        <w:t>的更新需求。</w:t>
      </w:r>
    </w:p>
    <w:p w14:paraId="6B2F772C">
      <w:pPr>
        <w:pStyle w:val="53"/>
        <w:rPr>
          <w:rFonts w:hint="eastAsia"/>
          <w:highlight w:val="none"/>
        </w:rPr>
      </w:pPr>
      <w:r>
        <w:rPr>
          <w:rFonts w:hint="eastAsia"/>
          <w:highlight w:val="none"/>
        </w:rPr>
        <w:t>必要性论证</w:t>
      </w:r>
    </w:p>
    <w:p w14:paraId="0B4B03DA">
      <w:pPr>
        <w:pStyle w:val="44"/>
        <w:rPr>
          <w:rFonts w:hint="eastAsia"/>
          <w:highlight w:val="none"/>
        </w:rPr>
      </w:pPr>
      <w:r>
        <w:rPr>
          <w:rFonts w:hint="eastAsia"/>
          <w:highlight w:val="none"/>
        </w:rPr>
        <w:t>根据</w:t>
      </w:r>
      <w:r>
        <w:rPr>
          <w:rFonts w:hint="eastAsia"/>
          <w:highlight w:val="none"/>
          <w:lang w:eastAsia="zh-CN"/>
        </w:rPr>
        <w:t>城市更新单元（片区）</w:t>
      </w:r>
      <w:r>
        <w:rPr>
          <w:rFonts w:hint="eastAsia"/>
          <w:highlight w:val="none"/>
        </w:rPr>
        <w:t>纳入城市更新专项规划、“十</w:t>
      </w:r>
      <w:r>
        <w:rPr>
          <w:rFonts w:hint="eastAsia"/>
          <w:highlight w:val="none"/>
          <w:lang w:val="en-US" w:eastAsia="zh-CN"/>
        </w:rPr>
        <w:t>五</w:t>
      </w:r>
      <w:r>
        <w:rPr>
          <w:rFonts w:hint="eastAsia"/>
          <w:highlight w:val="none"/>
        </w:rPr>
        <w:t>五”规划、储备项目库、年度计划的情况，结合国家或省级相关文件批示、地市州工作部署情况，以及</w:t>
      </w:r>
      <w:r>
        <w:rPr>
          <w:rFonts w:hint="eastAsia"/>
          <w:highlight w:val="none"/>
          <w:lang w:eastAsia="zh-CN"/>
        </w:rPr>
        <w:t>城市更新单元（片区）</w:t>
      </w:r>
      <w:r>
        <w:rPr>
          <w:rFonts w:hint="eastAsia"/>
          <w:highlight w:val="none"/>
        </w:rPr>
        <w:t>存在的设施短板、环境安全隐患、土地用途和建筑物使用不符合规划要求等具体情况，阐述更新改造的迫切性和必要性。</w:t>
      </w:r>
    </w:p>
    <w:p w14:paraId="3D62E9B0">
      <w:pPr>
        <w:pStyle w:val="53"/>
        <w:rPr>
          <w:rFonts w:hint="eastAsia"/>
          <w:highlight w:val="none"/>
        </w:rPr>
      </w:pPr>
      <w:r>
        <w:rPr>
          <w:rFonts w:hint="eastAsia"/>
          <w:highlight w:val="none"/>
        </w:rPr>
        <w:t>问题清单</w:t>
      </w:r>
    </w:p>
    <w:p w14:paraId="51F862E1">
      <w:pPr>
        <w:pStyle w:val="44"/>
        <w:rPr>
          <w:rFonts w:hint="eastAsia"/>
          <w:highlight w:val="none"/>
        </w:rPr>
      </w:pPr>
      <w:r>
        <w:rPr>
          <w:rFonts w:hint="eastAsia"/>
          <w:highlight w:val="none"/>
        </w:rPr>
        <w:t>通过对照</w:t>
      </w:r>
      <w:r>
        <w:rPr>
          <w:rFonts w:hint="eastAsia"/>
          <w:highlight w:val="none"/>
          <w:lang w:val="en-US" w:eastAsia="zh-CN"/>
        </w:rPr>
        <w:t>城市</w:t>
      </w:r>
      <w:r>
        <w:rPr>
          <w:rFonts w:hint="eastAsia"/>
          <w:highlight w:val="none"/>
        </w:rPr>
        <w:t>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体检的各项指标，按照定性与定量、主观与客观相结合的原则分析论证，结合国省标准、规范导则和各地平均水平，制定客观、合理的评价标准，综合评价</w:t>
      </w:r>
      <w:r>
        <w:rPr>
          <w:rFonts w:hint="eastAsia"/>
          <w:highlight w:val="none"/>
          <w:lang w:val="en-US" w:eastAsia="zh-CN"/>
        </w:rPr>
        <w:t>单元（</w:t>
      </w:r>
      <w:r>
        <w:rPr>
          <w:rFonts w:hint="eastAsia"/>
          <w:highlight w:val="none"/>
        </w:rPr>
        <w:t>片区</w:t>
      </w:r>
      <w:r>
        <w:rPr>
          <w:rFonts w:hint="eastAsia"/>
          <w:highlight w:val="none"/>
          <w:lang w:val="en-US" w:eastAsia="zh-CN"/>
        </w:rPr>
        <w:t>）</w:t>
      </w:r>
      <w:r>
        <w:rPr>
          <w:rFonts w:hint="eastAsia"/>
          <w:highlight w:val="none"/>
        </w:rPr>
        <w:t>范围内的城市人居环境质量，查找诊断土地用途、建筑使用、人口构成、公共服务设施、公共空间、产业经济、历史文化资源、道路交通和市政设施等方面的问题，形成问题清单。</w:t>
      </w:r>
    </w:p>
    <w:p w14:paraId="504EA71C">
      <w:pPr>
        <w:pStyle w:val="53"/>
        <w:rPr>
          <w:rFonts w:hint="eastAsia"/>
          <w:highlight w:val="none"/>
        </w:rPr>
      </w:pPr>
      <w:r>
        <w:rPr>
          <w:rFonts w:hint="eastAsia"/>
          <w:highlight w:val="none"/>
          <w:lang w:val="en-US" w:eastAsia="zh-CN"/>
        </w:rPr>
        <w:t>需求</w:t>
      </w:r>
      <w:r>
        <w:rPr>
          <w:rFonts w:hint="eastAsia"/>
          <w:highlight w:val="none"/>
        </w:rPr>
        <w:t>清单</w:t>
      </w:r>
    </w:p>
    <w:p w14:paraId="04E9F45F">
      <w:pPr>
        <w:pStyle w:val="44"/>
        <w:rPr>
          <w:rFonts w:hint="eastAsia"/>
          <w:highlight w:val="none"/>
        </w:rPr>
      </w:pPr>
      <w:r>
        <w:rPr>
          <w:rFonts w:hint="eastAsia"/>
          <w:highlight w:val="none"/>
          <w:lang w:val="en-US" w:eastAsia="zh-CN"/>
        </w:rPr>
        <w:t>围绕居民“住、吃、游、购、娱、医、养、创”等需求，系统梳理群众反映强烈的消费场景、公共服务、人居环境等短板，分区域、分类别建立群众需求清单；围绕企业“产、仓”等需求，系统梳理企业反映强烈的产业升级、仓储物流、配套支撑等短板，分区域、分类别建立企业需求清单。</w:t>
      </w:r>
    </w:p>
    <w:p w14:paraId="076F87C7">
      <w:pPr>
        <w:pStyle w:val="53"/>
        <w:rPr>
          <w:rFonts w:hint="eastAsia"/>
          <w:highlight w:val="none"/>
        </w:rPr>
      </w:pPr>
      <w:r>
        <w:rPr>
          <w:rFonts w:hint="eastAsia"/>
          <w:highlight w:val="none"/>
          <w:lang w:val="en-US" w:eastAsia="zh-CN"/>
        </w:rPr>
        <w:t>可利用资源</w:t>
      </w:r>
      <w:r>
        <w:rPr>
          <w:rFonts w:hint="eastAsia"/>
          <w:highlight w:val="none"/>
        </w:rPr>
        <w:t>清单</w:t>
      </w:r>
    </w:p>
    <w:p w14:paraId="1BEA5B50">
      <w:pPr>
        <w:pStyle w:val="44"/>
        <w:rPr>
          <w:rFonts w:hint="eastAsia"/>
          <w:highlight w:val="none"/>
        </w:rPr>
      </w:pPr>
      <w:r>
        <w:rPr>
          <w:rFonts w:hint="eastAsia"/>
          <w:highlight w:val="none"/>
        </w:rPr>
        <w:t>结合</w:t>
      </w:r>
      <w:r>
        <w:rPr>
          <w:rFonts w:hint="eastAsia"/>
          <w:highlight w:val="none"/>
          <w:lang w:val="en-US" w:eastAsia="zh-CN"/>
        </w:rPr>
        <w:t>城市</w:t>
      </w:r>
      <w:r>
        <w:rPr>
          <w:rFonts w:hint="eastAsia"/>
          <w:highlight w:val="none"/>
        </w:rPr>
        <w:t>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功能定位与发展目标，</w:t>
      </w:r>
      <w:r>
        <w:rPr>
          <w:rFonts w:hint="eastAsia"/>
          <w:highlight w:val="none"/>
          <w:lang w:val="en-US" w:eastAsia="zh-CN"/>
        </w:rPr>
        <w:t>全面</w:t>
      </w:r>
      <w:r>
        <w:rPr>
          <w:rFonts w:hint="eastAsia"/>
          <w:highlight w:val="none"/>
        </w:rPr>
        <w:t>梳理</w:t>
      </w:r>
      <w:r>
        <w:rPr>
          <w:rFonts w:hint="eastAsia"/>
          <w:highlight w:val="none"/>
          <w:lang w:val="en-US" w:eastAsia="zh-CN"/>
        </w:rPr>
        <w:t>城市更新单元（片区）内</w:t>
      </w:r>
      <w:r>
        <w:rPr>
          <w:rFonts w:hint="eastAsia"/>
          <w:highlight w:val="none"/>
        </w:rPr>
        <w:t>具有更新潜力的低效</w:t>
      </w:r>
      <w:r>
        <w:rPr>
          <w:rFonts w:hint="eastAsia"/>
          <w:highlight w:val="none"/>
          <w:lang w:val="en-US" w:eastAsia="zh-CN"/>
        </w:rPr>
        <w:t>土地</w:t>
      </w:r>
      <w:r>
        <w:rPr>
          <w:rFonts w:hint="eastAsia"/>
          <w:highlight w:val="none"/>
        </w:rPr>
        <w:t>、</w:t>
      </w:r>
      <w:r>
        <w:rPr>
          <w:rFonts w:hint="eastAsia"/>
          <w:highlight w:val="none"/>
          <w:lang w:val="en-US" w:eastAsia="zh-CN"/>
        </w:rPr>
        <w:t>地上</w:t>
      </w:r>
      <w:r>
        <w:rPr>
          <w:rFonts w:hint="eastAsia"/>
          <w:highlight w:val="none"/>
        </w:rPr>
        <w:t>地下空间</w:t>
      </w:r>
      <w:r>
        <w:rPr>
          <w:rFonts w:hint="eastAsia"/>
          <w:highlight w:val="none"/>
          <w:lang w:eastAsia="zh-CN"/>
        </w:rPr>
        <w:t>、</w:t>
      </w:r>
      <w:r>
        <w:rPr>
          <w:rFonts w:hint="eastAsia"/>
          <w:highlight w:val="none"/>
          <w:lang w:val="en-US" w:eastAsia="zh-CN"/>
        </w:rPr>
        <w:t>房屋等存量空间，以及可链接使用的资源，单元（片区）内可整合的政策</w:t>
      </w:r>
      <w:r>
        <w:rPr>
          <w:rFonts w:hint="eastAsia"/>
          <w:highlight w:val="none"/>
        </w:rPr>
        <w:t>，形成</w:t>
      </w:r>
      <w:r>
        <w:rPr>
          <w:rFonts w:hint="eastAsia"/>
          <w:highlight w:val="none"/>
          <w:lang w:val="en-US" w:eastAsia="zh-CN"/>
        </w:rPr>
        <w:t>可利用资源</w:t>
      </w:r>
      <w:r>
        <w:rPr>
          <w:rFonts w:hint="eastAsia"/>
          <w:highlight w:val="none"/>
        </w:rPr>
        <w:t>清单。</w:t>
      </w:r>
    </w:p>
    <w:p w14:paraId="045750DC">
      <w:pPr>
        <w:pStyle w:val="80"/>
        <w:spacing w:before="332" w:after="332"/>
        <w:rPr>
          <w:rFonts w:hint="eastAsia"/>
          <w:highlight w:val="none"/>
        </w:rPr>
      </w:pPr>
      <w:bookmarkStart w:id="34" w:name="_Toc6062"/>
      <w:r>
        <w:rPr>
          <w:rFonts w:hint="eastAsia"/>
          <w:highlight w:val="none"/>
        </w:rPr>
        <w:t>更新建议</w:t>
      </w:r>
      <w:bookmarkEnd w:id="34"/>
    </w:p>
    <w:p w14:paraId="50F94114">
      <w:pPr>
        <w:pStyle w:val="79"/>
        <w:rPr>
          <w:rFonts w:hint="eastAsia"/>
          <w:highlight w:val="none"/>
        </w:rPr>
      </w:pPr>
      <w:bookmarkStart w:id="35" w:name="_Toc30929"/>
      <w:r>
        <w:rPr>
          <w:rFonts w:hint="eastAsia"/>
          <w:highlight w:val="none"/>
        </w:rPr>
        <w:t>更新目标</w:t>
      </w:r>
      <w:bookmarkEnd w:id="35"/>
    </w:p>
    <w:p w14:paraId="2DB7A273">
      <w:pPr>
        <w:pStyle w:val="44"/>
        <w:rPr>
          <w:rFonts w:hint="eastAsia"/>
          <w:highlight w:val="none"/>
        </w:rPr>
      </w:pPr>
      <w:r>
        <w:rPr>
          <w:rFonts w:hint="eastAsia"/>
          <w:highlight w:val="none"/>
        </w:rPr>
        <w:t>落实上位规划、相关发展计划要求，结合现状评估结论，综合政策导向、市场发展、民生保障等方面需求，提出城市更新单元（片区）的更新目标、主导功能和重点更新方向的建议。</w:t>
      </w:r>
    </w:p>
    <w:p w14:paraId="7254ECE1">
      <w:pPr>
        <w:pStyle w:val="44"/>
        <w:rPr>
          <w:rFonts w:hint="eastAsia"/>
          <w:highlight w:val="none"/>
        </w:rPr>
      </w:pPr>
      <w:r>
        <w:rPr>
          <w:rFonts w:hint="eastAsia"/>
          <w:highlight w:val="none"/>
        </w:rPr>
        <w:t>鼓励策划运营工作前置，有条件的更新单元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建议联合策划、运营团队同步深化更新目标、业态类型、运营策略、前期招商等工作。</w:t>
      </w:r>
    </w:p>
    <w:p w14:paraId="43986F08">
      <w:pPr>
        <w:pStyle w:val="79"/>
        <w:rPr>
          <w:rFonts w:hint="eastAsia"/>
          <w:highlight w:val="none"/>
        </w:rPr>
      </w:pPr>
      <w:bookmarkStart w:id="36" w:name="_Toc19072"/>
      <w:r>
        <w:rPr>
          <w:rFonts w:hint="eastAsia"/>
          <w:highlight w:val="none"/>
        </w:rPr>
        <w:t>更新模式</w:t>
      </w:r>
      <w:bookmarkEnd w:id="36"/>
    </w:p>
    <w:p w14:paraId="479CBF93">
      <w:pPr>
        <w:pStyle w:val="44"/>
        <w:rPr>
          <w:rFonts w:hint="eastAsia"/>
          <w:highlight w:val="none"/>
        </w:rPr>
      </w:pPr>
      <w:r>
        <w:rPr>
          <w:rFonts w:hint="eastAsia"/>
          <w:highlight w:val="none"/>
        </w:rPr>
        <w:t>梳理更新</w:t>
      </w:r>
      <w:r>
        <w:rPr>
          <w:rFonts w:hint="eastAsia"/>
          <w:highlight w:val="none"/>
          <w:lang w:val="en-US" w:eastAsia="zh-CN"/>
        </w:rPr>
        <w:t>单元（</w:t>
      </w:r>
      <w:r>
        <w:rPr>
          <w:rFonts w:hint="eastAsia"/>
          <w:highlight w:val="none"/>
        </w:rPr>
        <w:t>片区</w:t>
      </w:r>
      <w:r>
        <w:rPr>
          <w:rFonts w:hint="eastAsia"/>
          <w:highlight w:val="none"/>
          <w:lang w:val="en-US" w:eastAsia="zh-CN"/>
        </w:rPr>
        <w:t>）</w:t>
      </w:r>
      <w:r>
        <w:rPr>
          <w:rFonts w:hint="eastAsia"/>
          <w:highlight w:val="none"/>
        </w:rPr>
        <w:t>内的现状用地、用地权属、建筑质量、建筑规模等情况，结合更新需求，分析更新片区范围拆除、改造、保留用地情况，评估更新</w:t>
      </w:r>
      <w:r>
        <w:rPr>
          <w:rFonts w:hint="eastAsia"/>
          <w:highlight w:val="none"/>
          <w:lang w:val="en-US" w:eastAsia="zh-CN"/>
        </w:rPr>
        <w:t>单元（</w:t>
      </w:r>
      <w:r>
        <w:rPr>
          <w:rFonts w:hint="eastAsia"/>
          <w:highlight w:val="none"/>
        </w:rPr>
        <w:t>片区</w:t>
      </w:r>
      <w:r>
        <w:rPr>
          <w:rFonts w:hint="eastAsia"/>
          <w:highlight w:val="none"/>
          <w:lang w:val="en-US" w:eastAsia="zh-CN"/>
        </w:rPr>
        <w:t>）</w:t>
      </w:r>
      <w:r>
        <w:rPr>
          <w:rFonts w:hint="eastAsia"/>
          <w:highlight w:val="none"/>
        </w:rPr>
        <w:t>内“留、改、拆、建、控”分类用地规模、建筑规模。</w:t>
      </w:r>
    </w:p>
    <w:p w14:paraId="71AFF649">
      <w:pPr>
        <w:pStyle w:val="79"/>
        <w:spacing w:before="166" w:after="166"/>
        <w:rPr>
          <w:highlight w:val="none"/>
        </w:rPr>
      </w:pPr>
      <w:bookmarkStart w:id="37" w:name="_Toc2654"/>
      <w:r>
        <w:rPr>
          <w:rFonts w:hint="eastAsia"/>
          <w:highlight w:val="none"/>
        </w:rPr>
        <w:t>管控指标优化建议</w:t>
      </w:r>
      <w:bookmarkEnd w:id="37"/>
    </w:p>
    <w:p w14:paraId="6B83085C">
      <w:pPr>
        <w:pStyle w:val="44"/>
        <w:rPr>
          <w:rFonts w:hint="eastAsia"/>
          <w:highlight w:val="none"/>
        </w:rPr>
      </w:pPr>
      <w:r>
        <w:rPr>
          <w:rFonts w:hint="eastAsia"/>
          <w:highlight w:val="none"/>
        </w:rPr>
        <w:t>依托评估结论，对城市更新单元（片区）可承载规模进行研判，提出城市更新单元（片区）的开发容量（总建设量）要求，并结合体检评估指标，对绿地与公共空间、公共服务设施、市政基础设施、道路交通设施、城市设计管理等方面的管控要求提出优化建议,优化建议须符合本片区法定规划的总体要求与各地相关法规和政策，尚未出台相关法规、政策的地区，具体工作指引与建议可参考附录</w:t>
      </w:r>
      <w:r>
        <w:rPr>
          <w:rFonts w:hint="eastAsia"/>
          <w:highlight w:val="none"/>
          <w:lang w:val="en-US" w:eastAsia="zh-CN"/>
        </w:rPr>
        <w:t>E</w:t>
      </w:r>
      <w:r>
        <w:rPr>
          <w:rFonts w:hint="eastAsia"/>
          <w:highlight w:val="none"/>
        </w:rPr>
        <w:t>。</w:t>
      </w:r>
    </w:p>
    <w:p w14:paraId="5D9BCE3F">
      <w:pPr>
        <w:pStyle w:val="79"/>
        <w:spacing w:before="166" w:after="166"/>
        <w:rPr>
          <w:highlight w:val="none"/>
        </w:rPr>
      </w:pPr>
      <w:bookmarkStart w:id="38" w:name="_Toc12149"/>
      <w:r>
        <w:rPr>
          <w:rFonts w:hint="eastAsia"/>
          <w:highlight w:val="none"/>
        </w:rPr>
        <w:t>法定规划协调</w:t>
      </w:r>
      <w:bookmarkEnd w:id="38"/>
    </w:p>
    <w:p w14:paraId="3A89DE62">
      <w:pPr>
        <w:pStyle w:val="44"/>
        <w:rPr>
          <w:highlight w:val="none"/>
        </w:rPr>
      </w:pPr>
      <w:r>
        <w:rPr>
          <w:rFonts w:hint="eastAsia"/>
          <w:highlight w:val="none"/>
        </w:rPr>
        <w:t>更新单元（片区）工作开展，应遵循国土空间总体规划、控制性详细规划、城市更新专项规划以及其他各类专项规划等法定规划对本区域内的管控要求。</w:t>
      </w:r>
    </w:p>
    <w:p w14:paraId="55AF1E09">
      <w:pPr>
        <w:pStyle w:val="44"/>
        <w:rPr>
          <w:highlight w:val="none"/>
        </w:rPr>
      </w:pPr>
      <w:r>
        <w:rPr>
          <w:rFonts w:hint="eastAsia"/>
          <w:highlight w:val="none"/>
        </w:rPr>
        <w:t>如因区域发展要求发生较大变化或具体实施存在瓶颈等特殊情况，确需对法定规划进行优化的，应在不破坏、缩减上位规划明确的公共利益的前提下，根据城市更新单元（片区）实际情况，对详细规划相关内容提出优化调整建议。</w:t>
      </w:r>
    </w:p>
    <w:p w14:paraId="231FA6A1">
      <w:pPr>
        <w:pStyle w:val="79"/>
        <w:spacing w:before="166" w:after="166"/>
        <w:rPr>
          <w:highlight w:val="none"/>
        </w:rPr>
      </w:pPr>
      <w:bookmarkStart w:id="39" w:name="_Toc18379"/>
      <w:r>
        <w:rPr>
          <w:rFonts w:hint="eastAsia"/>
          <w:highlight w:val="none"/>
        </w:rPr>
        <w:t>片区体检项目库</w:t>
      </w:r>
      <w:bookmarkEnd w:id="39"/>
    </w:p>
    <w:p w14:paraId="10482304">
      <w:pPr>
        <w:pStyle w:val="44"/>
        <w:rPr>
          <w:highlight w:val="none"/>
        </w:rPr>
      </w:pPr>
      <w:r>
        <w:rPr>
          <w:rFonts w:hint="eastAsia"/>
          <w:highlight w:val="none"/>
        </w:rPr>
        <w:t>依据问题清单、需求清单、可利用资源清单，综合考虑物业权利人更新诉求和居民更新意愿情况，遵循“问题—对策—项目—预期效益”的项目生成原则，按既有建筑改造、老旧小区整治改造、完整社区建设、老旧街区厂区与城中村改造、城市功能提升、基础设施建设改造、城市生态修复、历史文化保护传承等八项重点任务，分类列出城市更新单元（片区）的重点项目清单，明确项目建设内容。</w:t>
      </w:r>
    </w:p>
    <w:p w14:paraId="6FE90D80">
      <w:pPr>
        <w:pStyle w:val="79"/>
        <w:spacing w:before="166" w:after="166"/>
        <w:rPr>
          <w:highlight w:val="none"/>
        </w:rPr>
      </w:pPr>
      <w:bookmarkStart w:id="40" w:name="_Toc1767"/>
      <w:r>
        <w:rPr>
          <w:rFonts w:hint="eastAsia"/>
          <w:highlight w:val="none"/>
        </w:rPr>
        <w:t>更新效益预期</w:t>
      </w:r>
      <w:bookmarkEnd w:id="40"/>
    </w:p>
    <w:p w14:paraId="1002836C">
      <w:pPr>
        <w:pStyle w:val="44"/>
        <w:rPr>
          <w:rFonts w:hint="eastAsia"/>
          <w:highlight w:val="none"/>
        </w:rPr>
      </w:pPr>
      <w:r>
        <w:rPr>
          <w:rFonts w:hint="eastAsia"/>
          <w:highlight w:val="none"/>
        </w:rPr>
        <w:t>从城市更新单元（片区）整体层面，提出各类重点更新实施项目在社会经济发展、民生福祉保障、生态环境保育等方面的预期效益，包括城市功能、空间品质提升等定性收益和通过居住、商业等房地产开发、运营，外部产业导入与创新集群培育等产生的定量收益。</w:t>
      </w:r>
    </w:p>
    <w:p w14:paraId="6A51B893">
      <w:pPr>
        <w:pStyle w:val="79"/>
        <w:spacing w:before="166" w:after="166"/>
        <w:rPr>
          <w:highlight w:val="none"/>
        </w:rPr>
      </w:pPr>
      <w:bookmarkStart w:id="41" w:name="_Toc5223"/>
      <w:r>
        <w:rPr>
          <w:rFonts w:hint="eastAsia"/>
          <w:highlight w:val="none"/>
        </w:rPr>
        <w:t>风险控制</w:t>
      </w:r>
      <w:bookmarkEnd w:id="41"/>
    </w:p>
    <w:p w14:paraId="44FB2499">
      <w:pPr>
        <w:pStyle w:val="44"/>
        <w:rPr>
          <w:rFonts w:hint="eastAsia"/>
          <w:highlight w:val="none"/>
        </w:rPr>
      </w:pPr>
      <w:r>
        <w:rPr>
          <w:rFonts w:hint="eastAsia"/>
          <w:highlight w:val="none"/>
        </w:rPr>
        <w:t>分析和识别城市更新单元（片区）在征拆、建设、改造过程中可能存在的安全隐患和风险，充分关注建筑安全、环境安全、社会稳定等风险点，提出风险控制的对策和措施。</w:t>
      </w:r>
    </w:p>
    <w:p w14:paraId="2BCF119A">
      <w:pPr>
        <w:pStyle w:val="80"/>
        <w:spacing w:before="332" w:after="332"/>
        <w:rPr>
          <w:rFonts w:hint="eastAsia"/>
          <w:highlight w:val="none"/>
        </w:rPr>
      </w:pPr>
      <w:bookmarkStart w:id="42" w:name="_Toc8670"/>
      <w:r>
        <w:rPr>
          <w:rFonts w:hint="eastAsia"/>
          <w:color w:val="auto"/>
          <w:highlight w:val="none"/>
          <w:lang w:val="en-US" w:eastAsia="zh-CN"/>
        </w:rPr>
        <w:t>与片区策划的应用关系</w:t>
      </w:r>
      <w:bookmarkEnd w:id="42"/>
    </w:p>
    <w:p w14:paraId="567A6BD7">
      <w:pPr>
        <w:pStyle w:val="79"/>
        <w:spacing w:before="166" w:after="166"/>
        <w:ind w:left="0"/>
        <w:rPr>
          <w:highlight w:val="none"/>
        </w:rPr>
      </w:pPr>
      <w:bookmarkStart w:id="43" w:name="_Toc21572"/>
      <w:r>
        <w:rPr>
          <w:rFonts w:hint="eastAsia"/>
          <w:highlight w:val="none"/>
        </w:rPr>
        <w:t>工作流程衔接</w:t>
      </w:r>
      <w:bookmarkEnd w:id="43"/>
    </w:p>
    <w:p w14:paraId="08A4BBC6">
      <w:pPr>
        <w:pStyle w:val="44"/>
        <w:rPr>
          <w:rFonts w:hint="eastAsia"/>
          <w:highlight w:val="none"/>
        </w:rPr>
      </w:pPr>
      <w:r>
        <w:rPr>
          <w:rFonts w:hint="eastAsia"/>
          <w:highlight w:val="none"/>
        </w:rPr>
        <w:t>坚持“先体检、后更新、无体检不更新”的工作原则，城市更新单元（片区）体检评估是片区策划的重要前置工作。</w:t>
      </w:r>
    </w:p>
    <w:p w14:paraId="099672C0">
      <w:pPr>
        <w:pStyle w:val="44"/>
        <w:rPr>
          <w:highlight w:val="none"/>
        </w:rPr>
      </w:pPr>
      <w:r>
        <w:rPr>
          <w:rFonts w:hint="eastAsia"/>
          <w:highlight w:val="none"/>
        </w:rPr>
        <w:t>片区策划方案组织专家评审、报送主管部门审查时，城市更新单元（片区）体检评估报告应作为配套支撑文件一并报审。片区策划编制、报审过程中发现底数缺失、重大约束未识别，应当补充开展专项评估。</w:t>
      </w:r>
    </w:p>
    <w:p w14:paraId="7AEF6A91">
      <w:pPr>
        <w:pStyle w:val="79"/>
        <w:spacing w:before="166" w:after="166"/>
        <w:ind w:left="0"/>
        <w:rPr>
          <w:highlight w:val="none"/>
        </w:rPr>
      </w:pPr>
      <w:bookmarkStart w:id="44" w:name="_Toc30371"/>
      <w:r>
        <w:rPr>
          <w:rFonts w:hint="eastAsia"/>
          <w:highlight w:val="none"/>
        </w:rPr>
        <w:t>成果应用关系</w:t>
      </w:r>
      <w:bookmarkEnd w:id="44"/>
    </w:p>
    <w:p w14:paraId="444E3B9A">
      <w:pPr>
        <w:pStyle w:val="44"/>
        <w:rPr>
          <w:rFonts w:hint="eastAsia"/>
          <w:highlight w:val="none"/>
        </w:rPr>
      </w:pPr>
      <w:r>
        <w:rPr>
          <w:rFonts w:hint="eastAsia"/>
          <w:highlight w:val="none"/>
        </w:rPr>
        <w:t>片区策划应当依托城市更新单元（片区）体检评估开展资源识别、问题诊断、潜力研判，依托评估结论，统筹确定片区更新目标、功能结构、空间布局、配套设施统筹方案、更新项目包、实施路径与资金平衡方案。</w:t>
      </w:r>
    </w:p>
    <w:p w14:paraId="6A503596">
      <w:pPr>
        <w:pStyle w:val="44"/>
        <w:rPr>
          <w:rFonts w:hint="eastAsia"/>
          <w:highlight w:val="none"/>
        </w:rPr>
      </w:pPr>
      <w:r>
        <w:rPr>
          <w:rFonts w:hint="eastAsia"/>
          <w:highlight w:val="none"/>
        </w:rPr>
        <w:t>单元（片区）评估识别的设施缺口、用地矛盾、邻避设施布局问题、法定规划实施障碍，应当在片区策划中统筹提出空间解决方案。</w:t>
      </w:r>
    </w:p>
    <w:p w14:paraId="299983F6">
      <w:pPr>
        <w:pStyle w:val="44"/>
        <w:rPr>
          <w:rFonts w:hint="eastAsia"/>
          <w:highlight w:val="none"/>
        </w:rPr>
      </w:pPr>
      <w:r>
        <w:rPr>
          <w:rFonts w:hint="eastAsia"/>
          <w:highlight w:val="none"/>
        </w:rPr>
        <w:t>片区策划不得脱离体检评估结论凭空设定更新规模、功能布局、配套标准；策划方案应当设置专章回应体检识别的各类问题，并形成针对性更新策略。</w:t>
      </w:r>
    </w:p>
    <w:p w14:paraId="56CF5754">
      <w:pPr>
        <w:pStyle w:val="80"/>
        <w:spacing w:before="332" w:after="332"/>
        <w:rPr>
          <w:highlight w:val="none"/>
        </w:rPr>
      </w:pPr>
      <w:bookmarkStart w:id="45" w:name="_Toc17663"/>
      <w:r>
        <w:rPr>
          <w:rFonts w:hint="eastAsia"/>
          <w:highlight w:val="none"/>
        </w:rPr>
        <w:t>成果应用</w:t>
      </w:r>
      <w:bookmarkEnd w:id="45"/>
    </w:p>
    <w:p w14:paraId="0F94C82C">
      <w:pPr>
        <w:pStyle w:val="79"/>
        <w:spacing w:before="166" w:after="166"/>
        <w:rPr>
          <w:highlight w:val="none"/>
        </w:rPr>
      </w:pPr>
      <w:bookmarkStart w:id="46" w:name="_Toc21235"/>
      <w:r>
        <w:rPr>
          <w:rFonts w:hint="eastAsia"/>
          <w:highlight w:val="none"/>
        </w:rPr>
        <w:t>成果形式</w:t>
      </w:r>
      <w:bookmarkEnd w:id="46"/>
    </w:p>
    <w:p w14:paraId="705D0668">
      <w:pPr>
        <w:pStyle w:val="44"/>
        <w:rPr>
          <w:rFonts w:hint="eastAsia"/>
          <w:highlight w:val="none"/>
        </w:rPr>
      </w:pPr>
      <w:r>
        <w:rPr>
          <w:rFonts w:hint="eastAsia"/>
          <w:highlight w:val="none"/>
          <w:lang w:eastAsia="zh-CN"/>
        </w:rPr>
        <w:t>城市更新单元（片区）</w:t>
      </w:r>
      <w:r>
        <w:rPr>
          <w:rFonts w:hint="eastAsia"/>
          <w:highlight w:val="none"/>
        </w:rPr>
        <w:t>体检评估成果由体检评估报告、体检评估指标表及相关附件组成三部分组成。</w:t>
      </w:r>
    </w:p>
    <w:p w14:paraId="07E9D9AC">
      <w:pPr>
        <w:pStyle w:val="53"/>
        <w:spacing w:before="166" w:after="166"/>
        <w:rPr>
          <w:highlight w:val="none"/>
        </w:rPr>
      </w:pPr>
      <w:r>
        <w:rPr>
          <w:rFonts w:hint="eastAsia"/>
          <w:highlight w:val="none"/>
        </w:rPr>
        <w:t>体检评估报告</w:t>
      </w:r>
    </w:p>
    <w:p w14:paraId="42703AFC">
      <w:pPr>
        <w:pStyle w:val="44"/>
        <w:rPr>
          <w:highlight w:val="none"/>
        </w:rPr>
      </w:pPr>
      <w:r>
        <w:rPr>
          <w:rFonts w:hint="eastAsia"/>
          <w:highlight w:val="none"/>
        </w:rPr>
        <w:t>可包括体检背景、</w:t>
      </w:r>
      <w:r>
        <w:rPr>
          <w:rFonts w:hint="eastAsia"/>
          <w:highlight w:val="none"/>
          <w:lang w:eastAsia="zh-CN"/>
        </w:rPr>
        <w:t>城市更新单元（片区）</w:t>
      </w:r>
      <w:r>
        <w:rPr>
          <w:rFonts w:hint="eastAsia"/>
          <w:highlight w:val="none"/>
        </w:rPr>
        <w:t>概况、更新意愿调查、体检评估指标分析评价、总体分析评估、治理对策及更新建议等内容（见附</w:t>
      </w:r>
      <w:r>
        <w:rPr>
          <w:rFonts w:hint="eastAsia"/>
          <w:highlight w:val="none"/>
          <w:lang w:val="en-US" w:eastAsia="zh-CN"/>
        </w:rPr>
        <w:t>录F</w:t>
      </w:r>
      <w:r>
        <w:rPr>
          <w:rFonts w:hint="eastAsia"/>
          <w:highlight w:val="none"/>
        </w:rPr>
        <w:t>）。</w:t>
      </w:r>
    </w:p>
    <w:p w14:paraId="6B568262">
      <w:pPr>
        <w:pStyle w:val="53"/>
        <w:spacing w:before="166" w:after="166"/>
        <w:rPr>
          <w:highlight w:val="none"/>
        </w:rPr>
      </w:pPr>
      <w:r>
        <w:rPr>
          <w:rFonts w:hint="eastAsia"/>
          <w:highlight w:val="none"/>
        </w:rPr>
        <w:t>体检评估指标表</w:t>
      </w:r>
    </w:p>
    <w:p w14:paraId="6D4257B4">
      <w:pPr>
        <w:pStyle w:val="44"/>
        <w:rPr>
          <w:rFonts w:hint="eastAsia"/>
          <w:highlight w:val="none"/>
        </w:rPr>
      </w:pPr>
      <w:r>
        <w:rPr>
          <w:rFonts w:hint="eastAsia"/>
          <w:highlight w:val="none"/>
        </w:rPr>
        <w:t>包括</w:t>
      </w:r>
      <w:r>
        <w:rPr>
          <w:rFonts w:hint="eastAsia"/>
          <w:highlight w:val="none"/>
          <w:lang w:eastAsia="zh-CN"/>
        </w:rPr>
        <w:t>城市更新单元（片区）</w:t>
      </w:r>
      <w:r>
        <w:rPr>
          <w:rFonts w:hint="eastAsia"/>
          <w:highlight w:val="none"/>
        </w:rPr>
        <w:t>体检评估指标一览表。</w:t>
      </w:r>
    </w:p>
    <w:p w14:paraId="1B6F79C4">
      <w:pPr>
        <w:pStyle w:val="53"/>
        <w:spacing w:before="166" w:after="166"/>
        <w:rPr>
          <w:highlight w:val="none"/>
        </w:rPr>
      </w:pPr>
      <w:r>
        <w:rPr>
          <w:rFonts w:hint="eastAsia"/>
          <w:highlight w:val="none"/>
        </w:rPr>
        <w:t>相关附件</w:t>
      </w:r>
    </w:p>
    <w:p w14:paraId="705D9D73">
      <w:pPr>
        <w:pStyle w:val="44"/>
        <w:ind w:left="210" w:leftChars="100" w:firstLine="210" w:firstLineChars="100"/>
        <w:rPr>
          <w:rFonts w:hint="eastAsia"/>
          <w:highlight w:val="none"/>
        </w:rPr>
      </w:pPr>
      <w:r>
        <w:rPr>
          <w:rFonts w:hint="eastAsia"/>
          <w:highlight w:val="none"/>
        </w:rPr>
        <w:t>包括基础数据调查汇总表</w:t>
      </w:r>
      <w:r>
        <w:rPr>
          <w:rFonts w:hint="eastAsia"/>
          <w:highlight w:val="none"/>
          <w:lang w:eastAsia="zh-CN"/>
        </w:rPr>
        <w:t>、</w:t>
      </w:r>
      <w:r>
        <w:rPr>
          <w:rFonts w:hint="eastAsia"/>
          <w:highlight w:val="none"/>
          <w:lang w:val="en-US" w:eastAsia="zh-CN"/>
        </w:rPr>
        <w:t>必要的编制过程说明、居民意愿调查原始样本</w:t>
      </w:r>
      <w:r>
        <w:rPr>
          <w:rFonts w:hint="eastAsia"/>
          <w:highlight w:val="none"/>
        </w:rPr>
        <w:t>、更新意愿调查表</w:t>
      </w:r>
      <w:r>
        <w:rPr>
          <w:rFonts w:hint="eastAsia"/>
          <w:highlight w:val="none"/>
          <w:lang w:eastAsia="zh-CN"/>
        </w:rPr>
        <w:t>、</w:t>
      </w:r>
      <w:r>
        <w:rPr>
          <w:rFonts w:hint="eastAsia"/>
          <w:highlight w:val="none"/>
          <w:lang w:val="en-US" w:eastAsia="zh-CN"/>
        </w:rPr>
        <w:t>问题清单、需求清单、可利用资源清单、相关会议纪要</w:t>
      </w:r>
      <w:r>
        <w:rPr>
          <w:rFonts w:hint="eastAsia"/>
          <w:highlight w:val="none"/>
        </w:rPr>
        <w:t>等相关附件。</w:t>
      </w:r>
    </w:p>
    <w:p w14:paraId="05CEC362">
      <w:pPr>
        <w:pStyle w:val="79"/>
        <w:spacing w:before="166" w:after="166"/>
        <w:rPr>
          <w:highlight w:val="none"/>
        </w:rPr>
      </w:pPr>
      <w:bookmarkStart w:id="47" w:name="_Toc12716"/>
      <w:r>
        <w:rPr>
          <w:rFonts w:hint="eastAsia"/>
          <w:highlight w:val="none"/>
        </w:rPr>
        <w:t>成果应用</w:t>
      </w:r>
      <w:bookmarkEnd w:id="47"/>
    </w:p>
    <w:p w14:paraId="0DD99E7D">
      <w:pPr>
        <w:pStyle w:val="44"/>
        <w:rPr>
          <w:rFonts w:hint="eastAsia"/>
          <w:highlight w:val="none"/>
        </w:rPr>
      </w:pPr>
      <w:r>
        <w:rPr>
          <w:rFonts w:hint="eastAsia"/>
          <w:highlight w:val="none"/>
        </w:rPr>
        <w:t>通过开展</w:t>
      </w:r>
      <w:r>
        <w:rPr>
          <w:rFonts w:hint="eastAsia"/>
          <w:highlight w:val="none"/>
          <w:lang w:eastAsia="zh-CN"/>
        </w:rPr>
        <w:t>城市更新单元（片区）</w:t>
      </w:r>
      <w:r>
        <w:rPr>
          <w:rFonts w:hint="eastAsia"/>
          <w:highlight w:val="none"/>
        </w:rPr>
        <w:t>体检评估，系统分析</w:t>
      </w:r>
      <w:r>
        <w:rPr>
          <w:rFonts w:hint="eastAsia"/>
          <w:highlight w:val="none"/>
          <w:lang w:eastAsia="zh-CN"/>
        </w:rPr>
        <w:t>城市更新单元（片区）</w:t>
      </w:r>
      <w:r>
        <w:rPr>
          <w:rFonts w:hint="eastAsia"/>
          <w:highlight w:val="none"/>
        </w:rPr>
        <w:t>存在的问题和不足，合理确定下阶段</w:t>
      </w:r>
      <w:r>
        <w:rPr>
          <w:rFonts w:hint="eastAsia"/>
          <w:highlight w:val="none"/>
          <w:lang w:eastAsia="zh-CN"/>
        </w:rPr>
        <w:t>城市更新单元（片区）</w:t>
      </w:r>
      <w:r>
        <w:rPr>
          <w:rFonts w:hint="eastAsia"/>
          <w:highlight w:val="none"/>
        </w:rPr>
        <w:t>工作重点，根据</w:t>
      </w:r>
      <w:r>
        <w:rPr>
          <w:rFonts w:hint="eastAsia"/>
          <w:highlight w:val="none"/>
          <w:lang w:eastAsia="zh-CN"/>
        </w:rPr>
        <w:t>城市更新单元（片区）</w:t>
      </w:r>
      <w:r>
        <w:rPr>
          <w:rFonts w:hint="eastAsia"/>
          <w:highlight w:val="none"/>
        </w:rPr>
        <w:t>体检评估结果，编制</w:t>
      </w:r>
      <w:r>
        <w:rPr>
          <w:rFonts w:hint="eastAsia"/>
          <w:highlight w:val="none"/>
          <w:lang w:eastAsia="zh-CN"/>
        </w:rPr>
        <w:t>城市更新单元（片区）</w:t>
      </w:r>
      <w:r>
        <w:rPr>
          <w:rFonts w:hint="eastAsia"/>
          <w:highlight w:val="none"/>
        </w:rPr>
        <w:t>策划方案或</w:t>
      </w:r>
      <w:r>
        <w:rPr>
          <w:rFonts w:hint="eastAsia"/>
          <w:highlight w:val="none"/>
          <w:lang w:eastAsia="zh-CN"/>
        </w:rPr>
        <w:t>城市更新单元（片区）</w:t>
      </w:r>
      <w:r>
        <w:rPr>
          <w:rFonts w:hint="eastAsia"/>
          <w:highlight w:val="none"/>
        </w:rPr>
        <w:t>详细规划。</w:t>
      </w:r>
    </w:p>
    <w:p w14:paraId="31F32797">
      <w:pPr>
        <w:pStyle w:val="44"/>
        <w:rPr>
          <w:rFonts w:hint="eastAsia"/>
          <w:highlight w:val="none"/>
        </w:rPr>
      </w:pPr>
      <w:r>
        <w:rPr>
          <w:rFonts w:hint="eastAsia"/>
          <w:highlight w:val="none"/>
        </w:rPr>
        <w:t>结合实施城市更新行动，将单元</w:t>
      </w:r>
      <w:r>
        <w:rPr>
          <w:rFonts w:hint="eastAsia"/>
          <w:highlight w:val="none"/>
          <w:lang w:eastAsia="zh-CN"/>
        </w:rPr>
        <w:t>（</w:t>
      </w:r>
      <w:r>
        <w:rPr>
          <w:rFonts w:hint="eastAsia"/>
          <w:highlight w:val="none"/>
          <w:lang w:val="en-US" w:eastAsia="zh-CN"/>
        </w:rPr>
        <w:t>片区</w:t>
      </w:r>
      <w:r>
        <w:rPr>
          <w:rFonts w:hint="eastAsia"/>
          <w:highlight w:val="none"/>
          <w:lang w:eastAsia="zh-CN"/>
        </w:rPr>
        <w:t>）</w:t>
      </w:r>
      <w:r>
        <w:rPr>
          <w:rFonts w:hint="eastAsia"/>
          <w:highlight w:val="none"/>
        </w:rPr>
        <w:t>体检评估纳入城市更新体检数据库，建立包含多层级的</w:t>
      </w:r>
      <w:r>
        <w:rPr>
          <w:rFonts w:hint="eastAsia"/>
          <w:highlight w:val="none"/>
          <w:lang w:eastAsia="zh-CN"/>
        </w:rPr>
        <w:t>城市更新单元（片区）</w:t>
      </w:r>
      <w:r>
        <w:rPr>
          <w:rFonts w:hint="eastAsia"/>
          <w:highlight w:val="none"/>
        </w:rPr>
        <w:t>体检评估机制。通过</w:t>
      </w:r>
      <w:r>
        <w:rPr>
          <w:rFonts w:hint="eastAsia"/>
          <w:highlight w:val="none"/>
          <w:lang w:eastAsia="zh-CN"/>
        </w:rPr>
        <w:t>城市更新单元（片区）</w:t>
      </w:r>
      <w:r>
        <w:rPr>
          <w:rFonts w:hint="eastAsia"/>
          <w:highlight w:val="none"/>
        </w:rPr>
        <w:t>体检评估摸清</w:t>
      </w:r>
      <w:r>
        <w:rPr>
          <w:rFonts w:hint="eastAsia"/>
          <w:highlight w:val="none"/>
          <w:lang w:eastAsia="zh-CN"/>
        </w:rPr>
        <w:t>城市更新单元（片区）</w:t>
      </w:r>
      <w:r>
        <w:rPr>
          <w:rFonts w:hint="eastAsia"/>
          <w:highlight w:val="none"/>
        </w:rPr>
        <w:t>人口、建筑、用地情况，并与</w:t>
      </w:r>
      <w:r>
        <w:rPr>
          <w:rFonts w:hint="eastAsia"/>
          <w:highlight w:val="none"/>
          <w:lang w:eastAsia="zh-CN"/>
        </w:rPr>
        <w:t>城市更新单元（片区）</w:t>
      </w:r>
      <w:r>
        <w:rPr>
          <w:rFonts w:hint="eastAsia"/>
          <w:highlight w:val="none"/>
        </w:rPr>
        <w:t>的划定和项目的确定紧密结合，因地制宜、分类施策。</w:t>
      </w:r>
    </w:p>
    <w:p w14:paraId="0E30B304">
      <w:pPr>
        <w:pStyle w:val="44"/>
        <w:rPr>
          <w:rFonts w:hint="eastAsia"/>
          <w:highlight w:val="none"/>
        </w:rPr>
      </w:pPr>
      <w:r>
        <w:rPr>
          <w:rFonts w:hint="eastAsia"/>
          <w:highlight w:val="none"/>
        </w:rPr>
        <w:t>建立城市更新单元（片区）动态监测机制，将体检评估成果作为动态监测的基准数据，对城市更新单元（片区）实施过程中的人口变化、建筑性能、用地功能、公共服务设施、基础设施运行等关键指标进行持续跟踪监测，及时掌握更新实施进展与阶段性成效，为项目调整和资源配置提供依据。</w:t>
      </w:r>
    </w:p>
    <w:p w14:paraId="7BAEF35D">
      <w:pPr>
        <w:pStyle w:val="44"/>
        <w:rPr>
          <w:rFonts w:hint="eastAsia"/>
          <w:highlight w:val="none"/>
        </w:rPr>
      </w:pPr>
      <w:r>
        <w:rPr>
          <w:rFonts w:hint="eastAsia"/>
          <w:highlight w:val="none"/>
        </w:rPr>
        <w:t>建立城市更新单元（片区）更新效果评估机制，以体检评估指标体系为基础，对照更新目标和策划方案、详细规划确定的预期成效，对城市更新单元（片区）实施完成后的人居环境改善、功能品质提升、历史文化保护、产业活力激发、治理效能提升等方面进行综合评估，评估结果作为后续城市更新工作优化和政策完善的重要依据。</w:t>
      </w:r>
    </w:p>
    <w:p w14:paraId="3DCAB9A5">
      <w:pPr>
        <w:pStyle w:val="80"/>
        <w:spacing w:before="332" w:after="332"/>
        <w:rPr>
          <w:highlight w:val="none"/>
        </w:rPr>
      </w:pPr>
      <w:bookmarkStart w:id="48" w:name="_Toc24755"/>
      <w:r>
        <w:rPr>
          <w:rFonts w:hint="eastAsia"/>
          <w:highlight w:val="none"/>
        </w:rPr>
        <w:t>标准实施及评价</w:t>
      </w:r>
      <w:bookmarkEnd w:id="48"/>
    </w:p>
    <w:p w14:paraId="68B20D05">
      <w:pPr>
        <w:pStyle w:val="78"/>
        <w:rPr>
          <w:highlight w:val="none"/>
        </w:rPr>
      </w:pPr>
      <w:r>
        <w:rPr>
          <w:rFonts w:hint="eastAsia"/>
          <w:highlight w:val="none"/>
          <w:lang w:val="en-US" w:eastAsia="zh-CN"/>
        </w:rPr>
        <w:t>标准实施准备。结合城市更新单元（片区）体检评估</w:t>
      </w:r>
      <w:r>
        <w:rPr>
          <w:rFonts w:hint="eastAsia"/>
          <w:highlight w:val="none"/>
        </w:rPr>
        <w:t>实际，认真做好标准实施准备，包括标准实施的方案准备、组织准备、知识准备、手段准备和物质条件准备。</w:t>
      </w:r>
    </w:p>
    <w:p w14:paraId="1A4AB668">
      <w:pPr>
        <w:pStyle w:val="78"/>
        <w:rPr>
          <w:highlight w:val="none"/>
        </w:rPr>
      </w:pPr>
      <w:r>
        <w:rPr>
          <w:rFonts w:hint="eastAsia"/>
          <w:highlight w:val="none"/>
          <w:lang w:val="en-US" w:eastAsia="zh-CN"/>
        </w:rPr>
        <w:t>标准实施方案。本方案适用于湖北地区城市更新单元（片区）体检评估，从</w:t>
      </w:r>
      <w:r>
        <w:rPr>
          <w:rFonts w:hint="eastAsia"/>
          <w:highlight w:val="none"/>
        </w:rPr>
        <w:t>组织、制度、资金、人员和设备仪器等</w:t>
      </w:r>
      <w:r>
        <w:rPr>
          <w:rFonts w:hint="eastAsia"/>
          <w:highlight w:val="none"/>
          <w:lang w:val="en-US" w:eastAsia="zh-CN"/>
        </w:rPr>
        <w:t>方面</w:t>
      </w:r>
      <w:r>
        <w:rPr>
          <w:rFonts w:hint="eastAsia"/>
          <w:highlight w:val="none"/>
        </w:rPr>
        <w:t>提供实施保障</w:t>
      </w:r>
      <w:r>
        <w:rPr>
          <w:rFonts w:hint="eastAsia"/>
          <w:highlight w:val="none"/>
          <w:lang w:eastAsia="zh-CN"/>
        </w:rPr>
        <w:t>，</w:t>
      </w:r>
      <w:r>
        <w:rPr>
          <w:rFonts w:hint="eastAsia"/>
          <w:highlight w:val="none"/>
        </w:rPr>
        <w:t>明确适用对象和场景、推荐方法路径，确定资源要素配置、关键环节和控制点，提出标准实施中的注意事项。</w:t>
      </w:r>
    </w:p>
    <w:p w14:paraId="0E0D44C1">
      <w:pPr>
        <w:pStyle w:val="78"/>
        <w:rPr>
          <w:highlight w:val="none"/>
        </w:rPr>
      </w:pPr>
      <w:r>
        <w:rPr>
          <w:rFonts w:hint="eastAsia"/>
          <w:highlight w:val="none"/>
          <w:lang w:val="en-US" w:eastAsia="zh-CN"/>
        </w:rPr>
        <w:t>标准宣贯培训。</w:t>
      </w:r>
      <w:r>
        <w:rPr>
          <w:rFonts w:hint="eastAsia"/>
          <w:highlight w:val="none"/>
        </w:rPr>
        <w:t>针对相关方和具体对象/岗位进行标准宣贯和培训，结合标准要求，</w:t>
      </w:r>
      <w:r>
        <w:rPr>
          <w:rFonts w:hint="eastAsia"/>
          <w:highlight w:val="none"/>
          <w:lang w:val="en-US" w:eastAsia="zh-CN"/>
        </w:rPr>
        <w:t>明确各环节的责任人与职责边界，保障标准规范实施</w:t>
      </w:r>
      <w:r>
        <w:rPr>
          <w:rFonts w:hint="eastAsia"/>
          <w:highlight w:val="none"/>
        </w:rPr>
        <w:t>。</w:t>
      </w:r>
    </w:p>
    <w:p w14:paraId="25E300BD">
      <w:pPr>
        <w:pStyle w:val="78"/>
        <w:rPr>
          <w:highlight w:val="none"/>
        </w:rPr>
      </w:pPr>
      <w:r>
        <w:rPr>
          <w:rFonts w:hint="eastAsia"/>
          <w:highlight w:val="none"/>
        </w:rPr>
        <w:t>标准实施</w:t>
      </w:r>
      <w:r>
        <w:rPr>
          <w:rFonts w:hint="eastAsia"/>
          <w:highlight w:val="none"/>
          <w:lang w:eastAsia="zh-CN"/>
        </w:rPr>
        <w:t>。</w:t>
      </w:r>
      <w:r>
        <w:rPr>
          <w:rFonts w:hint="eastAsia"/>
          <w:highlight w:val="none"/>
          <w:lang w:val="en-US" w:eastAsia="zh-CN"/>
        </w:rPr>
        <w:t>本标准实施</w:t>
      </w:r>
      <w:r>
        <w:rPr>
          <w:rFonts w:hint="eastAsia"/>
          <w:highlight w:val="none"/>
        </w:rPr>
        <w:t>主要在工程建设、技术改造等活动中开展</w:t>
      </w:r>
      <w:r>
        <w:rPr>
          <w:rFonts w:hint="eastAsia"/>
          <w:highlight w:val="none"/>
          <w:lang w:eastAsia="zh-CN"/>
        </w:rPr>
        <w:t>，</w:t>
      </w:r>
      <w:r>
        <w:rPr>
          <w:rFonts w:hint="eastAsia"/>
          <w:highlight w:val="none"/>
          <w:lang w:val="en-US" w:eastAsia="zh-CN"/>
        </w:rPr>
        <w:t>严格</w:t>
      </w:r>
      <w:r>
        <w:rPr>
          <w:rFonts w:hint="eastAsia"/>
          <w:highlight w:val="none"/>
        </w:rPr>
        <w:t>落实国家环境保护、健康</w:t>
      </w:r>
      <w:r>
        <w:rPr>
          <w:rFonts w:hint="eastAsia"/>
          <w:highlight w:val="none"/>
          <w:lang w:val="en-US" w:eastAsia="zh-CN"/>
        </w:rPr>
        <w:t>卫生及安全生产</w:t>
      </w:r>
      <w:r>
        <w:rPr>
          <w:rFonts w:hint="eastAsia"/>
          <w:highlight w:val="none"/>
        </w:rPr>
        <w:t>要求</w:t>
      </w:r>
      <w:r>
        <w:rPr>
          <w:rFonts w:hint="eastAsia"/>
          <w:highlight w:val="none"/>
          <w:lang w:eastAsia="zh-CN"/>
        </w:rPr>
        <w:t>，</w:t>
      </w:r>
      <w:r>
        <w:rPr>
          <w:rFonts w:hint="eastAsia"/>
          <w:highlight w:val="none"/>
        </w:rPr>
        <w:t>落实国际单位制的要求</w:t>
      </w:r>
      <w:r>
        <w:rPr>
          <w:rFonts w:hint="eastAsia"/>
          <w:highlight w:val="none"/>
          <w:lang w:eastAsia="zh-CN"/>
        </w:rPr>
        <w:t>，</w:t>
      </w:r>
      <w:r>
        <w:rPr>
          <w:rFonts w:hint="eastAsia"/>
          <w:highlight w:val="none"/>
        </w:rPr>
        <w:t>落实城市更新技术体制等要求。</w:t>
      </w:r>
    </w:p>
    <w:p w14:paraId="5F7689BC">
      <w:pPr>
        <w:pStyle w:val="78"/>
        <w:rPr>
          <w:highlight w:val="none"/>
        </w:rPr>
      </w:pPr>
      <w:r>
        <w:rPr>
          <w:rFonts w:hint="eastAsia"/>
          <w:highlight w:val="none"/>
        </w:rPr>
        <w:t>标准实施检查</w:t>
      </w:r>
      <w:r>
        <w:rPr>
          <w:rFonts w:hint="eastAsia"/>
          <w:highlight w:val="none"/>
          <w:lang w:eastAsia="zh-CN"/>
        </w:rPr>
        <w:t>。</w:t>
      </w:r>
      <w:r>
        <w:rPr>
          <w:rFonts w:hint="eastAsia"/>
          <w:highlight w:val="none"/>
        </w:rPr>
        <w:t>检查标准实施</w:t>
      </w:r>
      <w:r>
        <w:rPr>
          <w:rFonts w:hint="eastAsia"/>
          <w:highlight w:val="none"/>
          <w:lang w:val="en-US" w:eastAsia="zh-CN"/>
        </w:rPr>
        <w:t>所需的人员技术配备等支持条件情况</w:t>
      </w:r>
      <w:r>
        <w:rPr>
          <w:rFonts w:hint="eastAsia"/>
          <w:highlight w:val="none"/>
        </w:rPr>
        <w:t>，逐条检查标准实施内容的落实，并记录未实施内容的理由或原因。</w:t>
      </w:r>
      <w:r>
        <w:rPr>
          <w:rFonts w:hint="eastAsia"/>
          <w:highlight w:val="none"/>
          <w:lang w:val="en-US" w:eastAsia="zh-CN"/>
        </w:rPr>
        <w:t>做好标准实施验证记录，畅通标准实施信息采集的方式方法和反馈渠道，定期整理并处理收集到的意见建议</w:t>
      </w:r>
      <w:r>
        <w:rPr>
          <w:rFonts w:hint="eastAsia"/>
          <w:highlight w:val="none"/>
        </w:rPr>
        <w:t>。</w:t>
      </w:r>
    </w:p>
    <w:p w14:paraId="44B5569D">
      <w:pPr>
        <w:pStyle w:val="78"/>
        <w:rPr>
          <w:highlight w:val="none"/>
        </w:rPr>
      </w:pPr>
      <w:r>
        <w:rPr>
          <w:rFonts w:hint="eastAsia"/>
          <w:highlight w:val="none"/>
          <w:lang w:val="en-US" w:eastAsia="zh-CN"/>
        </w:rPr>
        <w:t>标准实施评价。</w:t>
      </w:r>
      <w:r>
        <w:rPr>
          <w:rFonts w:hint="eastAsia"/>
          <w:highlight w:val="none"/>
        </w:rPr>
        <w:t>在标准实施</w:t>
      </w:r>
      <w:r>
        <w:rPr>
          <w:rFonts w:hint="eastAsia"/>
          <w:highlight w:val="none"/>
          <w:lang w:val="en-US" w:eastAsia="zh-CN"/>
        </w:rPr>
        <w:t>一定时间</w:t>
      </w:r>
      <w:r>
        <w:rPr>
          <w:rFonts w:hint="eastAsia"/>
          <w:highlight w:val="none"/>
        </w:rPr>
        <w:t>后，对照标准实施方案，开展标准实施效果评价分析，总结实施经验成效，梳理存在的薄弱环节，标准实施的评价主要是评价标准实施的效果，主要从技术进步、质量水平提高、客户满意度、规范秩序、效率提高、节约费用、节省时间、履行社会责任等方面进行有益性评价，同时还要评价标准实施带来的问题，以便为未来改进提供参考。</w:t>
      </w:r>
    </w:p>
    <w:p w14:paraId="66F91856">
      <w:pPr>
        <w:pStyle w:val="78"/>
        <w:rPr>
          <w:highlight w:val="none"/>
        </w:rPr>
      </w:pPr>
      <w:r>
        <w:rPr>
          <w:rFonts w:hint="eastAsia"/>
          <w:highlight w:val="none"/>
          <w:lang w:val="en-US" w:eastAsia="zh-CN"/>
        </w:rPr>
        <w:t>标准修订。</w:t>
      </w:r>
      <w:r>
        <w:rPr>
          <w:rFonts w:hint="eastAsia"/>
          <w:highlight w:val="none"/>
        </w:rPr>
        <w:t>适时向专业标准化技术委员会和标准归口管理单位反馈情况，提出标准推广、修改、补充、完善或者废止等意见建议。</w:t>
      </w:r>
    </w:p>
    <w:p w14:paraId="2F6B6C9F">
      <w:pPr>
        <w:pStyle w:val="78"/>
        <w:rPr>
          <w:highlight w:val="none"/>
        </w:rPr>
      </w:pPr>
      <w:r>
        <w:rPr>
          <w:rFonts w:hint="eastAsia"/>
          <w:highlight w:val="none"/>
        </w:rPr>
        <w:t>标准实施信息及意见反馈表见附录</w:t>
      </w:r>
      <w:r>
        <w:rPr>
          <w:rFonts w:hint="eastAsia"/>
          <w:highlight w:val="none"/>
          <w:lang w:val="en-US" w:eastAsia="zh-CN"/>
        </w:rPr>
        <w:t>G</w:t>
      </w:r>
      <w:r>
        <w:rPr>
          <w:rFonts w:hint="eastAsia"/>
          <w:highlight w:val="none"/>
        </w:rPr>
        <w:t>。</w:t>
      </w:r>
    </w:p>
    <w:p w14:paraId="05101E8B">
      <w:pPr>
        <w:pStyle w:val="44"/>
        <w:rPr>
          <w:highlight w:val="none"/>
        </w:rPr>
      </w:pPr>
    </w:p>
    <w:p w14:paraId="6155E338">
      <w:pPr>
        <w:pStyle w:val="80"/>
        <w:spacing w:before="332" w:after="332"/>
        <w:rPr>
          <w:highlight w:val="none"/>
        </w:rPr>
        <w:sectPr>
          <w:headerReference r:id="rId17" w:type="first"/>
          <w:footerReference r:id="rId20" w:type="first"/>
          <w:headerReference r:id="rId15" w:type="default"/>
          <w:footerReference r:id="rId18" w:type="default"/>
          <w:headerReference r:id="rId16" w:type="even"/>
          <w:footerReference r:id="rId19" w:type="even"/>
          <w:pgSz w:w="11906" w:h="16838"/>
          <w:pgMar w:top="1928" w:right="1134" w:bottom="1134" w:left="1134" w:header="1417" w:footer="1134" w:gutter="0"/>
          <w:pgNumType w:start="1"/>
          <w:cols w:space="720" w:num="1"/>
          <w:titlePg/>
          <w:docGrid w:type="lines" w:linePitch="332" w:charSpace="0"/>
        </w:sectPr>
      </w:pPr>
    </w:p>
    <w:p w14:paraId="00DD0D89">
      <w:pPr>
        <w:pStyle w:val="221"/>
        <w:rPr>
          <w:highlight w:val="none"/>
        </w:rPr>
      </w:pPr>
    </w:p>
    <w:p w14:paraId="33C0617D">
      <w:pPr>
        <w:pStyle w:val="239"/>
        <w:numPr>
          <w:ilvl w:val="0"/>
          <w:numId w:val="0"/>
        </w:numPr>
        <w:ind w:left="425" w:leftChars="0" w:firstLine="0" w:firstLineChars="0"/>
        <w:rPr>
          <w:highlight w:val="none"/>
        </w:rPr>
      </w:pPr>
      <w:r>
        <w:rPr>
          <w:rFonts w:hint="eastAsia" w:ascii="宋体" w:hAnsi="Times New Roman" w:eastAsia="黑体" w:cs="Times New Roman"/>
          <w:vanish/>
          <w:sz w:val="2"/>
          <w:highlight w:val="none"/>
          <w:lang w:val="en-US" w:eastAsia="zh-CN" w:bidi="ar-SA"/>
        </w:rPr>
        <w:t>A</w:t>
      </w:r>
    </w:p>
    <w:p w14:paraId="2B8C8EE8">
      <w:pPr>
        <w:pStyle w:val="196"/>
        <w:spacing w:before="83" w:after="166"/>
        <w:rPr>
          <w:highlight w:val="none"/>
        </w:rPr>
      </w:pPr>
      <w:bookmarkStart w:id="49" w:name="_Toc6483"/>
      <w:bookmarkEnd w:id="49"/>
    </w:p>
    <w:p w14:paraId="658C9EF3">
      <w:pPr>
        <w:pStyle w:val="196"/>
        <w:numPr>
          <w:ilvl w:val="0"/>
          <w:numId w:val="0"/>
        </w:numPr>
        <w:spacing w:before="83" w:after="166"/>
        <w:ind w:leftChars="0"/>
        <w:jc w:val="center"/>
        <w:rPr>
          <w:highlight w:val="none"/>
        </w:rPr>
      </w:pPr>
      <w:bookmarkStart w:id="50" w:name="_Toc30905"/>
      <w:r>
        <w:rPr>
          <w:rFonts w:hint="eastAsia"/>
          <w:highlight w:val="none"/>
        </w:rPr>
        <w:t>（资料性）</w:t>
      </w:r>
      <w:r>
        <w:rPr>
          <w:highlight w:val="none"/>
        </w:rPr>
        <w:br w:type="textWrapping"/>
      </w:r>
      <w:r>
        <w:rPr>
          <w:rFonts w:hint="eastAsia"/>
          <w:highlight w:val="none"/>
          <w:lang w:eastAsia="zh-CN"/>
        </w:rPr>
        <w:t>城市更新单元（片区）</w:t>
      </w:r>
      <w:r>
        <w:rPr>
          <w:rFonts w:hint="eastAsia"/>
          <w:highlight w:val="none"/>
        </w:rPr>
        <w:t>体检评估基础数据调查内容汇总表</w:t>
      </w:r>
      <w:bookmarkEnd w:id="50"/>
    </w:p>
    <w:p w14:paraId="2814A21D">
      <w:pPr>
        <w:ind w:firstLine="420" w:firstLineChars="200"/>
        <w:rPr>
          <w:rFonts w:hint="eastAsia"/>
          <w:highlight w:val="none"/>
        </w:rPr>
      </w:pPr>
      <w:r>
        <w:rPr>
          <w:rFonts w:hint="eastAsia"/>
          <w:highlight w:val="none"/>
          <w:lang w:eastAsia="zh-CN"/>
        </w:rPr>
        <w:t>城市更新单元（片区）</w:t>
      </w:r>
      <w:r>
        <w:rPr>
          <w:rFonts w:hint="eastAsia"/>
          <w:highlight w:val="none"/>
        </w:rPr>
        <w:t>体检评估基础数据调查内容汇总表如表A.1所示。</w:t>
      </w:r>
    </w:p>
    <w:p w14:paraId="26679C26">
      <w:pPr>
        <w:jc w:val="center"/>
        <w:rPr>
          <w:rFonts w:hint="eastAsia" w:ascii="黑体" w:hAnsi="Times New Roman" w:eastAsia="黑体" w:cs="Times New Roman"/>
          <w:kern w:val="0"/>
          <w:sz w:val="21"/>
          <w:szCs w:val="13"/>
          <w:highlight w:val="none"/>
          <w:lang w:val="en-US" w:eastAsia="zh-CN" w:bidi="ar-SA"/>
        </w:rPr>
      </w:pPr>
      <w:r>
        <w:rPr>
          <w:rFonts w:hint="eastAsia" w:ascii="黑体" w:hAnsi="Times New Roman" w:eastAsia="黑体" w:cs="Times New Roman"/>
          <w:kern w:val="0"/>
          <w:sz w:val="21"/>
          <w:szCs w:val="13"/>
          <w:highlight w:val="none"/>
          <w:lang w:val="en-US" w:eastAsia="zh-CN" w:bidi="ar-SA"/>
        </w:rPr>
        <w:t>表A.1 城市更新单元（片区）体检评估基础数据调查内容汇总表</w:t>
      </w:r>
    </w:p>
    <w:tbl>
      <w:tblPr>
        <w:tblStyle w:val="32"/>
        <w:tblpPr w:leftFromText="180" w:rightFromText="180" w:vertAnchor="text" w:horzAnchor="page" w:tblpXSpec="center" w:tblpY="433"/>
        <w:tblOverlap w:val="never"/>
        <w:tblW w:w="0" w:type="auto"/>
        <w:jc w:val="center"/>
        <w:tblLayout w:type="fixed"/>
        <w:tblCellMar>
          <w:top w:w="0" w:type="dxa"/>
          <w:left w:w="108" w:type="dxa"/>
          <w:bottom w:w="0" w:type="dxa"/>
          <w:right w:w="108" w:type="dxa"/>
        </w:tblCellMar>
      </w:tblPr>
      <w:tblGrid>
        <w:gridCol w:w="1341"/>
        <w:gridCol w:w="1800"/>
        <w:gridCol w:w="6315"/>
      </w:tblGrid>
      <w:tr w14:paraId="092EBB45">
        <w:tblPrEx>
          <w:tblCellMar>
            <w:top w:w="0" w:type="dxa"/>
            <w:left w:w="108" w:type="dxa"/>
            <w:bottom w:w="0" w:type="dxa"/>
            <w:right w:w="108" w:type="dxa"/>
          </w:tblCellMar>
        </w:tblPrEx>
        <w:trPr>
          <w:trHeight w:val="20" w:hRule="atLeast"/>
          <w:tblHeader/>
          <w:jc w:val="center"/>
        </w:trPr>
        <w:tc>
          <w:tcPr>
            <w:tcW w:w="13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6E32C2">
            <w:pPr>
              <w:spacing w:line="240" w:lineRule="auto"/>
              <w:jc w:val="both"/>
              <w:rPr>
                <w:rFonts w:hint="default" w:ascii="宋体" w:hAnsi="宋体"/>
                <w:sz w:val="18"/>
                <w:szCs w:val="18"/>
                <w:highlight w:val="none"/>
                <w:lang w:val="en-US" w:eastAsia="zh-CN"/>
              </w:rPr>
            </w:pPr>
            <w:r>
              <w:rPr>
                <w:rFonts w:hint="eastAsia" w:ascii="宋体" w:hAnsi="宋体"/>
                <w:sz w:val="18"/>
                <w:szCs w:val="18"/>
                <w:highlight w:val="none"/>
                <w:lang w:val="en-US" w:eastAsia="zh-CN"/>
              </w:rPr>
              <w:t>调查分类</w:t>
            </w:r>
          </w:p>
        </w:tc>
        <w:tc>
          <w:tcPr>
            <w:tcW w:w="1800" w:type="dxa"/>
            <w:tcBorders>
              <w:top w:val="single" w:color="auto" w:sz="4" w:space="0"/>
              <w:left w:val="nil"/>
              <w:bottom w:val="single" w:color="auto" w:sz="4" w:space="0"/>
              <w:right w:val="single" w:color="auto" w:sz="4" w:space="0"/>
            </w:tcBorders>
            <w:shd w:val="clear" w:color="auto" w:fill="auto"/>
            <w:noWrap/>
            <w:vAlign w:val="center"/>
          </w:tcPr>
          <w:p w14:paraId="14E7E40D">
            <w:pPr>
              <w:spacing w:line="240" w:lineRule="auto"/>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调查分项</w:t>
            </w:r>
          </w:p>
        </w:tc>
        <w:tc>
          <w:tcPr>
            <w:tcW w:w="6315" w:type="dxa"/>
            <w:tcBorders>
              <w:top w:val="single" w:color="auto" w:sz="4" w:space="0"/>
              <w:left w:val="nil"/>
              <w:bottom w:val="single" w:color="auto" w:sz="4" w:space="0"/>
              <w:right w:val="single" w:color="auto" w:sz="4" w:space="0"/>
            </w:tcBorders>
            <w:shd w:val="clear" w:color="auto" w:fill="auto"/>
            <w:noWrap/>
            <w:vAlign w:val="center"/>
          </w:tcPr>
          <w:p w14:paraId="6A342DB6">
            <w:pPr>
              <w:spacing w:line="240" w:lineRule="auto"/>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调查要素</w:t>
            </w:r>
          </w:p>
        </w:tc>
      </w:tr>
      <w:tr w14:paraId="41E02FAF">
        <w:tblPrEx>
          <w:tblCellMar>
            <w:top w:w="0" w:type="dxa"/>
            <w:left w:w="108" w:type="dxa"/>
            <w:bottom w:w="0" w:type="dxa"/>
            <w:right w:w="108" w:type="dxa"/>
          </w:tblCellMar>
        </w:tblPrEx>
        <w:trPr>
          <w:trHeight w:val="2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6E773324">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基础地理信息</w:t>
            </w:r>
          </w:p>
        </w:tc>
        <w:tc>
          <w:tcPr>
            <w:tcW w:w="1800" w:type="dxa"/>
            <w:tcBorders>
              <w:top w:val="nil"/>
              <w:left w:val="nil"/>
              <w:bottom w:val="single" w:color="auto" w:sz="4" w:space="0"/>
              <w:right w:val="single" w:color="auto" w:sz="4" w:space="0"/>
            </w:tcBorders>
            <w:shd w:val="clear" w:color="auto" w:fill="auto"/>
            <w:noWrap/>
            <w:vAlign w:val="center"/>
          </w:tcPr>
          <w:p w14:paraId="62C6FAD7">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地形图</w:t>
            </w:r>
          </w:p>
        </w:tc>
        <w:tc>
          <w:tcPr>
            <w:tcW w:w="6315" w:type="dxa"/>
            <w:tcBorders>
              <w:top w:val="nil"/>
              <w:left w:val="nil"/>
              <w:bottom w:val="single" w:color="auto" w:sz="4" w:space="0"/>
              <w:right w:val="single" w:color="auto" w:sz="4" w:space="0"/>
            </w:tcBorders>
            <w:shd w:val="clear" w:color="auto" w:fill="auto"/>
            <w:noWrap/>
            <w:vAlign w:val="center"/>
          </w:tcPr>
          <w:p w14:paraId="76482FC7">
            <w:pPr>
              <w:spacing w:line="240" w:lineRule="auto"/>
              <w:jc w:val="left"/>
              <w:rPr>
                <w:rFonts w:ascii="宋体" w:hAnsi="宋体"/>
                <w:color w:val="auto"/>
                <w:sz w:val="18"/>
                <w:szCs w:val="18"/>
                <w:highlight w:val="none"/>
              </w:rPr>
            </w:pPr>
            <w:r>
              <w:rPr>
                <w:rFonts w:hint="eastAsia" w:ascii="宋体" w:hAnsi="宋体"/>
                <w:color w:val="auto"/>
                <w:sz w:val="18"/>
                <w:szCs w:val="18"/>
                <w:highlight w:val="none"/>
              </w:rPr>
              <w:t>线划地形图</w:t>
            </w:r>
          </w:p>
        </w:tc>
      </w:tr>
      <w:tr w14:paraId="47C7225C">
        <w:tblPrEx>
          <w:tblCellMar>
            <w:top w:w="0" w:type="dxa"/>
            <w:left w:w="108" w:type="dxa"/>
            <w:bottom w:w="0" w:type="dxa"/>
            <w:right w:w="108" w:type="dxa"/>
          </w:tblCellMar>
        </w:tblPrEx>
        <w:trPr>
          <w:trHeight w:val="90" w:hRule="atLeast"/>
          <w:jc w:val="center"/>
        </w:trPr>
        <w:tc>
          <w:tcPr>
            <w:tcW w:w="1341" w:type="dxa"/>
            <w:vMerge w:val="continue"/>
            <w:tcBorders>
              <w:left w:val="single" w:color="auto" w:sz="4" w:space="0"/>
              <w:right w:val="single" w:color="auto" w:sz="4" w:space="0"/>
            </w:tcBorders>
            <w:shd w:val="clear" w:color="auto" w:fill="auto"/>
            <w:noWrap/>
            <w:vAlign w:val="center"/>
          </w:tcPr>
          <w:p w14:paraId="40818529">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228CE4CB">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影像图</w:t>
            </w:r>
          </w:p>
        </w:tc>
        <w:tc>
          <w:tcPr>
            <w:tcW w:w="6315" w:type="dxa"/>
            <w:tcBorders>
              <w:top w:val="nil"/>
              <w:left w:val="nil"/>
              <w:bottom w:val="single" w:color="auto" w:sz="4" w:space="0"/>
              <w:right w:val="single" w:color="auto" w:sz="4" w:space="0"/>
            </w:tcBorders>
            <w:shd w:val="clear" w:color="auto" w:fill="auto"/>
            <w:noWrap/>
            <w:vAlign w:val="center"/>
          </w:tcPr>
          <w:p w14:paraId="2254EACA">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高分辨率遥感影像图、三维倾斜摄影</w:t>
            </w:r>
          </w:p>
        </w:tc>
      </w:tr>
      <w:tr w14:paraId="0849BC7A">
        <w:tblPrEx>
          <w:tblCellMar>
            <w:top w:w="0" w:type="dxa"/>
            <w:left w:w="108" w:type="dxa"/>
            <w:bottom w:w="0" w:type="dxa"/>
            <w:right w:w="108" w:type="dxa"/>
          </w:tblCellMar>
        </w:tblPrEx>
        <w:trPr>
          <w:trHeight w:val="9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77ADD413">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515ABEF0">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城市数字底座</w:t>
            </w:r>
          </w:p>
        </w:tc>
        <w:tc>
          <w:tcPr>
            <w:tcW w:w="6315" w:type="dxa"/>
            <w:tcBorders>
              <w:top w:val="nil"/>
              <w:left w:val="nil"/>
              <w:bottom w:val="single" w:color="auto" w:sz="4" w:space="0"/>
              <w:right w:val="single" w:color="auto" w:sz="4" w:space="0"/>
            </w:tcBorders>
            <w:shd w:val="clear" w:color="auto" w:fill="auto"/>
            <w:noWrap/>
            <w:vAlign w:val="center"/>
          </w:tcPr>
          <w:p w14:paraId="2AD5F7BD">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“一标三实”数据</w:t>
            </w:r>
          </w:p>
        </w:tc>
      </w:tr>
      <w:tr w14:paraId="57CEA2DE">
        <w:tblPrEx>
          <w:tblCellMar>
            <w:top w:w="0" w:type="dxa"/>
            <w:left w:w="108" w:type="dxa"/>
            <w:bottom w:w="0" w:type="dxa"/>
            <w:right w:w="108" w:type="dxa"/>
          </w:tblCellMar>
        </w:tblPrEx>
        <w:trPr>
          <w:trHeight w:val="2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2FC33B5E">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土地与规划</w:t>
            </w:r>
          </w:p>
        </w:tc>
        <w:tc>
          <w:tcPr>
            <w:tcW w:w="1800" w:type="dxa"/>
            <w:tcBorders>
              <w:top w:val="nil"/>
              <w:left w:val="nil"/>
              <w:bottom w:val="single" w:color="auto" w:sz="4" w:space="0"/>
              <w:right w:val="single" w:color="auto" w:sz="4" w:space="0"/>
            </w:tcBorders>
            <w:shd w:val="clear" w:color="auto" w:fill="auto"/>
            <w:noWrap/>
            <w:vAlign w:val="center"/>
          </w:tcPr>
          <w:p w14:paraId="5852597F">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范围边界</w:t>
            </w:r>
          </w:p>
        </w:tc>
        <w:tc>
          <w:tcPr>
            <w:tcW w:w="6315" w:type="dxa"/>
            <w:tcBorders>
              <w:top w:val="nil"/>
              <w:left w:val="nil"/>
              <w:bottom w:val="single" w:color="auto" w:sz="4" w:space="0"/>
              <w:right w:val="single" w:color="auto" w:sz="4" w:space="0"/>
            </w:tcBorders>
            <w:shd w:val="clear" w:color="auto" w:fill="auto"/>
            <w:noWrap/>
            <w:vAlign w:val="center"/>
          </w:tcPr>
          <w:p w14:paraId="559435D7">
            <w:pPr>
              <w:spacing w:line="240" w:lineRule="auto"/>
              <w:jc w:val="left"/>
              <w:rPr>
                <w:rFonts w:ascii="宋体" w:hAnsi="宋体"/>
                <w:color w:val="auto"/>
                <w:sz w:val="18"/>
                <w:szCs w:val="18"/>
                <w:highlight w:val="none"/>
              </w:rPr>
            </w:pPr>
            <w:r>
              <w:rPr>
                <w:rFonts w:hint="eastAsia" w:ascii="宋体" w:hAnsi="宋体"/>
                <w:color w:val="auto"/>
                <w:sz w:val="18"/>
                <w:szCs w:val="18"/>
                <w:highlight w:val="none"/>
              </w:rPr>
              <w:t>城市更新单元（片区）范围界线</w:t>
            </w:r>
            <w:r>
              <w:rPr>
                <w:rFonts w:hint="eastAsia" w:ascii="宋体" w:hAnsi="宋体"/>
                <w:color w:val="auto"/>
                <w:sz w:val="18"/>
                <w:szCs w:val="18"/>
                <w:highlight w:val="none"/>
                <w:lang w:eastAsia="zh-CN"/>
              </w:rPr>
              <w:t>、</w:t>
            </w:r>
            <w:r>
              <w:rPr>
                <w:rFonts w:hint="eastAsia" w:ascii="宋体" w:hAnsi="宋体"/>
                <w:color w:val="auto"/>
                <w:sz w:val="18"/>
                <w:szCs w:val="18"/>
                <w:highlight w:val="none"/>
              </w:rPr>
              <w:t>县（市、区）行政界线</w:t>
            </w:r>
            <w:r>
              <w:rPr>
                <w:rFonts w:hint="eastAsia" w:ascii="宋体" w:hAnsi="宋体"/>
                <w:color w:val="auto"/>
                <w:sz w:val="18"/>
                <w:szCs w:val="18"/>
                <w:highlight w:val="none"/>
                <w:lang w:eastAsia="zh-CN"/>
              </w:rPr>
              <w:t>、</w:t>
            </w:r>
            <w:r>
              <w:rPr>
                <w:rFonts w:hint="eastAsia" w:ascii="宋体" w:hAnsi="宋体"/>
                <w:color w:val="auto"/>
                <w:sz w:val="18"/>
                <w:szCs w:val="18"/>
                <w:highlight w:val="none"/>
              </w:rPr>
              <w:t>乡镇（街道）行政界线</w:t>
            </w:r>
            <w:r>
              <w:rPr>
                <w:rFonts w:hint="eastAsia" w:ascii="宋体" w:hAnsi="宋体"/>
                <w:color w:val="auto"/>
                <w:sz w:val="18"/>
                <w:szCs w:val="18"/>
                <w:highlight w:val="none"/>
                <w:lang w:eastAsia="zh-CN"/>
              </w:rPr>
              <w:t>、</w:t>
            </w:r>
            <w:r>
              <w:rPr>
                <w:rFonts w:hint="eastAsia" w:ascii="宋体" w:hAnsi="宋体"/>
                <w:color w:val="auto"/>
                <w:sz w:val="18"/>
                <w:szCs w:val="18"/>
                <w:highlight w:val="none"/>
              </w:rPr>
              <w:t>社区管理范围界线</w:t>
            </w:r>
            <w:r>
              <w:rPr>
                <w:rFonts w:hint="eastAsia" w:ascii="宋体" w:hAnsi="宋体"/>
                <w:color w:val="auto"/>
                <w:sz w:val="18"/>
                <w:szCs w:val="18"/>
                <w:highlight w:val="none"/>
                <w:lang w:eastAsia="zh-CN"/>
              </w:rPr>
              <w:t>、</w:t>
            </w:r>
            <w:r>
              <w:rPr>
                <w:rFonts w:hint="eastAsia" w:ascii="宋体" w:hAnsi="宋体"/>
                <w:color w:val="auto"/>
                <w:sz w:val="18"/>
                <w:szCs w:val="18"/>
                <w:highlight w:val="none"/>
              </w:rPr>
              <w:t>网格管理范围</w:t>
            </w:r>
          </w:p>
        </w:tc>
      </w:tr>
      <w:tr w14:paraId="5FD884A0">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0D09C08B">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586F517C">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相关规划信息</w:t>
            </w:r>
          </w:p>
        </w:tc>
        <w:tc>
          <w:tcPr>
            <w:tcW w:w="6315" w:type="dxa"/>
            <w:tcBorders>
              <w:top w:val="nil"/>
              <w:left w:val="nil"/>
              <w:bottom w:val="single" w:color="auto" w:sz="4" w:space="0"/>
              <w:right w:val="single" w:color="auto" w:sz="4" w:space="0"/>
            </w:tcBorders>
            <w:shd w:val="clear" w:color="auto" w:fill="auto"/>
            <w:noWrap/>
            <w:vAlign w:val="center"/>
          </w:tcPr>
          <w:p w14:paraId="205A36AF">
            <w:pPr>
              <w:spacing w:line="240" w:lineRule="auto"/>
              <w:jc w:val="left"/>
              <w:rPr>
                <w:rFonts w:ascii="宋体" w:hAnsi="宋体"/>
                <w:color w:val="auto"/>
                <w:sz w:val="18"/>
                <w:szCs w:val="18"/>
                <w:highlight w:val="none"/>
              </w:rPr>
            </w:pPr>
            <w:r>
              <w:rPr>
                <w:rFonts w:hint="eastAsia" w:ascii="宋体" w:hAnsi="宋体"/>
                <w:color w:val="auto"/>
                <w:sz w:val="18"/>
                <w:szCs w:val="18"/>
                <w:highlight w:val="none"/>
              </w:rPr>
              <w:t>国土空间总体规划（含三区三线）</w:t>
            </w:r>
            <w:r>
              <w:rPr>
                <w:rFonts w:hint="eastAsia" w:ascii="宋体" w:hAnsi="宋体"/>
                <w:color w:val="auto"/>
                <w:sz w:val="18"/>
                <w:szCs w:val="18"/>
                <w:highlight w:val="none"/>
                <w:lang w:eastAsia="zh-CN"/>
              </w:rPr>
              <w:t>、</w:t>
            </w:r>
            <w:r>
              <w:rPr>
                <w:rFonts w:hint="eastAsia" w:ascii="宋体" w:hAnsi="宋体"/>
                <w:color w:val="auto"/>
                <w:sz w:val="18"/>
                <w:szCs w:val="18"/>
                <w:highlight w:val="none"/>
              </w:rPr>
              <w:t>国土空间详细规划</w:t>
            </w:r>
            <w:r>
              <w:rPr>
                <w:rFonts w:hint="eastAsia" w:ascii="宋体" w:hAnsi="宋体"/>
                <w:color w:val="auto"/>
                <w:sz w:val="18"/>
                <w:szCs w:val="18"/>
                <w:highlight w:val="none"/>
                <w:lang w:eastAsia="zh-CN"/>
              </w:rPr>
              <w:t>、</w:t>
            </w:r>
            <w:r>
              <w:rPr>
                <w:rFonts w:hint="eastAsia" w:ascii="宋体" w:hAnsi="宋体"/>
                <w:color w:val="auto"/>
                <w:sz w:val="18"/>
                <w:szCs w:val="18"/>
                <w:highlight w:val="none"/>
              </w:rPr>
              <w:t>国民经济和社会发展规划</w:t>
            </w:r>
            <w:r>
              <w:rPr>
                <w:rFonts w:hint="eastAsia" w:ascii="宋体" w:hAnsi="宋体"/>
                <w:color w:val="auto"/>
                <w:sz w:val="18"/>
                <w:szCs w:val="18"/>
                <w:highlight w:val="none"/>
                <w:lang w:eastAsia="zh-CN"/>
              </w:rPr>
              <w:t>、</w:t>
            </w:r>
            <w:r>
              <w:rPr>
                <w:rFonts w:hint="eastAsia" w:ascii="宋体" w:hAnsi="宋体"/>
                <w:color w:val="auto"/>
                <w:sz w:val="18"/>
                <w:szCs w:val="18"/>
                <w:highlight w:val="none"/>
              </w:rPr>
              <w:t>城市更新专项规划</w:t>
            </w:r>
            <w:r>
              <w:rPr>
                <w:rFonts w:hint="eastAsia" w:ascii="宋体" w:hAnsi="宋体"/>
                <w:color w:val="auto"/>
                <w:sz w:val="18"/>
                <w:szCs w:val="18"/>
                <w:highlight w:val="none"/>
                <w:lang w:eastAsia="zh-CN"/>
              </w:rPr>
              <w:t>、</w:t>
            </w:r>
            <w:r>
              <w:rPr>
                <w:rFonts w:hint="eastAsia" w:ascii="宋体" w:hAnsi="宋体"/>
                <w:color w:val="auto"/>
                <w:sz w:val="18"/>
                <w:szCs w:val="18"/>
                <w:highlight w:val="none"/>
              </w:rPr>
              <w:t>城市更新单元（片区）相关概念规划方案</w:t>
            </w:r>
          </w:p>
        </w:tc>
      </w:tr>
      <w:tr w14:paraId="458561C1">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623D5EC7">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31BB804D">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土地基本情况</w:t>
            </w:r>
          </w:p>
        </w:tc>
        <w:tc>
          <w:tcPr>
            <w:tcW w:w="6315" w:type="dxa"/>
            <w:tcBorders>
              <w:top w:val="nil"/>
              <w:left w:val="nil"/>
              <w:bottom w:val="single" w:color="auto" w:sz="4" w:space="0"/>
              <w:right w:val="single" w:color="auto" w:sz="4" w:space="0"/>
            </w:tcBorders>
            <w:shd w:val="clear" w:color="auto" w:fill="auto"/>
            <w:noWrap/>
            <w:vAlign w:val="center"/>
          </w:tcPr>
          <w:p w14:paraId="5DB57A3D">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rPr>
              <w:t>用地性质</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用地面积</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容积率、建筑密度</w:t>
            </w:r>
          </w:p>
        </w:tc>
      </w:tr>
      <w:tr w14:paraId="746CF2E2">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79230B79">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748EA335">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土地权属情况</w:t>
            </w:r>
          </w:p>
        </w:tc>
        <w:tc>
          <w:tcPr>
            <w:tcW w:w="6315" w:type="dxa"/>
            <w:tcBorders>
              <w:top w:val="nil"/>
              <w:left w:val="nil"/>
              <w:bottom w:val="single" w:color="auto" w:sz="4" w:space="0"/>
              <w:right w:val="single" w:color="auto" w:sz="4" w:space="0"/>
            </w:tcBorders>
            <w:shd w:val="clear" w:color="auto" w:fill="auto"/>
            <w:noWrap/>
            <w:vAlign w:val="center"/>
          </w:tcPr>
          <w:p w14:paraId="4238F5E9">
            <w:pPr>
              <w:spacing w:line="240" w:lineRule="auto"/>
              <w:jc w:val="left"/>
              <w:rPr>
                <w:rFonts w:ascii="宋体" w:hAnsi="宋体"/>
                <w:color w:val="auto"/>
                <w:sz w:val="18"/>
                <w:szCs w:val="18"/>
                <w:highlight w:val="none"/>
              </w:rPr>
            </w:pPr>
            <w:r>
              <w:rPr>
                <w:rFonts w:hint="eastAsia" w:ascii="宋体" w:hAnsi="宋体"/>
                <w:color w:val="auto"/>
                <w:sz w:val="18"/>
                <w:szCs w:val="18"/>
                <w:highlight w:val="none"/>
              </w:rPr>
              <w:t>土地产权边界及面积</w:t>
            </w:r>
            <w:r>
              <w:rPr>
                <w:rFonts w:hint="eastAsia" w:ascii="宋体" w:hAnsi="宋体"/>
                <w:color w:val="auto"/>
                <w:sz w:val="18"/>
                <w:szCs w:val="18"/>
                <w:highlight w:val="none"/>
                <w:lang w:eastAsia="zh-CN"/>
              </w:rPr>
              <w:t>、</w:t>
            </w:r>
            <w:r>
              <w:rPr>
                <w:rFonts w:hint="eastAsia" w:ascii="宋体" w:hAnsi="宋体"/>
                <w:color w:val="auto"/>
                <w:sz w:val="18"/>
                <w:szCs w:val="18"/>
                <w:highlight w:val="none"/>
              </w:rPr>
              <w:t>土地所有权权属</w:t>
            </w:r>
            <w:r>
              <w:rPr>
                <w:rFonts w:hint="eastAsia" w:ascii="宋体" w:hAnsi="宋体"/>
                <w:color w:val="auto"/>
                <w:sz w:val="18"/>
                <w:szCs w:val="18"/>
                <w:highlight w:val="none"/>
                <w:lang w:eastAsia="zh-CN"/>
              </w:rPr>
              <w:t>、</w:t>
            </w:r>
            <w:r>
              <w:rPr>
                <w:rFonts w:hint="eastAsia" w:ascii="宋体" w:hAnsi="宋体"/>
                <w:color w:val="auto"/>
                <w:sz w:val="18"/>
                <w:szCs w:val="18"/>
                <w:highlight w:val="none"/>
              </w:rPr>
              <w:t>土地使用权权属</w:t>
            </w:r>
          </w:p>
        </w:tc>
      </w:tr>
      <w:tr w14:paraId="5A94186C">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37C75CA2">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2844CFA2">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土地使用情况</w:t>
            </w:r>
          </w:p>
        </w:tc>
        <w:tc>
          <w:tcPr>
            <w:tcW w:w="6315" w:type="dxa"/>
            <w:tcBorders>
              <w:top w:val="nil"/>
              <w:left w:val="nil"/>
              <w:bottom w:val="single" w:color="auto" w:sz="4" w:space="0"/>
              <w:right w:val="single" w:color="auto" w:sz="4" w:space="0"/>
            </w:tcBorders>
            <w:shd w:val="clear" w:color="auto" w:fill="auto"/>
            <w:noWrap/>
            <w:vAlign w:val="center"/>
          </w:tcPr>
          <w:p w14:paraId="7952C660">
            <w:pPr>
              <w:spacing w:line="240" w:lineRule="auto"/>
              <w:jc w:val="left"/>
              <w:rPr>
                <w:rFonts w:ascii="宋体" w:hAnsi="宋体"/>
                <w:color w:val="auto"/>
                <w:sz w:val="18"/>
                <w:szCs w:val="18"/>
                <w:highlight w:val="none"/>
              </w:rPr>
            </w:pPr>
            <w:r>
              <w:rPr>
                <w:rFonts w:hint="eastAsia" w:ascii="宋体" w:hAnsi="宋体"/>
                <w:color w:val="auto"/>
                <w:sz w:val="18"/>
                <w:szCs w:val="18"/>
                <w:highlight w:val="none"/>
              </w:rPr>
              <w:t>已批已建用地分布情况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已批未建用地分布情况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闲置用地分布情况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低效产业用地分布情况</w:t>
            </w:r>
          </w:p>
        </w:tc>
      </w:tr>
      <w:tr w14:paraId="5956B135">
        <w:tblPrEx>
          <w:tblCellMar>
            <w:top w:w="0" w:type="dxa"/>
            <w:left w:w="108" w:type="dxa"/>
            <w:bottom w:w="0" w:type="dxa"/>
            <w:right w:w="108" w:type="dxa"/>
          </w:tblCellMar>
        </w:tblPrEx>
        <w:trPr>
          <w:trHeight w:val="2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5B5FAC76">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房屋建筑</w:t>
            </w:r>
          </w:p>
        </w:tc>
        <w:tc>
          <w:tcPr>
            <w:tcW w:w="1800" w:type="dxa"/>
            <w:tcBorders>
              <w:top w:val="nil"/>
              <w:left w:val="nil"/>
              <w:bottom w:val="single" w:color="auto" w:sz="4" w:space="0"/>
              <w:right w:val="single" w:color="auto" w:sz="4" w:space="0"/>
            </w:tcBorders>
            <w:shd w:val="clear" w:color="auto" w:fill="auto"/>
            <w:noWrap/>
            <w:vAlign w:val="center"/>
          </w:tcPr>
          <w:p w14:paraId="0A4AD045">
            <w:pPr>
              <w:spacing w:line="240" w:lineRule="auto"/>
              <w:jc w:val="center"/>
              <w:rPr>
                <w:rFonts w:ascii="宋体" w:hAnsi="宋体"/>
                <w:color w:val="auto"/>
                <w:sz w:val="18"/>
                <w:szCs w:val="18"/>
                <w:highlight w:val="none"/>
              </w:rPr>
            </w:pPr>
            <w:r>
              <w:rPr>
                <w:rFonts w:hint="eastAsia" w:ascii="宋体" w:hAnsi="宋体"/>
                <w:color w:val="auto"/>
                <w:sz w:val="18"/>
                <w:szCs w:val="18"/>
                <w:highlight w:val="none"/>
              </w:rPr>
              <w:t>建筑面积</w:t>
            </w:r>
          </w:p>
        </w:tc>
        <w:tc>
          <w:tcPr>
            <w:tcW w:w="6315" w:type="dxa"/>
            <w:tcBorders>
              <w:top w:val="nil"/>
              <w:left w:val="nil"/>
              <w:bottom w:val="single" w:color="auto" w:sz="4" w:space="0"/>
              <w:right w:val="single" w:color="auto" w:sz="4" w:space="0"/>
            </w:tcBorders>
            <w:shd w:val="clear" w:color="auto" w:fill="auto"/>
            <w:noWrap/>
            <w:vAlign w:val="center"/>
          </w:tcPr>
          <w:p w14:paraId="4C554A84">
            <w:pPr>
              <w:spacing w:line="240" w:lineRule="auto"/>
              <w:jc w:val="left"/>
              <w:rPr>
                <w:rFonts w:ascii="宋体" w:hAnsi="宋体"/>
                <w:color w:val="auto"/>
                <w:sz w:val="18"/>
                <w:szCs w:val="18"/>
                <w:highlight w:val="none"/>
              </w:rPr>
            </w:pPr>
            <w:r>
              <w:rPr>
                <w:rFonts w:hint="eastAsia" w:ascii="宋体" w:hAnsi="宋体"/>
                <w:color w:val="auto"/>
                <w:sz w:val="18"/>
                <w:szCs w:val="18"/>
                <w:highlight w:val="none"/>
              </w:rPr>
              <w:t>城市更新单元（片区）建筑总面积</w:t>
            </w:r>
          </w:p>
        </w:tc>
      </w:tr>
      <w:tr w14:paraId="01C228C8">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40017ECD">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4AFCD600">
            <w:pPr>
              <w:spacing w:line="240" w:lineRule="auto"/>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建筑质量</w:t>
            </w:r>
          </w:p>
        </w:tc>
        <w:tc>
          <w:tcPr>
            <w:tcW w:w="6315" w:type="dxa"/>
            <w:tcBorders>
              <w:top w:val="nil"/>
              <w:left w:val="nil"/>
              <w:bottom w:val="single" w:color="auto" w:sz="4" w:space="0"/>
              <w:right w:val="single" w:color="auto" w:sz="4" w:space="0"/>
            </w:tcBorders>
            <w:shd w:val="clear" w:color="auto" w:fill="auto"/>
            <w:noWrap/>
            <w:vAlign w:val="center"/>
          </w:tcPr>
          <w:p w14:paraId="61F3FDEC">
            <w:pPr>
              <w:spacing w:line="240" w:lineRule="auto"/>
              <w:jc w:val="left"/>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建成年代</w:t>
            </w:r>
            <w:r>
              <w:rPr>
                <w:rFonts w:hint="eastAsia" w:ascii="宋体" w:hAnsi="宋体"/>
                <w:color w:val="auto"/>
                <w:sz w:val="18"/>
                <w:szCs w:val="18"/>
                <w:highlight w:val="none"/>
                <w:lang w:val="en-US" w:eastAsia="zh-CN"/>
              </w:rPr>
              <w:t>分类</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建筑高度分层、建筑结构现状评定、</w:t>
            </w:r>
            <w:r>
              <w:rPr>
                <w:rFonts w:hint="eastAsia" w:ascii="宋体" w:hAnsi="宋体"/>
                <w:color w:val="auto"/>
                <w:sz w:val="18"/>
                <w:szCs w:val="18"/>
                <w:highlight w:val="none"/>
              </w:rPr>
              <w:t>建筑质量</w:t>
            </w:r>
            <w:r>
              <w:rPr>
                <w:rFonts w:hint="eastAsia" w:ascii="宋体" w:hAnsi="宋体"/>
                <w:color w:val="auto"/>
                <w:sz w:val="18"/>
                <w:szCs w:val="18"/>
                <w:highlight w:val="none"/>
                <w:lang w:val="en-US" w:eastAsia="zh-CN"/>
              </w:rPr>
              <w:t>等级</w:t>
            </w:r>
            <w:r>
              <w:rPr>
                <w:rFonts w:hint="eastAsia" w:ascii="宋体" w:hAnsi="宋体"/>
                <w:color w:val="auto"/>
                <w:sz w:val="18"/>
                <w:szCs w:val="18"/>
                <w:highlight w:val="none"/>
              </w:rPr>
              <w:t>分布情况</w:t>
            </w:r>
          </w:p>
        </w:tc>
      </w:tr>
      <w:tr w14:paraId="10939D1A">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2FC80980">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4D05D962">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建筑功能</w:t>
            </w:r>
          </w:p>
        </w:tc>
        <w:tc>
          <w:tcPr>
            <w:tcW w:w="6315" w:type="dxa"/>
            <w:tcBorders>
              <w:top w:val="nil"/>
              <w:left w:val="nil"/>
              <w:bottom w:val="single" w:color="auto" w:sz="4" w:space="0"/>
              <w:right w:val="single" w:color="auto" w:sz="4" w:space="0"/>
            </w:tcBorders>
            <w:shd w:val="clear" w:color="auto" w:fill="auto"/>
            <w:noWrap/>
            <w:vAlign w:val="center"/>
          </w:tcPr>
          <w:p w14:paraId="445D99F1">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现状功能用途</w:t>
            </w:r>
            <w:r>
              <w:rPr>
                <w:rFonts w:hint="eastAsia" w:ascii="宋体" w:hAnsi="宋体"/>
                <w:color w:val="auto"/>
                <w:sz w:val="18"/>
                <w:szCs w:val="18"/>
                <w:highlight w:val="none"/>
                <w:lang w:eastAsia="zh-CN"/>
              </w:rPr>
              <w:t>、</w:t>
            </w:r>
            <w:r>
              <w:rPr>
                <w:rFonts w:hint="eastAsia" w:ascii="宋体" w:hAnsi="宋体"/>
                <w:color w:val="auto"/>
                <w:sz w:val="18"/>
                <w:szCs w:val="18"/>
                <w:highlight w:val="none"/>
              </w:rPr>
              <w:t>现状闲置情况</w:t>
            </w:r>
          </w:p>
        </w:tc>
      </w:tr>
      <w:tr w14:paraId="03218363">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758FBDD4">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13D994E6">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产权信息</w:t>
            </w:r>
          </w:p>
        </w:tc>
        <w:tc>
          <w:tcPr>
            <w:tcW w:w="6315" w:type="dxa"/>
            <w:tcBorders>
              <w:top w:val="nil"/>
              <w:left w:val="nil"/>
              <w:bottom w:val="single" w:color="auto" w:sz="4" w:space="0"/>
              <w:right w:val="single" w:color="auto" w:sz="4" w:space="0"/>
            </w:tcBorders>
            <w:shd w:val="clear" w:color="auto" w:fill="auto"/>
            <w:noWrap/>
            <w:vAlign w:val="center"/>
          </w:tcPr>
          <w:p w14:paraId="02A8E710">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建筑物坐落位置</w:t>
            </w:r>
            <w:r>
              <w:rPr>
                <w:rFonts w:hint="eastAsia" w:ascii="宋体" w:hAnsi="宋体"/>
                <w:color w:val="auto"/>
                <w:sz w:val="18"/>
                <w:szCs w:val="18"/>
                <w:highlight w:val="none"/>
                <w:lang w:eastAsia="zh-CN"/>
              </w:rPr>
              <w:t>、</w:t>
            </w:r>
            <w:r>
              <w:rPr>
                <w:rFonts w:hint="eastAsia" w:ascii="宋体" w:hAnsi="宋体"/>
                <w:color w:val="auto"/>
                <w:sz w:val="18"/>
                <w:szCs w:val="18"/>
                <w:highlight w:val="none"/>
              </w:rPr>
              <w:t>产权登记用途</w:t>
            </w:r>
            <w:r>
              <w:rPr>
                <w:rFonts w:hint="eastAsia" w:ascii="宋体" w:hAnsi="宋体"/>
                <w:color w:val="auto"/>
                <w:sz w:val="18"/>
                <w:szCs w:val="18"/>
                <w:highlight w:val="none"/>
                <w:lang w:eastAsia="zh-CN"/>
              </w:rPr>
              <w:t>、</w:t>
            </w:r>
            <w:r>
              <w:rPr>
                <w:rFonts w:hint="eastAsia" w:ascii="宋体" w:hAnsi="宋体"/>
                <w:color w:val="auto"/>
                <w:sz w:val="18"/>
                <w:szCs w:val="18"/>
                <w:highlight w:val="none"/>
              </w:rPr>
              <w:t>产权年限</w:t>
            </w:r>
          </w:p>
        </w:tc>
      </w:tr>
      <w:tr w14:paraId="59A4AD20">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2BE1F66F">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169AD73B">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改造情况</w:t>
            </w:r>
          </w:p>
        </w:tc>
        <w:tc>
          <w:tcPr>
            <w:tcW w:w="6315" w:type="dxa"/>
            <w:tcBorders>
              <w:top w:val="nil"/>
              <w:left w:val="nil"/>
              <w:bottom w:val="single" w:color="auto" w:sz="4" w:space="0"/>
              <w:right w:val="single" w:color="auto" w:sz="4" w:space="0"/>
            </w:tcBorders>
            <w:shd w:val="clear" w:color="auto" w:fill="auto"/>
            <w:noWrap/>
            <w:vAlign w:val="center"/>
          </w:tcPr>
          <w:p w14:paraId="5A8BE696">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房屋是否改造、是否开展过老旧小区改造</w:t>
            </w:r>
          </w:p>
        </w:tc>
      </w:tr>
      <w:tr w14:paraId="1D4282BE">
        <w:tblPrEx>
          <w:tblCellMar>
            <w:top w:w="0" w:type="dxa"/>
            <w:left w:w="108" w:type="dxa"/>
            <w:bottom w:w="0" w:type="dxa"/>
            <w:right w:w="108" w:type="dxa"/>
          </w:tblCellMar>
        </w:tblPrEx>
        <w:trPr>
          <w:trHeight w:val="2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70C60BDF">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人口情况</w:t>
            </w:r>
          </w:p>
        </w:tc>
        <w:tc>
          <w:tcPr>
            <w:tcW w:w="1800" w:type="dxa"/>
            <w:tcBorders>
              <w:top w:val="nil"/>
              <w:left w:val="nil"/>
              <w:bottom w:val="single" w:color="auto" w:sz="4" w:space="0"/>
              <w:right w:val="single" w:color="auto" w:sz="4" w:space="0"/>
            </w:tcBorders>
            <w:shd w:val="clear" w:color="auto" w:fill="auto"/>
            <w:noWrap/>
            <w:vAlign w:val="center"/>
          </w:tcPr>
          <w:p w14:paraId="78A22585">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基本人口信息</w:t>
            </w:r>
          </w:p>
        </w:tc>
        <w:tc>
          <w:tcPr>
            <w:tcW w:w="6315" w:type="dxa"/>
            <w:tcBorders>
              <w:top w:val="nil"/>
              <w:left w:val="nil"/>
              <w:bottom w:val="single" w:color="auto" w:sz="4" w:space="0"/>
              <w:right w:val="single" w:color="auto" w:sz="4" w:space="0"/>
            </w:tcBorders>
            <w:shd w:val="clear" w:color="auto" w:fill="auto"/>
            <w:noWrap/>
            <w:vAlign w:val="center"/>
          </w:tcPr>
          <w:p w14:paraId="2661F8AD">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rPr>
              <w:t>常住人口数量</w:t>
            </w:r>
            <w:r>
              <w:rPr>
                <w:rFonts w:hint="eastAsia" w:ascii="宋体" w:hAnsi="宋体"/>
                <w:color w:val="auto"/>
                <w:sz w:val="18"/>
                <w:szCs w:val="18"/>
                <w:highlight w:val="none"/>
                <w:lang w:eastAsia="zh-CN"/>
              </w:rPr>
              <w:t>、</w:t>
            </w:r>
            <w:r>
              <w:rPr>
                <w:rFonts w:hint="eastAsia" w:ascii="宋体" w:hAnsi="宋体"/>
                <w:color w:val="auto"/>
                <w:sz w:val="18"/>
                <w:szCs w:val="18"/>
                <w:highlight w:val="none"/>
              </w:rPr>
              <w:t>户籍人口数量</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性别比例</w:t>
            </w:r>
            <w:r>
              <w:rPr>
                <w:rFonts w:hint="eastAsia" w:ascii="宋体" w:hAnsi="宋体"/>
                <w:color w:val="auto"/>
                <w:sz w:val="18"/>
                <w:szCs w:val="18"/>
                <w:highlight w:val="none"/>
                <w:lang w:eastAsia="zh-CN"/>
              </w:rPr>
              <w:t>、</w:t>
            </w:r>
            <w:r>
              <w:rPr>
                <w:rFonts w:hint="eastAsia" w:ascii="宋体" w:hAnsi="宋体"/>
                <w:color w:val="auto"/>
                <w:sz w:val="18"/>
                <w:szCs w:val="18"/>
                <w:highlight w:val="none"/>
              </w:rPr>
              <w:t>户数</w:t>
            </w:r>
            <w:r>
              <w:rPr>
                <w:rFonts w:hint="eastAsia" w:ascii="宋体" w:hAnsi="宋体"/>
                <w:color w:val="auto"/>
                <w:sz w:val="18"/>
                <w:szCs w:val="18"/>
                <w:highlight w:val="none"/>
                <w:lang w:eastAsia="zh-CN"/>
              </w:rPr>
              <w:t>、</w:t>
            </w:r>
            <w:r>
              <w:rPr>
                <w:rFonts w:hint="eastAsia" w:ascii="宋体" w:hAnsi="宋体"/>
                <w:color w:val="auto"/>
                <w:sz w:val="18"/>
                <w:szCs w:val="18"/>
                <w:highlight w:val="none"/>
              </w:rPr>
              <w:t>流动租住人口数量</w:t>
            </w:r>
            <w:r>
              <w:rPr>
                <w:rFonts w:hint="eastAsia" w:ascii="宋体" w:hAnsi="宋体"/>
                <w:color w:val="auto"/>
                <w:sz w:val="18"/>
                <w:szCs w:val="18"/>
                <w:highlight w:val="none"/>
                <w:lang w:eastAsia="zh-CN"/>
              </w:rPr>
              <w:t>、</w:t>
            </w:r>
            <w:r>
              <w:rPr>
                <w:rFonts w:hint="eastAsia" w:ascii="宋体" w:hAnsi="宋体"/>
                <w:color w:val="auto"/>
                <w:sz w:val="18"/>
                <w:szCs w:val="18"/>
                <w:highlight w:val="none"/>
              </w:rPr>
              <w:t>老龄化人口数量</w:t>
            </w:r>
          </w:p>
        </w:tc>
      </w:tr>
      <w:tr w14:paraId="45A35496">
        <w:tblPrEx>
          <w:tblCellMar>
            <w:top w:w="0" w:type="dxa"/>
            <w:left w:w="108" w:type="dxa"/>
            <w:bottom w:w="0" w:type="dxa"/>
            <w:right w:w="108" w:type="dxa"/>
          </w:tblCellMar>
        </w:tblPrEx>
        <w:trPr>
          <w:trHeight w:val="207" w:hRule="atLeast"/>
          <w:jc w:val="center"/>
        </w:trPr>
        <w:tc>
          <w:tcPr>
            <w:tcW w:w="1341" w:type="dxa"/>
            <w:vMerge w:val="continue"/>
            <w:tcBorders>
              <w:left w:val="single" w:color="auto" w:sz="4" w:space="0"/>
              <w:right w:val="single" w:color="auto" w:sz="4" w:space="0"/>
            </w:tcBorders>
            <w:shd w:val="clear" w:color="auto" w:fill="auto"/>
            <w:noWrap/>
            <w:vAlign w:val="center"/>
          </w:tcPr>
          <w:p w14:paraId="5BCCD1FC">
            <w:pPr>
              <w:spacing w:line="240" w:lineRule="auto"/>
              <w:jc w:val="center"/>
              <w:rPr>
                <w:rFonts w:hint="eastAsia" w:ascii="宋体" w:hAnsi="宋体"/>
                <w:color w:val="auto"/>
                <w:sz w:val="18"/>
                <w:szCs w:val="18"/>
                <w:highlight w:val="none"/>
                <w:lang w:val="en-US" w:eastAsia="zh-CN"/>
              </w:rPr>
            </w:pPr>
          </w:p>
        </w:tc>
        <w:tc>
          <w:tcPr>
            <w:tcW w:w="1800" w:type="dxa"/>
            <w:tcBorders>
              <w:top w:val="nil"/>
              <w:left w:val="nil"/>
              <w:bottom w:val="single" w:color="auto" w:sz="4" w:space="0"/>
              <w:right w:val="single" w:color="auto" w:sz="4" w:space="0"/>
            </w:tcBorders>
            <w:shd w:val="clear" w:color="auto" w:fill="auto"/>
            <w:noWrap/>
            <w:vAlign w:val="center"/>
          </w:tcPr>
          <w:p w14:paraId="18628B4E">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人口结构及分布</w:t>
            </w:r>
          </w:p>
        </w:tc>
        <w:tc>
          <w:tcPr>
            <w:tcW w:w="6315" w:type="dxa"/>
            <w:tcBorders>
              <w:top w:val="nil"/>
              <w:left w:val="nil"/>
              <w:bottom w:val="single" w:color="auto" w:sz="4" w:space="0"/>
              <w:right w:val="single" w:color="auto" w:sz="4" w:space="0"/>
            </w:tcBorders>
            <w:shd w:val="clear" w:color="auto" w:fill="auto"/>
            <w:noWrap/>
            <w:vAlign w:val="center"/>
          </w:tcPr>
          <w:p w14:paraId="3E54C7C0">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各年龄段人口分布、居住人口密度、就业人口密度</w:t>
            </w:r>
          </w:p>
        </w:tc>
      </w:tr>
      <w:tr w14:paraId="50ABC631">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44897D4D">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6732BFFF">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保障人群情况</w:t>
            </w:r>
          </w:p>
        </w:tc>
        <w:tc>
          <w:tcPr>
            <w:tcW w:w="6315" w:type="dxa"/>
            <w:tcBorders>
              <w:top w:val="nil"/>
              <w:left w:val="nil"/>
              <w:bottom w:val="single" w:color="auto" w:sz="4" w:space="0"/>
              <w:right w:val="single" w:color="auto" w:sz="4" w:space="0"/>
            </w:tcBorders>
            <w:shd w:val="clear" w:color="auto" w:fill="auto"/>
            <w:noWrap/>
            <w:vAlign w:val="center"/>
          </w:tcPr>
          <w:p w14:paraId="1E5AC975">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低保人口</w:t>
            </w:r>
            <w:r>
              <w:rPr>
                <w:rFonts w:hint="eastAsia" w:ascii="宋体" w:hAnsi="宋体"/>
                <w:color w:val="auto"/>
                <w:sz w:val="18"/>
                <w:szCs w:val="18"/>
                <w:highlight w:val="none"/>
                <w:lang w:eastAsia="zh-CN"/>
              </w:rPr>
              <w:t>、</w:t>
            </w:r>
            <w:r>
              <w:rPr>
                <w:rFonts w:hint="eastAsia" w:ascii="宋体" w:hAnsi="宋体"/>
                <w:color w:val="auto"/>
                <w:sz w:val="18"/>
                <w:szCs w:val="18"/>
                <w:highlight w:val="none"/>
              </w:rPr>
              <w:t>保障房户数</w:t>
            </w:r>
            <w:r>
              <w:rPr>
                <w:rFonts w:hint="eastAsia" w:ascii="宋体" w:hAnsi="宋体"/>
                <w:color w:val="auto"/>
                <w:sz w:val="18"/>
                <w:szCs w:val="18"/>
                <w:highlight w:val="none"/>
                <w:lang w:eastAsia="zh-CN"/>
              </w:rPr>
              <w:t>、</w:t>
            </w:r>
            <w:r>
              <w:rPr>
                <w:rFonts w:hint="eastAsia" w:ascii="宋体" w:hAnsi="宋体"/>
                <w:color w:val="auto"/>
                <w:sz w:val="18"/>
                <w:szCs w:val="18"/>
                <w:highlight w:val="none"/>
              </w:rPr>
              <w:t>保障房人口</w:t>
            </w:r>
          </w:p>
        </w:tc>
      </w:tr>
      <w:tr w14:paraId="0CEDAB55">
        <w:tblPrEx>
          <w:tblCellMar>
            <w:top w:w="0" w:type="dxa"/>
            <w:left w:w="108" w:type="dxa"/>
            <w:bottom w:w="0" w:type="dxa"/>
            <w:right w:w="108" w:type="dxa"/>
          </w:tblCellMar>
        </w:tblPrEx>
        <w:trPr>
          <w:trHeight w:val="2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4249732E">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公共服务设施</w:t>
            </w:r>
          </w:p>
        </w:tc>
        <w:tc>
          <w:tcPr>
            <w:tcW w:w="1800" w:type="dxa"/>
            <w:tcBorders>
              <w:top w:val="nil"/>
              <w:left w:val="nil"/>
              <w:bottom w:val="single" w:color="auto" w:sz="4" w:space="0"/>
              <w:right w:val="single" w:color="auto" w:sz="4" w:space="0"/>
            </w:tcBorders>
            <w:shd w:val="clear" w:color="auto" w:fill="auto"/>
            <w:noWrap/>
            <w:vAlign w:val="center"/>
          </w:tcPr>
          <w:p w14:paraId="6022CA89">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街道级公共服务设施信息</w:t>
            </w:r>
          </w:p>
        </w:tc>
        <w:tc>
          <w:tcPr>
            <w:tcW w:w="6315" w:type="dxa"/>
            <w:tcBorders>
              <w:top w:val="nil"/>
              <w:left w:val="nil"/>
              <w:bottom w:val="single" w:color="auto" w:sz="4" w:space="0"/>
              <w:right w:val="single" w:color="auto" w:sz="4" w:space="0"/>
            </w:tcBorders>
            <w:shd w:val="clear" w:color="auto" w:fill="auto"/>
            <w:noWrap/>
            <w:vAlign w:val="center"/>
          </w:tcPr>
          <w:p w14:paraId="139D8E58">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rPr>
              <w:t>街道公共服务中心</w:t>
            </w:r>
            <w:r>
              <w:rPr>
                <w:rFonts w:hint="eastAsia" w:ascii="宋体" w:hAnsi="宋体"/>
                <w:color w:val="auto"/>
                <w:sz w:val="18"/>
                <w:szCs w:val="18"/>
                <w:highlight w:val="none"/>
                <w:lang w:eastAsia="zh-CN"/>
              </w:rPr>
              <w:t>、</w:t>
            </w:r>
            <w:r>
              <w:rPr>
                <w:rFonts w:hint="eastAsia" w:ascii="宋体" w:hAnsi="宋体"/>
                <w:color w:val="auto"/>
                <w:sz w:val="18"/>
                <w:szCs w:val="18"/>
                <w:highlight w:val="none"/>
              </w:rPr>
              <w:t>街道办事处</w:t>
            </w:r>
            <w:r>
              <w:rPr>
                <w:rFonts w:hint="eastAsia" w:ascii="宋体" w:hAnsi="宋体"/>
                <w:color w:val="auto"/>
                <w:sz w:val="18"/>
                <w:szCs w:val="18"/>
                <w:highlight w:val="none"/>
                <w:lang w:eastAsia="zh-CN"/>
              </w:rPr>
              <w:t>、</w:t>
            </w:r>
            <w:r>
              <w:rPr>
                <w:rFonts w:hint="eastAsia" w:ascii="宋体" w:hAnsi="宋体"/>
                <w:color w:val="auto"/>
                <w:sz w:val="18"/>
                <w:szCs w:val="18"/>
                <w:highlight w:val="none"/>
              </w:rPr>
              <w:t>派出所</w:t>
            </w:r>
            <w:r>
              <w:rPr>
                <w:rFonts w:hint="eastAsia" w:ascii="宋体" w:hAnsi="宋体"/>
                <w:color w:val="auto"/>
                <w:sz w:val="18"/>
                <w:szCs w:val="18"/>
                <w:highlight w:val="none"/>
                <w:lang w:eastAsia="zh-CN"/>
              </w:rPr>
              <w:t>、</w:t>
            </w:r>
            <w:r>
              <w:rPr>
                <w:rFonts w:hint="eastAsia" w:ascii="宋体" w:hAnsi="宋体"/>
                <w:color w:val="auto"/>
                <w:sz w:val="18"/>
                <w:szCs w:val="18"/>
                <w:highlight w:val="none"/>
              </w:rPr>
              <w:t>卫生服务中心</w:t>
            </w:r>
            <w:r>
              <w:rPr>
                <w:rFonts w:hint="eastAsia" w:ascii="宋体" w:hAnsi="宋体"/>
                <w:color w:val="auto"/>
                <w:sz w:val="18"/>
                <w:szCs w:val="18"/>
                <w:highlight w:val="none"/>
                <w:lang w:eastAsia="zh-CN"/>
              </w:rPr>
              <w:t>、</w:t>
            </w:r>
            <w:r>
              <w:rPr>
                <w:rFonts w:hint="eastAsia" w:ascii="宋体" w:hAnsi="宋体"/>
                <w:color w:val="auto"/>
                <w:sz w:val="18"/>
                <w:szCs w:val="18"/>
                <w:highlight w:val="none"/>
              </w:rPr>
              <w:t>老年服务中心</w:t>
            </w:r>
            <w:r>
              <w:rPr>
                <w:rFonts w:hint="eastAsia" w:ascii="宋体" w:hAnsi="宋体"/>
                <w:color w:val="auto"/>
                <w:sz w:val="18"/>
                <w:szCs w:val="18"/>
                <w:highlight w:val="none"/>
                <w:lang w:eastAsia="zh-CN"/>
              </w:rPr>
              <w:t>、</w:t>
            </w:r>
            <w:r>
              <w:rPr>
                <w:rFonts w:hint="eastAsia" w:ascii="宋体" w:hAnsi="宋体"/>
                <w:color w:val="auto"/>
                <w:sz w:val="18"/>
                <w:szCs w:val="18"/>
                <w:highlight w:val="none"/>
              </w:rPr>
              <w:t>文化活动中心</w:t>
            </w:r>
            <w:r>
              <w:rPr>
                <w:rFonts w:hint="eastAsia" w:ascii="宋体" w:hAnsi="宋体"/>
                <w:color w:val="auto"/>
                <w:sz w:val="18"/>
                <w:szCs w:val="18"/>
                <w:highlight w:val="none"/>
                <w:lang w:eastAsia="zh-CN"/>
              </w:rPr>
              <w:t>、</w:t>
            </w:r>
            <w:r>
              <w:rPr>
                <w:rFonts w:hint="eastAsia" w:ascii="宋体" w:hAnsi="宋体"/>
                <w:color w:val="auto"/>
                <w:sz w:val="18"/>
                <w:szCs w:val="18"/>
                <w:highlight w:val="none"/>
              </w:rPr>
              <w:t>全民健身活动中心</w:t>
            </w:r>
            <w:r>
              <w:rPr>
                <w:rFonts w:hint="eastAsia" w:ascii="宋体" w:hAnsi="宋体"/>
                <w:color w:val="auto"/>
                <w:sz w:val="18"/>
                <w:szCs w:val="18"/>
                <w:highlight w:val="none"/>
                <w:lang w:eastAsia="zh-CN"/>
              </w:rPr>
              <w:t>、</w:t>
            </w:r>
            <w:r>
              <w:rPr>
                <w:rFonts w:hint="eastAsia" w:ascii="宋体" w:hAnsi="宋体"/>
                <w:color w:val="auto"/>
                <w:sz w:val="18"/>
                <w:szCs w:val="18"/>
                <w:highlight w:val="none"/>
              </w:rPr>
              <w:t>室外健身广场</w:t>
            </w:r>
            <w:r>
              <w:rPr>
                <w:rFonts w:hint="eastAsia" w:ascii="宋体" w:hAnsi="宋体"/>
                <w:color w:val="auto"/>
                <w:sz w:val="18"/>
                <w:szCs w:val="18"/>
                <w:highlight w:val="none"/>
                <w:lang w:eastAsia="zh-CN"/>
              </w:rPr>
              <w:t>、</w:t>
            </w:r>
            <w:r>
              <w:rPr>
                <w:rFonts w:hint="eastAsia" w:ascii="宋体" w:hAnsi="宋体"/>
                <w:color w:val="auto"/>
                <w:sz w:val="18"/>
                <w:szCs w:val="18"/>
                <w:highlight w:val="none"/>
              </w:rPr>
              <w:t>中学</w:t>
            </w:r>
            <w:r>
              <w:rPr>
                <w:rFonts w:hint="eastAsia" w:ascii="宋体" w:hAnsi="宋体"/>
                <w:color w:val="auto"/>
                <w:sz w:val="18"/>
                <w:szCs w:val="18"/>
                <w:highlight w:val="none"/>
                <w:lang w:val="en-US" w:eastAsia="zh-CN"/>
              </w:rPr>
              <w:t>等各类公共服务设施的数量、面积、分布、质量、服务能力等情况</w:t>
            </w:r>
          </w:p>
        </w:tc>
      </w:tr>
      <w:tr w14:paraId="4B761FAF">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067896E5">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5D68F4FE">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社区级公共服务设施信息</w:t>
            </w:r>
          </w:p>
        </w:tc>
        <w:tc>
          <w:tcPr>
            <w:tcW w:w="6315" w:type="dxa"/>
            <w:tcBorders>
              <w:top w:val="nil"/>
              <w:left w:val="nil"/>
              <w:bottom w:val="single" w:color="auto" w:sz="4" w:space="0"/>
              <w:right w:val="single" w:color="auto" w:sz="4" w:space="0"/>
            </w:tcBorders>
            <w:shd w:val="clear" w:color="auto" w:fill="auto"/>
            <w:noWrap/>
            <w:vAlign w:val="center"/>
          </w:tcPr>
          <w:p w14:paraId="0D874B77">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rPr>
              <w:t>社区便民服务中心</w:t>
            </w:r>
            <w:r>
              <w:rPr>
                <w:rFonts w:hint="eastAsia" w:ascii="宋体" w:hAnsi="宋体"/>
                <w:color w:val="auto"/>
                <w:sz w:val="18"/>
                <w:szCs w:val="18"/>
                <w:highlight w:val="none"/>
                <w:lang w:eastAsia="zh-CN"/>
              </w:rPr>
              <w:t>、</w:t>
            </w:r>
            <w:r>
              <w:rPr>
                <w:rFonts w:hint="eastAsia" w:ascii="宋体" w:hAnsi="宋体"/>
                <w:color w:val="auto"/>
                <w:sz w:val="18"/>
                <w:szCs w:val="18"/>
                <w:highlight w:val="none"/>
              </w:rPr>
              <w:t>警务室</w:t>
            </w:r>
            <w:r>
              <w:rPr>
                <w:rFonts w:hint="eastAsia" w:ascii="宋体" w:hAnsi="宋体"/>
                <w:color w:val="auto"/>
                <w:sz w:val="18"/>
                <w:szCs w:val="18"/>
                <w:highlight w:val="none"/>
                <w:lang w:eastAsia="zh-CN"/>
              </w:rPr>
              <w:t>、</w:t>
            </w:r>
            <w:r>
              <w:rPr>
                <w:rFonts w:hint="eastAsia" w:ascii="宋体" w:hAnsi="宋体"/>
                <w:color w:val="auto"/>
                <w:sz w:val="18"/>
                <w:szCs w:val="18"/>
                <w:highlight w:val="none"/>
              </w:rPr>
              <w:t>社区卫生服务站</w:t>
            </w:r>
            <w:r>
              <w:rPr>
                <w:rFonts w:hint="eastAsia" w:ascii="宋体" w:hAnsi="宋体"/>
                <w:color w:val="auto"/>
                <w:sz w:val="18"/>
                <w:szCs w:val="18"/>
                <w:highlight w:val="none"/>
                <w:lang w:eastAsia="zh-CN"/>
              </w:rPr>
              <w:t>、</w:t>
            </w:r>
            <w:r>
              <w:rPr>
                <w:rFonts w:hint="eastAsia" w:ascii="宋体" w:hAnsi="宋体"/>
                <w:color w:val="auto"/>
                <w:sz w:val="18"/>
                <w:szCs w:val="18"/>
                <w:highlight w:val="none"/>
              </w:rPr>
              <w:t>社区老年人日间照料中心</w:t>
            </w:r>
            <w:r>
              <w:rPr>
                <w:rFonts w:hint="eastAsia" w:ascii="宋体" w:hAnsi="宋体"/>
                <w:color w:val="auto"/>
                <w:sz w:val="18"/>
                <w:szCs w:val="18"/>
                <w:highlight w:val="none"/>
                <w:lang w:eastAsia="zh-CN"/>
              </w:rPr>
              <w:t>、</w:t>
            </w:r>
            <w:r>
              <w:rPr>
                <w:rFonts w:hint="eastAsia" w:ascii="宋体" w:hAnsi="宋体"/>
                <w:color w:val="auto"/>
                <w:sz w:val="18"/>
                <w:szCs w:val="18"/>
                <w:highlight w:val="none"/>
              </w:rPr>
              <w:t>社区文化活动室</w:t>
            </w:r>
            <w:r>
              <w:rPr>
                <w:rFonts w:hint="eastAsia" w:ascii="宋体" w:hAnsi="宋体"/>
                <w:color w:val="auto"/>
                <w:sz w:val="18"/>
                <w:szCs w:val="18"/>
                <w:highlight w:val="none"/>
                <w:lang w:eastAsia="zh-CN"/>
              </w:rPr>
              <w:t>、</w:t>
            </w:r>
            <w:r>
              <w:rPr>
                <w:rFonts w:hint="eastAsia" w:ascii="宋体" w:hAnsi="宋体"/>
                <w:color w:val="auto"/>
                <w:sz w:val="18"/>
                <w:szCs w:val="18"/>
                <w:highlight w:val="none"/>
              </w:rPr>
              <w:t>多功能活动场地</w:t>
            </w:r>
            <w:r>
              <w:rPr>
                <w:rFonts w:hint="eastAsia" w:ascii="宋体" w:hAnsi="宋体"/>
                <w:color w:val="auto"/>
                <w:sz w:val="18"/>
                <w:szCs w:val="18"/>
                <w:highlight w:val="none"/>
                <w:lang w:eastAsia="zh-CN"/>
              </w:rPr>
              <w:t>、</w:t>
            </w:r>
            <w:r>
              <w:rPr>
                <w:rFonts w:hint="eastAsia" w:ascii="宋体" w:hAnsi="宋体"/>
                <w:color w:val="auto"/>
                <w:sz w:val="18"/>
                <w:szCs w:val="18"/>
                <w:highlight w:val="none"/>
              </w:rPr>
              <w:t>小学</w:t>
            </w:r>
            <w:r>
              <w:rPr>
                <w:rFonts w:hint="eastAsia" w:ascii="宋体" w:hAnsi="宋体"/>
                <w:color w:val="auto"/>
                <w:sz w:val="18"/>
                <w:szCs w:val="18"/>
                <w:highlight w:val="none"/>
                <w:lang w:eastAsia="zh-CN"/>
              </w:rPr>
              <w:t>、</w:t>
            </w:r>
            <w:r>
              <w:rPr>
                <w:rFonts w:hint="eastAsia" w:ascii="宋体" w:hAnsi="宋体"/>
                <w:color w:val="auto"/>
                <w:sz w:val="18"/>
                <w:szCs w:val="18"/>
                <w:highlight w:val="none"/>
              </w:rPr>
              <w:t>幼儿园</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托儿所等各类公共服务设施的数量、面积、分布、质量、服务能力等情况</w:t>
            </w:r>
          </w:p>
        </w:tc>
      </w:tr>
      <w:tr w14:paraId="466F11CE">
        <w:tblPrEx>
          <w:tblCellMar>
            <w:top w:w="0" w:type="dxa"/>
            <w:left w:w="108" w:type="dxa"/>
            <w:bottom w:w="0" w:type="dxa"/>
            <w:right w:w="108" w:type="dxa"/>
          </w:tblCellMar>
        </w:tblPrEx>
        <w:trPr>
          <w:trHeight w:val="9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708875D1">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公共空间</w:t>
            </w:r>
          </w:p>
        </w:tc>
        <w:tc>
          <w:tcPr>
            <w:tcW w:w="1800" w:type="dxa"/>
            <w:tcBorders>
              <w:top w:val="nil"/>
              <w:left w:val="nil"/>
              <w:bottom w:val="single" w:color="auto" w:sz="4" w:space="0"/>
              <w:right w:val="single" w:color="auto" w:sz="4" w:space="0"/>
            </w:tcBorders>
            <w:shd w:val="clear" w:color="auto" w:fill="auto"/>
            <w:noWrap/>
            <w:vAlign w:val="center"/>
          </w:tcPr>
          <w:p w14:paraId="2C469008">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自然山水</w:t>
            </w:r>
          </w:p>
        </w:tc>
        <w:tc>
          <w:tcPr>
            <w:tcW w:w="6315" w:type="dxa"/>
            <w:tcBorders>
              <w:top w:val="nil"/>
              <w:left w:val="nil"/>
              <w:bottom w:val="single" w:color="auto" w:sz="4" w:space="0"/>
              <w:right w:val="single" w:color="auto" w:sz="4" w:space="0"/>
            </w:tcBorders>
            <w:shd w:val="clear" w:color="auto" w:fill="auto"/>
            <w:noWrap/>
            <w:vAlign w:val="center"/>
          </w:tcPr>
          <w:p w14:paraId="6A80E203">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自然山体名称、范围及山体顶点高度</w:t>
            </w:r>
            <w:r>
              <w:rPr>
                <w:rFonts w:hint="eastAsia" w:ascii="宋体" w:hAnsi="宋体"/>
                <w:color w:val="auto"/>
                <w:sz w:val="18"/>
                <w:szCs w:val="18"/>
                <w:highlight w:val="none"/>
                <w:lang w:eastAsia="zh-CN"/>
              </w:rPr>
              <w:t>，</w:t>
            </w:r>
            <w:r>
              <w:rPr>
                <w:rFonts w:hint="eastAsia" w:ascii="宋体" w:hAnsi="宋体"/>
                <w:color w:val="auto"/>
                <w:sz w:val="18"/>
                <w:szCs w:val="18"/>
                <w:highlight w:val="none"/>
              </w:rPr>
              <w:t>自然水系名称、范围及常年水位线</w:t>
            </w:r>
          </w:p>
        </w:tc>
      </w:tr>
      <w:tr w14:paraId="59E016B0">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11C5C751">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5C95F148">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绿地广场</w:t>
            </w:r>
          </w:p>
        </w:tc>
        <w:tc>
          <w:tcPr>
            <w:tcW w:w="6315" w:type="dxa"/>
            <w:tcBorders>
              <w:top w:val="nil"/>
              <w:left w:val="nil"/>
              <w:bottom w:val="single" w:color="auto" w:sz="4" w:space="0"/>
              <w:right w:val="single" w:color="auto" w:sz="4" w:space="0"/>
            </w:tcBorders>
            <w:shd w:val="clear" w:color="auto" w:fill="auto"/>
            <w:noWrap/>
            <w:vAlign w:val="center"/>
          </w:tcPr>
          <w:p w14:paraId="5D5D7DB7">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公园绿地</w:t>
            </w:r>
            <w:r>
              <w:rPr>
                <w:rFonts w:hint="eastAsia" w:ascii="宋体" w:hAnsi="宋体"/>
                <w:color w:val="auto"/>
                <w:sz w:val="18"/>
                <w:szCs w:val="18"/>
                <w:highlight w:val="none"/>
                <w:lang w:eastAsia="zh-CN"/>
              </w:rPr>
              <w:t>、</w:t>
            </w:r>
            <w:r>
              <w:rPr>
                <w:rFonts w:hint="eastAsia" w:ascii="宋体" w:hAnsi="宋体"/>
                <w:color w:val="auto"/>
                <w:sz w:val="18"/>
                <w:szCs w:val="18"/>
                <w:highlight w:val="none"/>
              </w:rPr>
              <w:t>防护绿地</w:t>
            </w:r>
            <w:r>
              <w:rPr>
                <w:rFonts w:hint="eastAsia" w:ascii="宋体" w:hAnsi="宋体"/>
                <w:color w:val="auto"/>
                <w:sz w:val="18"/>
                <w:szCs w:val="18"/>
                <w:highlight w:val="none"/>
                <w:lang w:eastAsia="zh-CN"/>
              </w:rPr>
              <w:t>、</w:t>
            </w:r>
            <w:r>
              <w:rPr>
                <w:rFonts w:hint="eastAsia" w:ascii="宋体" w:hAnsi="宋体"/>
                <w:color w:val="auto"/>
                <w:sz w:val="18"/>
                <w:szCs w:val="18"/>
                <w:highlight w:val="none"/>
              </w:rPr>
              <w:t>广场</w:t>
            </w:r>
            <w:r>
              <w:rPr>
                <w:rFonts w:hint="eastAsia" w:ascii="宋体" w:hAnsi="宋体"/>
                <w:color w:val="auto"/>
                <w:sz w:val="18"/>
                <w:szCs w:val="18"/>
                <w:highlight w:val="none"/>
                <w:lang w:val="en-US" w:eastAsia="zh-CN"/>
              </w:rPr>
              <w:t>等公共空间的数量、面积、分布、质量、使用状况等情况</w:t>
            </w:r>
          </w:p>
        </w:tc>
      </w:tr>
      <w:tr w14:paraId="1EC570A8">
        <w:tblPrEx>
          <w:tblCellMar>
            <w:top w:w="0" w:type="dxa"/>
            <w:left w:w="108" w:type="dxa"/>
            <w:bottom w:w="0" w:type="dxa"/>
            <w:right w:w="108" w:type="dxa"/>
          </w:tblCellMar>
        </w:tblPrEx>
        <w:trPr>
          <w:trHeight w:val="814" w:hRule="atLeast"/>
          <w:jc w:val="center"/>
        </w:trPr>
        <w:tc>
          <w:tcPr>
            <w:tcW w:w="1341" w:type="dxa"/>
            <w:tcBorders>
              <w:top w:val="nil"/>
              <w:left w:val="single" w:color="auto" w:sz="4" w:space="0"/>
              <w:bottom w:val="single" w:color="auto" w:sz="4" w:space="0"/>
              <w:right w:val="single" w:color="auto" w:sz="4" w:space="0"/>
            </w:tcBorders>
            <w:shd w:val="clear" w:color="auto" w:fill="auto"/>
            <w:noWrap/>
            <w:vAlign w:val="center"/>
          </w:tcPr>
          <w:p w14:paraId="6337E549">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经济产业</w:t>
            </w:r>
          </w:p>
        </w:tc>
        <w:tc>
          <w:tcPr>
            <w:tcW w:w="1800" w:type="dxa"/>
            <w:tcBorders>
              <w:top w:val="nil"/>
              <w:left w:val="nil"/>
              <w:bottom w:val="single" w:color="auto" w:sz="4" w:space="0"/>
              <w:right w:val="single" w:color="auto" w:sz="4" w:space="0"/>
            </w:tcBorders>
            <w:shd w:val="clear" w:color="auto" w:fill="auto"/>
            <w:noWrap/>
            <w:vAlign w:val="center"/>
          </w:tcPr>
          <w:p w14:paraId="6F38D3A9">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“四上企业”经济产业信息</w:t>
            </w:r>
          </w:p>
        </w:tc>
        <w:tc>
          <w:tcPr>
            <w:tcW w:w="6315" w:type="dxa"/>
            <w:tcBorders>
              <w:top w:val="nil"/>
              <w:left w:val="nil"/>
              <w:bottom w:val="single" w:color="auto" w:sz="4" w:space="0"/>
              <w:right w:val="single" w:color="auto" w:sz="4" w:space="0"/>
            </w:tcBorders>
            <w:shd w:val="clear" w:color="auto" w:fill="auto"/>
            <w:noWrap/>
            <w:vAlign w:val="center"/>
          </w:tcPr>
          <w:p w14:paraId="48147A1A">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企业（商家）分布情况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企业（商家）所属产业类别</w:t>
            </w:r>
            <w:r>
              <w:rPr>
                <w:rFonts w:hint="eastAsia" w:ascii="宋体" w:hAnsi="宋体"/>
                <w:color w:val="auto"/>
                <w:sz w:val="18"/>
                <w:szCs w:val="18"/>
                <w:highlight w:val="none"/>
                <w:lang w:eastAsia="zh-CN"/>
              </w:rPr>
              <w:t>、</w:t>
            </w:r>
            <w:r>
              <w:rPr>
                <w:rFonts w:hint="eastAsia" w:ascii="宋体" w:hAnsi="宋体"/>
                <w:color w:val="auto"/>
                <w:sz w:val="18"/>
                <w:szCs w:val="18"/>
                <w:highlight w:val="none"/>
              </w:rPr>
              <w:t>从业人口</w:t>
            </w:r>
            <w:r>
              <w:rPr>
                <w:rFonts w:hint="eastAsia" w:ascii="宋体" w:hAnsi="宋体"/>
                <w:color w:val="auto"/>
                <w:sz w:val="18"/>
                <w:szCs w:val="18"/>
                <w:highlight w:val="none"/>
                <w:lang w:eastAsia="zh-CN"/>
              </w:rPr>
              <w:t>、</w:t>
            </w:r>
            <w:r>
              <w:rPr>
                <w:rFonts w:hint="eastAsia" w:ascii="宋体" w:hAnsi="宋体"/>
                <w:color w:val="auto"/>
                <w:sz w:val="18"/>
                <w:szCs w:val="18"/>
                <w:highlight w:val="none"/>
              </w:rPr>
              <w:t>近三年营业收入</w:t>
            </w:r>
          </w:p>
        </w:tc>
      </w:tr>
      <w:tr w14:paraId="68865627">
        <w:tblPrEx>
          <w:tblCellMar>
            <w:top w:w="0" w:type="dxa"/>
            <w:left w:w="108" w:type="dxa"/>
            <w:bottom w:w="0" w:type="dxa"/>
            <w:right w:w="108" w:type="dxa"/>
          </w:tblCellMar>
        </w:tblPrEx>
        <w:trPr>
          <w:trHeight w:val="20" w:hRule="atLeast"/>
          <w:jc w:val="center"/>
        </w:trPr>
        <w:tc>
          <w:tcPr>
            <w:tcW w:w="1341" w:type="dxa"/>
            <w:vMerge w:val="restart"/>
            <w:tcBorders>
              <w:top w:val="single" w:color="auto" w:sz="4" w:space="0"/>
              <w:left w:val="single" w:color="auto" w:sz="4" w:space="0"/>
              <w:right w:val="single" w:color="auto" w:sz="4" w:space="0"/>
            </w:tcBorders>
            <w:shd w:val="clear" w:color="auto" w:fill="auto"/>
            <w:noWrap/>
            <w:vAlign w:val="center"/>
          </w:tcPr>
          <w:p w14:paraId="1B841707">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历史文化遗产</w:t>
            </w:r>
          </w:p>
        </w:tc>
        <w:tc>
          <w:tcPr>
            <w:tcW w:w="1800" w:type="dxa"/>
            <w:tcBorders>
              <w:top w:val="single" w:color="auto" w:sz="4" w:space="0"/>
              <w:left w:val="nil"/>
              <w:bottom w:val="single" w:color="auto" w:sz="4" w:space="0"/>
              <w:right w:val="single" w:color="auto" w:sz="4" w:space="0"/>
            </w:tcBorders>
            <w:shd w:val="clear" w:color="auto" w:fill="auto"/>
            <w:noWrap/>
            <w:vAlign w:val="center"/>
          </w:tcPr>
          <w:p w14:paraId="14F399AD">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物质文化遗产</w:t>
            </w:r>
          </w:p>
        </w:tc>
        <w:tc>
          <w:tcPr>
            <w:tcW w:w="6315" w:type="dxa"/>
            <w:tcBorders>
              <w:top w:val="single" w:color="auto" w:sz="4" w:space="0"/>
              <w:left w:val="nil"/>
              <w:bottom w:val="single" w:color="auto" w:sz="4" w:space="0"/>
              <w:right w:val="single" w:color="auto" w:sz="4" w:space="0"/>
            </w:tcBorders>
            <w:shd w:val="clear" w:color="auto" w:fill="auto"/>
            <w:noWrap/>
            <w:vAlign w:val="center"/>
          </w:tcPr>
          <w:p w14:paraId="60E00595">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lang w:val="en-US" w:eastAsia="zh-CN"/>
              </w:rPr>
              <w:t>历史文化街区、</w:t>
            </w:r>
            <w:r>
              <w:rPr>
                <w:rFonts w:hint="eastAsia" w:ascii="宋体" w:hAnsi="宋体"/>
                <w:color w:val="auto"/>
                <w:sz w:val="18"/>
                <w:szCs w:val="18"/>
                <w:highlight w:val="none"/>
              </w:rPr>
              <w:t>历史地段、</w:t>
            </w:r>
            <w:r>
              <w:rPr>
                <w:rFonts w:hint="eastAsia" w:ascii="宋体" w:hAnsi="宋体"/>
                <w:color w:val="auto"/>
                <w:sz w:val="18"/>
                <w:szCs w:val="18"/>
                <w:highlight w:val="none"/>
                <w:lang w:val="en-US" w:eastAsia="zh-CN"/>
              </w:rPr>
              <w:t>城址遗存、</w:t>
            </w:r>
            <w:r>
              <w:rPr>
                <w:rFonts w:hint="eastAsia" w:ascii="宋体" w:hAnsi="宋体"/>
                <w:color w:val="auto"/>
                <w:sz w:val="18"/>
                <w:szCs w:val="18"/>
                <w:highlight w:val="none"/>
              </w:rPr>
              <w:t>不可移动文物、历史建筑和传统风貌建筑、历史环境要素、风景名胜等分布情况</w:t>
            </w:r>
          </w:p>
        </w:tc>
      </w:tr>
      <w:tr w14:paraId="5E10A751">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289E20AA">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6EDB5581">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非物质文化遗产</w:t>
            </w:r>
          </w:p>
        </w:tc>
        <w:tc>
          <w:tcPr>
            <w:tcW w:w="6315" w:type="dxa"/>
            <w:tcBorders>
              <w:top w:val="nil"/>
              <w:left w:val="nil"/>
              <w:bottom w:val="single" w:color="auto" w:sz="4" w:space="0"/>
              <w:right w:val="single" w:color="auto" w:sz="4" w:space="0"/>
            </w:tcBorders>
            <w:shd w:val="clear" w:color="auto" w:fill="auto"/>
            <w:noWrap/>
            <w:vAlign w:val="center"/>
          </w:tcPr>
          <w:p w14:paraId="1B1D5609">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传统技艺、传统美术、传统手工技艺、传统体育等分布情况</w:t>
            </w:r>
          </w:p>
        </w:tc>
      </w:tr>
      <w:tr w14:paraId="3F052953">
        <w:tblPrEx>
          <w:tblCellMar>
            <w:top w:w="0" w:type="dxa"/>
            <w:left w:w="108" w:type="dxa"/>
            <w:bottom w:w="0" w:type="dxa"/>
            <w:right w:w="108" w:type="dxa"/>
          </w:tblCellMar>
        </w:tblPrEx>
        <w:trPr>
          <w:trHeight w:val="2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4A00BFE0">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道路交通</w:t>
            </w:r>
          </w:p>
        </w:tc>
        <w:tc>
          <w:tcPr>
            <w:tcW w:w="1800" w:type="dxa"/>
            <w:tcBorders>
              <w:top w:val="nil"/>
              <w:left w:val="nil"/>
              <w:bottom w:val="single" w:color="auto" w:sz="4" w:space="0"/>
              <w:right w:val="single" w:color="auto" w:sz="4" w:space="0"/>
            </w:tcBorders>
            <w:shd w:val="clear" w:color="auto" w:fill="auto"/>
            <w:noWrap/>
            <w:vAlign w:val="center"/>
          </w:tcPr>
          <w:p w14:paraId="0F8019F9">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市政道路</w:t>
            </w:r>
          </w:p>
        </w:tc>
        <w:tc>
          <w:tcPr>
            <w:tcW w:w="6315" w:type="dxa"/>
            <w:tcBorders>
              <w:top w:val="nil"/>
              <w:left w:val="nil"/>
              <w:bottom w:val="single" w:color="auto" w:sz="4" w:space="0"/>
              <w:right w:val="single" w:color="auto" w:sz="4" w:space="0"/>
            </w:tcBorders>
            <w:shd w:val="clear" w:color="auto" w:fill="auto"/>
            <w:noWrap/>
            <w:vAlign w:val="center"/>
          </w:tcPr>
          <w:p w14:paraId="4AA751BC">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rPr>
              <w:t>路网分布</w:t>
            </w:r>
            <w:r>
              <w:rPr>
                <w:rFonts w:hint="eastAsia" w:ascii="宋体" w:hAnsi="宋体"/>
                <w:color w:val="auto"/>
                <w:sz w:val="18"/>
                <w:szCs w:val="18"/>
                <w:highlight w:val="none"/>
                <w:lang w:eastAsia="zh-CN"/>
              </w:rPr>
              <w:t>、</w:t>
            </w:r>
            <w:r>
              <w:rPr>
                <w:rFonts w:hint="eastAsia" w:ascii="宋体" w:hAnsi="宋体"/>
                <w:color w:val="auto"/>
                <w:sz w:val="18"/>
                <w:szCs w:val="18"/>
                <w:highlight w:val="none"/>
              </w:rPr>
              <w:t>道路等级</w:t>
            </w:r>
            <w:r>
              <w:rPr>
                <w:rFonts w:hint="eastAsia" w:ascii="宋体" w:hAnsi="宋体"/>
                <w:color w:val="auto"/>
                <w:sz w:val="18"/>
                <w:szCs w:val="18"/>
                <w:highlight w:val="none"/>
                <w:lang w:eastAsia="zh-CN"/>
              </w:rPr>
              <w:t>、</w:t>
            </w:r>
            <w:r>
              <w:rPr>
                <w:rFonts w:hint="eastAsia" w:ascii="宋体" w:hAnsi="宋体"/>
                <w:color w:val="auto"/>
                <w:sz w:val="18"/>
                <w:szCs w:val="18"/>
                <w:highlight w:val="none"/>
              </w:rPr>
              <w:t>道路断面</w:t>
            </w:r>
          </w:p>
        </w:tc>
      </w:tr>
      <w:tr w14:paraId="7265830E">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1C1E4B68">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343E2A15">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慢行系统</w:t>
            </w:r>
          </w:p>
        </w:tc>
        <w:tc>
          <w:tcPr>
            <w:tcW w:w="6315" w:type="dxa"/>
            <w:tcBorders>
              <w:top w:val="nil"/>
              <w:left w:val="nil"/>
              <w:bottom w:val="single" w:color="auto" w:sz="4" w:space="0"/>
              <w:right w:val="single" w:color="auto" w:sz="4" w:space="0"/>
            </w:tcBorders>
            <w:shd w:val="clear" w:color="auto" w:fill="auto"/>
            <w:noWrap/>
            <w:vAlign w:val="center"/>
          </w:tcPr>
          <w:p w14:paraId="0AAE6889">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人行道分布情况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林荫道分布情况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特色步道分布情况</w:t>
            </w:r>
          </w:p>
        </w:tc>
      </w:tr>
      <w:tr w14:paraId="09613328">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12973C88">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0446D4C0">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公共交通系统</w:t>
            </w:r>
          </w:p>
        </w:tc>
        <w:tc>
          <w:tcPr>
            <w:tcW w:w="6315" w:type="dxa"/>
            <w:tcBorders>
              <w:top w:val="nil"/>
              <w:left w:val="nil"/>
              <w:bottom w:val="single" w:color="auto" w:sz="4" w:space="0"/>
              <w:right w:val="single" w:color="auto" w:sz="4" w:space="0"/>
            </w:tcBorders>
            <w:shd w:val="clear" w:color="auto" w:fill="auto"/>
            <w:noWrap/>
            <w:vAlign w:val="center"/>
          </w:tcPr>
          <w:p w14:paraId="46BAFBFA">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轨道交通站(场)、公交站(场)分布情况</w:t>
            </w:r>
          </w:p>
        </w:tc>
      </w:tr>
      <w:tr w14:paraId="48E17916">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01EC29F4">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003A020B">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停车系统</w:t>
            </w:r>
          </w:p>
        </w:tc>
        <w:tc>
          <w:tcPr>
            <w:tcW w:w="6315" w:type="dxa"/>
            <w:tcBorders>
              <w:top w:val="nil"/>
              <w:left w:val="nil"/>
              <w:bottom w:val="single" w:color="auto" w:sz="4" w:space="0"/>
              <w:right w:val="single" w:color="auto" w:sz="4" w:space="0"/>
            </w:tcBorders>
            <w:shd w:val="clear" w:color="auto" w:fill="auto"/>
            <w:noWrap/>
            <w:vAlign w:val="center"/>
          </w:tcPr>
          <w:p w14:paraId="45A5BA8A">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社会停车泊位数量及分布情况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新能源汽车充电桩数量及分布情况</w:t>
            </w:r>
          </w:p>
        </w:tc>
      </w:tr>
      <w:tr w14:paraId="221B772E">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38F0F3C7">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4D947F23">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交通拥堵相关信息</w:t>
            </w:r>
          </w:p>
        </w:tc>
        <w:tc>
          <w:tcPr>
            <w:tcW w:w="6315" w:type="dxa"/>
            <w:tcBorders>
              <w:top w:val="nil"/>
              <w:left w:val="nil"/>
              <w:bottom w:val="single" w:color="auto" w:sz="4" w:space="0"/>
              <w:right w:val="single" w:color="auto" w:sz="4" w:space="0"/>
            </w:tcBorders>
            <w:shd w:val="clear" w:color="auto" w:fill="auto"/>
            <w:noWrap/>
            <w:vAlign w:val="center"/>
          </w:tcPr>
          <w:p w14:paraId="0E6D3D8E">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高峰期平均机动车速度</w:t>
            </w:r>
          </w:p>
        </w:tc>
      </w:tr>
      <w:tr w14:paraId="19AE628A">
        <w:tblPrEx>
          <w:tblCellMar>
            <w:top w:w="0" w:type="dxa"/>
            <w:left w:w="108" w:type="dxa"/>
            <w:bottom w:w="0" w:type="dxa"/>
            <w:right w:w="108" w:type="dxa"/>
          </w:tblCellMar>
        </w:tblPrEx>
        <w:trPr>
          <w:trHeight w:val="20" w:hRule="atLeast"/>
          <w:jc w:val="center"/>
        </w:trPr>
        <w:tc>
          <w:tcPr>
            <w:tcW w:w="1341" w:type="dxa"/>
            <w:vMerge w:val="restart"/>
            <w:tcBorders>
              <w:top w:val="nil"/>
              <w:left w:val="single" w:color="auto" w:sz="4" w:space="0"/>
              <w:right w:val="single" w:color="auto" w:sz="4" w:space="0"/>
            </w:tcBorders>
            <w:shd w:val="clear" w:color="auto" w:fill="auto"/>
            <w:noWrap/>
            <w:vAlign w:val="center"/>
          </w:tcPr>
          <w:p w14:paraId="75660D70">
            <w:pPr>
              <w:spacing w:line="240" w:lineRule="auto"/>
              <w:jc w:val="center"/>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市政基础设施</w:t>
            </w:r>
          </w:p>
        </w:tc>
        <w:tc>
          <w:tcPr>
            <w:tcW w:w="1800" w:type="dxa"/>
            <w:tcBorders>
              <w:top w:val="nil"/>
              <w:left w:val="nil"/>
              <w:bottom w:val="single" w:color="auto" w:sz="4" w:space="0"/>
              <w:right w:val="single" w:color="auto" w:sz="4" w:space="0"/>
            </w:tcBorders>
            <w:shd w:val="clear" w:color="auto" w:fill="auto"/>
            <w:noWrap/>
            <w:vAlign w:val="center"/>
          </w:tcPr>
          <w:p w14:paraId="6F112ED7">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防灾</w:t>
            </w:r>
          </w:p>
        </w:tc>
        <w:tc>
          <w:tcPr>
            <w:tcW w:w="6315" w:type="dxa"/>
            <w:tcBorders>
              <w:top w:val="nil"/>
              <w:left w:val="nil"/>
              <w:bottom w:val="single" w:color="auto" w:sz="4" w:space="0"/>
              <w:right w:val="single" w:color="auto" w:sz="4" w:space="0"/>
            </w:tcBorders>
            <w:shd w:val="clear" w:color="auto" w:fill="auto"/>
            <w:noWrap/>
            <w:vAlign w:val="center"/>
          </w:tcPr>
          <w:p w14:paraId="1E50576C">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避难场所分布情况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严重易涝积水点位置及数量</w:t>
            </w:r>
            <w:r>
              <w:rPr>
                <w:rFonts w:hint="eastAsia" w:ascii="宋体" w:hAnsi="宋体"/>
                <w:color w:val="auto"/>
                <w:sz w:val="18"/>
                <w:szCs w:val="18"/>
                <w:highlight w:val="none"/>
                <w:lang w:eastAsia="zh-CN"/>
              </w:rPr>
              <w:t>、</w:t>
            </w:r>
            <w:r>
              <w:rPr>
                <w:rFonts w:hint="eastAsia" w:ascii="宋体" w:hAnsi="宋体"/>
                <w:color w:val="auto"/>
                <w:sz w:val="18"/>
                <w:szCs w:val="18"/>
                <w:highlight w:val="none"/>
              </w:rPr>
              <w:t>地质灾害隐患点位置及数量</w:t>
            </w:r>
          </w:p>
        </w:tc>
      </w:tr>
      <w:tr w14:paraId="3F2843EA">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2BFED9B0">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7A717AEF">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消防</w:t>
            </w:r>
          </w:p>
        </w:tc>
        <w:tc>
          <w:tcPr>
            <w:tcW w:w="6315" w:type="dxa"/>
            <w:tcBorders>
              <w:top w:val="nil"/>
              <w:left w:val="nil"/>
              <w:bottom w:val="single" w:color="auto" w:sz="4" w:space="0"/>
              <w:right w:val="single" w:color="auto" w:sz="4" w:space="0"/>
            </w:tcBorders>
            <w:shd w:val="clear" w:color="auto" w:fill="auto"/>
            <w:noWrap/>
            <w:vAlign w:val="center"/>
          </w:tcPr>
          <w:p w14:paraId="34F59884">
            <w:pPr>
              <w:spacing w:line="240" w:lineRule="auto"/>
              <w:jc w:val="left"/>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rPr>
              <w:t>城市消防站、消防设施</w:t>
            </w:r>
            <w:r>
              <w:rPr>
                <w:rFonts w:hint="eastAsia" w:ascii="宋体" w:hAnsi="宋体"/>
                <w:color w:val="auto"/>
                <w:sz w:val="18"/>
                <w:szCs w:val="18"/>
                <w:highlight w:val="none"/>
                <w:lang w:val="en-US" w:eastAsia="zh-CN"/>
              </w:rPr>
              <w:t>数量、分布、数量、服务年限、运行状态情况</w:t>
            </w:r>
          </w:p>
        </w:tc>
      </w:tr>
      <w:tr w14:paraId="4A448EF8">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671C0235">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529C6F36">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给排水</w:t>
            </w:r>
          </w:p>
        </w:tc>
        <w:tc>
          <w:tcPr>
            <w:tcW w:w="6315" w:type="dxa"/>
            <w:tcBorders>
              <w:top w:val="nil"/>
              <w:left w:val="nil"/>
              <w:bottom w:val="single" w:color="auto" w:sz="4" w:space="0"/>
              <w:right w:val="single" w:color="auto" w:sz="4" w:space="0"/>
            </w:tcBorders>
            <w:shd w:val="clear" w:color="auto" w:fill="auto"/>
            <w:noWrap/>
            <w:vAlign w:val="center"/>
          </w:tcPr>
          <w:p w14:paraId="72F1A25A">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供水设施</w:t>
            </w:r>
            <w:r>
              <w:rPr>
                <w:rFonts w:hint="eastAsia" w:ascii="宋体" w:hAnsi="宋体"/>
                <w:color w:val="auto"/>
                <w:sz w:val="18"/>
                <w:szCs w:val="18"/>
                <w:highlight w:val="none"/>
                <w:lang w:eastAsia="zh-CN"/>
              </w:rPr>
              <w:t>、</w:t>
            </w:r>
            <w:r>
              <w:rPr>
                <w:rFonts w:hint="eastAsia" w:ascii="宋体" w:hAnsi="宋体"/>
                <w:color w:val="auto"/>
                <w:sz w:val="18"/>
                <w:szCs w:val="18"/>
                <w:highlight w:val="none"/>
              </w:rPr>
              <w:t>排水设施</w:t>
            </w:r>
            <w:r>
              <w:rPr>
                <w:rFonts w:hint="eastAsia" w:ascii="宋体" w:hAnsi="宋体"/>
                <w:color w:val="auto"/>
                <w:sz w:val="18"/>
                <w:szCs w:val="18"/>
                <w:highlight w:val="none"/>
                <w:lang w:val="en-US" w:eastAsia="zh-CN"/>
              </w:rPr>
              <w:t>数量、分布、服务年限、运行状态情况</w:t>
            </w:r>
          </w:p>
        </w:tc>
      </w:tr>
      <w:tr w14:paraId="067E3B8E">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7B8B1159">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2F11EC67">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电力</w:t>
            </w:r>
          </w:p>
        </w:tc>
        <w:tc>
          <w:tcPr>
            <w:tcW w:w="6315" w:type="dxa"/>
            <w:tcBorders>
              <w:top w:val="nil"/>
              <w:left w:val="nil"/>
              <w:bottom w:val="single" w:color="auto" w:sz="4" w:space="0"/>
              <w:right w:val="single" w:color="auto" w:sz="4" w:space="0"/>
            </w:tcBorders>
            <w:shd w:val="clear" w:color="auto" w:fill="auto"/>
            <w:noWrap/>
            <w:vAlign w:val="center"/>
          </w:tcPr>
          <w:p w14:paraId="3FD20DEC">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供电设施</w:t>
            </w:r>
            <w:r>
              <w:rPr>
                <w:rFonts w:hint="eastAsia" w:ascii="宋体" w:hAnsi="宋体"/>
                <w:color w:val="auto"/>
                <w:sz w:val="18"/>
                <w:szCs w:val="18"/>
                <w:highlight w:val="none"/>
                <w:lang w:val="en-US" w:eastAsia="zh-CN"/>
              </w:rPr>
              <w:t>数量、分布、服务年限、运行状态情况</w:t>
            </w:r>
            <w:r>
              <w:rPr>
                <w:rFonts w:hint="eastAsia" w:ascii="宋体" w:hAnsi="宋体"/>
                <w:color w:val="auto"/>
                <w:sz w:val="18"/>
                <w:szCs w:val="18"/>
                <w:highlight w:val="none"/>
                <w:lang w:eastAsia="zh-CN"/>
              </w:rPr>
              <w:t>，</w:t>
            </w:r>
            <w:r>
              <w:rPr>
                <w:rFonts w:hint="eastAsia" w:ascii="宋体" w:hAnsi="宋体"/>
                <w:color w:val="auto"/>
                <w:sz w:val="18"/>
                <w:szCs w:val="18"/>
                <w:highlight w:val="none"/>
              </w:rPr>
              <w:t>主要高压线网走线</w:t>
            </w:r>
          </w:p>
        </w:tc>
      </w:tr>
      <w:tr w14:paraId="16472BD3">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24422745">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0634A47E">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燃气</w:t>
            </w:r>
          </w:p>
        </w:tc>
        <w:tc>
          <w:tcPr>
            <w:tcW w:w="6315" w:type="dxa"/>
            <w:tcBorders>
              <w:top w:val="nil"/>
              <w:left w:val="nil"/>
              <w:bottom w:val="single" w:color="auto" w:sz="4" w:space="0"/>
              <w:right w:val="single" w:color="auto" w:sz="4" w:space="0"/>
            </w:tcBorders>
            <w:shd w:val="clear" w:color="auto" w:fill="auto"/>
            <w:noWrap/>
            <w:vAlign w:val="center"/>
          </w:tcPr>
          <w:p w14:paraId="36DA3D2D">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燃气供应设施</w:t>
            </w:r>
            <w:r>
              <w:rPr>
                <w:rFonts w:hint="eastAsia" w:ascii="宋体" w:hAnsi="宋体"/>
                <w:color w:val="auto"/>
                <w:sz w:val="18"/>
                <w:szCs w:val="18"/>
                <w:highlight w:val="none"/>
                <w:lang w:val="en-US" w:eastAsia="zh-CN"/>
              </w:rPr>
              <w:t>数量、分布、服务年限、运行状态情况</w:t>
            </w:r>
          </w:p>
        </w:tc>
      </w:tr>
      <w:tr w14:paraId="6F484987">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6783E629">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526018B8">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环卫</w:t>
            </w:r>
          </w:p>
        </w:tc>
        <w:tc>
          <w:tcPr>
            <w:tcW w:w="6315" w:type="dxa"/>
            <w:tcBorders>
              <w:top w:val="nil"/>
              <w:left w:val="nil"/>
              <w:bottom w:val="single" w:color="auto" w:sz="4" w:space="0"/>
              <w:right w:val="single" w:color="auto" w:sz="4" w:space="0"/>
            </w:tcBorders>
            <w:shd w:val="clear" w:color="auto" w:fill="auto"/>
            <w:noWrap/>
            <w:vAlign w:val="center"/>
          </w:tcPr>
          <w:p w14:paraId="34CC40A2">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垃圾转运站</w:t>
            </w:r>
            <w:r>
              <w:rPr>
                <w:rFonts w:hint="eastAsia" w:ascii="宋体" w:hAnsi="宋体"/>
                <w:color w:val="auto"/>
                <w:sz w:val="18"/>
                <w:szCs w:val="18"/>
                <w:highlight w:val="none"/>
                <w:lang w:eastAsia="zh-CN"/>
              </w:rPr>
              <w:t>、</w:t>
            </w:r>
            <w:r>
              <w:rPr>
                <w:rFonts w:hint="eastAsia" w:ascii="宋体" w:hAnsi="宋体"/>
                <w:color w:val="auto"/>
                <w:sz w:val="18"/>
                <w:szCs w:val="18"/>
                <w:highlight w:val="none"/>
              </w:rPr>
              <w:t>垃圾收集站</w:t>
            </w:r>
            <w:r>
              <w:rPr>
                <w:rFonts w:hint="eastAsia" w:ascii="宋体" w:hAnsi="宋体"/>
                <w:color w:val="auto"/>
                <w:sz w:val="18"/>
                <w:szCs w:val="18"/>
                <w:highlight w:val="none"/>
                <w:lang w:val="en-US" w:eastAsia="zh-CN"/>
              </w:rPr>
              <w:t>数量、分布、服务年限、运行状态情况</w:t>
            </w:r>
          </w:p>
        </w:tc>
      </w:tr>
      <w:tr w14:paraId="10DEACEC">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right w:val="single" w:color="auto" w:sz="4" w:space="0"/>
            </w:tcBorders>
            <w:shd w:val="clear" w:color="auto" w:fill="auto"/>
            <w:noWrap/>
            <w:vAlign w:val="center"/>
          </w:tcPr>
          <w:p w14:paraId="27AAA485">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11705FEA">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通讯</w:t>
            </w:r>
          </w:p>
        </w:tc>
        <w:tc>
          <w:tcPr>
            <w:tcW w:w="6315" w:type="dxa"/>
            <w:tcBorders>
              <w:top w:val="nil"/>
              <w:left w:val="nil"/>
              <w:bottom w:val="single" w:color="auto" w:sz="4" w:space="0"/>
              <w:right w:val="single" w:color="auto" w:sz="4" w:space="0"/>
            </w:tcBorders>
            <w:shd w:val="clear" w:color="auto" w:fill="auto"/>
            <w:noWrap/>
            <w:vAlign w:val="center"/>
          </w:tcPr>
          <w:p w14:paraId="2DBBCA89">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通讯设施</w:t>
            </w:r>
            <w:r>
              <w:rPr>
                <w:rFonts w:hint="eastAsia" w:ascii="宋体" w:hAnsi="宋体"/>
                <w:color w:val="auto"/>
                <w:sz w:val="18"/>
                <w:szCs w:val="18"/>
                <w:highlight w:val="none"/>
                <w:lang w:val="en-US" w:eastAsia="zh-CN"/>
              </w:rPr>
              <w:t>数量、分布、服务年限、运行状态情况</w:t>
            </w:r>
          </w:p>
        </w:tc>
      </w:tr>
      <w:tr w14:paraId="595B531D">
        <w:tblPrEx>
          <w:tblCellMar>
            <w:top w:w="0" w:type="dxa"/>
            <w:left w:w="108" w:type="dxa"/>
            <w:bottom w:w="0" w:type="dxa"/>
            <w:right w:w="108" w:type="dxa"/>
          </w:tblCellMar>
        </w:tblPrEx>
        <w:trPr>
          <w:trHeight w:val="20" w:hRule="atLeast"/>
          <w:jc w:val="center"/>
        </w:trPr>
        <w:tc>
          <w:tcPr>
            <w:tcW w:w="1341" w:type="dxa"/>
            <w:vMerge w:val="continue"/>
            <w:tcBorders>
              <w:left w:val="single" w:color="auto" w:sz="4" w:space="0"/>
              <w:bottom w:val="single" w:color="auto" w:sz="4" w:space="0"/>
              <w:right w:val="single" w:color="auto" w:sz="4" w:space="0"/>
            </w:tcBorders>
            <w:shd w:val="clear" w:color="auto" w:fill="auto"/>
            <w:noWrap/>
            <w:vAlign w:val="center"/>
          </w:tcPr>
          <w:p w14:paraId="37CAFFCF">
            <w:pPr>
              <w:spacing w:line="240" w:lineRule="auto"/>
              <w:jc w:val="center"/>
              <w:rPr>
                <w:rFonts w:ascii="宋体" w:hAnsi="宋体"/>
                <w:color w:val="auto"/>
                <w:sz w:val="18"/>
                <w:szCs w:val="18"/>
                <w:highlight w:val="none"/>
              </w:rPr>
            </w:pPr>
          </w:p>
        </w:tc>
        <w:tc>
          <w:tcPr>
            <w:tcW w:w="1800" w:type="dxa"/>
            <w:tcBorders>
              <w:top w:val="nil"/>
              <w:left w:val="nil"/>
              <w:bottom w:val="single" w:color="auto" w:sz="4" w:space="0"/>
              <w:right w:val="single" w:color="auto" w:sz="4" w:space="0"/>
            </w:tcBorders>
            <w:shd w:val="clear" w:color="auto" w:fill="auto"/>
            <w:noWrap/>
            <w:vAlign w:val="center"/>
          </w:tcPr>
          <w:p w14:paraId="6300092C">
            <w:pPr>
              <w:spacing w:line="240" w:lineRule="auto"/>
              <w:jc w:val="center"/>
              <w:rPr>
                <w:rFonts w:hint="eastAsia" w:ascii="宋体" w:hAnsi="宋体"/>
                <w:color w:val="auto"/>
                <w:sz w:val="18"/>
                <w:szCs w:val="18"/>
                <w:highlight w:val="none"/>
              </w:rPr>
            </w:pPr>
            <w:r>
              <w:rPr>
                <w:rFonts w:hint="eastAsia" w:ascii="宋体" w:hAnsi="宋体"/>
                <w:color w:val="auto"/>
                <w:sz w:val="18"/>
                <w:szCs w:val="18"/>
                <w:highlight w:val="none"/>
              </w:rPr>
              <w:t>海绵城市</w:t>
            </w:r>
          </w:p>
        </w:tc>
        <w:tc>
          <w:tcPr>
            <w:tcW w:w="6315" w:type="dxa"/>
            <w:tcBorders>
              <w:top w:val="nil"/>
              <w:left w:val="nil"/>
              <w:bottom w:val="single" w:color="auto" w:sz="4" w:space="0"/>
              <w:right w:val="single" w:color="auto" w:sz="4" w:space="0"/>
            </w:tcBorders>
            <w:shd w:val="clear" w:color="auto" w:fill="auto"/>
            <w:noWrap/>
            <w:vAlign w:val="center"/>
          </w:tcPr>
          <w:p w14:paraId="01C30D91">
            <w:pPr>
              <w:spacing w:line="240" w:lineRule="auto"/>
              <w:jc w:val="left"/>
              <w:rPr>
                <w:rFonts w:hint="eastAsia" w:ascii="宋体" w:hAnsi="宋体"/>
                <w:color w:val="auto"/>
                <w:sz w:val="18"/>
                <w:szCs w:val="18"/>
                <w:highlight w:val="none"/>
              </w:rPr>
            </w:pPr>
            <w:r>
              <w:rPr>
                <w:rFonts w:hint="eastAsia" w:ascii="宋体" w:hAnsi="宋体"/>
                <w:color w:val="auto"/>
                <w:sz w:val="18"/>
                <w:szCs w:val="18"/>
                <w:highlight w:val="none"/>
              </w:rPr>
              <w:t>海绵城市建设相关情况</w:t>
            </w:r>
          </w:p>
        </w:tc>
      </w:tr>
    </w:tbl>
    <w:p w14:paraId="7C13ADEC">
      <w:pPr>
        <w:rPr>
          <w:rFonts w:hint="eastAsia"/>
          <w:highlight w:val="none"/>
        </w:rPr>
      </w:pPr>
      <w:r>
        <w:rPr>
          <w:rFonts w:hint="eastAsia"/>
          <w:highlight w:val="none"/>
        </w:rPr>
        <w:br w:type="page"/>
      </w:r>
    </w:p>
    <w:p w14:paraId="33F974E8">
      <w:pPr>
        <w:pStyle w:val="196"/>
        <w:shd w:val="clear" w:color="FFFFFF" w:fill="FFFFFF"/>
        <w:spacing w:before="83" w:after="166"/>
        <w:rPr>
          <w:highlight w:val="none"/>
        </w:rPr>
      </w:pPr>
      <w:bookmarkStart w:id="51" w:name="_Toc25925"/>
      <w:bookmarkEnd w:id="51"/>
    </w:p>
    <w:p w14:paraId="02DC3D0F">
      <w:pPr>
        <w:pStyle w:val="196"/>
        <w:numPr>
          <w:ilvl w:val="0"/>
          <w:numId w:val="0"/>
        </w:numPr>
        <w:spacing w:before="83" w:after="166"/>
        <w:ind w:leftChars="0"/>
        <w:jc w:val="center"/>
        <w:rPr>
          <w:highlight w:val="none"/>
        </w:rPr>
      </w:pPr>
      <w:bookmarkStart w:id="52" w:name="_Toc28567"/>
      <w:r>
        <w:rPr>
          <w:rFonts w:hint="eastAsia"/>
          <w:highlight w:val="none"/>
        </w:rPr>
        <w:t>（资料性）</w:t>
      </w:r>
      <w:r>
        <w:rPr>
          <w:highlight w:val="none"/>
        </w:rPr>
        <w:br w:type="textWrapping"/>
      </w:r>
      <w:r>
        <w:rPr>
          <w:rFonts w:hint="eastAsia"/>
          <w:highlight w:val="none"/>
        </w:rPr>
        <w:t>城市更新</w:t>
      </w:r>
      <w:r>
        <w:rPr>
          <w:rFonts w:hint="eastAsia"/>
          <w:highlight w:val="none"/>
          <w:lang w:val="en-US" w:eastAsia="zh-CN"/>
        </w:rPr>
        <w:t>意愿调查要点汇总</w:t>
      </w:r>
      <w:r>
        <w:rPr>
          <w:rFonts w:hint="eastAsia"/>
          <w:highlight w:val="none"/>
        </w:rPr>
        <w:t>表</w:t>
      </w:r>
      <w:bookmarkEnd w:id="52"/>
    </w:p>
    <w:p w14:paraId="520483A0">
      <w:pPr>
        <w:ind w:firstLine="420" w:firstLineChars="200"/>
        <w:rPr>
          <w:rFonts w:hint="eastAsia"/>
          <w:highlight w:val="none"/>
        </w:rPr>
      </w:pPr>
      <w:r>
        <w:rPr>
          <w:rFonts w:hint="eastAsia"/>
          <w:highlight w:val="none"/>
        </w:rPr>
        <w:t>城市更新意愿调查要点汇总表如表</w:t>
      </w:r>
      <w:r>
        <w:rPr>
          <w:rFonts w:hint="eastAsia"/>
          <w:highlight w:val="none"/>
          <w:lang w:val="en-US" w:eastAsia="zh-CN"/>
        </w:rPr>
        <w:t>B</w:t>
      </w:r>
      <w:r>
        <w:rPr>
          <w:rFonts w:hint="eastAsia"/>
          <w:highlight w:val="none"/>
        </w:rPr>
        <w:t>.1所示。</w:t>
      </w:r>
    </w:p>
    <w:p w14:paraId="38E7C0D6">
      <w:pPr>
        <w:pStyle w:val="146"/>
        <w:numPr>
          <w:ilvl w:val="1"/>
          <w:numId w:val="0"/>
        </w:numPr>
        <w:spacing w:before="166" w:beforeLines="50"/>
        <w:ind w:left="0" w:leftChars="0" w:firstLine="420" w:firstLineChars="0"/>
        <w:rPr>
          <w:highlight w:val="none"/>
        </w:rPr>
      </w:pPr>
      <w:r>
        <w:rPr>
          <w:rFonts w:hint="eastAsia" w:ascii="黑体" w:hAnsi="Times New Roman" w:eastAsia="黑体" w:cs="Times New Roman"/>
          <w:sz w:val="21"/>
          <w:szCs w:val="13"/>
          <w:highlight w:val="none"/>
          <w:lang w:val="en-US" w:eastAsia="zh-CN" w:bidi="ar-SA"/>
        </w:rPr>
        <w:t>表</w:t>
      </w:r>
      <w:r>
        <w:rPr>
          <w:rFonts w:hint="eastAsia" w:cs="Times New Roman"/>
          <w:sz w:val="21"/>
          <w:szCs w:val="13"/>
          <w:highlight w:val="none"/>
          <w:lang w:val="en-US" w:eastAsia="zh-CN" w:bidi="ar-SA"/>
        </w:rPr>
        <w:t>B</w:t>
      </w:r>
      <w:r>
        <w:rPr>
          <w:rFonts w:hint="eastAsia" w:ascii="黑体" w:hAnsi="Times New Roman" w:eastAsia="黑体" w:cs="Times New Roman"/>
          <w:sz w:val="21"/>
          <w:szCs w:val="13"/>
          <w:highlight w:val="none"/>
          <w:lang w:val="en-US" w:eastAsia="zh-CN" w:bidi="ar-SA"/>
        </w:rPr>
        <w:t>.1</w:t>
      </w:r>
      <w:r>
        <w:rPr>
          <w:rFonts w:hint="eastAsia" w:cs="Times New Roman"/>
          <w:sz w:val="21"/>
          <w:szCs w:val="13"/>
          <w:highlight w:val="none"/>
          <w:lang w:val="en-US" w:eastAsia="zh-CN" w:bidi="ar-SA"/>
        </w:rPr>
        <w:t xml:space="preserve"> </w:t>
      </w:r>
      <w:r>
        <w:rPr>
          <w:rFonts w:hint="eastAsia"/>
          <w:highlight w:val="none"/>
        </w:rPr>
        <w:t>城市更新意愿调查要点汇总表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3046"/>
        <w:gridCol w:w="5927"/>
      </w:tblGrid>
      <w:tr w14:paraId="2800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45" w:type="dxa"/>
            <w:shd w:val="clear" w:color="auto" w:fill="auto"/>
            <w:noWrap/>
            <w:vAlign w:val="center"/>
          </w:tcPr>
          <w:p w14:paraId="0AF5F0A2">
            <w:pPr>
              <w:spacing w:line="240" w:lineRule="auto"/>
              <w:jc w:val="center"/>
              <w:rPr>
                <w:rFonts w:ascii="宋体" w:hAnsi="宋体"/>
                <w:sz w:val="18"/>
                <w:szCs w:val="18"/>
                <w:highlight w:val="none"/>
              </w:rPr>
            </w:pPr>
            <w:r>
              <w:rPr>
                <w:rFonts w:hint="eastAsia" w:ascii="宋体" w:hAnsi="宋体"/>
                <w:sz w:val="18"/>
                <w:szCs w:val="18"/>
                <w:highlight w:val="none"/>
              </w:rPr>
              <w:t>序号</w:t>
            </w:r>
          </w:p>
        </w:tc>
        <w:tc>
          <w:tcPr>
            <w:tcW w:w="3046" w:type="dxa"/>
            <w:shd w:val="clear" w:color="auto" w:fill="auto"/>
            <w:noWrap/>
            <w:vAlign w:val="center"/>
          </w:tcPr>
          <w:p w14:paraId="11F751F6">
            <w:pPr>
              <w:spacing w:line="240" w:lineRule="auto"/>
              <w:jc w:val="center"/>
              <w:rPr>
                <w:rFonts w:hint="default" w:ascii="宋体" w:hAnsi="宋体"/>
                <w:sz w:val="18"/>
                <w:szCs w:val="18"/>
                <w:highlight w:val="none"/>
                <w:lang w:val="en-US"/>
              </w:rPr>
            </w:pPr>
            <w:r>
              <w:rPr>
                <w:rFonts w:hint="eastAsia" w:ascii="宋体" w:hAnsi="宋体"/>
                <w:sz w:val="18"/>
                <w:szCs w:val="18"/>
                <w:highlight w:val="none"/>
                <w:lang w:val="en-US" w:eastAsia="zh-CN"/>
              </w:rPr>
              <w:t>调查主体</w:t>
            </w:r>
          </w:p>
        </w:tc>
        <w:tc>
          <w:tcPr>
            <w:tcW w:w="5927" w:type="dxa"/>
            <w:shd w:val="clear" w:color="auto" w:fill="auto"/>
            <w:noWrap/>
            <w:vAlign w:val="center"/>
          </w:tcPr>
          <w:p w14:paraId="48FF7A6D">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调查要点</w:t>
            </w:r>
          </w:p>
        </w:tc>
      </w:tr>
      <w:tr w14:paraId="0EDA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5" w:type="dxa"/>
            <w:shd w:val="clear" w:color="auto" w:fill="auto"/>
            <w:noWrap/>
            <w:vAlign w:val="center"/>
          </w:tcPr>
          <w:p w14:paraId="70B3B2CA">
            <w:pPr>
              <w:spacing w:line="240" w:lineRule="auto"/>
              <w:jc w:val="center"/>
              <w:rPr>
                <w:rFonts w:ascii="宋体" w:hAnsi="宋体"/>
                <w:sz w:val="18"/>
                <w:szCs w:val="18"/>
                <w:highlight w:val="none"/>
              </w:rPr>
            </w:pPr>
            <w:r>
              <w:rPr>
                <w:rFonts w:hint="eastAsia" w:ascii="宋体" w:hAnsi="宋体"/>
                <w:sz w:val="18"/>
                <w:szCs w:val="18"/>
                <w:highlight w:val="none"/>
              </w:rPr>
              <w:t>一</w:t>
            </w:r>
          </w:p>
        </w:tc>
        <w:tc>
          <w:tcPr>
            <w:tcW w:w="3046" w:type="dxa"/>
            <w:shd w:val="clear" w:color="auto" w:fill="auto"/>
            <w:noWrap/>
            <w:vAlign w:val="center"/>
          </w:tcPr>
          <w:p w14:paraId="5A352E2F">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城市更新单元（片区）内居民</w:t>
            </w:r>
          </w:p>
        </w:tc>
        <w:tc>
          <w:tcPr>
            <w:tcW w:w="5927" w:type="dxa"/>
            <w:shd w:val="clear" w:color="auto" w:fill="auto"/>
            <w:noWrap/>
            <w:vAlign w:val="center"/>
          </w:tcPr>
          <w:p w14:paraId="0F13BF93">
            <w:pPr>
              <w:spacing w:line="240" w:lineRule="auto"/>
              <w:jc w:val="left"/>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基本信息，公共设施、住房环境、基础设施、开敞空间、出行环境、街道品质等现状满意度、核心更新诉求和更新意愿，了解居民对更新实施模式、施工安排、后期运维的意见。</w:t>
            </w:r>
          </w:p>
        </w:tc>
      </w:tr>
      <w:tr w14:paraId="6156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5" w:type="dxa"/>
            <w:shd w:val="clear" w:color="auto" w:fill="auto"/>
            <w:noWrap/>
            <w:vAlign w:val="center"/>
          </w:tcPr>
          <w:p w14:paraId="0D08AB9F">
            <w:pPr>
              <w:spacing w:line="240" w:lineRule="auto"/>
              <w:jc w:val="center"/>
              <w:rPr>
                <w:rFonts w:ascii="宋体" w:hAnsi="宋体"/>
                <w:sz w:val="18"/>
                <w:szCs w:val="18"/>
                <w:highlight w:val="none"/>
              </w:rPr>
            </w:pPr>
            <w:r>
              <w:rPr>
                <w:rFonts w:hint="eastAsia" w:ascii="宋体" w:hAnsi="宋体"/>
                <w:sz w:val="18"/>
                <w:szCs w:val="18"/>
                <w:highlight w:val="none"/>
              </w:rPr>
              <w:t>二</w:t>
            </w:r>
          </w:p>
        </w:tc>
        <w:tc>
          <w:tcPr>
            <w:tcW w:w="3046" w:type="dxa"/>
            <w:shd w:val="clear" w:color="auto" w:fill="auto"/>
            <w:noWrap/>
            <w:vAlign w:val="center"/>
          </w:tcPr>
          <w:p w14:paraId="7CDC8342">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城市更新单元（片区）内管理主体</w:t>
            </w:r>
          </w:p>
        </w:tc>
        <w:tc>
          <w:tcPr>
            <w:tcW w:w="5927" w:type="dxa"/>
            <w:shd w:val="clear" w:color="auto" w:fill="auto"/>
            <w:noWrap/>
            <w:vAlign w:val="center"/>
          </w:tcPr>
          <w:p w14:paraId="12E457EF">
            <w:pPr>
              <w:spacing w:line="240" w:lineRule="auto"/>
              <w:jc w:val="left"/>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基本信息，城市更新单元（片区）的相关规划编制实施情况，城市建设基本情况、更新重点区域和重点工作、项目计划等内容，更新存在的难点和堵点等内容。</w:t>
            </w:r>
          </w:p>
        </w:tc>
      </w:tr>
      <w:tr w14:paraId="0010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5" w:type="dxa"/>
            <w:shd w:val="clear" w:color="auto" w:fill="auto"/>
            <w:noWrap/>
            <w:vAlign w:val="center"/>
          </w:tcPr>
          <w:p w14:paraId="75B3D98B">
            <w:pPr>
              <w:spacing w:line="240" w:lineRule="auto"/>
              <w:jc w:val="center"/>
              <w:rPr>
                <w:rFonts w:ascii="宋体" w:hAnsi="宋体"/>
                <w:sz w:val="18"/>
                <w:szCs w:val="18"/>
                <w:highlight w:val="none"/>
              </w:rPr>
            </w:pPr>
            <w:r>
              <w:rPr>
                <w:rFonts w:hint="eastAsia" w:ascii="宋体" w:hAnsi="宋体"/>
                <w:sz w:val="18"/>
                <w:szCs w:val="18"/>
                <w:highlight w:val="none"/>
              </w:rPr>
              <w:t>三</w:t>
            </w:r>
          </w:p>
        </w:tc>
        <w:tc>
          <w:tcPr>
            <w:tcW w:w="3046" w:type="dxa"/>
            <w:shd w:val="clear" w:color="auto" w:fill="auto"/>
            <w:noWrap/>
            <w:vAlign w:val="center"/>
          </w:tcPr>
          <w:p w14:paraId="55ED9A0D">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城市更新单元（片区）内利益主体</w:t>
            </w:r>
          </w:p>
        </w:tc>
        <w:tc>
          <w:tcPr>
            <w:tcW w:w="5927" w:type="dxa"/>
            <w:shd w:val="clear" w:color="auto" w:fill="auto"/>
            <w:noWrap/>
            <w:vAlign w:val="center"/>
          </w:tcPr>
          <w:p w14:paraId="4FCF2A6C">
            <w:pPr>
              <w:spacing w:line="240" w:lineRule="auto"/>
              <w:jc w:val="left"/>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基本信息、现状满意度、更新意愿、核心更新诉求、实施计划、运营模式、政策建议等内容。</w:t>
            </w:r>
          </w:p>
        </w:tc>
      </w:tr>
    </w:tbl>
    <w:p w14:paraId="0F359228">
      <w:pPr>
        <w:rPr>
          <w:highlight w:val="none"/>
        </w:rPr>
      </w:pPr>
      <w:r>
        <w:rPr>
          <w:highlight w:val="none"/>
        </w:rPr>
        <w:br w:type="page"/>
      </w:r>
    </w:p>
    <w:p w14:paraId="4448CB59">
      <w:pPr>
        <w:pStyle w:val="196"/>
        <w:numPr>
          <w:ilvl w:val="0"/>
          <w:numId w:val="1"/>
        </w:numPr>
        <w:bidi w:val="0"/>
        <w:rPr>
          <w:highlight w:val="none"/>
        </w:rPr>
      </w:pPr>
      <w:bookmarkStart w:id="53" w:name="_Toc20531"/>
      <w:bookmarkEnd w:id="53"/>
    </w:p>
    <w:p w14:paraId="5746CB99">
      <w:pPr>
        <w:pStyle w:val="196"/>
        <w:numPr>
          <w:ilvl w:val="0"/>
          <w:numId w:val="0"/>
        </w:numPr>
        <w:spacing w:before="83" w:after="166"/>
        <w:ind w:leftChars="0"/>
        <w:jc w:val="center"/>
        <w:rPr>
          <w:highlight w:val="none"/>
        </w:rPr>
      </w:pPr>
      <w:bookmarkStart w:id="54" w:name="_Toc8540"/>
      <w:r>
        <w:rPr>
          <w:rFonts w:hint="eastAsia"/>
          <w:highlight w:val="none"/>
        </w:rPr>
        <w:t>（资料性）</w:t>
      </w:r>
      <w:r>
        <w:rPr>
          <w:highlight w:val="none"/>
        </w:rPr>
        <w:br w:type="textWrapping"/>
      </w:r>
      <w:r>
        <w:rPr>
          <w:rFonts w:hint="eastAsia"/>
          <w:highlight w:val="none"/>
        </w:rPr>
        <w:t>城市更新单元（片区）体检问题清单、需求清单、可利用资源清单样表</w:t>
      </w:r>
      <w:bookmarkEnd w:id="54"/>
    </w:p>
    <w:p w14:paraId="061D6F69">
      <w:pPr>
        <w:ind w:firstLine="420" w:firstLineChars="200"/>
        <w:rPr>
          <w:rFonts w:hint="eastAsia"/>
          <w:highlight w:val="none"/>
        </w:rPr>
      </w:pPr>
      <w:r>
        <w:rPr>
          <w:rFonts w:hint="eastAsia"/>
          <w:highlight w:val="none"/>
        </w:rPr>
        <w:t>城市更新单元（片区）体检</w:t>
      </w:r>
      <w:r>
        <w:rPr>
          <w:rFonts w:hint="eastAsia"/>
          <w:highlight w:val="none"/>
          <w:lang w:val="en-US" w:eastAsia="zh-CN"/>
        </w:rPr>
        <w:t>问题清单、需求清单、可利用资源清单样表</w:t>
      </w:r>
      <w:r>
        <w:rPr>
          <w:rFonts w:hint="eastAsia"/>
          <w:highlight w:val="none"/>
        </w:rPr>
        <w:t>如表</w:t>
      </w:r>
      <w:r>
        <w:rPr>
          <w:rFonts w:hint="eastAsia"/>
          <w:highlight w:val="none"/>
          <w:lang w:val="en-US" w:eastAsia="zh-CN"/>
        </w:rPr>
        <w:t>C</w:t>
      </w:r>
      <w:r>
        <w:rPr>
          <w:rFonts w:hint="eastAsia"/>
          <w:highlight w:val="none"/>
        </w:rPr>
        <w:t>.1</w:t>
      </w:r>
      <w:r>
        <w:rPr>
          <w:rFonts w:hint="eastAsia"/>
          <w:highlight w:val="none"/>
          <w:lang w:eastAsia="zh-CN"/>
        </w:rPr>
        <w:t>、</w:t>
      </w:r>
      <w:r>
        <w:rPr>
          <w:rFonts w:hint="eastAsia"/>
          <w:highlight w:val="none"/>
        </w:rPr>
        <w:t>表</w:t>
      </w:r>
      <w:r>
        <w:rPr>
          <w:rFonts w:hint="eastAsia"/>
          <w:highlight w:val="none"/>
          <w:lang w:val="en-US" w:eastAsia="zh-CN"/>
        </w:rPr>
        <w:t>C</w:t>
      </w:r>
      <w:r>
        <w:rPr>
          <w:rFonts w:hint="eastAsia"/>
          <w:highlight w:val="none"/>
        </w:rPr>
        <w:t>.</w:t>
      </w:r>
      <w:r>
        <w:rPr>
          <w:rFonts w:hint="eastAsia"/>
          <w:highlight w:val="none"/>
          <w:lang w:val="en-US" w:eastAsia="zh-CN"/>
        </w:rPr>
        <w:t>2</w:t>
      </w:r>
      <w:r>
        <w:rPr>
          <w:rFonts w:hint="eastAsia"/>
          <w:highlight w:val="none"/>
          <w:lang w:eastAsia="zh-CN"/>
        </w:rPr>
        <w:t>、</w:t>
      </w:r>
      <w:r>
        <w:rPr>
          <w:rFonts w:hint="eastAsia"/>
          <w:highlight w:val="none"/>
        </w:rPr>
        <w:t>表</w:t>
      </w:r>
      <w:r>
        <w:rPr>
          <w:rFonts w:hint="eastAsia"/>
          <w:highlight w:val="none"/>
          <w:lang w:val="en-US" w:eastAsia="zh-CN"/>
        </w:rPr>
        <w:t>C</w:t>
      </w:r>
      <w:r>
        <w:rPr>
          <w:rFonts w:hint="eastAsia"/>
          <w:highlight w:val="none"/>
        </w:rPr>
        <w:t>.</w:t>
      </w:r>
      <w:r>
        <w:rPr>
          <w:rFonts w:hint="eastAsia"/>
          <w:highlight w:val="none"/>
          <w:lang w:val="en-US" w:eastAsia="zh-CN"/>
        </w:rPr>
        <w:t>3</w:t>
      </w:r>
      <w:r>
        <w:rPr>
          <w:rFonts w:hint="eastAsia"/>
          <w:highlight w:val="none"/>
        </w:rPr>
        <w:t>所示。</w:t>
      </w:r>
    </w:p>
    <w:p w14:paraId="1E1494FF">
      <w:pPr>
        <w:pStyle w:val="146"/>
        <w:numPr>
          <w:ilvl w:val="1"/>
          <w:numId w:val="0"/>
        </w:numPr>
        <w:spacing w:before="166" w:beforeLines="50"/>
        <w:ind w:left="0" w:leftChars="0" w:firstLine="420" w:firstLineChars="0"/>
        <w:rPr>
          <w:rFonts w:hint="eastAsia" w:eastAsia="黑体"/>
          <w:highlight w:val="none"/>
          <w:lang w:val="en-US" w:eastAsia="zh-CN"/>
        </w:rPr>
      </w:pPr>
      <w:r>
        <w:rPr>
          <w:rFonts w:hint="eastAsia" w:ascii="黑体" w:hAnsi="Times New Roman" w:eastAsia="黑体" w:cs="Times New Roman"/>
          <w:sz w:val="21"/>
          <w:szCs w:val="13"/>
          <w:highlight w:val="none"/>
          <w:lang w:val="en-US" w:eastAsia="zh-CN" w:bidi="ar-SA"/>
        </w:rPr>
        <w:t>表</w:t>
      </w:r>
      <w:r>
        <w:rPr>
          <w:rFonts w:hint="eastAsia" w:cs="Times New Roman"/>
          <w:sz w:val="21"/>
          <w:szCs w:val="13"/>
          <w:highlight w:val="none"/>
          <w:lang w:val="en-US" w:eastAsia="zh-CN" w:bidi="ar-SA"/>
        </w:rPr>
        <w:t>C</w:t>
      </w:r>
      <w:r>
        <w:rPr>
          <w:rFonts w:hint="eastAsia" w:ascii="黑体" w:hAnsi="Times New Roman" w:eastAsia="黑体" w:cs="Times New Roman"/>
          <w:sz w:val="21"/>
          <w:szCs w:val="13"/>
          <w:highlight w:val="none"/>
          <w:lang w:val="en-US" w:eastAsia="zh-CN" w:bidi="ar-SA"/>
        </w:rPr>
        <w:t>.1</w:t>
      </w:r>
      <w:r>
        <w:rPr>
          <w:rFonts w:hint="eastAsia" w:cs="Times New Roman"/>
          <w:sz w:val="21"/>
          <w:szCs w:val="13"/>
          <w:highlight w:val="none"/>
          <w:lang w:val="en-US" w:eastAsia="zh-CN" w:bidi="ar-SA"/>
        </w:rPr>
        <w:t xml:space="preserve"> </w:t>
      </w:r>
      <w:r>
        <w:rPr>
          <w:rFonts w:hint="eastAsia"/>
          <w:highlight w:val="none"/>
        </w:rPr>
        <w:t>城市更新单元（片区）体检问题清单</w:t>
      </w:r>
      <w:r>
        <w:rPr>
          <w:rFonts w:hint="eastAsia"/>
          <w:highlight w:val="none"/>
          <w:lang w:val="en-US" w:eastAsia="zh-CN"/>
        </w:rPr>
        <w:t>样表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2283"/>
        <w:gridCol w:w="4880"/>
        <w:gridCol w:w="1492"/>
      </w:tblGrid>
      <w:tr w14:paraId="6FDD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blHeader/>
          <w:jc w:val="center"/>
        </w:trPr>
        <w:tc>
          <w:tcPr>
            <w:tcW w:w="943" w:type="dxa"/>
            <w:shd w:val="clear" w:color="auto" w:fill="auto"/>
            <w:noWrap/>
            <w:vAlign w:val="center"/>
          </w:tcPr>
          <w:p w14:paraId="3019FB08">
            <w:pPr>
              <w:spacing w:line="240" w:lineRule="auto"/>
              <w:jc w:val="center"/>
              <w:rPr>
                <w:rFonts w:ascii="宋体" w:hAnsi="宋体"/>
                <w:sz w:val="18"/>
                <w:szCs w:val="18"/>
                <w:highlight w:val="none"/>
              </w:rPr>
            </w:pPr>
            <w:r>
              <w:rPr>
                <w:rFonts w:hint="eastAsia" w:ascii="宋体" w:hAnsi="宋体"/>
                <w:sz w:val="18"/>
                <w:szCs w:val="18"/>
                <w:highlight w:val="none"/>
              </w:rPr>
              <w:t>序号</w:t>
            </w:r>
          </w:p>
        </w:tc>
        <w:tc>
          <w:tcPr>
            <w:tcW w:w="2283" w:type="dxa"/>
            <w:shd w:val="clear" w:color="auto" w:fill="auto"/>
            <w:noWrap/>
            <w:vAlign w:val="center"/>
          </w:tcPr>
          <w:p w14:paraId="45C50789">
            <w:pPr>
              <w:spacing w:line="240" w:lineRule="auto"/>
              <w:jc w:val="center"/>
              <w:rPr>
                <w:rFonts w:hint="default" w:ascii="宋体" w:hAnsi="宋体"/>
                <w:sz w:val="18"/>
                <w:szCs w:val="18"/>
                <w:highlight w:val="none"/>
                <w:lang w:val="en-US"/>
              </w:rPr>
            </w:pPr>
            <w:r>
              <w:rPr>
                <w:rFonts w:hint="eastAsia" w:ascii="宋体" w:hAnsi="宋体"/>
                <w:sz w:val="18"/>
                <w:szCs w:val="18"/>
                <w:highlight w:val="none"/>
                <w:lang w:val="en-US" w:eastAsia="zh-CN"/>
              </w:rPr>
              <w:t>问题类别</w:t>
            </w:r>
          </w:p>
        </w:tc>
        <w:tc>
          <w:tcPr>
            <w:tcW w:w="4880" w:type="dxa"/>
            <w:shd w:val="clear" w:color="auto" w:fill="auto"/>
            <w:noWrap/>
            <w:vAlign w:val="center"/>
          </w:tcPr>
          <w:p w14:paraId="2C6DBD01">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问题描述</w:t>
            </w:r>
          </w:p>
        </w:tc>
        <w:tc>
          <w:tcPr>
            <w:tcW w:w="1492" w:type="dxa"/>
            <w:shd w:val="clear" w:color="auto" w:fill="auto"/>
            <w:noWrap/>
            <w:vAlign w:val="center"/>
          </w:tcPr>
          <w:p w14:paraId="21C8B001">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问题来源</w:t>
            </w:r>
          </w:p>
        </w:tc>
      </w:tr>
      <w:tr w14:paraId="6137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1EC36765">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1</w:t>
            </w:r>
          </w:p>
        </w:tc>
        <w:tc>
          <w:tcPr>
            <w:tcW w:w="2283" w:type="dxa"/>
            <w:shd w:val="clear" w:color="auto" w:fill="auto"/>
            <w:noWrap/>
            <w:vAlign w:val="center"/>
          </w:tcPr>
          <w:p w14:paraId="5D1FC7F3">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空间资源与存量潜力</w:t>
            </w:r>
          </w:p>
        </w:tc>
        <w:tc>
          <w:tcPr>
            <w:tcW w:w="4880" w:type="dxa"/>
            <w:shd w:val="clear" w:color="auto" w:fill="auto"/>
            <w:noWrap/>
            <w:vAlign w:val="center"/>
          </w:tcPr>
          <w:p w14:paraId="5ABA1126">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1E66887F">
            <w:pPr>
              <w:spacing w:line="240" w:lineRule="auto"/>
              <w:jc w:val="center"/>
              <w:rPr>
                <w:rFonts w:hint="default" w:ascii="宋体" w:hAnsi="宋体"/>
                <w:sz w:val="18"/>
                <w:szCs w:val="18"/>
                <w:highlight w:val="none"/>
                <w:lang w:val="en-US" w:eastAsia="zh-CN"/>
              </w:rPr>
            </w:pPr>
          </w:p>
        </w:tc>
      </w:tr>
      <w:tr w14:paraId="501B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039CF8C6">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2</w:t>
            </w:r>
          </w:p>
        </w:tc>
        <w:tc>
          <w:tcPr>
            <w:tcW w:w="2283" w:type="dxa"/>
            <w:shd w:val="clear" w:color="auto" w:fill="auto"/>
            <w:noWrap/>
            <w:vAlign w:val="center"/>
          </w:tcPr>
          <w:p w14:paraId="37B53457">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人口结构</w:t>
            </w:r>
          </w:p>
        </w:tc>
        <w:tc>
          <w:tcPr>
            <w:tcW w:w="4880" w:type="dxa"/>
            <w:shd w:val="clear" w:color="auto" w:fill="auto"/>
            <w:noWrap/>
            <w:vAlign w:val="center"/>
          </w:tcPr>
          <w:p w14:paraId="11A83825">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25A1EB91">
            <w:pPr>
              <w:spacing w:line="240" w:lineRule="auto"/>
              <w:jc w:val="center"/>
              <w:rPr>
                <w:rFonts w:hint="default" w:ascii="宋体" w:hAnsi="宋体"/>
                <w:sz w:val="18"/>
                <w:szCs w:val="18"/>
                <w:highlight w:val="none"/>
                <w:lang w:val="en-US" w:eastAsia="zh-CN"/>
              </w:rPr>
            </w:pPr>
          </w:p>
        </w:tc>
      </w:tr>
      <w:tr w14:paraId="4263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61A3BCB8">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3</w:t>
            </w:r>
          </w:p>
        </w:tc>
        <w:tc>
          <w:tcPr>
            <w:tcW w:w="2283" w:type="dxa"/>
            <w:shd w:val="clear" w:color="auto" w:fill="auto"/>
            <w:noWrap/>
            <w:vAlign w:val="center"/>
          </w:tcPr>
          <w:p w14:paraId="0FCB52FD">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历史文化与风貌保护</w:t>
            </w:r>
          </w:p>
        </w:tc>
        <w:tc>
          <w:tcPr>
            <w:tcW w:w="4880" w:type="dxa"/>
            <w:shd w:val="clear" w:color="auto" w:fill="auto"/>
            <w:noWrap/>
            <w:vAlign w:val="center"/>
          </w:tcPr>
          <w:p w14:paraId="311E53D7">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017013E8">
            <w:pPr>
              <w:spacing w:line="240" w:lineRule="auto"/>
              <w:jc w:val="center"/>
              <w:rPr>
                <w:rFonts w:hint="default" w:ascii="宋体" w:hAnsi="宋体"/>
                <w:sz w:val="18"/>
                <w:szCs w:val="18"/>
                <w:highlight w:val="none"/>
                <w:lang w:val="en-US" w:eastAsia="zh-CN"/>
              </w:rPr>
            </w:pPr>
          </w:p>
        </w:tc>
      </w:tr>
      <w:tr w14:paraId="2C74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7493E1A2">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4</w:t>
            </w:r>
          </w:p>
        </w:tc>
        <w:tc>
          <w:tcPr>
            <w:tcW w:w="2283" w:type="dxa"/>
            <w:shd w:val="clear" w:color="auto" w:fill="auto"/>
            <w:noWrap/>
            <w:vAlign w:val="center"/>
          </w:tcPr>
          <w:p w14:paraId="609AEB28">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公共空间与环境品质</w:t>
            </w:r>
          </w:p>
        </w:tc>
        <w:tc>
          <w:tcPr>
            <w:tcW w:w="4880" w:type="dxa"/>
            <w:shd w:val="clear" w:color="auto" w:fill="auto"/>
            <w:noWrap/>
            <w:vAlign w:val="center"/>
          </w:tcPr>
          <w:p w14:paraId="0D60769F">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1D017552">
            <w:pPr>
              <w:spacing w:line="240" w:lineRule="auto"/>
              <w:jc w:val="center"/>
              <w:rPr>
                <w:rFonts w:hint="default" w:ascii="宋体" w:hAnsi="宋体"/>
                <w:sz w:val="18"/>
                <w:szCs w:val="18"/>
                <w:highlight w:val="none"/>
                <w:lang w:val="en-US" w:eastAsia="zh-CN"/>
              </w:rPr>
            </w:pPr>
          </w:p>
        </w:tc>
      </w:tr>
      <w:tr w14:paraId="61A5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76A41361">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2283" w:type="dxa"/>
            <w:shd w:val="clear" w:color="auto" w:fill="auto"/>
            <w:noWrap/>
            <w:vAlign w:val="center"/>
          </w:tcPr>
          <w:p w14:paraId="4CFF13CE">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公共服务设施</w:t>
            </w:r>
          </w:p>
        </w:tc>
        <w:tc>
          <w:tcPr>
            <w:tcW w:w="4880" w:type="dxa"/>
            <w:shd w:val="clear" w:color="auto" w:fill="auto"/>
            <w:noWrap/>
            <w:vAlign w:val="center"/>
          </w:tcPr>
          <w:p w14:paraId="31E166B4">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4D593705">
            <w:pPr>
              <w:spacing w:line="240" w:lineRule="auto"/>
              <w:jc w:val="center"/>
              <w:rPr>
                <w:rFonts w:hint="default" w:ascii="宋体" w:hAnsi="宋体"/>
                <w:sz w:val="18"/>
                <w:szCs w:val="18"/>
                <w:highlight w:val="none"/>
                <w:lang w:val="en-US" w:eastAsia="zh-CN"/>
              </w:rPr>
            </w:pPr>
          </w:p>
        </w:tc>
      </w:tr>
      <w:tr w14:paraId="4A25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32CE1B64">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2283" w:type="dxa"/>
            <w:shd w:val="clear" w:color="auto" w:fill="auto"/>
            <w:noWrap/>
            <w:vAlign w:val="center"/>
          </w:tcPr>
          <w:p w14:paraId="271A6819">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交通与基础设施</w:t>
            </w:r>
          </w:p>
        </w:tc>
        <w:tc>
          <w:tcPr>
            <w:tcW w:w="4880" w:type="dxa"/>
            <w:shd w:val="clear" w:color="auto" w:fill="auto"/>
            <w:noWrap/>
            <w:vAlign w:val="center"/>
          </w:tcPr>
          <w:p w14:paraId="7004DFEA">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6E971211">
            <w:pPr>
              <w:spacing w:line="240" w:lineRule="auto"/>
              <w:jc w:val="center"/>
              <w:rPr>
                <w:rFonts w:hint="default" w:ascii="宋体" w:hAnsi="宋体"/>
                <w:sz w:val="18"/>
                <w:szCs w:val="18"/>
                <w:highlight w:val="none"/>
                <w:lang w:val="en-US" w:eastAsia="zh-CN"/>
              </w:rPr>
            </w:pPr>
          </w:p>
        </w:tc>
      </w:tr>
      <w:tr w14:paraId="2BF0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7A014AE4">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7</w:t>
            </w:r>
          </w:p>
        </w:tc>
        <w:tc>
          <w:tcPr>
            <w:tcW w:w="2283" w:type="dxa"/>
            <w:shd w:val="clear" w:color="auto" w:fill="auto"/>
            <w:noWrap/>
            <w:vAlign w:val="center"/>
          </w:tcPr>
          <w:p w14:paraId="21F7DCCA">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安全韧性与运行管理</w:t>
            </w:r>
          </w:p>
        </w:tc>
        <w:tc>
          <w:tcPr>
            <w:tcW w:w="4880" w:type="dxa"/>
            <w:shd w:val="clear" w:color="auto" w:fill="auto"/>
            <w:noWrap/>
            <w:vAlign w:val="center"/>
          </w:tcPr>
          <w:p w14:paraId="1C873C9F">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5CFC566C">
            <w:pPr>
              <w:spacing w:line="240" w:lineRule="auto"/>
              <w:jc w:val="center"/>
              <w:rPr>
                <w:rFonts w:hint="default" w:ascii="宋体" w:hAnsi="宋体"/>
                <w:sz w:val="18"/>
                <w:szCs w:val="18"/>
                <w:highlight w:val="none"/>
                <w:lang w:val="en-US" w:eastAsia="zh-CN"/>
              </w:rPr>
            </w:pPr>
          </w:p>
        </w:tc>
      </w:tr>
      <w:tr w14:paraId="076F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3" w:type="dxa"/>
            <w:shd w:val="clear" w:color="auto" w:fill="auto"/>
            <w:noWrap/>
            <w:vAlign w:val="center"/>
          </w:tcPr>
          <w:p w14:paraId="63F4A6D6">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w:t>
            </w:r>
          </w:p>
        </w:tc>
        <w:tc>
          <w:tcPr>
            <w:tcW w:w="2283" w:type="dxa"/>
            <w:shd w:val="clear" w:color="auto" w:fill="auto"/>
            <w:noWrap/>
            <w:vAlign w:val="center"/>
          </w:tcPr>
          <w:p w14:paraId="3E0E2523">
            <w:pPr>
              <w:spacing w:line="240" w:lineRule="auto"/>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w:t>
            </w:r>
          </w:p>
        </w:tc>
        <w:tc>
          <w:tcPr>
            <w:tcW w:w="4880" w:type="dxa"/>
            <w:shd w:val="clear" w:color="auto" w:fill="auto"/>
            <w:noWrap/>
            <w:vAlign w:val="center"/>
          </w:tcPr>
          <w:p w14:paraId="78662C80">
            <w:pPr>
              <w:spacing w:line="240" w:lineRule="auto"/>
              <w:jc w:val="center"/>
              <w:rPr>
                <w:rFonts w:hint="default" w:ascii="宋体" w:hAnsi="宋体"/>
                <w:sz w:val="18"/>
                <w:szCs w:val="18"/>
                <w:highlight w:val="none"/>
                <w:lang w:val="en-US" w:eastAsia="zh-CN"/>
              </w:rPr>
            </w:pPr>
          </w:p>
        </w:tc>
        <w:tc>
          <w:tcPr>
            <w:tcW w:w="1492" w:type="dxa"/>
            <w:shd w:val="clear" w:color="auto" w:fill="auto"/>
            <w:noWrap/>
            <w:vAlign w:val="center"/>
          </w:tcPr>
          <w:p w14:paraId="6E212617">
            <w:pPr>
              <w:spacing w:line="240" w:lineRule="auto"/>
              <w:jc w:val="center"/>
              <w:rPr>
                <w:rFonts w:hint="default" w:ascii="宋体" w:hAnsi="宋体"/>
                <w:sz w:val="18"/>
                <w:szCs w:val="18"/>
                <w:highlight w:val="none"/>
                <w:lang w:val="en-US" w:eastAsia="zh-CN"/>
              </w:rPr>
            </w:pPr>
          </w:p>
        </w:tc>
      </w:tr>
    </w:tbl>
    <w:p w14:paraId="793A193A">
      <w:pPr>
        <w:pStyle w:val="146"/>
        <w:numPr>
          <w:ilvl w:val="1"/>
          <w:numId w:val="0"/>
        </w:numPr>
        <w:spacing w:before="166" w:beforeLines="50"/>
        <w:ind w:left="0" w:leftChars="0" w:firstLine="420" w:firstLineChars="0"/>
        <w:rPr>
          <w:rFonts w:hint="eastAsia" w:eastAsia="黑体"/>
          <w:highlight w:val="none"/>
          <w:lang w:val="en-US" w:eastAsia="zh-CN"/>
        </w:rPr>
      </w:pPr>
      <w:r>
        <w:rPr>
          <w:rFonts w:hint="eastAsia" w:ascii="黑体" w:hAnsi="Times New Roman" w:eastAsia="黑体" w:cs="Times New Roman"/>
          <w:sz w:val="21"/>
          <w:szCs w:val="13"/>
          <w:highlight w:val="none"/>
          <w:lang w:val="en-US" w:eastAsia="zh-CN" w:bidi="ar-SA"/>
        </w:rPr>
        <w:t>表</w:t>
      </w:r>
      <w:r>
        <w:rPr>
          <w:rFonts w:hint="eastAsia" w:cs="Times New Roman"/>
          <w:sz w:val="21"/>
          <w:szCs w:val="13"/>
          <w:highlight w:val="none"/>
          <w:lang w:val="en-US" w:eastAsia="zh-CN" w:bidi="ar-SA"/>
        </w:rPr>
        <w:t>C</w:t>
      </w:r>
      <w:r>
        <w:rPr>
          <w:rFonts w:hint="eastAsia" w:ascii="黑体" w:hAnsi="Times New Roman" w:eastAsia="黑体" w:cs="Times New Roman"/>
          <w:sz w:val="21"/>
          <w:szCs w:val="13"/>
          <w:highlight w:val="none"/>
          <w:lang w:val="en-US" w:eastAsia="zh-CN" w:bidi="ar-SA"/>
        </w:rPr>
        <w:t>.</w:t>
      </w:r>
      <w:r>
        <w:rPr>
          <w:rFonts w:hint="eastAsia" w:cs="Times New Roman"/>
          <w:sz w:val="21"/>
          <w:szCs w:val="13"/>
          <w:highlight w:val="none"/>
          <w:lang w:val="en-US" w:eastAsia="zh-CN" w:bidi="ar-SA"/>
        </w:rPr>
        <w:t xml:space="preserve">2 </w:t>
      </w:r>
      <w:r>
        <w:rPr>
          <w:rFonts w:hint="eastAsia"/>
          <w:highlight w:val="none"/>
        </w:rPr>
        <w:t>城市更新单元（片区）体检</w:t>
      </w:r>
      <w:r>
        <w:rPr>
          <w:rFonts w:hint="eastAsia"/>
          <w:highlight w:val="none"/>
          <w:lang w:val="en-US" w:eastAsia="zh-CN"/>
        </w:rPr>
        <w:t>需求</w:t>
      </w:r>
      <w:r>
        <w:rPr>
          <w:rFonts w:hint="eastAsia"/>
          <w:highlight w:val="none"/>
        </w:rPr>
        <w:t>清单</w:t>
      </w:r>
      <w:r>
        <w:rPr>
          <w:rFonts w:hint="eastAsia"/>
          <w:highlight w:val="none"/>
          <w:lang w:val="en-US" w:eastAsia="zh-CN"/>
        </w:rPr>
        <w:t>样表</w:t>
      </w:r>
    </w:p>
    <w:tbl>
      <w:tblPr>
        <w:tblStyle w:val="32"/>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2512"/>
        <w:gridCol w:w="2964"/>
        <w:gridCol w:w="3105"/>
      </w:tblGrid>
      <w:tr w14:paraId="2D9B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953" w:type="dxa"/>
            <w:shd w:val="clear" w:color="auto" w:fill="auto"/>
            <w:noWrap/>
            <w:vAlign w:val="center"/>
          </w:tcPr>
          <w:p w14:paraId="011E7855">
            <w:pPr>
              <w:spacing w:line="240" w:lineRule="auto"/>
              <w:jc w:val="center"/>
              <w:rPr>
                <w:rFonts w:ascii="宋体" w:hAnsi="宋体"/>
                <w:sz w:val="18"/>
                <w:szCs w:val="18"/>
                <w:highlight w:val="none"/>
              </w:rPr>
            </w:pPr>
            <w:r>
              <w:rPr>
                <w:rFonts w:hint="eastAsia" w:ascii="宋体" w:hAnsi="宋体"/>
                <w:sz w:val="18"/>
                <w:szCs w:val="18"/>
                <w:highlight w:val="none"/>
              </w:rPr>
              <w:t>序号</w:t>
            </w:r>
          </w:p>
        </w:tc>
        <w:tc>
          <w:tcPr>
            <w:tcW w:w="2512" w:type="dxa"/>
            <w:shd w:val="clear" w:color="auto" w:fill="auto"/>
            <w:noWrap/>
            <w:vAlign w:val="center"/>
          </w:tcPr>
          <w:p w14:paraId="4C33B881">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需求维度</w:t>
            </w:r>
          </w:p>
        </w:tc>
        <w:tc>
          <w:tcPr>
            <w:tcW w:w="2964" w:type="dxa"/>
            <w:shd w:val="clear" w:color="auto" w:fill="auto"/>
            <w:noWrap/>
            <w:vAlign w:val="center"/>
          </w:tcPr>
          <w:p w14:paraId="11575B56">
            <w:pPr>
              <w:spacing w:line="240" w:lineRule="auto"/>
              <w:jc w:val="center"/>
              <w:rPr>
                <w:rFonts w:hint="default" w:ascii="宋体" w:hAnsi="宋体"/>
                <w:sz w:val="18"/>
                <w:szCs w:val="18"/>
                <w:highlight w:val="none"/>
                <w:lang w:val="en-US"/>
              </w:rPr>
            </w:pPr>
            <w:r>
              <w:rPr>
                <w:rFonts w:hint="eastAsia" w:ascii="宋体" w:hAnsi="宋体"/>
                <w:sz w:val="18"/>
                <w:szCs w:val="18"/>
                <w:highlight w:val="none"/>
                <w:lang w:val="en-US" w:eastAsia="zh-CN"/>
              </w:rPr>
              <w:t>需求类别</w:t>
            </w:r>
          </w:p>
        </w:tc>
        <w:tc>
          <w:tcPr>
            <w:tcW w:w="3105" w:type="dxa"/>
            <w:shd w:val="clear" w:color="auto" w:fill="auto"/>
            <w:noWrap/>
            <w:vAlign w:val="center"/>
          </w:tcPr>
          <w:p w14:paraId="08EA5745">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需求描述</w:t>
            </w:r>
          </w:p>
        </w:tc>
      </w:tr>
      <w:tr w14:paraId="0AF2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1EAA02B4">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1</w:t>
            </w:r>
          </w:p>
        </w:tc>
        <w:tc>
          <w:tcPr>
            <w:tcW w:w="2512" w:type="dxa"/>
            <w:vMerge w:val="restart"/>
            <w:shd w:val="clear" w:color="auto" w:fill="auto"/>
            <w:noWrap/>
            <w:vAlign w:val="center"/>
          </w:tcPr>
          <w:p w14:paraId="63405937">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群众需求</w:t>
            </w:r>
          </w:p>
        </w:tc>
        <w:tc>
          <w:tcPr>
            <w:tcW w:w="2964" w:type="dxa"/>
            <w:shd w:val="clear" w:color="auto" w:fill="auto"/>
            <w:noWrap/>
            <w:vAlign w:val="center"/>
          </w:tcPr>
          <w:p w14:paraId="185A1EF6">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住</w:t>
            </w:r>
          </w:p>
        </w:tc>
        <w:tc>
          <w:tcPr>
            <w:tcW w:w="3105" w:type="dxa"/>
            <w:shd w:val="clear" w:color="auto" w:fill="auto"/>
            <w:noWrap/>
            <w:vAlign w:val="center"/>
          </w:tcPr>
          <w:p w14:paraId="489F8286">
            <w:pPr>
              <w:spacing w:line="240" w:lineRule="auto"/>
              <w:jc w:val="left"/>
              <w:rPr>
                <w:rFonts w:hint="default" w:ascii="宋体" w:hAnsi="宋体" w:eastAsia="宋体"/>
                <w:sz w:val="18"/>
                <w:szCs w:val="18"/>
                <w:highlight w:val="none"/>
                <w:lang w:val="en-US" w:eastAsia="zh-CN"/>
              </w:rPr>
            </w:pPr>
          </w:p>
        </w:tc>
      </w:tr>
      <w:tr w14:paraId="4718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3" w:type="dxa"/>
            <w:shd w:val="clear" w:color="auto" w:fill="auto"/>
            <w:noWrap/>
            <w:vAlign w:val="center"/>
          </w:tcPr>
          <w:p w14:paraId="56F8769F">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2</w:t>
            </w:r>
          </w:p>
        </w:tc>
        <w:tc>
          <w:tcPr>
            <w:tcW w:w="2512" w:type="dxa"/>
            <w:vMerge w:val="continue"/>
            <w:shd w:val="clear" w:color="auto" w:fill="auto"/>
            <w:noWrap/>
            <w:vAlign w:val="center"/>
          </w:tcPr>
          <w:p w14:paraId="7BB0C856">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62F75A34">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吃</w:t>
            </w:r>
          </w:p>
        </w:tc>
        <w:tc>
          <w:tcPr>
            <w:tcW w:w="3105" w:type="dxa"/>
            <w:shd w:val="clear" w:color="auto" w:fill="auto"/>
            <w:noWrap/>
            <w:vAlign w:val="center"/>
          </w:tcPr>
          <w:p w14:paraId="41570D5A">
            <w:pPr>
              <w:spacing w:line="240" w:lineRule="auto"/>
              <w:jc w:val="left"/>
              <w:rPr>
                <w:rFonts w:hint="default" w:ascii="宋体" w:hAnsi="宋体" w:eastAsia="宋体"/>
                <w:sz w:val="18"/>
                <w:szCs w:val="18"/>
                <w:highlight w:val="none"/>
                <w:lang w:val="en-US" w:eastAsia="zh-CN"/>
              </w:rPr>
            </w:pPr>
          </w:p>
        </w:tc>
      </w:tr>
      <w:tr w14:paraId="195F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004C2CDC">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3</w:t>
            </w:r>
          </w:p>
        </w:tc>
        <w:tc>
          <w:tcPr>
            <w:tcW w:w="2512" w:type="dxa"/>
            <w:vMerge w:val="continue"/>
            <w:shd w:val="clear" w:color="auto" w:fill="auto"/>
            <w:noWrap/>
            <w:vAlign w:val="center"/>
          </w:tcPr>
          <w:p w14:paraId="432572B1">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35699279">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游</w:t>
            </w:r>
          </w:p>
        </w:tc>
        <w:tc>
          <w:tcPr>
            <w:tcW w:w="3105" w:type="dxa"/>
            <w:shd w:val="clear" w:color="auto" w:fill="auto"/>
            <w:noWrap/>
            <w:vAlign w:val="center"/>
          </w:tcPr>
          <w:p w14:paraId="7B307FB8">
            <w:pPr>
              <w:spacing w:line="240" w:lineRule="auto"/>
              <w:jc w:val="left"/>
              <w:rPr>
                <w:rFonts w:hint="default" w:ascii="宋体" w:hAnsi="宋体" w:eastAsia="宋体"/>
                <w:sz w:val="18"/>
                <w:szCs w:val="18"/>
                <w:highlight w:val="none"/>
                <w:lang w:val="en-US" w:eastAsia="zh-CN"/>
              </w:rPr>
            </w:pPr>
          </w:p>
        </w:tc>
      </w:tr>
      <w:tr w14:paraId="6A93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75025BC7">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4</w:t>
            </w:r>
          </w:p>
        </w:tc>
        <w:tc>
          <w:tcPr>
            <w:tcW w:w="2512" w:type="dxa"/>
            <w:vMerge w:val="continue"/>
            <w:shd w:val="clear" w:color="auto" w:fill="auto"/>
            <w:noWrap/>
            <w:vAlign w:val="center"/>
          </w:tcPr>
          <w:p w14:paraId="343507D6">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2CC2BBB5">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购</w:t>
            </w:r>
          </w:p>
        </w:tc>
        <w:tc>
          <w:tcPr>
            <w:tcW w:w="3105" w:type="dxa"/>
            <w:shd w:val="clear" w:color="auto" w:fill="auto"/>
            <w:noWrap/>
            <w:vAlign w:val="center"/>
          </w:tcPr>
          <w:p w14:paraId="3BF1FBB3">
            <w:pPr>
              <w:spacing w:line="240" w:lineRule="auto"/>
              <w:jc w:val="left"/>
              <w:rPr>
                <w:rFonts w:hint="default" w:ascii="宋体" w:hAnsi="宋体" w:eastAsia="宋体"/>
                <w:sz w:val="18"/>
                <w:szCs w:val="18"/>
                <w:highlight w:val="none"/>
                <w:lang w:val="en-US" w:eastAsia="zh-CN"/>
              </w:rPr>
            </w:pPr>
          </w:p>
        </w:tc>
      </w:tr>
      <w:tr w14:paraId="6245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41853560">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5</w:t>
            </w:r>
          </w:p>
        </w:tc>
        <w:tc>
          <w:tcPr>
            <w:tcW w:w="2512" w:type="dxa"/>
            <w:vMerge w:val="continue"/>
            <w:shd w:val="clear" w:color="auto" w:fill="auto"/>
            <w:noWrap/>
            <w:vAlign w:val="center"/>
          </w:tcPr>
          <w:p w14:paraId="7AABF2F7">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6A34262B">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娱</w:t>
            </w:r>
          </w:p>
        </w:tc>
        <w:tc>
          <w:tcPr>
            <w:tcW w:w="3105" w:type="dxa"/>
            <w:shd w:val="clear" w:color="auto" w:fill="auto"/>
            <w:noWrap/>
            <w:vAlign w:val="center"/>
          </w:tcPr>
          <w:p w14:paraId="36628689">
            <w:pPr>
              <w:spacing w:line="240" w:lineRule="auto"/>
              <w:jc w:val="left"/>
              <w:rPr>
                <w:rFonts w:hint="default" w:ascii="宋体" w:hAnsi="宋体" w:eastAsia="宋体"/>
                <w:sz w:val="18"/>
                <w:szCs w:val="18"/>
                <w:highlight w:val="none"/>
                <w:lang w:val="en-US" w:eastAsia="zh-CN"/>
              </w:rPr>
            </w:pPr>
          </w:p>
        </w:tc>
      </w:tr>
      <w:tr w14:paraId="6BB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4546C24C">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6</w:t>
            </w:r>
          </w:p>
        </w:tc>
        <w:tc>
          <w:tcPr>
            <w:tcW w:w="2512" w:type="dxa"/>
            <w:vMerge w:val="continue"/>
            <w:shd w:val="clear" w:color="auto" w:fill="auto"/>
            <w:noWrap/>
            <w:vAlign w:val="center"/>
          </w:tcPr>
          <w:p w14:paraId="26F7A1A2">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6B1AF3B6">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医</w:t>
            </w:r>
          </w:p>
        </w:tc>
        <w:tc>
          <w:tcPr>
            <w:tcW w:w="3105" w:type="dxa"/>
            <w:shd w:val="clear" w:color="auto" w:fill="auto"/>
            <w:noWrap/>
            <w:vAlign w:val="center"/>
          </w:tcPr>
          <w:p w14:paraId="7C74791A">
            <w:pPr>
              <w:spacing w:line="240" w:lineRule="auto"/>
              <w:jc w:val="left"/>
              <w:rPr>
                <w:rFonts w:hint="default" w:ascii="宋体" w:hAnsi="宋体" w:eastAsia="宋体"/>
                <w:sz w:val="18"/>
                <w:szCs w:val="18"/>
                <w:highlight w:val="none"/>
                <w:lang w:val="en-US" w:eastAsia="zh-CN"/>
              </w:rPr>
            </w:pPr>
          </w:p>
        </w:tc>
      </w:tr>
      <w:tr w14:paraId="234B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2EDE9C57">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7</w:t>
            </w:r>
          </w:p>
        </w:tc>
        <w:tc>
          <w:tcPr>
            <w:tcW w:w="2512" w:type="dxa"/>
            <w:vMerge w:val="continue"/>
            <w:shd w:val="clear" w:color="auto" w:fill="auto"/>
            <w:noWrap/>
            <w:vAlign w:val="center"/>
          </w:tcPr>
          <w:p w14:paraId="4BFCA7BD">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1F509C9C">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养</w:t>
            </w:r>
          </w:p>
        </w:tc>
        <w:tc>
          <w:tcPr>
            <w:tcW w:w="3105" w:type="dxa"/>
            <w:shd w:val="clear" w:color="auto" w:fill="auto"/>
            <w:noWrap/>
            <w:vAlign w:val="center"/>
          </w:tcPr>
          <w:p w14:paraId="0992861C">
            <w:pPr>
              <w:spacing w:line="240" w:lineRule="auto"/>
              <w:jc w:val="left"/>
              <w:rPr>
                <w:rFonts w:hint="default" w:ascii="宋体" w:hAnsi="宋体" w:eastAsia="宋体"/>
                <w:sz w:val="18"/>
                <w:szCs w:val="18"/>
                <w:highlight w:val="none"/>
                <w:lang w:val="en-US" w:eastAsia="zh-CN"/>
              </w:rPr>
            </w:pPr>
          </w:p>
        </w:tc>
      </w:tr>
      <w:tr w14:paraId="1810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3352BCC2">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8</w:t>
            </w:r>
          </w:p>
        </w:tc>
        <w:tc>
          <w:tcPr>
            <w:tcW w:w="2512" w:type="dxa"/>
            <w:vMerge w:val="continue"/>
            <w:shd w:val="clear" w:color="auto" w:fill="auto"/>
            <w:noWrap/>
            <w:vAlign w:val="center"/>
          </w:tcPr>
          <w:p w14:paraId="297018B3">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38F759DB">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创</w:t>
            </w:r>
          </w:p>
        </w:tc>
        <w:tc>
          <w:tcPr>
            <w:tcW w:w="3105" w:type="dxa"/>
            <w:shd w:val="clear" w:color="auto" w:fill="auto"/>
            <w:noWrap/>
            <w:vAlign w:val="center"/>
          </w:tcPr>
          <w:p w14:paraId="485FD912">
            <w:pPr>
              <w:spacing w:line="240" w:lineRule="auto"/>
              <w:jc w:val="left"/>
              <w:rPr>
                <w:rFonts w:hint="default" w:ascii="宋体" w:hAnsi="宋体" w:eastAsia="宋体"/>
                <w:sz w:val="18"/>
                <w:szCs w:val="18"/>
                <w:highlight w:val="none"/>
                <w:lang w:val="en-US" w:eastAsia="zh-CN"/>
              </w:rPr>
            </w:pPr>
          </w:p>
        </w:tc>
      </w:tr>
      <w:tr w14:paraId="5362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27150EAE">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9</w:t>
            </w:r>
          </w:p>
        </w:tc>
        <w:tc>
          <w:tcPr>
            <w:tcW w:w="2512" w:type="dxa"/>
            <w:vMerge w:val="restart"/>
            <w:shd w:val="clear" w:color="auto" w:fill="auto"/>
            <w:noWrap/>
            <w:vAlign w:val="center"/>
          </w:tcPr>
          <w:p w14:paraId="5285D598">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企业需求</w:t>
            </w:r>
          </w:p>
        </w:tc>
        <w:tc>
          <w:tcPr>
            <w:tcW w:w="2964" w:type="dxa"/>
            <w:shd w:val="clear" w:color="auto" w:fill="auto"/>
            <w:noWrap/>
            <w:vAlign w:val="center"/>
          </w:tcPr>
          <w:p w14:paraId="31715342">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产</w:t>
            </w:r>
          </w:p>
        </w:tc>
        <w:tc>
          <w:tcPr>
            <w:tcW w:w="3105" w:type="dxa"/>
            <w:shd w:val="clear" w:color="auto" w:fill="auto"/>
            <w:noWrap/>
            <w:vAlign w:val="center"/>
          </w:tcPr>
          <w:p w14:paraId="02F21B1A">
            <w:pPr>
              <w:spacing w:line="240" w:lineRule="auto"/>
              <w:jc w:val="left"/>
              <w:rPr>
                <w:rFonts w:hint="default" w:ascii="宋体" w:hAnsi="宋体" w:eastAsia="宋体"/>
                <w:sz w:val="18"/>
                <w:szCs w:val="18"/>
                <w:highlight w:val="none"/>
                <w:lang w:val="en-US" w:eastAsia="zh-CN"/>
              </w:rPr>
            </w:pPr>
          </w:p>
        </w:tc>
      </w:tr>
      <w:tr w14:paraId="59DB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44F8BABC">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10</w:t>
            </w:r>
          </w:p>
        </w:tc>
        <w:tc>
          <w:tcPr>
            <w:tcW w:w="2512" w:type="dxa"/>
            <w:vMerge w:val="continue"/>
            <w:shd w:val="clear" w:color="auto" w:fill="auto"/>
            <w:noWrap/>
            <w:vAlign w:val="center"/>
          </w:tcPr>
          <w:p w14:paraId="61801014">
            <w:pPr>
              <w:spacing w:line="240" w:lineRule="auto"/>
              <w:jc w:val="center"/>
              <w:rPr>
                <w:rFonts w:hint="eastAsia" w:ascii="宋体" w:hAnsi="宋体"/>
                <w:sz w:val="18"/>
                <w:szCs w:val="18"/>
                <w:highlight w:val="none"/>
                <w:lang w:val="en-US" w:eastAsia="zh-CN"/>
              </w:rPr>
            </w:pPr>
          </w:p>
        </w:tc>
        <w:tc>
          <w:tcPr>
            <w:tcW w:w="2964" w:type="dxa"/>
            <w:shd w:val="clear" w:color="auto" w:fill="auto"/>
            <w:noWrap/>
            <w:vAlign w:val="center"/>
          </w:tcPr>
          <w:p w14:paraId="4596EF0D">
            <w:pPr>
              <w:spacing w:line="240" w:lineRule="auto"/>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仓</w:t>
            </w:r>
          </w:p>
        </w:tc>
        <w:tc>
          <w:tcPr>
            <w:tcW w:w="3105" w:type="dxa"/>
            <w:shd w:val="clear" w:color="auto" w:fill="auto"/>
            <w:noWrap/>
            <w:vAlign w:val="center"/>
          </w:tcPr>
          <w:p w14:paraId="3AD15B0D">
            <w:pPr>
              <w:spacing w:line="240" w:lineRule="auto"/>
              <w:jc w:val="left"/>
              <w:rPr>
                <w:rFonts w:hint="default" w:ascii="宋体" w:hAnsi="宋体" w:eastAsia="宋体"/>
                <w:sz w:val="18"/>
                <w:szCs w:val="18"/>
                <w:highlight w:val="none"/>
                <w:lang w:val="en-US" w:eastAsia="zh-CN"/>
              </w:rPr>
            </w:pPr>
          </w:p>
        </w:tc>
      </w:tr>
      <w:tr w14:paraId="1254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1BD3F75C">
            <w:pPr>
              <w:spacing w:line="240" w:lineRule="auto"/>
              <w:jc w:val="center"/>
              <w:rPr>
                <w:rFonts w:ascii="宋体" w:hAnsi="宋体"/>
                <w:sz w:val="18"/>
                <w:szCs w:val="18"/>
                <w:highlight w:val="none"/>
              </w:rPr>
            </w:pPr>
            <w:r>
              <w:rPr>
                <w:rFonts w:hint="eastAsia" w:ascii="宋体" w:hAnsi="宋体"/>
                <w:sz w:val="18"/>
                <w:szCs w:val="18"/>
                <w:highlight w:val="none"/>
                <w:lang w:val="en-US" w:eastAsia="zh-CN"/>
              </w:rPr>
              <w:t>......</w:t>
            </w:r>
          </w:p>
        </w:tc>
        <w:tc>
          <w:tcPr>
            <w:tcW w:w="2512" w:type="dxa"/>
            <w:shd w:val="clear" w:color="auto" w:fill="auto"/>
            <w:noWrap/>
            <w:vAlign w:val="center"/>
          </w:tcPr>
          <w:p w14:paraId="7E2BD1AC">
            <w:pPr>
              <w:spacing w:line="240" w:lineRule="auto"/>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w:t>
            </w:r>
          </w:p>
        </w:tc>
        <w:tc>
          <w:tcPr>
            <w:tcW w:w="2964" w:type="dxa"/>
            <w:shd w:val="clear" w:color="auto" w:fill="auto"/>
            <w:noWrap/>
            <w:vAlign w:val="center"/>
          </w:tcPr>
          <w:p w14:paraId="08E41006">
            <w:pPr>
              <w:spacing w:line="240" w:lineRule="auto"/>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w:t>
            </w:r>
          </w:p>
        </w:tc>
        <w:tc>
          <w:tcPr>
            <w:tcW w:w="3105" w:type="dxa"/>
            <w:shd w:val="clear" w:color="auto" w:fill="auto"/>
            <w:noWrap/>
            <w:vAlign w:val="center"/>
          </w:tcPr>
          <w:p w14:paraId="2282B3B4">
            <w:pPr>
              <w:spacing w:line="240" w:lineRule="auto"/>
              <w:jc w:val="left"/>
              <w:rPr>
                <w:rFonts w:hint="default" w:ascii="宋体" w:hAnsi="宋体" w:eastAsia="宋体"/>
                <w:sz w:val="18"/>
                <w:szCs w:val="18"/>
                <w:highlight w:val="none"/>
                <w:lang w:val="en-US" w:eastAsia="zh-CN"/>
              </w:rPr>
            </w:pPr>
          </w:p>
        </w:tc>
      </w:tr>
    </w:tbl>
    <w:p w14:paraId="516A363F">
      <w:pPr>
        <w:pStyle w:val="146"/>
        <w:numPr>
          <w:ilvl w:val="1"/>
          <w:numId w:val="0"/>
        </w:numPr>
        <w:spacing w:before="166" w:beforeLines="50"/>
        <w:ind w:left="0" w:leftChars="0" w:firstLine="420" w:firstLineChars="0"/>
        <w:rPr>
          <w:rFonts w:hint="eastAsia" w:eastAsia="黑体"/>
          <w:highlight w:val="none"/>
          <w:lang w:val="en-US" w:eastAsia="zh-CN"/>
        </w:rPr>
      </w:pPr>
      <w:r>
        <w:rPr>
          <w:rFonts w:hint="eastAsia" w:ascii="黑体" w:hAnsi="Times New Roman" w:eastAsia="黑体" w:cs="Times New Roman"/>
          <w:sz w:val="21"/>
          <w:szCs w:val="13"/>
          <w:highlight w:val="none"/>
          <w:lang w:val="en-US" w:eastAsia="zh-CN" w:bidi="ar-SA"/>
        </w:rPr>
        <w:t>表</w:t>
      </w:r>
      <w:r>
        <w:rPr>
          <w:rFonts w:hint="eastAsia" w:cs="Times New Roman"/>
          <w:sz w:val="21"/>
          <w:szCs w:val="13"/>
          <w:highlight w:val="none"/>
          <w:lang w:val="en-US" w:eastAsia="zh-CN" w:bidi="ar-SA"/>
        </w:rPr>
        <w:t>C</w:t>
      </w:r>
      <w:r>
        <w:rPr>
          <w:rFonts w:hint="eastAsia" w:ascii="黑体" w:hAnsi="Times New Roman" w:eastAsia="黑体" w:cs="Times New Roman"/>
          <w:sz w:val="21"/>
          <w:szCs w:val="13"/>
          <w:highlight w:val="none"/>
          <w:lang w:val="en-US" w:eastAsia="zh-CN" w:bidi="ar-SA"/>
        </w:rPr>
        <w:t>.</w:t>
      </w:r>
      <w:r>
        <w:rPr>
          <w:rFonts w:hint="eastAsia" w:cs="Times New Roman"/>
          <w:sz w:val="21"/>
          <w:szCs w:val="13"/>
          <w:highlight w:val="none"/>
          <w:lang w:val="en-US" w:eastAsia="zh-CN" w:bidi="ar-SA"/>
        </w:rPr>
        <w:t xml:space="preserve">3 </w:t>
      </w:r>
      <w:r>
        <w:rPr>
          <w:rFonts w:hint="eastAsia"/>
          <w:highlight w:val="none"/>
        </w:rPr>
        <w:t>城市更新单元（片区）体检</w:t>
      </w:r>
      <w:r>
        <w:rPr>
          <w:rFonts w:hint="eastAsia"/>
          <w:highlight w:val="none"/>
          <w:lang w:val="en-US" w:eastAsia="zh-CN"/>
        </w:rPr>
        <w:t>可利用资源</w:t>
      </w:r>
      <w:r>
        <w:rPr>
          <w:rFonts w:hint="eastAsia"/>
          <w:highlight w:val="none"/>
        </w:rPr>
        <w:t>清单</w:t>
      </w:r>
      <w:r>
        <w:rPr>
          <w:rFonts w:hint="eastAsia"/>
          <w:highlight w:val="none"/>
          <w:lang w:val="en-US" w:eastAsia="zh-CN"/>
        </w:rPr>
        <w:t>样表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2738"/>
        <w:gridCol w:w="5927"/>
      </w:tblGrid>
      <w:tr w14:paraId="43BA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953" w:type="dxa"/>
            <w:shd w:val="clear" w:color="auto" w:fill="auto"/>
            <w:noWrap/>
            <w:vAlign w:val="center"/>
          </w:tcPr>
          <w:p w14:paraId="09A814AE">
            <w:pPr>
              <w:spacing w:line="240" w:lineRule="auto"/>
              <w:jc w:val="center"/>
              <w:rPr>
                <w:rFonts w:ascii="宋体" w:hAnsi="宋体"/>
                <w:sz w:val="18"/>
                <w:szCs w:val="18"/>
                <w:highlight w:val="none"/>
              </w:rPr>
            </w:pPr>
            <w:r>
              <w:rPr>
                <w:rFonts w:hint="eastAsia" w:ascii="宋体" w:hAnsi="宋体"/>
                <w:sz w:val="18"/>
                <w:szCs w:val="18"/>
                <w:highlight w:val="none"/>
              </w:rPr>
              <w:t>序号</w:t>
            </w:r>
          </w:p>
        </w:tc>
        <w:tc>
          <w:tcPr>
            <w:tcW w:w="2738" w:type="dxa"/>
            <w:shd w:val="clear" w:color="auto" w:fill="auto"/>
            <w:noWrap/>
            <w:vAlign w:val="center"/>
          </w:tcPr>
          <w:p w14:paraId="47235D6A">
            <w:pPr>
              <w:spacing w:line="240" w:lineRule="auto"/>
              <w:jc w:val="center"/>
              <w:rPr>
                <w:rFonts w:hint="default" w:ascii="宋体" w:hAnsi="宋体"/>
                <w:sz w:val="18"/>
                <w:szCs w:val="18"/>
                <w:highlight w:val="none"/>
                <w:lang w:val="en-US"/>
              </w:rPr>
            </w:pPr>
            <w:r>
              <w:rPr>
                <w:rFonts w:hint="eastAsia" w:ascii="宋体" w:hAnsi="宋体"/>
                <w:sz w:val="18"/>
                <w:szCs w:val="18"/>
                <w:highlight w:val="none"/>
                <w:lang w:val="en-US" w:eastAsia="zh-CN"/>
              </w:rPr>
              <w:t>可利用资源类别</w:t>
            </w:r>
          </w:p>
        </w:tc>
        <w:tc>
          <w:tcPr>
            <w:tcW w:w="5927" w:type="dxa"/>
            <w:shd w:val="clear" w:color="auto" w:fill="auto"/>
            <w:noWrap/>
            <w:vAlign w:val="center"/>
          </w:tcPr>
          <w:p w14:paraId="178E37FC">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可利用资源描述</w:t>
            </w:r>
          </w:p>
        </w:tc>
      </w:tr>
      <w:tr w14:paraId="7E55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1816246E">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1</w:t>
            </w:r>
          </w:p>
        </w:tc>
        <w:tc>
          <w:tcPr>
            <w:tcW w:w="2738" w:type="dxa"/>
            <w:shd w:val="clear" w:color="auto" w:fill="auto"/>
            <w:noWrap/>
            <w:vAlign w:val="center"/>
          </w:tcPr>
          <w:p w14:paraId="60743916">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存量空间资源</w:t>
            </w:r>
          </w:p>
        </w:tc>
        <w:tc>
          <w:tcPr>
            <w:tcW w:w="5927" w:type="dxa"/>
            <w:shd w:val="clear" w:color="auto" w:fill="auto"/>
            <w:noWrap/>
            <w:vAlign w:val="center"/>
          </w:tcPr>
          <w:p w14:paraId="121EB254">
            <w:pPr>
              <w:spacing w:line="240" w:lineRule="auto"/>
              <w:jc w:val="left"/>
              <w:rPr>
                <w:rFonts w:hint="default" w:ascii="宋体" w:hAnsi="宋体" w:eastAsia="宋体"/>
                <w:sz w:val="18"/>
                <w:szCs w:val="18"/>
                <w:highlight w:val="none"/>
                <w:lang w:val="en-US" w:eastAsia="zh-CN"/>
              </w:rPr>
            </w:pPr>
          </w:p>
        </w:tc>
      </w:tr>
      <w:tr w14:paraId="14AA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3" w:type="dxa"/>
            <w:shd w:val="clear" w:color="auto" w:fill="auto"/>
            <w:noWrap/>
            <w:vAlign w:val="center"/>
          </w:tcPr>
          <w:p w14:paraId="5E2FE78E">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2</w:t>
            </w:r>
          </w:p>
        </w:tc>
        <w:tc>
          <w:tcPr>
            <w:tcW w:w="2738" w:type="dxa"/>
            <w:shd w:val="clear" w:color="auto" w:fill="auto"/>
            <w:noWrap/>
            <w:vAlign w:val="center"/>
          </w:tcPr>
          <w:p w14:paraId="60BD1F08">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可链接资源</w:t>
            </w:r>
          </w:p>
        </w:tc>
        <w:tc>
          <w:tcPr>
            <w:tcW w:w="5927" w:type="dxa"/>
            <w:shd w:val="clear" w:color="auto" w:fill="auto"/>
            <w:noWrap/>
            <w:vAlign w:val="center"/>
          </w:tcPr>
          <w:p w14:paraId="03F955E5">
            <w:pPr>
              <w:spacing w:line="240" w:lineRule="auto"/>
              <w:jc w:val="left"/>
              <w:rPr>
                <w:rFonts w:hint="default" w:ascii="宋体" w:hAnsi="宋体" w:eastAsia="宋体"/>
                <w:sz w:val="18"/>
                <w:szCs w:val="18"/>
                <w:highlight w:val="none"/>
                <w:lang w:val="en-US" w:eastAsia="zh-CN"/>
              </w:rPr>
            </w:pPr>
          </w:p>
        </w:tc>
      </w:tr>
      <w:tr w14:paraId="0A7B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499C1843">
            <w:pPr>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3</w:t>
            </w:r>
          </w:p>
        </w:tc>
        <w:tc>
          <w:tcPr>
            <w:tcW w:w="2738" w:type="dxa"/>
            <w:shd w:val="clear" w:color="auto" w:fill="auto"/>
            <w:noWrap/>
            <w:vAlign w:val="center"/>
          </w:tcPr>
          <w:p w14:paraId="09B62CFA">
            <w:pPr>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可整合政策</w:t>
            </w:r>
          </w:p>
        </w:tc>
        <w:tc>
          <w:tcPr>
            <w:tcW w:w="5927" w:type="dxa"/>
            <w:shd w:val="clear" w:color="auto" w:fill="auto"/>
            <w:noWrap/>
            <w:vAlign w:val="center"/>
          </w:tcPr>
          <w:p w14:paraId="3C0AEA30">
            <w:pPr>
              <w:spacing w:line="240" w:lineRule="auto"/>
              <w:jc w:val="left"/>
              <w:rPr>
                <w:rFonts w:hint="default" w:ascii="宋体" w:hAnsi="宋体" w:eastAsia="宋体"/>
                <w:sz w:val="18"/>
                <w:szCs w:val="18"/>
                <w:highlight w:val="none"/>
                <w:lang w:val="en-US" w:eastAsia="zh-CN"/>
              </w:rPr>
            </w:pPr>
          </w:p>
        </w:tc>
      </w:tr>
      <w:tr w14:paraId="7B41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3" w:type="dxa"/>
            <w:shd w:val="clear" w:color="auto" w:fill="auto"/>
            <w:noWrap/>
            <w:vAlign w:val="center"/>
          </w:tcPr>
          <w:p w14:paraId="5C9B03C9">
            <w:pPr>
              <w:spacing w:line="240" w:lineRule="auto"/>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w:t>
            </w:r>
          </w:p>
        </w:tc>
        <w:tc>
          <w:tcPr>
            <w:tcW w:w="2738" w:type="dxa"/>
            <w:shd w:val="clear" w:color="auto" w:fill="auto"/>
            <w:noWrap/>
            <w:vAlign w:val="center"/>
          </w:tcPr>
          <w:p w14:paraId="438D16C1">
            <w:pPr>
              <w:spacing w:line="240" w:lineRule="auto"/>
              <w:jc w:val="center"/>
              <w:rPr>
                <w:rFonts w:hint="eastAsia" w:ascii="宋体" w:hAnsi="宋体"/>
                <w:sz w:val="18"/>
                <w:szCs w:val="18"/>
                <w:highlight w:val="none"/>
                <w:lang w:val="en-US" w:eastAsia="zh-CN"/>
              </w:rPr>
            </w:pPr>
            <w:r>
              <w:rPr>
                <w:rFonts w:hint="eastAsia" w:ascii="宋体" w:hAnsi="宋体"/>
                <w:sz w:val="18"/>
                <w:szCs w:val="18"/>
                <w:highlight w:val="none"/>
                <w:lang w:val="en-US" w:eastAsia="zh-CN"/>
              </w:rPr>
              <w:t>......</w:t>
            </w:r>
          </w:p>
        </w:tc>
        <w:tc>
          <w:tcPr>
            <w:tcW w:w="5927" w:type="dxa"/>
            <w:shd w:val="clear" w:color="auto" w:fill="auto"/>
            <w:noWrap/>
            <w:vAlign w:val="center"/>
          </w:tcPr>
          <w:p w14:paraId="2B16A2D4">
            <w:pPr>
              <w:spacing w:line="240" w:lineRule="auto"/>
              <w:jc w:val="left"/>
              <w:rPr>
                <w:rFonts w:hint="default" w:ascii="宋体" w:hAnsi="宋体" w:eastAsia="宋体"/>
                <w:sz w:val="18"/>
                <w:szCs w:val="18"/>
                <w:highlight w:val="none"/>
                <w:lang w:val="en-US" w:eastAsia="zh-CN"/>
              </w:rPr>
            </w:pPr>
          </w:p>
        </w:tc>
      </w:tr>
    </w:tbl>
    <w:p w14:paraId="62E31742">
      <w:pPr>
        <w:rPr>
          <w:highlight w:val="none"/>
        </w:rPr>
      </w:pPr>
      <w:r>
        <w:rPr>
          <w:highlight w:val="none"/>
        </w:rPr>
        <w:br w:type="page"/>
      </w:r>
    </w:p>
    <w:p w14:paraId="1FFD92F8">
      <w:pPr>
        <w:pStyle w:val="196"/>
        <w:numPr>
          <w:ilvl w:val="0"/>
          <w:numId w:val="1"/>
        </w:numPr>
        <w:spacing w:before="83" w:after="166"/>
        <w:rPr>
          <w:highlight w:val="none"/>
        </w:rPr>
      </w:pPr>
      <w:bookmarkStart w:id="55" w:name="_Toc16343"/>
      <w:bookmarkEnd w:id="55"/>
    </w:p>
    <w:p w14:paraId="260F60EF">
      <w:pPr>
        <w:pStyle w:val="196"/>
        <w:numPr>
          <w:ilvl w:val="0"/>
          <w:numId w:val="0"/>
        </w:numPr>
        <w:spacing w:before="83" w:after="166"/>
        <w:ind w:leftChars="0"/>
        <w:jc w:val="center"/>
        <w:rPr>
          <w:highlight w:val="none"/>
        </w:rPr>
      </w:pPr>
      <w:bookmarkStart w:id="56" w:name="_Toc11700"/>
      <w:r>
        <w:rPr>
          <w:rFonts w:hint="eastAsia"/>
          <w:highlight w:val="none"/>
        </w:rPr>
        <w:t>（资料性）</w:t>
      </w:r>
      <w:r>
        <w:rPr>
          <w:highlight w:val="none"/>
        </w:rPr>
        <w:br w:type="textWrapping"/>
      </w:r>
      <w:r>
        <w:rPr>
          <w:rFonts w:hint="eastAsia"/>
          <w:highlight w:val="none"/>
          <w:lang w:eastAsia="zh-CN"/>
        </w:rPr>
        <w:t>城市更新单元（片区）</w:t>
      </w:r>
      <w:r>
        <w:rPr>
          <w:rFonts w:hint="eastAsia"/>
          <w:highlight w:val="none"/>
        </w:rPr>
        <w:t>体检评估指标表</w:t>
      </w:r>
      <w:bookmarkEnd w:id="56"/>
    </w:p>
    <w:p w14:paraId="20FD421C">
      <w:pPr>
        <w:pStyle w:val="44"/>
        <w:rPr>
          <w:rFonts w:hint="eastAsia" w:eastAsia="宋体"/>
          <w:highlight w:val="none"/>
          <w:lang w:eastAsia="zh-CN"/>
        </w:rPr>
      </w:pPr>
      <w:r>
        <w:rPr>
          <w:rFonts w:hint="eastAsia"/>
          <w:highlight w:val="none"/>
          <w:lang w:eastAsia="zh-CN"/>
        </w:rPr>
        <w:t>城市更新单元（片区）</w:t>
      </w:r>
      <w:r>
        <w:rPr>
          <w:rFonts w:hint="eastAsia"/>
          <w:highlight w:val="none"/>
        </w:rPr>
        <w:t>体检评估指标表如表</w:t>
      </w:r>
      <w:r>
        <w:rPr>
          <w:rFonts w:hint="eastAsia"/>
          <w:highlight w:val="none"/>
          <w:lang w:val="en-US" w:eastAsia="zh-CN"/>
        </w:rPr>
        <w:t>D</w:t>
      </w:r>
      <w:r>
        <w:rPr>
          <w:rFonts w:hint="eastAsia"/>
          <w:highlight w:val="none"/>
        </w:rPr>
        <w:t>.1所示。</w:t>
      </w:r>
    </w:p>
    <w:p w14:paraId="618B0633">
      <w:pPr>
        <w:pStyle w:val="146"/>
        <w:numPr>
          <w:ilvl w:val="1"/>
          <w:numId w:val="0"/>
        </w:numPr>
        <w:spacing w:before="166" w:beforeLines="50"/>
        <w:ind w:left="0" w:leftChars="0" w:firstLine="420" w:firstLineChars="0"/>
        <w:rPr>
          <w:highlight w:val="none"/>
        </w:rPr>
      </w:pPr>
      <w:r>
        <w:rPr>
          <w:rFonts w:hint="eastAsia" w:ascii="黑体" w:hAnsi="Times New Roman" w:eastAsia="黑体" w:cs="Times New Roman"/>
          <w:sz w:val="21"/>
          <w:szCs w:val="13"/>
          <w:highlight w:val="none"/>
          <w:lang w:val="en-US" w:eastAsia="zh-CN" w:bidi="ar-SA"/>
        </w:rPr>
        <w:t>表</w:t>
      </w:r>
      <w:r>
        <w:rPr>
          <w:rFonts w:hint="eastAsia" w:cs="Times New Roman"/>
          <w:sz w:val="21"/>
          <w:szCs w:val="13"/>
          <w:highlight w:val="none"/>
          <w:lang w:val="en-US" w:eastAsia="zh-CN" w:bidi="ar-SA"/>
        </w:rPr>
        <w:t>D</w:t>
      </w:r>
      <w:r>
        <w:rPr>
          <w:rFonts w:hint="eastAsia" w:ascii="黑体" w:hAnsi="Times New Roman" w:eastAsia="黑体" w:cs="Times New Roman"/>
          <w:sz w:val="21"/>
          <w:szCs w:val="13"/>
          <w:highlight w:val="none"/>
          <w:lang w:val="en-US" w:eastAsia="zh-CN" w:bidi="ar-SA"/>
        </w:rPr>
        <w:t>.</w:t>
      </w:r>
      <w:r>
        <w:rPr>
          <w:rFonts w:hint="eastAsia" w:cs="Times New Roman"/>
          <w:sz w:val="21"/>
          <w:szCs w:val="13"/>
          <w:highlight w:val="none"/>
          <w:lang w:val="en-US" w:eastAsia="zh-CN" w:bidi="ar-SA"/>
        </w:rPr>
        <w:t xml:space="preserve">1 </w:t>
      </w:r>
      <w:r>
        <w:rPr>
          <w:rFonts w:hint="eastAsia"/>
          <w:highlight w:val="none"/>
          <w:lang w:eastAsia="zh-CN"/>
        </w:rPr>
        <w:t>城市更新单元（片区）</w:t>
      </w:r>
      <w:r>
        <w:rPr>
          <w:rFonts w:hint="eastAsia"/>
          <w:highlight w:val="none"/>
        </w:rPr>
        <w:t>体检评估指标表</w:t>
      </w:r>
    </w:p>
    <w:tbl>
      <w:tblPr>
        <w:tblStyle w:val="32"/>
        <w:tblW w:w="9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662"/>
        <w:gridCol w:w="1310"/>
        <w:gridCol w:w="1037"/>
        <w:gridCol w:w="5934"/>
      </w:tblGrid>
      <w:tr w14:paraId="4B24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26" w:type="dxa"/>
            <w:shd w:val="clear" w:color="auto" w:fill="auto"/>
            <w:noWrap/>
            <w:vAlign w:val="center"/>
          </w:tcPr>
          <w:p w14:paraId="09C09CFB">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维度</w:t>
            </w:r>
          </w:p>
        </w:tc>
        <w:tc>
          <w:tcPr>
            <w:tcW w:w="662" w:type="dxa"/>
            <w:shd w:val="clear" w:color="auto" w:fill="auto"/>
            <w:noWrap/>
            <w:vAlign w:val="center"/>
          </w:tcPr>
          <w:p w14:paraId="565C9F33">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序号</w:t>
            </w:r>
          </w:p>
        </w:tc>
        <w:tc>
          <w:tcPr>
            <w:tcW w:w="1310" w:type="dxa"/>
            <w:shd w:val="clear" w:color="auto" w:fill="auto"/>
            <w:noWrap/>
            <w:vAlign w:val="center"/>
          </w:tcPr>
          <w:p w14:paraId="638112FD">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指标项</w:t>
            </w:r>
          </w:p>
        </w:tc>
        <w:tc>
          <w:tcPr>
            <w:tcW w:w="1037" w:type="dxa"/>
            <w:shd w:val="clear" w:color="auto" w:fill="auto"/>
            <w:noWrap/>
            <w:vAlign w:val="center"/>
          </w:tcPr>
          <w:p w14:paraId="3E2DF229">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指标类型</w:t>
            </w:r>
          </w:p>
        </w:tc>
        <w:tc>
          <w:tcPr>
            <w:tcW w:w="5934" w:type="dxa"/>
            <w:shd w:val="clear" w:color="auto" w:fill="auto"/>
            <w:noWrap/>
            <w:vAlign w:val="center"/>
          </w:tcPr>
          <w:p w14:paraId="4AB0DDFC">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体检内容</w:t>
            </w:r>
          </w:p>
        </w:tc>
      </w:tr>
      <w:tr w14:paraId="28BC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restart"/>
            <w:shd w:val="clear" w:color="auto" w:fill="auto"/>
            <w:noWrap/>
            <w:vAlign w:val="center"/>
          </w:tcPr>
          <w:p w14:paraId="16B81F0E">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空间资源与存量潜力</w:t>
            </w:r>
          </w:p>
        </w:tc>
        <w:tc>
          <w:tcPr>
            <w:tcW w:w="662" w:type="dxa"/>
            <w:shd w:val="clear" w:color="auto" w:fill="auto"/>
            <w:noWrap/>
            <w:vAlign w:val="center"/>
          </w:tcPr>
          <w:p w14:paraId="31666E8D">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w:t>
            </w:r>
          </w:p>
        </w:tc>
        <w:tc>
          <w:tcPr>
            <w:tcW w:w="1310" w:type="dxa"/>
            <w:shd w:val="clear" w:color="auto" w:fill="auto"/>
            <w:noWrap/>
            <w:vAlign w:val="center"/>
          </w:tcPr>
          <w:p w14:paraId="40069139">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存在安全隐患的住宅数量（栋）</w:t>
            </w:r>
          </w:p>
        </w:tc>
        <w:tc>
          <w:tcPr>
            <w:tcW w:w="1037" w:type="dxa"/>
            <w:shd w:val="clear" w:color="auto" w:fill="auto"/>
            <w:noWrap/>
            <w:vAlign w:val="center"/>
          </w:tcPr>
          <w:p w14:paraId="59B58E6F">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31B51179">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结合全国自然灾害综合风险普查房屋建筑和市政设施调查数据成果，对住宅结构、楼道、围护、管线等多类安全隐患进行排查，查找存在结构安全隐患、燃气立管超期（运行满20年）、楼道设施损坏、围护结构破损脱落、管线管道跑冒滴漏等问题的住宅数量。</w:t>
            </w:r>
          </w:p>
        </w:tc>
      </w:tr>
      <w:tr w14:paraId="0EA4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1D58042E">
            <w:pPr>
              <w:spacing w:line="240" w:lineRule="auto"/>
              <w:jc w:val="center"/>
              <w:rPr>
                <w:rFonts w:ascii="宋体" w:hAnsi="宋体"/>
                <w:color w:val="auto"/>
                <w:sz w:val="18"/>
                <w:szCs w:val="18"/>
                <w:highlight w:val="none"/>
              </w:rPr>
            </w:pPr>
          </w:p>
        </w:tc>
        <w:tc>
          <w:tcPr>
            <w:tcW w:w="662" w:type="dxa"/>
            <w:shd w:val="clear" w:color="auto" w:fill="auto"/>
            <w:noWrap/>
            <w:vAlign w:val="center"/>
          </w:tcPr>
          <w:p w14:paraId="7C98C125">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w:t>
            </w:r>
          </w:p>
        </w:tc>
        <w:tc>
          <w:tcPr>
            <w:tcW w:w="1310" w:type="dxa"/>
            <w:shd w:val="clear" w:color="auto" w:fill="auto"/>
            <w:noWrap/>
            <w:vAlign w:val="center"/>
          </w:tcPr>
          <w:p w14:paraId="2CDD7051">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需要进行适老化改造的住宅数量（栋）</w:t>
            </w:r>
          </w:p>
        </w:tc>
        <w:tc>
          <w:tcPr>
            <w:tcW w:w="1037" w:type="dxa"/>
            <w:shd w:val="clear" w:color="auto" w:fill="auto"/>
            <w:noWrap/>
            <w:vAlign w:val="center"/>
          </w:tcPr>
          <w:p w14:paraId="3995DB3E">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1E1D57A9">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查找建成时未安装电梯的多层住宅中具备加装电梯条件，但尚未加装改造的住宅；按照《无障碍设计规范》《建筑与市政工程无障碍通用规范》以及既有住宅适老化改造相关标准要求，查找住宅出入口、门厅、公共走道、楼梯等公共区域建设短板突出的住宅数量。</w:t>
            </w:r>
          </w:p>
        </w:tc>
      </w:tr>
      <w:tr w14:paraId="28A6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26" w:type="dxa"/>
            <w:vMerge w:val="continue"/>
            <w:shd w:val="clear" w:color="auto" w:fill="auto"/>
            <w:noWrap/>
            <w:vAlign w:val="center"/>
          </w:tcPr>
          <w:p w14:paraId="5D9D9302">
            <w:pPr>
              <w:spacing w:line="240" w:lineRule="auto"/>
              <w:jc w:val="center"/>
              <w:rPr>
                <w:rFonts w:ascii="宋体" w:hAnsi="宋体"/>
                <w:color w:val="auto"/>
                <w:sz w:val="18"/>
                <w:szCs w:val="18"/>
                <w:highlight w:val="none"/>
              </w:rPr>
            </w:pPr>
          </w:p>
        </w:tc>
        <w:tc>
          <w:tcPr>
            <w:tcW w:w="662" w:type="dxa"/>
            <w:shd w:val="clear" w:color="auto" w:fill="auto"/>
            <w:noWrap/>
            <w:vAlign w:val="center"/>
          </w:tcPr>
          <w:p w14:paraId="1F4FFCB6">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3</w:t>
            </w:r>
          </w:p>
        </w:tc>
        <w:tc>
          <w:tcPr>
            <w:tcW w:w="1310" w:type="dxa"/>
            <w:shd w:val="clear" w:color="auto" w:fill="auto"/>
            <w:noWrap/>
            <w:vAlign w:val="center"/>
          </w:tcPr>
          <w:p w14:paraId="71FB5110">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需要进行数字化改造的住宅数量（栋）</w:t>
            </w:r>
          </w:p>
        </w:tc>
        <w:tc>
          <w:tcPr>
            <w:tcW w:w="1037" w:type="dxa"/>
            <w:shd w:val="clear" w:color="auto" w:fill="auto"/>
            <w:noWrap/>
            <w:vAlign w:val="center"/>
          </w:tcPr>
          <w:p w14:paraId="6E7582B7">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563A562E">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按照住建部等部门《关于加快发展数字家庭 提高居住品质的指导意见》要求，查找既有住宅中网络基础设施、安防监测设备、高层住宅烟雾报警器等智能产品设置存在的问题，以及老年人、残疾人家庭在健康管理、紧急呼叫等智能产品设置方面存在缺失的住宅数量。</w:t>
            </w:r>
          </w:p>
        </w:tc>
      </w:tr>
      <w:tr w14:paraId="1A5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3B2BB6C5">
            <w:pPr>
              <w:spacing w:line="240" w:lineRule="auto"/>
              <w:jc w:val="center"/>
              <w:rPr>
                <w:rFonts w:ascii="宋体" w:hAnsi="宋体"/>
                <w:color w:val="auto"/>
                <w:sz w:val="18"/>
                <w:szCs w:val="18"/>
                <w:highlight w:val="none"/>
              </w:rPr>
            </w:pPr>
          </w:p>
        </w:tc>
        <w:tc>
          <w:tcPr>
            <w:tcW w:w="662" w:type="dxa"/>
            <w:shd w:val="clear" w:color="auto" w:fill="auto"/>
            <w:noWrap/>
            <w:vAlign w:val="center"/>
          </w:tcPr>
          <w:p w14:paraId="7C37DB07">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4</w:t>
            </w:r>
          </w:p>
        </w:tc>
        <w:tc>
          <w:tcPr>
            <w:tcW w:w="1310" w:type="dxa"/>
            <w:shd w:val="clear" w:color="auto" w:fill="auto"/>
            <w:noWrap/>
            <w:vAlign w:val="center"/>
          </w:tcPr>
          <w:p w14:paraId="2BC78D6B">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需要更新改造的老旧小区数量（个）</w:t>
            </w:r>
          </w:p>
        </w:tc>
        <w:tc>
          <w:tcPr>
            <w:tcW w:w="1037" w:type="dxa"/>
            <w:shd w:val="clear" w:color="auto" w:fill="auto"/>
            <w:noWrap/>
            <w:vAlign w:val="center"/>
          </w:tcPr>
          <w:p w14:paraId="02AAEC2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5A6BD8ED">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建成区内实际完成的城镇老旧小区改造项目数与列入当年改造年度计划项目数的比例，查找房屋和市政设施老化、公共服务设施和公共空间缺失、居住品质和发展活力有待提升、需纳入新一轮改造计划的老旧小区数量。</w:t>
            </w:r>
          </w:p>
        </w:tc>
      </w:tr>
      <w:tr w14:paraId="6C1B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2FF0832E">
            <w:pPr>
              <w:spacing w:line="240" w:lineRule="auto"/>
              <w:jc w:val="center"/>
              <w:rPr>
                <w:rFonts w:ascii="宋体" w:hAnsi="宋体"/>
                <w:color w:val="auto"/>
                <w:sz w:val="18"/>
                <w:szCs w:val="18"/>
                <w:highlight w:val="none"/>
              </w:rPr>
            </w:pPr>
          </w:p>
        </w:tc>
        <w:tc>
          <w:tcPr>
            <w:tcW w:w="662" w:type="dxa"/>
            <w:shd w:val="clear" w:color="auto" w:fill="auto"/>
            <w:noWrap/>
            <w:vAlign w:val="center"/>
          </w:tcPr>
          <w:p w14:paraId="1BA195A1">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5</w:t>
            </w:r>
          </w:p>
        </w:tc>
        <w:tc>
          <w:tcPr>
            <w:tcW w:w="1310" w:type="dxa"/>
            <w:shd w:val="clear" w:color="auto" w:fill="auto"/>
            <w:noWrap/>
            <w:vAlign w:val="center"/>
          </w:tcPr>
          <w:p w14:paraId="016936E8">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低效闲置用地面积（公顷）</w:t>
            </w:r>
          </w:p>
        </w:tc>
        <w:tc>
          <w:tcPr>
            <w:tcW w:w="1037" w:type="dxa"/>
            <w:shd w:val="clear" w:color="auto" w:fill="auto"/>
            <w:noWrap/>
            <w:vAlign w:val="center"/>
          </w:tcPr>
          <w:p w14:paraId="1AECBA7A">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1D00E3DE">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调查城市更新单元（片区）内空闲地、批而未供用地、闲置厂房、低效商务楼宇等存量低效用地面积，以及闲置（空置）住宅、商业、办公等房屋建筑面积；参照《国土空间规划城市体检评估规程》TD/T 1063-2021 评估存量空间资源盘活利用潜力，识别可通过城市更新提质增效的空间对象。</w:t>
            </w:r>
          </w:p>
        </w:tc>
      </w:tr>
      <w:tr w14:paraId="2544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restart"/>
            <w:shd w:val="clear" w:color="auto" w:fill="auto"/>
            <w:noWrap/>
            <w:vAlign w:val="center"/>
          </w:tcPr>
          <w:p w14:paraId="29920C07">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人口结构</w:t>
            </w:r>
          </w:p>
        </w:tc>
        <w:tc>
          <w:tcPr>
            <w:tcW w:w="662" w:type="dxa"/>
            <w:shd w:val="clear" w:color="auto" w:fill="auto"/>
            <w:noWrap/>
            <w:vAlign w:val="center"/>
          </w:tcPr>
          <w:p w14:paraId="3BFEE633">
            <w:pPr>
              <w:spacing w:line="240" w:lineRule="auto"/>
              <w:jc w:val="center"/>
              <w:rPr>
                <w:rFonts w:hint="default" w:ascii="宋体" w:hAnsi="宋体"/>
                <w:strike/>
                <w:dstrike w:val="0"/>
                <w:color w:val="auto"/>
                <w:sz w:val="18"/>
                <w:szCs w:val="18"/>
                <w:highlight w:val="none"/>
                <w:lang w:val="en-US" w:eastAsia="zh-CN"/>
              </w:rPr>
            </w:pPr>
            <w:r>
              <w:rPr>
                <w:rFonts w:hint="eastAsia" w:ascii="宋体" w:hAnsi="宋体"/>
                <w:color w:val="auto"/>
                <w:sz w:val="18"/>
                <w:szCs w:val="18"/>
                <w:highlight w:val="none"/>
                <w:lang w:val="en-US" w:eastAsia="zh-CN"/>
              </w:rPr>
              <w:t>6</w:t>
            </w:r>
          </w:p>
        </w:tc>
        <w:tc>
          <w:tcPr>
            <w:tcW w:w="1310" w:type="dxa"/>
            <w:shd w:val="clear" w:color="auto" w:fill="auto"/>
            <w:noWrap/>
            <w:vAlign w:val="center"/>
          </w:tcPr>
          <w:p w14:paraId="1BF333C8">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人口密度（人/公顷）</w:t>
            </w:r>
          </w:p>
        </w:tc>
        <w:tc>
          <w:tcPr>
            <w:tcW w:w="1037" w:type="dxa"/>
            <w:shd w:val="clear" w:color="auto" w:fill="auto"/>
            <w:noWrap/>
            <w:vAlign w:val="center"/>
          </w:tcPr>
          <w:p w14:paraId="302AB92C">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54C3E0FD">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调查城市更新单元（片区）常住人口与建成区面积比例，参照《国土空间规划城市体检评估规程》TD/T 1063-2021，评估片区人口集聚程度和空间承载状况，分析人口密度与公共服务设施、市政基础设施承载力的匹配关系，识别人口过密或过疏的更新片区。</w:t>
            </w:r>
          </w:p>
        </w:tc>
      </w:tr>
      <w:tr w14:paraId="560E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3A029E72">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4EC25292">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7</w:t>
            </w:r>
          </w:p>
        </w:tc>
        <w:tc>
          <w:tcPr>
            <w:tcW w:w="1310" w:type="dxa"/>
            <w:shd w:val="clear" w:color="auto" w:fill="auto"/>
            <w:noWrap/>
            <w:vAlign w:val="center"/>
          </w:tcPr>
          <w:p w14:paraId="7B0E395F">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流动租住人口比例（%）</w:t>
            </w:r>
          </w:p>
        </w:tc>
        <w:tc>
          <w:tcPr>
            <w:tcW w:w="1037" w:type="dxa"/>
            <w:shd w:val="clear" w:color="auto" w:fill="auto"/>
            <w:noWrap/>
            <w:vAlign w:val="center"/>
          </w:tcPr>
          <w:p w14:paraId="76B09187">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5E1C1180">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更新单元（片区）内租住流动人口（含非户籍长租、短期租住人口）数量占常住人口的比例，分析流动人口对住房保障、义务教育、社区便民服务等设施的需求，评估片区公共服务设施配置的供需匹配状况和租赁住房供给短板。</w:t>
            </w:r>
          </w:p>
        </w:tc>
      </w:tr>
      <w:tr w14:paraId="0520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dxa"/>
            <w:vMerge w:val="continue"/>
            <w:shd w:val="clear" w:color="auto" w:fill="auto"/>
            <w:noWrap/>
            <w:vAlign w:val="center"/>
          </w:tcPr>
          <w:p w14:paraId="2DD2F4F0">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6D79E9C2">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8</w:t>
            </w:r>
          </w:p>
        </w:tc>
        <w:tc>
          <w:tcPr>
            <w:tcW w:w="1310" w:type="dxa"/>
            <w:shd w:val="clear" w:color="auto" w:fill="auto"/>
            <w:noWrap/>
            <w:vAlign w:val="center"/>
          </w:tcPr>
          <w:p w14:paraId="1280552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65岁以上老年人口比例（%）</w:t>
            </w:r>
          </w:p>
        </w:tc>
        <w:tc>
          <w:tcPr>
            <w:tcW w:w="1037" w:type="dxa"/>
            <w:shd w:val="clear" w:color="auto" w:fill="auto"/>
            <w:noWrap/>
            <w:vAlign w:val="center"/>
          </w:tcPr>
          <w:p w14:paraId="0D29DADA">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6043B8B1">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更新单元（片区）65岁及以上常住老年人口占总人口比例，分析片区老龄化程度，结合既有住宅适老化改造、养老服务设施配建、无障碍环境建设等相关指标，评估片区应对老龄化需求的设施和服务供给能力。</w:t>
            </w:r>
          </w:p>
        </w:tc>
      </w:tr>
      <w:tr w14:paraId="4300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restart"/>
            <w:shd w:val="clear" w:color="auto" w:fill="auto"/>
            <w:noWrap/>
            <w:vAlign w:val="center"/>
          </w:tcPr>
          <w:p w14:paraId="2CDEEF50">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历史文化与风貌保护</w:t>
            </w:r>
          </w:p>
        </w:tc>
        <w:tc>
          <w:tcPr>
            <w:tcW w:w="662" w:type="dxa"/>
            <w:shd w:val="clear" w:color="auto" w:fill="auto"/>
            <w:noWrap/>
            <w:vAlign w:val="center"/>
          </w:tcPr>
          <w:p w14:paraId="44513B09">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9</w:t>
            </w:r>
          </w:p>
        </w:tc>
        <w:tc>
          <w:tcPr>
            <w:tcW w:w="1310" w:type="dxa"/>
            <w:shd w:val="clear" w:color="auto" w:fill="auto"/>
            <w:noWrap/>
            <w:vAlign w:val="center"/>
          </w:tcPr>
          <w:p w14:paraId="2F64819F">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各类保护对象数量（个）</w:t>
            </w:r>
          </w:p>
        </w:tc>
        <w:tc>
          <w:tcPr>
            <w:tcW w:w="1037" w:type="dxa"/>
            <w:shd w:val="clear" w:color="auto" w:fill="auto"/>
            <w:noWrap/>
            <w:vAlign w:val="center"/>
          </w:tcPr>
          <w:p w14:paraId="402A1604">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0CED81E0">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调查城市更新单元（片区）内已认定公布的历史文化街区、不可移动文物、历史建筑、历史地段、工业遗产等保护对象的数量及年度增减情况，查找历史文化资源调查评估机制不健全、未做到应保尽保的问题。</w:t>
            </w:r>
          </w:p>
        </w:tc>
      </w:tr>
      <w:tr w14:paraId="2A42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0F8D535D">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106C531">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10</w:t>
            </w:r>
          </w:p>
        </w:tc>
        <w:tc>
          <w:tcPr>
            <w:tcW w:w="1310" w:type="dxa"/>
            <w:shd w:val="clear" w:color="auto" w:fill="auto"/>
            <w:noWrap/>
            <w:vAlign w:val="center"/>
          </w:tcPr>
          <w:p w14:paraId="05549C89">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需要更新改造的老旧商业街区数量（个）</w:t>
            </w:r>
          </w:p>
        </w:tc>
        <w:tc>
          <w:tcPr>
            <w:tcW w:w="1037" w:type="dxa"/>
            <w:shd w:val="clear" w:color="auto" w:fill="auto"/>
            <w:noWrap/>
            <w:vAlign w:val="center"/>
          </w:tcPr>
          <w:p w14:paraId="23364122">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6220F5FB">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查找房屋和市政设施老化、公共空间和建筑风貌亟须优化、商业业态和消费活力有待提升改造的老旧商业街区数量，识别具备更新改造价值但尚未纳入改造计划的历史风貌型街区。</w:t>
            </w:r>
          </w:p>
        </w:tc>
      </w:tr>
      <w:tr w14:paraId="5EFA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18E59F03">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CD50666">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11</w:t>
            </w:r>
          </w:p>
        </w:tc>
        <w:tc>
          <w:tcPr>
            <w:tcW w:w="1310" w:type="dxa"/>
            <w:shd w:val="clear" w:color="auto" w:fill="auto"/>
            <w:noWrap/>
            <w:vAlign w:val="center"/>
          </w:tcPr>
          <w:p w14:paraId="014AC93A">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需要更新改造的老旧厂区数量（个）</w:t>
            </w:r>
          </w:p>
        </w:tc>
        <w:tc>
          <w:tcPr>
            <w:tcW w:w="1037" w:type="dxa"/>
            <w:shd w:val="clear" w:color="auto" w:fill="auto"/>
            <w:noWrap/>
            <w:vAlign w:val="center"/>
          </w:tcPr>
          <w:p w14:paraId="4AC8B4F4">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25BAE068">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查找房屋和市政设施老化、资源闲置、有产业转型需求的老旧厂区（含老旧工业园区、仓储区、传统产业集聚区等）数量，识别可通过功能转换、产业转型进行活化利用的存量工业资源。</w:t>
            </w:r>
          </w:p>
        </w:tc>
      </w:tr>
      <w:tr w14:paraId="2F1A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826" w:type="dxa"/>
            <w:vMerge w:val="continue"/>
            <w:shd w:val="clear" w:color="auto" w:fill="auto"/>
            <w:noWrap/>
            <w:vAlign w:val="center"/>
          </w:tcPr>
          <w:p w14:paraId="7F7CFC37">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45F3122E">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12</w:t>
            </w:r>
          </w:p>
        </w:tc>
        <w:tc>
          <w:tcPr>
            <w:tcW w:w="1310" w:type="dxa"/>
            <w:shd w:val="clear" w:color="auto" w:fill="auto"/>
            <w:noWrap/>
            <w:vAlign w:val="center"/>
          </w:tcPr>
          <w:p w14:paraId="0A79CF47">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古树名木数量（棵）</w:t>
            </w:r>
          </w:p>
        </w:tc>
        <w:tc>
          <w:tcPr>
            <w:tcW w:w="1037" w:type="dxa"/>
            <w:shd w:val="clear" w:color="auto" w:fill="auto"/>
            <w:noWrap/>
            <w:vAlign w:val="center"/>
          </w:tcPr>
          <w:p w14:paraId="789B2F3B">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4A04F5C8">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调查城市更新单元（片区）内古树名木的分布、数量和保护管理现状，查找古树名木及历史环境要素保护管理不到位、保护范围不规范、城市建设与古树名木保护冲突等方面的问题。</w:t>
            </w:r>
          </w:p>
        </w:tc>
      </w:tr>
      <w:tr w14:paraId="2FE2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restart"/>
            <w:shd w:val="clear" w:color="auto" w:fill="auto"/>
            <w:noWrap/>
            <w:vAlign w:val="center"/>
          </w:tcPr>
          <w:p w14:paraId="0BC2FB09">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公共空间与环境品质</w:t>
            </w:r>
          </w:p>
        </w:tc>
        <w:tc>
          <w:tcPr>
            <w:tcW w:w="662" w:type="dxa"/>
            <w:shd w:val="clear" w:color="auto" w:fill="auto"/>
            <w:noWrap/>
            <w:vAlign w:val="center"/>
          </w:tcPr>
          <w:p w14:paraId="15CAC36A">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13</w:t>
            </w:r>
          </w:p>
        </w:tc>
        <w:tc>
          <w:tcPr>
            <w:tcW w:w="1310" w:type="dxa"/>
            <w:shd w:val="clear" w:color="auto" w:fill="auto"/>
            <w:noWrap/>
            <w:vAlign w:val="center"/>
          </w:tcPr>
          <w:p w14:paraId="2AA9D820">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未达标配建的多功能运动场地数量（个）</w:t>
            </w:r>
          </w:p>
        </w:tc>
        <w:tc>
          <w:tcPr>
            <w:tcW w:w="1037" w:type="dxa"/>
            <w:shd w:val="clear" w:color="auto" w:fill="auto"/>
            <w:noWrap/>
            <w:vAlign w:val="center"/>
          </w:tcPr>
          <w:p w14:paraId="7AF2F7A4">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1A4F2A57">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按照《城市社区多功能公共运动场配置要求》《城市居住区规划设计标准》等要求，查找多功能运动场地配建缺失、场地面积不足、设施设备不完善、布局不均衡，以及未向公众开放等问题突出的场地数量。</w:t>
            </w:r>
          </w:p>
        </w:tc>
      </w:tr>
      <w:tr w14:paraId="6D6A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771CF130">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4823C034">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14</w:t>
            </w:r>
          </w:p>
        </w:tc>
        <w:tc>
          <w:tcPr>
            <w:tcW w:w="1310" w:type="dxa"/>
            <w:shd w:val="clear" w:color="auto" w:fill="auto"/>
            <w:noWrap/>
            <w:vAlign w:val="center"/>
          </w:tcPr>
          <w:p w14:paraId="0C64D9E6">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未达标配建的文化活动中心数量（个）</w:t>
            </w:r>
          </w:p>
        </w:tc>
        <w:tc>
          <w:tcPr>
            <w:tcW w:w="1037" w:type="dxa"/>
            <w:shd w:val="clear" w:color="auto" w:fill="auto"/>
            <w:noWrap/>
            <w:vAlign w:val="center"/>
          </w:tcPr>
          <w:p w14:paraId="3D4D586F">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2879FE20">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按照《城市居住区规划设计标准》要求，查找文化活动中心配建缺失或面积不足，青少年和老年活动设施、儿童之家服务功能不完善，布局不均衡，以及未向公众开放等问题突出的中心数量。</w:t>
            </w:r>
          </w:p>
        </w:tc>
      </w:tr>
      <w:tr w14:paraId="3E76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1A574E06">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6ABD831A">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15</w:t>
            </w:r>
          </w:p>
        </w:tc>
        <w:tc>
          <w:tcPr>
            <w:tcW w:w="1310" w:type="dxa"/>
            <w:shd w:val="clear" w:color="auto" w:fill="auto"/>
            <w:noWrap/>
            <w:vAlign w:val="center"/>
          </w:tcPr>
          <w:p w14:paraId="29FD1E79">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公园绿化活动场地服务半径覆盖率（%）</w:t>
            </w:r>
          </w:p>
        </w:tc>
        <w:tc>
          <w:tcPr>
            <w:tcW w:w="1037" w:type="dxa"/>
            <w:shd w:val="clear" w:color="auto" w:fill="auto"/>
            <w:noWrap/>
            <w:vAlign w:val="center"/>
          </w:tcPr>
          <w:p w14:paraId="3DAFDB4D">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1747C453">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300米见绿、500米见园以及公园绿地面积标准要求，调查分析公园绿化活动场地服务半径覆盖的居住用地面积，占所在街道居住用地总面积的百分比，查找公园绿化活动场地布局不均衡、面积不达标、服务盲区等问题。</w:t>
            </w:r>
          </w:p>
        </w:tc>
      </w:tr>
      <w:tr w14:paraId="38D9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826" w:type="dxa"/>
            <w:vMerge w:val="continue"/>
            <w:shd w:val="clear" w:color="auto" w:fill="auto"/>
            <w:noWrap/>
            <w:vAlign w:val="center"/>
          </w:tcPr>
          <w:p w14:paraId="7167A8D1">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001CB93">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16</w:t>
            </w:r>
          </w:p>
        </w:tc>
        <w:tc>
          <w:tcPr>
            <w:tcW w:w="1310" w:type="dxa"/>
            <w:shd w:val="clear" w:color="auto" w:fill="auto"/>
            <w:noWrap/>
            <w:vAlign w:val="center"/>
          </w:tcPr>
          <w:p w14:paraId="224E1ECF">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林荫路覆盖率（%）</w:t>
            </w:r>
          </w:p>
        </w:tc>
        <w:tc>
          <w:tcPr>
            <w:tcW w:w="1037" w:type="dxa"/>
            <w:shd w:val="clear" w:color="auto" w:fill="auto"/>
            <w:noWrap/>
            <w:vAlign w:val="center"/>
          </w:tcPr>
          <w:p w14:paraId="2BA8A429">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0C2BC128">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道路绿化设计标准》《完整居住社区建设标准（试行）》要求，调查城市更新单元（片区）内达标林荫道路段长度占适宜林荫化道路总长度的比例，查找行道树缺失、树荫覆盖不足、绿化养护管理不到位、夏日遮荫出行需求得不到保障等问题。</w:t>
            </w:r>
          </w:p>
        </w:tc>
      </w:tr>
      <w:tr w14:paraId="741E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26" w:type="dxa"/>
            <w:vMerge w:val="continue"/>
            <w:shd w:val="clear" w:color="auto" w:fill="auto"/>
            <w:noWrap/>
            <w:vAlign w:val="center"/>
          </w:tcPr>
          <w:p w14:paraId="47707ACB">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2E1E5DD2">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17</w:t>
            </w:r>
          </w:p>
        </w:tc>
        <w:tc>
          <w:tcPr>
            <w:tcW w:w="1310" w:type="dxa"/>
            <w:shd w:val="clear" w:color="auto" w:fill="auto"/>
            <w:noWrap/>
            <w:vAlign w:val="center"/>
          </w:tcPr>
          <w:p w14:paraId="61184FA2">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存在乱拉空中线路问题的道路数量（条）</w:t>
            </w:r>
          </w:p>
        </w:tc>
        <w:tc>
          <w:tcPr>
            <w:tcW w:w="1037" w:type="dxa"/>
            <w:shd w:val="clear" w:color="auto" w:fill="auto"/>
            <w:noWrap/>
            <w:vAlign w:val="center"/>
          </w:tcPr>
          <w:p w14:paraId="4126D523">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15C1A08F">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市容市貌干净整洁有序安全标准》《城市容貌管理》等要求，调查城市更新单元（片区）内架空电力线、通信线缆违规架设、杂乱垂落、跨街连接等问题突出的道路数量，查找架空线缆整治、线缆下地改造、智慧多功能杆建设等方面的短板。</w:t>
            </w:r>
          </w:p>
        </w:tc>
      </w:tr>
      <w:tr w14:paraId="44C2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826" w:type="dxa"/>
            <w:vMerge w:val="continue"/>
            <w:shd w:val="clear" w:color="auto" w:fill="auto"/>
            <w:noWrap/>
            <w:vAlign w:val="center"/>
          </w:tcPr>
          <w:p w14:paraId="38EEA4BF">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75297967">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18</w:t>
            </w:r>
          </w:p>
        </w:tc>
        <w:tc>
          <w:tcPr>
            <w:tcW w:w="1310" w:type="dxa"/>
            <w:shd w:val="clear" w:color="auto" w:fill="auto"/>
            <w:noWrap/>
            <w:vAlign w:val="center"/>
          </w:tcPr>
          <w:p w14:paraId="5EC33CF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存在乱停乱放车辆问题的道路数量（条）</w:t>
            </w:r>
          </w:p>
        </w:tc>
        <w:tc>
          <w:tcPr>
            <w:tcW w:w="1037" w:type="dxa"/>
            <w:shd w:val="clear" w:color="auto" w:fill="auto"/>
            <w:noWrap/>
            <w:vAlign w:val="center"/>
          </w:tcPr>
          <w:p w14:paraId="72D3C806">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6EDACC72">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容貌管理》《城市道路管理条例》《城市停车规范（试行）》等要求，查找城市更新单元（片区）内机动车、非机动车无序停放、占用绿化带和人行道问题突出的道路数量，评估静态交通秩序管理和停车设施供给情况。</w:t>
            </w:r>
          </w:p>
        </w:tc>
      </w:tr>
      <w:tr w14:paraId="6323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restart"/>
            <w:shd w:val="clear" w:color="auto" w:fill="auto"/>
            <w:noWrap/>
            <w:vAlign w:val="center"/>
          </w:tcPr>
          <w:p w14:paraId="69B2314C">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公共服务设施</w:t>
            </w:r>
          </w:p>
        </w:tc>
        <w:tc>
          <w:tcPr>
            <w:tcW w:w="662" w:type="dxa"/>
            <w:shd w:val="clear" w:color="auto" w:fill="auto"/>
            <w:noWrap/>
            <w:vAlign w:val="center"/>
          </w:tcPr>
          <w:p w14:paraId="7368E759">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19</w:t>
            </w:r>
          </w:p>
        </w:tc>
        <w:tc>
          <w:tcPr>
            <w:tcW w:w="1310" w:type="dxa"/>
            <w:shd w:val="clear" w:color="auto" w:fill="auto"/>
            <w:noWrap/>
            <w:vAlign w:val="center"/>
          </w:tcPr>
          <w:p w14:paraId="66912181">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未达标配建养老服务设施的数量（个）</w:t>
            </w:r>
          </w:p>
        </w:tc>
        <w:tc>
          <w:tcPr>
            <w:tcW w:w="1037" w:type="dxa"/>
            <w:shd w:val="clear" w:color="auto" w:fill="auto"/>
            <w:noWrap/>
            <w:vAlign w:val="center"/>
          </w:tcPr>
          <w:p w14:paraId="328EF787">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10E9762C">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社区老年人日间照料中心建设标准》《完整居住社区建设标准（试行）》等要求，查找养老服务设施配建缺失，以及生活照料、康复护理、助餐助行、上门照护、文化娱乐等养老服务不健全的问题，按照每3万-10万居民设置1所社区养老服务设施的标准评估设施缺口。</w:t>
            </w:r>
          </w:p>
        </w:tc>
      </w:tr>
      <w:tr w14:paraId="643C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7838C81C">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668B0465">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20</w:t>
            </w:r>
          </w:p>
        </w:tc>
        <w:tc>
          <w:tcPr>
            <w:tcW w:w="1310" w:type="dxa"/>
            <w:shd w:val="clear" w:color="auto" w:fill="auto"/>
            <w:noWrap/>
            <w:vAlign w:val="center"/>
          </w:tcPr>
          <w:p w14:paraId="52D9DA2D">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未达标配建婴幼儿托育设施的数量（个）</w:t>
            </w:r>
          </w:p>
        </w:tc>
        <w:tc>
          <w:tcPr>
            <w:tcW w:w="1037" w:type="dxa"/>
            <w:shd w:val="clear" w:color="auto" w:fill="auto"/>
            <w:noWrap/>
            <w:vAlign w:val="center"/>
          </w:tcPr>
          <w:p w14:paraId="07CFF8A9">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53E2D809">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按照《托育机构设置标准（试行）》《完整居住社区建设标准（试行）》等要求，结合实际需求，查找婴幼儿托育设施配建缺失，以及对婴幼儿早期发展指导等照护服务不到位的问题。</w:t>
            </w:r>
          </w:p>
        </w:tc>
      </w:tr>
      <w:tr w14:paraId="70E7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644E57B4">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5687FEB">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21</w:t>
            </w:r>
          </w:p>
        </w:tc>
        <w:tc>
          <w:tcPr>
            <w:tcW w:w="1310" w:type="dxa"/>
            <w:shd w:val="clear" w:color="auto" w:fill="auto"/>
            <w:noWrap/>
            <w:vAlign w:val="center"/>
          </w:tcPr>
          <w:p w14:paraId="01E9E97A">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未达标配建的幼儿园的数量（个）</w:t>
            </w:r>
          </w:p>
        </w:tc>
        <w:tc>
          <w:tcPr>
            <w:tcW w:w="1037" w:type="dxa"/>
            <w:shd w:val="clear" w:color="auto" w:fill="auto"/>
            <w:noWrap/>
            <w:vAlign w:val="center"/>
          </w:tcPr>
          <w:p w14:paraId="6814AC4D">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510F2145">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居住区规划设计标准》《幼儿园建设标准》《完整居住社区建设标准（试行）》等要求，调查城市更新单元（片区）内幼儿园配建数量、规模与适龄学前儿童入园需求的匹配情况，查找学位缺口、园舍建筑面积不达标、服务半径过大、办园条件简陋等问题。</w:t>
            </w:r>
          </w:p>
        </w:tc>
      </w:tr>
      <w:tr w14:paraId="1EBC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355ED091">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5A4A27E">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22</w:t>
            </w:r>
          </w:p>
        </w:tc>
        <w:tc>
          <w:tcPr>
            <w:tcW w:w="1310" w:type="dxa"/>
            <w:shd w:val="clear" w:color="auto" w:fill="auto"/>
            <w:noWrap/>
            <w:vAlign w:val="center"/>
          </w:tcPr>
          <w:p w14:paraId="6A0C397C">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小学学位缺口数（个）</w:t>
            </w:r>
          </w:p>
        </w:tc>
        <w:tc>
          <w:tcPr>
            <w:tcW w:w="1037" w:type="dxa"/>
            <w:shd w:val="clear" w:color="auto" w:fill="auto"/>
            <w:noWrap/>
            <w:vAlign w:val="center"/>
          </w:tcPr>
          <w:p w14:paraId="4A30C47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57FF85D7">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居住区规划设计标准》《义务教育优质均衡发展》等要求，调查城市更新单元（片区）内现有小学学位数与适龄学龄人口需求的差距，查找小学布点不足、班额超标、教学用房紧张、就近入学难等问题，为片区学位配置和学校建设提供依据。</w:t>
            </w:r>
          </w:p>
        </w:tc>
      </w:tr>
      <w:tr w14:paraId="5B7F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07FACDC8">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6E16D13F">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23</w:t>
            </w:r>
          </w:p>
        </w:tc>
        <w:tc>
          <w:tcPr>
            <w:tcW w:w="1310" w:type="dxa"/>
            <w:shd w:val="clear" w:color="auto" w:fill="auto"/>
            <w:noWrap/>
            <w:vAlign w:val="center"/>
          </w:tcPr>
          <w:p w14:paraId="106034F6">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中学服务半径覆盖率（%）</w:t>
            </w:r>
          </w:p>
        </w:tc>
        <w:tc>
          <w:tcPr>
            <w:tcW w:w="1037" w:type="dxa"/>
            <w:shd w:val="clear" w:color="auto" w:fill="auto"/>
            <w:noWrap/>
            <w:vAlign w:val="center"/>
          </w:tcPr>
          <w:p w14:paraId="53F906BD">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1851102B">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调查分析中学1千米服务半径覆盖的居住用地面积，占所在街道总居住用地面积的百分比，查找中学服务半径覆盖与适龄青少年就近入学需求方面的差距和不足。</w:t>
            </w:r>
          </w:p>
        </w:tc>
      </w:tr>
      <w:tr w14:paraId="50C3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78E5B761">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2B1C1DB0">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24</w:t>
            </w:r>
          </w:p>
        </w:tc>
        <w:tc>
          <w:tcPr>
            <w:tcW w:w="1310" w:type="dxa"/>
            <w:shd w:val="clear" w:color="auto" w:fill="auto"/>
            <w:noWrap/>
            <w:vAlign w:val="center"/>
          </w:tcPr>
          <w:p w14:paraId="3A4BA620">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未达标配建的社区便民服务设施数量（个）</w:t>
            </w:r>
          </w:p>
        </w:tc>
        <w:tc>
          <w:tcPr>
            <w:tcW w:w="1037" w:type="dxa"/>
            <w:shd w:val="clear" w:color="auto" w:fill="auto"/>
            <w:noWrap/>
            <w:vAlign w:val="center"/>
          </w:tcPr>
          <w:p w14:paraId="19AEF3C8">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5A64EB5C">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商务部办公厅等11部门《城市一刻钟便民生活圈建设指南》要求，调查城市更新单元（片区）内社区便民超市、便利店、快递点、家政服务点等便民服务设施配建缺失以及居民生活便利服务不到位的问题，评估15分钟便民生活圈覆盖水平。</w:t>
            </w:r>
          </w:p>
        </w:tc>
      </w:tr>
      <w:tr w14:paraId="49B3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restart"/>
            <w:shd w:val="clear" w:color="auto" w:fill="auto"/>
            <w:noWrap/>
            <w:vAlign w:val="center"/>
          </w:tcPr>
          <w:p w14:paraId="04B277A4">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交通与基础设施</w:t>
            </w:r>
          </w:p>
        </w:tc>
        <w:tc>
          <w:tcPr>
            <w:tcW w:w="662" w:type="dxa"/>
            <w:shd w:val="clear" w:color="auto" w:fill="auto"/>
            <w:noWrap/>
            <w:vAlign w:val="center"/>
          </w:tcPr>
          <w:p w14:paraId="29B840BF">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25</w:t>
            </w:r>
          </w:p>
        </w:tc>
        <w:tc>
          <w:tcPr>
            <w:tcW w:w="1310" w:type="dxa"/>
            <w:shd w:val="clear" w:color="auto" w:fill="auto"/>
            <w:noWrap/>
            <w:vAlign w:val="center"/>
          </w:tcPr>
          <w:p w14:paraId="597286D3">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停车泊位缺口数（个）</w:t>
            </w:r>
          </w:p>
        </w:tc>
        <w:tc>
          <w:tcPr>
            <w:tcW w:w="1037" w:type="dxa"/>
            <w:shd w:val="clear" w:color="auto" w:fill="auto"/>
            <w:noWrap/>
            <w:vAlign w:val="center"/>
          </w:tcPr>
          <w:p w14:paraId="53554C5F">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44665D10">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停车规范》《完整居住社区建设标准（试行）》等要求，查找低于1车/户机动车停车位配建要求，或统筹小区内停车位、小区出入口300米范围内居住停车有优惠政策的路内停车位和公共停车位仍低于小区居民停车需求的小区数量及具体泊位缺口。</w:t>
            </w:r>
          </w:p>
        </w:tc>
      </w:tr>
      <w:tr w14:paraId="2C2B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7A8565F6">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47D7CB67">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26</w:t>
            </w:r>
          </w:p>
        </w:tc>
        <w:tc>
          <w:tcPr>
            <w:tcW w:w="1310" w:type="dxa"/>
            <w:shd w:val="clear" w:color="auto" w:fill="auto"/>
            <w:noWrap/>
            <w:vAlign w:val="center"/>
          </w:tcPr>
          <w:p w14:paraId="1E84B373">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新能源汽车充电桩缺口数（个）</w:t>
            </w:r>
          </w:p>
        </w:tc>
        <w:tc>
          <w:tcPr>
            <w:tcW w:w="1037" w:type="dxa"/>
            <w:shd w:val="clear" w:color="auto" w:fill="auto"/>
            <w:noWrap/>
            <w:vAlign w:val="center"/>
          </w:tcPr>
          <w:p w14:paraId="6599A8FA">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67686015">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电动汽车分散充电设施工程技术标准》《完整居住社区建设标准（试行）》等要求，查找现有充电桩供给能力与城市更新单元（片区）内新能源汽车充电需求的差距，以及充电桩在安装选址、使用率、运维管理、安全防护等方面存在的问题。</w:t>
            </w:r>
          </w:p>
        </w:tc>
      </w:tr>
      <w:tr w14:paraId="721D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59E734B4">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C515E18">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27</w:t>
            </w:r>
          </w:p>
        </w:tc>
        <w:tc>
          <w:tcPr>
            <w:tcW w:w="1310" w:type="dxa"/>
            <w:shd w:val="clear" w:color="auto" w:fill="auto"/>
            <w:noWrap/>
            <w:vAlign w:val="center"/>
          </w:tcPr>
          <w:p w14:paraId="7147B78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公交站点覆盖率（%）</w:t>
            </w:r>
          </w:p>
        </w:tc>
        <w:tc>
          <w:tcPr>
            <w:tcW w:w="1037" w:type="dxa"/>
            <w:shd w:val="clear" w:color="auto" w:fill="auto"/>
            <w:noWrap/>
            <w:vAlign w:val="center"/>
          </w:tcPr>
          <w:p w14:paraId="0F44F4EC">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551716CA">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按照《城市综合交通体系规划标准》GB/T 51328-2018 要求，调查城市更新单元（片区）内公交站点服务面积占建成区建设用地总面积的百分比，其中公交站点300米覆盖率不应低于50%，500米覆盖率不应小于90%（以公交站点为圆心，300米或500米步行距离为半径测算），查找公共交通服务盲区。</w:t>
            </w:r>
          </w:p>
        </w:tc>
      </w:tr>
      <w:tr w14:paraId="62A2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79E26F98">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7F7BDE12">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28</w:t>
            </w:r>
          </w:p>
        </w:tc>
        <w:tc>
          <w:tcPr>
            <w:tcW w:w="1310" w:type="dxa"/>
            <w:shd w:val="clear" w:color="auto" w:fill="auto"/>
            <w:noWrap/>
            <w:vAlign w:val="center"/>
          </w:tcPr>
          <w:p w14:paraId="1A48F537">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垃圾回收站点覆盖率（%）</w:t>
            </w:r>
          </w:p>
        </w:tc>
        <w:tc>
          <w:tcPr>
            <w:tcW w:w="1037" w:type="dxa"/>
            <w:shd w:val="clear" w:color="auto" w:fill="auto"/>
            <w:noWrap/>
            <w:vAlign w:val="center"/>
          </w:tcPr>
          <w:p w14:paraId="0C45168E">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6B858515">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住建部等部门《关于进一步推进生活垃圾分类工作的若干意见》要求，调查城市更新单元（片区）内生活垃圾分类制度实施情况、垃圾回收站点布局及服务覆盖情况，查找未实行垃圾分类制度、未建立分类投放、分类收集系统，回收站点数量不足、布局不合理等问题。</w:t>
            </w:r>
          </w:p>
        </w:tc>
      </w:tr>
      <w:tr w14:paraId="4B6C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492D922E">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33A57C35">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29</w:t>
            </w:r>
          </w:p>
        </w:tc>
        <w:tc>
          <w:tcPr>
            <w:tcW w:w="1310" w:type="dxa"/>
            <w:shd w:val="clear" w:color="auto" w:fill="auto"/>
            <w:noWrap/>
            <w:vAlign w:val="center"/>
          </w:tcPr>
          <w:p w14:paraId="1EF910B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公共厕所覆盖率（%）</w:t>
            </w:r>
          </w:p>
        </w:tc>
        <w:tc>
          <w:tcPr>
            <w:tcW w:w="1037" w:type="dxa"/>
            <w:shd w:val="clear" w:color="auto" w:fill="auto"/>
            <w:noWrap/>
            <w:vAlign w:val="center"/>
          </w:tcPr>
          <w:p w14:paraId="7B2CEBA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7C8FA6ED">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按照《城市公共厕所设计标准》CJJ 14、《环境卫生设施设置标准》CJJ 27 等要求，调查城市更新单元（片区）内公共厕所数量、布局与服务半径的覆盖情况，查找公共厕所数量不足、布局不合理、设施不完善、日常管护不到位、标识不清等问题。</w:t>
            </w:r>
          </w:p>
        </w:tc>
      </w:tr>
      <w:tr w14:paraId="1953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570D1F89">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66EFFAB4">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30</w:t>
            </w:r>
          </w:p>
        </w:tc>
        <w:tc>
          <w:tcPr>
            <w:tcW w:w="1310" w:type="dxa"/>
            <w:shd w:val="clear" w:color="auto" w:fill="auto"/>
            <w:noWrap/>
            <w:vAlign w:val="center"/>
          </w:tcPr>
          <w:p w14:paraId="2FCDA67E">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生活污水集中收集率（%）</w:t>
            </w:r>
          </w:p>
        </w:tc>
        <w:tc>
          <w:tcPr>
            <w:tcW w:w="1037" w:type="dxa"/>
            <w:shd w:val="clear" w:color="auto" w:fill="auto"/>
            <w:noWrap/>
            <w:vAlign w:val="center"/>
          </w:tcPr>
          <w:p w14:paraId="006F410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6E1FCD7B">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镇污水处理厂运行监督管理》《城镇生活污水处理设施排水管网建设三年行动方案》等要求，调查城市更新单元（片区）内生活污水纳入集中处理的比例，查找污水管网覆盖盲区、雨污分流不到位、混接错接、收集处理设施短板等问题。</w:t>
            </w:r>
          </w:p>
        </w:tc>
      </w:tr>
      <w:tr w14:paraId="0A78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64BC9FDC">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F02EBFA">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31</w:t>
            </w:r>
          </w:p>
        </w:tc>
        <w:tc>
          <w:tcPr>
            <w:tcW w:w="1310" w:type="dxa"/>
            <w:shd w:val="clear" w:color="auto" w:fill="auto"/>
            <w:noWrap/>
            <w:vAlign w:val="center"/>
          </w:tcPr>
          <w:p w14:paraId="61B8CDC4">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老旧供水管网改造完成率（%）</w:t>
            </w:r>
          </w:p>
        </w:tc>
        <w:tc>
          <w:tcPr>
            <w:tcW w:w="1037" w:type="dxa"/>
            <w:shd w:val="clear" w:color="auto" w:fill="auto"/>
            <w:noWrap/>
            <w:vAlign w:val="center"/>
          </w:tcPr>
          <w:p w14:paraId="04722A3B">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456D3845">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城市更新单元（片区）内老旧供水管网（含市政供水管网和小区公共供水管道）年度更新改造长度，占年度老旧供水管网改造计划长度的百分比，查找管网材质落后、超期服役、漏损率高、二次供水设施不达标等问题。</w:t>
            </w:r>
          </w:p>
        </w:tc>
      </w:tr>
      <w:tr w14:paraId="65EB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09F012B6">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661D901E">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32</w:t>
            </w:r>
          </w:p>
        </w:tc>
        <w:tc>
          <w:tcPr>
            <w:tcW w:w="1310" w:type="dxa"/>
            <w:shd w:val="clear" w:color="auto" w:fill="auto"/>
            <w:noWrap/>
            <w:vAlign w:val="center"/>
          </w:tcPr>
          <w:p w14:paraId="015E5B82">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老旧燃气管网改造完成率（%）</w:t>
            </w:r>
          </w:p>
        </w:tc>
        <w:tc>
          <w:tcPr>
            <w:tcW w:w="1037" w:type="dxa"/>
            <w:shd w:val="clear" w:color="auto" w:fill="auto"/>
            <w:noWrap/>
            <w:vAlign w:val="center"/>
          </w:tcPr>
          <w:p w14:paraId="29A60DF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4ECCD1F6">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分析城市更新单元（片区）内老旧市政燃气管网（运行满20年、经评估存在安全隐患的立管，含引入管、水平干管）年度更新改造长度，占年度老旧市政燃气管网改造计划长度的百分比，查找城市老旧市政燃气管道和设施建设改造、运维养护等方面存在的差距和问题。</w:t>
            </w:r>
          </w:p>
        </w:tc>
      </w:tr>
      <w:tr w14:paraId="2D08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3C3059BD">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75C8472C">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33</w:t>
            </w:r>
          </w:p>
        </w:tc>
        <w:tc>
          <w:tcPr>
            <w:tcW w:w="1310" w:type="dxa"/>
            <w:shd w:val="clear" w:color="auto" w:fill="auto"/>
            <w:noWrap/>
            <w:vAlign w:val="center"/>
          </w:tcPr>
          <w:p w14:paraId="6347C174">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破损、塌陷待改造市政道路里程（米）</w:t>
            </w:r>
          </w:p>
        </w:tc>
        <w:tc>
          <w:tcPr>
            <w:tcW w:w="1037" w:type="dxa"/>
            <w:shd w:val="clear" w:color="auto" w:fill="auto"/>
            <w:noWrap/>
            <w:vAlign w:val="center"/>
          </w:tcPr>
          <w:p w14:paraId="1B2B342A">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6D02BCC7">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镇道路工程施工与质量验收规范》《城市道路工程设计规范》《城市道路养护技术规范》等要求，调查城市更新单元（片区）内路面破损、坑槽、塌陷、井框差、网裂等病害道路里程，查找道路病害处置不及时、养护管理不到位、车行舒适度与人行安全性差等问题。</w:t>
            </w:r>
          </w:p>
        </w:tc>
      </w:tr>
      <w:tr w14:paraId="4A41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1C14172B">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38AC2B50">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34</w:t>
            </w:r>
          </w:p>
        </w:tc>
        <w:tc>
          <w:tcPr>
            <w:tcW w:w="1310" w:type="dxa"/>
            <w:shd w:val="clear" w:color="auto" w:fill="auto"/>
            <w:noWrap/>
            <w:vAlign w:val="center"/>
          </w:tcPr>
          <w:p w14:paraId="64DFD517">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片区断头路数量及打通需求（条）</w:t>
            </w:r>
          </w:p>
        </w:tc>
        <w:tc>
          <w:tcPr>
            <w:tcW w:w="1037" w:type="dxa"/>
            <w:shd w:val="clear" w:color="auto" w:fill="auto"/>
            <w:noWrap/>
            <w:vAlign w:val="center"/>
          </w:tcPr>
          <w:p w14:paraId="1D8F5CE1">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49758A2E">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市道路交通设施设计规范》《完整居住社区建设标准（试行）》要求，调查城市更新单元（片区）内断头路、丁字路、畸形路口的数量及分布，评估片区路网连通性、微循环组织、对外交通衔接水平，查找片区内部交通组织不合理、通勤效率不高等问题。</w:t>
            </w:r>
          </w:p>
        </w:tc>
      </w:tr>
      <w:tr w14:paraId="60BE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restart"/>
            <w:shd w:val="clear" w:color="auto" w:fill="auto"/>
            <w:noWrap/>
            <w:vAlign w:val="center"/>
          </w:tcPr>
          <w:p w14:paraId="0CA6B555">
            <w:pPr>
              <w:spacing w:line="240" w:lineRule="auto"/>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安全韧性与运行管理</w:t>
            </w:r>
          </w:p>
        </w:tc>
        <w:tc>
          <w:tcPr>
            <w:tcW w:w="662" w:type="dxa"/>
            <w:shd w:val="clear" w:color="auto" w:fill="auto"/>
            <w:noWrap/>
            <w:vAlign w:val="center"/>
          </w:tcPr>
          <w:p w14:paraId="4402C305">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35</w:t>
            </w:r>
          </w:p>
        </w:tc>
        <w:tc>
          <w:tcPr>
            <w:tcW w:w="1310" w:type="dxa"/>
            <w:shd w:val="clear" w:color="auto" w:fill="auto"/>
            <w:noWrap/>
            <w:vAlign w:val="center"/>
          </w:tcPr>
          <w:p w14:paraId="12A01CE5">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人均避难场所有效避难面积（㎡）</w:t>
            </w:r>
          </w:p>
        </w:tc>
        <w:tc>
          <w:tcPr>
            <w:tcW w:w="1037" w:type="dxa"/>
            <w:shd w:val="clear" w:color="auto" w:fill="auto"/>
            <w:noWrap/>
            <w:vAlign w:val="center"/>
          </w:tcPr>
          <w:p w14:paraId="06EC4E19">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6A2305F6">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调查分析城市更新单元（片区）上一年度改造或新增的应急避难场所数量，以及人均有效避难面积是否满足应急避难需求，查找城市应急避难场所规模、布局及配套设施等方面存在的差距和问题。</w:t>
            </w:r>
          </w:p>
        </w:tc>
      </w:tr>
      <w:tr w14:paraId="39E9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480897E4">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5571C58A">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36</w:t>
            </w:r>
          </w:p>
        </w:tc>
        <w:tc>
          <w:tcPr>
            <w:tcW w:w="1310" w:type="dxa"/>
            <w:shd w:val="clear" w:color="auto" w:fill="auto"/>
            <w:noWrap/>
            <w:vAlign w:val="center"/>
          </w:tcPr>
          <w:p w14:paraId="16995E07">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严重易涝积水点数量（个）</w:t>
            </w:r>
          </w:p>
        </w:tc>
        <w:tc>
          <w:tcPr>
            <w:tcW w:w="1037" w:type="dxa"/>
            <w:shd w:val="clear" w:color="auto" w:fill="auto"/>
            <w:noWrap/>
            <w:vAlign w:val="center"/>
          </w:tcPr>
          <w:p w14:paraId="1B6EB696">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5132069E">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按照《国务院办公厅关于加强城市内涝治理的实施意见》《室外排水设计标准》GB 50014 等要求，调查城市更新单元（片区）内历史易涝点、严重积水点的数量及分布，查找排水管网能力不足、源头减排（海绵设施）不到位、应急抢险能力欠缺等问题。</w:t>
            </w:r>
          </w:p>
        </w:tc>
      </w:tr>
      <w:tr w14:paraId="54E8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6C706905">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3EEE1ADA">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37</w:t>
            </w:r>
          </w:p>
        </w:tc>
        <w:tc>
          <w:tcPr>
            <w:tcW w:w="1310" w:type="dxa"/>
            <w:shd w:val="clear" w:color="auto" w:fill="auto"/>
            <w:noWrap/>
            <w:vAlign w:val="center"/>
          </w:tcPr>
          <w:p w14:paraId="50891B66">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市政消防栓覆盖率（%）</w:t>
            </w:r>
          </w:p>
        </w:tc>
        <w:tc>
          <w:tcPr>
            <w:tcW w:w="1037" w:type="dxa"/>
            <w:shd w:val="clear" w:color="auto" w:fill="auto"/>
            <w:noWrap/>
            <w:vAlign w:val="center"/>
          </w:tcPr>
          <w:p w14:paraId="71E9D383">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781E09F3">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按照《消防法》《城市消防规划规范》《消防给水及消火栓系统技术规范》GB 50974 等要求，调查城市更新单元（片区）内市政消防栓数量、间距及服务半径的覆盖情况，查找消防栓布点不足、水压不足、设施老化、维护管理不到位等问题。</w:t>
            </w:r>
          </w:p>
        </w:tc>
      </w:tr>
      <w:tr w14:paraId="3CB9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48DF859D">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428483E5">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38</w:t>
            </w:r>
          </w:p>
        </w:tc>
        <w:tc>
          <w:tcPr>
            <w:tcW w:w="1310" w:type="dxa"/>
            <w:shd w:val="clear" w:color="auto" w:fill="auto"/>
            <w:noWrap/>
            <w:vAlign w:val="center"/>
          </w:tcPr>
          <w:p w14:paraId="46F4F65C">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窨井盖缺失、移位、损坏的数量（个）</w:t>
            </w:r>
          </w:p>
        </w:tc>
        <w:tc>
          <w:tcPr>
            <w:tcW w:w="1037" w:type="dxa"/>
            <w:shd w:val="clear" w:color="auto" w:fill="auto"/>
            <w:noWrap/>
            <w:vAlign w:val="center"/>
          </w:tcPr>
          <w:p w14:paraId="1F30A5A8">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推荐指标</w:t>
            </w:r>
          </w:p>
        </w:tc>
        <w:tc>
          <w:tcPr>
            <w:tcW w:w="5934" w:type="dxa"/>
            <w:shd w:val="clear" w:color="auto" w:fill="auto"/>
            <w:noWrap/>
            <w:vAlign w:val="top"/>
          </w:tcPr>
          <w:p w14:paraId="2F2E3286">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城镇道路工程施工与质量验收规范》《窨井盖管理规定》等要求，调查城市更新单元（片区）内窨井盖缺失、移位、破损、松动、响动等病害的数量，查找窨井盖日常巡查和病害处置不及时、安全隐患突出等问题，识别“问题井盖”突出路段。</w:t>
            </w:r>
          </w:p>
        </w:tc>
      </w:tr>
      <w:tr w14:paraId="29BA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6" w:type="dxa"/>
            <w:vMerge w:val="continue"/>
            <w:shd w:val="clear" w:color="auto" w:fill="auto"/>
            <w:noWrap/>
            <w:vAlign w:val="center"/>
          </w:tcPr>
          <w:p w14:paraId="612CC898">
            <w:pPr>
              <w:spacing w:line="240" w:lineRule="auto"/>
              <w:jc w:val="center"/>
              <w:rPr>
                <w:rFonts w:hint="eastAsia" w:ascii="宋体" w:hAnsi="宋体" w:eastAsia="宋体"/>
                <w:color w:val="auto"/>
                <w:sz w:val="18"/>
                <w:szCs w:val="18"/>
                <w:highlight w:val="none"/>
                <w:lang w:val="en-US" w:eastAsia="zh-CN"/>
              </w:rPr>
            </w:pPr>
          </w:p>
        </w:tc>
        <w:tc>
          <w:tcPr>
            <w:tcW w:w="662" w:type="dxa"/>
            <w:shd w:val="clear" w:color="auto" w:fill="auto"/>
            <w:noWrap/>
            <w:vAlign w:val="center"/>
          </w:tcPr>
          <w:p w14:paraId="28A5960E">
            <w:pPr>
              <w:spacing w:line="240" w:lineRule="auto"/>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39</w:t>
            </w:r>
          </w:p>
        </w:tc>
        <w:tc>
          <w:tcPr>
            <w:tcW w:w="1310" w:type="dxa"/>
            <w:shd w:val="clear" w:color="auto" w:fill="auto"/>
            <w:noWrap/>
            <w:vAlign w:val="center"/>
          </w:tcPr>
          <w:p w14:paraId="31435401">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未实施物业管理的小区数量（个）</w:t>
            </w:r>
          </w:p>
        </w:tc>
        <w:tc>
          <w:tcPr>
            <w:tcW w:w="1037" w:type="dxa"/>
            <w:shd w:val="clear" w:color="auto" w:fill="auto"/>
            <w:noWrap/>
            <w:vAlign w:val="center"/>
          </w:tcPr>
          <w:p w14:paraId="7FFA3E96">
            <w:pPr>
              <w:spacing w:line="240" w:lineRule="auto"/>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基本指标</w:t>
            </w:r>
          </w:p>
        </w:tc>
        <w:tc>
          <w:tcPr>
            <w:tcW w:w="5934" w:type="dxa"/>
            <w:shd w:val="clear" w:color="auto" w:fill="auto"/>
            <w:noWrap/>
            <w:vAlign w:val="top"/>
          </w:tcPr>
          <w:p w14:paraId="7AA7DD3A">
            <w:pPr>
              <w:spacing w:line="240" w:lineRule="auto"/>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按照住建部等部门《关于加强和改进住宅物业管理工作的通知》要求，查找未实行小区物业管理，未建立所在街道党（工）委统一协调、相关部门联动执法、协调解决物业管理问题的工作机制，未建立矛盾纠纷调解机制等问题的小区数量。</w:t>
            </w:r>
          </w:p>
        </w:tc>
      </w:tr>
    </w:tbl>
    <w:p w14:paraId="338EDB7F">
      <w:pPr>
        <w:rPr>
          <w:highlight w:val="none"/>
        </w:rPr>
      </w:pPr>
      <w:r>
        <w:rPr>
          <w:highlight w:val="none"/>
        </w:rPr>
        <w:br w:type="page"/>
      </w:r>
    </w:p>
    <w:p w14:paraId="2AB522FF">
      <w:pPr>
        <w:pStyle w:val="196"/>
        <w:numPr>
          <w:ilvl w:val="0"/>
          <w:numId w:val="1"/>
        </w:numPr>
        <w:spacing w:before="83" w:after="166"/>
        <w:rPr>
          <w:highlight w:val="none"/>
        </w:rPr>
      </w:pPr>
      <w:bookmarkStart w:id="57" w:name="_Toc19107"/>
      <w:bookmarkEnd w:id="57"/>
    </w:p>
    <w:p w14:paraId="6EE6EB71">
      <w:pPr>
        <w:pStyle w:val="196"/>
        <w:numPr>
          <w:ilvl w:val="0"/>
          <w:numId w:val="0"/>
        </w:numPr>
        <w:spacing w:before="83" w:after="166"/>
        <w:ind w:leftChars="0"/>
        <w:jc w:val="center"/>
        <w:rPr>
          <w:highlight w:val="none"/>
        </w:rPr>
      </w:pPr>
      <w:bookmarkStart w:id="58" w:name="_Toc14579"/>
      <w:r>
        <w:rPr>
          <w:rFonts w:hint="eastAsia"/>
          <w:highlight w:val="none"/>
        </w:rPr>
        <w:t>（资料性）</w:t>
      </w:r>
      <w:r>
        <w:rPr>
          <w:highlight w:val="none"/>
        </w:rPr>
        <w:br w:type="textWrapping"/>
      </w:r>
      <w:r>
        <w:rPr>
          <w:rFonts w:hint="eastAsia"/>
          <w:highlight w:val="none"/>
          <w:lang w:eastAsia="zh-CN"/>
        </w:rPr>
        <w:t>更新单元评估对法定规划协调、优化建议详细指引表</w:t>
      </w:r>
      <w:bookmarkEnd w:id="58"/>
    </w:p>
    <w:p w14:paraId="61E1AAA8">
      <w:pPr>
        <w:pStyle w:val="44"/>
        <w:rPr>
          <w:rFonts w:hint="eastAsia" w:eastAsia="宋体"/>
          <w:highlight w:val="none"/>
          <w:lang w:eastAsia="zh-CN"/>
        </w:rPr>
      </w:pPr>
      <w:r>
        <w:rPr>
          <w:rFonts w:hint="eastAsia"/>
          <w:highlight w:val="none"/>
          <w:lang w:eastAsia="zh-CN"/>
        </w:rPr>
        <w:t>更新单元评估对法定规划协调、优化建议详细指引表</w:t>
      </w:r>
      <w:r>
        <w:rPr>
          <w:rFonts w:hint="eastAsia"/>
          <w:highlight w:val="none"/>
        </w:rPr>
        <w:t>如表</w:t>
      </w:r>
      <w:r>
        <w:rPr>
          <w:rFonts w:hint="eastAsia"/>
          <w:highlight w:val="none"/>
          <w:lang w:val="en-US" w:eastAsia="zh-CN"/>
        </w:rPr>
        <w:t>E</w:t>
      </w:r>
      <w:r>
        <w:rPr>
          <w:rFonts w:hint="eastAsia"/>
          <w:highlight w:val="none"/>
        </w:rPr>
        <w:t>.1所示。</w:t>
      </w:r>
    </w:p>
    <w:p w14:paraId="02F28185">
      <w:pPr>
        <w:pStyle w:val="146"/>
        <w:numPr>
          <w:ilvl w:val="1"/>
          <w:numId w:val="0"/>
        </w:numPr>
        <w:spacing w:before="166" w:beforeLines="50"/>
        <w:ind w:firstLine="420"/>
        <w:rPr>
          <w:highlight w:val="none"/>
        </w:rPr>
      </w:pPr>
      <w:r>
        <w:rPr>
          <w:rFonts w:hint="eastAsia"/>
          <w:highlight w:val="none"/>
        </w:rPr>
        <w:t>表</w:t>
      </w:r>
      <w:r>
        <w:rPr>
          <w:rFonts w:hint="eastAsia"/>
          <w:highlight w:val="none"/>
          <w:lang w:val="en-US" w:eastAsia="zh-CN"/>
        </w:rPr>
        <w:t>E</w:t>
      </w:r>
      <w:r>
        <w:rPr>
          <w:rFonts w:hint="eastAsia"/>
          <w:highlight w:val="none"/>
        </w:rPr>
        <w:t>.1 更新单元评估对法定规划协调、优化建议详细指引表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6484"/>
        <w:gridCol w:w="1453"/>
      </w:tblGrid>
      <w:tr w14:paraId="4F58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555" w:type="dxa"/>
            <w:noWrap/>
            <w:vAlign w:val="center"/>
          </w:tcPr>
          <w:p w14:paraId="3A47289F">
            <w:pPr>
              <w:spacing w:line="240" w:lineRule="auto"/>
              <w:jc w:val="center"/>
              <w:rPr>
                <w:rFonts w:hint="eastAsia" w:ascii="宋体" w:hAnsi="宋体"/>
                <w:b w:val="0"/>
                <w:bCs w:val="0"/>
                <w:sz w:val="18"/>
                <w:szCs w:val="18"/>
                <w:highlight w:val="none"/>
              </w:rPr>
            </w:pPr>
            <w:r>
              <w:rPr>
                <w:rFonts w:hint="eastAsia" w:ascii="宋体" w:hAnsi="宋体"/>
                <w:b w:val="0"/>
                <w:bCs w:val="0"/>
                <w:sz w:val="18"/>
                <w:szCs w:val="18"/>
                <w:highlight w:val="none"/>
              </w:rPr>
              <w:t>类别</w:t>
            </w:r>
          </w:p>
        </w:tc>
        <w:tc>
          <w:tcPr>
            <w:tcW w:w="6484" w:type="dxa"/>
            <w:noWrap/>
            <w:vAlign w:val="center"/>
          </w:tcPr>
          <w:p w14:paraId="08F8E43D">
            <w:pPr>
              <w:spacing w:line="240" w:lineRule="auto"/>
              <w:jc w:val="center"/>
              <w:rPr>
                <w:rFonts w:hint="eastAsia" w:ascii="宋体" w:hAnsi="宋体"/>
                <w:b w:val="0"/>
                <w:bCs w:val="0"/>
                <w:sz w:val="18"/>
                <w:szCs w:val="18"/>
                <w:highlight w:val="none"/>
              </w:rPr>
            </w:pPr>
            <w:r>
              <w:rPr>
                <w:rFonts w:hint="eastAsia" w:ascii="宋体" w:hAnsi="宋体"/>
                <w:b w:val="0"/>
                <w:bCs w:val="0"/>
                <w:sz w:val="18"/>
                <w:szCs w:val="18"/>
                <w:highlight w:val="none"/>
              </w:rPr>
              <w:t>法定规划协调、优化具体工作指引</w:t>
            </w:r>
          </w:p>
        </w:tc>
        <w:tc>
          <w:tcPr>
            <w:tcW w:w="1453" w:type="dxa"/>
          </w:tcPr>
          <w:p w14:paraId="5F4EF27A">
            <w:pPr>
              <w:spacing w:line="240" w:lineRule="auto"/>
              <w:jc w:val="center"/>
              <w:rPr>
                <w:rFonts w:hint="eastAsia" w:ascii="宋体" w:hAnsi="宋体"/>
                <w:b w:val="0"/>
                <w:bCs w:val="0"/>
                <w:sz w:val="18"/>
                <w:szCs w:val="18"/>
                <w:highlight w:val="none"/>
              </w:rPr>
            </w:pPr>
          </w:p>
        </w:tc>
      </w:tr>
      <w:tr w14:paraId="2C15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55" w:type="dxa"/>
            <w:noWrap/>
            <w:vAlign w:val="center"/>
          </w:tcPr>
          <w:p w14:paraId="155ED92D">
            <w:pPr>
              <w:spacing w:line="240" w:lineRule="auto"/>
              <w:jc w:val="center"/>
              <w:rPr>
                <w:rFonts w:hint="eastAsia" w:ascii="宋体" w:hAnsi="宋体"/>
                <w:sz w:val="18"/>
                <w:szCs w:val="18"/>
                <w:highlight w:val="none"/>
              </w:rPr>
            </w:pPr>
            <w:r>
              <w:rPr>
                <w:rFonts w:hint="eastAsia" w:ascii="宋体" w:hAnsi="宋体"/>
                <w:sz w:val="18"/>
                <w:szCs w:val="18"/>
                <w:highlight w:val="none"/>
              </w:rPr>
              <w:t>开发容量</w:t>
            </w:r>
          </w:p>
        </w:tc>
        <w:tc>
          <w:tcPr>
            <w:tcW w:w="6484" w:type="dxa"/>
            <w:noWrap/>
            <w:vAlign w:val="center"/>
          </w:tcPr>
          <w:p w14:paraId="7EE7882E">
            <w:pPr>
              <w:spacing w:line="240" w:lineRule="auto"/>
              <w:jc w:val="left"/>
              <w:rPr>
                <w:rFonts w:hint="eastAsia" w:ascii="宋体" w:hAnsi="宋体"/>
                <w:sz w:val="18"/>
                <w:szCs w:val="18"/>
                <w:highlight w:val="none"/>
              </w:rPr>
            </w:pPr>
            <w:bookmarkStart w:id="59" w:name="OLE_LINK5"/>
            <w:r>
              <w:rPr>
                <w:rFonts w:hint="eastAsia" w:ascii="宋体" w:hAnsi="宋体"/>
                <w:b/>
                <w:bCs/>
                <w:sz w:val="18"/>
                <w:szCs w:val="18"/>
                <w:highlight w:val="none"/>
              </w:rPr>
              <w:t>1.总体要求：</w:t>
            </w:r>
            <w:r>
              <w:rPr>
                <w:rFonts w:hint="eastAsia" w:ascii="宋体" w:hAnsi="宋体"/>
                <w:sz w:val="18"/>
                <w:szCs w:val="18"/>
                <w:highlight w:val="none"/>
              </w:rPr>
              <w:t>地块容积率优化</w:t>
            </w:r>
            <w:r>
              <w:rPr>
                <w:rFonts w:ascii="宋体" w:hAnsi="宋体"/>
                <w:sz w:val="18"/>
                <w:szCs w:val="18"/>
                <w:highlight w:val="none"/>
              </w:rPr>
              <w:t>应满足公共服务设施承载力、交通市政设施承载力、 历史保护、地质条件、生态保护等要求，并满足日照、消防等规范要求。在特殊地区，还应满足文物保护、机场净空、气象探测环境保护、微波通道、 油气管线防护、危险品仓库防护等相关控制要求</w:t>
            </w:r>
            <w:r>
              <w:rPr>
                <w:rFonts w:hint="eastAsia" w:ascii="宋体" w:hAnsi="宋体"/>
                <w:sz w:val="18"/>
                <w:szCs w:val="18"/>
                <w:highlight w:val="none"/>
              </w:rPr>
              <w:t>。</w:t>
            </w:r>
          </w:p>
          <w:p w14:paraId="0C72D301">
            <w:pPr>
              <w:spacing w:line="240" w:lineRule="auto"/>
              <w:jc w:val="left"/>
              <w:rPr>
                <w:rFonts w:hint="eastAsia" w:ascii="宋体" w:hAnsi="宋体"/>
                <w:sz w:val="18"/>
                <w:szCs w:val="18"/>
                <w:highlight w:val="none"/>
              </w:rPr>
            </w:pPr>
            <w:r>
              <w:rPr>
                <w:rFonts w:hint="eastAsia" w:ascii="宋体" w:hAnsi="宋体"/>
                <w:b/>
                <w:bCs/>
                <w:sz w:val="18"/>
                <w:szCs w:val="18"/>
                <w:highlight w:val="none"/>
              </w:rPr>
              <w:t>2.鼓励探索开发强度转移、奖励机制：</w:t>
            </w:r>
            <w:r>
              <w:rPr>
                <w:rFonts w:hint="eastAsia" w:ascii="宋体" w:hAnsi="宋体"/>
                <w:sz w:val="18"/>
                <w:szCs w:val="18"/>
                <w:highlight w:val="none"/>
              </w:rPr>
              <w:t>鼓励各地结合具体项目，积极探索更新单元内部或片区内容积率转移、奖励等政策，对在公共服务设施、历史文化保护、生态保育等方面公共利益保障作出有效贡献的更新实施项目进行激励。</w:t>
            </w:r>
            <w:bookmarkEnd w:id="59"/>
          </w:p>
        </w:tc>
        <w:tc>
          <w:tcPr>
            <w:tcW w:w="1453" w:type="dxa"/>
          </w:tcPr>
          <w:p w14:paraId="42339A20">
            <w:pPr>
              <w:spacing w:line="240" w:lineRule="auto"/>
              <w:jc w:val="left"/>
              <w:rPr>
                <w:rFonts w:hint="eastAsia" w:ascii="宋体" w:hAnsi="宋体"/>
                <w:sz w:val="18"/>
                <w:szCs w:val="18"/>
                <w:highlight w:val="none"/>
              </w:rPr>
            </w:pPr>
          </w:p>
        </w:tc>
      </w:tr>
      <w:tr w14:paraId="1B40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55" w:type="dxa"/>
            <w:noWrap/>
            <w:vAlign w:val="center"/>
          </w:tcPr>
          <w:p w14:paraId="0143ABF8">
            <w:pPr>
              <w:spacing w:line="240" w:lineRule="auto"/>
              <w:jc w:val="center"/>
              <w:rPr>
                <w:rFonts w:hint="eastAsia" w:ascii="宋体" w:hAnsi="宋体"/>
                <w:sz w:val="18"/>
                <w:szCs w:val="18"/>
                <w:highlight w:val="none"/>
              </w:rPr>
            </w:pPr>
            <w:r>
              <w:rPr>
                <w:rFonts w:hint="eastAsia" w:ascii="宋体" w:hAnsi="宋体"/>
                <w:sz w:val="18"/>
                <w:szCs w:val="18"/>
                <w:highlight w:val="none"/>
              </w:rPr>
              <w:t>绿地与公共空间</w:t>
            </w:r>
          </w:p>
        </w:tc>
        <w:tc>
          <w:tcPr>
            <w:tcW w:w="6484" w:type="dxa"/>
            <w:noWrap/>
            <w:vAlign w:val="center"/>
          </w:tcPr>
          <w:p w14:paraId="17126744">
            <w:pPr>
              <w:spacing w:line="240" w:lineRule="auto"/>
              <w:jc w:val="left"/>
              <w:rPr>
                <w:rFonts w:hint="eastAsia" w:ascii="宋体" w:hAnsi="宋体"/>
                <w:sz w:val="18"/>
                <w:szCs w:val="18"/>
                <w:highlight w:val="none"/>
              </w:rPr>
            </w:pPr>
            <w:r>
              <w:rPr>
                <w:rFonts w:hint="eastAsia" w:ascii="宋体" w:hAnsi="宋体"/>
                <w:b/>
                <w:bCs/>
                <w:sz w:val="18"/>
                <w:szCs w:val="18"/>
                <w:highlight w:val="none"/>
              </w:rPr>
              <w:t>1.</w:t>
            </w:r>
            <w:bookmarkStart w:id="60" w:name="OLE_LINK6"/>
            <w:r>
              <w:rPr>
                <w:rFonts w:hint="eastAsia" w:ascii="宋体" w:hAnsi="宋体"/>
                <w:b/>
                <w:bCs/>
                <w:sz w:val="18"/>
                <w:szCs w:val="18"/>
                <w:highlight w:val="none"/>
              </w:rPr>
              <w:t>总体要求：</w:t>
            </w:r>
            <w:bookmarkEnd w:id="60"/>
            <w:r>
              <w:rPr>
                <w:rFonts w:hint="eastAsia" w:ascii="宋体" w:hAnsi="宋体"/>
                <w:sz w:val="18"/>
                <w:szCs w:val="18"/>
                <w:highlight w:val="none"/>
              </w:rPr>
              <w:t>绿地与公共空间的优化调整，应已单元内相关用地规模总量不减少为前提，对用地边界、位置、规模进行微调。广场用地布局宜安排在交通便捷的地段，与城市公共空间、公共服务设施、自行车和步行交通系统布局相结合。</w:t>
            </w:r>
          </w:p>
          <w:p w14:paraId="76152F58">
            <w:pPr>
              <w:spacing w:line="240" w:lineRule="auto"/>
              <w:jc w:val="left"/>
              <w:rPr>
                <w:rFonts w:hint="eastAsia" w:ascii="宋体" w:hAnsi="宋体"/>
                <w:sz w:val="18"/>
                <w:szCs w:val="18"/>
                <w:highlight w:val="none"/>
              </w:rPr>
            </w:pPr>
            <w:r>
              <w:rPr>
                <w:rFonts w:hint="eastAsia" w:ascii="宋体" w:hAnsi="宋体"/>
                <w:b/>
                <w:bCs/>
                <w:sz w:val="18"/>
                <w:szCs w:val="18"/>
                <w:highlight w:val="none"/>
              </w:rPr>
              <w:t>2.城市公共绿地：</w:t>
            </w:r>
            <w:r>
              <w:rPr>
                <w:rFonts w:hint="eastAsia" w:ascii="宋体" w:hAnsi="宋体"/>
                <w:sz w:val="18"/>
                <w:szCs w:val="18"/>
                <w:highlight w:val="none"/>
              </w:rPr>
              <w:t>在城市建设开发强度较高的地区，法定规划确定的大型绿地与公共空间，原则上不宜化整为零，保障城市大型公共空间完整性。</w:t>
            </w:r>
          </w:p>
          <w:p w14:paraId="269F5413">
            <w:pPr>
              <w:spacing w:line="240" w:lineRule="auto"/>
              <w:jc w:val="left"/>
              <w:rPr>
                <w:rFonts w:hint="eastAsia" w:ascii="宋体" w:hAnsi="宋体"/>
                <w:sz w:val="18"/>
                <w:szCs w:val="18"/>
                <w:highlight w:val="none"/>
              </w:rPr>
            </w:pPr>
            <w:r>
              <w:rPr>
                <w:rFonts w:hint="eastAsia" w:ascii="宋体" w:hAnsi="宋体"/>
                <w:b/>
                <w:bCs/>
                <w:sz w:val="18"/>
                <w:szCs w:val="18"/>
                <w:highlight w:val="none"/>
              </w:rPr>
              <w:t>3.社区公共绿地：</w:t>
            </w:r>
            <w:r>
              <w:rPr>
                <w:rFonts w:hint="eastAsia" w:ascii="宋体" w:hAnsi="宋体"/>
                <w:sz w:val="18"/>
                <w:szCs w:val="18"/>
                <w:highlight w:val="none"/>
              </w:rPr>
              <w:t>鼓励各地因地制宜优化社区公园绿地建设引导，通过修订地方技术规范、出台政策要求等方式，对城市更新单元中社区级公共绿地面积的下限、人均社区公共绿地面积等指标进行规定，指导城市更新过程中对社区公共绿地进行有序优化，保障社区公共活动空间的同时，提高城市更新单元用地使用效率。</w:t>
            </w:r>
          </w:p>
          <w:p w14:paraId="69CA9197">
            <w:pPr>
              <w:spacing w:line="240" w:lineRule="auto"/>
              <w:jc w:val="left"/>
              <w:rPr>
                <w:rFonts w:hint="eastAsia" w:ascii="宋体" w:hAnsi="宋体"/>
                <w:sz w:val="18"/>
                <w:szCs w:val="18"/>
                <w:highlight w:val="none"/>
              </w:rPr>
            </w:pPr>
            <w:r>
              <w:rPr>
                <w:rFonts w:hint="eastAsia" w:ascii="宋体" w:hAnsi="宋体"/>
                <w:b/>
                <w:bCs/>
                <w:sz w:val="18"/>
                <w:szCs w:val="18"/>
                <w:highlight w:val="none"/>
              </w:rPr>
              <w:t>4.口袋公园建设：</w:t>
            </w:r>
            <w:r>
              <w:rPr>
                <w:rFonts w:hint="eastAsia" w:ascii="宋体" w:hAnsi="宋体"/>
                <w:sz w:val="18"/>
                <w:szCs w:val="18"/>
                <w:highlight w:val="none"/>
              </w:rPr>
              <w:t>鼓励利用更新单元中的边角地、插花地等空间，在满足交通、消防要求的前提下，开展口袋公园建设。</w:t>
            </w:r>
          </w:p>
        </w:tc>
        <w:tc>
          <w:tcPr>
            <w:tcW w:w="1453" w:type="dxa"/>
          </w:tcPr>
          <w:p w14:paraId="30326C00">
            <w:pPr>
              <w:spacing w:line="240" w:lineRule="auto"/>
              <w:jc w:val="left"/>
              <w:rPr>
                <w:rFonts w:hint="eastAsia" w:ascii="宋体" w:hAnsi="宋体"/>
                <w:strike/>
                <w:sz w:val="18"/>
                <w:szCs w:val="18"/>
                <w:highlight w:val="none"/>
              </w:rPr>
            </w:pPr>
          </w:p>
        </w:tc>
      </w:tr>
      <w:tr w14:paraId="3A6E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55" w:type="dxa"/>
            <w:noWrap/>
            <w:vAlign w:val="center"/>
          </w:tcPr>
          <w:p w14:paraId="5F63842F">
            <w:pPr>
              <w:spacing w:line="240" w:lineRule="auto"/>
              <w:jc w:val="center"/>
              <w:rPr>
                <w:rFonts w:hint="eastAsia" w:ascii="宋体" w:hAnsi="宋体"/>
                <w:sz w:val="18"/>
                <w:szCs w:val="18"/>
                <w:highlight w:val="none"/>
              </w:rPr>
            </w:pPr>
            <w:r>
              <w:rPr>
                <w:rFonts w:hint="eastAsia" w:ascii="宋体" w:hAnsi="宋体"/>
                <w:sz w:val="18"/>
                <w:szCs w:val="18"/>
                <w:highlight w:val="none"/>
              </w:rPr>
              <w:t>公共服务设施</w:t>
            </w:r>
          </w:p>
        </w:tc>
        <w:tc>
          <w:tcPr>
            <w:tcW w:w="6484" w:type="dxa"/>
            <w:noWrap/>
            <w:vAlign w:val="center"/>
          </w:tcPr>
          <w:p w14:paraId="130CBCA7">
            <w:pPr>
              <w:spacing w:line="240" w:lineRule="auto"/>
              <w:jc w:val="left"/>
              <w:rPr>
                <w:rFonts w:hint="eastAsia" w:ascii="宋体" w:hAnsi="宋体"/>
                <w:sz w:val="18"/>
                <w:szCs w:val="18"/>
                <w:highlight w:val="none"/>
              </w:rPr>
            </w:pPr>
            <w:r>
              <w:rPr>
                <w:rFonts w:hint="eastAsia" w:ascii="宋体" w:hAnsi="宋体"/>
                <w:b/>
                <w:bCs/>
                <w:sz w:val="18"/>
                <w:szCs w:val="18"/>
                <w:highlight w:val="none"/>
              </w:rPr>
              <w:t>1.总体要求：</w:t>
            </w:r>
            <w:r>
              <w:rPr>
                <w:rFonts w:hint="eastAsia" w:ascii="宋体" w:hAnsi="宋体"/>
                <w:sz w:val="18"/>
                <w:szCs w:val="18"/>
                <w:highlight w:val="none"/>
              </w:rPr>
              <w:t>公共服务设施优化调整应符合更新单元及所在片区的人口分布特点，根据人口规模、用地条件、环境条件与设施功能要求等情况综合协调、统一安排。</w:t>
            </w:r>
          </w:p>
          <w:p w14:paraId="59E09334">
            <w:pPr>
              <w:spacing w:line="240" w:lineRule="auto"/>
              <w:jc w:val="left"/>
              <w:rPr>
                <w:rFonts w:hint="eastAsia" w:ascii="宋体" w:hAnsi="宋体"/>
                <w:sz w:val="18"/>
                <w:szCs w:val="18"/>
                <w:highlight w:val="none"/>
              </w:rPr>
            </w:pPr>
            <w:r>
              <w:rPr>
                <w:rFonts w:hint="eastAsia" w:ascii="宋体" w:hAnsi="宋体"/>
                <w:b/>
                <w:bCs/>
                <w:sz w:val="18"/>
                <w:szCs w:val="18"/>
                <w:highlight w:val="none"/>
              </w:rPr>
              <w:t>2</w:t>
            </w:r>
            <w:bookmarkStart w:id="61" w:name="OLE_LINK7"/>
            <w:r>
              <w:rPr>
                <w:rFonts w:hint="eastAsia" w:ascii="宋体" w:hAnsi="宋体"/>
                <w:b/>
                <w:bCs/>
                <w:sz w:val="18"/>
                <w:szCs w:val="18"/>
                <w:highlight w:val="none"/>
              </w:rPr>
              <w:t>.市、区级公共服务设施：</w:t>
            </w:r>
            <w:bookmarkEnd w:id="61"/>
            <w:r>
              <w:rPr>
                <w:rFonts w:hint="eastAsia" w:ascii="宋体" w:hAnsi="宋体"/>
                <w:sz w:val="18"/>
                <w:szCs w:val="18"/>
                <w:highlight w:val="none"/>
              </w:rPr>
              <w:t>涉及市级、区级公共设施的更新单元，应根据设施主导功能，探索多类型公共服务设施统筹布局，提高市级、区级公共服务设施功能的多样性，提升土地使用效率。</w:t>
            </w:r>
          </w:p>
          <w:p w14:paraId="784C82FF">
            <w:pPr>
              <w:spacing w:line="240" w:lineRule="auto"/>
              <w:jc w:val="left"/>
              <w:rPr>
                <w:rFonts w:hint="eastAsia" w:ascii="宋体" w:hAnsi="宋体"/>
                <w:sz w:val="18"/>
                <w:szCs w:val="18"/>
                <w:highlight w:val="none"/>
              </w:rPr>
            </w:pPr>
            <w:r>
              <w:rPr>
                <w:rFonts w:hint="eastAsia" w:ascii="宋体" w:hAnsi="宋体"/>
                <w:b/>
                <w:bCs/>
                <w:sz w:val="18"/>
                <w:szCs w:val="18"/>
                <w:highlight w:val="none"/>
              </w:rPr>
              <w:t>3</w:t>
            </w:r>
            <w:r>
              <w:rPr>
                <w:rFonts w:hint="eastAsia" w:ascii="宋体" w:hAnsi="宋体"/>
                <w:sz w:val="18"/>
                <w:szCs w:val="18"/>
                <w:highlight w:val="none"/>
              </w:rPr>
              <w:t>.</w:t>
            </w:r>
            <w:r>
              <w:rPr>
                <w:rFonts w:hint="eastAsia" w:ascii="宋体" w:hAnsi="宋体"/>
                <w:b/>
                <w:bCs/>
                <w:sz w:val="18"/>
                <w:szCs w:val="18"/>
                <w:highlight w:val="none"/>
              </w:rPr>
              <w:t>社区级公共服务设施：</w:t>
            </w:r>
            <w:r>
              <w:rPr>
                <w:rFonts w:hint="eastAsia" w:ascii="宋体" w:hAnsi="宋体"/>
                <w:sz w:val="18"/>
                <w:szCs w:val="18"/>
                <w:highlight w:val="none"/>
              </w:rPr>
              <w:t>社区级公共服务设施的优化调整应结合单元及所在片区人口规模进行核准，保障基本公共服务能力。鼓励各地结合实际情况，通过通过修订地方技术规范、出台政策要求等方式，进一步明确医疗、养老、教育等社区公共服务设施的用地规模下限，以及具体附建要求，提高社区公共服务设施品质。</w:t>
            </w:r>
          </w:p>
          <w:p w14:paraId="3EA77CE1">
            <w:pPr>
              <w:spacing w:line="240" w:lineRule="auto"/>
              <w:jc w:val="left"/>
              <w:rPr>
                <w:rFonts w:hint="eastAsia" w:ascii="宋体" w:hAnsi="宋体"/>
                <w:sz w:val="18"/>
                <w:szCs w:val="18"/>
                <w:highlight w:val="none"/>
              </w:rPr>
            </w:pPr>
            <w:r>
              <w:rPr>
                <w:rFonts w:hint="eastAsia" w:ascii="宋体" w:hAnsi="宋体"/>
                <w:sz w:val="18"/>
                <w:szCs w:val="18"/>
                <w:highlight w:val="none"/>
              </w:rPr>
              <w:t>4.</w:t>
            </w:r>
            <w:r>
              <w:rPr>
                <w:rFonts w:hint="eastAsia" w:ascii="宋体" w:hAnsi="宋体"/>
                <w:b/>
                <w:bCs/>
                <w:sz w:val="18"/>
                <w:szCs w:val="18"/>
                <w:highlight w:val="none"/>
              </w:rPr>
              <w:t>其他要求：</w:t>
            </w:r>
            <w:r>
              <w:rPr>
                <w:rFonts w:ascii="宋体" w:hAnsi="宋体"/>
                <w:sz w:val="18"/>
                <w:szCs w:val="18"/>
                <w:highlight w:val="none"/>
              </w:rPr>
              <w:t>同一级别、功能和服务方式类似的公共设施宜结合公共交通集中 组合设置，形成多功能的公共中心。</w:t>
            </w:r>
          </w:p>
        </w:tc>
        <w:tc>
          <w:tcPr>
            <w:tcW w:w="1453" w:type="dxa"/>
          </w:tcPr>
          <w:p w14:paraId="18259055">
            <w:pPr>
              <w:spacing w:line="240" w:lineRule="auto"/>
              <w:jc w:val="left"/>
              <w:rPr>
                <w:rFonts w:hint="eastAsia" w:ascii="宋体" w:hAnsi="宋体"/>
                <w:sz w:val="18"/>
                <w:szCs w:val="18"/>
                <w:highlight w:val="none"/>
              </w:rPr>
            </w:pPr>
          </w:p>
        </w:tc>
      </w:tr>
      <w:tr w14:paraId="6B2D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55" w:type="dxa"/>
            <w:noWrap/>
            <w:vAlign w:val="center"/>
          </w:tcPr>
          <w:p w14:paraId="1D94FE5B">
            <w:pPr>
              <w:spacing w:line="240" w:lineRule="auto"/>
              <w:jc w:val="center"/>
              <w:rPr>
                <w:rFonts w:hint="eastAsia" w:ascii="宋体" w:hAnsi="宋体"/>
                <w:sz w:val="18"/>
                <w:szCs w:val="18"/>
                <w:highlight w:val="none"/>
              </w:rPr>
            </w:pPr>
            <w:r>
              <w:rPr>
                <w:rFonts w:hint="eastAsia" w:ascii="宋体" w:hAnsi="宋体"/>
                <w:sz w:val="18"/>
                <w:szCs w:val="18"/>
                <w:highlight w:val="none"/>
              </w:rPr>
              <w:t>市政基础设施</w:t>
            </w:r>
          </w:p>
        </w:tc>
        <w:tc>
          <w:tcPr>
            <w:tcW w:w="6484" w:type="dxa"/>
            <w:noWrap/>
            <w:vAlign w:val="center"/>
          </w:tcPr>
          <w:p w14:paraId="42AAFD48">
            <w:pPr>
              <w:spacing w:line="240" w:lineRule="auto"/>
              <w:jc w:val="left"/>
              <w:rPr>
                <w:rFonts w:hint="eastAsia" w:ascii="宋体" w:hAnsi="宋体"/>
                <w:sz w:val="18"/>
                <w:szCs w:val="18"/>
                <w:highlight w:val="none"/>
              </w:rPr>
            </w:pPr>
            <w:r>
              <w:rPr>
                <w:rFonts w:hint="eastAsia" w:ascii="宋体" w:hAnsi="宋体"/>
                <w:b/>
                <w:bCs/>
                <w:sz w:val="18"/>
                <w:szCs w:val="18"/>
                <w:highlight w:val="none"/>
              </w:rPr>
              <w:t>1.总体要求：</w:t>
            </w:r>
            <w:r>
              <w:rPr>
                <w:rFonts w:hint="eastAsia" w:ascii="宋体" w:hAnsi="宋体"/>
                <w:sz w:val="18"/>
                <w:szCs w:val="18"/>
                <w:highlight w:val="none"/>
              </w:rPr>
              <w:t>市政基础设施建设规模与建设方式须综合考虑片区人口规模与相应的市政设施总负荷的前提下，严格依据国家、省市相关技术规范进行调整优化。</w:t>
            </w:r>
          </w:p>
          <w:p w14:paraId="160D05E7">
            <w:pPr>
              <w:spacing w:line="240" w:lineRule="auto"/>
              <w:jc w:val="left"/>
              <w:rPr>
                <w:rFonts w:hint="eastAsia" w:ascii="宋体" w:hAnsi="宋体"/>
                <w:sz w:val="18"/>
                <w:szCs w:val="18"/>
                <w:highlight w:val="none"/>
              </w:rPr>
            </w:pPr>
            <w:r>
              <w:rPr>
                <w:rFonts w:hint="eastAsia" w:ascii="宋体" w:hAnsi="宋体"/>
                <w:b/>
                <w:bCs/>
                <w:sz w:val="18"/>
                <w:szCs w:val="18"/>
                <w:highlight w:val="none"/>
              </w:rPr>
              <w:t>2.落地新技术、新理念：</w:t>
            </w:r>
            <w:r>
              <w:rPr>
                <w:rFonts w:hint="eastAsia" w:ascii="宋体" w:hAnsi="宋体"/>
                <w:sz w:val="18"/>
                <w:szCs w:val="18"/>
                <w:highlight w:val="none"/>
              </w:rPr>
              <w:t>鼓励探索落实国家及省市关于实现低碳、低冲击、资源循环利用等城市发展新理念、新模式，引导各地市政设施在城市更新过程中逐步适应各地实际发展需求。</w:t>
            </w:r>
          </w:p>
          <w:p w14:paraId="1BA6DB06">
            <w:pPr>
              <w:spacing w:line="240" w:lineRule="auto"/>
              <w:jc w:val="left"/>
              <w:rPr>
                <w:rFonts w:hint="eastAsia" w:ascii="宋体" w:hAnsi="宋体"/>
                <w:sz w:val="18"/>
                <w:szCs w:val="18"/>
                <w:highlight w:val="none"/>
              </w:rPr>
            </w:pPr>
            <w:r>
              <w:rPr>
                <w:rFonts w:hint="eastAsia" w:ascii="宋体" w:hAnsi="宋体"/>
                <w:b/>
                <w:bCs/>
                <w:sz w:val="18"/>
                <w:szCs w:val="18"/>
                <w:highlight w:val="none"/>
              </w:rPr>
              <w:t>3.探索空间集约、功能复合利用</w:t>
            </w:r>
            <w:r>
              <w:rPr>
                <w:rFonts w:hint="eastAsia" w:ascii="宋体" w:hAnsi="宋体"/>
                <w:sz w:val="18"/>
                <w:szCs w:val="18"/>
                <w:highlight w:val="none"/>
              </w:rPr>
              <w:t>：在符合相关技术规范，</w:t>
            </w:r>
            <w:r>
              <w:rPr>
                <w:rFonts w:ascii="宋体" w:hAnsi="宋体"/>
                <w:sz w:val="18"/>
                <w:szCs w:val="18"/>
                <w:highlight w:val="none"/>
              </w:rPr>
              <w:t>不降低市政设施原设计标准、运营安全、</w:t>
            </w:r>
            <w:r>
              <w:rPr>
                <w:rFonts w:hint="eastAsia" w:ascii="宋体" w:hAnsi="宋体"/>
                <w:sz w:val="18"/>
                <w:szCs w:val="18"/>
                <w:highlight w:val="none"/>
              </w:rPr>
              <w:t>荷载能力的前提下，可引导同类基础设施的合设，鼓励通过基础设施上盖空间、附属空间以及厂区空间的复合利用，建设上盖绿地、口袋公园、体育活动场地等休闲娱乐设施，弱化市政设施负面感知、提升城市空间品质。</w:t>
            </w:r>
          </w:p>
        </w:tc>
        <w:tc>
          <w:tcPr>
            <w:tcW w:w="1453" w:type="dxa"/>
          </w:tcPr>
          <w:p w14:paraId="626377D2">
            <w:pPr>
              <w:spacing w:line="240" w:lineRule="auto"/>
              <w:jc w:val="left"/>
              <w:rPr>
                <w:rFonts w:hint="eastAsia" w:ascii="宋体" w:hAnsi="宋体"/>
                <w:sz w:val="18"/>
                <w:szCs w:val="18"/>
                <w:highlight w:val="none"/>
              </w:rPr>
            </w:pPr>
          </w:p>
        </w:tc>
      </w:tr>
      <w:tr w14:paraId="36A5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55" w:type="dxa"/>
            <w:noWrap/>
            <w:vAlign w:val="center"/>
          </w:tcPr>
          <w:p w14:paraId="0EF61A00">
            <w:pPr>
              <w:spacing w:line="240" w:lineRule="auto"/>
              <w:jc w:val="center"/>
              <w:rPr>
                <w:rFonts w:hint="eastAsia" w:ascii="宋体" w:hAnsi="宋体"/>
                <w:sz w:val="18"/>
                <w:szCs w:val="18"/>
                <w:highlight w:val="none"/>
              </w:rPr>
            </w:pPr>
            <w:r>
              <w:rPr>
                <w:rFonts w:hint="eastAsia" w:ascii="宋体" w:hAnsi="宋体"/>
                <w:sz w:val="18"/>
                <w:szCs w:val="18"/>
                <w:highlight w:val="none"/>
              </w:rPr>
              <w:t>交通设施</w:t>
            </w:r>
          </w:p>
        </w:tc>
        <w:tc>
          <w:tcPr>
            <w:tcW w:w="6484" w:type="dxa"/>
            <w:noWrap/>
            <w:vAlign w:val="center"/>
          </w:tcPr>
          <w:p w14:paraId="6C163170">
            <w:pPr>
              <w:spacing w:line="240" w:lineRule="auto"/>
              <w:jc w:val="left"/>
              <w:rPr>
                <w:rFonts w:hint="eastAsia" w:ascii="宋体" w:hAnsi="宋体"/>
                <w:b/>
                <w:bCs/>
                <w:sz w:val="18"/>
                <w:szCs w:val="18"/>
                <w:highlight w:val="none"/>
              </w:rPr>
            </w:pPr>
            <w:r>
              <w:rPr>
                <w:rFonts w:hint="eastAsia" w:ascii="宋体" w:hAnsi="宋体"/>
                <w:b/>
                <w:bCs/>
                <w:sz w:val="18"/>
                <w:szCs w:val="18"/>
                <w:highlight w:val="none"/>
              </w:rPr>
              <w:t>1.道路交通设施：</w:t>
            </w:r>
            <w:r>
              <w:rPr>
                <w:rFonts w:hint="eastAsia" w:ascii="宋体" w:hAnsi="宋体"/>
                <w:sz w:val="18"/>
                <w:szCs w:val="18"/>
                <w:highlight w:val="none"/>
              </w:rPr>
              <w:t>城市更新单元内的道路网系统原则上应落实法定规划明确的干道路网体系（主干道、次干道），对城市支路、巷道等交通微循环可结合地形、权属边界等实际情况进行微调。</w:t>
            </w:r>
          </w:p>
          <w:p w14:paraId="26EB944E">
            <w:pPr>
              <w:spacing w:line="240" w:lineRule="auto"/>
              <w:jc w:val="left"/>
              <w:rPr>
                <w:rFonts w:hint="eastAsia" w:ascii="宋体" w:hAnsi="宋体"/>
                <w:sz w:val="18"/>
                <w:szCs w:val="18"/>
                <w:highlight w:val="none"/>
              </w:rPr>
            </w:pPr>
            <w:r>
              <w:rPr>
                <w:rFonts w:hint="eastAsia" w:ascii="宋体" w:hAnsi="宋体"/>
                <w:b/>
                <w:bCs/>
                <w:sz w:val="18"/>
                <w:szCs w:val="18"/>
                <w:highlight w:val="none"/>
              </w:rPr>
              <w:t>2</w:t>
            </w:r>
            <w:r>
              <w:rPr>
                <w:rFonts w:hint="eastAsia" w:ascii="宋体" w:hAnsi="宋体"/>
                <w:sz w:val="18"/>
                <w:szCs w:val="18"/>
                <w:highlight w:val="none"/>
              </w:rPr>
              <w:t>.</w:t>
            </w:r>
            <w:r>
              <w:rPr>
                <w:rFonts w:hint="eastAsia" w:ascii="宋体" w:hAnsi="宋体"/>
                <w:b/>
                <w:bCs/>
                <w:sz w:val="18"/>
                <w:szCs w:val="18"/>
                <w:highlight w:val="none"/>
              </w:rPr>
              <w:t>步行与自行车交通设施：</w:t>
            </w:r>
            <w:r>
              <w:rPr>
                <w:rFonts w:hint="eastAsia" w:ascii="宋体" w:hAnsi="宋体"/>
                <w:sz w:val="18"/>
                <w:szCs w:val="18"/>
                <w:highlight w:val="none"/>
              </w:rPr>
              <w:t>城市更新单元内应尽可能营造连续、便捷、舒适、有活力的步行与自行车交通空间。应注重步行与自行车交通与公共交通站点、各级公共中心的有机衔接。</w:t>
            </w:r>
            <w:r>
              <w:rPr>
                <w:rFonts w:ascii="宋体" w:hAnsi="宋体"/>
                <w:sz w:val="18"/>
                <w:szCs w:val="18"/>
                <w:highlight w:val="none"/>
              </w:rPr>
              <w:t>步行及自行车设施的规划建设应与其附属设施统筹考虑，同步规划、设计、 建设、运营和管理。</w:t>
            </w:r>
          </w:p>
        </w:tc>
        <w:tc>
          <w:tcPr>
            <w:tcW w:w="1453" w:type="dxa"/>
          </w:tcPr>
          <w:p w14:paraId="7794F655">
            <w:pPr>
              <w:spacing w:line="240" w:lineRule="auto"/>
              <w:jc w:val="left"/>
              <w:rPr>
                <w:rFonts w:hint="eastAsia" w:ascii="宋体" w:hAnsi="宋体"/>
                <w:sz w:val="18"/>
                <w:szCs w:val="18"/>
                <w:highlight w:val="none"/>
              </w:rPr>
            </w:pPr>
          </w:p>
        </w:tc>
      </w:tr>
      <w:tr w14:paraId="55C8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55" w:type="dxa"/>
            <w:noWrap/>
            <w:vAlign w:val="center"/>
          </w:tcPr>
          <w:p w14:paraId="2177834E">
            <w:pPr>
              <w:spacing w:line="240" w:lineRule="auto"/>
              <w:jc w:val="center"/>
              <w:rPr>
                <w:rFonts w:hint="eastAsia" w:ascii="宋体" w:hAnsi="宋体"/>
                <w:sz w:val="18"/>
                <w:szCs w:val="18"/>
                <w:highlight w:val="none"/>
              </w:rPr>
            </w:pPr>
            <w:r>
              <w:rPr>
                <w:rFonts w:hint="eastAsia" w:ascii="宋体" w:hAnsi="宋体"/>
                <w:sz w:val="18"/>
                <w:szCs w:val="18"/>
                <w:highlight w:val="none"/>
              </w:rPr>
              <w:t>城市设计管控</w:t>
            </w:r>
          </w:p>
        </w:tc>
        <w:tc>
          <w:tcPr>
            <w:tcW w:w="6484" w:type="dxa"/>
            <w:noWrap/>
            <w:vAlign w:val="center"/>
          </w:tcPr>
          <w:p w14:paraId="6526D3AF">
            <w:pPr>
              <w:spacing w:line="240" w:lineRule="auto"/>
              <w:jc w:val="left"/>
              <w:rPr>
                <w:rFonts w:hint="eastAsia" w:ascii="宋体" w:hAnsi="宋体"/>
                <w:sz w:val="18"/>
                <w:szCs w:val="18"/>
                <w:highlight w:val="none"/>
              </w:rPr>
            </w:pPr>
            <w:r>
              <w:rPr>
                <w:rFonts w:hint="eastAsia" w:ascii="宋体" w:hAnsi="宋体"/>
                <w:b/>
                <w:bCs/>
                <w:sz w:val="18"/>
                <w:szCs w:val="18"/>
                <w:highlight w:val="none"/>
              </w:rPr>
              <w:t>1.城市与街区管控：</w:t>
            </w:r>
            <w:r>
              <w:rPr>
                <w:rFonts w:hint="eastAsia" w:ascii="宋体" w:hAnsi="宋体"/>
                <w:sz w:val="18"/>
                <w:szCs w:val="18"/>
                <w:highlight w:val="none"/>
              </w:rPr>
              <w:t>城市更新单元的街区尺度、街道空间优化调整应符合法定规划明确的城市设计要求，并做好相邻街区、街道的空间衔接，不得随意改变街区空间肌理、街巷空间尺度，对片区整体城市与街区空间体验造成负面影响。</w:t>
            </w:r>
          </w:p>
          <w:p w14:paraId="512A1087">
            <w:pPr>
              <w:spacing w:line="240" w:lineRule="auto"/>
              <w:jc w:val="left"/>
              <w:rPr>
                <w:rFonts w:hint="eastAsia" w:ascii="宋体" w:hAnsi="宋体"/>
                <w:b/>
                <w:bCs/>
                <w:sz w:val="18"/>
                <w:szCs w:val="18"/>
                <w:highlight w:val="none"/>
              </w:rPr>
            </w:pPr>
            <w:r>
              <w:rPr>
                <w:rFonts w:hint="eastAsia" w:ascii="宋体" w:hAnsi="宋体"/>
                <w:b/>
                <w:bCs/>
                <w:sz w:val="18"/>
                <w:szCs w:val="18"/>
                <w:highlight w:val="none"/>
              </w:rPr>
              <w:t>2.地块与建筑控制：</w:t>
            </w:r>
            <w:r>
              <w:rPr>
                <w:rFonts w:hint="eastAsia" w:ascii="宋体" w:hAnsi="宋体"/>
                <w:sz w:val="18"/>
                <w:szCs w:val="18"/>
                <w:highlight w:val="none"/>
              </w:rPr>
              <w:t>城市更新单元内规划设计应符合已经批准的法定规划中关于建筑退线、建筑高度、出入口控制等地块与建筑控制要求，如需调整优化，可在更新单元评估中提出，在片区更新策划、更新实施方案编制阶段进行详细论证。</w:t>
            </w:r>
          </w:p>
        </w:tc>
        <w:tc>
          <w:tcPr>
            <w:tcW w:w="1453" w:type="dxa"/>
          </w:tcPr>
          <w:p w14:paraId="020A2E33">
            <w:pPr>
              <w:spacing w:line="240" w:lineRule="auto"/>
              <w:jc w:val="left"/>
              <w:rPr>
                <w:rFonts w:hint="eastAsia" w:ascii="宋体" w:hAnsi="宋体"/>
                <w:sz w:val="18"/>
                <w:szCs w:val="18"/>
                <w:highlight w:val="none"/>
              </w:rPr>
            </w:pPr>
            <w:r>
              <w:rPr>
                <w:rFonts w:hint="eastAsia" w:ascii="宋体" w:hAnsi="宋体"/>
                <w:sz w:val="18"/>
                <w:szCs w:val="18"/>
                <w:highlight w:val="none"/>
              </w:rPr>
              <w:t>（评估阶段可能涉及不到这个深度，这部分也可以删掉）</w:t>
            </w:r>
          </w:p>
        </w:tc>
      </w:tr>
    </w:tbl>
    <w:p w14:paraId="1E043C4E">
      <w:pPr>
        <w:rPr>
          <w:highlight w:val="none"/>
        </w:rPr>
      </w:pPr>
    </w:p>
    <w:p w14:paraId="72CFFAEC">
      <w:pPr>
        <w:rPr>
          <w:highlight w:val="none"/>
        </w:rPr>
      </w:pPr>
      <w:r>
        <w:rPr>
          <w:highlight w:val="none"/>
        </w:rPr>
        <w:br w:type="page"/>
      </w:r>
    </w:p>
    <w:p w14:paraId="727ECB75">
      <w:pPr>
        <w:pStyle w:val="196"/>
        <w:numPr>
          <w:ilvl w:val="0"/>
          <w:numId w:val="1"/>
        </w:numPr>
        <w:spacing w:before="83" w:after="166"/>
        <w:rPr>
          <w:highlight w:val="none"/>
        </w:rPr>
      </w:pPr>
      <w:bookmarkStart w:id="62" w:name="_Toc29852"/>
      <w:r>
        <w:rPr>
          <w:highlight w:val="none"/>
        </w:rPr>
        <w:br w:type="textWrapping"/>
      </w:r>
      <w:r>
        <w:rPr>
          <w:rFonts w:hint="eastAsia"/>
          <w:highlight w:val="none"/>
        </w:rPr>
        <w:t>（资料性）</w:t>
      </w:r>
      <w:r>
        <w:rPr>
          <w:highlight w:val="none"/>
        </w:rPr>
        <w:br w:type="textWrapping"/>
      </w:r>
      <w:r>
        <w:rPr>
          <w:rFonts w:hint="eastAsia"/>
          <w:highlight w:val="none"/>
          <w:lang w:eastAsia="zh-CN"/>
        </w:rPr>
        <w:t>城市更新单元（片区）</w:t>
      </w:r>
      <w:r>
        <w:rPr>
          <w:rFonts w:hint="eastAsia"/>
          <w:highlight w:val="none"/>
        </w:rPr>
        <w:t>体检评估报告提纲参考</w:t>
      </w:r>
      <w:bookmarkEnd w:id="62"/>
    </w:p>
    <w:p w14:paraId="311E7459">
      <w:pPr>
        <w:pStyle w:val="44"/>
        <w:rPr>
          <w:rFonts w:hint="eastAsia"/>
          <w:highlight w:val="none"/>
        </w:rPr>
      </w:pPr>
      <w:r>
        <w:rPr>
          <w:rFonts w:hint="eastAsia"/>
          <w:highlight w:val="none"/>
          <w:lang w:val="en-US" w:eastAsia="zh-CN"/>
        </w:rPr>
        <w:t>图F.1给出了《</w:t>
      </w:r>
      <w:r>
        <w:rPr>
          <w:rFonts w:hint="eastAsia"/>
          <w:highlight w:val="none"/>
          <w:lang w:eastAsia="zh-CN"/>
        </w:rPr>
        <w:t>城市更新单元（片区）</w:t>
      </w:r>
      <w:r>
        <w:rPr>
          <w:rFonts w:hint="eastAsia"/>
          <w:highlight w:val="none"/>
        </w:rPr>
        <w:t>体检评估报告</w:t>
      </w:r>
      <w:r>
        <w:rPr>
          <w:rFonts w:hint="eastAsia"/>
          <w:highlight w:val="none"/>
          <w:lang w:val="en-US" w:eastAsia="zh-CN"/>
        </w:rPr>
        <w:t>》</w:t>
      </w:r>
      <w:r>
        <w:rPr>
          <w:rFonts w:hint="eastAsia"/>
          <w:highlight w:val="none"/>
        </w:rPr>
        <w:t>提纲</w:t>
      </w:r>
      <w:r>
        <w:rPr>
          <w:rFonts w:hint="eastAsia"/>
          <w:highlight w:val="none"/>
          <w:lang w:val="en-US" w:eastAsia="zh-CN"/>
        </w:rPr>
        <w:t>参考</w:t>
      </w:r>
      <w:r>
        <w:rPr>
          <w:rFonts w:hint="eastAsia"/>
          <w:highlight w:val="none"/>
        </w:rPr>
        <w:t>。</w:t>
      </w:r>
    </w:p>
    <w:p w14:paraId="1045DCD2">
      <w:pPr>
        <w:pStyle w:val="146"/>
        <w:numPr>
          <w:ilvl w:val="1"/>
          <w:numId w:val="0"/>
        </w:numPr>
        <w:spacing w:before="166" w:beforeLines="50"/>
        <w:ind w:left="0" w:leftChars="0" w:firstLine="420" w:firstLineChars="0"/>
        <w:rPr>
          <w:rFonts w:hint="eastAsia" w:ascii="黑体" w:hAnsi="Times New Roman" w:eastAsia="黑体" w:cs="Times New Roman"/>
          <w:sz w:val="21"/>
          <w:szCs w:val="13"/>
          <w:highlight w:val="none"/>
          <w:lang w:val="en-US" w:eastAsia="zh-CN" w:bidi="ar-SA"/>
        </w:rPr>
      </w:pPr>
      <w:r>
        <w:rPr>
          <w:rFonts w:hint="eastAsia" w:ascii="黑体" w:hAnsi="Times New Roman" w:eastAsia="黑体" w:cs="Times New Roman"/>
          <w:sz w:val="21"/>
          <w:szCs w:val="13"/>
          <w:highlight w:val="none"/>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248920</wp:posOffset>
                </wp:positionH>
                <wp:positionV relativeFrom="paragraph">
                  <wp:posOffset>105410</wp:posOffset>
                </wp:positionV>
                <wp:extent cx="5624830" cy="7493000"/>
                <wp:effectExtent l="4445" t="4445" r="9525" b="8255"/>
                <wp:wrapSquare wrapText="bothSides"/>
                <wp:docPr id="6"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624830" cy="7493000"/>
                        </a:xfrm>
                        <a:prstGeom prst="rect">
                          <a:avLst/>
                        </a:prstGeom>
                        <a:solidFill>
                          <a:srgbClr val="FFFFFF"/>
                        </a:solidFill>
                        <a:ln w="9525">
                          <a:solidFill>
                            <a:schemeClr val="accent1"/>
                          </a:solidFill>
                          <a:miter lim="800000"/>
                        </a:ln>
                      </wps:spPr>
                      <wps:txbx>
                        <w:txbxContent>
                          <w:p w14:paraId="6CED2E96">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工作概述</w:t>
                            </w:r>
                          </w:p>
                          <w:p w14:paraId="0C8EE6E0">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包括城市更新单元（片区）</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体检评估的</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项目</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背景、编制依据、</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工作组织</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等方面。</w:t>
                            </w:r>
                          </w:p>
                          <w:p w14:paraId="2AA21450">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现状情况概述</w:t>
                            </w:r>
                          </w:p>
                          <w:p w14:paraId="1CC88A30">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包括该</w:t>
                            </w: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城市更新单元（片区）</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的</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区位分析和范围</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单元（片区）内的</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人口、用地、建筑、历史文化、产业、</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公共空间、公共</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设施</w:t>
                            </w: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安全韧性、智慧管理</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等现状基本情况。</w:t>
                            </w:r>
                          </w:p>
                          <w:p w14:paraId="0CFF9D31">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更新意愿调查</w:t>
                            </w:r>
                          </w:p>
                          <w:p w14:paraId="2F82A592">
                            <w:pPr>
                              <w:pStyle w:val="31"/>
                              <w:numPr>
                                <w:ilvl w:val="0"/>
                                <w:numId w:val="35"/>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总体调查情况</w:t>
                            </w:r>
                          </w:p>
                          <w:p w14:paraId="09230CC6">
                            <w:pPr>
                              <w:pStyle w:val="31"/>
                              <w:numPr>
                                <w:ilvl w:val="0"/>
                                <w:numId w:val="35"/>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多主体意愿调查</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分析评价</w:t>
                            </w:r>
                          </w:p>
                          <w:p w14:paraId="31BA6F16">
                            <w:pPr>
                              <w:pStyle w:val="31"/>
                              <w:numPr>
                                <w:ilvl w:val="0"/>
                                <w:numId w:val="35"/>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需求和需求空间分布</w:t>
                            </w:r>
                          </w:p>
                          <w:p w14:paraId="2E247B74">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指标分析评估</w:t>
                            </w:r>
                          </w:p>
                          <w:p w14:paraId="1F5E8DD9">
                            <w:pPr>
                              <w:pStyle w:val="31"/>
                              <w:numPr>
                                <w:ilvl w:val="0"/>
                                <w:numId w:val="36"/>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指标体系构建情况</w:t>
                            </w:r>
                          </w:p>
                          <w:p w14:paraId="45DB8684">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default" w:ascii="宋体" w:hAnsi="宋体" w:eastAsia="宋体" w:cs="宋体"/>
                                <w:color w:val="000000" w:themeColor="text1"/>
                                <w:sz w:val="18"/>
                                <w:szCs w:val="18"/>
                                <w:lang w:val="en-US"/>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结合项目实际情况，</w:t>
                            </w: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构建</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城市更新单元（片区）体检指标体系，说明指标选择的原则和理由。</w:t>
                            </w:r>
                          </w:p>
                          <w:p w14:paraId="059A69D0">
                            <w:pPr>
                              <w:pStyle w:val="31"/>
                              <w:numPr>
                                <w:ilvl w:val="0"/>
                                <w:numId w:val="36"/>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数据采集汇总情况</w:t>
                            </w:r>
                          </w:p>
                          <w:p w14:paraId="22DC3729">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default" w:ascii="宋体" w:hAnsi="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阐明数据采集汇总情况和分项指标采集情况。</w:t>
                            </w:r>
                          </w:p>
                          <w:p w14:paraId="767B676F">
                            <w:pPr>
                              <w:pStyle w:val="31"/>
                              <w:numPr>
                                <w:ilvl w:val="0"/>
                                <w:numId w:val="36"/>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指标分析评价</w:t>
                            </w:r>
                          </w:p>
                          <w:p w14:paraId="326F49DC">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对</w:t>
                            </w: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城市更新单元（片区）</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分项指标</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进行评估，提出存在的问题与不足。</w:t>
                            </w:r>
                          </w:p>
                          <w:p w14:paraId="3F2BCA39">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更新体检结论</w:t>
                            </w:r>
                          </w:p>
                          <w:p w14:paraId="1E9C3FE1">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必要性论证</w:t>
                            </w:r>
                          </w:p>
                          <w:p w14:paraId="085C7083">
                            <w:pPr>
                              <w:pStyle w:val="31"/>
                              <w:numPr>
                                <w:ilvl w:val="0"/>
                                <w:numId w:val="0"/>
                              </w:numPr>
                              <w:snapToGrid w:val="0"/>
                              <w:spacing w:after="0" w:line="360" w:lineRule="auto"/>
                              <w:ind w:left="630" w:left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根据上位规划、年度计划、相关政策等要求，结合现状评估结论，阐述更新改造的迫切性和必要性。</w:t>
                            </w:r>
                          </w:p>
                          <w:p w14:paraId="1644D73D">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问题清单</w:t>
                            </w:r>
                          </w:p>
                          <w:p w14:paraId="4033E7A5">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需求清单</w:t>
                            </w:r>
                          </w:p>
                          <w:p w14:paraId="4AE038F9">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可利用资源清单</w:t>
                            </w:r>
                          </w:p>
                          <w:p w14:paraId="2B82A016">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更新建议</w:t>
                            </w:r>
                          </w:p>
                          <w:p w14:paraId="48FA73AD">
                            <w:pPr>
                              <w:pStyle w:val="31"/>
                              <w:numPr>
                                <w:ilvl w:val="0"/>
                                <w:numId w:val="38"/>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更新建议</w:t>
                            </w:r>
                          </w:p>
                          <w:p w14:paraId="5EF434BE">
                            <w:pPr>
                              <w:pStyle w:val="31"/>
                              <w:numPr>
                                <w:ilvl w:val="0"/>
                                <w:numId w:val="0"/>
                              </w:numPr>
                              <w:snapToGrid w:val="0"/>
                              <w:spacing w:after="0" w:line="360" w:lineRule="auto"/>
                              <w:ind w:left="630" w:left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包括更新目标、</w:t>
                            </w: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更新模式、管控指标优化、法定规划协调</w:t>
                            </w: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等方面建议。</w:t>
                            </w:r>
                          </w:p>
                          <w:p w14:paraId="03885C93">
                            <w:pPr>
                              <w:pStyle w:val="31"/>
                              <w:numPr>
                                <w:ilvl w:val="0"/>
                                <w:numId w:val="38"/>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治理对策</w:t>
                            </w:r>
                          </w:p>
                          <w:p w14:paraId="6497D1F4">
                            <w:pPr>
                              <w:pStyle w:val="31"/>
                              <w:numPr>
                                <w:ilvl w:val="0"/>
                                <w:numId w:val="0"/>
                              </w:numPr>
                              <w:snapToGrid w:val="0"/>
                              <w:spacing w:after="0" w:line="360" w:lineRule="auto"/>
                              <w:ind w:left="630" w:leftChars="0"/>
                              <w:rPr>
                                <w:rFonts w:hint="eastAsia" w:ascii="宋体" w:hAnsi="宋体" w:cs="宋体"/>
                                <w:color w:val="000000" w:themeColor="text1"/>
                                <w:sz w:val="18"/>
                                <w:szCs w:val="18"/>
                                <w:highlight w:val="none"/>
                                <w:lang w:eastAsia="zh-CN"/>
                                <w14:textFill>
                                  <w14:solidFill>
                                    <w14:schemeClr w14:val="tx1"/>
                                  </w14:solidFill>
                                </w14:textFill>
                              </w:rPr>
                            </w:pP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包括形成</w:t>
                            </w: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片区体检项目库、更新效益预期、</w:t>
                            </w: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风险控制等。</w:t>
                            </w:r>
                          </w:p>
                        </w:txbxContent>
                      </wps:txbx>
                      <wps:bodyPr rot="0" vert="horz" wrap="square" lIns="91440" tIns="45720" rIns="91440" bIns="45720" anchor="t" anchorCtr="0">
                        <a:spAutoFit/>
                      </wps:bodyPr>
                    </wps:wsp>
                  </a:graphicData>
                </a:graphic>
              </wp:anchor>
            </w:drawing>
          </mc:Choice>
          <mc:Fallback>
            <w:pict>
              <v:shape id="文本框 1" o:spid="_x0000_s1026" o:spt="202" type="#_x0000_t202" style="position:absolute;left:0pt;margin-left:19.6pt;margin-top:8.3pt;height:590pt;width:442.9pt;mso-wrap-distance-bottom:0pt;mso-wrap-distance-left:9pt;mso-wrap-distance-right:9pt;mso-wrap-distance-top:0pt;z-index:251665408;mso-width-relative:page;mso-height-relative:page;" fillcolor="#FFFFFF" filled="t" stroked="t" coordsize="21600,21600" o:gfxdata="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MURtXVAAAACgEAAA8AAAAAAAAAAQAgAAAAIgAAAGRy&#10;cy9kb3ducmV2LnhtbFBLAQIUABQAAAAIAIdO4kCAv6S1QQIAAHwEAAAOAAAAAAAAAAEAIAAAACQB&#10;AABkcnMvZTJvRG9jLnhtbFBLBQYAAAAABgAGAFkBAADXBQAAAAA=&#10;">
                <v:fill on="t" focussize="0,0"/>
                <v:stroke color="#4472C4 [3204]" miterlimit="8" joinstyle="miter"/>
                <v:imagedata o:title=""/>
                <o:lock v:ext="edit" aspectratio="f"/>
                <v:textbox style="mso-fit-shape-to-text:t;">
                  <w:txbxContent>
                    <w:p w14:paraId="6CED2E96">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工作概述</w:t>
                      </w:r>
                    </w:p>
                    <w:p w14:paraId="0C8EE6E0">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包括城市更新单元（片区）</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体检评估的</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项目</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背景、编制依据、</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工作组织</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等方面。</w:t>
                      </w:r>
                    </w:p>
                    <w:p w14:paraId="2AA21450">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现状情况概述</w:t>
                      </w:r>
                    </w:p>
                    <w:p w14:paraId="1CC88A30">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包括该</w:t>
                      </w: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城市更新单元（片区）</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的</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区位分析和范围</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单元（片区）内的</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人口、用地、建筑、历史文化、产业、</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公共空间、公共</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设施</w:t>
                      </w: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安全韧性、智慧管理</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等现状基本情况。</w:t>
                      </w:r>
                    </w:p>
                    <w:p w14:paraId="0CFF9D31">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更新意愿调查</w:t>
                      </w:r>
                    </w:p>
                    <w:p w14:paraId="2F82A592">
                      <w:pPr>
                        <w:pStyle w:val="31"/>
                        <w:numPr>
                          <w:ilvl w:val="0"/>
                          <w:numId w:val="35"/>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总体调查情况</w:t>
                      </w:r>
                    </w:p>
                    <w:p w14:paraId="09230CC6">
                      <w:pPr>
                        <w:pStyle w:val="31"/>
                        <w:numPr>
                          <w:ilvl w:val="0"/>
                          <w:numId w:val="35"/>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多主体意愿调查</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分析评价</w:t>
                      </w:r>
                    </w:p>
                    <w:p w14:paraId="31BA6F16">
                      <w:pPr>
                        <w:pStyle w:val="31"/>
                        <w:numPr>
                          <w:ilvl w:val="0"/>
                          <w:numId w:val="35"/>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需求和需求空间分布</w:t>
                      </w:r>
                    </w:p>
                    <w:p w14:paraId="2E247B74">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指标分析评估</w:t>
                      </w:r>
                    </w:p>
                    <w:p w14:paraId="1F5E8DD9">
                      <w:pPr>
                        <w:pStyle w:val="31"/>
                        <w:numPr>
                          <w:ilvl w:val="0"/>
                          <w:numId w:val="36"/>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指标体系构建情况</w:t>
                      </w:r>
                    </w:p>
                    <w:p w14:paraId="45DB8684">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default" w:ascii="宋体" w:hAnsi="宋体" w:eastAsia="宋体" w:cs="宋体"/>
                          <w:color w:val="000000" w:themeColor="text1"/>
                          <w:sz w:val="18"/>
                          <w:szCs w:val="18"/>
                          <w:lang w:val="en-US"/>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结合项目实际情况，</w:t>
                      </w:r>
                      <w:r>
                        <w:rPr>
                          <w:rFonts w:hint="eastAsia" w:ascii="宋体" w:hAnsi="宋体" w:eastAsia="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构建</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城市更新单元（片区）体检指标体系，说明指标选择的原则和理由。</w:t>
                      </w:r>
                    </w:p>
                    <w:p w14:paraId="059A69D0">
                      <w:pPr>
                        <w:pStyle w:val="31"/>
                        <w:numPr>
                          <w:ilvl w:val="0"/>
                          <w:numId w:val="36"/>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数据采集汇总情况</w:t>
                      </w:r>
                    </w:p>
                    <w:p w14:paraId="22DC3729">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default" w:ascii="宋体" w:hAnsi="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阐明数据采集汇总情况和分项指标采集情况。</w:t>
                      </w:r>
                    </w:p>
                    <w:p w14:paraId="767B676F">
                      <w:pPr>
                        <w:pStyle w:val="31"/>
                        <w:numPr>
                          <w:ilvl w:val="0"/>
                          <w:numId w:val="36"/>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指标分析评价</w:t>
                      </w:r>
                    </w:p>
                    <w:p w14:paraId="326F49DC">
                      <w:pPr>
                        <w:pStyle w:val="31"/>
                        <w:keepNext w:val="0"/>
                        <w:keepLines w:val="0"/>
                        <w:pageBreakBefore w:val="0"/>
                        <w:widowControl w:val="0"/>
                        <w:kinsoku/>
                        <w:wordWrap/>
                        <w:overflowPunct/>
                        <w:topLinePunct w:val="0"/>
                        <w:bidi w:val="0"/>
                        <w:adjustRightInd w:val="0"/>
                        <w:snapToGrid w:val="0"/>
                        <w:spacing w:line="360" w:lineRule="auto"/>
                        <w:ind w:firstLine="360" w:firstLineChars="20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对</w:t>
                      </w: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城市更新单元（片区）</w:t>
                      </w:r>
                      <w:r>
                        <w:rPr>
                          <w:rFonts w:hint="eastAsia" w:ascii="宋体" w:hAnsi="宋体" w:cs="宋体"/>
                          <w:color w:val="000000" w:themeColor="text1"/>
                          <w:sz w:val="18"/>
                          <w:szCs w:val="18"/>
                          <w:lang w:val="en-US" w:eastAsia="zh-CN"/>
                          <w14:textOutline w14:w="0" w14:cap="rnd" w14:cmpd="sng" w14:algn="ctr">
                            <w14:solidFill>
                              <w14:schemeClr w14:val="tx1"/>
                            </w14:solidFill>
                            <w14:prstDash w14:val="solid"/>
                            <w14:bevel/>
                          </w14:textOutline>
                          <w14:textFill>
                            <w14:solidFill>
                              <w14:schemeClr w14:val="tx1"/>
                            </w14:solidFill>
                          </w14:textFill>
                        </w:rPr>
                        <w:t>分项指标</w:t>
                      </w: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进行评估，提出存在的问题与不足。</w:t>
                      </w:r>
                    </w:p>
                    <w:p w14:paraId="3F2BCA39">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更新体检结论</w:t>
                      </w:r>
                    </w:p>
                    <w:p w14:paraId="1E9C3FE1">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Outline w14:w="0" w14:cap="rnd" w14:cmpd="sng" w14:algn="ctr">
                            <w14:solidFill>
                              <w14:schemeClr w14:val="tx1"/>
                            </w14:solidFill>
                            <w14:prstDash w14:val="solid"/>
                            <w14:bevel/>
                          </w14:textOutline>
                          <w14:textFill>
                            <w14:solidFill>
                              <w14:schemeClr w14:val="tx1"/>
                            </w14:solidFill>
                          </w14:textFill>
                        </w:rPr>
                        <w:t>必要性论证</w:t>
                      </w:r>
                    </w:p>
                    <w:p w14:paraId="085C7083">
                      <w:pPr>
                        <w:pStyle w:val="31"/>
                        <w:numPr>
                          <w:ilvl w:val="0"/>
                          <w:numId w:val="0"/>
                        </w:numPr>
                        <w:snapToGrid w:val="0"/>
                        <w:spacing w:after="0" w:line="360" w:lineRule="auto"/>
                        <w:ind w:left="630" w:leftChars="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lang w:eastAsia="zh-CN"/>
                          <w14:textOutline w14:w="0" w14:cap="rnd" w14:cmpd="sng" w14:algn="ctr">
                            <w14:solidFill>
                              <w14:schemeClr w14:val="tx1"/>
                            </w14:solidFill>
                            <w14:prstDash w14:val="solid"/>
                            <w14:bevel/>
                          </w14:textOutline>
                          <w14:textFill>
                            <w14:solidFill>
                              <w14:schemeClr w14:val="tx1"/>
                            </w14:solidFill>
                          </w14:textFill>
                        </w:rPr>
                        <w:t>根据上位规划、年度计划、相关政策等要求，结合现状评估结论，阐述更新改造的迫切性和必要性。</w:t>
                      </w:r>
                    </w:p>
                    <w:p w14:paraId="1644D73D">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问题清单</w:t>
                      </w:r>
                    </w:p>
                    <w:p w14:paraId="4033E7A5">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需求清单</w:t>
                      </w:r>
                    </w:p>
                    <w:p w14:paraId="4AE038F9">
                      <w:pPr>
                        <w:pStyle w:val="31"/>
                        <w:numPr>
                          <w:ilvl w:val="0"/>
                          <w:numId w:val="37"/>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可利用资源清单</w:t>
                      </w:r>
                    </w:p>
                    <w:p w14:paraId="2B82A016">
                      <w:pPr>
                        <w:pStyle w:val="105"/>
                        <w:keepNext w:val="0"/>
                        <w:keepLines w:val="0"/>
                        <w:pageBreakBefore w:val="0"/>
                        <w:widowControl w:val="0"/>
                        <w:numPr>
                          <w:ilvl w:val="0"/>
                          <w:numId w:val="34"/>
                        </w:numPr>
                        <w:kinsoku/>
                        <w:wordWrap/>
                        <w:overflowPunct/>
                        <w:topLinePunct w:val="0"/>
                        <w:bidi w:val="0"/>
                        <w:adjustRightInd/>
                        <w:snapToGrid w:val="0"/>
                        <w:spacing w:line="360" w:lineRule="auto"/>
                        <w:ind w:left="420" w:hanging="420" w:firstLineChars="0"/>
                        <w:textAlignment w:val="auto"/>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更新建议</w:t>
                      </w:r>
                    </w:p>
                    <w:p w14:paraId="48FA73AD">
                      <w:pPr>
                        <w:pStyle w:val="31"/>
                        <w:numPr>
                          <w:ilvl w:val="0"/>
                          <w:numId w:val="38"/>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更新建议</w:t>
                      </w:r>
                    </w:p>
                    <w:p w14:paraId="5EF434BE">
                      <w:pPr>
                        <w:pStyle w:val="31"/>
                        <w:numPr>
                          <w:ilvl w:val="0"/>
                          <w:numId w:val="0"/>
                        </w:numPr>
                        <w:snapToGrid w:val="0"/>
                        <w:spacing w:after="0" w:line="360" w:lineRule="auto"/>
                        <w:ind w:left="630" w:left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包括更新目标、</w:t>
                      </w: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更新模式、管控指标优化、法定规划协调</w:t>
                      </w: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等方面建议。</w:t>
                      </w:r>
                    </w:p>
                    <w:p w14:paraId="03885C93">
                      <w:pPr>
                        <w:pStyle w:val="31"/>
                        <w:numPr>
                          <w:ilvl w:val="0"/>
                          <w:numId w:val="38"/>
                        </w:numPr>
                        <w:snapToGrid w:val="0"/>
                        <w:spacing w:after="0" w:line="360" w:lineRule="auto"/>
                        <w:ind w:firstLineChars="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治理对策</w:t>
                      </w:r>
                    </w:p>
                    <w:p w14:paraId="6497D1F4">
                      <w:pPr>
                        <w:pStyle w:val="31"/>
                        <w:numPr>
                          <w:ilvl w:val="0"/>
                          <w:numId w:val="0"/>
                        </w:numPr>
                        <w:snapToGrid w:val="0"/>
                        <w:spacing w:after="0" w:line="360" w:lineRule="auto"/>
                        <w:ind w:left="630" w:leftChars="0"/>
                        <w:rPr>
                          <w:rFonts w:hint="eastAsia" w:ascii="宋体" w:hAnsi="宋体" w:cs="宋体"/>
                          <w:color w:val="000000" w:themeColor="text1"/>
                          <w:sz w:val="18"/>
                          <w:szCs w:val="18"/>
                          <w:highlight w:val="none"/>
                          <w:lang w:eastAsia="zh-CN"/>
                          <w14:textFill>
                            <w14:solidFill>
                              <w14:schemeClr w14:val="tx1"/>
                            </w14:solidFill>
                          </w14:textFill>
                        </w:rPr>
                      </w:pP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包括形成</w:t>
                      </w:r>
                      <w:r>
                        <w:rPr>
                          <w:rFonts w:hint="eastAsia" w:ascii="宋体" w:hAnsi="宋体" w:cs="宋体"/>
                          <w:color w:val="000000" w:themeColor="text1"/>
                          <w:sz w:val="18"/>
                          <w:szCs w:val="18"/>
                          <w:highlight w:val="none"/>
                          <w:lang w:val="en-US" w:eastAsia="zh-CN"/>
                          <w14:textOutline w14:w="0" w14:cap="rnd" w14:cmpd="sng" w14:algn="ctr">
                            <w14:solidFill>
                              <w14:schemeClr w14:val="tx1"/>
                            </w14:solidFill>
                            <w14:prstDash w14:val="solid"/>
                            <w14:bevel/>
                          </w14:textOutline>
                          <w14:textFill>
                            <w14:solidFill>
                              <w14:schemeClr w14:val="tx1"/>
                            </w14:solidFill>
                          </w14:textFill>
                        </w:rPr>
                        <w:t>片区体检项目库、更新效益预期、</w:t>
                      </w:r>
                      <w:r>
                        <w:rPr>
                          <w:rFonts w:hint="eastAsia" w:ascii="宋体" w:hAnsi="宋体" w:cs="宋体"/>
                          <w:color w:val="000000" w:themeColor="text1"/>
                          <w:sz w:val="18"/>
                          <w:szCs w:val="18"/>
                          <w:highlight w:val="none"/>
                          <w:lang w:eastAsia="zh-CN"/>
                          <w14:textOutline w14:w="0" w14:cap="rnd" w14:cmpd="sng" w14:algn="ctr">
                            <w14:solidFill>
                              <w14:schemeClr w14:val="tx1"/>
                            </w14:solidFill>
                            <w14:prstDash w14:val="solid"/>
                            <w14:bevel/>
                          </w14:textOutline>
                          <w14:textFill>
                            <w14:solidFill>
                              <w14:schemeClr w14:val="tx1"/>
                            </w14:solidFill>
                          </w14:textFill>
                        </w:rPr>
                        <w:t>风险控制等。</w:t>
                      </w:r>
                    </w:p>
                  </w:txbxContent>
                </v:textbox>
                <w10:wrap type="square"/>
              </v:shape>
            </w:pict>
          </mc:Fallback>
        </mc:AlternateContent>
      </w:r>
      <w:r>
        <w:rPr>
          <w:rFonts w:hint="eastAsia" w:ascii="黑体" w:hAnsi="Times New Roman" w:eastAsia="黑体" w:cs="Times New Roman"/>
          <w:sz w:val="21"/>
          <w:szCs w:val="13"/>
          <w:highlight w:val="none"/>
          <w:lang w:val="en-US" w:eastAsia="zh-CN" w:bidi="ar-SA"/>
        </w:rPr>
        <w:t>图</w:t>
      </w:r>
      <w:r>
        <w:rPr>
          <w:rFonts w:hint="eastAsia" w:cs="Times New Roman"/>
          <w:sz w:val="21"/>
          <w:szCs w:val="13"/>
          <w:highlight w:val="none"/>
          <w:lang w:val="en-US" w:eastAsia="zh-CN" w:bidi="ar-SA"/>
        </w:rPr>
        <w:t>F</w:t>
      </w:r>
      <w:r>
        <w:rPr>
          <w:rFonts w:hint="eastAsia" w:ascii="黑体" w:hAnsi="Times New Roman" w:eastAsia="黑体" w:cs="Times New Roman"/>
          <w:sz w:val="21"/>
          <w:szCs w:val="13"/>
          <w:highlight w:val="none"/>
          <w:lang w:val="en-US" w:eastAsia="zh-CN" w:bidi="ar-SA"/>
        </w:rPr>
        <w:t>.1 《XX</w:t>
      </w:r>
      <w:r>
        <w:rPr>
          <w:rFonts w:hint="eastAsia" w:cs="Times New Roman"/>
          <w:sz w:val="21"/>
          <w:szCs w:val="13"/>
          <w:highlight w:val="none"/>
          <w:lang w:val="en-US" w:eastAsia="zh-CN" w:bidi="ar-SA"/>
        </w:rPr>
        <w:t>城市更新单元（片区）体检</w:t>
      </w:r>
      <w:r>
        <w:rPr>
          <w:rFonts w:hint="eastAsia" w:ascii="黑体" w:hAnsi="Times New Roman" w:eastAsia="黑体" w:cs="Times New Roman"/>
          <w:sz w:val="21"/>
          <w:szCs w:val="13"/>
          <w:highlight w:val="none"/>
          <w:lang w:val="en-US" w:eastAsia="zh-CN" w:bidi="ar-SA"/>
        </w:rPr>
        <w:t>评估报告》文本提纲参考</w:t>
      </w:r>
    </w:p>
    <w:p w14:paraId="537AB15D">
      <w:pPr>
        <w:rPr>
          <w:highlight w:val="none"/>
        </w:rPr>
      </w:pPr>
      <w:r>
        <w:rPr>
          <w:highlight w:val="none"/>
        </w:rPr>
        <w:br w:type="page"/>
      </w:r>
    </w:p>
    <w:p w14:paraId="2078FD6E">
      <w:pPr>
        <w:pStyle w:val="196"/>
        <w:numPr>
          <w:ilvl w:val="0"/>
          <w:numId w:val="1"/>
        </w:numPr>
        <w:spacing w:before="83" w:after="166"/>
        <w:rPr>
          <w:highlight w:val="none"/>
        </w:rPr>
      </w:pPr>
      <w:bookmarkStart w:id="63" w:name="_Toc27652"/>
      <w:r>
        <w:rPr>
          <w:highlight w:val="none"/>
        </w:rPr>
        <w:br w:type="textWrapping"/>
      </w:r>
      <w:r>
        <w:rPr>
          <w:rFonts w:hint="eastAsia"/>
          <w:highlight w:val="none"/>
        </w:rPr>
        <w:t>（资料性）</w:t>
      </w:r>
      <w:r>
        <w:rPr>
          <w:highlight w:val="none"/>
        </w:rPr>
        <w:br w:type="textWrapping"/>
      </w:r>
      <w:r>
        <w:rPr>
          <w:rFonts w:hint="eastAsia"/>
          <w:highlight w:val="none"/>
        </w:rPr>
        <w:t>湖北省地方标准实施信息及意见反馈表</w:t>
      </w:r>
      <w:bookmarkEnd w:id="63"/>
    </w:p>
    <w:p w14:paraId="203B5584">
      <w:pPr>
        <w:pStyle w:val="44"/>
        <w:rPr>
          <w:highlight w:val="none"/>
        </w:rPr>
      </w:pPr>
      <w:r>
        <w:rPr>
          <w:rFonts w:hint="eastAsia"/>
          <w:highlight w:val="none"/>
        </w:rPr>
        <w:t>湖北省地方标准实施信息及意见反馈表如表</w:t>
      </w:r>
      <w:r>
        <w:rPr>
          <w:rFonts w:hint="eastAsia"/>
          <w:highlight w:val="none"/>
          <w:lang w:val="en-US" w:eastAsia="zh-CN"/>
        </w:rPr>
        <w:t>G</w:t>
      </w:r>
      <w:r>
        <w:rPr>
          <w:rFonts w:hint="eastAsia"/>
          <w:highlight w:val="none"/>
        </w:rPr>
        <w:t>.1所示。</w:t>
      </w:r>
    </w:p>
    <w:p w14:paraId="6AE49489">
      <w:pPr>
        <w:pStyle w:val="146"/>
        <w:numPr>
          <w:ilvl w:val="1"/>
          <w:numId w:val="0"/>
        </w:numPr>
        <w:spacing w:before="166" w:beforeLines="50"/>
        <w:ind w:left="0" w:leftChars="0" w:firstLine="420" w:firstLineChars="0"/>
        <w:rPr>
          <w:highlight w:val="none"/>
        </w:rPr>
      </w:pPr>
      <w:r>
        <w:rPr>
          <w:rFonts w:hint="eastAsia" w:ascii="黑体" w:hAnsi="Times New Roman" w:eastAsia="黑体" w:cs="Times New Roman"/>
          <w:sz w:val="21"/>
          <w:szCs w:val="13"/>
          <w:highlight w:val="none"/>
          <w:lang w:val="en-US" w:eastAsia="zh-CN" w:bidi="ar-SA"/>
        </w:rPr>
        <w:t>表</w:t>
      </w:r>
      <w:r>
        <w:rPr>
          <w:rFonts w:hint="eastAsia" w:cs="Times New Roman"/>
          <w:sz w:val="21"/>
          <w:szCs w:val="13"/>
          <w:highlight w:val="none"/>
          <w:lang w:val="en-US" w:eastAsia="zh-CN" w:bidi="ar-SA"/>
        </w:rPr>
        <w:t>G</w:t>
      </w:r>
      <w:r>
        <w:rPr>
          <w:rFonts w:hint="eastAsia" w:ascii="黑体" w:hAnsi="Times New Roman" w:eastAsia="黑体" w:cs="Times New Roman"/>
          <w:sz w:val="21"/>
          <w:szCs w:val="13"/>
          <w:highlight w:val="none"/>
          <w:lang w:val="en-US" w:eastAsia="zh-CN" w:bidi="ar-SA"/>
        </w:rPr>
        <w:t>.</w:t>
      </w:r>
      <w:r>
        <w:rPr>
          <w:rFonts w:hint="eastAsia" w:cs="Times New Roman"/>
          <w:sz w:val="21"/>
          <w:szCs w:val="13"/>
          <w:highlight w:val="none"/>
          <w:lang w:val="en-US" w:eastAsia="zh-CN" w:bidi="ar-SA"/>
        </w:rPr>
        <w:t xml:space="preserve">1 </w:t>
      </w:r>
      <w:r>
        <w:rPr>
          <w:rFonts w:hint="eastAsia"/>
          <w:highlight w:val="none"/>
        </w:rPr>
        <w:t>湖北省地方标准实施信息及意见反馈表</w:t>
      </w:r>
    </w:p>
    <w:tbl>
      <w:tblPr>
        <w:tblStyle w:val="233"/>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1"/>
        <w:gridCol w:w="823"/>
        <w:gridCol w:w="338"/>
        <w:gridCol w:w="2192"/>
        <w:gridCol w:w="3109"/>
        <w:gridCol w:w="1384"/>
      </w:tblGrid>
      <w:tr w14:paraId="574F7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34" w:type="dxa"/>
            <w:gridSpan w:val="2"/>
            <w:tcBorders>
              <w:top w:val="single" w:color="auto" w:sz="12" w:space="0"/>
              <w:left w:val="single" w:color="auto" w:sz="12" w:space="0"/>
              <w:bottom w:val="single" w:color="000000" w:sz="2" w:space="0"/>
              <w:right w:val="single" w:color="auto" w:sz="4" w:space="0"/>
            </w:tcBorders>
            <w:vAlign w:val="center"/>
          </w:tcPr>
          <w:p w14:paraId="48A48AC5">
            <w:pPr>
              <w:widowControl/>
              <w:kinsoku w:val="0"/>
              <w:autoSpaceDE w:val="0"/>
              <w:autoSpaceDN w:val="0"/>
              <w:snapToGrid w:val="0"/>
              <w:ind w:left="115"/>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9"/>
                <w:kern w:val="0"/>
                <w:sz w:val="18"/>
                <w:szCs w:val="18"/>
                <w:highlight w:val="none"/>
              </w:rPr>
              <w:t>标准名称及编号</w:t>
            </w:r>
          </w:p>
        </w:tc>
        <w:tc>
          <w:tcPr>
            <w:tcW w:w="7023" w:type="dxa"/>
            <w:gridSpan w:val="4"/>
            <w:tcBorders>
              <w:top w:val="single" w:color="auto" w:sz="12" w:space="0"/>
              <w:left w:val="single" w:color="auto" w:sz="4" w:space="0"/>
              <w:bottom w:val="single" w:color="000000" w:sz="2" w:space="0"/>
              <w:right w:val="single" w:color="auto" w:sz="12" w:space="0"/>
            </w:tcBorders>
            <w:vAlign w:val="center"/>
          </w:tcPr>
          <w:p w14:paraId="71409A61">
            <w:pPr>
              <w:jc w:val="left"/>
              <w:rPr>
                <w:rFonts w:hint="default" w:ascii="宋体" w:hAnsi="宋体" w:eastAsia="宋体" w:cs="Arial"/>
                <w:kern w:val="0"/>
                <w:sz w:val="18"/>
                <w:szCs w:val="18"/>
                <w:highlight w:val="none"/>
                <w:lang w:val="en-US" w:eastAsia="zh-CN"/>
              </w:rPr>
            </w:pPr>
            <w:r>
              <w:rPr>
                <w:rFonts w:hint="eastAsia" w:ascii="宋体" w:hAnsi="宋体" w:cs="Arial"/>
                <w:kern w:val="0"/>
                <w:sz w:val="18"/>
                <w:szCs w:val="18"/>
                <w:highlight w:val="none"/>
                <w:lang w:eastAsia="zh-CN"/>
              </w:rPr>
              <w:t>城市更新单元</w:t>
            </w:r>
            <w:r>
              <w:rPr>
                <w:rFonts w:hint="eastAsia" w:ascii="宋体" w:hAnsi="宋体" w:eastAsia="Times New Roman" w:cs="Arial"/>
                <w:kern w:val="0"/>
                <w:sz w:val="18"/>
                <w:szCs w:val="18"/>
                <w:highlight w:val="none"/>
              </w:rPr>
              <w:t>体检评估技术规程</w:t>
            </w:r>
            <w:r>
              <w:rPr>
                <w:rFonts w:hint="eastAsia" w:ascii="宋体" w:hAnsi="宋体" w:cs="Arial"/>
                <w:kern w:val="0"/>
                <w:sz w:val="18"/>
                <w:szCs w:val="18"/>
                <w:highlight w:val="none"/>
                <w:lang w:eastAsia="zh-CN"/>
              </w:rPr>
              <w:t>，</w:t>
            </w:r>
            <w:r>
              <w:rPr>
                <w:rFonts w:hint="eastAsia" w:ascii="宋体" w:hAnsi="宋体" w:cs="Arial"/>
                <w:kern w:val="0"/>
                <w:sz w:val="18"/>
                <w:szCs w:val="18"/>
                <w:highlight w:val="none"/>
                <w:lang w:val="en-US" w:eastAsia="zh-CN"/>
              </w:rPr>
              <w:t>T-Z-03-2023312</w:t>
            </w:r>
          </w:p>
        </w:tc>
      </w:tr>
      <w:tr w14:paraId="24366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1211" w:type="dxa"/>
            <w:vMerge w:val="restart"/>
            <w:tcBorders>
              <w:top w:val="single" w:color="auto" w:sz="12" w:space="0"/>
              <w:left w:val="single" w:color="auto" w:sz="12" w:space="0"/>
              <w:bottom w:val="single" w:color="auto" w:sz="4" w:space="0"/>
              <w:right w:val="single" w:color="auto" w:sz="4" w:space="0"/>
            </w:tcBorders>
            <w:vAlign w:val="center"/>
          </w:tcPr>
          <w:p w14:paraId="698A4913">
            <w:pPr>
              <w:widowControl/>
              <w:kinsoku w:val="0"/>
              <w:autoSpaceDE w:val="0"/>
              <w:autoSpaceDN w:val="0"/>
              <w:snapToGrid w:val="0"/>
              <w:ind w:left="147"/>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3"/>
                <w:kern w:val="0"/>
                <w:sz w:val="18"/>
                <w:szCs w:val="18"/>
                <w:highlight w:val="none"/>
              </w:rPr>
              <w:t>总体评价</w:t>
            </w:r>
          </w:p>
        </w:tc>
        <w:tc>
          <w:tcPr>
            <w:tcW w:w="1161" w:type="dxa"/>
            <w:gridSpan w:val="2"/>
            <w:tcBorders>
              <w:top w:val="single" w:color="auto" w:sz="12" w:space="0"/>
              <w:left w:val="single" w:color="auto" w:sz="4" w:space="0"/>
              <w:bottom w:val="single" w:color="auto" w:sz="4" w:space="0"/>
              <w:right w:val="single" w:color="auto" w:sz="4" w:space="0"/>
            </w:tcBorders>
            <w:vAlign w:val="center"/>
          </w:tcPr>
          <w:p w14:paraId="7525CA6D">
            <w:pPr>
              <w:widowControl/>
              <w:kinsoku w:val="0"/>
              <w:autoSpaceDE w:val="0"/>
              <w:autoSpaceDN w:val="0"/>
              <w:snapToGrid w:val="0"/>
              <w:ind w:left="229"/>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5"/>
                <w:kern w:val="0"/>
                <w:sz w:val="18"/>
                <w:szCs w:val="18"/>
                <w:highlight w:val="none"/>
              </w:rPr>
              <w:t>适用性</w:t>
            </w:r>
          </w:p>
        </w:tc>
        <w:tc>
          <w:tcPr>
            <w:tcW w:w="5301" w:type="dxa"/>
            <w:gridSpan w:val="2"/>
            <w:tcBorders>
              <w:top w:val="single" w:color="auto" w:sz="12" w:space="0"/>
              <w:left w:val="single" w:color="auto" w:sz="4" w:space="0"/>
              <w:bottom w:val="single" w:color="auto" w:sz="4" w:space="0"/>
              <w:right w:val="single" w:color="auto" w:sz="4" w:space="0"/>
            </w:tcBorders>
            <w:vAlign w:val="center"/>
          </w:tcPr>
          <w:p w14:paraId="18E304E0">
            <w:pPr>
              <w:widowControl/>
              <w:kinsoku w:val="0"/>
              <w:autoSpaceDE w:val="0"/>
              <w:autoSpaceDN w:val="0"/>
              <w:snapToGrid w:val="0"/>
              <w:spacing w:line="240" w:lineRule="auto"/>
              <w:ind w:left="116" w:right="103"/>
              <w:jc w:val="left"/>
              <w:textAlignment w:val="baseline"/>
              <w:rPr>
                <w:rFonts w:ascii="宋体" w:hAnsi="宋体" w:eastAsia="Times New Roman"/>
                <w:color w:val="000000"/>
                <w:spacing w:val="11"/>
                <w:kern w:val="0"/>
                <w:sz w:val="18"/>
                <w:szCs w:val="18"/>
                <w:highlight w:val="none"/>
              </w:rPr>
            </w:pPr>
            <w:r>
              <w:rPr>
                <w:rFonts w:hint="eastAsia" w:ascii="宋体" w:hAnsi="宋体" w:eastAsia="Times New Roman"/>
                <w:color w:val="000000"/>
                <w:spacing w:val="11"/>
                <w:kern w:val="0"/>
                <w:sz w:val="18"/>
                <w:szCs w:val="18"/>
                <w:highlight w:val="none"/>
              </w:rPr>
              <w:t>该标准与当前所在地的产业或社会发展水平是否</w:t>
            </w:r>
          </w:p>
          <w:p w14:paraId="5F7BC8CB">
            <w:pPr>
              <w:widowControl/>
              <w:kinsoku w:val="0"/>
              <w:autoSpaceDE w:val="0"/>
              <w:autoSpaceDN w:val="0"/>
              <w:snapToGrid w:val="0"/>
              <w:spacing w:line="240" w:lineRule="auto"/>
              <w:ind w:left="116" w:right="103"/>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11"/>
                <w:kern w:val="0"/>
                <w:sz w:val="18"/>
                <w:szCs w:val="18"/>
                <w:highlight w:val="none"/>
              </w:rPr>
              <w:t>相匹配？</w:t>
            </w:r>
          </w:p>
        </w:tc>
        <w:tc>
          <w:tcPr>
            <w:tcW w:w="1384" w:type="dxa"/>
            <w:tcBorders>
              <w:top w:val="single" w:color="auto" w:sz="12" w:space="0"/>
              <w:left w:val="single" w:color="auto" w:sz="4" w:space="0"/>
              <w:bottom w:val="single" w:color="auto" w:sz="4" w:space="0"/>
              <w:right w:val="single" w:color="auto" w:sz="12" w:space="0"/>
            </w:tcBorders>
            <w:vAlign w:val="center"/>
          </w:tcPr>
          <w:p w14:paraId="26E2CD04">
            <w:pPr>
              <w:widowControl/>
              <w:kinsoku w:val="0"/>
              <w:autoSpaceDE w:val="0"/>
              <w:autoSpaceDN w:val="0"/>
              <w:snapToGrid w:val="0"/>
              <w:ind w:left="127"/>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8" name="图片 2" descr="C:\Users\ADMINI~1.USE\AppData\Local\Temp\ksohtml1191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C:\Users\ADMINI~1.USE\AppData\Local\Temp\ksohtml11916\wps1.png"/>
                          <pic:cNvPicPr>
                            <a:picLocks noChangeAspect="1" noChangeArrowheads="1"/>
                          </pic:cNvPicPr>
                        </pic:nvPicPr>
                        <pic:blipFill>
                          <a:blip r:embed="rId24"/>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 xml:space="preserve">是  </w:t>
            </w:r>
            <w:r>
              <w:rPr>
                <w:rFonts w:ascii="宋体" w:hAnsi="宋体" w:eastAsia="Times New Roman"/>
                <w:color w:val="000000"/>
                <w:kern w:val="0"/>
                <w:sz w:val="18"/>
                <w:szCs w:val="18"/>
                <w:highlight w:val="none"/>
              </w:rPr>
              <w:drawing>
                <wp:inline distT="0" distB="0" distL="0" distR="0">
                  <wp:extent cx="114300" cy="114300"/>
                  <wp:effectExtent l="0" t="0" r="0" b="0"/>
                  <wp:docPr id="11" name="图片 145775803" descr="C:\Users\ADMINI~1.USE\AppData\Local\Temp\ksohtml1191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5775803" descr="C:\Users\ADMINI~1.USE\AppData\Local\Temp\ksohtml11916\wps2.png"/>
                          <pic:cNvPicPr>
                            <a:picLocks noChangeAspect="1" noChangeArrowheads="1"/>
                          </pic:cNvPicPr>
                        </pic:nvPicPr>
                        <pic:blipFill>
                          <a:blip r:embed="rId24"/>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否</w:t>
            </w:r>
          </w:p>
        </w:tc>
      </w:tr>
      <w:tr w14:paraId="68D82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79EC84D7">
            <w:pPr>
              <w:widowControl/>
              <w:jc w:val="left"/>
              <w:rPr>
                <w:rFonts w:ascii="宋体" w:hAnsi="宋体" w:eastAsia="Times New Roman"/>
                <w:color w:val="000000"/>
                <w:kern w:val="0"/>
                <w:sz w:val="18"/>
                <w:szCs w:val="18"/>
                <w:highlight w:val="none"/>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2B0A2A4D">
            <w:pPr>
              <w:widowControl/>
              <w:kinsoku w:val="0"/>
              <w:autoSpaceDE w:val="0"/>
              <w:autoSpaceDN w:val="0"/>
              <w:snapToGrid w:val="0"/>
              <w:ind w:left="229"/>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5"/>
                <w:kern w:val="0"/>
                <w:sz w:val="18"/>
                <w:szCs w:val="18"/>
                <w:highlight w:val="none"/>
              </w:rPr>
              <w:t>协调性</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78DD46E6">
            <w:pPr>
              <w:widowControl/>
              <w:kinsoku w:val="0"/>
              <w:autoSpaceDE w:val="0"/>
              <w:autoSpaceDN w:val="0"/>
              <w:snapToGrid w:val="0"/>
              <w:spacing w:line="240" w:lineRule="auto"/>
              <w:ind w:left="116" w:right="103"/>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11"/>
                <w:kern w:val="0"/>
                <w:sz w:val="18"/>
                <w:szCs w:val="18"/>
                <w:highlight w:val="none"/>
              </w:rPr>
              <w:t>该标准的特色要求与其他强制性标准的主要技术指标、相关法律法规、部门规章或产业政策是否</w:t>
            </w:r>
            <w:r>
              <w:rPr>
                <w:rFonts w:hint="eastAsia" w:ascii="宋体" w:hAnsi="宋体" w:eastAsia="Times New Roman"/>
                <w:color w:val="000000"/>
                <w:spacing w:val="2"/>
                <w:kern w:val="0"/>
                <w:sz w:val="18"/>
                <w:szCs w:val="18"/>
                <w:highlight w:val="none"/>
              </w:rPr>
              <w:t>协调？</w:t>
            </w:r>
          </w:p>
        </w:tc>
        <w:tc>
          <w:tcPr>
            <w:tcW w:w="1384" w:type="dxa"/>
            <w:tcBorders>
              <w:top w:val="single" w:color="auto" w:sz="4" w:space="0"/>
              <w:left w:val="single" w:color="auto" w:sz="4" w:space="0"/>
              <w:bottom w:val="single" w:color="auto" w:sz="4" w:space="0"/>
              <w:right w:val="single" w:color="auto" w:sz="12" w:space="0"/>
            </w:tcBorders>
            <w:vAlign w:val="center"/>
          </w:tcPr>
          <w:p w14:paraId="46E4A3D9">
            <w:pPr>
              <w:widowControl/>
              <w:kinsoku w:val="0"/>
              <w:autoSpaceDE w:val="0"/>
              <w:autoSpaceDN w:val="0"/>
              <w:snapToGrid w:val="0"/>
              <w:ind w:left="127"/>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14" name="图片 180152075" descr="C:\Users\ADMINI~1.USE\AppData\Local\Temp\ksohtml1191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0152075" descr="C:\Users\ADMINI~1.USE\AppData\Local\Temp\ksohtml11916\wps3.png"/>
                          <pic:cNvPicPr>
                            <a:picLocks noChangeAspect="1" noChangeArrowheads="1"/>
                          </pic:cNvPicPr>
                        </pic:nvPicPr>
                        <pic:blipFill>
                          <a:blip r:embed="rId25"/>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 xml:space="preserve">是  </w:t>
            </w:r>
            <w:r>
              <w:rPr>
                <w:rFonts w:ascii="宋体" w:hAnsi="宋体" w:eastAsia="Times New Roman"/>
                <w:color w:val="000000"/>
                <w:kern w:val="0"/>
                <w:sz w:val="18"/>
                <w:szCs w:val="18"/>
                <w:highlight w:val="none"/>
              </w:rPr>
              <w:drawing>
                <wp:inline distT="0" distB="0" distL="0" distR="0">
                  <wp:extent cx="114300" cy="114300"/>
                  <wp:effectExtent l="0" t="0" r="0" b="0"/>
                  <wp:docPr id="17" name="图片 1458453579" descr="C:\Users\ADMINI~1.USE\AppData\Local\Temp\ksohtml11916\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58453579" descr="C:\Users\ADMINI~1.USE\AppData\Local\Temp\ksohtml11916\wps4.png"/>
                          <pic:cNvPicPr>
                            <a:picLocks noChangeAspect="1" noChangeArrowheads="1"/>
                          </pic:cNvPicPr>
                        </pic:nvPicPr>
                        <pic:blipFill>
                          <a:blip r:embed="rId25"/>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否</w:t>
            </w:r>
          </w:p>
        </w:tc>
      </w:tr>
      <w:tr w14:paraId="45FE9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7CE9293B">
            <w:pPr>
              <w:widowControl/>
              <w:jc w:val="left"/>
              <w:rPr>
                <w:rFonts w:ascii="宋体" w:hAnsi="宋体" w:eastAsia="Times New Roman"/>
                <w:color w:val="000000"/>
                <w:kern w:val="0"/>
                <w:sz w:val="18"/>
                <w:szCs w:val="18"/>
                <w:highlight w:val="none"/>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2D2D75C4">
            <w:pPr>
              <w:widowControl/>
              <w:kinsoku w:val="0"/>
              <w:autoSpaceDE w:val="0"/>
              <w:autoSpaceDN w:val="0"/>
              <w:snapToGrid w:val="0"/>
              <w:ind w:left="351"/>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2"/>
                <w:kern w:val="0"/>
                <w:position w:val="12"/>
                <w:sz w:val="18"/>
                <w:szCs w:val="18"/>
                <w:highlight w:val="none"/>
              </w:rPr>
              <w:t>执行</w:t>
            </w:r>
          </w:p>
          <w:p w14:paraId="04EDB744">
            <w:pPr>
              <w:widowControl/>
              <w:kinsoku w:val="0"/>
              <w:autoSpaceDE w:val="0"/>
              <w:autoSpaceDN w:val="0"/>
              <w:snapToGrid w:val="0"/>
              <w:ind w:left="355"/>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kern w:val="0"/>
                <w:sz w:val="18"/>
                <w:szCs w:val="18"/>
                <w:highlight w:val="none"/>
              </w:rPr>
              <w:t>情况</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307CB2B5">
            <w:pPr>
              <w:widowControl/>
              <w:kinsoku w:val="0"/>
              <w:autoSpaceDE w:val="0"/>
              <w:autoSpaceDN w:val="0"/>
              <w:snapToGrid w:val="0"/>
              <w:spacing w:line="240" w:lineRule="auto"/>
              <w:ind w:left="116" w:right="103"/>
              <w:jc w:val="left"/>
              <w:textAlignment w:val="baseline"/>
              <w:rPr>
                <w:rFonts w:ascii="宋体" w:hAnsi="宋体" w:eastAsia="Times New Roman"/>
                <w:color w:val="000000"/>
                <w:spacing w:val="11"/>
                <w:kern w:val="0"/>
                <w:sz w:val="18"/>
                <w:szCs w:val="18"/>
                <w:highlight w:val="none"/>
              </w:rPr>
            </w:pPr>
            <w:r>
              <w:rPr>
                <w:rFonts w:hint="eastAsia" w:ascii="宋体" w:hAnsi="宋体" w:eastAsia="Times New Roman"/>
                <w:color w:val="000000"/>
                <w:spacing w:val="11"/>
                <w:kern w:val="0"/>
                <w:sz w:val="18"/>
                <w:szCs w:val="18"/>
                <w:highlight w:val="none"/>
              </w:rPr>
              <w:t>标准执行单位或人员是否按照标准要求组织开展</w:t>
            </w:r>
          </w:p>
          <w:p w14:paraId="7D49D495">
            <w:pPr>
              <w:widowControl/>
              <w:kinsoku w:val="0"/>
              <w:autoSpaceDE w:val="0"/>
              <w:autoSpaceDN w:val="0"/>
              <w:snapToGrid w:val="0"/>
              <w:spacing w:line="240" w:lineRule="auto"/>
              <w:ind w:left="116" w:right="103"/>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11"/>
                <w:kern w:val="0"/>
                <w:sz w:val="18"/>
                <w:szCs w:val="18"/>
                <w:highlight w:val="none"/>
              </w:rPr>
              <w:t>相关工作？</w:t>
            </w:r>
          </w:p>
        </w:tc>
        <w:tc>
          <w:tcPr>
            <w:tcW w:w="1384" w:type="dxa"/>
            <w:tcBorders>
              <w:top w:val="single" w:color="auto" w:sz="4" w:space="0"/>
              <w:left w:val="single" w:color="auto" w:sz="4" w:space="0"/>
              <w:bottom w:val="single" w:color="auto" w:sz="4" w:space="0"/>
              <w:right w:val="single" w:color="auto" w:sz="12" w:space="0"/>
            </w:tcBorders>
            <w:vAlign w:val="center"/>
          </w:tcPr>
          <w:p w14:paraId="359EE980">
            <w:pPr>
              <w:widowControl/>
              <w:kinsoku w:val="0"/>
              <w:autoSpaceDE w:val="0"/>
              <w:autoSpaceDN w:val="0"/>
              <w:snapToGrid w:val="0"/>
              <w:ind w:left="127"/>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20" name="图片 7" descr="C:\Users\ADMINI~1.USE\AppData\Local\Temp\ksohtml1191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descr="C:\Users\ADMINI~1.USE\AppData\Local\Temp\ksohtml11916\wps5.png"/>
                          <pic:cNvPicPr>
                            <a:picLocks noChangeAspect="1" noChangeArrowheads="1"/>
                          </pic:cNvPicPr>
                        </pic:nvPicPr>
                        <pic:blipFill>
                          <a:blip r:embed="rId24"/>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 xml:space="preserve">是  </w:t>
            </w:r>
            <w:r>
              <w:rPr>
                <w:rFonts w:ascii="宋体" w:hAnsi="宋体" w:eastAsia="Times New Roman"/>
                <w:color w:val="000000"/>
                <w:kern w:val="0"/>
                <w:sz w:val="18"/>
                <w:szCs w:val="18"/>
                <w:highlight w:val="none"/>
              </w:rPr>
              <w:drawing>
                <wp:inline distT="0" distB="0" distL="0" distR="0">
                  <wp:extent cx="114300" cy="114300"/>
                  <wp:effectExtent l="0" t="0" r="0" b="0"/>
                  <wp:docPr id="23" name="图片 8" descr="C:\Users\ADMINI~1.USE\AppData\Local\Temp\ksohtml11916\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descr="C:\Users\ADMINI~1.USE\AppData\Local\Temp\ksohtml11916\wps6.png"/>
                          <pic:cNvPicPr>
                            <a:picLocks noChangeAspect="1" noChangeArrowheads="1"/>
                          </pic:cNvPicPr>
                        </pic:nvPicPr>
                        <pic:blipFill>
                          <a:blip r:embed="rId24"/>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否</w:t>
            </w:r>
          </w:p>
        </w:tc>
      </w:tr>
      <w:tr w14:paraId="6DAEB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287A0B29">
            <w:pPr>
              <w:widowControl/>
              <w:kinsoku w:val="0"/>
              <w:autoSpaceDE w:val="0"/>
              <w:autoSpaceDN w:val="0"/>
              <w:snapToGrid w:val="0"/>
              <w:ind w:left="143"/>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4"/>
                <w:kern w:val="0"/>
                <w:sz w:val="18"/>
                <w:szCs w:val="18"/>
                <w:highlight w:val="none"/>
              </w:rPr>
              <w:t>实施信息</w:t>
            </w:r>
          </w:p>
        </w:tc>
        <w:tc>
          <w:tcPr>
            <w:tcW w:w="6462" w:type="dxa"/>
            <w:gridSpan w:val="4"/>
            <w:tcBorders>
              <w:top w:val="single" w:color="auto" w:sz="4" w:space="0"/>
              <w:left w:val="single" w:color="auto" w:sz="4" w:space="0"/>
              <w:bottom w:val="single" w:color="auto" w:sz="4" w:space="0"/>
              <w:right w:val="single" w:color="auto" w:sz="4" w:space="0"/>
            </w:tcBorders>
            <w:vAlign w:val="center"/>
          </w:tcPr>
          <w:p w14:paraId="2B8F3963">
            <w:pPr>
              <w:widowControl/>
              <w:kinsoku w:val="0"/>
              <w:autoSpaceDE w:val="0"/>
              <w:autoSpaceDN w:val="0"/>
              <w:snapToGrid w:val="0"/>
              <w:ind w:left="111"/>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8"/>
                <w:kern w:val="0"/>
                <w:sz w:val="18"/>
                <w:szCs w:val="18"/>
                <w:highlight w:val="none"/>
              </w:rPr>
              <w:t>标准实施过程中是否存在阻力和障碍？</w:t>
            </w:r>
          </w:p>
        </w:tc>
        <w:tc>
          <w:tcPr>
            <w:tcW w:w="1384" w:type="dxa"/>
            <w:tcBorders>
              <w:top w:val="single" w:color="auto" w:sz="4" w:space="0"/>
              <w:left w:val="single" w:color="auto" w:sz="4" w:space="0"/>
              <w:bottom w:val="single" w:color="auto" w:sz="4" w:space="0"/>
              <w:right w:val="single" w:color="auto" w:sz="12" w:space="0"/>
            </w:tcBorders>
            <w:vAlign w:val="center"/>
          </w:tcPr>
          <w:p w14:paraId="2990C178">
            <w:pPr>
              <w:widowControl/>
              <w:kinsoku w:val="0"/>
              <w:autoSpaceDE w:val="0"/>
              <w:autoSpaceDN w:val="0"/>
              <w:snapToGrid w:val="0"/>
              <w:ind w:left="127"/>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26" name="图片 9" descr="C:\Users\ADMINI~1.USE\AppData\Local\Temp\ksohtml11916\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descr="C:\Users\ADMINI~1.USE\AppData\Local\Temp\ksohtml11916\wps7.png"/>
                          <pic:cNvPicPr>
                            <a:picLocks noChangeAspect="1" noChangeArrowheads="1"/>
                          </pic:cNvPicPr>
                        </pic:nvPicPr>
                        <pic:blipFill>
                          <a:blip r:embed="rId25"/>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 xml:space="preserve">是  </w:t>
            </w:r>
            <w:r>
              <w:rPr>
                <w:rFonts w:ascii="宋体" w:hAnsi="宋体" w:eastAsia="Times New Roman"/>
                <w:color w:val="000000"/>
                <w:kern w:val="0"/>
                <w:sz w:val="18"/>
                <w:szCs w:val="18"/>
                <w:highlight w:val="none"/>
              </w:rPr>
              <w:drawing>
                <wp:inline distT="0" distB="0" distL="0" distR="0">
                  <wp:extent cx="114300" cy="114300"/>
                  <wp:effectExtent l="0" t="0" r="0" b="0"/>
                  <wp:docPr id="29" name="图片 10" descr="C:\Users\ADMINI~1.USE\AppData\Local\Temp\ksohtml11916\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descr="C:\Users\ADMINI~1.USE\AppData\Local\Temp\ksohtml11916\wps8.png"/>
                          <pic:cNvPicPr>
                            <a:picLocks noChangeAspect="1" noChangeArrowheads="1"/>
                          </pic:cNvPicPr>
                        </pic:nvPicPr>
                        <pic:blipFill>
                          <a:blip r:embed="rId25"/>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22"/>
                <w:kern w:val="0"/>
                <w:sz w:val="18"/>
                <w:szCs w:val="18"/>
                <w:highlight w:val="none"/>
              </w:rPr>
              <w:t>否</w:t>
            </w:r>
          </w:p>
        </w:tc>
      </w:tr>
      <w:tr w14:paraId="16CF7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21D125ED">
            <w:pPr>
              <w:widowControl/>
              <w:jc w:val="left"/>
              <w:rPr>
                <w:rFonts w:ascii="宋体" w:hAnsi="宋体" w:eastAsia="Times New Roman"/>
                <w:color w:val="000000"/>
                <w:kern w:val="0"/>
                <w:sz w:val="18"/>
                <w:szCs w:val="18"/>
                <w:highlight w:val="none"/>
              </w:rPr>
            </w:pPr>
          </w:p>
        </w:tc>
        <w:tc>
          <w:tcPr>
            <w:tcW w:w="3353" w:type="dxa"/>
            <w:gridSpan w:val="3"/>
            <w:tcBorders>
              <w:top w:val="single" w:color="auto" w:sz="4" w:space="0"/>
              <w:left w:val="single" w:color="auto" w:sz="4" w:space="0"/>
              <w:bottom w:val="single" w:color="auto" w:sz="4" w:space="0"/>
              <w:right w:val="single" w:color="auto" w:sz="4" w:space="0"/>
            </w:tcBorders>
            <w:vAlign w:val="center"/>
          </w:tcPr>
          <w:p w14:paraId="2DE50D26">
            <w:pPr>
              <w:widowControl/>
              <w:kinsoku w:val="0"/>
              <w:autoSpaceDE w:val="0"/>
              <w:autoSpaceDN w:val="0"/>
              <w:snapToGrid w:val="0"/>
              <w:ind w:left="125"/>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8"/>
                <w:kern w:val="0"/>
                <w:sz w:val="18"/>
                <w:szCs w:val="18"/>
                <w:highlight w:val="none"/>
              </w:rPr>
              <w:t>实施过程中存在的主要问题</w:t>
            </w:r>
          </w:p>
        </w:tc>
        <w:tc>
          <w:tcPr>
            <w:tcW w:w="4493" w:type="dxa"/>
            <w:gridSpan w:val="2"/>
            <w:tcBorders>
              <w:top w:val="single" w:color="auto" w:sz="4" w:space="0"/>
              <w:left w:val="single" w:color="auto" w:sz="4" w:space="0"/>
              <w:bottom w:val="single" w:color="auto" w:sz="4" w:space="0"/>
              <w:right w:val="single" w:color="auto" w:sz="12" w:space="0"/>
            </w:tcBorders>
            <w:vAlign w:val="center"/>
          </w:tcPr>
          <w:p w14:paraId="2E69683F">
            <w:pPr>
              <w:jc w:val="left"/>
              <w:rPr>
                <w:rFonts w:ascii="宋体" w:hAnsi="宋体" w:eastAsia="Times New Roman" w:cs="Arial"/>
                <w:kern w:val="0"/>
                <w:sz w:val="18"/>
                <w:szCs w:val="18"/>
                <w:highlight w:val="none"/>
              </w:rPr>
            </w:pPr>
          </w:p>
        </w:tc>
      </w:tr>
      <w:tr w14:paraId="09465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3"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00BF21C6">
            <w:pPr>
              <w:widowControl/>
              <w:kinsoku w:val="0"/>
              <w:autoSpaceDE w:val="0"/>
              <w:autoSpaceDN w:val="0"/>
              <w:snapToGrid w:val="0"/>
              <w:ind w:left="126"/>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8"/>
                <w:kern w:val="0"/>
                <w:sz w:val="18"/>
                <w:szCs w:val="18"/>
                <w:highlight w:val="none"/>
              </w:rPr>
              <w:t>修改意见</w:t>
            </w: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485E6469">
            <w:pPr>
              <w:widowControl/>
              <w:kinsoku w:val="0"/>
              <w:autoSpaceDE w:val="0"/>
              <w:autoSpaceDN w:val="0"/>
              <w:snapToGrid w:val="0"/>
              <w:ind w:left="361"/>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3"/>
                <w:kern w:val="0"/>
                <w:position w:val="12"/>
                <w:sz w:val="18"/>
                <w:szCs w:val="18"/>
                <w:highlight w:val="none"/>
              </w:rPr>
              <w:t>总体</w:t>
            </w:r>
          </w:p>
          <w:p w14:paraId="4150472C">
            <w:pPr>
              <w:widowControl/>
              <w:kinsoku w:val="0"/>
              <w:autoSpaceDE w:val="0"/>
              <w:autoSpaceDN w:val="0"/>
              <w:snapToGrid w:val="0"/>
              <w:ind w:left="361"/>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3"/>
                <w:kern w:val="0"/>
                <w:sz w:val="18"/>
                <w:szCs w:val="18"/>
                <w:highlight w:val="none"/>
              </w:rPr>
              <w:t>意见</w:t>
            </w:r>
          </w:p>
        </w:tc>
        <w:tc>
          <w:tcPr>
            <w:tcW w:w="6685" w:type="dxa"/>
            <w:gridSpan w:val="3"/>
            <w:tcBorders>
              <w:top w:val="single" w:color="auto" w:sz="4" w:space="0"/>
              <w:left w:val="single" w:color="auto" w:sz="4" w:space="0"/>
              <w:bottom w:val="single" w:color="auto" w:sz="4" w:space="0"/>
              <w:right w:val="single" w:color="auto" w:sz="12" w:space="0"/>
            </w:tcBorders>
            <w:vAlign w:val="center"/>
          </w:tcPr>
          <w:p w14:paraId="3716EF6A">
            <w:pPr>
              <w:widowControl/>
              <w:kinsoku w:val="0"/>
              <w:autoSpaceDE w:val="0"/>
              <w:autoSpaceDN w:val="0"/>
              <w:snapToGrid w:val="0"/>
              <w:ind w:left="124"/>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32" name="图片 11" descr="C:\Users\ADMINI~1.USE\AppData\Local\Temp\ksohtml11916\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descr="C:\Users\ADMINI~1.USE\AppData\Local\Temp\ksohtml11916\wps9.png"/>
                          <pic:cNvPicPr>
                            <a:picLocks noChangeAspect="1" noChangeArrowheads="1"/>
                          </pic:cNvPicPr>
                        </pic:nvPicPr>
                        <pic:blipFill>
                          <a:blip r:embed="rId24"/>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4"/>
                <w:kern w:val="0"/>
                <w:sz w:val="18"/>
                <w:szCs w:val="18"/>
                <w:highlight w:val="none"/>
              </w:rPr>
              <w:t xml:space="preserve">适用    </w:t>
            </w:r>
            <w:r>
              <w:rPr>
                <w:rFonts w:ascii="宋体" w:hAnsi="宋体" w:eastAsia="Times New Roman"/>
                <w:color w:val="000000"/>
                <w:kern w:val="0"/>
                <w:sz w:val="18"/>
                <w:szCs w:val="18"/>
                <w:highlight w:val="none"/>
              </w:rPr>
              <w:drawing>
                <wp:inline distT="0" distB="0" distL="0" distR="0">
                  <wp:extent cx="114300" cy="114300"/>
                  <wp:effectExtent l="0" t="0" r="0" b="0"/>
                  <wp:docPr id="35" name="图片 12" descr="C:\Users\ADMINI~1.USE\AppData\Local\Temp\ksohtml11916\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descr="C:\Users\ADMINI~1.USE\AppData\Local\Temp\ksohtml11916\wps10.png"/>
                          <pic:cNvPicPr>
                            <a:picLocks noChangeAspect="1" noChangeArrowheads="1"/>
                          </pic:cNvPicPr>
                        </pic:nvPicPr>
                        <pic:blipFill>
                          <a:blip r:embed="rId26"/>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4"/>
                <w:kern w:val="0"/>
                <w:sz w:val="18"/>
                <w:szCs w:val="18"/>
                <w:highlight w:val="none"/>
              </w:rPr>
              <w:t xml:space="preserve">修改    </w:t>
            </w:r>
            <w:r>
              <w:rPr>
                <w:rFonts w:ascii="宋体" w:hAnsi="宋体" w:eastAsia="Times New Roman"/>
                <w:color w:val="000000"/>
                <w:kern w:val="0"/>
                <w:sz w:val="18"/>
                <w:szCs w:val="18"/>
                <w:highlight w:val="none"/>
              </w:rPr>
              <w:drawing>
                <wp:inline distT="0" distB="0" distL="0" distR="0">
                  <wp:extent cx="114300" cy="114300"/>
                  <wp:effectExtent l="0" t="0" r="0" b="0"/>
                  <wp:docPr id="38" name="图片 13" descr="C:\Users\ADMINI~1.USE\AppData\Local\Temp\ksohtml11916\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descr="C:\Users\ADMINI~1.USE\AppData\Local\Temp\ksohtml11916\wps11.png"/>
                          <pic:cNvPicPr>
                            <a:picLocks noChangeAspect="1" noChangeArrowheads="1"/>
                          </pic:cNvPicPr>
                        </pic:nvPicPr>
                        <pic:blipFill>
                          <a:blip r:embed="rId26"/>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4"/>
                <w:kern w:val="0"/>
                <w:sz w:val="18"/>
                <w:szCs w:val="18"/>
                <w:highlight w:val="none"/>
              </w:rPr>
              <w:t>废止</w:t>
            </w:r>
          </w:p>
        </w:tc>
      </w:tr>
      <w:tr w14:paraId="05AB2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1F4E722F">
            <w:pPr>
              <w:widowControl/>
              <w:jc w:val="left"/>
              <w:rPr>
                <w:rFonts w:ascii="宋体" w:hAnsi="宋体" w:eastAsia="Times New Roman"/>
                <w:color w:val="000000"/>
                <w:kern w:val="0"/>
                <w:sz w:val="18"/>
                <w:szCs w:val="18"/>
                <w:highlight w:val="none"/>
              </w:rPr>
            </w:pPr>
          </w:p>
        </w:tc>
        <w:tc>
          <w:tcPr>
            <w:tcW w:w="1161" w:type="dxa"/>
            <w:gridSpan w:val="2"/>
            <w:tcBorders>
              <w:top w:val="single" w:color="auto" w:sz="4" w:space="0"/>
              <w:left w:val="single" w:color="auto" w:sz="4" w:space="0"/>
              <w:bottom w:val="single" w:color="000000" w:sz="2" w:space="0"/>
              <w:right w:val="single" w:color="auto" w:sz="4" w:space="0"/>
            </w:tcBorders>
            <w:vAlign w:val="center"/>
          </w:tcPr>
          <w:p w14:paraId="6606936D">
            <w:pPr>
              <w:widowControl/>
              <w:kinsoku w:val="0"/>
              <w:autoSpaceDE w:val="0"/>
              <w:autoSpaceDN w:val="0"/>
              <w:snapToGrid w:val="0"/>
              <w:ind w:left="233"/>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4"/>
                <w:kern w:val="0"/>
                <w:position w:val="12"/>
                <w:sz w:val="18"/>
                <w:szCs w:val="18"/>
                <w:highlight w:val="none"/>
              </w:rPr>
              <w:t>具体修</w:t>
            </w:r>
          </w:p>
          <w:p w14:paraId="7F62EE61">
            <w:pPr>
              <w:widowControl/>
              <w:kinsoku w:val="0"/>
              <w:autoSpaceDE w:val="0"/>
              <w:autoSpaceDN w:val="0"/>
              <w:snapToGrid w:val="0"/>
              <w:ind w:left="251"/>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2"/>
                <w:kern w:val="0"/>
                <w:sz w:val="18"/>
                <w:szCs w:val="18"/>
                <w:highlight w:val="none"/>
              </w:rPr>
              <w:t>改意见</w:t>
            </w:r>
          </w:p>
        </w:tc>
        <w:tc>
          <w:tcPr>
            <w:tcW w:w="6685" w:type="dxa"/>
            <w:gridSpan w:val="3"/>
            <w:tcBorders>
              <w:top w:val="single" w:color="auto" w:sz="4" w:space="0"/>
              <w:left w:val="single" w:color="auto" w:sz="4" w:space="0"/>
              <w:bottom w:val="single" w:color="000000" w:sz="2" w:space="0"/>
              <w:right w:val="single" w:color="auto" w:sz="12" w:space="0"/>
            </w:tcBorders>
            <w:vAlign w:val="center"/>
          </w:tcPr>
          <w:p w14:paraId="4A7953C8">
            <w:pPr>
              <w:widowControl/>
              <w:kinsoku w:val="0"/>
              <w:autoSpaceDE w:val="0"/>
              <w:autoSpaceDN w:val="0"/>
              <w:snapToGrid w:val="0"/>
              <w:ind w:left="127"/>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4"/>
                <w:kern w:val="0"/>
                <w:sz w:val="18"/>
                <w:szCs w:val="18"/>
                <w:highlight w:val="none"/>
              </w:rPr>
              <w:t>需修改章节：</w:t>
            </w:r>
          </w:p>
          <w:p w14:paraId="72760274">
            <w:pPr>
              <w:widowControl/>
              <w:kinsoku w:val="0"/>
              <w:autoSpaceDE w:val="0"/>
              <w:autoSpaceDN w:val="0"/>
              <w:snapToGrid w:val="0"/>
              <w:ind w:left="121"/>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6"/>
                <w:kern w:val="0"/>
                <w:sz w:val="18"/>
                <w:szCs w:val="18"/>
                <w:highlight w:val="none"/>
              </w:rPr>
              <w:t>具体修改意见：</w:t>
            </w:r>
          </w:p>
        </w:tc>
      </w:tr>
      <w:tr w14:paraId="1DE62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6" w:hRule="atLeast"/>
          <w:jc w:val="center"/>
        </w:trPr>
        <w:tc>
          <w:tcPr>
            <w:tcW w:w="1211" w:type="dxa"/>
            <w:tcBorders>
              <w:top w:val="single" w:color="auto" w:sz="4" w:space="0"/>
              <w:left w:val="single" w:color="auto" w:sz="12" w:space="0"/>
              <w:bottom w:val="single" w:color="auto" w:sz="4" w:space="0"/>
              <w:right w:val="single" w:color="auto" w:sz="4" w:space="0"/>
            </w:tcBorders>
            <w:vAlign w:val="center"/>
          </w:tcPr>
          <w:p w14:paraId="2534FA1C">
            <w:pPr>
              <w:widowControl/>
              <w:kinsoku w:val="0"/>
              <w:autoSpaceDE w:val="0"/>
              <w:autoSpaceDN w:val="0"/>
              <w:snapToGrid w:val="0"/>
              <w:ind w:left="132"/>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7"/>
                <w:kern w:val="0"/>
                <w:sz w:val="18"/>
                <w:szCs w:val="18"/>
                <w:highlight w:val="none"/>
              </w:rPr>
              <w:t>反馈渠道</w:t>
            </w:r>
          </w:p>
        </w:tc>
        <w:tc>
          <w:tcPr>
            <w:tcW w:w="7846" w:type="dxa"/>
            <w:gridSpan w:val="5"/>
            <w:tcBorders>
              <w:top w:val="single" w:color="000000" w:sz="2" w:space="0"/>
              <w:left w:val="single" w:color="auto" w:sz="4" w:space="0"/>
              <w:bottom w:val="single" w:color="000000" w:sz="2" w:space="0"/>
              <w:right w:val="single" w:color="auto" w:sz="4" w:space="0"/>
            </w:tcBorders>
            <w:vAlign w:val="center"/>
          </w:tcPr>
          <w:p w14:paraId="0C4D2769">
            <w:pPr>
              <w:widowControl/>
              <w:kinsoku w:val="0"/>
              <w:autoSpaceDE w:val="0"/>
              <w:autoSpaceDN w:val="0"/>
              <w:snapToGrid w:val="0"/>
              <w:spacing w:line="240" w:lineRule="auto"/>
              <w:ind w:left="124"/>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41" name="图片 14" descr="C:\Users\ADMINI~1.USE\AppData\Local\Temp\ksohtml11916\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 descr="C:\Users\ADMINI~1.USE\AppData\Local\Temp\ksohtml11916\wps12.png"/>
                          <pic:cNvPicPr>
                            <a:picLocks noChangeAspect="1" noChangeArrowheads="1"/>
                          </pic:cNvPicPr>
                        </pic:nvPicPr>
                        <pic:blipFill>
                          <a:blip r:embed="rId27"/>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2"/>
                <w:kern w:val="0"/>
                <w:sz w:val="18"/>
                <w:szCs w:val="18"/>
                <w:highlight w:val="none"/>
              </w:rPr>
              <w:t>标准化行政主管部门</w:t>
            </w:r>
          </w:p>
          <w:p w14:paraId="12A50FAD">
            <w:pPr>
              <w:widowControl/>
              <w:kinsoku w:val="0"/>
              <w:autoSpaceDE w:val="0"/>
              <w:autoSpaceDN w:val="0"/>
              <w:snapToGrid w:val="0"/>
              <w:spacing w:line="240" w:lineRule="auto"/>
              <w:ind w:left="124"/>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44" name="图片 15" descr="C:\Users\ADMINI~1.USE\AppData\Local\Temp\ksohtml11916\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5" descr="C:\Users\ADMINI~1.USE\AppData\Local\Temp\ksohtml11916\wps13.png"/>
                          <pic:cNvPicPr>
                            <a:picLocks noChangeAspect="1" noChangeArrowheads="1"/>
                          </pic:cNvPicPr>
                        </pic:nvPicPr>
                        <pic:blipFill>
                          <a:blip r:embed="rId28"/>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2"/>
                <w:kern w:val="0"/>
                <w:sz w:val="18"/>
                <w:szCs w:val="18"/>
                <w:highlight w:val="none"/>
              </w:rPr>
              <w:t>省直行业主管部门</w:t>
            </w:r>
          </w:p>
          <w:p w14:paraId="2B60767F">
            <w:pPr>
              <w:widowControl/>
              <w:kinsoku w:val="0"/>
              <w:autoSpaceDE w:val="0"/>
              <w:autoSpaceDN w:val="0"/>
              <w:snapToGrid w:val="0"/>
              <w:spacing w:line="240" w:lineRule="auto"/>
              <w:ind w:left="124"/>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47" name="图片 16" descr="C:\Users\ADMINI~1.USE\AppData\Local\Temp\ksohtml11916\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6" descr="C:\Users\ADMINI~1.USE\AppData\Local\Temp\ksohtml11916\wps14.png"/>
                          <pic:cNvPicPr>
                            <a:picLocks noChangeAspect="1" noChangeArrowheads="1"/>
                          </pic:cNvPicPr>
                        </pic:nvPicPr>
                        <pic:blipFill>
                          <a:blip r:embed="rId27"/>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0"/>
                <w:kern w:val="0"/>
                <w:sz w:val="18"/>
                <w:szCs w:val="18"/>
                <w:highlight w:val="none"/>
              </w:rPr>
              <w:t>专业标准化技术委员会（工作组）</w:t>
            </w:r>
          </w:p>
          <w:p w14:paraId="7D80FD29">
            <w:pPr>
              <w:widowControl/>
              <w:kinsoku w:val="0"/>
              <w:autoSpaceDE w:val="0"/>
              <w:autoSpaceDN w:val="0"/>
              <w:snapToGrid w:val="0"/>
              <w:spacing w:line="240" w:lineRule="auto"/>
              <w:ind w:left="124"/>
              <w:jc w:val="left"/>
              <w:textAlignment w:val="baseline"/>
              <w:rPr>
                <w:rFonts w:ascii="宋体" w:hAnsi="宋体" w:eastAsia="Times New Roman"/>
                <w:color w:val="000000"/>
                <w:kern w:val="0"/>
                <w:sz w:val="18"/>
                <w:szCs w:val="18"/>
                <w:highlight w:val="none"/>
              </w:rPr>
            </w:pPr>
            <w:r>
              <w:rPr>
                <w:rFonts w:ascii="宋体" w:hAnsi="宋体" w:eastAsia="Times New Roman"/>
                <w:color w:val="000000"/>
                <w:kern w:val="0"/>
                <w:sz w:val="18"/>
                <w:szCs w:val="18"/>
                <w:highlight w:val="none"/>
              </w:rPr>
              <w:drawing>
                <wp:inline distT="0" distB="0" distL="0" distR="0">
                  <wp:extent cx="114300" cy="114300"/>
                  <wp:effectExtent l="0" t="0" r="0" b="0"/>
                  <wp:docPr id="50" name="图片 17" descr="C:\Users\ADMINI~1.USE\AppData\Local\Temp\ksohtml11916\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7" descr="C:\Users\ADMINI~1.USE\AppData\Local\Temp\ksohtml11916\wps15.png"/>
                          <pic:cNvPicPr>
                            <a:picLocks noChangeAspect="1" noChangeArrowheads="1"/>
                          </pic:cNvPicPr>
                        </pic:nvPicPr>
                        <pic:blipFill>
                          <a:blip r:embed="rId27"/>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000000"/>
                <w:spacing w:val="11"/>
                <w:kern w:val="0"/>
                <w:sz w:val="18"/>
                <w:szCs w:val="18"/>
                <w:highlight w:val="none"/>
              </w:rPr>
              <w:t>标准起草组（牵头起草单位）</w:t>
            </w:r>
          </w:p>
        </w:tc>
      </w:tr>
      <w:tr w14:paraId="7253B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jc w:val="center"/>
        </w:trPr>
        <w:tc>
          <w:tcPr>
            <w:tcW w:w="1211" w:type="dxa"/>
            <w:tcBorders>
              <w:top w:val="single" w:color="auto" w:sz="4" w:space="0"/>
              <w:left w:val="single" w:color="auto" w:sz="12" w:space="0"/>
              <w:bottom w:val="single" w:color="auto" w:sz="12" w:space="0"/>
              <w:right w:val="single" w:color="auto" w:sz="4" w:space="0"/>
            </w:tcBorders>
            <w:vAlign w:val="center"/>
          </w:tcPr>
          <w:p w14:paraId="12F88F47">
            <w:pPr>
              <w:widowControl/>
              <w:kinsoku w:val="0"/>
              <w:autoSpaceDE w:val="0"/>
              <w:autoSpaceDN w:val="0"/>
              <w:snapToGrid w:val="0"/>
              <w:ind w:left="252"/>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6"/>
                <w:kern w:val="0"/>
                <w:sz w:val="18"/>
                <w:szCs w:val="18"/>
                <w:highlight w:val="none"/>
              </w:rPr>
              <w:t>反馈人</w:t>
            </w:r>
          </w:p>
        </w:tc>
        <w:tc>
          <w:tcPr>
            <w:tcW w:w="7846" w:type="dxa"/>
            <w:gridSpan w:val="5"/>
            <w:tcBorders>
              <w:top w:val="single" w:color="000000" w:sz="2" w:space="0"/>
              <w:left w:val="single" w:color="auto" w:sz="4" w:space="0"/>
              <w:bottom w:val="single" w:color="auto" w:sz="12" w:space="0"/>
              <w:right w:val="single" w:color="auto" w:sz="12" w:space="0"/>
            </w:tcBorders>
            <w:vAlign w:val="center"/>
          </w:tcPr>
          <w:p w14:paraId="332E62EA">
            <w:pPr>
              <w:widowControl/>
              <w:kinsoku w:val="0"/>
              <w:autoSpaceDE w:val="0"/>
              <w:autoSpaceDN w:val="0"/>
              <w:snapToGrid w:val="0"/>
              <w:ind w:left="113"/>
              <w:jc w:val="left"/>
              <w:textAlignment w:val="baseline"/>
              <w:rPr>
                <w:rFonts w:ascii="宋体" w:hAnsi="宋体" w:eastAsia="Times New Roman"/>
                <w:color w:val="000000"/>
                <w:kern w:val="0"/>
                <w:sz w:val="18"/>
                <w:szCs w:val="18"/>
                <w:highlight w:val="none"/>
              </w:rPr>
            </w:pPr>
            <w:r>
              <w:rPr>
                <w:rFonts w:hint="eastAsia" w:ascii="宋体" w:hAnsi="宋体" w:eastAsia="Times New Roman"/>
                <w:color w:val="000000"/>
                <w:spacing w:val="2"/>
                <w:kern w:val="0"/>
                <w:sz w:val="18"/>
                <w:szCs w:val="18"/>
                <w:highlight w:val="none"/>
              </w:rPr>
              <w:t>姓名：</w:t>
            </w:r>
            <w:r>
              <w:rPr>
                <w:rFonts w:hint="eastAsia" w:ascii="宋体" w:hAnsi="宋体" w:eastAsia="Times New Roman"/>
                <w:color w:val="000000"/>
                <w:spacing w:val="8"/>
                <w:kern w:val="0"/>
                <w:sz w:val="18"/>
                <w:szCs w:val="18"/>
                <w:highlight w:val="none"/>
              </w:rPr>
              <w:t xml:space="preserve">           </w:t>
            </w:r>
            <w:r>
              <w:rPr>
                <w:rFonts w:hint="eastAsia" w:ascii="宋体" w:hAnsi="宋体" w:eastAsia="Times New Roman"/>
                <w:color w:val="000000"/>
                <w:spacing w:val="2"/>
                <w:kern w:val="0"/>
                <w:sz w:val="18"/>
                <w:szCs w:val="18"/>
                <w:highlight w:val="none"/>
              </w:rPr>
              <w:t>单位：</w:t>
            </w:r>
            <w:r>
              <w:rPr>
                <w:rFonts w:hint="eastAsia" w:ascii="宋体" w:hAnsi="宋体" w:eastAsia="Times New Roman"/>
                <w:color w:val="000000"/>
                <w:spacing w:val="1"/>
                <w:kern w:val="0"/>
                <w:sz w:val="18"/>
                <w:szCs w:val="18"/>
                <w:highlight w:val="none"/>
              </w:rPr>
              <w:t xml:space="preserve">                      </w:t>
            </w:r>
            <w:r>
              <w:rPr>
                <w:rFonts w:hint="eastAsia" w:ascii="宋体" w:hAnsi="宋体" w:eastAsia="Times New Roman"/>
                <w:color w:val="000000"/>
                <w:spacing w:val="2"/>
                <w:kern w:val="0"/>
                <w:sz w:val="18"/>
                <w:szCs w:val="18"/>
                <w:highlight w:val="none"/>
              </w:rPr>
              <w:t>联系方式：</w:t>
            </w:r>
          </w:p>
        </w:tc>
      </w:tr>
    </w:tbl>
    <w:p w14:paraId="79DED927">
      <w:pPr>
        <w:ind w:firstLine="360" w:firstLineChars="200"/>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p>
    <w:p w14:paraId="6E92B228">
      <w:pPr>
        <w:rPr>
          <w:rFonts w:hint="eastAsia" w:ascii="宋体" w:hAnsi="宋体" w:cs="宋体"/>
          <w:color w:val="000000"/>
          <w:sz w:val="18"/>
          <w:szCs w:val="18"/>
          <w:highlight w:val="none"/>
        </w:rPr>
      </w:pPr>
      <w:r>
        <w:rPr>
          <w:rFonts w:hint="eastAsia" w:ascii="宋体" w:hAnsi="宋体" w:cs="宋体"/>
          <w:color w:val="000000"/>
          <w:sz w:val="18"/>
          <w:szCs w:val="18"/>
          <w:highlight w:val="none"/>
        </w:rPr>
        <w:br w:type="page"/>
      </w:r>
    </w:p>
    <w:p w14:paraId="65C623F5">
      <w:pPr>
        <w:pStyle w:val="55"/>
        <w:spacing w:after="156"/>
      </w:pPr>
      <w:bookmarkStart w:id="64" w:name="_Toc200016695"/>
      <w:bookmarkStart w:id="65" w:name="_Toc200016615"/>
      <w:bookmarkStart w:id="66" w:name="_Toc3090"/>
      <w:r>
        <w:rPr>
          <w:rFonts w:hint="eastAsia"/>
          <w:spacing w:val="105"/>
        </w:rPr>
        <w:t>参考文</w:t>
      </w:r>
      <w:r>
        <w:rPr>
          <w:rFonts w:hint="eastAsia"/>
        </w:rPr>
        <w:t>献</w:t>
      </w:r>
      <w:bookmarkEnd w:id="64"/>
      <w:bookmarkEnd w:id="65"/>
      <w:bookmarkEnd w:id="66"/>
    </w:p>
    <w:p w14:paraId="069257B3">
      <w:pPr>
        <w:pStyle w:val="44"/>
        <w:ind w:firstLine="420"/>
        <w:rPr>
          <w:rFonts w:hint="eastAsia"/>
        </w:rPr>
      </w:pPr>
      <w:r>
        <w:rPr>
          <w:rFonts w:hint="eastAsia"/>
        </w:rPr>
        <w:t>[</w:t>
      </w:r>
      <w:r>
        <w:t xml:space="preserve">1] </w:t>
      </w:r>
      <w:r>
        <w:rPr>
          <w:rFonts w:hint="eastAsia"/>
        </w:rPr>
        <w:t>TD/T 1063-2021  国土空间规划城市体检评估规程</w:t>
      </w:r>
    </w:p>
    <w:p w14:paraId="6CB83708">
      <w:pPr>
        <w:pStyle w:val="44"/>
        <w:ind w:firstLine="420"/>
        <w:rPr>
          <w:rFonts w:hint="eastAsia"/>
        </w:rPr>
      </w:pPr>
      <w:r>
        <w:rPr>
          <w:rFonts w:hint="eastAsia"/>
        </w:rPr>
        <w:t>[</w:t>
      </w:r>
      <w:r>
        <w:rPr>
          <w:rFonts w:hint="eastAsia"/>
          <w:lang w:val="en-US" w:eastAsia="zh-CN"/>
        </w:rPr>
        <w:t>2</w:t>
      </w:r>
      <w:r>
        <w:t xml:space="preserve">] </w:t>
      </w:r>
      <w:r>
        <w:rPr>
          <w:rFonts w:hint="eastAsia"/>
        </w:rPr>
        <w:t>T/CNAEC 0504-2024  城市更新旧村（城中村）改造类项目评估工作指南</w:t>
      </w:r>
    </w:p>
    <w:p w14:paraId="4524CCB2">
      <w:pPr>
        <w:pStyle w:val="44"/>
        <w:ind w:firstLine="420"/>
        <w:rPr>
          <w:rFonts w:hint="eastAsia" w:ascii="宋体" w:hAnsi="宋体" w:cs="宋体"/>
          <w:color w:val="000000"/>
          <w:sz w:val="18"/>
          <w:szCs w:val="18"/>
          <w:highlight w:val="none"/>
        </w:rPr>
      </w:pPr>
      <w:r>
        <w:rPr>
          <w:rFonts w:hint="eastAsia"/>
        </w:rPr>
        <w:t>[</w:t>
      </w:r>
      <w:r>
        <w:rPr>
          <w:rFonts w:hint="eastAsia"/>
          <w:lang w:val="en-US" w:eastAsia="zh-CN"/>
        </w:rPr>
        <w:t>3</w:t>
      </w:r>
      <w:r>
        <w:t xml:space="preserve">] </w:t>
      </w:r>
      <w:r>
        <w:rPr>
          <w:rFonts w:hint="eastAsia"/>
        </w:rPr>
        <w:t>DB42/T 2390-2025  城市更新规划编制</w:t>
      </w:r>
      <w:bookmarkStart w:id="67" w:name="_GoBack"/>
      <w:bookmarkEnd w:id="67"/>
      <w:r>
        <w:rPr>
          <w:rFonts w:hint="eastAsia"/>
        </w:rPr>
        <w:t>技术规程</w:t>
      </w:r>
    </w:p>
    <w:p w14:paraId="7BBC553F">
      <w:pPr>
        <w:pStyle w:val="44"/>
        <w:ind w:firstLine="0" w:firstLineChars="0"/>
        <w:jc w:val="center"/>
        <w:rPr>
          <w:rFonts w:hint="eastAsia"/>
          <w:highlight w:val="none"/>
        </w:rPr>
      </w:pPr>
      <w:r>
        <w:rPr>
          <w:rFonts w:hint="eastAsia"/>
          <w:highlight w:val="none"/>
        </w:rPr>
        <w:drawing>
          <wp:inline distT="0" distB="0" distL="0" distR="0">
            <wp:extent cx="1485900" cy="317500"/>
            <wp:effectExtent l="0" t="0" r="0" b="6350"/>
            <wp:docPr id="53" name="图片 1"/>
            <wp:cNvGraphicFramePr/>
            <a:graphic xmlns:a="http://schemas.openxmlformats.org/drawingml/2006/main">
              <a:graphicData uri="http://schemas.openxmlformats.org/drawingml/2006/picture">
                <pic:pic xmlns:pic="http://schemas.openxmlformats.org/drawingml/2006/picture">
                  <pic:nvPicPr>
                    <pic:cNvPr id="53" name="图片 1"/>
                    <pic:cNvPicPr/>
                  </pic:nvPicPr>
                  <pic:blipFill>
                    <a:blip r:embed="rId29"/>
                    <a:stretch>
                      <a:fillRect/>
                    </a:stretch>
                  </pic:blipFill>
                  <pic:spPr>
                    <a:xfrm>
                      <a:off x="0" y="0"/>
                      <a:ext cx="1485900" cy="317500"/>
                    </a:xfrm>
                    <a:prstGeom prst="rect">
                      <a:avLst/>
                    </a:prstGeom>
                  </pic:spPr>
                </pic:pic>
              </a:graphicData>
            </a:graphic>
          </wp:inline>
        </w:drawing>
      </w:r>
    </w:p>
    <w:p w14:paraId="1ED0BFBC">
      <w:pPr>
        <w:pStyle w:val="44"/>
        <w:ind w:firstLine="0" w:firstLineChars="0"/>
        <w:jc w:val="center"/>
        <w:rPr>
          <w:rFonts w:hint="eastAsia"/>
          <w:highlight w:val="none"/>
        </w:rPr>
      </w:pPr>
    </w:p>
    <w:sectPr>
      <w:footerReference r:id="rId21" w:type="default"/>
      <w:footerReference r:id="rId22" w:type="even"/>
      <w:pgSz w:w="11906" w:h="16838"/>
      <w:pgMar w:top="1928" w:right="1134" w:bottom="1134" w:left="1134" w:header="1417" w:footer="1134" w:gutter="0"/>
      <w:pgNumType w:fmt="upperRoman"/>
      <w:cols w:space="720" w:num="1"/>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4DAFC">
    <w:pPr>
      <w:pStyle w:val="20"/>
    </w:pPr>
    <w: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62"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44847">
                          <w:pPr>
                            <w:pStyle w:val="20"/>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8"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7x67Q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3vHrtCwCAABXBAAADgAAAAAAAAABACAAAAAfAQAAZHJzL2Uyb0RvYy54bWxQSwUGAAAAAAYA&#10;BgBZAQAAvQUAAAAA&#10;">
              <v:fill on="f" focussize="0,0"/>
              <v:stroke on="f" weight="0.5pt"/>
              <v:imagedata o:title=""/>
              <o:lock v:ext="edit" aspectratio="f"/>
              <v:textbox inset="0mm,0mm,0mm,0mm" style="mso-fit-shape-to-text:t;">
                <w:txbxContent>
                  <w:p w14:paraId="35444847">
                    <w:pPr>
                      <w:pStyle w:val="20"/>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B8860">
    <w:pPr>
      <w:pStyle w:val="20"/>
    </w:pPr>
    <w: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58"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D7428">
                          <w:pPr>
                            <w:pStyle w:val="20"/>
                          </w:pPr>
                          <w:r>
                            <w:fldChar w:fldCharType="begin"/>
                          </w:r>
                          <w:r>
                            <w:instrText xml:space="preserve"> PAGE  \* MERGEFORMAT </w:instrText>
                          </w:r>
                          <w:r>
                            <w:fldChar w:fldCharType="separate"/>
                          </w:r>
                          <w:r>
                            <w:t>VIII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2" o:spid="_x0000_s1026" o:spt="202" type="#_x0000_t202" style="position:absolute;left:0pt;margin-top:0pt;height:144pt;width:144pt;mso-position-horizontal:lef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C4ug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C4ugtAgAAVwQAAA4AAAAAAAAAAQAgAAAAHwEAAGRycy9lMm9Eb2MueG1sUEsFBgAAAAAG&#10;AAYAWQEAAL4FAAAAAA==&#10;">
              <v:fill on="f" focussize="0,0"/>
              <v:stroke on="f" weight="0.5pt"/>
              <v:imagedata o:title=""/>
              <o:lock v:ext="edit" aspectratio="f"/>
              <v:textbox inset="0mm,0mm,0mm,0mm" style="mso-fit-shape-to-text:t;">
                <w:txbxContent>
                  <w:p w14:paraId="4C3D7428">
                    <w:pPr>
                      <w:pStyle w:val="20"/>
                    </w:pPr>
                    <w:r>
                      <w:fldChar w:fldCharType="begin"/>
                    </w:r>
                    <w:r>
                      <w:instrText xml:space="preserve"> PAGE  \* MERGEFORMAT </w:instrText>
                    </w:r>
                    <w:r>
                      <w:fldChar w:fldCharType="separate"/>
                    </w:r>
                    <w:r>
                      <w:t>VIII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8793314"/>
      <w:docPartObj>
        <w:docPartGallery w:val="autotext"/>
      </w:docPartObj>
    </w:sdtPr>
    <w:sdtContent>
      <w:p w14:paraId="2611165B">
        <w:pPr>
          <w:pStyle w:val="20"/>
        </w:pPr>
        <w:r>
          <w:fldChar w:fldCharType="begin"/>
        </w:r>
        <w:r>
          <w:instrText xml:space="preserve">PAGE   \* MERGEFORMAT</w:instrText>
        </w:r>
        <w:r>
          <w:fldChar w:fldCharType="separate"/>
        </w:r>
        <w:r>
          <w:rPr>
            <w:lang w:val="zh-CN"/>
          </w:rPr>
          <w:t>V</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3406298"/>
      <w:docPartObj>
        <w:docPartGallery w:val="autotext"/>
      </w:docPartObj>
    </w:sdtPr>
    <w:sdtContent>
      <w:p w14:paraId="54D36639">
        <w:pPr>
          <w:pStyle w:val="20"/>
          <w:ind w:right="720"/>
          <w:jc w:val="both"/>
        </w:pPr>
        <w:r>
          <w:fldChar w:fldCharType="begin"/>
        </w:r>
        <w:r>
          <w:instrText xml:space="preserve">PAGE   \* MERGEFORMAT</w:instrText>
        </w:r>
        <w:r>
          <w:fldChar w:fldCharType="separate"/>
        </w:r>
        <w:r>
          <w:rPr>
            <w:lang w:val="zh-CN"/>
          </w:rPr>
          <w:t>II</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4314337"/>
      <w:docPartObj>
        <w:docPartGallery w:val="autotext"/>
      </w:docPartObj>
    </w:sdtPr>
    <w:sdtContent>
      <w:p w14:paraId="3926F2A7">
        <w:pPr>
          <w:pStyle w:val="20"/>
        </w:pPr>
        <w:r>
          <w:fldChar w:fldCharType="begin"/>
        </w:r>
        <w:r>
          <w:instrText xml:space="preserve">PAGE   \* MERGEFORMAT</w:instrText>
        </w:r>
        <w:r>
          <w:fldChar w:fldCharType="separate"/>
        </w:r>
        <w:r>
          <w:rPr>
            <w:lang w:val="zh-CN"/>
          </w:rPr>
          <w:t>I</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0709937"/>
      <w:docPartObj>
        <w:docPartGallery w:val="autotext"/>
      </w:docPartObj>
    </w:sdtPr>
    <w:sdtContent>
      <w:p w14:paraId="728D4A7A">
        <w:pPr>
          <w:pStyle w:val="20"/>
          <w:jc w:val="left"/>
        </w:pPr>
        <w:r>
          <w:fldChar w:fldCharType="begin"/>
        </w:r>
        <w:r>
          <w:instrText xml:space="preserve">PAGE   \* MERGEFORMAT</w:instrText>
        </w:r>
        <w:r>
          <w:fldChar w:fldCharType="separate"/>
        </w:r>
        <w:r>
          <w:rPr>
            <w:lang w:val="zh-CN"/>
          </w:rPr>
          <w:t>IV</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9222356"/>
      <w:docPartObj>
        <w:docPartGallery w:val="autotext"/>
      </w:docPartObj>
    </w:sdtPr>
    <w:sdtContent>
      <w:p w14:paraId="5EF4AA58">
        <w:pPr>
          <w:pStyle w:val="20"/>
        </w:pPr>
        <w:r>
          <w:fldChar w:fldCharType="begin"/>
        </w:r>
        <w:r>
          <w:instrText xml:space="preserve">PAGE   \* MERGEFORMAT</w:instrText>
        </w:r>
        <w:r>
          <w:fldChar w:fldCharType="separate"/>
        </w:r>
        <w:r>
          <w:rPr>
            <w:lang w:val="zh-CN"/>
          </w:rPr>
          <w:t>7</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D2FCE">
    <w:pPr>
      <w:pStyle w:val="20"/>
    </w:pPr>
    <w: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174625" cy="1828800"/>
              <wp:effectExtent l="0" t="0" r="0" b="0"/>
              <wp:wrapNone/>
              <wp:docPr id="56" name="文本框 23"/>
              <wp:cNvGraphicFramePr/>
              <a:graphic xmlns:a="http://schemas.openxmlformats.org/drawingml/2006/main">
                <a:graphicData uri="http://schemas.microsoft.com/office/word/2010/wordprocessingShape">
                  <wps:wsp>
                    <wps:cNvSpPr txBox="1"/>
                    <wps:spPr>
                      <a:xfrm>
                        <a:off x="0" y="0"/>
                        <a:ext cx="174458"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9DD92">
                          <w:pPr>
                            <w:pStyle w:val="20"/>
                            <w:jc w:val="left"/>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文本框 23" o:spid="_x0000_s1026" o:spt="202" type="#_x0000_t202" style="position:absolute;left:0pt;margin-top:0pt;height:144pt;width:13.75pt;mso-position-horizontal:left;mso-position-horizontal-relative:margin;z-index:251664384;mso-width-relative:page;mso-height-relative:page;" filled="f" stroked="f" coordsize="21600,21600" o:gfxdata="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EUHjTAAAABAEAAA8AAAAAAAAAAQAgAAAAIgAAAGRycy9kb3ducmV2LnhtbFBL&#10;AQIUABQAAAAIAIdO4kCvS7mTNAIAAFgEAAAOAAAAAAAAAAEAIAAAACIBAABkcnMvZTJvRG9jLnht&#10;bFBLBQYAAAAABgAGAFkBAADIBQAAAAA=&#10;">
              <v:fill on="f" focussize="0,0"/>
              <v:stroke on="f" weight="0.5pt"/>
              <v:imagedata o:title=""/>
              <o:lock v:ext="edit" aspectratio="f"/>
              <v:textbox inset="0mm,0mm,0mm,0mm" style="mso-fit-shape-to-text:t;">
                <w:txbxContent>
                  <w:p w14:paraId="08F9DD92">
                    <w:pPr>
                      <w:pStyle w:val="20"/>
                      <w:jc w:val="left"/>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2152863"/>
      <w:docPartObj>
        <w:docPartGallery w:val="autotext"/>
      </w:docPartObj>
    </w:sdtPr>
    <w:sdtContent>
      <w:p w14:paraId="13BD7C5F">
        <w:pPr>
          <w:pStyle w:val="20"/>
        </w:pPr>
        <w:r>
          <w:fldChar w:fldCharType="begin"/>
        </w:r>
        <w:r>
          <w:instrText xml:space="preserve">PAGE   \* MERGEFORMAT</w:instrText>
        </w:r>
        <w:r>
          <w:fldChar w:fldCharType="separate"/>
        </w:r>
        <w:r>
          <w:rPr>
            <w:lang w:val="zh-CN"/>
          </w:rPr>
          <w:t>1</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796E7">
    <w:pPr>
      <w:pStyle w:val="20"/>
    </w:pPr>
    <w: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407035" cy="219075"/>
              <wp:effectExtent l="0" t="0" r="0" b="0"/>
              <wp:wrapNone/>
              <wp:docPr id="60" name="文本框 21"/>
              <wp:cNvGraphicFramePr/>
              <a:graphic xmlns:a="http://schemas.openxmlformats.org/drawingml/2006/main">
                <a:graphicData uri="http://schemas.microsoft.com/office/word/2010/wordprocessingShape">
                  <wps:wsp>
                    <wps:cNvSpPr txBox="1"/>
                    <wps:spPr>
                      <a:xfrm>
                        <a:off x="0" y="0"/>
                        <a:ext cx="407035" cy="219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A320F">
                          <w:pPr>
                            <w:pStyle w:val="20"/>
                          </w:pPr>
                          <w:r>
                            <w:fldChar w:fldCharType="begin"/>
                          </w:r>
                          <w:r>
                            <w:instrText xml:space="preserve">PAGE   \* MERGEFORMAT</w:instrText>
                          </w:r>
                          <w:r>
                            <w:fldChar w:fldCharType="separate"/>
                          </w:r>
                          <w:r>
                            <w:rPr>
                              <w:lang w:val="zh-CN"/>
                            </w:rPr>
                            <w:t>XIII</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21" o:spid="_x0000_s1026" o:spt="202" type="#_x0000_t202" style="position:absolute;left:0pt;margin-top:0pt;height:17.25pt;width:32.05pt;mso-position-horizontal:left;mso-position-horizontal-relative:margin;z-index:251662336;mso-width-relative:page;mso-height-relative:page;" filled="f" stroked="f" coordsize="21600,21600" o:gfxdata="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VSAq9QAAAADAQAADwAAAAAAAAABACAAAAAiAAAAZHJzL2Rvd25yZXYueG1sUEsB&#10;AhQAFAAAAAgAh07iQL6wVwYyAgAAVwQAAA4AAAAAAAAAAQAgAAAAIwEAAGRycy9lMm9Eb2MueG1s&#10;UEsFBgAAAAAGAAYAWQEAAMcFAAAAAA==&#10;">
              <v:fill on="f" focussize="0,0"/>
              <v:stroke on="f" weight="0.5pt"/>
              <v:imagedata o:title=""/>
              <o:lock v:ext="edit" aspectratio="f"/>
              <v:textbox inset="0mm,0mm,0mm,0mm">
                <w:txbxContent>
                  <w:p w14:paraId="668A320F">
                    <w:pPr>
                      <w:pStyle w:val="20"/>
                    </w:pPr>
                    <w:r>
                      <w:fldChar w:fldCharType="begin"/>
                    </w:r>
                    <w:r>
                      <w:instrText xml:space="preserve">PAGE   \* MERGEFORMAT</w:instrText>
                    </w:r>
                    <w:r>
                      <w:fldChar w:fldCharType="separate"/>
                    </w:r>
                    <w:r>
                      <w:rPr>
                        <w:lang w:val="zh-CN"/>
                      </w:rPr>
                      <w:t>XIII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D5DF4">
    <w:pPr>
      <w:pStyle w:val="21"/>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07D9">
    <w:pPr>
      <w:pStyle w:val="158"/>
    </w:pPr>
    <w:r>
      <w:fldChar w:fldCharType="begin"/>
    </w:r>
    <w:r>
      <w:instrText xml:space="preserve"> STYLEREF  标准文件_文件编号  \* MERGEFORMAT </w:instrText>
    </w:r>
    <w:r>
      <w:fldChar w:fldCharType="separate"/>
    </w:r>
    <w:r>
      <w:t>DB42/T XXXX—XXXX</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91EE5">
    <w:pPr>
      <w:pStyle w:val="194"/>
    </w:pPr>
    <w:r>
      <w:fldChar w:fldCharType="begin"/>
    </w:r>
    <w:r>
      <w:instrText xml:space="preserve"> STYLEREF  标准文件_文件编号 \* MERGEFORMAT </w:instrText>
    </w:r>
    <w:r>
      <w:fldChar w:fldCharType="separate"/>
    </w:r>
    <w:r>
      <w:t>DB42/T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EB97C">
    <w:pPr>
      <w:pStyle w:val="194"/>
    </w:pPr>
    <w:r>
      <w:fldChar w:fldCharType="begin"/>
    </w:r>
    <w:r>
      <w:instrText xml:space="preserve"> STYLEREF  标准文件_文件编号 \* MERGEFORMAT </w:instrText>
    </w:r>
    <w:r>
      <w:fldChar w:fldCharType="separate"/>
    </w:r>
    <w:r>
      <w:t>DB42/T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5724B">
    <w:pPr>
      <w:pStyle w:val="194"/>
      <w:jc w:val="right"/>
    </w:pPr>
    <w:r>
      <w:fldChar w:fldCharType="begin"/>
    </w:r>
    <w:r>
      <w:instrText xml:space="preserve"> STYLEREF  标准文件_文件编号 \* MERGEFORMAT </w:instrText>
    </w:r>
    <w:r>
      <w:fldChar w:fldCharType="separate"/>
    </w:r>
    <w:r>
      <w:t>DB42/T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9DBC3">
    <w:pPr>
      <w:pStyle w:val="158"/>
    </w:pPr>
    <w:r>
      <w:fldChar w:fldCharType="begin"/>
    </w:r>
    <w:r>
      <w:instrText xml:space="preserve"> STYLEREF  标准文件_文件编号  \* MERGEFORMAT </w:instrText>
    </w:r>
    <w:r>
      <w:fldChar w:fldCharType="separate"/>
    </w:r>
    <w:r>
      <w:t>DB42/T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00283">
    <w:r>
      <w:fldChar w:fldCharType="begin"/>
    </w:r>
    <w:r>
      <w:instrText xml:space="preserve"> STYLEREF  标准文件_文件编号  \* MERGEFORMAT </w:instrText>
    </w:r>
    <w:r>
      <w:fldChar w:fldCharType="separate"/>
    </w:r>
    <w:r>
      <w:t>DB42/T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FC505">
    <w:pPr>
      <w:pStyle w:val="158"/>
    </w:pPr>
    <w:r>
      <w:fldChar w:fldCharType="begin"/>
    </w:r>
    <w:r>
      <w:instrText xml:space="preserve"> STYLEREF  标准文件_文件编号  \* MERGEFORMAT </w:instrText>
    </w:r>
    <w:r>
      <w:fldChar w:fldCharType="separate"/>
    </w:r>
    <w:r>
      <w:t>DB42/T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82267"/>
    <w:multiLevelType w:val="multilevel"/>
    <w:tmpl w:val="83982267"/>
    <w:lvl w:ilvl="0" w:tentative="0">
      <w:start w:val="1"/>
      <w:numFmt w:val="decimal"/>
      <w:lvlText w:val="%1."/>
      <w:lvlJc w:val="left"/>
      <w:pPr>
        <w:ind w:left="1050" w:hanging="420"/>
      </w:p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1">
    <w:nsid w:val="8C15DB49"/>
    <w:multiLevelType w:val="multilevel"/>
    <w:tmpl w:val="8C15DB49"/>
    <w:lvl w:ilvl="0" w:tentative="0">
      <w:start w:val="1"/>
      <w:numFmt w:val="decimal"/>
      <w:lvlText w:val="%1."/>
      <w:lvlJc w:val="left"/>
      <w:pPr>
        <w:ind w:left="1050" w:hanging="420"/>
      </w:p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2">
    <w:nsid w:val="901B0C6D"/>
    <w:multiLevelType w:val="singleLevel"/>
    <w:tmpl w:val="901B0C6D"/>
    <w:lvl w:ilvl="0" w:tentative="0">
      <w:start w:val="1"/>
      <w:numFmt w:val="decimal"/>
      <w:pStyle w:val="262"/>
      <w:suff w:val="nothing"/>
      <w:lvlText w:val="%1）"/>
      <w:lvlJc w:val="left"/>
    </w:lvl>
  </w:abstractNum>
  <w:abstractNum w:abstractNumId="3">
    <w:nsid w:val="02837933"/>
    <w:multiLevelType w:val="multilevel"/>
    <w:tmpl w:val="02837933"/>
    <w:lvl w:ilvl="0" w:tentative="0">
      <w:start w:val="1"/>
      <w:numFmt w:val="decimal"/>
      <w:pStyle w:val="8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89"/>
      <w:suff w:val="nothing"/>
      <w:lvlText w:val="%1%2.%3　"/>
      <w:lvlJc w:val="left"/>
      <w:pPr>
        <w:ind w:left="0" w:firstLine="0"/>
      </w:pPr>
    </w:lvl>
    <w:lvl w:ilvl="3" w:tentative="0">
      <w:start w:val="1"/>
      <w:numFmt w:val="decimal"/>
      <w:pStyle w:val="96"/>
      <w:suff w:val="nothing"/>
      <w:lvlText w:val="%1%2.%3.%4　"/>
      <w:lvlJc w:val="left"/>
      <w:pPr>
        <w:ind w:left="0" w:firstLine="0"/>
      </w:pPr>
    </w:lvl>
    <w:lvl w:ilvl="4" w:tentative="0">
      <w:start w:val="1"/>
      <w:numFmt w:val="decimal"/>
      <w:pStyle w:val="226"/>
      <w:suff w:val="nothing"/>
      <w:lvlText w:val="%1%2.%3.%4.%5　"/>
      <w:lvlJc w:val="left"/>
      <w:pPr>
        <w:ind w:left="0" w:firstLine="0"/>
      </w:pPr>
    </w:lvl>
    <w:lvl w:ilvl="5" w:tentative="0">
      <w:start w:val="1"/>
      <w:numFmt w:val="decimal"/>
      <w:pStyle w:val="67"/>
      <w:suff w:val="nothing"/>
      <w:lvlText w:val="%1%2.%3.%4.%5.%6　"/>
      <w:lvlJc w:val="left"/>
      <w:pPr>
        <w:ind w:left="0" w:firstLine="0"/>
      </w:pPr>
    </w:lvl>
    <w:lvl w:ilvl="6" w:tentative="0">
      <w:start w:val="1"/>
      <w:numFmt w:val="decimal"/>
      <w:pStyle w:val="195"/>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079102AD"/>
    <w:multiLevelType w:val="multilevel"/>
    <w:tmpl w:val="079102AD"/>
    <w:lvl w:ilvl="0" w:tentative="0">
      <w:start w:val="1"/>
      <w:numFmt w:val="decimal"/>
      <w:pStyle w:val="117"/>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244"/>
      <w:suff w:val="nothing"/>
      <w:lvlText w:val="%10.%2 "/>
      <w:lvlJc w:val="left"/>
      <w:pPr>
        <w:ind w:left="0" w:firstLine="0"/>
      </w:pPr>
      <w:rPr>
        <w:rFonts w:hint="eastAsia" w:ascii="黑体" w:eastAsia="黑体" w:hAnsiTheme="minorHAnsi"/>
        <w:b w:val="0"/>
        <w:i w:val="0"/>
        <w:sz w:val="21"/>
      </w:rPr>
    </w:lvl>
    <w:lvl w:ilvl="2" w:tentative="0">
      <w:start w:val="1"/>
      <w:numFmt w:val="decimal"/>
      <w:pStyle w:val="65"/>
      <w:suff w:val="nothing"/>
      <w:lvlText w:val="%10.%2.%3 "/>
      <w:lvlJc w:val="left"/>
      <w:pPr>
        <w:ind w:left="0" w:firstLine="0"/>
      </w:pPr>
      <w:rPr>
        <w:rFonts w:hint="eastAsia" w:ascii="黑体" w:eastAsia="黑体" w:hAnsiTheme="minorHAnsi"/>
        <w:b w:val="0"/>
        <w:i w:val="0"/>
        <w:sz w:val="21"/>
      </w:rPr>
    </w:lvl>
    <w:lvl w:ilvl="3" w:tentative="0">
      <w:start w:val="1"/>
      <w:numFmt w:val="decimal"/>
      <w:pStyle w:val="198"/>
      <w:suff w:val="nothing"/>
      <w:lvlText w:val="%10.%2.%3.%4 "/>
      <w:lvlJc w:val="left"/>
      <w:pPr>
        <w:ind w:left="0" w:firstLine="0"/>
      </w:pPr>
      <w:rPr>
        <w:rFonts w:hint="eastAsia" w:ascii="黑体" w:eastAsia="黑体" w:hAnsiTheme="minorHAnsi"/>
        <w:b w:val="0"/>
        <w:i w:val="0"/>
        <w:sz w:val="21"/>
      </w:rPr>
    </w:lvl>
    <w:lvl w:ilvl="4" w:tentative="0">
      <w:start w:val="1"/>
      <w:numFmt w:val="decimal"/>
      <w:pStyle w:val="155"/>
      <w:suff w:val="nothing"/>
      <w:lvlText w:val="%10.%2.%3.%4.%5 "/>
      <w:lvlJc w:val="left"/>
      <w:pPr>
        <w:ind w:left="0" w:firstLine="0"/>
      </w:pPr>
      <w:rPr>
        <w:rFonts w:hint="eastAsia" w:ascii="黑体" w:eastAsia="黑体" w:hAnsiTheme="minorHAnsi"/>
        <w:b w:val="0"/>
        <w:i w:val="0"/>
        <w:sz w:val="21"/>
      </w:rPr>
    </w:lvl>
    <w:lvl w:ilvl="5" w:tentative="0">
      <w:start w:val="1"/>
      <w:numFmt w:val="decimal"/>
      <w:pStyle w:val="110"/>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AE367E9"/>
    <w:multiLevelType w:val="multilevel"/>
    <w:tmpl w:val="0AE367E9"/>
    <w:lvl w:ilvl="0" w:tentative="0">
      <w:start w:val="1"/>
      <w:numFmt w:val="none"/>
      <w:pStyle w:val="237"/>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19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20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7F42506"/>
    <w:multiLevelType w:val="multilevel"/>
    <w:tmpl w:val="17F42506"/>
    <w:lvl w:ilvl="0" w:tentative="0">
      <w:start w:val="1"/>
      <w:numFmt w:val="decimal"/>
      <w:pStyle w:val="105"/>
      <w:suff w:val="space"/>
      <w:lvlText w:val="%1"/>
      <w:lvlJc w:val="left"/>
      <w:pPr>
        <w:ind w:left="3118" w:firstLine="0"/>
      </w:pPr>
      <w:rPr>
        <w:rFonts w:hint="default" w:ascii="Times New Roman" w:hAnsi="Times New Roman" w:cs="Times New Roman"/>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1AD20F90"/>
    <w:multiLevelType w:val="multilevel"/>
    <w:tmpl w:val="1AD20F90"/>
    <w:lvl w:ilvl="0" w:tentative="0">
      <w:start w:val="1"/>
      <w:numFmt w:val="none"/>
      <w:pStyle w:val="15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AF15012"/>
    <w:multiLevelType w:val="multilevel"/>
    <w:tmpl w:val="1AF15012"/>
    <w:lvl w:ilvl="0" w:tentative="0">
      <w:start w:val="1"/>
      <w:numFmt w:val="upperLetter"/>
      <w:pStyle w:val="9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1EAA1992"/>
    <w:multiLevelType w:val="multilevel"/>
    <w:tmpl w:val="1EAA1992"/>
    <w:lvl w:ilvl="0" w:tentative="0">
      <w:start w:val="1"/>
      <w:numFmt w:val="none"/>
      <w:pStyle w:val="98"/>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2C5917C3"/>
    <w:multiLevelType w:val="multilevel"/>
    <w:tmpl w:val="2C5917C3"/>
    <w:lvl w:ilvl="0" w:tentative="0">
      <w:start w:val="1"/>
      <w:numFmt w:val="none"/>
      <w:pStyle w:val="24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52"/>
      <w:lvlText w:val=""/>
      <w:lvlJc w:val="left"/>
      <w:pPr>
        <w:ind w:left="851" w:hanging="431"/>
      </w:pPr>
      <w:rPr>
        <w:rFonts w:hint="default" w:ascii="Symbol" w:hAnsi="Symbol"/>
        <w:sz w:val="21"/>
      </w:rPr>
    </w:lvl>
    <w:lvl w:ilvl="2" w:tentative="0">
      <w:start w:val="1"/>
      <w:numFmt w:val="bullet"/>
      <w:pStyle w:val="130"/>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5">
    <w:nsid w:val="2F296FCC"/>
    <w:multiLevelType w:val="multilevel"/>
    <w:tmpl w:val="2F296FCC"/>
    <w:lvl w:ilvl="0" w:tentative="0">
      <w:start w:val="1"/>
      <w:numFmt w:val="decimal"/>
      <w:lvlText w:val="%1."/>
      <w:lvlJc w:val="left"/>
      <w:pPr>
        <w:ind w:left="1050" w:hanging="420"/>
      </w:p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16">
    <w:nsid w:val="32F04FB2"/>
    <w:multiLevelType w:val="multilevel"/>
    <w:tmpl w:val="32F04FB2"/>
    <w:lvl w:ilvl="0" w:tentative="0">
      <w:start w:val="1"/>
      <w:numFmt w:val="lowerLetter"/>
      <w:pStyle w:val="25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7">
    <w:nsid w:val="44C50F90"/>
    <w:multiLevelType w:val="multilevel"/>
    <w:tmpl w:val="44C50F90"/>
    <w:lvl w:ilvl="0" w:tentative="0">
      <w:start w:val="1"/>
      <w:numFmt w:val="lowerLetter"/>
      <w:pStyle w:val="256"/>
      <w:lvlText w:val="%1)"/>
      <w:lvlJc w:val="left"/>
      <w:pPr>
        <w:tabs>
          <w:tab w:val="left" w:pos="851"/>
        </w:tabs>
        <w:ind w:left="846" w:hanging="426"/>
      </w:pPr>
      <w:rPr>
        <w:rFonts w:hint="eastAsia" w:ascii="宋体" w:hAnsi="Times New Roman" w:eastAsia="宋体"/>
        <w:sz w:val="21"/>
      </w:rPr>
    </w:lvl>
    <w:lvl w:ilvl="1" w:tentative="0">
      <w:start w:val="1"/>
      <w:numFmt w:val="decimal"/>
      <w:pStyle w:val="45"/>
      <w:lvlText w:val="%2)"/>
      <w:lvlJc w:val="left"/>
      <w:pPr>
        <w:tabs>
          <w:tab w:val="left" w:pos="1276"/>
        </w:tabs>
        <w:ind w:left="1276" w:hanging="425"/>
      </w:pPr>
      <w:rPr>
        <w:rFonts w:hint="eastAsia" w:ascii="宋体" w:hAnsi="Times New Roman" w:eastAsia="宋体"/>
        <w:sz w:val="21"/>
      </w:rPr>
    </w:lvl>
    <w:lvl w:ilvl="2" w:tentative="0">
      <w:start w:val="1"/>
      <w:numFmt w:val="decimal"/>
      <w:pStyle w:val="13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48802D1C"/>
    <w:multiLevelType w:val="multilevel"/>
    <w:tmpl w:val="48802D1C"/>
    <w:lvl w:ilvl="0" w:tentative="0">
      <w:start w:val="1"/>
      <w:numFmt w:val="upperLetter"/>
      <w:pStyle w:val="22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B733A5F"/>
    <w:multiLevelType w:val="multilevel"/>
    <w:tmpl w:val="4B733A5F"/>
    <w:lvl w:ilvl="0" w:tentative="0">
      <w:start w:val="1"/>
      <w:numFmt w:val="decimal"/>
      <w:pStyle w:val="172"/>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15"/>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57C2AF5"/>
    <w:multiLevelType w:val="multilevel"/>
    <w:tmpl w:val="557C2AF5"/>
    <w:lvl w:ilvl="0" w:tentative="0">
      <w:start w:val="1"/>
      <w:numFmt w:val="decimal"/>
      <w:pStyle w:val="112"/>
      <w:suff w:val="nothing"/>
      <w:lvlText w:val="图%1　"/>
      <w:lvlJc w:val="left"/>
      <w:pPr>
        <w:ind w:left="0" w:firstLine="0"/>
      </w:pPr>
      <w:rPr>
        <w:rFonts w:ascii="黑体" w:hAnsi="黑体" w:eastAsia="黑体"/>
        <w:sz w:val="21"/>
        <w:szCs w:val="21"/>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603797C"/>
    <w:multiLevelType w:val="multilevel"/>
    <w:tmpl w:val="5603797C"/>
    <w:lvl w:ilvl="0" w:tentative="0">
      <w:start w:val="1"/>
      <w:numFmt w:val="upperLetter"/>
      <w:pStyle w:val="239"/>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564D2089"/>
    <w:multiLevelType w:val="multilevel"/>
    <w:tmpl w:val="564D2089"/>
    <w:lvl w:ilvl="0" w:tentative="0">
      <w:start w:val="1"/>
      <w:numFmt w:val="none"/>
      <w:pStyle w:val="20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5C766CD4"/>
    <w:multiLevelType w:val="multilevel"/>
    <w:tmpl w:val="5C766CD4"/>
    <w:lvl w:ilvl="0" w:tentative="0">
      <w:start w:val="1"/>
      <w:numFmt w:val="decimal"/>
      <w:lvlText w:val="%1."/>
      <w:lvlJc w:val="left"/>
      <w:pPr>
        <w:ind w:left="1050" w:hanging="420"/>
      </w:p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25">
    <w:nsid w:val="644622F9"/>
    <w:multiLevelType w:val="multilevel"/>
    <w:tmpl w:val="644622F9"/>
    <w:lvl w:ilvl="0" w:tentative="0">
      <w:start w:val="1"/>
      <w:numFmt w:val="upperRoman"/>
      <w:pStyle w:val="15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6">
    <w:nsid w:val="646260FA"/>
    <w:multiLevelType w:val="multilevel"/>
    <w:tmpl w:val="646260FA"/>
    <w:lvl w:ilvl="0" w:tentative="0">
      <w:start w:val="1"/>
      <w:numFmt w:val="decimal"/>
      <w:pStyle w:val="199"/>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7">
    <w:nsid w:val="654A26C9"/>
    <w:multiLevelType w:val="multilevel"/>
    <w:tmpl w:val="654A26C9"/>
    <w:lvl w:ilvl="0" w:tentative="0">
      <w:start w:val="1"/>
      <w:numFmt w:val="none"/>
      <w:pStyle w:val="56"/>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196"/>
      <w:suff w:val="nothing"/>
      <w:lvlText w:val="附录%1"/>
      <w:lvlJc w:val="left"/>
      <w:pPr>
        <w:ind w:left="0" w:firstLine="0"/>
      </w:pPr>
      <w:rPr>
        <w:rFonts w:hint="eastAsia"/>
        <w:spacing w:val="100"/>
      </w:rPr>
    </w:lvl>
    <w:lvl w:ilvl="1" w:tentative="0">
      <w:start w:val="1"/>
      <w:numFmt w:val="decimal"/>
      <w:pStyle w:val="43"/>
      <w:suff w:val="nothing"/>
      <w:lvlText w:val="%1.%2　"/>
      <w:lvlJc w:val="left"/>
      <w:pPr>
        <w:ind w:left="0" w:firstLine="0"/>
      </w:pPr>
      <w:rPr>
        <w:rFonts w:hint="eastAsia" w:ascii="黑体" w:eastAsia="黑体"/>
        <w:b w:val="0"/>
        <w:i w:val="0"/>
        <w:sz w:val="21"/>
      </w:rPr>
    </w:lvl>
    <w:lvl w:ilvl="2" w:tentative="0">
      <w:start w:val="1"/>
      <w:numFmt w:val="decimal"/>
      <w:pStyle w:val="136"/>
      <w:suff w:val="nothing"/>
      <w:lvlText w:val="%1.%2.%3　"/>
      <w:lvlJc w:val="left"/>
      <w:pPr>
        <w:ind w:left="0" w:firstLine="0"/>
      </w:pPr>
      <w:rPr>
        <w:rFonts w:hint="eastAsia" w:ascii="黑体" w:eastAsia="黑体"/>
        <w:b w:val="0"/>
        <w:i w:val="0"/>
        <w:sz w:val="21"/>
      </w:rPr>
    </w:lvl>
    <w:lvl w:ilvl="3" w:tentative="0">
      <w:start w:val="1"/>
      <w:numFmt w:val="decimal"/>
      <w:pStyle w:val="120"/>
      <w:suff w:val="nothing"/>
      <w:lvlText w:val="%1.%2.%3.%4　"/>
      <w:lvlJc w:val="left"/>
      <w:pPr>
        <w:ind w:left="0" w:firstLine="0"/>
      </w:pPr>
      <w:rPr>
        <w:rFonts w:hint="eastAsia" w:ascii="黑体" w:eastAsia="黑体"/>
        <w:b w:val="0"/>
        <w:i w:val="0"/>
        <w:sz w:val="21"/>
      </w:rPr>
    </w:lvl>
    <w:lvl w:ilvl="4" w:tentative="0">
      <w:start w:val="1"/>
      <w:numFmt w:val="decimal"/>
      <w:pStyle w:val="48"/>
      <w:suff w:val="nothing"/>
      <w:lvlText w:val="%1.%2.%3.%4.%5　"/>
      <w:lvlJc w:val="left"/>
      <w:pPr>
        <w:ind w:left="0" w:firstLine="0"/>
      </w:pPr>
      <w:rPr>
        <w:rFonts w:hint="eastAsia" w:ascii="黑体" w:eastAsia="黑体"/>
        <w:b w:val="0"/>
        <w:i w:val="0"/>
        <w:sz w:val="21"/>
      </w:rPr>
    </w:lvl>
    <w:lvl w:ilvl="5" w:tentative="0">
      <w:start w:val="1"/>
      <w:numFmt w:val="decimal"/>
      <w:pStyle w:val="171"/>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9506ABF"/>
    <w:multiLevelType w:val="multilevel"/>
    <w:tmpl w:val="69506ABF"/>
    <w:lvl w:ilvl="0" w:tentative="0">
      <w:start w:val="1"/>
      <w:numFmt w:val="bullet"/>
      <w:pStyle w:val="234"/>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0">
    <w:nsid w:val="6CA41985"/>
    <w:multiLevelType w:val="multilevel"/>
    <w:tmpl w:val="6CA41985"/>
    <w:lvl w:ilvl="0" w:tentative="0">
      <w:start w:val="1"/>
      <w:numFmt w:val="decimal"/>
      <w:pStyle w:val="24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6CE42AC1"/>
    <w:multiLevelType w:val="multilevel"/>
    <w:tmpl w:val="6CE42AC1"/>
    <w:lvl w:ilvl="0" w:tentative="0">
      <w:start w:val="1"/>
      <w:numFmt w:val="lowerLetter"/>
      <w:pStyle w:val="6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CEA2025"/>
    <w:multiLevelType w:val="multilevel"/>
    <w:tmpl w:val="6CEA2025"/>
    <w:lvl w:ilvl="0" w:tentative="0">
      <w:start w:val="1"/>
      <w:numFmt w:val="none"/>
      <w:pStyle w:val="144"/>
      <w:suff w:val="nothing"/>
      <w:lvlText w:val="%1"/>
      <w:lvlJc w:val="left"/>
      <w:pPr>
        <w:ind w:left="0" w:firstLine="0"/>
      </w:pPr>
      <w:rPr>
        <w:rFonts w:hint="eastAsia"/>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709"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rPr>
    </w:lvl>
    <w:lvl w:ilvl="3" w:tentative="0">
      <w:start w:val="1"/>
      <w:numFmt w:val="decimal"/>
      <w:pStyle w:val="53"/>
      <w:suff w:val="nothing"/>
      <w:lvlText w:val="%1%2.%3.%4　"/>
      <w:lvlJc w:val="left"/>
      <w:pPr>
        <w:ind w:left="1134" w:firstLine="0"/>
      </w:pPr>
      <w:rPr>
        <w:rFonts w:hint="eastAsia" w:ascii="黑体" w:eastAsia="黑体"/>
        <w:b w:val="0"/>
        <w:i w:val="0"/>
        <w:sz w:val="21"/>
      </w:rPr>
    </w:lvl>
    <w:lvl w:ilvl="4" w:tentative="0">
      <w:start w:val="1"/>
      <w:numFmt w:val="decimal"/>
      <w:pStyle w:val="52"/>
      <w:suff w:val="nothing"/>
      <w:lvlText w:val="%1%2.%3.%4.%5　"/>
      <w:lvlJc w:val="left"/>
      <w:pPr>
        <w:ind w:left="142" w:firstLine="0"/>
      </w:pPr>
      <w:rPr>
        <w:rFonts w:hint="eastAsia" w:ascii="黑体" w:eastAsia="黑体"/>
        <w:b w:val="0"/>
        <w:i w:val="0"/>
        <w:color w:val="000000" w:themeColor="text1"/>
        <w:sz w:val="21"/>
        <w14:textFill>
          <w14:solidFill>
            <w14:schemeClr w14:val="tx1"/>
          </w14:solidFill>
        </w14:textFill>
      </w:rPr>
    </w:lvl>
    <w:lvl w:ilvl="5" w:tentative="0">
      <w:start w:val="1"/>
      <w:numFmt w:val="decimal"/>
      <w:pStyle w:val="47"/>
      <w:suff w:val="nothing"/>
      <w:lvlText w:val="%1%2.%3.%4.%5.%6　"/>
      <w:lvlJc w:val="left"/>
      <w:pPr>
        <w:ind w:left="0" w:firstLine="0"/>
      </w:pPr>
      <w:rPr>
        <w:rFonts w:hint="eastAsia" w:ascii="黑体" w:eastAsia="黑体"/>
        <w:b w:val="0"/>
        <w:i w:val="0"/>
        <w:sz w:val="21"/>
      </w:rPr>
    </w:lvl>
    <w:lvl w:ilvl="6" w:tentative="0">
      <w:start w:val="1"/>
      <w:numFmt w:val="decimal"/>
      <w:pStyle w:val="16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3">
    <w:nsid w:val="6DBF04F4"/>
    <w:multiLevelType w:val="multilevel"/>
    <w:tmpl w:val="6DBF04F4"/>
    <w:lvl w:ilvl="0" w:tentative="0">
      <w:start w:val="1"/>
      <w:numFmt w:val="none"/>
      <w:pStyle w:val="248"/>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4">
    <w:nsid w:val="6DF35F19"/>
    <w:multiLevelType w:val="multilevel"/>
    <w:tmpl w:val="6DF35F19"/>
    <w:lvl w:ilvl="0" w:tentative="0">
      <w:start w:val="1"/>
      <w:numFmt w:val="decimal"/>
      <w:pStyle w:val="214"/>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5">
    <w:nsid w:val="76933334"/>
    <w:multiLevelType w:val="multilevel"/>
    <w:tmpl w:val="76933334"/>
    <w:lvl w:ilvl="0" w:tentative="0">
      <w:start w:val="1"/>
      <w:numFmt w:val="none"/>
      <w:pStyle w:val="19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9BE4FC7"/>
    <w:multiLevelType w:val="multilevel"/>
    <w:tmpl w:val="79BE4FC7"/>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8"/>
  </w:num>
  <w:num w:numId="2">
    <w:abstractNumId w:val="17"/>
  </w:num>
  <w:num w:numId="3">
    <w:abstractNumId w:val="32"/>
  </w:num>
  <w:num w:numId="4">
    <w:abstractNumId w:val="27"/>
  </w:num>
  <w:num w:numId="5">
    <w:abstractNumId w:val="31"/>
  </w:num>
  <w:num w:numId="6">
    <w:abstractNumId w:val="6"/>
  </w:num>
  <w:num w:numId="7">
    <w:abstractNumId w:val="4"/>
  </w:num>
  <w:num w:numId="8">
    <w:abstractNumId w:val="18"/>
  </w:num>
  <w:num w:numId="9">
    <w:abstractNumId w:val="3"/>
  </w:num>
  <w:num w:numId="10">
    <w:abstractNumId w:val="12"/>
  </w:num>
  <w:num w:numId="11">
    <w:abstractNumId w:val="13"/>
  </w:num>
  <w:num w:numId="12">
    <w:abstractNumId w:val="10"/>
  </w:num>
  <w:num w:numId="13">
    <w:abstractNumId w:val="21"/>
  </w:num>
  <w:num w:numId="14">
    <w:abstractNumId w:val="20"/>
  </w:num>
  <w:num w:numId="15">
    <w:abstractNumId w:val="5"/>
  </w:num>
  <w:num w:numId="16">
    <w:abstractNumId w:val="14"/>
  </w:num>
  <w:num w:numId="17">
    <w:abstractNumId w:val="11"/>
  </w:num>
  <w:num w:numId="18">
    <w:abstractNumId w:val="25"/>
  </w:num>
  <w:num w:numId="19">
    <w:abstractNumId w:val="19"/>
  </w:num>
  <w:num w:numId="20">
    <w:abstractNumId w:val="8"/>
  </w:num>
  <w:num w:numId="21">
    <w:abstractNumId w:val="35"/>
  </w:num>
  <w:num w:numId="22">
    <w:abstractNumId w:val="26"/>
  </w:num>
  <w:num w:numId="23">
    <w:abstractNumId w:val="23"/>
  </w:num>
  <w:num w:numId="24">
    <w:abstractNumId w:val="9"/>
  </w:num>
  <w:num w:numId="25">
    <w:abstractNumId w:val="34"/>
  </w:num>
  <w:num w:numId="26">
    <w:abstractNumId w:val="29"/>
  </w:num>
  <w:num w:numId="27">
    <w:abstractNumId w:val="7"/>
  </w:num>
  <w:num w:numId="28">
    <w:abstractNumId w:val="22"/>
  </w:num>
  <w:num w:numId="29">
    <w:abstractNumId w:val="30"/>
  </w:num>
  <w:num w:numId="30">
    <w:abstractNumId w:val="33"/>
  </w:num>
  <w:num w:numId="31">
    <w:abstractNumId w:val="16"/>
  </w:num>
  <w:num w:numId="32">
    <w:abstractNumId w:val="2"/>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5"/>
  </w:num>
  <w:num w:numId="36">
    <w:abstractNumId w:val="24"/>
  </w:num>
  <w:num w:numId="37">
    <w:abstractNumId w:val="0"/>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3NGM2MmEzMjQ5NDI0OTgwYzFkMzVhZWU5ODMxY2IifQ=="/>
  </w:docVars>
  <w:rsids>
    <w:rsidRoot w:val="00D66545"/>
    <w:rsid w:val="0000040A"/>
    <w:rsid w:val="00000A94"/>
    <w:rsid w:val="00001972"/>
    <w:rsid w:val="00001D9A"/>
    <w:rsid w:val="000027DB"/>
    <w:rsid w:val="0000596C"/>
    <w:rsid w:val="00005C43"/>
    <w:rsid w:val="00007B3A"/>
    <w:rsid w:val="00007F80"/>
    <w:rsid w:val="000107E0"/>
    <w:rsid w:val="00010CE8"/>
    <w:rsid w:val="00011807"/>
    <w:rsid w:val="00011FDE"/>
    <w:rsid w:val="00012FFD"/>
    <w:rsid w:val="00014162"/>
    <w:rsid w:val="00014340"/>
    <w:rsid w:val="00014A2E"/>
    <w:rsid w:val="00015562"/>
    <w:rsid w:val="00015D83"/>
    <w:rsid w:val="00016529"/>
    <w:rsid w:val="00016825"/>
    <w:rsid w:val="00016968"/>
    <w:rsid w:val="00016A9C"/>
    <w:rsid w:val="000217D4"/>
    <w:rsid w:val="00022184"/>
    <w:rsid w:val="0002251B"/>
    <w:rsid w:val="00022762"/>
    <w:rsid w:val="000238E0"/>
    <w:rsid w:val="000249DB"/>
    <w:rsid w:val="0002595E"/>
    <w:rsid w:val="000303C3"/>
    <w:rsid w:val="00030C0E"/>
    <w:rsid w:val="00031230"/>
    <w:rsid w:val="000331D3"/>
    <w:rsid w:val="00033CDA"/>
    <w:rsid w:val="00034422"/>
    <w:rsid w:val="000346A5"/>
    <w:rsid w:val="000359C3"/>
    <w:rsid w:val="00035A7D"/>
    <w:rsid w:val="000365ED"/>
    <w:rsid w:val="00036B13"/>
    <w:rsid w:val="00037F16"/>
    <w:rsid w:val="0004249A"/>
    <w:rsid w:val="00042D92"/>
    <w:rsid w:val="00043282"/>
    <w:rsid w:val="0004350B"/>
    <w:rsid w:val="00044286"/>
    <w:rsid w:val="00044CCD"/>
    <w:rsid w:val="000455EF"/>
    <w:rsid w:val="000465A9"/>
    <w:rsid w:val="00046F84"/>
    <w:rsid w:val="00047F28"/>
    <w:rsid w:val="000503AA"/>
    <w:rsid w:val="000506A1"/>
    <w:rsid w:val="000508C6"/>
    <w:rsid w:val="000515DD"/>
    <w:rsid w:val="00051C91"/>
    <w:rsid w:val="0005265A"/>
    <w:rsid w:val="000539DD"/>
    <w:rsid w:val="00053BD3"/>
    <w:rsid w:val="000556ED"/>
    <w:rsid w:val="000559AC"/>
    <w:rsid w:val="00055FE2"/>
    <w:rsid w:val="0005616F"/>
    <w:rsid w:val="00060C1E"/>
    <w:rsid w:val="00060C2E"/>
    <w:rsid w:val="00061033"/>
    <w:rsid w:val="0006149F"/>
    <w:rsid w:val="00061535"/>
    <w:rsid w:val="000619E9"/>
    <w:rsid w:val="000622D4"/>
    <w:rsid w:val="00062489"/>
    <w:rsid w:val="0006357D"/>
    <w:rsid w:val="00067F1E"/>
    <w:rsid w:val="00070DC3"/>
    <w:rsid w:val="00071CC0"/>
    <w:rsid w:val="0007277B"/>
    <w:rsid w:val="00072A70"/>
    <w:rsid w:val="00072C40"/>
    <w:rsid w:val="00073657"/>
    <w:rsid w:val="00073C8C"/>
    <w:rsid w:val="00077112"/>
    <w:rsid w:val="00077B64"/>
    <w:rsid w:val="00077C09"/>
    <w:rsid w:val="00080A1C"/>
    <w:rsid w:val="00082317"/>
    <w:rsid w:val="00082DF8"/>
    <w:rsid w:val="00083D2C"/>
    <w:rsid w:val="00084979"/>
    <w:rsid w:val="00084F3F"/>
    <w:rsid w:val="00086AA1"/>
    <w:rsid w:val="00086E4B"/>
    <w:rsid w:val="00087A77"/>
    <w:rsid w:val="00087AD6"/>
    <w:rsid w:val="00090CA6"/>
    <w:rsid w:val="00092B8A"/>
    <w:rsid w:val="00092FB0"/>
    <w:rsid w:val="000934C5"/>
    <w:rsid w:val="00093B6B"/>
    <w:rsid w:val="00093D25"/>
    <w:rsid w:val="00093DAB"/>
    <w:rsid w:val="00094D73"/>
    <w:rsid w:val="00096082"/>
    <w:rsid w:val="00096601"/>
    <w:rsid w:val="00096D63"/>
    <w:rsid w:val="000A09CF"/>
    <w:rsid w:val="000A0B60"/>
    <w:rsid w:val="000A0EB8"/>
    <w:rsid w:val="000A12D8"/>
    <w:rsid w:val="000A13A0"/>
    <w:rsid w:val="000A19FC"/>
    <w:rsid w:val="000A2349"/>
    <w:rsid w:val="000A296B"/>
    <w:rsid w:val="000A3A84"/>
    <w:rsid w:val="000A44DE"/>
    <w:rsid w:val="000A7311"/>
    <w:rsid w:val="000B01D0"/>
    <w:rsid w:val="000B060F"/>
    <w:rsid w:val="000B1592"/>
    <w:rsid w:val="000B1FF2"/>
    <w:rsid w:val="000B255B"/>
    <w:rsid w:val="000B3CDA"/>
    <w:rsid w:val="000B6A0B"/>
    <w:rsid w:val="000B7B80"/>
    <w:rsid w:val="000C0359"/>
    <w:rsid w:val="000C04BC"/>
    <w:rsid w:val="000C0F6C"/>
    <w:rsid w:val="000C11DB"/>
    <w:rsid w:val="000C12C2"/>
    <w:rsid w:val="000C1492"/>
    <w:rsid w:val="000C1A90"/>
    <w:rsid w:val="000C1ED8"/>
    <w:rsid w:val="000C2285"/>
    <w:rsid w:val="000C2FBD"/>
    <w:rsid w:val="000C46C4"/>
    <w:rsid w:val="000C4B41"/>
    <w:rsid w:val="000C57D6"/>
    <w:rsid w:val="000C6362"/>
    <w:rsid w:val="000C7666"/>
    <w:rsid w:val="000D05D1"/>
    <w:rsid w:val="000D0A9C"/>
    <w:rsid w:val="000D1795"/>
    <w:rsid w:val="000D2707"/>
    <w:rsid w:val="000D329A"/>
    <w:rsid w:val="000D4459"/>
    <w:rsid w:val="000D4B9C"/>
    <w:rsid w:val="000D4EB6"/>
    <w:rsid w:val="000D649C"/>
    <w:rsid w:val="000D753B"/>
    <w:rsid w:val="000E05DC"/>
    <w:rsid w:val="000E1373"/>
    <w:rsid w:val="000E243E"/>
    <w:rsid w:val="000E4C9E"/>
    <w:rsid w:val="000E578C"/>
    <w:rsid w:val="000E58F9"/>
    <w:rsid w:val="000E5BB2"/>
    <w:rsid w:val="000E5EA3"/>
    <w:rsid w:val="000E67CB"/>
    <w:rsid w:val="000E68D1"/>
    <w:rsid w:val="000E6FD7"/>
    <w:rsid w:val="000F06E1"/>
    <w:rsid w:val="000F0E3C"/>
    <w:rsid w:val="000F19D5"/>
    <w:rsid w:val="000F219A"/>
    <w:rsid w:val="000F3602"/>
    <w:rsid w:val="000F4AEA"/>
    <w:rsid w:val="000F4F6A"/>
    <w:rsid w:val="000F633F"/>
    <w:rsid w:val="000F6659"/>
    <w:rsid w:val="000F67E9"/>
    <w:rsid w:val="00100B3D"/>
    <w:rsid w:val="001028C7"/>
    <w:rsid w:val="00102C3A"/>
    <w:rsid w:val="00104926"/>
    <w:rsid w:val="0010611A"/>
    <w:rsid w:val="00106E48"/>
    <w:rsid w:val="001121C6"/>
    <w:rsid w:val="00113B1E"/>
    <w:rsid w:val="00115225"/>
    <w:rsid w:val="0011711C"/>
    <w:rsid w:val="001201A0"/>
    <w:rsid w:val="0012059C"/>
    <w:rsid w:val="00120B8C"/>
    <w:rsid w:val="00121173"/>
    <w:rsid w:val="0012264F"/>
    <w:rsid w:val="00124E4F"/>
    <w:rsid w:val="001252F0"/>
    <w:rsid w:val="00125B62"/>
    <w:rsid w:val="001260B7"/>
    <w:rsid w:val="001265CB"/>
    <w:rsid w:val="00126C16"/>
    <w:rsid w:val="00127D1E"/>
    <w:rsid w:val="001303FC"/>
    <w:rsid w:val="00130D07"/>
    <w:rsid w:val="00131E9D"/>
    <w:rsid w:val="001321C6"/>
    <w:rsid w:val="001325C4"/>
    <w:rsid w:val="00132826"/>
    <w:rsid w:val="00133010"/>
    <w:rsid w:val="00133750"/>
    <w:rsid w:val="001338EE"/>
    <w:rsid w:val="00133AAE"/>
    <w:rsid w:val="00134273"/>
    <w:rsid w:val="00135323"/>
    <w:rsid w:val="001356C4"/>
    <w:rsid w:val="00137F49"/>
    <w:rsid w:val="00141114"/>
    <w:rsid w:val="00142969"/>
    <w:rsid w:val="001446C2"/>
    <w:rsid w:val="0014567C"/>
    <w:rsid w:val="001457E7"/>
    <w:rsid w:val="00145D9D"/>
    <w:rsid w:val="00146388"/>
    <w:rsid w:val="0015073F"/>
    <w:rsid w:val="00151F62"/>
    <w:rsid w:val="0015206B"/>
    <w:rsid w:val="001529E5"/>
    <w:rsid w:val="001535DE"/>
    <w:rsid w:val="00153C7E"/>
    <w:rsid w:val="00155F16"/>
    <w:rsid w:val="00156949"/>
    <w:rsid w:val="00156B25"/>
    <w:rsid w:val="00156E1A"/>
    <w:rsid w:val="00157894"/>
    <w:rsid w:val="00157B55"/>
    <w:rsid w:val="00162CD5"/>
    <w:rsid w:val="00163FB5"/>
    <w:rsid w:val="00164090"/>
    <w:rsid w:val="001642FA"/>
    <w:rsid w:val="001649EB"/>
    <w:rsid w:val="00164BAF"/>
    <w:rsid w:val="00164FA8"/>
    <w:rsid w:val="00165065"/>
    <w:rsid w:val="00165434"/>
    <w:rsid w:val="001656F4"/>
    <w:rsid w:val="0016580B"/>
    <w:rsid w:val="00165F49"/>
    <w:rsid w:val="001665AB"/>
    <w:rsid w:val="00166B88"/>
    <w:rsid w:val="0016770A"/>
    <w:rsid w:val="00170804"/>
    <w:rsid w:val="001708E9"/>
    <w:rsid w:val="0017340B"/>
    <w:rsid w:val="00173FB1"/>
    <w:rsid w:val="001747D3"/>
    <w:rsid w:val="00174EEB"/>
    <w:rsid w:val="00175BD0"/>
    <w:rsid w:val="00176666"/>
    <w:rsid w:val="00176DFD"/>
    <w:rsid w:val="00177732"/>
    <w:rsid w:val="00180625"/>
    <w:rsid w:val="001810EB"/>
    <w:rsid w:val="00181A3F"/>
    <w:rsid w:val="001852C9"/>
    <w:rsid w:val="00190087"/>
    <w:rsid w:val="00190856"/>
    <w:rsid w:val="001913C4"/>
    <w:rsid w:val="00191721"/>
    <w:rsid w:val="001923D7"/>
    <w:rsid w:val="0019348F"/>
    <w:rsid w:val="00193A07"/>
    <w:rsid w:val="00193AAD"/>
    <w:rsid w:val="00194285"/>
    <w:rsid w:val="00194944"/>
    <w:rsid w:val="00194C95"/>
    <w:rsid w:val="001951FB"/>
    <w:rsid w:val="00195C34"/>
    <w:rsid w:val="00195E50"/>
    <w:rsid w:val="00196EF5"/>
    <w:rsid w:val="001A1A53"/>
    <w:rsid w:val="001A234A"/>
    <w:rsid w:val="001A4CF3"/>
    <w:rsid w:val="001A54D3"/>
    <w:rsid w:val="001B0021"/>
    <w:rsid w:val="001B06E8"/>
    <w:rsid w:val="001B079A"/>
    <w:rsid w:val="001B0CFE"/>
    <w:rsid w:val="001B21A5"/>
    <w:rsid w:val="001B50D2"/>
    <w:rsid w:val="001B6ED9"/>
    <w:rsid w:val="001B71D0"/>
    <w:rsid w:val="001B71EE"/>
    <w:rsid w:val="001B7257"/>
    <w:rsid w:val="001C04A8"/>
    <w:rsid w:val="001C1614"/>
    <w:rsid w:val="001C21BA"/>
    <w:rsid w:val="001C2623"/>
    <w:rsid w:val="001C2743"/>
    <w:rsid w:val="001C2C03"/>
    <w:rsid w:val="001C2E50"/>
    <w:rsid w:val="001C42F7"/>
    <w:rsid w:val="001C49E5"/>
    <w:rsid w:val="001C680C"/>
    <w:rsid w:val="001C7FEA"/>
    <w:rsid w:val="001D0047"/>
    <w:rsid w:val="001D0499"/>
    <w:rsid w:val="001D0BBE"/>
    <w:rsid w:val="001D0ED4"/>
    <w:rsid w:val="001D212F"/>
    <w:rsid w:val="001D29D7"/>
    <w:rsid w:val="001D2AC2"/>
    <w:rsid w:val="001D2DE7"/>
    <w:rsid w:val="001D37AA"/>
    <w:rsid w:val="001D411C"/>
    <w:rsid w:val="001D44BA"/>
    <w:rsid w:val="001D6B3E"/>
    <w:rsid w:val="001E1B6A"/>
    <w:rsid w:val="001E1DFB"/>
    <w:rsid w:val="001E2484"/>
    <w:rsid w:val="001E3CC4"/>
    <w:rsid w:val="001E4882"/>
    <w:rsid w:val="001E5AC8"/>
    <w:rsid w:val="001E6D12"/>
    <w:rsid w:val="001E73AB"/>
    <w:rsid w:val="001F092D"/>
    <w:rsid w:val="001F120C"/>
    <w:rsid w:val="001F143A"/>
    <w:rsid w:val="001F1605"/>
    <w:rsid w:val="001F2508"/>
    <w:rsid w:val="001F4816"/>
    <w:rsid w:val="001F4EE9"/>
    <w:rsid w:val="001F60F8"/>
    <w:rsid w:val="001F69B4"/>
    <w:rsid w:val="001F77C7"/>
    <w:rsid w:val="00200183"/>
    <w:rsid w:val="00200333"/>
    <w:rsid w:val="00200A9C"/>
    <w:rsid w:val="0020107D"/>
    <w:rsid w:val="002011EE"/>
    <w:rsid w:val="00202AA4"/>
    <w:rsid w:val="00202CA1"/>
    <w:rsid w:val="00202F6C"/>
    <w:rsid w:val="002031F7"/>
    <w:rsid w:val="002040E6"/>
    <w:rsid w:val="0020527B"/>
    <w:rsid w:val="002059A4"/>
    <w:rsid w:val="00205F2C"/>
    <w:rsid w:val="00206449"/>
    <w:rsid w:val="002066F0"/>
    <w:rsid w:val="00206A32"/>
    <w:rsid w:val="00206EFC"/>
    <w:rsid w:val="00210128"/>
    <w:rsid w:val="00210A2F"/>
    <w:rsid w:val="00210B15"/>
    <w:rsid w:val="002113F6"/>
    <w:rsid w:val="0021376B"/>
    <w:rsid w:val="002142EA"/>
    <w:rsid w:val="0021450E"/>
    <w:rsid w:val="0021787E"/>
    <w:rsid w:val="002204BB"/>
    <w:rsid w:val="00221B79"/>
    <w:rsid w:val="00221C6B"/>
    <w:rsid w:val="0022226F"/>
    <w:rsid w:val="00223317"/>
    <w:rsid w:val="00223CB3"/>
    <w:rsid w:val="00224AB9"/>
    <w:rsid w:val="00224C50"/>
    <w:rsid w:val="002253A1"/>
    <w:rsid w:val="002256A1"/>
    <w:rsid w:val="00225CF8"/>
    <w:rsid w:val="0022794E"/>
    <w:rsid w:val="002331CB"/>
    <w:rsid w:val="00233D64"/>
    <w:rsid w:val="0023482A"/>
    <w:rsid w:val="002359CB"/>
    <w:rsid w:val="00242A8E"/>
    <w:rsid w:val="00243540"/>
    <w:rsid w:val="0024497B"/>
    <w:rsid w:val="0024515B"/>
    <w:rsid w:val="00246021"/>
    <w:rsid w:val="0024666E"/>
    <w:rsid w:val="002466AA"/>
    <w:rsid w:val="00247F52"/>
    <w:rsid w:val="00250B25"/>
    <w:rsid w:val="00250BBE"/>
    <w:rsid w:val="002515C2"/>
    <w:rsid w:val="0025194F"/>
    <w:rsid w:val="0025413C"/>
    <w:rsid w:val="002554DC"/>
    <w:rsid w:val="002564C8"/>
    <w:rsid w:val="00256D92"/>
    <w:rsid w:val="002573A1"/>
    <w:rsid w:val="00257FB3"/>
    <w:rsid w:val="0026148A"/>
    <w:rsid w:val="00262696"/>
    <w:rsid w:val="00263D25"/>
    <w:rsid w:val="00264303"/>
    <w:rsid w:val="002643C3"/>
    <w:rsid w:val="00264A0C"/>
    <w:rsid w:val="00264F8F"/>
    <w:rsid w:val="00266EEB"/>
    <w:rsid w:val="00267EF4"/>
    <w:rsid w:val="00270A0F"/>
    <w:rsid w:val="00270CB8"/>
    <w:rsid w:val="00271D69"/>
    <w:rsid w:val="00272093"/>
    <w:rsid w:val="00272B08"/>
    <w:rsid w:val="00272FCA"/>
    <w:rsid w:val="0027486D"/>
    <w:rsid w:val="00281AD4"/>
    <w:rsid w:val="00281BB8"/>
    <w:rsid w:val="00281E9E"/>
    <w:rsid w:val="00282405"/>
    <w:rsid w:val="00283CC5"/>
    <w:rsid w:val="00285170"/>
    <w:rsid w:val="00285361"/>
    <w:rsid w:val="00287366"/>
    <w:rsid w:val="00292D60"/>
    <w:rsid w:val="00293B30"/>
    <w:rsid w:val="00294D34"/>
    <w:rsid w:val="00294E3B"/>
    <w:rsid w:val="00296193"/>
    <w:rsid w:val="00296C66"/>
    <w:rsid w:val="00296EBE"/>
    <w:rsid w:val="002974E3"/>
    <w:rsid w:val="002A084B"/>
    <w:rsid w:val="002A1007"/>
    <w:rsid w:val="002A1260"/>
    <w:rsid w:val="002A1589"/>
    <w:rsid w:val="002A1608"/>
    <w:rsid w:val="002A25DC"/>
    <w:rsid w:val="002A3AAB"/>
    <w:rsid w:val="002A4CEA"/>
    <w:rsid w:val="002A5977"/>
    <w:rsid w:val="002A5A13"/>
    <w:rsid w:val="002A675C"/>
    <w:rsid w:val="002A74DB"/>
    <w:rsid w:val="002A757F"/>
    <w:rsid w:val="002A7F44"/>
    <w:rsid w:val="002B0C40"/>
    <w:rsid w:val="002B1966"/>
    <w:rsid w:val="002B1EB2"/>
    <w:rsid w:val="002B4508"/>
    <w:rsid w:val="002B4E3C"/>
    <w:rsid w:val="002B5779"/>
    <w:rsid w:val="002B5D8F"/>
    <w:rsid w:val="002B6340"/>
    <w:rsid w:val="002B7332"/>
    <w:rsid w:val="002B7F51"/>
    <w:rsid w:val="002C09E7"/>
    <w:rsid w:val="002C1E06"/>
    <w:rsid w:val="002C1E1C"/>
    <w:rsid w:val="002C3A79"/>
    <w:rsid w:val="002C3F07"/>
    <w:rsid w:val="002C5278"/>
    <w:rsid w:val="002C6480"/>
    <w:rsid w:val="002C7EBB"/>
    <w:rsid w:val="002D06C1"/>
    <w:rsid w:val="002D178C"/>
    <w:rsid w:val="002D1EEC"/>
    <w:rsid w:val="002D333B"/>
    <w:rsid w:val="002D42B5"/>
    <w:rsid w:val="002D4F1A"/>
    <w:rsid w:val="002D6EC6"/>
    <w:rsid w:val="002D79AC"/>
    <w:rsid w:val="002E039D"/>
    <w:rsid w:val="002E4D5A"/>
    <w:rsid w:val="002E6326"/>
    <w:rsid w:val="002F100F"/>
    <w:rsid w:val="002F1EF9"/>
    <w:rsid w:val="002F30E0"/>
    <w:rsid w:val="002F35E4"/>
    <w:rsid w:val="002F3730"/>
    <w:rsid w:val="002F38E1"/>
    <w:rsid w:val="002F48A6"/>
    <w:rsid w:val="002F7AF6"/>
    <w:rsid w:val="002F7D1E"/>
    <w:rsid w:val="00300E63"/>
    <w:rsid w:val="00302D1E"/>
    <w:rsid w:val="00302F5F"/>
    <w:rsid w:val="00303BF1"/>
    <w:rsid w:val="0030441D"/>
    <w:rsid w:val="00306063"/>
    <w:rsid w:val="00310B56"/>
    <w:rsid w:val="003111A0"/>
    <w:rsid w:val="0031346B"/>
    <w:rsid w:val="00313B85"/>
    <w:rsid w:val="00317988"/>
    <w:rsid w:val="00317C1A"/>
    <w:rsid w:val="003220F0"/>
    <w:rsid w:val="003221B4"/>
    <w:rsid w:val="0032258D"/>
    <w:rsid w:val="00322E62"/>
    <w:rsid w:val="00324701"/>
    <w:rsid w:val="00324D13"/>
    <w:rsid w:val="00324D2A"/>
    <w:rsid w:val="00324EDD"/>
    <w:rsid w:val="003259CF"/>
    <w:rsid w:val="003309F3"/>
    <w:rsid w:val="003312CD"/>
    <w:rsid w:val="003331E4"/>
    <w:rsid w:val="00335E7D"/>
    <w:rsid w:val="00336B9F"/>
    <w:rsid w:val="00336C64"/>
    <w:rsid w:val="00337162"/>
    <w:rsid w:val="00337950"/>
    <w:rsid w:val="00337B55"/>
    <w:rsid w:val="00340E85"/>
    <w:rsid w:val="00341600"/>
    <w:rsid w:val="0034194F"/>
    <w:rsid w:val="00344605"/>
    <w:rsid w:val="00346305"/>
    <w:rsid w:val="0034637F"/>
    <w:rsid w:val="0034689B"/>
    <w:rsid w:val="003474AA"/>
    <w:rsid w:val="00350D1D"/>
    <w:rsid w:val="00352C83"/>
    <w:rsid w:val="0035422F"/>
    <w:rsid w:val="00360752"/>
    <w:rsid w:val="003615D2"/>
    <w:rsid w:val="003619B4"/>
    <w:rsid w:val="00361B58"/>
    <w:rsid w:val="00361C07"/>
    <w:rsid w:val="0036429C"/>
    <w:rsid w:val="003648CB"/>
    <w:rsid w:val="00364A53"/>
    <w:rsid w:val="003654CB"/>
    <w:rsid w:val="00365AA9"/>
    <w:rsid w:val="00365F86"/>
    <w:rsid w:val="00365F87"/>
    <w:rsid w:val="00365F91"/>
    <w:rsid w:val="00366E89"/>
    <w:rsid w:val="003674A7"/>
    <w:rsid w:val="00367F17"/>
    <w:rsid w:val="003705F4"/>
    <w:rsid w:val="00370D58"/>
    <w:rsid w:val="00371316"/>
    <w:rsid w:val="00372241"/>
    <w:rsid w:val="00372661"/>
    <w:rsid w:val="00372C00"/>
    <w:rsid w:val="003751ED"/>
    <w:rsid w:val="0037598D"/>
    <w:rsid w:val="00376713"/>
    <w:rsid w:val="00381815"/>
    <w:rsid w:val="003819AF"/>
    <w:rsid w:val="00381F6B"/>
    <w:rsid w:val="003820E9"/>
    <w:rsid w:val="00382DE7"/>
    <w:rsid w:val="003842AA"/>
    <w:rsid w:val="00384FFC"/>
    <w:rsid w:val="003853A5"/>
    <w:rsid w:val="003872FC"/>
    <w:rsid w:val="00387ADC"/>
    <w:rsid w:val="00387CB8"/>
    <w:rsid w:val="00387CF0"/>
    <w:rsid w:val="00390020"/>
    <w:rsid w:val="003903D6"/>
    <w:rsid w:val="00390EE6"/>
    <w:rsid w:val="0039118F"/>
    <w:rsid w:val="003913D8"/>
    <w:rsid w:val="00392604"/>
    <w:rsid w:val="00392AD7"/>
    <w:rsid w:val="00393590"/>
    <w:rsid w:val="003938D9"/>
    <w:rsid w:val="00393CA3"/>
    <w:rsid w:val="00394376"/>
    <w:rsid w:val="003943FF"/>
    <w:rsid w:val="00395700"/>
    <w:rsid w:val="003974EB"/>
    <w:rsid w:val="00397CC5"/>
    <w:rsid w:val="003A020F"/>
    <w:rsid w:val="003A1582"/>
    <w:rsid w:val="003A4077"/>
    <w:rsid w:val="003A5C9A"/>
    <w:rsid w:val="003B09AD"/>
    <w:rsid w:val="003B1F18"/>
    <w:rsid w:val="003B2233"/>
    <w:rsid w:val="003B5BF0"/>
    <w:rsid w:val="003B60BF"/>
    <w:rsid w:val="003B6998"/>
    <w:rsid w:val="003B6BE3"/>
    <w:rsid w:val="003C010C"/>
    <w:rsid w:val="003C0A6C"/>
    <w:rsid w:val="003C12DE"/>
    <w:rsid w:val="003C14F8"/>
    <w:rsid w:val="003C1602"/>
    <w:rsid w:val="003C1ADF"/>
    <w:rsid w:val="003C3F5E"/>
    <w:rsid w:val="003C5A43"/>
    <w:rsid w:val="003C73F5"/>
    <w:rsid w:val="003D0519"/>
    <w:rsid w:val="003D0FF6"/>
    <w:rsid w:val="003D262C"/>
    <w:rsid w:val="003D3190"/>
    <w:rsid w:val="003D48AC"/>
    <w:rsid w:val="003D4ABB"/>
    <w:rsid w:val="003D694D"/>
    <w:rsid w:val="003D6D61"/>
    <w:rsid w:val="003D7E98"/>
    <w:rsid w:val="003E091D"/>
    <w:rsid w:val="003E13AF"/>
    <w:rsid w:val="003E1C53"/>
    <w:rsid w:val="003E2A69"/>
    <w:rsid w:val="003E2D49"/>
    <w:rsid w:val="003E2FD4"/>
    <w:rsid w:val="003E49F6"/>
    <w:rsid w:val="003E6467"/>
    <w:rsid w:val="003E660F"/>
    <w:rsid w:val="003F0841"/>
    <w:rsid w:val="003F0FF1"/>
    <w:rsid w:val="003F23D3"/>
    <w:rsid w:val="003F3F08"/>
    <w:rsid w:val="003F49F1"/>
    <w:rsid w:val="003F5E9B"/>
    <w:rsid w:val="003F6272"/>
    <w:rsid w:val="003F7156"/>
    <w:rsid w:val="00400E72"/>
    <w:rsid w:val="00401400"/>
    <w:rsid w:val="004014EB"/>
    <w:rsid w:val="004034D3"/>
    <w:rsid w:val="00404869"/>
    <w:rsid w:val="00405884"/>
    <w:rsid w:val="00405C76"/>
    <w:rsid w:val="0040733D"/>
    <w:rsid w:val="004079C0"/>
    <w:rsid w:val="00407D39"/>
    <w:rsid w:val="0041462A"/>
    <w:rsid w:val="0041477A"/>
    <w:rsid w:val="0041489A"/>
    <w:rsid w:val="004167A3"/>
    <w:rsid w:val="0041765A"/>
    <w:rsid w:val="004176AD"/>
    <w:rsid w:val="00417B52"/>
    <w:rsid w:val="0042021C"/>
    <w:rsid w:val="00422A33"/>
    <w:rsid w:val="00423ACB"/>
    <w:rsid w:val="00423EFF"/>
    <w:rsid w:val="0042622D"/>
    <w:rsid w:val="0042649F"/>
    <w:rsid w:val="00426AE0"/>
    <w:rsid w:val="00426E00"/>
    <w:rsid w:val="0042770C"/>
    <w:rsid w:val="00427957"/>
    <w:rsid w:val="00430A3F"/>
    <w:rsid w:val="00430C4C"/>
    <w:rsid w:val="00430DBC"/>
    <w:rsid w:val="00431526"/>
    <w:rsid w:val="00432DAA"/>
    <w:rsid w:val="00434305"/>
    <w:rsid w:val="00434470"/>
    <w:rsid w:val="00434E98"/>
    <w:rsid w:val="00435967"/>
    <w:rsid w:val="00435DF7"/>
    <w:rsid w:val="00436C2C"/>
    <w:rsid w:val="0044083F"/>
    <w:rsid w:val="00441AE7"/>
    <w:rsid w:val="004420E7"/>
    <w:rsid w:val="004422F4"/>
    <w:rsid w:val="0044233A"/>
    <w:rsid w:val="00443F10"/>
    <w:rsid w:val="00445574"/>
    <w:rsid w:val="004467FB"/>
    <w:rsid w:val="00447601"/>
    <w:rsid w:val="0045199D"/>
    <w:rsid w:val="00452BBA"/>
    <w:rsid w:val="00452D6B"/>
    <w:rsid w:val="00453315"/>
    <w:rsid w:val="00454484"/>
    <w:rsid w:val="0045517B"/>
    <w:rsid w:val="00461333"/>
    <w:rsid w:val="00461835"/>
    <w:rsid w:val="00462718"/>
    <w:rsid w:val="0046335E"/>
    <w:rsid w:val="00463A43"/>
    <w:rsid w:val="00463B77"/>
    <w:rsid w:val="00463C7B"/>
    <w:rsid w:val="004643E9"/>
    <w:rsid w:val="004644A6"/>
    <w:rsid w:val="00464876"/>
    <w:rsid w:val="004659BD"/>
    <w:rsid w:val="00466CA0"/>
    <w:rsid w:val="00466D8A"/>
    <w:rsid w:val="00470775"/>
    <w:rsid w:val="00472607"/>
    <w:rsid w:val="004746B1"/>
    <w:rsid w:val="00474880"/>
    <w:rsid w:val="0047583F"/>
    <w:rsid w:val="00475DE8"/>
    <w:rsid w:val="00480F34"/>
    <w:rsid w:val="00481C44"/>
    <w:rsid w:val="004835A7"/>
    <w:rsid w:val="004836B9"/>
    <w:rsid w:val="00484513"/>
    <w:rsid w:val="00484936"/>
    <w:rsid w:val="00485C89"/>
    <w:rsid w:val="00486BE3"/>
    <w:rsid w:val="004905E4"/>
    <w:rsid w:val="00490A89"/>
    <w:rsid w:val="00490AB4"/>
    <w:rsid w:val="00490F32"/>
    <w:rsid w:val="004913A2"/>
    <w:rsid w:val="00492F02"/>
    <w:rsid w:val="004939AE"/>
    <w:rsid w:val="00493D6A"/>
    <w:rsid w:val="0049675B"/>
    <w:rsid w:val="004A12DF"/>
    <w:rsid w:val="004A17E6"/>
    <w:rsid w:val="004A1BA8"/>
    <w:rsid w:val="004A4B57"/>
    <w:rsid w:val="004A61B3"/>
    <w:rsid w:val="004A63FA"/>
    <w:rsid w:val="004B0272"/>
    <w:rsid w:val="004B19CD"/>
    <w:rsid w:val="004B2701"/>
    <w:rsid w:val="004B2E1B"/>
    <w:rsid w:val="004B3AA8"/>
    <w:rsid w:val="004B3E93"/>
    <w:rsid w:val="004B5488"/>
    <w:rsid w:val="004B5B25"/>
    <w:rsid w:val="004B5D7B"/>
    <w:rsid w:val="004B7571"/>
    <w:rsid w:val="004B7950"/>
    <w:rsid w:val="004C1FBC"/>
    <w:rsid w:val="004C3108"/>
    <w:rsid w:val="004C321E"/>
    <w:rsid w:val="004C3F1D"/>
    <w:rsid w:val="004C458D"/>
    <w:rsid w:val="004C690D"/>
    <w:rsid w:val="004C7556"/>
    <w:rsid w:val="004C789D"/>
    <w:rsid w:val="004C7E8B"/>
    <w:rsid w:val="004C7E9D"/>
    <w:rsid w:val="004C7F67"/>
    <w:rsid w:val="004D076D"/>
    <w:rsid w:val="004D0EF1"/>
    <w:rsid w:val="004D1F7E"/>
    <w:rsid w:val="004D2253"/>
    <w:rsid w:val="004D2D70"/>
    <w:rsid w:val="004D2D8A"/>
    <w:rsid w:val="004D4406"/>
    <w:rsid w:val="004D5D8F"/>
    <w:rsid w:val="004D5EA8"/>
    <w:rsid w:val="004D6145"/>
    <w:rsid w:val="004D7C42"/>
    <w:rsid w:val="004E0465"/>
    <w:rsid w:val="004E127B"/>
    <w:rsid w:val="004E1C0A"/>
    <w:rsid w:val="004E26AC"/>
    <w:rsid w:val="004E2B06"/>
    <w:rsid w:val="004E30C5"/>
    <w:rsid w:val="004E4AA5"/>
    <w:rsid w:val="004E4AEE"/>
    <w:rsid w:val="004E59E3"/>
    <w:rsid w:val="004E67C0"/>
    <w:rsid w:val="004F0C2D"/>
    <w:rsid w:val="004F391A"/>
    <w:rsid w:val="004F3CFB"/>
    <w:rsid w:val="004F4674"/>
    <w:rsid w:val="004F4D40"/>
    <w:rsid w:val="004F6456"/>
    <w:rsid w:val="004F696E"/>
    <w:rsid w:val="004F6C71"/>
    <w:rsid w:val="004F7061"/>
    <w:rsid w:val="00501139"/>
    <w:rsid w:val="00501A6E"/>
    <w:rsid w:val="0050363E"/>
    <w:rsid w:val="005039BC"/>
    <w:rsid w:val="005043BB"/>
    <w:rsid w:val="00504A3D"/>
    <w:rsid w:val="00505767"/>
    <w:rsid w:val="005073F0"/>
    <w:rsid w:val="0050767B"/>
    <w:rsid w:val="005079B0"/>
    <w:rsid w:val="00510A7B"/>
    <w:rsid w:val="00512F6E"/>
    <w:rsid w:val="00513038"/>
    <w:rsid w:val="00514174"/>
    <w:rsid w:val="00516088"/>
    <w:rsid w:val="00516B0B"/>
    <w:rsid w:val="0051757E"/>
    <w:rsid w:val="0052170F"/>
    <w:rsid w:val="005220EC"/>
    <w:rsid w:val="005232B1"/>
    <w:rsid w:val="00523F95"/>
    <w:rsid w:val="00524D65"/>
    <w:rsid w:val="00525015"/>
    <w:rsid w:val="00525B16"/>
    <w:rsid w:val="0052624C"/>
    <w:rsid w:val="0052748A"/>
    <w:rsid w:val="005328B0"/>
    <w:rsid w:val="005335B7"/>
    <w:rsid w:val="00533D04"/>
    <w:rsid w:val="0053438B"/>
    <w:rsid w:val="00534570"/>
    <w:rsid w:val="00534804"/>
    <w:rsid w:val="00534BDF"/>
    <w:rsid w:val="005354EA"/>
    <w:rsid w:val="0053585F"/>
    <w:rsid w:val="00535EC4"/>
    <w:rsid w:val="00535ED9"/>
    <w:rsid w:val="0053692B"/>
    <w:rsid w:val="00541087"/>
    <w:rsid w:val="00541853"/>
    <w:rsid w:val="005422A8"/>
    <w:rsid w:val="00542AC6"/>
    <w:rsid w:val="00543BDA"/>
    <w:rsid w:val="005441CC"/>
    <w:rsid w:val="00545E66"/>
    <w:rsid w:val="0054741A"/>
    <w:rsid w:val="005474E6"/>
    <w:rsid w:val="005479DA"/>
    <w:rsid w:val="00547BCC"/>
    <w:rsid w:val="0055013B"/>
    <w:rsid w:val="00551F6F"/>
    <w:rsid w:val="00555044"/>
    <w:rsid w:val="00555A20"/>
    <w:rsid w:val="005562A4"/>
    <w:rsid w:val="0055706B"/>
    <w:rsid w:val="00561475"/>
    <w:rsid w:val="00562434"/>
    <w:rsid w:val="0056487B"/>
    <w:rsid w:val="00564FB9"/>
    <w:rsid w:val="00566AB5"/>
    <w:rsid w:val="00566EEB"/>
    <w:rsid w:val="00567728"/>
    <w:rsid w:val="00573B4D"/>
    <w:rsid w:val="00573D9E"/>
    <w:rsid w:val="005741E1"/>
    <w:rsid w:val="005801E3"/>
    <w:rsid w:val="00581802"/>
    <w:rsid w:val="00582B00"/>
    <w:rsid w:val="0058350C"/>
    <w:rsid w:val="005836A8"/>
    <w:rsid w:val="0058409C"/>
    <w:rsid w:val="00584262"/>
    <w:rsid w:val="00584F11"/>
    <w:rsid w:val="005850D6"/>
    <w:rsid w:val="005857B5"/>
    <w:rsid w:val="0058634C"/>
    <w:rsid w:val="00586630"/>
    <w:rsid w:val="00587ADD"/>
    <w:rsid w:val="005901B9"/>
    <w:rsid w:val="0059036F"/>
    <w:rsid w:val="00591E27"/>
    <w:rsid w:val="005937EF"/>
    <w:rsid w:val="00593BA0"/>
    <w:rsid w:val="00594F86"/>
    <w:rsid w:val="00595BA8"/>
    <w:rsid w:val="00596160"/>
    <w:rsid w:val="005966E2"/>
    <w:rsid w:val="00597007"/>
    <w:rsid w:val="005974EA"/>
    <w:rsid w:val="005A0966"/>
    <w:rsid w:val="005A11B7"/>
    <w:rsid w:val="005A260B"/>
    <w:rsid w:val="005A2C3A"/>
    <w:rsid w:val="005A3FFF"/>
    <w:rsid w:val="005A4A1B"/>
    <w:rsid w:val="005A639D"/>
    <w:rsid w:val="005A6EF2"/>
    <w:rsid w:val="005A7830"/>
    <w:rsid w:val="005A7FCE"/>
    <w:rsid w:val="005B0F3F"/>
    <w:rsid w:val="005B2C02"/>
    <w:rsid w:val="005B403F"/>
    <w:rsid w:val="005B4903"/>
    <w:rsid w:val="005B51CE"/>
    <w:rsid w:val="005B5885"/>
    <w:rsid w:val="005B5CD7"/>
    <w:rsid w:val="005B6CF6"/>
    <w:rsid w:val="005B7422"/>
    <w:rsid w:val="005C0F71"/>
    <w:rsid w:val="005C29B8"/>
    <w:rsid w:val="005C4B30"/>
    <w:rsid w:val="005C52B4"/>
    <w:rsid w:val="005C5F21"/>
    <w:rsid w:val="005C7156"/>
    <w:rsid w:val="005C7C85"/>
    <w:rsid w:val="005D0C75"/>
    <w:rsid w:val="005D13C9"/>
    <w:rsid w:val="005D2224"/>
    <w:rsid w:val="005D2A8C"/>
    <w:rsid w:val="005D2D19"/>
    <w:rsid w:val="005D4171"/>
    <w:rsid w:val="005D5E0F"/>
    <w:rsid w:val="005D5E6D"/>
    <w:rsid w:val="005D6A95"/>
    <w:rsid w:val="005D6B2C"/>
    <w:rsid w:val="005D6D9C"/>
    <w:rsid w:val="005D6F92"/>
    <w:rsid w:val="005E0FE4"/>
    <w:rsid w:val="005E2335"/>
    <w:rsid w:val="005E2916"/>
    <w:rsid w:val="005E34CA"/>
    <w:rsid w:val="005E3C18"/>
    <w:rsid w:val="005E6812"/>
    <w:rsid w:val="005E6C0E"/>
    <w:rsid w:val="005E6C79"/>
    <w:rsid w:val="005E7881"/>
    <w:rsid w:val="005E78E0"/>
    <w:rsid w:val="005F0D9C"/>
    <w:rsid w:val="005F1BCF"/>
    <w:rsid w:val="005F284E"/>
    <w:rsid w:val="005F4712"/>
    <w:rsid w:val="005F663E"/>
    <w:rsid w:val="00601411"/>
    <w:rsid w:val="006015CE"/>
    <w:rsid w:val="0060174D"/>
    <w:rsid w:val="0060179C"/>
    <w:rsid w:val="00601FCE"/>
    <w:rsid w:val="00602810"/>
    <w:rsid w:val="00604784"/>
    <w:rsid w:val="00605014"/>
    <w:rsid w:val="00605F93"/>
    <w:rsid w:val="006060F2"/>
    <w:rsid w:val="00606419"/>
    <w:rsid w:val="00606D56"/>
    <w:rsid w:val="00607049"/>
    <w:rsid w:val="00607D29"/>
    <w:rsid w:val="00610642"/>
    <w:rsid w:val="00612952"/>
    <w:rsid w:val="0061362A"/>
    <w:rsid w:val="00614CC1"/>
    <w:rsid w:val="00614EA0"/>
    <w:rsid w:val="00615A9D"/>
    <w:rsid w:val="00617387"/>
    <w:rsid w:val="0061783F"/>
    <w:rsid w:val="00617987"/>
    <w:rsid w:val="006205D6"/>
    <w:rsid w:val="006252D8"/>
    <w:rsid w:val="006259BC"/>
    <w:rsid w:val="00625CA0"/>
    <w:rsid w:val="0062636B"/>
    <w:rsid w:val="006303E5"/>
    <w:rsid w:val="00630576"/>
    <w:rsid w:val="00632182"/>
    <w:rsid w:val="00632AE0"/>
    <w:rsid w:val="00633376"/>
    <w:rsid w:val="00633C17"/>
    <w:rsid w:val="0063433D"/>
    <w:rsid w:val="006348FC"/>
    <w:rsid w:val="00634D9E"/>
    <w:rsid w:val="00634FB7"/>
    <w:rsid w:val="00636E3E"/>
    <w:rsid w:val="006379F7"/>
    <w:rsid w:val="00637AC7"/>
    <w:rsid w:val="00637E4D"/>
    <w:rsid w:val="00640620"/>
    <w:rsid w:val="00641A1F"/>
    <w:rsid w:val="00644C95"/>
    <w:rsid w:val="00645248"/>
    <w:rsid w:val="00645904"/>
    <w:rsid w:val="00646B3C"/>
    <w:rsid w:val="0064702A"/>
    <w:rsid w:val="0064737C"/>
    <w:rsid w:val="00647B2B"/>
    <w:rsid w:val="00650410"/>
    <w:rsid w:val="00650CB2"/>
    <w:rsid w:val="00650F1B"/>
    <w:rsid w:val="00651ACB"/>
    <w:rsid w:val="00651C47"/>
    <w:rsid w:val="00652932"/>
    <w:rsid w:val="00652AB2"/>
    <w:rsid w:val="00653399"/>
    <w:rsid w:val="00653918"/>
    <w:rsid w:val="0065396F"/>
    <w:rsid w:val="00653FED"/>
    <w:rsid w:val="0065446F"/>
    <w:rsid w:val="00654EC0"/>
    <w:rsid w:val="0065525B"/>
    <w:rsid w:val="00655D4F"/>
    <w:rsid w:val="00656D29"/>
    <w:rsid w:val="0066068E"/>
    <w:rsid w:val="00663D3F"/>
    <w:rsid w:val="006640E5"/>
    <w:rsid w:val="006646F1"/>
    <w:rsid w:val="00664929"/>
    <w:rsid w:val="00664F62"/>
    <w:rsid w:val="006655E1"/>
    <w:rsid w:val="00665C0D"/>
    <w:rsid w:val="00665FBD"/>
    <w:rsid w:val="00666A7E"/>
    <w:rsid w:val="00672060"/>
    <w:rsid w:val="0067231D"/>
    <w:rsid w:val="00672BFD"/>
    <w:rsid w:val="00673BD0"/>
    <w:rsid w:val="006770F4"/>
    <w:rsid w:val="00677A84"/>
    <w:rsid w:val="0068026D"/>
    <w:rsid w:val="00680A27"/>
    <w:rsid w:val="006816A4"/>
    <w:rsid w:val="006819B8"/>
    <w:rsid w:val="006838F8"/>
    <w:rsid w:val="00683AE9"/>
    <w:rsid w:val="006840A6"/>
    <w:rsid w:val="006843FB"/>
    <w:rsid w:val="006850CD"/>
    <w:rsid w:val="00685AAB"/>
    <w:rsid w:val="00686276"/>
    <w:rsid w:val="00687F07"/>
    <w:rsid w:val="00690C38"/>
    <w:rsid w:val="00694D14"/>
    <w:rsid w:val="0069549F"/>
    <w:rsid w:val="00695D22"/>
    <w:rsid w:val="006965F7"/>
    <w:rsid w:val="0069678C"/>
    <w:rsid w:val="00697709"/>
    <w:rsid w:val="006A07AA"/>
    <w:rsid w:val="006A1299"/>
    <w:rsid w:val="006A25D5"/>
    <w:rsid w:val="006A25E5"/>
    <w:rsid w:val="006A2B46"/>
    <w:rsid w:val="006A3125"/>
    <w:rsid w:val="006A336D"/>
    <w:rsid w:val="006A37B9"/>
    <w:rsid w:val="006A38D1"/>
    <w:rsid w:val="006A42C2"/>
    <w:rsid w:val="006A441E"/>
    <w:rsid w:val="006A4FA7"/>
    <w:rsid w:val="006A6236"/>
    <w:rsid w:val="006A6696"/>
    <w:rsid w:val="006A71D6"/>
    <w:rsid w:val="006A7413"/>
    <w:rsid w:val="006B01F6"/>
    <w:rsid w:val="006B2672"/>
    <w:rsid w:val="006B2744"/>
    <w:rsid w:val="006B27CE"/>
    <w:rsid w:val="006B4F9C"/>
    <w:rsid w:val="006B54BF"/>
    <w:rsid w:val="006B5F44"/>
    <w:rsid w:val="006B5F90"/>
    <w:rsid w:val="006B61E9"/>
    <w:rsid w:val="006B62E4"/>
    <w:rsid w:val="006C1BBA"/>
    <w:rsid w:val="006C2079"/>
    <w:rsid w:val="006C3C4E"/>
    <w:rsid w:val="006C5A62"/>
    <w:rsid w:val="006C5B9A"/>
    <w:rsid w:val="006C5D68"/>
    <w:rsid w:val="006C6976"/>
    <w:rsid w:val="006C6DD0"/>
    <w:rsid w:val="006D01DB"/>
    <w:rsid w:val="006D04EA"/>
    <w:rsid w:val="006D16C4"/>
    <w:rsid w:val="006D17E5"/>
    <w:rsid w:val="006D19C8"/>
    <w:rsid w:val="006D325D"/>
    <w:rsid w:val="006D3E96"/>
    <w:rsid w:val="006D4515"/>
    <w:rsid w:val="006D4633"/>
    <w:rsid w:val="006D4BB1"/>
    <w:rsid w:val="006D6593"/>
    <w:rsid w:val="006E0BC5"/>
    <w:rsid w:val="006E0FF6"/>
    <w:rsid w:val="006E23EA"/>
    <w:rsid w:val="006E32DC"/>
    <w:rsid w:val="006E5791"/>
    <w:rsid w:val="006E59D5"/>
    <w:rsid w:val="006E66BB"/>
    <w:rsid w:val="006E6A8A"/>
    <w:rsid w:val="006F03A8"/>
    <w:rsid w:val="006F1803"/>
    <w:rsid w:val="006F18F6"/>
    <w:rsid w:val="006F2825"/>
    <w:rsid w:val="006F2ACA"/>
    <w:rsid w:val="006F2ADC"/>
    <w:rsid w:val="006F2BFE"/>
    <w:rsid w:val="006F31E9"/>
    <w:rsid w:val="006F3D31"/>
    <w:rsid w:val="006F51B5"/>
    <w:rsid w:val="006F6284"/>
    <w:rsid w:val="006F7B92"/>
    <w:rsid w:val="006F7BB8"/>
    <w:rsid w:val="007002C5"/>
    <w:rsid w:val="00701297"/>
    <w:rsid w:val="007035B0"/>
    <w:rsid w:val="00704387"/>
    <w:rsid w:val="00705080"/>
    <w:rsid w:val="007067FF"/>
    <w:rsid w:val="00706F4E"/>
    <w:rsid w:val="00707669"/>
    <w:rsid w:val="00707AB8"/>
    <w:rsid w:val="00711CBA"/>
    <w:rsid w:val="00711FB5"/>
    <w:rsid w:val="00712A01"/>
    <w:rsid w:val="00713C31"/>
    <w:rsid w:val="00714F58"/>
    <w:rsid w:val="007171E5"/>
    <w:rsid w:val="00722F10"/>
    <w:rsid w:val="00722FBF"/>
    <w:rsid w:val="00722FC2"/>
    <w:rsid w:val="00724879"/>
    <w:rsid w:val="00724E1B"/>
    <w:rsid w:val="00725949"/>
    <w:rsid w:val="0072756B"/>
    <w:rsid w:val="00727917"/>
    <w:rsid w:val="00727FA2"/>
    <w:rsid w:val="00730F82"/>
    <w:rsid w:val="00731147"/>
    <w:rsid w:val="007322D9"/>
    <w:rsid w:val="00732BC0"/>
    <w:rsid w:val="007340D4"/>
    <w:rsid w:val="0073411D"/>
    <w:rsid w:val="00734F93"/>
    <w:rsid w:val="0073720F"/>
    <w:rsid w:val="00737796"/>
    <w:rsid w:val="007400C1"/>
    <w:rsid w:val="0074165C"/>
    <w:rsid w:val="00741C52"/>
    <w:rsid w:val="007428B8"/>
    <w:rsid w:val="00742C35"/>
    <w:rsid w:val="007432CA"/>
    <w:rsid w:val="007439EB"/>
    <w:rsid w:val="00743CB4"/>
    <w:rsid w:val="00743F0A"/>
    <w:rsid w:val="007444E8"/>
    <w:rsid w:val="0074548E"/>
    <w:rsid w:val="00745773"/>
    <w:rsid w:val="0074627A"/>
    <w:rsid w:val="00746800"/>
    <w:rsid w:val="0075009B"/>
    <w:rsid w:val="007501A8"/>
    <w:rsid w:val="00750D61"/>
    <w:rsid w:val="00750EE1"/>
    <w:rsid w:val="0075248E"/>
    <w:rsid w:val="00752B4D"/>
    <w:rsid w:val="0075355F"/>
    <w:rsid w:val="00753AD3"/>
    <w:rsid w:val="00755402"/>
    <w:rsid w:val="00756B26"/>
    <w:rsid w:val="00756EDF"/>
    <w:rsid w:val="007600E3"/>
    <w:rsid w:val="0076018C"/>
    <w:rsid w:val="00763A45"/>
    <w:rsid w:val="00765C43"/>
    <w:rsid w:val="00765EFB"/>
    <w:rsid w:val="00766D75"/>
    <w:rsid w:val="007671CA"/>
    <w:rsid w:val="00767C61"/>
    <w:rsid w:val="0077008A"/>
    <w:rsid w:val="00770E6F"/>
    <w:rsid w:val="00771AAD"/>
    <w:rsid w:val="0077399C"/>
    <w:rsid w:val="00773C1F"/>
    <w:rsid w:val="00774DA4"/>
    <w:rsid w:val="007758A0"/>
    <w:rsid w:val="00776599"/>
    <w:rsid w:val="00777EA9"/>
    <w:rsid w:val="0078114B"/>
    <w:rsid w:val="00781B05"/>
    <w:rsid w:val="00781DD2"/>
    <w:rsid w:val="00783ECF"/>
    <w:rsid w:val="0078413A"/>
    <w:rsid w:val="00784CF6"/>
    <w:rsid w:val="00787B04"/>
    <w:rsid w:val="007907D7"/>
    <w:rsid w:val="00793C16"/>
    <w:rsid w:val="007959E8"/>
    <w:rsid w:val="00795E9C"/>
    <w:rsid w:val="007A0521"/>
    <w:rsid w:val="007A18D3"/>
    <w:rsid w:val="007A1F1D"/>
    <w:rsid w:val="007A2E12"/>
    <w:rsid w:val="007A3475"/>
    <w:rsid w:val="007A41C8"/>
    <w:rsid w:val="007A54CE"/>
    <w:rsid w:val="007A67E6"/>
    <w:rsid w:val="007A6FD9"/>
    <w:rsid w:val="007A7FFA"/>
    <w:rsid w:val="007B04EB"/>
    <w:rsid w:val="007B0D4F"/>
    <w:rsid w:val="007B3FFE"/>
    <w:rsid w:val="007B4421"/>
    <w:rsid w:val="007B5A3D"/>
    <w:rsid w:val="007B5B95"/>
    <w:rsid w:val="007B65E5"/>
    <w:rsid w:val="007B68EA"/>
    <w:rsid w:val="007B6BCC"/>
    <w:rsid w:val="007B7453"/>
    <w:rsid w:val="007C1498"/>
    <w:rsid w:val="007C1AB1"/>
    <w:rsid w:val="007C1E8B"/>
    <w:rsid w:val="007C2D89"/>
    <w:rsid w:val="007C3CC7"/>
    <w:rsid w:val="007C4593"/>
    <w:rsid w:val="007C5309"/>
    <w:rsid w:val="007C532D"/>
    <w:rsid w:val="007C6069"/>
    <w:rsid w:val="007C7A96"/>
    <w:rsid w:val="007D06C4"/>
    <w:rsid w:val="007D1352"/>
    <w:rsid w:val="007D201F"/>
    <w:rsid w:val="007D2508"/>
    <w:rsid w:val="007D346A"/>
    <w:rsid w:val="007D46E3"/>
    <w:rsid w:val="007D4C77"/>
    <w:rsid w:val="007D5B17"/>
    <w:rsid w:val="007D6518"/>
    <w:rsid w:val="007D76BD"/>
    <w:rsid w:val="007E0BF1"/>
    <w:rsid w:val="007E28F7"/>
    <w:rsid w:val="007F03AE"/>
    <w:rsid w:val="007F0ED8"/>
    <w:rsid w:val="007F0F63"/>
    <w:rsid w:val="007F1CC0"/>
    <w:rsid w:val="007F53F4"/>
    <w:rsid w:val="007F690D"/>
    <w:rsid w:val="007F75CE"/>
    <w:rsid w:val="00800AE6"/>
    <w:rsid w:val="008013A4"/>
    <w:rsid w:val="008027CE"/>
    <w:rsid w:val="00802F42"/>
    <w:rsid w:val="00804383"/>
    <w:rsid w:val="008043C4"/>
    <w:rsid w:val="00804BB7"/>
    <w:rsid w:val="00804C1C"/>
    <w:rsid w:val="00804C9A"/>
    <w:rsid w:val="00804D41"/>
    <w:rsid w:val="00806389"/>
    <w:rsid w:val="0080667A"/>
    <w:rsid w:val="00806D02"/>
    <w:rsid w:val="00810257"/>
    <w:rsid w:val="008104F5"/>
    <w:rsid w:val="00810B4D"/>
    <w:rsid w:val="00811072"/>
    <w:rsid w:val="00811369"/>
    <w:rsid w:val="00812F09"/>
    <w:rsid w:val="00815419"/>
    <w:rsid w:val="008163C8"/>
    <w:rsid w:val="008164A1"/>
    <w:rsid w:val="00817325"/>
    <w:rsid w:val="008203D4"/>
    <w:rsid w:val="008209E6"/>
    <w:rsid w:val="00823303"/>
    <w:rsid w:val="008233B2"/>
    <w:rsid w:val="00823A9F"/>
    <w:rsid w:val="00823C85"/>
    <w:rsid w:val="0082409C"/>
    <w:rsid w:val="00824A7F"/>
    <w:rsid w:val="00825138"/>
    <w:rsid w:val="00825681"/>
    <w:rsid w:val="00825DA2"/>
    <w:rsid w:val="008269DD"/>
    <w:rsid w:val="00830621"/>
    <w:rsid w:val="00831F01"/>
    <w:rsid w:val="00832C57"/>
    <w:rsid w:val="00832D08"/>
    <w:rsid w:val="0083348C"/>
    <w:rsid w:val="00834D72"/>
    <w:rsid w:val="008373D3"/>
    <w:rsid w:val="00840276"/>
    <w:rsid w:val="00840617"/>
    <w:rsid w:val="00840B4D"/>
    <w:rsid w:val="00840F84"/>
    <w:rsid w:val="0084108E"/>
    <w:rsid w:val="00842A47"/>
    <w:rsid w:val="008438F7"/>
    <w:rsid w:val="00843C13"/>
    <w:rsid w:val="008454F8"/>
    <w:rsid w:val="008469D3"/>
    <w:rsid w:val="00847390"/>
    <w:rsid w:val="00850396"/>
    <w:rsid w:val="008507C5"/>
    <w:rsid w:val="00850EC8"/>
    <w:rsid w:val="0085173A"/>
    <w:rsid w:val="00856316"/>
    <w:rsid w:val="00857006"/>
    <w:rsid w:val="008603CE"/>
    <w:rsid w:val="00861069"/>
    <w:rsid w:val="008620FC"/>
    <w:rsid w:val="008627A5"/>
    <w:rsid w:val="00863E05"/>
    <w:rsid w:val="00865168"/>
    <w:rsid w:val="00865ACA"/>
    <w:rsid w:val="00865D28"/>
    <w:rsid w:val="00865F85"/>
    <w:rsid w:val="00867C10"/>
    <w:rsid w:val="00870439"/>
    <w:rsid w:val="00870DA1"/>
    <w:rsid w:val="00874895"/>
    <w:rsid w:val="008771A9"/>
    <w:rsid w:val="00877C4F"/>
    <w:rsid w:val="00880D7E"/>
    <w:rsid w:val="00882948"/>
    <w:rsid w:val="00883F93"/>
    <w:rsid w:val="00884DB3"/>
    <w:rsid w:val="008852B5"/>
    <w:rsid w:val="00885A9D"/>
    <w:rsid w:val="008864F6"/>
    <w:rsid w:val="00886F50"/>
    <w:rsid w:val="00887AAB"/>
    <w:rsid w:val="00887F44"/>
    <w:rsid w:val="0089049D"/>
    <w:rsid w:val="008928C9"/>
    <w:rsid w:val="008930CB"/>
    <w:rsid w:val="008938DC"/>
    <w:rsid w:val="00893FD1"/>
    <w:rsid w:val="008946EB"/>
    <w:rsid w:val="00894836"/>
    <w:rsid w:val="00895172"/>
    <w:rsid w:val="00895680"/>
    <w:rsid w:val="00895D1A"/>
    <w:rsid w:val="0089645A"/>
    <w:rsid w:val="00896DFF"/>
    <w:rsid w:val="0089762C"/>
    <w:rsid w:val="008A1893"/>
    <w:rsid w:val="008A2492"/>
    <w:rsid w:val="008A2B31"/>
    <w:rsid w:val="008A3215"/>
    <w:rsid w:val="008A57E6"/>
    <w:rsid w:val="008A6D9F"/>
    <w:rsid w:val="008A6E73"/>
    <w:rsid w:val="008A6F81"/>
    <w:rsid w:val="008A769A"/>
    <w:rsid w:val="008B0C9C"/>
    <w:rsid w:val="008B166D"/>
    <w:rsid w:val="008B17F4"/>
    <w:rsid w:val="008B1F29"/>
    <w:rsid w:val="008B3615"/>
    <w:rsid w:val="008B4AC4"/>
    <w:rsid w:val="008B50C8"/>
    <w:rsid w:val="008B5281"/>
    <w:rsid w:val="008B596E"/>
    <w:rsid w:val="008B7E05"/>
    <w:rsid w:val="008C07A7"/>
    <w:rsid w:val="008C1797"/>
    <w:rsid w:val="008C219C"/>
    <w:rsid w:val="008C475E"/>
    <w:rsid w:val="008C619A"/>
    <w:rsid w:val="008C71A9"/>
    <w:rsid w:val="008D0CE8"/>
    <w:rsid w:val="008D2130"/>
    <w:rsid w:val="008D2D1D"/>
    <w:rsid w:val="008D2D36"/>
    <w:rsid w:val="008D3FB8"/>
    <w:rsid w:val="008D453D"/>
    <w:rsid w:val="008D53AD"/>
    <w:rsid w:val="008D562B"/>
    <w:rsid w:val="008D5733"/>
    <w:rsid w:val="008D587F"/>
    <w:rsid w:val="008D622B"/>
    <w:rsid w:val="008D6244"/>
    <w:rsid w:val="008D666C"/>
    <w:rsid w:val="008D6751"/>
    <w:rsid w:val="008D7B54"/>
    <w:rsid w:val="008E0219"/>
    <w:rsid w:val="008E084D"/>
    <w:rsid w:val="008E0C9D"/>
    <w:rsid w:val="008E1648"/>
    <w:rsid w:val="008E1B3E"/>
    <w:rsid w:val="008E2319"/>
    <w:rsid w:val="008E26BF"/>
    <w:rsid w:val="008E364A"/>
    <w:rsid w:val="008E4BB6"/>
    <w:rsid w:val="008E4FC5"/>
    <w:rsid w:val="008E5518"/>
    <w:rsid w:val="008E5FB3"/>
    <w:rsid w:val="008E6A84"/>
    <w:rsid w:val="008F0132"/>
    <w:rsid w:val="008F0762"/>
    <w:rsid w:val="008F09B8"/>
    <w:rsid w:val="008F0CDC"/>
    <w:rsid w:val="008F16CC"/>
    <w:rsid w:val="008F17A3"/>
    <w:rsid w:val="008F1BA3"/>
    <w:rsid w:val="008F1ED3"/>
    <w:rsid w:val="008F23A5"/>
    <w:rsid w:val="008F3648"/>
    <w:rsid w:val="008F4B21"/>
    <w:rsid w:val="008F4BDD"/>
    <w:rsid w:val="008F4C29"/>
    <w:rsid w:val="008F6A6D"/>
    <w:rsid w:val="008F70BD"/>
    <w:rsid w:val="008F788F"/>
    <w:rsid w:val="008F7EA2"/>
    <w:rsid w:val="009003C4"/>
    <w:rsid w:val="00902722"/>
    <w:rsid w:val="009027BC"/>
    <w:rsid w:val="00902E21"/>
    <w:rsid w:val="009062E6"/>
    <w:rsid w:val="00911BE5"/>
    <w:rsid w:val="00913CA9"/>
    <w:rsid w:val="00913D74"/>
    <w:rsid w:val="009145AE"/>
    <w:rsid w:val="009146CE"/>
    <w:rsid w:val="00914CA7"/>
    <w:rsid w:val="00915B41"/>
    <w:rsid w:val="00915C3E"/>
    <w:rsid w:val="009161A8"/>
    <w:rsid w:val="00921ED9"/>
    <w:rsid w:val="00922918"/>
    <w:rsid w:val="00922B9F"/>
    <w:rsid w:val="00923E0B"/>
    <w:rsid w:val="009245F5"/>
    <w:rsid w:val="009249EC"/>
    <w:rsid w:val="009273B3"/>
    <w:rsid w:val="009305B5"/>
    <w:rsid w:val="00931D95"/>
    <w:rsid w:val="0093352F"/>
    <w:rsid w:val="00933F9D"/>
    <w:rsid w:val="009344D7"/>
    <w:rsid w:val="009357BB"/>
    <w:rsid w:val="00935EE4"/>
    <w:rsid w:val="009364DF"/>
    <w:rsid w:val="009429D5"/>
    <w:rsid w:val="00942BF1"/>
    <w:rsid w:val="009446F2"/>
    <w:rsid w:val="00945180"/>
    <w:rsid w:val="00945428"/>
    <w:rsid w:val="00945AA1"/>
    <w:rsid w:val="0094607B"/>
    <w:rsid w:val="00946621"/>
    <w:rsid w:val="00951D34"/>
    <w:rsid w:val="00953604"/>
    <w:rsid w:val="00953A12"/>
    <w:rsid w:val="00954034"/>
    <w:rsid w:val="0095496B"/>
    <w:rsid w:val="0095598E"/>
    <w:rsid w:val="00956449"/>
    <w:rsid w:val="00956A01"/>
    <w:rsid w:val="00957BCB"/>
    <w:rsid w:val="00960B42"/>
    <w:rsid w:val="009610DC"/>
    <w:rsid w:val="00961490"/>
    <w:rsid w:val="0096212A"/>
    <w:rsid w:val="00962CA8"/>
    <w:rsid w:val="0096381A"/>
    <w:rsid w:val="00963C6E"/>
    <w:rsid w:val="00963D34"/>
    <w:rsid w:val="00965E04"/>
    <w:rsid w:val="009674AD"/>
    <w:rsid w:val="00970CDC"/>
    <w:rsid w:val="009716D1"/>
    <w:rsid w:val="00972422"/>
    <w:rsid w:val="00977010"/>
    <w:rsid w:val="00977D02"/>
    <w:rsid w:val="009809BB"/>
    <w:rsid w:val="00981BB7"/>
    <w:rsid w:val="0098364B"/>
    <w:rsid w:val="00984DBB"/>
    <w:rsid w:val="009853CA"/>
    <w:rsid w:val="009911AF"/>
    <w:rsid w:val="00991875"/>
    <w:rsid w:val="00991F92"/>
    <w:rsid w:val="0099265B"/>
    <w:rsid w:val="00992985"/>
    <w:rsid w:val="00993889"/>
    <w:rsid w:val="009946A5"/>
    <w:rsid w:val="0099480F"/>
    <w:rsid w:val="0099551B"/>
    <w:rsid w:val="00996959"/>
    <w:rsid w:val="00997BF1"/>
    <w:rsid w:val="009A089C"/>
    <w:rsid w:val="009A118E"/>
    <w:rsid w:val="009A1AF6"/>
    <w:rsid w:val="009A21CD"/>
    <w:rsid w:val="009A278C"/>
    <w:rsid w:val="009A2BC2"/>
    <w:rsid w:val="009A40FF"/>
    <w:rsid w:val="009A42C1"/>
    <w:rsid w:val="009A5429"/>
    <w:rsid w:val="009A72AD"/>
    <w:rsid w:val="009B09E0"/>
    <w:rsid w:val="009B0BC5"/>
    <w:rsid w:val="009B1247"/>
    <w:rsid w:val="009B3414"/>
    <w:rsid w:val="009B55F4"/>
    <w:rsid w:val="009B6029"/>
    <w:rsid w:val="009B6971"/>
    <w:rsid w:val="009C27F1"/>
    <w:rsid w:val="009C3152"/>
    <w:rsid w:val="009C4936"/>
    <w:rsid w:val="009C4CFA"/>
    <w:rsid w:val="009C5070"/>
    <w:rsid w:val="009C6239"/>
    <w:rsid w:val="009C72C1"/>
    <w:rsid w:val="009D0A57"/>
    <w:rsid w:val="009D112C"/>
    <w:rsid w:val="009D47FA"/>
    <w:rsid w:val="009D4C46"/>
    <w:rsid w:val="009D4C5B"/>
    <w:rsid w:val="009D5080"/>
    <w:rsid w:val="009D50D2"/>
    <w:rsid w:val="009D6BCA"/>
    <w:rsid w:val="009D733F"/>
    <w:rsid w:val="009E0102"/>
    <w:rsid w:val="009E0F62"/>
    <w:rsid w:val="009E302A"/>
    <w:rsid w:val="009E3FDE"/>
    <w:rsid w:val="009E4A58"/>
    <w:rsid w:val="009E5A2D"/>
    <w:rsid w:val="009E5AB2"/>
    <w:rsid w:val="009E6219"/>
    <w:rsid w:val="009F03B3"/>
    <w:rsid w:val="009F2E10"/>
    <w:rsid w:val="009F3C19"/>
    <w:rsid w:val="009F3F57"/>
    <w:rsid w:val="009F4119"/>
    <w:rsid w:val="009F5816"/>
    <w:rsid w:val="009F7CBC"/>
    <w:rsid w:val="00A0096C"/>
    <w:rsid w:val="00A00B94"/>
    <w:rsid w:val="00A01757"/>
    <w:rsid w:val="00A02423"/>
    <w:rsid w:val="00A028C0"/>
    <w:rsid w:val="00A02BAE"/>
    <w:rsid w:val="00A06A6B"/>
    <w:rsid w:val="00A07E47"/>
    <w:rsid w:val="00A129D0"/>
    <w:rsid w:val="00A12C33"/>
    <w:rsid w:val="00A12CDC"/>
    <w:rsid w:val="00A138BA"/>
    <w:rsid w:val="00A14C8E"/>
    <w:rsid w:val="00A153D9"/>
    <w:rsid w:val="00A15F09"/>
    <w:rsid w:val="00A169B6"/>
    <w:rsid w:val="00A20E14"/>
    <w:rsid w:val="00A2165E"/>
    <w:rsid w:val="00A2271D"/>
    <w:rsid w:val="00A237D5"/>
    <w:rsid w:val="00A30EFC"/>
    <w:rsid w:val="00A31984"/>
    <w:rsid w:val="00A31B93"/>
    <w:rsid w:val="00A32D73"/>
    <w:rsid w:val="00A3367B"/>
    <w:rsid w:val="00A34B2B"/>
    <w:rsid w:val="00A3597D"/>
    <w:rsid w:val="00A36DD1"/>
    <w:rsid w:val="00A4006C"/>
    <w:rsid w:val="00A40091"/>
    <w:rsid w:val="00A4030F"/>
    <w:rsid w:val="00A4165B"/>
    <w:rsid w:val="00A41C79"/>
    <w:rsid w:val="00A41CB5"/>
    <w:rsid w:val="00A4261A"/>
    <w:rsid w:val="00A42CDF"/>
    <w:rsid w:val="00A4452E"/>
    <w:rsid w:val="00A4472C"/>
    <w:rsid w:val="00A44E69"/>
    <w:rsid w:val="00A45E81"/>
    <w:rsid w:val="00A4661E"/>
    <w:rsid w:val="00A47C14"/>
    <w:rsid w:val="00A5569E"/>
    <w:rsid w:val="00A55BD6"/>
    <w:rsid w:val="00A55D50"/>
    <w:rsid w:val="00A57142"/>
    <w:rsid w:val="00A620C0"/>
    <w:rsid w:val="00A62A9E"/>
    <w:rsid w:val="00A648CD"/>
    <w:rsid w:val="00A6537A"/>
    <w:rsid w:val="00A65D10"/>
    <w:rsid w:val="00A67245"/>
    <w:rsid w:val="00A67866"/>
    <w:rsid w:val="00A70A93"/>
    <w:rsid w:val="00A70B07"/>
    <w:rsid w:val="00A723F8"/>
    <w:rsid w:val="00A736AD"/>
    <w:rsid w:val="00A73E1B"/>
    <w:rsid w:val="00A76BFC"/>
    <w:rsid w:val="00A77CCB"/>
    <w:rsid w:val="00A77E45"/>
    <w:rsid w:val="00A816CA"/>
    <w:rsid w:val="00A828EA"/>
    <w:rsid w:val="00A83B74"/>
    <w:rsid w:val="00A83D8D"/>
    <w:rsid w:val="00A8446B"/>
    <w:rsid w:val="00A8473F"/>
    <w:rsid w:val="00A84CD2"/>
    <w:rsid w:val="00A85164"/>
    <w:rsid w:val="00A85781"/>
    <w:rsid w:val="00A86099"/>
    <w:rsid w:val="00A862D6"/>
    <w:rsid w:val="00A868C4"/>
    <w:rsid w:val="00A8715E"/>
    <w:rsid w:val="00A878E5"/>
    <w:rsid w:val="00A87A95"/>
    <w:rsid w:val="00A9060D"/>
    <w:rsid w:val="00A9150D"/>
    <w:rsid w:val="00A9295B"/>
    <w:rsid w:val="00A93B09"/>
    <w:rsid w:val="00A94247"/>
    <w:rsid w:val="00A952D7"/>
    <w:rsid w:val="00A963F7"/>
    <w:rsid w:val="00A96AD8"/>
    <w:rsid w:val="00AA052C"/>
    <w:rsid w:val="00AA1E45"/>
    <w:rsid w:val="00AA4286"/>
    <w:rsid w:val="00AA456B"/>
    <w:rsid w:val="00AA47BC"/>
    <w:rsid w:val="00AA57F5"/>
    <w:rsid w:val="00AA59B9"/>
    <w:rsid w:val="00AA672E"/>
    <w:rsid w:val="00AA6EC9"/>
    <w:rsid w:val="00AB0EAD"/>
    <w:rsid w:val="00AB36F9"/>
    <w:rsid w:val="00AB3D85"/>
    <w:rsid w:val="00AB41D5"/>
    <w:rsid w:val="00AB5620"/>
    <w:rsid w:val="00AB6309"/>
    <w:rsid w:val="00AB6C5F"/>
    <w:rsid w:val="00AB7129"/>
    <w:rsid w:val="00AB7385"/>
    <w:rsid w:val="00AC27A6"/>
    <w:rsid w:val="00AC30F7"/>
    <w:rsid w:val="00AC3A5A"/>
    <w:rsid w:val="00AC43C5"/>
    <w:rsid w:val="00AC4D95"/>
    <w:rsid w:val="00AC5DF4"/>
    <w:rsid w:val="00AD0AEF"/>
    <w:rsid w:val="00AD11B7"/>
    <w:rsid w:val="00AD1517"/>
    <w:rsid w:val="00AD1A94"/>
    <w:rsid w:val="00AD1C05"/>
    <w:rsid w:val="00AD4126"/>
    <w:rsid w:val="00AD421C"/>
    <w:rsid w:val="00AD44FA"/>
    <w:rsid w:val="00AE070A"/>
    <w:rsid w:val="00AE101C"/>
    <w:rsid w:val="00AE3674"/>
    <w:rsid w:val="00AE37E5"/>
    <w:rsid w:val="00AE3802"/>
    <w:rsid w:val="00AE5EB4"/>
    <w:rsid w:val="00AF0C18"/>
    <w:rsid w:val="00AF236E"/>
    <w:rsid w:val="00AF2878"/>
    <w:rsid w:val="00AF29A1"/>
    <w:rsid w:val="00AF47C5"/>
    <w:rsid w:val="00AF4A61"/>
    <w:rsid w:val="00AF5398"/>
    <w:rsid w:val="00AF6187"/>
    <w:rsid w:val="00AF654C"/>
    <w:rsid w:val="00AF7177"/>
    <w:rsid w:val="00B01BC2"/>
    <w:rsid w:val="00B049AF"/>
    <w:rsid w:val="00B05F03"/>
    <w:rsid w:val="00B062A4"/>
    <w:rsid w:val="00B07242"/>
    <w:rsid w:val="00B10534"/>
    <w:rsid w:val="00B110C8"/>
    <w:rsid w:val="00B113DB"/>
    <w:rsid w:val="00B11D8A"/>
    <w:rsid w:val="00B12981"/>
    <w:rsid w:val="00B12C19"/>
    <w:rsid w:val="00B137C1"/>
    <w:rsid w:val="00B13ADA"/>
    <w:rsid w:val="00B147DD"/>
    <w:rsid w:val="00B156FD"/>
    <w:rsid w:val="00B21F61"/>
    <w:rsid w:val="00B23F84"/>
    <w:rsid w:val="00B261F1"/>
    <w:rsid w:val="00B262F0"/>
    <w:rsid w:val="00B265BC"/>
    <w:rsid w:val="00B27A26"/>
    <w:rsid w:val="00B31FB1"/>
    <w:rsid w:val="00B33952"/>
    <w:rsid w:val="00B33C5E"/>
    <w:rsid w:val="00B342F4"/>
    <w:rsid w:val="00B34369"/>
    <w:rsid w:val="00B34DC2"/>
    <w:rsid w:val="00B35A85"/>
    <w:rsid w:val="00B35C63"/>
    <w:rsid w:val="00B378E5"/>
    <w:rsid w:val="00B37F7F"/>
    <w:rsid w:val="00B4024E"/>
    <w:rsid w:val="00B40655"/>
    <w:rsid w:val="00B4346D"/>
    <w:rsid w:val="00B440F4"/>
    <w:rsid w:val="00B447A5"/>
    <w:rsid w:val="00B46312"/>
    <w:rsid w:val="00B4654C"/>
    <w:rsid w:val="00B47293"/>
    <w:rsid w:val="00B50E50"/>
    <w:rsid w:val="00B52120"/>
    <w:rsid w:val="00B54ABC"/>
    <w:rsid w:val="00B54BC9"/>
    <w:rsid w:val="00B54DDE"/>
    <w:rsid w:val="00B56FBE"/>
    <w:rsid w:val="00B571D8"/>
    <w:rsid w:val="00B60297"/>
    <w:rsid w:val="00B60ACF"/>
    <w:rsid w:val="00B60F6F"/>
    <w:rsid w:val="00B62B58"/>
    <w:rsid w:val="00B65149"/>
    <w:rsid w:val="00B658CC"/>
    <w:rsid w:val="00B66567"/>
    <w:rsid w:val="00B66BAB"/>
    <w:rsid w:val="00B66F52"/>
    <w:rsid w:val="00B66FE5"/>
    <w:rsid w:val="00B72880"/>
    <w:rsid w:val="00B73058"/>
    <w:rsid w:val="00B73128"/>
    <w:rsid w:val="00B731B9"/>
    <w:rsid w:val="00B758BF"/>
    <w:rsid w:val="00B77550"/>
    <w:rsid w:val="00B77EC8"/>
    <w:rsid w:val="00B823FD"/>
    <w:rsid w:val="00B826DC"/>
    <w:rsid w:val="00B827A6"/>
    <w:rsid w:val="00B831CE"/>
    <w:rsid w:val="00B847A9"/>
    <w:rsid w:val="00B86677"/>
    <w:rsid w:val="00B87131"/>
    <w:rsid w:val="00B87C53"/>
    <w:rsid w:val="00B903EF"/>
    <w:rsid w:val="00B9089A"/>
    <w:rsid w:val="00B91991"/>
    <w:rsid w:val="00B939B1"/>
    <w:rsid w:val="00B93D3F"/>
    <w:rsid w:val="00B94683"/>
    <w:rsid w:val="00B96D40"/>
    <w:rsid w:val="00B9710A"/>
    <w:rsid w:val="00B97386"/>
    <w:rsid w:val="00BA263B"/>
    <w:rsid w:val="00BA42B2"/>
    <w:rsid w:val="00BA58D4"/>
    <w:rsid w:val="00BA5B9E"/>
    <w:rsid w:val="00BA5D74"/>
    <w:rsid w:val="00BA6EFE"/>
    <w:rsid w:val="00BA7C9A"/>
    <w:rsid w:val="00BA7F87"/>
    <w:rsid w:val="00BB0E32"/>
    <w:rsid w:val="00BB1181"/>
    <w:rsid w:val="00BB5F8F"/>
    <w:rsid w:val="00BB657A"/>
    <w:rsid w:val="00BB65EE"/>
    <w:rsid w:val="00BB6864"/>
    <w:rsid w:val="00BC1A4E"/>
    <w:rsid w:val="00BC397A"/>
    <w:rsid w:val="00BC3E4D"/>
    <w:rsid w:val="00BC5DC7"/>
    <w:rsid w:val="00BC6B8B"/>
    <w:rsid w:val="00BC6C06"/>
    <w:rsid w:val="00BC73D8"/>
    <w:rsid w:val="00BC7B1D"/>
    <w:rsid w:val="00BD2C0B"/>
    <w:rsid w:val="00BD52D7"/>
    <w:rsid w:val="00BD5AD2"/>
    <w:rsid w:val="00BD71F0"/>
    <w:rsid w:val="00BD7A8F"/>
    <w:rsid w:val="00BE22F3"/>
    <w:rsid w:val="00BE3C76"/>
    <w:rsid w:val="00BE4E0C"/>
    <w:rsid w:val="00BE5B52"/>
    <w:rsid w:val="00BE6CFE"/>
    <w:rsid w:val="00BE76CD"/>
    <w:rsid w:val="00BE7AAD"/>
    <w:rsid w:val="00BE7B8D"/>
    <w:rsid w:val="00BF0993"/>
    <w:rsid w:val="00BF10A9"/>
    <w:rsid w:val="00BF1703"/>
    <w:rsid w:val="00BF17A6"/>
    <w:rsid w:val="00BF231C"/>
    <w:rsid w:val="00BF2926"/>
    <w:rsid w:val="00BF4B9F"/>
    <w:rsid w:val="00BF4C29"/>
    <w:rsid w:val="00BF51E5"/>
    <w:rsid w:val="00BF74A6"/>
    <w:rsid w:val="00BF7B6F"/>
    <w:rsid w:val="00C013AD"/>
    <w:rsid w:val="00C031CF"/>
    <w:rsid w:val="00C03E57"/>
    <w:rsid w:val="00C04904"/>
    <w:rsid w:val="00C056B3"/>
    <w:rsid w:val="00C06F02"/>
    <w:rsid w:val="00C07642"/>
    <w:rsid w:val="00C103E5"/>
    <w:rsid w:val="00C13319"/>
    <w:rsid w:val="00C13A16"/>
    <w:rsid w:val="00C13EE9"/>
    <w:rsid w:val="00C146D4"/>
    <w:rsid w:val="00C1573F"/>
    <w:rsid w:val="00C1618D"/>
    <w:rsid w:val="00C17BBA"/>
    <w:rsid w:val="00C21048"/>
    <w:rsid w:val="00C21540"/>
    <w:rsid w:val="00C2173E"/>
    <w:rsid w:val="00C21906"/>
    <w:rsid w:val="00C21BFA"/>
    <w:rsid w:val="00C22148"/>
    <w:rsid w:val="00C247FB"/>
    <w:rsid w:val="00C24C8D"/>
    <w:rsid w:val="00C25DFA"/>
    <w:rsid w:val="00C25FE2"/>
    <w:rsid w:val="00C265DF"/>
    <w:rsid w:val="00C26B53"/>
    <w:rsid w:val="00C27703"/>
    <w:rsid w:val="00C279B2"/>
    <w:rsid w:val="00C31FFD"/>
    <w:rsid w:val="00C33E50"/>
    <w:rsid w:val="00C33EF1"/>
    <w:rsid w:val="00C3447D"/>
    <w:rsid w:val="00C34C20"/>
    <w:rsid w:val="00C35A3E"/>
    <w:rsid w:val="00C35FF9"/>
    <w:rsid w:val="00C3636C"/>
    <w:rsid w:val="00C36EB9"/>
    <w:rsid w:val="00C42130"/>
    <w:rsid w:val="00C423A4"/>
    <w:rsid w:val="00C42606"/>
    <w:rsid w:val="00C44BF5"/>
    <w:rsid w:val="00C45CC0"/>
    <w:rsid w:val="00C45CEA"/>
    <w:rsid w:val="00C45E36"/>
    <w:rsid w:val="00C468CB"/>
    <w:rsid w:val="00C521D6"/>
    <w:rsid w:val="00C53288"/>
    <w:rsid w:val="00C5496E"/>
    <w:rsid w:val="00C55232"/>
    <w:rsid w:val="00C553A4"/>
    <w:rsid w:val="00C55A06"/>
    <w:rsid w:val="00C55D03"/>
    <w:rsid w:val="00C57486"/>
    <w:rsid w:val="00C601BC"/>
    <w:rsid w:val="00C622A7"/>
    <w:rsid w:val="00C623AD"/>
    <w:rsid w:val="00C62C18"/>
    <w:rsid w:val="00C6329F"/>
    <w:rsid w:val="00C63340"/>
    <w:rsid w:val="00C63FD9"/>
    <w:rsid w:val="00C643F9"/>
    <w:rsid w:val="00C64E95"/>
    <w:rsid w:val="00C67D36"/>
    <w:rsid w:val="00C71372"/>
    <w:rsid w:val="00C72410"/>
    <w:rsid w:val="00C7287F"/>
    <w:rsid w:val="00C75DEB"/>
    <w:rsid w:val="00C76701"/>
    <w:rsid w:val="00C76C75"/>
    <w:rsid w:val="00C76D47"/>
    <w:rsid w:val="00C77620"/>
    <w:rsid w:val="00C80CB8"/>
    <w:rsid w:val="00C819F8"/>
    <w:rsid w:val="00C8248C"/>
    <w:rsid w:val="00C83CFB"/>
    <w:rsid w:val="00C84E33"/>
    <w:rsid w:val="00C86D6F"/>
    <w:rsid w:val="00C905FC"/>
    <w:rsid w:val="00C9085E"/>
    <w:rsid w:val="00C92D03"/>
    <w:rsid w:val="00C9319C"/>
    <w:rsid w:val="00C93F26"/>
    <w:rsid w:val="00C9435D"/>
    <w:rsid w:val="00C945EB"/>
    <w:rsid w:val="00C94DF2"/>
    <w:rsid w:val="00C96741"/>
    <w:rsid w:val="00C96A8E"/>
    <w:rsid w:val="00C96D88"/>
    <w:rsid w:val="00CA19C0"/>
    <w:rsid w:val="00CA2D1B"/>
    <w:rsid w:val="00CA375D"/>
    <w:rsid w:val="00CA662A"/>
    <w:rsid w:val="00CA7AFD"/>
    <w:rsid w:val="00CA7C3C"/>
    <w:rsid w:val="00CB0189"/>
    <w:rsid w:val="00CB0BA2"/>
    <w:rsid w:val="00CB1A42"/>
    <w:rsid w:val="00CB1B0C"/>
    <w:rsid w:val="00CB26C4"/>
    <w:rsid w:val="00CB274A"/>
    <w:rsid w:val="00CB2C0B"/>
    <w:rsid w:val="00CB4CF3"/>
    <w:rsid w:val="00CB517D"/>
    <w:rsid w:val="00CB7E04"/>
    <w:rsid w:val="00CC038D"/>
    <w:rsid w:val="00CC08DB"/>
    <w:rsid w:val="00CC0F5B"/>
    <w:rsid w:val="00CC2B74"/>
    <w:rsid w:val="00CC39FF"/>
    <w:rsid w:val="00CC3C2F"/>
    <w:rsid w:val="00CC4AC8"/>
    <w:rsid w:val="00CC5233"/>
    <w:rsid w:val="00CC5DE6"/>
    <w:rsid w:val="00CC6E4E"/>
    <w:rsid w:val="00CC6FE8"/>
    <w:rsid w:val="00CC7202"/>
    <w:rsid w:val="00CD1FAF"/>
    <w:rsid w:val="00CD2808"/>
    <w:rsid w:val="00CD28BF"/>
    <w:rsid w:val="00CD2BF5"/>
    <w:rsid w:val="00CD4092"/>
    <w:rsid w:val="00CD4A20"/>
    <w:rsid w:val="00CD4A51"/>
    <w:rsid w:val="00CD50A1"/>
    <w:rsid w:val="00CD519E"/>
    <w:rsid w:val="00CD7D2F"/>
    <w:rsid w:val="00CE0C4F"/>
    <w:rsid w:val="00CE1450"/>
    <w:rsid w:val="00CE1697"/>
    <w:rsid w:val="00CE24DA"/>
    <w:rsid w:val="00CE30EA"/>
    <w:rsid w:val="00CE464E"/>
    <w:rsid w:val="00CE5D2E"/>
    <w:rsid w:val="00CF048A"/>
    <w:rsid w:val="00CF155A"/>
    <w:rsid w:val="00CF2947"/>
    <w:rsid w:val="00CF3F42"/>
    <w:rsid w:val="00CF664F"/>
    <w:rsid w:val="00CF686F"/>
    <w:rsid w:val="00CF6E60"/>
    <w:rsid w:val="00CF73EA"/>
    <w:rsid w:val="00CF7BCA"/>
    <w:rsid w:val="00D008FD"/>
    <w:rsid w:val="00D027D6"/>
    <w:rsid w:val="00D0321C"/>
    <w:rsid w:val="00D035EC"/>
    <w:rsid w:val="00D03B15"/>
    <w:rsid w:val="00D05B4B"/>
    <w:rsid w:val="00D06AB1"/>
    <w:rsid w:val="00D06F34"/>
    <w:rsid w:val="00D072ED"/>
    <w:rsid w:val="00D07A16"/>
    <w:rsid w:val="00D07C56"/>
    <w:rsid w:val="00D101A0"/>
    <w:rsid w:val="00D1067E"/>
    <w:rsid w:val="00D10F50"/>
    <w:rsid w:val="00D11272"/>
    <w:rsid w:val="00D126F5"/>
    <w:rsid w:val="00D13E9B"/>
    <w:rsid w:val="00D1489E"/>
    <w:rsid w:val="00D14D4B"/>
    <w:rsid w:val="00D1595A"/>
    <w:rsid w:val="00D20737"/>
    <w:rsid w:val="00D21E81"/>
    <w:rsid w:val="00D223DE"/>
    <w:rsid w:val="00D23FD6"/>
    <w:rsid w:val="00D25E37"/>
    <w:rsid w:val="00D2661A"/>
    <w:rsid w:val="00D2755C"/>
    <w:rsid w:val="00D27582"/>
    <w:rsid w:val="00D27B84"/>
    <w:rsid w:val="00D27DF9"/>
    <w:rsid w:val="00D27EC4"/>
    <w:rsid w:val="00D30203"/>
    <w:rsid w:val="00D32719"/>
    <w:rsid w:val="00D32AFB"/>
    <w:rsid w:val="00D3305D"/>
    <w:rsid w:val="00D33333"/>
    <w:rsid w:val="00D33457"/>
    <w:rsid w:val="00D34C9E"/>
    <w:rsid w:val="00D352A2"/>
    <w:rsid w:val="00D36939"/>
    <w:rsid w:val="00D40EE7"/>
    <w:rsid w:val="00D4162B"/>
    <w:rsid w:val="00D44739"/>
    <w:rsid w:val="00D4514F"/>
    <w:rsid w:val="00D451E2"/>
    <w:rsid w:val="00D45E89"/>
    <w:rsid w:val="00D45E8D"/>
    <w:rsid w:val="00D466AE"/>
    <w:rsid w:val="00D4734F"/>
    <w:rsid w:val="00D50410"/>
    <w:rsid w:val="00D51BF3"/>
    <w:rsid w:val="00D53292"/>
    <w:rsid w:val="00D53F16"/>
    <w:rsid w:val="00D54FF1"/>
    <w:rsid w:val="00D56B90"/>
    <w:rsid w:val="00D578E1"/>
    <w:rsid w:val="00D619FD"/>
    <w:rsid w:val="00D62492"/>
    <w:rsid w:val="00D6329B"/>
    <w:rsid w:val="00D6419C"/>
    <w:rsid w:val="00D65C5D"/>
    <w:rsid w:val="00D66545"/>
    <w:rsid w:val="00D66846"/>
    <w:rsid w:val="00D675FB"/>
    <w:rsid w:val="00D67A8C"/>
    <w:rsid w:val="00D7040D"/>
    <w:rsid w:val="00D70F11"/>
    <w:rsid w:val="00D71F25"/>
    <w:rsid w:val="00D72A9C"/>
    <w:rsid w:val="00D738DA"/>
    <w:rsid w:val="00D76031"/>
    <w:rsid w:val="00D764F7"/>
    <w:rsid w:val="00D77031"/>
    <w:rsid w:val="00D778BF"/>
    <w:rsid w:val="00D8012F"/>
    <w:rsid w:val="00D84941"/>
    <w:rsid w:val="00D84FA1"/>
    <w:rsid w:val="00D851F0"/>
    <w:rsid w:val="00D86DB7"/>
    <w:rsid w:val="00D86DC9"/>
    <w:rsid w:val="00D926D0"/>
    <w:rsid w:val="00D92BBC"/>
    <w:rsid w:val="00D93030"/>
    <w:rsid w:val="00D93487"/>
    <w:rsid w:val="00D9431D"/>
    <w:rsid w:val="00D950E1"/>
    <w:rsid w:val="00D952A6"/>
    <w:rsid w:val="00D967F9"/>
    <w:rsid w:val="00D97F99"/>
    <w:rsid w:val="00DA1E08"/>
    <w:rsid w:val="00DA24F8"/>
    <w:rsid w:val="00DA28E8"/>
    <w:rsid w:val="00DA38D3"/>
    <w:rsid w:val="00DA3932"/>
    <w:rsid w:val="00DA3AFC"/>
    <w:rsid w:val="00DA5494"/>
    <w:rsid w:val="00DA64F8"/>
    <w:rsid w:val="00DA6C15"/>
    <w:rsid w:val="00DA7317"/>
    <w:rsid w:val="00DB0258"/>
    <w:rsid w:val="00DB20B1"/>
    <w:rsid w:val="00DB38EE"/>
    <w:rsid w:val="00DB41C5"/>
    <w:rsid w:val="00DB498B"/>
    <w:rsid w:val="00DB66CA"/>
    <w:rsid w:val="00DB6BCA"/>
    <w:rsid w:val="00DB73F7"/>
    <w:rsid w:val="00DC0321"/>
    <w:rsid w:val="00DC03EC"/>
    <w:rsid w:val="00DC0465"/>
    <w:rsid w:val="00DC07E8"/>
    <w:rsid w:val="00DC11C7"/>
    <w:rsid w:val="00DC3067"/>
    <w:rsid w:val="00DC370B"/>
    <w:rsid w:val="00DC51A7"/>
    <w:rsid w:val="00DC574A"/>
    <w:rsid w:val="00DC5B90"/>
    <w:rsid w:val="00DC5BD4"/>
    <w:rsid w:val="00DD00FF"/>
    <w:rsid w:val="00DD0619"/>
    <w:rsid w:val="00DD07FB"/>
    <w:rsid w:val="00DD25C6"/>
    <w:rsid w:val="00DD2711"/>
    <w:rsid w:val="00DD498D"/>
    <w:rsid w:val="00DD4D46"/>
    <w:rsid w:val="00DD4F78"/>
    <w:rsid w:val="00DD4FE5"/>
    <w:rsid w:val="00DD54B0"/>
    <w:rsid w:val="00DD57EE"/>
    <w:rsid w:val="00DD6BCC"/>
    <w:rsid w:val="00DD6FD1"/>
    <w:rsid w:val="00DE0A4B"/>
    <w:rsid w:val="00DE2410"/>
    <w:rsid w:val="00DE292E"/>
    <w:rsid w:val="00DE2939"/>
    <w:rsid w:val="00DE37CD"/>
    <w:rsid w:val="00DE3AEB"/>
    <w:rsid w:val="00DE4A0F"/>
    <w:rsid w:val="00DE5CC3"/>
    <w:rsid w:val="00DE6E81"/>
    <w:rsid w:val="00DE703F"/>
    <w:rsid w:val="00DE7595"/>
    <w:rsid w:val="00DF1465"/>
    <w:rsid w:val="00DF1961"/>
    <w:rsid w:val="00DF36B3"/>
    <w:rsid w:val="00DF44DE"/>
    <w:rsid w:val="00DF5F11"/>
    <w:rsid w:val="00DF7E15"/>
    <w:rsid w:val="00E005C2"/>
    <w:rsid w:val="00E01138"/>
    <w:rsid w:val="00E02100"/>
    <w:rsid w:val="00E02DFB"/>
    <w:rsid w:val="00E030F9"/>
    <w:rsid w:val="00E0311A"/>
    <w:rsid w:val="00E03138"/>
    <w:rsid w:val="00E06404"/>
    <w:rsid w:val="00E064E9"/>
    <w:rsid w:val="00E07735"/>
    <w:rsid w:val="00E11A85"/>
    <w:rsid w:val="00E11F01"/>
    <w:rsid w:val="00E12495"/>
    <w:rsid w:val="00E15CCD"/>
    <w:rsid w:val="00E16488"/>
    <w:rsid w:val="00E171F4"/>
    <w:rsid w:val="00E202EF"/>
    <w:rsid w:val="00E210B5"/>
    <w:rsid w:val="00E2133B"/>
    <w:rsid w:val="00E23298"/>
    <w:rsid w:val="00E23D99"/>
    <w:rsid w:val="00E25208"/>
    <w:rsid w:val="00E2552F"/>
    <w:rsid w:val="00E25ECA"/>
    <w:rsid w:val="00E30C3E"/>
    <w:rsid w:val="00E3137A"/>
    <w:rsid w:val="00E32CCF"/>
    <w:rsid w:val="00E33BED"/>
    <w:rsid w:val="00E34A98"/>
    <w:rsid w:val="00E35D1E"/>
    <w:rsid w:val="00E36105"/>
    <w:rsid w:val="00E364F9"/>
    <w:rsid w:val="00E365FA"/>
    <w:rsid w:val="00E36789"/>
    <w:rsid w:val="00E415EE"/>
    <w:rsid w:val="00E42CC2"/>
    <w:rsid w:val="00E44A83"/>
    <w:rsid w:val="00E4699B"/>
    <w:rsid w:val="00E47377"/>
    <w:rsid w:val="00E502C1"/>
    <w:rsid w:val="00E502DD"/>
    <w:rsid w:val="00E50570"/>
    <w:rsid w:val="00E50A04"/>
    <w:rsid w:val="00E50D3A"/>
    <w:rsid w:val="00E50D63"/>
    <w:rsid w:val="00E50FA7"/>
    <w:rsid w:val="00E51387"/>
    <w:rsid w:val="00E51578"/>
    <w:rsid w:val="00E51E68"/>
    <w:rsid w:val="00E51FF7"/>
    <w:rsid w:val="00E52E52"/>
    <w:rsid w:val="00E52EFD"/>
    <w:rsid w:val="00E5408A"/>
    <w:rsid w:val="00E54F75"/>
    <w:rsid w:val="00E56800"/>
    <w:rsid w:val="00E60509"/>
    <w:rsid w:val="00E60A1F"/>
    <w:rsid w:val="00E60C63"/>
    <w:rsid w:val="00E62FF9"/>
    <w:rsid w:val="00E635D6"/>
    <w:rsid w:val="00E639BC"/>
    <w:rsid w:val="00E642CA"/>
    <w:rsid w:val="00E647AB"/>
    <w:rsid w:val="00E664CC"/>
    <w:rsid w:val="00E70388"/>
    <w:rsid w:val="00E70661"/>
    <w:rsid w:val="00E70F92"/>
    <w:rsid w:val="00E74C54"/>
    <w:rsid w:val="00E77737"/>
    <w:rsid w:val="00E77A03"/>
    <w:rsid w:val="00E77A1D"/>
    <w:rsid w:val="00E818E5"/>
    <w:rsid w:val="00E81A5D"/>
    <w:rsid w:val="00E81C5E"/>
    <w:rsid w:val="00E822E8"/>
    <w:rsid w:val="00E82554"/>
    <w:rsid w:val="00E82606"/>
    <w:rsid w:val="00E82FCF"/>
    <w:rsid w:val="00E84544"/>
    <w:rsid w:val="00E846C8"/>
    <w:rsid w:val="00E8483D"/>
    <w:rsid w:val="00E84957"/>
    <w:rsid w:val="00E84A55"/>
    <w:rsid w:val="00E84A6B"/>
    <w:rsid w:val="00E85BFF"/>
    <w:rsid w:val="00E862C1"/>
    <w:rsid w:val="00E866BD"/>
    <w:rsid w:val="00E86D0A"/>
    <w:rsid w:val="00E87FBC"/>
    <w:rsid w:val="00E90391"/>
    <w:rsid w:val="00E90461"/>
    <w:rsid w:val="00E906C2"/>
    <w:rsid w:val="00E917D0"/>
    <w:rsid w:val="00E9311F"/>
    <w:rsid w:val="00E934D1"/>
    <w:rsid w:val="00E94AF0"/>
    <w:rsid w:val="00E95D13"/>
    <w:rsid w:val="00E95DD3"/>
    <w:rsid w:val="00E969D5"/>
    <w:rsid w:val="00EA18DC"/>
    <w:rsid w:val="00EA22AC"/>
    <w:rsid w:val="00EA58D1"/>
    <w:rsid w:val="00EA61BC"/>
    <w:rsid w:val="00EA681A"/>
    <w:rsid w:val="00EA735B"/>
    <w:rsid w:val="00EB0C4D"/>
    <w:rsid w:val="00EB17DE"/>
    <w:rsid w:val="00EB1E69"/>
    <w:rsid w:val="00EB2086"/>
    <w:rsid w:val="00EB3146"/>
    <w:rsid w:val="00EB43E3"/>
    <w:rsid w:val="00EB48C8"/>
    <w:rsid w:val="00EB5611"/>
    <w:rsid w:val="00EB5EDF"/>
    <w:rsid w:val="00EB60FE"/>
    <w:rsid w:val="00EB6F4F"/>
    <w:rsid w:val="00EB74DB"/>
    <w:rsid w:val="00EB7BFD"/>
    <w:rsid w:val="00EC02D7"/>
    <w:rsid w:val="00EC063A"/>
    <w:rsid w:val="00EC260E"/>
    <w:rsid w:val="00EC5359"/>
    <w:rsid w:val="00EC5579"/>
    <w:rsid w:val="00EC562A"/>
    <w:rsid w:val="00EC6171"/>
    <w:rsid w:val="00ED067A"/>
    <w:rsid w:val="00ED15F6"/>
    <w:rsid w:val="00ED1F3E"/>
    <w:rsid w:val="00ED2B50"/>
    <w:rsid w:val="00ED3213"/>
    <w:rsid w:val="00EE0350"/>
    <w:rsid w:val="00EE0719"/>
    <w:rsid w:val="00EE0DF8"/>
    <w:rsid w:val="00EE0E80"/>
    <w:rsid w:val="00EE54A6"/>
    <w:rsid w:val="00EE613F"/>
    <w:rsid w:val="00EE618F"/>
    <w:rsid w:val="00EE7295"/>
    <w:rsid w:val="00EE7869"/>
    <w:rsid w:val="00EF054A"/>
    <w:rsid w:val="00EF1B56"/>
    <w:rsid w:val="00EF1EBA"/>
    <w:rsid w:val="00EF22DA"/>
    <w:rsid w:val="00EF3235"/>
    <w:rsid w:val="00EF35FC"/>
    <w:rsid w:val="00EF468F"/>
    <w:rsid w:val="00EF7E72"/>
    <w:rsid w:val="00F02478"/>
    <w:rsid w:val="00F03A5A"/>
    <w:rsid w:val="00F0626C"/>
    <w:rsid w:val="00F06D37"/>
    <w:rsid w:val="00F07076"/>
    <w:rsid w:val="00F07681"/>
    <w:rsid w:val="00F07B9D"/>
    <w:rsid w:val="00F11586"/>
    <w:rsid w:val="00F1183B"/>
    <w:rsid w:val="00F11C9F"/>
    <w:rsid w:val="00F12263"/>
    <w:rsid w:val="00F131E7"/>
    <w:rsid w:val="00F1409D"/>
    <w:rsid w:val="00F14214"/>
    <w:rsid w:val="00F157A9"/>
    <w:rsid w:val="00F17CD7"/>
    <w:rsid w:val="00F17F34"/>
    <w:rsid w:val="00F20384"/>
    <w:rsid w:val="00F23EAE"/>
    <w:rsid w:val="00F25BB6"/>
    <w:rsid w:val="00F26B7E"/>
    <w:rsid w:val="00F279CF"/>
    <w:rsid w:val="00F27A3B"/>
    <w:rsid w:val="00F27C32"/>
    <w:rsid w:val="00F32D78"/>
    <w:rsid w:val="00F33817"/>
    <w:rsid w:val="00F33A2F"/>
    <w:rsid w:val="00F33B15"/>
    <w:rsid w:val="00F33F51"/>
    <w:rsid w:val="00F417CC"/>
    <w:rsid w:val="00F420D5"/>
    <w:rsid w:val="00F423F8"/>
    <w:rsid w:val="00F424BE"/>
    <w:rsid w:val="00F4412D"/>
    <w:rsid w:val="00F451EA"/>
    <w:rsid w:val="00F45447"/>
    <w:rsid w:val="00F456C6"/>
    <w:rsid w:val="00F4577B"/>
    <w:rsid w:val="00F45F41"/>
    <w:rsid w:val="00F46496"/>
    <w:rsid w:val="00F474D0"/>
    <w:rsid w:val="00F50179"/>
    <w:rsid w:val="00F50E8A"/>
    <w:rsid w:val="00F515EE"/>
    <w:rsid w:val="00F554FE"/>
    <w:rsid w:val="00F56511"/>
    <w:rsid w:val="00F57086"/>
    <w:rsid w:val="00F57EDC"/>
    <w:rsid w:val="00F605E9"/>
    <w:rsid w:val="00F6194E"/>
    <w:rsid w:val="00F61DCD"/>
    <w:rsid w:val="00F623AC"/>
    <w:rsid w:val="00F63915"/>
    <w:rsid w:val="00F6412A"/>
    <w:rsid w:val="00F65260"/>
    <w:rsid w:val="00F65893"/>
    <w:rsid w:val="00F66A4A"/>
    <w:rsid w:val="00F66E26"/>
    <w:rsid w:val="00F704B8"/>
    <w:rsid w:val="00F715E4"/>
    <w:rsid w:val="00F71E22"/>
    <w:rsid w:val="00F72142"/>
    <w:rsid w:val="00F72629"/>
    <w:rsid w:val="00F72AE7"/>
    <w:rsid w:val="00F72F96"/>
    <w:rsid w:val="00F81141"/>
    <w:rsid w:val="00F833B0"/>
    <w:rsid w:val="00F833BA"/>
    <w:rsid w:val="00F8344E"/>
    <w:rsid w:val="00F84FD0"/>
    <w:rsid w:val="00F859A8"/>
    <w:rsid w:val="00F85A29"/>
    <w:rsid w:val="00F86D87"/>
    <w:rsid w:val="00F905F7"/>
    <w:rsid w:val="00F9108B"/>
    <w:rsid w:val="00F91349"/>
    <w:rsid w:val="00F93476"/>
    <w:rsid w:val="00F93A8A"/>
    <w:rsid w:val="00F94579"/>
    <w:rsid w:val="00F951BF"/>
    <w:rsid w:val="00F95248"/>
    <w:rsid w:val="00F956A9"/>
    <w:rsid w:val="00F963ED"/>
    <w:rsid w:val="00F966CF"/>
    <w:rsid w:val="00F96CAE"/>
    <w:rsid w:val="00F97557"/>
    <w:rsid w:val="00F97C99"/>
    <w:rsid w:val="00FA1225"/>
    <w:rsid w:val="00FA18AA"/>
    <w:rsid w:val="00FA2202"/>
    <w:rsid w:val="00FA3890"/>
    <w:rsid w:val="00FA4DAC"/>
    <w:rsid w:val="00FA5EA0"/>
    <w:rsid w:val="00FA662D"/>
    <w:rsid w:val="00FA6FDB"/>
    <w:rsid w:val="00FA73B1"/>
    <w:rsid w:val="00FB0C3C"/>
    <w:rsid w:val="00FB0CB9"/>
    <w:rsid w:val="00FB231D"/>
    <w:rsid w:val="00FB2899"/>
    <w:rsid w:val="00FB3B7C"/>
    <w:rsid w:val="00FB45F1"/>
    <w:rsid w:val="00FB4A72"/>
    <w:rsid w:val="00FB54E8"/>
    <w:rsid w:val="00FB6B6D"/>
    <w:rsid w:val="00FB7054"/>
    <w:rsid w:val="00FB731E"/>
    <w:rsid w:val="00FC17B7"/>
    <w:rsid w:val="00FC2CB7"/>
    <w:rsid w:val="00FC35BF"/>
    <w:rsid w:val="00FC4090"/>
    <w:rsid w:val="00FC55B4"/>
    <w:rsid w:val="00FC7F83"/>
    <w:rsid w:val="00FD00E6"/>
    <w:rsid w:val="00FD09A1"/>
    <w:rsid w:val="00FD1A4C"/>
    <w:rsid w:val="00FD2A7C"/>
    <w:rsid w:val="00FD46D1"/>
    <w:rsid w:val="00FD59EB"/>
    <w:rsid w:val="00FD5C8E"/>
    <w:rsid w:val="00FD6CD3"/>
    <w:rsid w:val="00FD7299"/>
    <w:rsid w:val="00FE1183"/>
    <w:rsid w:val="00FE11D2"/>
    <w:rsid w:val="00FE1FBE"/>
    <w:rsid w:val="00FE3901"/>
    <w:rsid w:val="00FE39D3"/>
    <w:rsid w:val="00FE4BCE"/>
    <w:rsid w:val="00FE54AE"/>
    <w:rsid w:val="00FE576A"/>
    <w:rsid w:val="00FE603F"/>
    <w:rsid w:val="00FE65EF"/>
    <w:rsid w:val="00FE7E79"/>
    <w:rsid w:val="00FF1E09"/>
    <w:rsid w:val="00FF2D78"/>
    <w:rsid w:val="00FF3E7D"/>
    <w:rsid w:val="00FF478C"/>
    <w:rsid w:val="00FF50DE"/>
    <w:rsid w:val="00FF5B99"/>
    <w:rsid w:val="00FF6BE9"/>
    <w:rsid w:val="00FF730C"/>
    <w:rsid w:val="00FF73F4"/>
    <w:rsid w:val="00FF74CF"/>
    <w:rsid w:val="00FF7CE4"/>
    <w:rsid w:val="00FF7E39"/>
    <w:rsid w:val="01330866"/>
    <w:rsid w:val="028C44B2"/>
    <w:rsid w:val="03D83154"/>
    <w:rsid w:val="041A0661"/>
    <w:rsid w:val="04996343"/>
    <w:rsid w:val="055F7CBB"/>
    <w:rsid w:val="0562634F"/>
    <w:rsid w:val="056A68A7"/>
    <w:rsid w:val="05BC2EEF"/>
    <w:rsid w:val="05CB771B"/>
    <w:rsid w:val="062C3529"/>
    <w:rsid w:val="064A322E"/>
    <w:rsid w:val="06530982"/>
    <w:rsid w:val="07481B68"/>
    <w:rsid w:val="075030E8"/>
    <w:rsid w:val="07C97A2E"/>
    <w:rsid w:val="08896214"/>
    <w:rsid w:val="0936532F"/>
    <w:rsid w:val="095F6819"/>
    <w:rsid w:val="09801146"/>
    <w:rsid w:val="0A6F1E50"/>
    <w:rsid w:val="0A7F37A4"/>
    <w:rsid w:val="0AF10985"/>
    <w:rsid w:val="0B905282"/>
    <w:rsid w:val="0C012306"/>
    <w:rsid w:val="0D932287"/>
    <w:rsid w:val="0E4379DA"/>
    <w:rsid w:val="0E7275A5"/>
    <w:rsid w:val="0E8C49D9"/>
    <w:rsid w:val="0F4D0E93"/>
    <w:rsid w:val="0F4E169F"/>
    <w:rsid w:val="0F762BC2"/>
    <w:rsid w:val="1080431F"/>
    <w:rsid w:val="10BE23F3"/>
    <w:rsid w:val="10D13D2F"/>
    <w:rsid w:val="11234F23"/>
    <w:rsid w:val="113F345E"/>
    <w:rsid w:val="11A5122F"/>
    <w:rsid w:val="128F6D9D"/>
    <w:rsid w:val="130D3E49"/>
    <w:rsid w:val="13B30E87"/>
    <w:rsid w:val="13B63DBE"/>
    <w:rsid w:val="13FD6A44"/>
    <w:rsid w:val="14445273"/>
    <w:rsid w:val="14720577"/>
    <w:rsid w:val="153973E8"/>
    <w:rsid w:val="155903FE"/>
    <w:rsid w:val="168A2E3B"/>
    <w:rsid w:val="17B85865"/>
    <w:rsid w:val="17D0560E"/>
    <w:rsid w:val="185727A8"/>
    <w:rsid w:val="1858629F"/>
    <w:rsid w:val="185B17BB"/>
    <w:rsid w:val="19361416"/>
    <w:rsid w:val="1A2C317E"/>
    <w:rsid w:val="1A3D2FB2"/>
    <w:rsid w:val="1ACC4587"/>
    <w:rsid w:val="1C2C52CD"/>
    <w:rsid w:val="1CE96D0C"/>
    <w:rsid w:val="1DB4467F"/>
    <w:rsid w:val="1E360816"/>
    <w:rsid w:val="1EAD392C"/>
    <w:rsid w:val="1FFB6D5F"/>
    <w:rsid w:val="206705AF"/>
    <w:rsid w:val="20803CDE"/>
    <w:rsid w:val="21D860C3"/>
    <w:rsid w:val="23D35C51"/>
    <w:rsid w:val="24580D2E"/>
    <w:rsid w:val="245B4B9C"/>
    <w:rsid w:val="249B73BA"/>
    <w:rsid w:val="253758D0"/>
    <w:rsid w:val="25D32EE8"/>
    <w:rsid w:val="26632226"/>
    <w:rsid w:val="27086D5B"/>
    <w:rsid w:val="27342601"/>
    <w:rsid w:val="275E69A5"/>
    <w:rsid w:val="27AA4FE8"/>
    <w:rsid w:val="2987674B"/>
    <w:rsid w:val="2A3C52BE"/>
    <w:rsid w:val="2A636B36"/>
    <w:rsid w:val="2ADB44C4"/>
    <w:rsid w:val="2B255586"/>
    <w:rsid w:val="2C6F2D73"/>
    <w:rsid w:val="2D404313"/>
    <w:rsid w:val="2D813A62"/>
    <w:rsid w:val="2DB75BC7"/>
    <w:rsid w:val="2DF247CC"/>
    <w:rsid w:val="2EBB53E3"/>
    <w:rsid w:val="2F860BD0"/>
    <w:rsid w:val="31581622"/>
    <w:rsid w:val="31725842"/>
    <w:rsid w:val="321E1F78"/>
    <w:rsid w:val="32222E32"/>
    <w:rsid w:val="328D5C5F"/>
    <w:rsid w:val="33282789"/>
    <w:rsid w:val="332C3FE4"/>
    <w:rsid w:val="334766DB"/>
    <w:rsid w:val="335E2367"/>
    <w:rsid w:val="344A547C"/>
    <w:rsid w:val="34D2441F"/>
    <w:rsid w:val="35202EAD"/>
    <w:rsid w:val="357E2AFB"/>
    <w:rsid w:val="358C24E4"/>
    <w:rsid w:val="35926223"/>
    <w:rsid w:val="35CA0FEE"/>
    <w:rsid w:val="35EF41BA"/>
    <w:rsid w:val="373F2380"/>
    <w:rsid w:val="37410CAB"/>
    <w:rsid w:val="38CF681B"/>
    <w:rsid w:val="398B7DA1"/>
    <w:rsid w:val="39C64CD9"/>
    <w:rsid w:val="39F772D7"/>
    <w:rsid w:val="3A3E6ABD"/>
    <w:rsid w:val="3A5F3116"/>
    <w:rsid w:val="3AF25AB9"/>
    <w:rsid w:val="3B1F28FF"/>
    <w:rsid w:val="3B64373D"/>
    <w:rsid w:val="3B7024CF"/>
    <w:rsid w:val="3C653981"/>
    <w:rsid w:val="3CE64B3D"/>
    <w:rsid w:val="3D315543"/>
    <w:rsid w:val="3D707327"/>
    <w:rsid w:val="3F543CFF"/>
    <w:rsid w:val="3F69215A"/>
    <w:rsid w:val="3F7942AE"/>
    <w:rsid w:val="3F8827D1"/>
    <w:rsid w:val="3FBD61CA"/>
    <w:rsid w:val="409677EA"/>
    <w:rsid w:val="40E31D5B"/>
    <w:rsid w:val="41512E69"/>
    <w:rsid w:val="418E1407"/>
    <w:rsid w:val="41C15399"/>
    <w:rsid w:val="42042EF3"/>
    <w:rsid w:val="43F6396B"/>
    <w:rsid w:val="44D14DB3"/>
    <w:rsid w:val="44E6663D"/>
    <w:rsid w:val="45C35847"/>
    <w:rsid w:val="46255F47"/>
    <w:rsid w:val="4690117F"/>
    <w:rsid w:val="46AA747C"/>
    <w:rsid w:val="473D6336"/>
    <w:rsid w:val="47967120"/>
    <w:rsid w:val="47A6427C"/>
    <w:rsid w:val="48B364E0"/>
    <w:rsid w:val="48E70D9B"/>
    <w:rsid w:val="490B618E"/>
    <w:rsid w:val="4A7D2EA4"/>
    <w:rsid w:val="4C20239D"/>
    <w:rsid w:val="4CD45A21"/>
    <w:rsid w:val="4DE37BED"/>
    <w:rsid w:val="4E770599"/>
    <w:rsid w:val="4ECD6554"/>
    <w:rsid w:val="500329B7"/>
    <w:rsid w:val="50093BCB"/>
    <w:rsid w:val="50905729"/>
    <w:rsid w:val="51862012"/>
    <w:rsid w:val="52EE287B"/>
    <w:rsid w:val="53CE7465"/>
    <w:rsid w:val="540C2CC5"/>
    <w:rsid w:val="54523D6B"/>
    <w:rsid w:val="547E13AC"/>
    <w:rsid w:val="5523722E"/>
    <w:rsid w:val="55793B1F"/>
    <w:rsid w:val="56844657"/>
    <w:rsid w:val="56984B9A"/>
    <w:rsid w:val="57076A64"/>
    <w:rsid w:val="574E3851"/>
    <w:rsid w:val="576D7968"/>
    <w:rsid w:val="57B95BD1"/>
    <w:rsid w:val="57E04F39"/>
    <w:rsid w:val="5A5503E2"/>
    <w:rsid w:val="5ACD1A01"/>
    <w:rsid w:val="5AD45C89"/>
    <w:rsid w:val="5B0B421B"/>
    <w:rsid w:val="5B773733"/>
    <w:rsid w:val="5C3F25FE"/>
    <w:rsid w:val="5CBB785C"/>
    <w:rsid w:val="5CDD08E8"/>
    <w:rsid w:val="5E1C10CF"/>
    <w:rsid w:val="5E3271E6"/>
    <w:rsid w:val="5E3A18D7"/>
    <w:rsid w:val="5EF74673"/>
    <w:rsid w:val="5F5024DD"/>
    <w:rsid w:val="5FB916B9"/>
    <w:rsid w:val="60952C46"/>
    <w:rsid w:val="614833C3"/>
    <w:rsid w:val="61911285"/>
    <w:rsid w:val="619A63AC"/>
    <w:rsid w:val="61D0261E"/>
    <w:rsid w:val="62126D7B"/>
    <w:rsid w:val="64261CEC"/>
    <w:rsid w:val="64555B2D"/>
    <w:rsid w:val="646A06FF"/>
    <w:rsid w:val="648517ED"/>
    <w:rsid w:val="664B1508"/>
    <w:rsid w:val="67E443C6"/>
    <w:rsid w:val="680E23FE"/>
    <w:rsid w:val="68BF5CDD"/>
    <w:rsid w:val="68C72E96"/>
    <w:rsid w:val="69036BCB"/>
    <w:rsid w:val="69440B32"/>
    <w:rsid w:val="69D911F0"/>
    <w:rsid w:val="69F26D9C"/>
    <w:rsid w:val="6C4E428D"/>
    <w:rsid w:val="6CA87DFD"/>
    <w:rsid w:val="6CF25FB6"/>
    <w:rsid w:val="6CFA3B79"/>
    <w:rsid w:val="6D053824"/>
    <w:rsid w:val="6E711D3F"/>
    <w:rsid w:val="70AE7674"/>
    <w:rsid w:val="70D23371"/>
    <w:rsid w:val="71D35CE6"/>
    <w:rsid w:val="71F2302C"/>
    <w:rsid w:val="73076218"/>
    <w:rsid w:val="73462489"/>
    <w:rsid w:val="73A673C3"/>
    <w:rsid w:val="73C22EE6"/>
    <w:rsid w:val="73D45222"/>
    <w:rsid w:val="757A5B6E"/>
    <w:rsid w:val="75F11BD5"/>
    <w:rsid w:val="768D7C00"/>
    <w:rsid w:val="76CB2213"/>
    <w:rsid w:val="77EA4C06"/>
    <w:rsid w:val="78FD399E"/>
    <w:rsid w:val="79F63F01"/>
    <w:rsid w:val="7A116D9D"/>
    <w:rsid w:val="7A8F17DE"/>
    <w:rsid w:val="7D383B35"/>
    <w:rsid w:val="7D6438CC"/>
    <w:rsid w:val="7DE0349F"/>
    <w:rsid w:val="7F3B52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20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8"/>
    <w:autoRedefine/>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92"/>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263"/>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8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161"/>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252"/>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227"/>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82"/>
    <w:autoRedefine/>
    <w:qFormat/>
    <w:uiPriority w:val="0"/>
    <w:pPr>
      <w:keepNext/>
      <w:keepLines/>
      <w:adjustRightInd/>
      <w:spacing w:before="240" w:after="64" w:line="320" w:lineRule="auto"/>
      <w:outlineLvl w:val="8"/>
    </w:pPr>
    <w:rPr>
      <w:rFonts w:ascii="Arial" w:hAnsi="Arial" w:eastAsia="黑体"/>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caption"/>
    <w:basedOn w:val="1"/>
    <w:next w:val="1"/>
    <w:autoRedefine/>
    <w:qFormat/>
    <w:uiPriority w:val="35"/>
    <w:pPr>
      <w:spacing w:before="100" w:beforeAutospacing="1" w:after="100" w:afterAutospacing="1" w:line="240" w:lineRule="auto"/>
      <w:jc w:val="center"/>
    </w:pPr>
    <w:rPr>
      <w:rFonts w:ascii="Arial" w:hAnsi="Arial" w:eastAsia="黑体" w:cs="Arial"/>
      <w:sz w:val="20"/>
      <w:szCs w:val="20"/>
    </w:rPr>
  </w:style>
  <w:style w:type="paragraph" w:styleId="14">
    <w:name w:val="annotation text"/>
    <w:basedOn w:val="1"/>
    <w:link w:val="54"/>
    <w:autoRedefine/>
    <w:unhideWhenUsed/>
    <w:qFormat/>
    <w:uiPriority w:val="99"/>
    <w:pPr>
      <w:jc w:val="left"/>
    </w:pPr>
  </w:style>
  <w:style w:type="paragraph" w:styleId="15">
    <w:name w:val="Body Text"/>
    <w:basedOn w:val="1"/>
    <w:link w:val="68"/>
    <w:autoRedefine/>
    <w:qFormat/>
    <w:uiPriority w:val="0"/>
    <w:pPr>
      <w:spacing w:after="120"/>
    </w:pPr>
  </w:style>
  <w:style w:type="paragraph" w:styleId="16">
    <w:name w:val="toc 5"/>
    <w:basedOn w:val="1"/>
    <w:next w:val="1"/>
    <w:autoRedefine/>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Date"/>
    <w:basedOn w:val="1"/>
    <w:next w:val="1"/>
    <w:link w:val="164"/>
    <w:autoRedefine/>
    <w:semiHidden/>
    <w:unhideWhenUsed/>
    <w:qFormat/>
    <w:uiPriority w:val="99"/>
    <w:pPr>
      <w:ind w:left="100" w:leftChars="2500"/>
    </w:pPr>
  </w:style>
  <w:style w:type="paragraph" w:styleId="19">
    <w:name w:val="Balloon Text"/>
    <w:basedOn w:val="1"/>
    <w:link w:val="245"/>
    <w:autoRedefine/>
    <w:semiHidden/>
    <w:unhideWhenUsed/>
    <w:qFormat/>
    <w:uiPriority w:val="99"/>
    <w:rPr>
      <w:sz w:val="18"/>
      <w:szCs w:val="18"/>
    </w:rPr>
  </w:style>
  <w:style w:type="paragraph" w:styleId="20">
    <w:name w:val="footer"/>
    <w:basedOn w:val="1"/>
    <w:link w:val="81"/>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186"/>
    <w:autoRedefine/>
    <w:qFormat/>
    <w:uiPriority w:val="99"/>
    <w:pPr>
      <w:tabs>
        <w:tab w:val="center" w:pos="4153"/>
        <w:tab w:val="right" w:pos="8306"/>
      </w:tabs>
      <w:adjustRightInd/>
      <w:snapToGrid w:val="0"/>
      <w:jc w:val="center"/>
    </w:pPr>
    <w:rPr>
      <w:sz w:val="18"/>
      <w:szCs w:val="18"/>
    </w:rPr>
  </w:style>
  <w:style w:type="paragraph" w:styleId="22">
    <w:name w:val="toc 1"/>
    <w:basedOn w:val="1"/>
    <w:next w:val="1"/>
    <w:autoRedefine/>
    <w:unhideWhenUsed/>
    <w:qFormat/>
    <w:uiPriority w:val="39"/>
    <w:pPr>
      <w:tabs>
        <w:tab w:val="right" w:leader="dot" w:pos="9354"/>
      </w:tabs>
      <w:jc w:val="left"/>
    </w:pPr>
    <w:rPr>
      <w:rFonts w:ascii="宋体"/>
    </w:rPr>
  </w:style>
  <w:style w:type="paragraph" w:styleId="23">
    <w:name w:val="toc 4"/>
    <w:basedOn w:val="1"/>
    <w:next w:val="1"/>
    <w:autoRedefine/>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75"/>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autoRedefine/>
    <w:unhideWhenUsed/>
    <w:qFormat/>
    <w:uiPriority w:val="39"/>
    <w:pPr>
      <w:spacing w:line="300" w:lineRule="exact"/>
      <w:ind w:left="1049"/>
    </w:pPr>
    <w:rPr>
      <w:rFonts w:ascii="宋体"/>
    </w:rPr>
  </w:style>
  <w:style w:type="paragraph" w:styleId="26">
    <w:name w:val="table of figures"/>
    <w:basedOn w:val="1"/>
    <w:next w:val="1"/>
    <w:autoRedefine/>
    <w:semiHidden/>
    <w:qFormat/>
    <w:uiPriority w:val="0"/>
    <w:pPr>
      <w:adjustRightInd/>
      <w:spacing w:line="240" w:lineRule="auto"/>
      <w:jc w:val="left"/>
    </w:pPr>
    <w:rPr>
      <w:szCs w:val="24"/>
    </w:rPr>
  </w:style>
  <w:style w:type="paragraph" w:styleId="27">
    <w:name w:val="toc 2"/>
    <w:basedOn w:val="1"/>
    <w:next w:val="1"/>
    <w:autoRedefine/>
    <w:unhideWhenUsed/>
    <w:qFormat/>
    <w:uiPriority w:val="39"/>
    <w:pPr>
      <w:tabs>
        <w:tab w:val="right" w:leader="dot" w:pos="9344"/>
      </w:tabs>
      <w:spacing w:line="300" w:lineRule="exact"/>
      <w:ind w:left="210"/>
    </w:pPr>
    <w:rPr>
      <w:rFonts w:ascii="宋体"/>
    </w:rPr>
  </w:style>
  <w:style w:type="paragraph" w:styleId="28">
    <w:name w:val="Normal (Web)"/>
    <w:basedOn w:val="1"/>
    <w:autoRedefine/>
    <w:qFormat/>
    <w:uiPriority w:val="99"/>
    <w:pPr>
      <w:widowControl/>
      <w:spacing w:before="100" w:beforeAutospacing="1" w:after="100" w:afterAutospacing="1" w:line="330" w:lineRule="atLeast"/>
      <w:jc w:val="left"/>
    </w:pPr>
    <w:rPr>
      <w:rFonts w:ascii="宋体" w:hAnsi="宋体" w:cs="宋体"/>
      <w:kern w:val="0"/>
      <w:sz w:val="22"/>
      <w:szCs w:val="22"/>
    </w:rPr>
  </w:style>
  <w:style w:type="paragraph" w:styleId="29">
    <w:name w:val="Title"/>
    <w:basedOn w:val="1"/>
    <w:link w:val="151"/>
    <w:autoRedefine/>
    <w:qFormat/>
    <w:uiPriority w:val="0"/>
    <w:pPr>
      <w:spacing w:before="240" w:after="60"/>
      <w:jc w:val="center"/>
      <w:outlineLvl w:val="0"/>
    </w:pPr>
    <w:rPr>
      <w:rFonts w:ascii="Arial" w:hAnsi="Arial" w:cs="Arial"/>
      <w:b/>
      <w:bCs/>
      <w:sz w:val="32"/>
      <w:szCs w:val="32"/>
    </w:rPr>
  </w:style>
  <w:style w:type="paragraph" w:styleId="30">
    <w:name w:val="annotation subject"/>
    <w:basedOn w:val="14"/>
    <w:next w:val="14"/>
    <w:link w:val="90"/>
    <w:autoRedefine/>
    <w:semiHidden/>
    <w:unhideWhenUsed/>
    <w:qFormat/>
    <w:uiPriority w:val="99"/>
    <w:rPr>
      <w:b/>
      <w:bCs/>
    </w:rPr>
  </w:style>
  <w:style w:type="paragraph" w:styleId="31">
    <w:name w:val="Body Text First Indent"/>
    <w:basedOn w:val="15"/>
    <w:unhideWhenUsed/>
    <w:qFormat/>
    <w:uiPriority w:val="99"/>
    <w:pPr>
      <w:ind w:firstLine="420" w:firstLineChars="100"/>
    </w:pPr>
  </w:style>
  <w:style w:type="table" w:styleId="33">
    <w:name w:val="Table Grid"/>
    <w:basedOn w:val="3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autoRedefine/>
    <w:qFormat/>
    <w:uiPriority w:val="22"/>
    <w:rPr>
      <w:b/>
      <w:bCs/>
    </w:rPr>
  </w:style>
  <w:style w:type="character" w:styleId="36">
    <w:name w:val="page number"/>
    <w:autoRedefine/>
    <w:qFormat/>
    <w:uiPriority w:val="0"/>
    <w:rPr>
      <w:rFonts w:ascii="宋体" w:hAnsi="Times New Roman" w:eastAsia="宋体"/>
      <w:sz w:val="18"/>
    </w:rPr>
  </w:style>
  <w:style w:type="character" w:styleId="37">
    <w:name w:val="FollowedHyperlink"/>
    <w:basedOn w:val="34"/>
    <w:autoRedefine/>
    <w:semiHidden/>
    <w:unhideWhenUsed/>
    <w:qFormat/>
    <w:uiPriority w:val="99"/>
    <w:rPr>
      <w:color w:val="954F72" w:themeColor="followedHyperlink"/>
      <w:u w:val="single"/>
      <w14:textFill>
        <w14:solidFill>
          <w14:schemeClr w14:val="folHlink"/>
        </w14:solidFill>
      </w14:textFill>
    </w:rPr>
  </w:style>
  <w:style w:type="character" w:styleId="38">
    <w:name w:val="Emphasis"/>
    <w:autoRedefine/>
    <w:qFormat/>
    <w:uiPriority w:val="20"/>
    <w:rPr>
      <w:i/>
      <w:iCs/>
    </w:rPr>
  </w:style>
  <w:style w:type="character" w:styleId="39">
    <w:name w:val="Hyperlink"/>
    <w:autoRedefine/>
    <w:qFormat/>
    <w:uiPriority w:val="99"/>
    <w:rPr>
      <w:rFonts w:ascii="宋体" w:hAnsi="Times New Roman" w:eastAsia="宋体"/>
      <w:color w:val="auto"/>
      <w:spacing w:val="0"/>
      <w:w w:val="100"/>
      <w:position w:val="0"/>
      <w:sz w:val="21"/>
      <w:u w:val="none"/>
      <w:vertAlign w:val="baseline"/>
    </w:rPr>
  </w:style>
  <w:style w:type="character" w:styleId="40">
    <w:name w:val="annotation reference"/>
    <w:basedOn w:val="34"/>
    <w:autoRedefine/>
    <w:semiHidden/>
    <w:unhideWhenUsed/>
    <w:qFormat/>
    <w:uiPriority w:val="99"/>
    <w:rPr>
      <w:sz w:val="21"/>
      <w:szCs w:val="21"/>
    </w:rPr>
  </w:style>
  <w:style w:type="character" w:styleId="41">
    <w:name w:val="footnote reference"/>
    <w:autoRedefine/>
    <w:semiHidden/>
    <w:qFormat/>
    <w:uiPriority w:val="0"/>
    <w:rPr>
      <w:rFonts w:ascii="宋体" w:hAnsi="宋体" w:eastAsia="宋体" w:cs="Times New Roman"/>
      <w:spacing w:val="0"/>
      <w:sz w:val="18"/>
      <w:vertAlign w:val="superscript"/>
    </w:rPr>
  </w:style>
  <w:style w:type="paragraph" w:customStyle="1" w:styleId="42">
    <w:name w:val="目录 51"/>
    <w:basedOn w:val="1"/>
    <w:next w:val="1"/>
    <w:autoRedefine/>
    <w:semiHidden/>
    <w:qFormat/>
    <w:uiPriority w:val="0"/>
    <w:pPr>
      <w:spacing w:line="240" w:lineRule="auto"/>
    </w:pPr>
    <w:rPr>
      <w:rFonts w:ascii="宋体" w:hAnsi="宋体"/>
    </w:rPr>
  </w:style>
  <w:style w:type="paragraph" w:customStyle="1" w:styleId="43">
    <w:name w:val="标准文件_附录一级条标题"/>
    <w:next w:val="44"/>
    <w:autoRedefine/>
    <w:qFormat/>
    <w:uiPriority w:val="0"/>
    <w:pPr>
      <w:widowControl w:val="0"/>
      <w:numPr>
        <w:ilvl w:val="1"/>
        <w:numId w:val="1"/>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44">
    <w:name w:val="标准文件_段"/>
    <w:link w:val="143"/>
    <w:autoRedefine/>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45">
    <w:name w:val="标准文件_数字编号列项（二级）"/>
    <w:autoRedefine/>
    <w:qFormat/>
    <w:uiPriority w:val="0"/>
    <w:pPr>
      <w:numPr>
        <w:ilvl w:val="1"/>
        <w:numId w:val="2"/>
      </w:numPr>
      <w:tabs>
        <w:tab w:val="left" w:pos="851"/>
      </w:tabs>
      <w:jc w:val="both"/>
    </w:pPr>
    <w:rPr>
      <w:rFonts w:ascii="宋体" w:hAnsi="Times New Roman" w:eastAsia="宋体" w:cs="Times New Roman"/>
      <w:sz w:val="21"/>
      <w:lang w:val="en-US" w:eastAsia="zh-CN" w:bidi="ar-SA"/>
    </w:rPr>
  </w:style>
  <w:style w:type="paragraph" w:customStyle="1" w:styleId="46">
    <w:name w:val="标准文件_四级无标题"/>
    <w:basedOn w:val="47"/>
    <w:autoRedefine/>
    <w:qFormat/>
    <w:uiPriority w:val="0"/>
    <w:pPr>
      <w:spacing w:before="0" w:beforeLines="0" w:after="0" w:afterLines="0"/>
      <w:outlineLvl w:val="9"/>
    </w:pPr>
    <w:rPr>
      <w:rFonts w:ascii="宋体" w:hAnsi="黑体" w:eastAsia="宋体"/>
      <w:szCs w:val="52"/>
    </w:rPr>
  </w:style>
  <w:style w:type="paragraph" w:customStyle="1" w:styleId="47">
    <w:name w:val="标准文件_四级条标题"/>
    <w:next w:val="44"/>
    <w:autoRedefine/>
    <w:qFormat/>
    <w:uiPriority w:val="0"/>
    <w:pPr>
      <w:widowControl w:val="0"/>
      <w:numPr>
        <w:ilvl w:val="5"/>
        <w:numId w:val="3"/>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48">
    <w:name w:val="标准文件_附录四级条标题"/>
    <w:next w:val="44"/>
    <w:autoRedefine/>
    <w:qFormat/>
    <w:uiPriority w:val="0"/>
    <w:pPr>
      <w:widowControl w:val="0"/>
      <w:numPr>
        <w:ilvl w:val="4"/>
        <w:numId w:val="1"/>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49">
    <w:name w:val="无标题条"/>
    <w:next w:val="44"/>
    <w:autoRedefine/>
    <w:qFormat/>
    <w:uiPriority w:val="0"/>
    <w:pPr>
      <w:jc w:val="both"/>
    </w:pPr>
    <w:rPr>
      <w:rFonts w:ascii="宋体" w:hAnsi="宋体" w:eastAsia="宋体" w:cs="Times New Roman"/>
      <w:sz w:val="21"/>
      <w:lang w:val="en-US" w:eastAsia="zh-CN" w:bidi="ar-SA"/>
    </w:rPr>
  </w:style>
  <w:style w:type="paragraph" w:customStyle="1" w:styleId="50">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51">
    <w:name w:val="标准文件_三级无标题"/>
    <w:basedOn w:val="52"/>
    <w:autoRedefine/>
    <w:qFormat/>
    <w:uiPriority w:val="0"/>
    <w:pPr>
      <w:spacing w:before="0" w:beforeLines="0" w:after="0" w:afterLines="0"/>
      <w:ind w:left="142"/>
      <w:outlineLvl w:val="9"/>
    </w:pPr>
    <w:rPr>
      <w:rFonts w:ascii="宋体" w:eastAsia="宋体"/>
    </w:rPr>
  </w:style>
  <w:style w:type="paragraph" w:customStyle="1" w:styleId="52">
    <w:name w:val="标准文件_三级条标题"/>
    <w:basedOn w:val="53"/>
    <w:next w:val="44"/>
    <w:autoRedefine/>
    <w:qFormat/>
    <w:uiPriority w:val="0"/>
    <w:pPr>
      <w:widowControl/>
      <w:numPr>
        <w:ilvl w:val="4"/>
      </w:numPr>
      <w:ind w:left="0"/>
      <w:outlineLvl w:val="3"/>
    </w:pPr>
  </w:style>
  <w:style w:type="paragraph" w:customStyle="1" w:styleId="53">
    <w:name w:val="标准文件_二级条标题"/>
    <w:next w:val="44"/>
    <w:autoRedefine/>
    <w:qFormat/>
    <w:uiPriority w:val="0"/>
    <w:pPr>
      <w:widowControl w:val="0"/>
      <w:numPr>
        <w:ilvl w:val="3"/>
        <w:numId w:val="3"/>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54">
    <w:name w:val="批注文字 字符"/>
    <w:basedOn w:val="34"/>
    <w:link w:val="14"/>
    <w:autoRedefine/>
    <w:qFormat/>
    <w:uiPriority w:val="99"/>
    <w:rPr>
      <w:kern w:val="2"/>
      <w:sz w:val="21"/>
      <w:szCs w:val="21"/>
    </w:rPr>
  </w:style>
  <w:style w:type="paragraph" w:customStyle="1" w:styleId="55">
    <w:name w:val="标准文件_参考文献标题"/>
    <w:basedOn w:val="1"/>
    <w:next w:val="1"/>
    <w:autoRedefine/>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56">
    <w:name w:val="标准文件_一级项2"/>
    <w:basedOn w:val="44"/>
    <w:autoRedefine/>
    <w:qFormat/>
    <w:uiPriority w:val="0"/>
    <w:pPr>
      <w:numPr>
        <w:ilvl w:val="0"/>
        <w:numId w:val="4"/>
      </w:numPr>
      <w:spacing w:line="300" w:lineRule="exact"/>
      <w:ind w:left="1271" w:hanging="420" w:firstLineChars="0"/>
    </w:pPr>
    <w:rPr>
      <w:rFonts w:ascii="Times New Roman"/>
    </w:rPr>
  </w:style>
  <w:style w:type="paragraph" w:customStyle="1" w:styleId="57">
    <w:name w:val="标准文件_表格续"/>
    <w:basedOn w:val="44"/>
    <w:next w:val="44"/>
    <w:autoRedefine/>
    <w:qFormat/>
    <w:uiPriority w:val="0"/>
    <w:rPr>
      <w:rFonts w:ascii="黑体" w:hAnsi="黑体" w:eastAsia="黑体"/>
    </w:rPr>
  </w:style>
  <w:style w:type="paragraph" w:customStyle="1" w:styleId="58">
    <w:name w:val="附录三级无标题条"/>
    <w:basedOn w:val="59"/>
    <w:next w:val="44"/>
    <w:autoRedefine/>
    <w:qFormat/>
    <w:uiPriority w:val="0"/>
    <w:pPr>
      <w:outlineLvl w:val="4"/>
    </w:pPr>
  </w:style>
  <w:style w:type="paragraph" w:customStyle="1" w:styleId="59">
    <w:name w:val="附录二级无标题条"/>
    <w:basedOn w:val="1"/>
    <w:next w:val="44"/>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60">
    <w:name w:val="标准文件_英文图表脚注"/>
    <w:basedOn w:val="61"/>
    <w:autoRedefine/>
    <w:qFormat/>
    <w:uiPriority w:val="0"/>
    <w:pPr>
      <w:widowControl/>
      <w:adjustRightInd/>
      <w:snapToGrid/>
      <w:spacing w:line="240" w:lineRule="auto"/>
      <w:ind w:left="79" w:hanging="79" w:hangingChars="80"/>
    </w:pPr>
    <w:rPr>
      <w:rFonts w:ascii="宋体" w:hAnsi="宋体"/>
    </w:rPr>
  </w:style>
  <w:style w:type="paragraph" w:customStyle="1" w:styleId="61">
    <w:name w:val="标准文件_标准正文"/>
    <w:basedOn w:val="1"/>
    <w:next w:val="44"/>
    <w:autoRedefine/>
    <w:qFormat/>
    <w:uiPriority w:val="0"/>
    <w:pPr>
      <w:snapToGrid w:val="0"/>
      <w:ind w:firstLine="200" w:firstLineChars="200"/>
    </w:pPr>
    <w:rPr>
      <w:kern w:val="0"/>
    </w:rPr>
  </w:style>
  <w:style w:type="paragraph" w:customStyle="1" w:styleId="62">
    <w:name w:val="图表脚注说明"/>
    <w:basedOn w:val="1"/>
    <w:next w:val="44"/>
    <w:autoRedefine/>
    <w:qFormat/>
    <w:uiPriority w:val="0"/>
    <w:pPr>
      <w:numPr>
        <w:ilvl w:val="0"/>
        <w:numId w:val="5"/>
      </w:numPr>
      <w:adjustRightInd/>
      <w:spacing w:line="240" w:lineRule="auto"/>
      <w:ind w:left="783"/>
    </w:pPr>
    <w:rPr>
      <w:rFonts w:ascii="宋体" w:hAnsi="Times New Roman"/>
      <w:sz w:val="18"/>
      <w:szCs w:val="18"/>
    </w:rPr>
  </w:style>
  <w:style w:type="paragraph" w:customStyle="1" w:styleId="63">
    <w:name w:val="段"/>
    <w:link w:val="23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64">
    <w:name w:val="标准文件_引言二级无标题"/>
    <w:basedOn w:val="65"/>
    <w:next w:val="44"/>
    <w:autoRedefine/>
    <w:qFormat/>
    <w:uiPriority w:val="0"/>
    <w:pPr>
      <w:spacing w:before="0" w:beforeLines="0" w:after="0" w:afterLines="0" w:line="276" w:lineRule="auto"/>
    </w:pPr>
    <w:rPr>
      <w:rFonts w:ascii="宋体" w:eastAsia="宋体"/>
    </w:rPr>
  </w:style>
  <w:style w:type="paragraph" w:customStyle="1" w:styleId="65">
    <w:name w:val="标准文件_引言二级条标题"/>
    <w:basedOn w:val="44"/>
    <w:next w:val="44"/>
    <w:autoRedefine/>
    <w:qFormat/>
    <w:uiPriority w:val="0"/>
    <w:pPr>
      <w:numPr>
        <w:ilvl w:val="2"/>
        <w:numId w:val="6"/>
      </w:numPr>
      <w:spacing w:before="50" w:beforeLines="50" w:after="50" w:afterLines="50"/>
      <w:ind w:firstLineChars="0"/>
    </w:pPr>
    <w:rPr>
      <w:rFonts w:ascii="黑体" w:eastAsia="黑体"/>
    </w:rPr>
  </w:style>
  <w:style w:type="paragraph" w:customStyle="1" w:styleId="66">
    <w:name w:val="标准文件_索引项"/>
    <w:basedOn w:val="44"/>
    <w:next w:val="44"/>
    <w:autoRedefine/>
    <w:qFormat/>
    <w:uiPriority w:val="0"/>
    <w:pPr>
      <w:tabs>
        <w:tab w:val="right" w:leader="dot" w:pos="9356"/>
      </w:tabs>
      <w:ind w:left="210" w:hanging="210" w:firstLineChars="0"/>
    </w:pPr>
  </w:style>
  <w:style w:type="paragraph" w:customStyle="1" w:styleId="67">
    <w:name w:val="四级无标题条"/>
    <w:basedOn w:val="1"/>
    <w:autoRedefine/>
    <w:qFormat/>
    <w:uiPriority w:val="0"/>
    <w:pPr>
      <w:numPr>
        <w:ilvl w:val="5"/>
        <w:numId w:val="7"/>
      </w:numPr>
      <w:adjustRightInd/>
      <w:spacing w:line="240" w:lineRule="auto"/>
    </w:pPr>
    <w:rPr>
      <w:rFonts w:ascii="宋体" w:hAnsi="宋体"/>
      <w:szCs w:val="24"/>
    </w:rPr>
  </w:style>
  <w:style w:type="character" w:customStyle="1" w:styleId="68">
    <w:name w:val="正文文本 字符"/>
    <w:link w:val="15"/>
    <w:autoRedefine/>
    <w:qFormat/>
    <w:uiPriority w:val="0"/>
    <w:rPr>
      <w:rFonts w:ascii="Times New Roman" w:hAnsi="Times New Roman" w:eastAsia="宋体" w:cs="Times New Roman"/>
      <w:szCs w:val="20"/>
    </w:rPr>
  </w:style>
  <w:style w:type="paragraph" w:customStyle="1" w:styleId="69">
    <w:name w:val="表标题"/>
    <w:basedOn w:val="70"/>
    <w:autoRedefine/>
    <w:qFormat/>
    <w:uiPriority w:val="0"/>
    <w:pPr>
      <w:keepNext/>
      <w:spacing w:before="100" w:beforeLines="100" w:after="50" w:afterLines="50" w:line="240" w:lineRule="auto"/>
      <w:jc w:val="center"/>
    </w:pPr>
    <w:rPr>
      <w:rFonts w:ascii="黑体" w:hAnsi="黑体" w:eastAsia="黑体" w:cs="黑体"/>
      <w:b w:val="0"/>
    </w:rPr>
  </w:style>
  <w:style w:type="paragraph" w:customStyle="1" w:styleId="70">
    <w:name w:val="w表T"/>
    <w:basedOn w:val="1"/>
    <w:autoRedefine/>
    <w:qFormat/>
    <w:uiPriority w:val="0"/>
    <w:rPr>
      <w:b/>
    </w:rPr>
  </w:style>
  <w:style w:type="paragraph" w:customStyle="1" w:styleId="71">
    <w:name w:val="标准文件_ICS"/>
    <w:basedOn w:val="1"/>
    <w:autoRedefine/>
    <w:qFormat/>
    <w:uiPriority w:val="0"/>
    <w:pPr>
      <w:spacing w:line="0" w:lineRule="atLeast"/>
    </w:pPr>
    <w:rPr>
      <w:rFonts w:ascii="黑体" w:hAnsi="宋体" w:eastAsia="黑体"/>
    </w:rPr>
  </w:style>
  <w:style w:type="paragraph" w:customStyle="1" w:styleId="72">
    <w:name w:val="附录五级无标题条"/>
    <w:basedOn w:val="73"/>
    <w:next w:val="44"/>
    <w:autoRedefine/>
    <w:qFormat/>
    <w:uiPriority w:val="0"/>
    <w:pPr>
      <w:outlineLvl w:val="6"/>
    </w:pPr>
  </w:style>
  <w:style w:type="paragraph" w:customStyle="1" w:styleId="73">
    <w:name w:val="附录四级无标题条"/>
    <w:basedOn w:val="58"/>
    <w:next w:val="44"/>
    <w:autoRedefine/>
    <w:qFormat/>
    <w:uiPriority w:val="0"/>
    <w:pPr>
      <w:outlineLvl w:val="5"/>
    </w:pPr>
  </w:style>
  <w:style w:type="paragraph" w:customStyle="1" w:styleId="74">
    <w:name w:val="标准文件_索引字母"/>
    <w:next w:val="44"/>
    <w:autoRedefine/>
    <w:qFormat/>
    <w:uiPriority w:val="0"/>
    <w:pPr>
      <w:jc w:val="center"/>
    </w:pPr>
    <w:rPr>
      <w:rFonts w:ascii="宋体" w:hAnsi="宋体" w:eastAsia="Times New Roman" w:cs="Times New Roman"/>
      <w:b/>
      <w:kern w:val="2"/>
      <w:sz w:val="21"/>
      <w:lang w:val="en-US" w:eastAsia="zh-CN" w:bidi="ar-SA"/>
    </w:rPr>
  </w:style>
  <w:style w:type="character" w:customStyle="1" w:styleId="75">
    <w:name w:val="脚注文本 字符"/>
    <w:link w:val="24"/>
    <w:autoRedefine/>
    <w:semiHidden/>
    <w:qFormat/>
    <w:uiPriority w:val="0"/>
    <w:rPr>
      <w:rFonts w:ascii="宋体" w:hAnsi="Times New Roman" w:eastAsia="宋体" w:cs="Times New Roman"/>
      <w:sz w:val="18"/>
      <w:szCs w:val="18"/>
    </w:rPr>
  </w:style>
  <w:style w:type="character" w:styleId="76">
    <w:name w:val="Placeholder Text"/>
    <w:basedOn w:val="34"/>
    <w:autoRedefine/>
    <w:semiHidden/>
    <w:qFormat/>
    <w:uiPriority w:val="99"/>
    <w:rPr>
      <w:color w:val="808080"/>
    </w:rPr>
  </w:style>
  <w:style w:type="paragraph" w:customStyle="1" w:styleId="77">
    <w:name w:val="标准文件_正文公式"/>
    <w:basedOn w:val="1"/>
    <w:next w:val="61"/>
    <w:autoRedefine/>
    <w:qFormat/>
    <w:uiPriority w:val="0"/>
    <w:pPr>
      <w:tabs>
        <w:tab w:val="center" w:pos="4678"/>
        <w:tab w:val="right" w:leader="middleDot" w:pos="9356"/>
      </w:tabs>
      <w:spacing w:line="240" w:lineRule="auto"/>
    </w:pPr>
    <w:rPr>
      <w:rFonts w:ascii="宋体" w:hAnsi="宋体"/>
    </w:rPr>
  </w:style>
  <w:style w:type="paragraph" w:customStyle="1" w:styleId="78">
    <w:name w:val="标准文件_一级无标题"/>
    <w:basedOn w:val="79"/>
    <w:autoRedefine/>
    <w:qFormat/>
    <w:uiPriority w:val="0"/>
    <w:pPr>
      <w:spacing w:before="0" w:beforeLines="0" w:after="0" w:afterLines="0"/>
      <w:outlineLvl w:val="9"/>
    </w:pPr>
    <w:rPr>
      <w:rFonts w:ascii="宋体" w:eastAsia="宋体"/>
    </w:rPr>
  </w:style>
  <w:style w:type="paragraph" w:customStyle="1" w:styleId="79">
    <w:name w:val="标准文件_一级条标题"/>
    <w:basedOn w:val="80"/>
    <w:next w:val="44"/>
    <w:autoRedefine/>
    <w:qFormat/>
    <w:uiPriority w:val="0"/>
    <w:pPr>
      <w:numPr>
        <w:ilvl w:val="2"/>
      </w:numPr>
      <w:spacing w:before="50" w:beforeLines="50" w:after="50" w:afterLines="50"/>
      <w:ind w:left="0"/>
      <w:outlineLvl w:val="1"/>
    </w:pPr>
  </w:style>
  <w:style w:type="paragraph" w:customStyle="1" w:styleId="80">
    <w:name w:val="标准文件_章标题"/>
    <w:next w:val="44"/>
    <w:autoRedefine/>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81">
    <w:name w:val="页脚 字符"/>
    <w:link w:val="20"/>
    <w:autoRedefine/>
    <w:qFormat/>
    <w:uiPriority w:val="99"/>
    <w:rPr>
      <w:rFonts w:ascii="宋体"/>
      <w:kern w:val="2"/>
      <w:sz w:val="18"/>
      <w:szCs w:val="18"/>
    </w:rPr>
  </w:style>
  <w:style w:type="character" w:customStyle="1" w:styleId="82">
    <w:name w:val="标题 9 字符"/>
    <w:link w:val="10"/>
    <w:autoRedefine/>
    <w:qFormat/>
    <w:uiPriority w:val="0"/>
    <w:rPr>
      <w:rFonts w:ascii="Arial" w:hAnsi="Arial" w:eastAsia="黑体" w:cs="Times New Roman"/>
      <w:szCs w:val="21"/>
    </w:rPr>
  </w:style>
  <w:style w:type="paragraph" w:customStyle="1" w:styleId="83">
    <w:name w:val="pf0"/>
    <w:basedOn w:val="1"/>
    <w:autoRedefine/>
    <w:qFormat/>
    <w:uiPriority w:val="0"/>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84">
    <w:name w:val="标准文件_术语条二"/>
    <w:basedOn w:val="85"/>
    <w:next w:val="44"/>
    <w:autoRedefine/>
    <w:qFormat/>
    <w:uiPriority w:val="0"/>
  </w:style>
  <w:style w:type="paragraph" w:customStyle="1" w:styleId="85">
    <w:name w:val="标准文件_二级无标题"/>
    <w:basedOn w:val="53"/>
    <w:autoRedefine/>
    <w:qFormat/>
    <w:uiPriority w:val="0"/>
    <w:pPr>
      <w:spacing w:before="0" w:beforeLines="0" w:after="0" w:afterLines="0"/>
      <w:outlineLvl w:val="9"/>
    </w:pPr>
    <w:rPr>
      <w:rFonts w:ascii="宋体" w:eastAsia="宋体"/>
    </w:rPr>
  </w:style>
  <w:style w:type="paragraph" w:customStyle="1" w:styleId="86">
    <w:name w:val="标准文件_附录图标题"/>
    <w:next w:val="44"/>
    <w:autoRedefine/>
    <w:qFormat/>
    <w:uiPriority w:val="0"/>
    <w:pPr>
      <w:numPr>
        <w:ilvl w:val="1"/>
        <w:numId w:val="8"/>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7">
    <w:name w:val="标准文件_参考文献条目"/>
    <w:autoRedefine/>
    <w:qFormat/>
    <w:uiPriority w:val="0"/>
    <w:pPr>
      <w:numPr>
        <w:ilvl w:val="0"/>
        <w:numId w:val="9"/>
      </w:numPr>
    </w:pPr>
    <w:rPr>
      <w:rFonts w:ascii="宋体" w:hAnsi="Times New Roman" w:eastAsia="宋体" w:cs="Times New Roman"/>
      <w:lang w:val="en-US" w:eastAsia="zh-CN" w:bidi="ar-SA"/>
    </w:rPr>
  </w:style>
  <w:style w:type="paragraph" w:customStyle="1" w:styleId="88">
    <w:name w:val="附录图"/>
    <w:next w:val="44"/>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二级项"/>
    <w:autoRedefine/>
    <w:qFormat/>
    <w:uiPriority w:val="0"/>
    <w:rPr>
      <w:rFonts w:ascii="宋体" w:hAnsi="Times New Roman" w:eastAsia="宋体" w:cs="Times New Roman"/>
      <w:sz w:val="21"/>
      <w:lang w:val="en-US" w:eastAsia="zh-CN" w:bidi="ar-SA"/>
    </w:rPr>
  </w:style>
  <w:style w:type="character" w:customStyle="1" w:styleId="90">
    <w:name w:val="批注主题 字符"/>
    <w:basedOn w:val="54"/>
    <w:link w:val="30"/>
    <w:autoRedefine/>
    <w:semiHidden/>
    <w:qFormat/>
    <w:uiPriority w:val="99"/>
    <w:rPr>
      <w:b/>
      <w:bCs/>
      <w:kern w:val="2"/>
      <w:sz w:val="21"/>
      <w:szCs w:val="21"/>
    </w:rPr>
  </w:style>
  <w:style w:type="paragraph" w:customStyle="1" w:styleId="91">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character" w:customStyle="1" w:styleId="92">
    <w:name w:val="标题 3 字符"/>
    <w:link w:val="4"/>
    <w:autoRedefine/>
    <w:qFormat/>
    <w:uiPriority w:val="0"/>
    <w:rPr>
      <w:rFonts w:ascii="Times New Roman" w:hAnsi="Times New Roman" w:eastAsia="宋体" w:cs="Times New Roman"/>
      <w:b/>
      <w:bCs/>
      <w:sz w:val="32"/>
      <w:szCs w:val="32"/>
    </w:rPr>
  </w:style>
  <w:style w:type="paragraph" w:customStyle="1" w:styleId="93">
    <w:name w:val="修订1"/>
    <w:autoRedefine/>
    <w:hidden/>
    <w:semiHidden/>
    <w:qFormat/>
    <w:uiPriority w:val="99"/>
    <w:rPr>
      <w:rFonts w:ascii="Calibri" w:hAnsi="Calibri" w:eastAsia="宋体" w:cs="Times New Roman"/>
      <w:kern w:val="2"/>
      <w:sz w:val="21"/>
      <w:szCs w:val="21"/>
      <w:lang w:val="en-US" w:eastAsia="zh-CN" w:bidi="ar-SA"/>
    </w:rPr>
  </w:style>
  <w:style w:type="character" w:customStyle="1" w:styleId="94">
    <w:name w:val="未处理的提及1"/>
    <w:basedOn w:val="34"/>
    <w:autoRedefine/>
    <w:semiHidden/>
    <w:unhideWhenUsed/>
    <w:qFormat/>
    <w:uiPriority w:val="99"/>
    <w:rPr>
      <w:color w:val="605E5C"/>
      <w:shd w:val="clear" w:color="auto" w:fill="E1DFDD"/>
    </w:rPr>
  </w:style>
  <w:style w:type="paragraph" w:customStyle="1" w:styleId="95">
    <w:name w:val="标准文件_附录英文标识"/>
    <w:next w:val="15"/>
    <w:autoRedefine/>
    <w:qFormat/>
    <w:uiPriority w:val="0"/>
    <w:pPr>
      <w:numPr>
        <w:ilvl w:val="0"/>
        <w:numId w:val="10"/>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96">
    <w:name w:val="二级无标题条"/>
    <w:basedOn w:val="1"/>
    <w:autoRedefine/>
    <w:qFormat/>
    <w:uiPriority w:val="0"/>
    <w:pPr>
      <w:numPr>
        <w:ilvl w:val="3"/>
        <w:numId w:val="7"/>
      </w:numPr>
      <w:adjustRightInd/>
      <w:spacing w:line="240" w:lineRule="auto"/>
    </w:pPr>
    <w:rPr>
      <w:rFonts w:ascii="宋体" w:hAnsi="宋体"/>
      <w:szCs w:val="24"/>
    </w:rPr>
  </w:style>
  <w:style w:type="paragraph" w:customStyle="1" w:styleId="97">
    <w:name w:val="标准文件_破折号列项（二级）"/>
    <w:basedOn w:val="98"/>
    <w:autoRedefine/>
    <w:qFormat/>
    <w:uiPriority w:val="0"/>
    <w:pPr>
      <w:ind w:left="0" w:firstLine="200"/>
    </w:pPr>
  </w:style>
  <w:style w:type="paragraph" w:customStyle="1" w:styleId="98">
    <w:name w:val="标准文件_破折号列项"/>
    <w:autoRedefine/>
    <w:qFormat/>
    <w:uiPriority w:val="0"/>
    <w:pPr>
      <w:numPr>
        <w:ilvl w:val="0"/>
        <w:numId w:val="11"/>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9">
    <w:name w:val="标准文件_封面标准编号"/>
    <w:basedOn w:val="1"/>
    <w:next w:val="100"/>
    <w:autoRedefine/>
    <w:qFormat/>
    <w:uiPriority w:val="0"/>
    <w:pPr>
      <w:spacing w:line="310" w:lineRule="exact"/>
      <w:jc w:val="right"/>
    </w:pPr>
    <w:rPr>
      <w:rFonts w:ascii="黑体" w:eastAsia="黑体"/>
      <w:kern w:val="0"/>
      <w:sz w:val="28"/>
    </w:rPr>
  </w:style>
  <w:style w:type="paragraph" w:customStyle="1" w:styleId="100">
    <w:name w:val="标准文件_标准代替"/>
    <w:basedOn w:val="1"/>
    <w:next w:val="1"/>
    <w:autoRedefine/>
    <w:qFormat/>
    <w:uiPriority w:val="0"/>
    <w:pPr>
      <w:spacing w:line="310" w:lineRule="exact"/>
      <w:jc w:val="right"/>
    </w:pPr>
    <w:rPr>
      <w:rFonts w:ascii="宋体" w:hAnsi="宋体"/>
      <w:kern w:val="0"/>
    </w:rPr>
  </w:style>
  <w:style w:type="paragraph" w:customStyle="1" w:styleId="101">
    <w:name w:val="修订2"/>
    <w:hidden/>
    <w:unhideWhenUsed/>
    <w:qFormat/>
    <w:uiPriority w:val="99"/>
    <w:rPr>
      <w:rFonts w:ascii="Calibri" w:hAnsi="Calibri" w:eastAsia="宋体" w:cs="Times New Roman"/>
      <w:kern w:val="2"/>
      <w:sz w:val="21"/>
      <w:szCs w:val="21"/>
      <w:lang w:val="en-US" w:eastAsia="zh-CN" w:bidi="ar-SA"/>
    </w:rPr>
  </w:style>
  <w:style w:type="paragraph" w:customStyle="1" w:styleId="102">
    <w:name w:val="标准文件_文件名称"/>
    <w:basedOn w:val="44"/>
    <w:next w:val="44"/>
    <w:autoRedefine/>
    <w:qFormat/>
    <w:uiPriority w:val="0"/>
    <w:pPr>
      <w:framePr w:w="9639" w:h="6976" w:hRule="exact" w:wrap="auto" w:vAnchor="page" w:hAnchor="page" w:y="6408"/>
      <w:autoSpaceDE/>
      <w:autoSpaceDN/>
      <w:spacing w:line="700" w:lineRule="exact"/>
      <w:ind w:firstLine="0" w:firstLineChars="0"/>
      <w:jc w:val="right"/>
    </w:pPr>
    <w:rPr>
      <w:rFonts w:ascii="黑体" w:hAnsi="黑体" w:eastAsia="黑体"/>
      <w:bCs/>
      <w:sz w:val="52"/>
    </w:rPr>
  </w:style>
  <w:style w:type="paragraph" w:customStyle="1" w:styleId="103">
    <w:name w:val="表格字体"/>
    <w:autoRedefine/>
    <w:qFormat/>
    <w:uiPriority w:val="0"/>
    <w:pPr>
      <w:jc w:val="center"/>
    </w:pPr>
    <w:rPr>
      <w:rFonts w:ascii="Times New Roman" w:hAnsi="Times New Roman" w:eastAsia="宋体" w:cstheme="minorBidi"/>
      <w:color w:val="000000"/>
      <w:sz w:val="21"/>
      <w:szCs w:val="21"/>
      <w:lang w:val="en-US" w:eastAsia="zh-CN" w:bidi="ar-SA"/>
    </w:rPr>
  </w:style>
  <w:style w:type="paragraph" w:customStyle="1" w:styleId="104">
    <w:name w:val="标准文件_页脚偶数页"/>
    <w:autoRedefine/>
    <w:qFormat/>
    <w:uiPriority w:val="0"/>
    <w:pPr>
      <w:ind w:left="198"/>
    </w:pPr>
    <w:rPr>
      <w:rFonts w:ascii="宋体" w:hAnsi="Times New Roman" w:eastAsia="宋体" w:cs="Times New Roman"/>
      <w:sz w:val="18"/>
      <w:lang w:val="en-US" w:eastAsia="zh-CN" w:bidi="ar-SA"/>
    </w:rPr>
  </w:style>
  <w:style w:type="paragraph" w:styleId="105">
    <w:name w:val="List Paragraph"/>
    <w:basedOn w:val="1"/>
    <w:autoRedefine/>
    <w:qFormat/>
    <w:uiPriority w:val="34"/>
    <w:pPr>
      <w:numPr>
        <w:ilvl w:val="0"/>
        <w:numId w:val="12"/>
      </w:numPr>
      <w:adjustRightInd/>
      <w:spacing w:line="460" w:lineRule="exact"/>
      <w:ind w:left="5103"/>
    </w:pPr>
    <w:rPr>
      <w:rFonts w:asciiTheme="minorHAnsi" w:hAnsiTheme="minorHAnsi" w:eastAsiaTheme="minorEastAsia" w:cstheme="minorBidi"/>
      <w:sz w:val="24"/>
      <w:szCs w:val="22"/>
    </w:rPr>
  </w:style>
  <w:style w:type="paragraph" w:customStyle="1" w:styleId="106">
    <w:name w:val="标准文件_索引标题"/>
    <w:basedOn w:val="55"/>
    <w:next w:val="44"/>
    <w:autoRedefine/>
    <w:qFormat/>
    <w:uiPriority w:val="0"/>
    <w:rPr>
      <w:rFonts w:hAnsi="黑体"/>
    </w:rPr>
  </w:style>
  <w:style w:type="paragraph" w:customStyle="1" w:styleId="107">
    <w:name w:val="标准文件_术语条一"/>
    <w:basedOn w:val="78"/>
    <w:next w:val="44"/>
    <w:autoRedefine/>
    <w:qFormat/>
    <w:uiPriority w:val="0"/>
  </w:style>
  <w:style w:type="paragraph" w:customStyle="1" w:styleId="108">
    <w:name w:val="标准文件_条文脚注"/>
    <w:basedOn w:val="24"/>
    <w:autoRedefine/>
    <w:qFormat/>
    <w:uiPriority w:val="0"/>
    <w:pPr>
      <w:adjustRightInd w:val="0"/>
      <w:spacing w:line="240" w:lineRule="auto"/>
      <w:ind w:left="0" w:leftChars="0" w:firstLine="200" w:firstLineChars="200"/>
      <w:jc w:val="both"/>
    </w:pPr>
    <w:rPr>
      <w:rFonts w:hAnsi="宋体"/>
    </w:rPr>
  </w:style>
  <w:style w:type="paragraph" w:customStyle="1" w:styleId="109">
    <w:name w:val="a自建条标题"/>
    <w:basedOn w:val="1"/>
    <w:link w:val="251"/>
    <w:autoRedefine/>
    <w:qFormat/>
    <w:uiPriority w:val="0"/>
    <w:pPr>
      <w:tabs>
        <w:tab w:val="left" w:pos="0"/>
      </w:tabs>
      <w:adjustRightInd/>
      <w:spacing w:line="460" w:lineRule="exact"/>
      <w:jc w:val="left"/>
      <w:outlineLvl w:val="2"/>
    </w:pPr>
    <w:rPr>
      <w:rFonts w:ascii="Times New Roman" w:hAnsi="Times New Roman" w:cstheme="minorBidi"/>
      <w:bCs/>
      <w:sz w:val="24"/>
      <w:szCs w:val="22"/>
    </w:rPr>
  </w:style>
  <w:style w:type="paragraph" w:customStyle="1" w:styleId="110">
    <w:name w:val="标准文件_引言五级条标题"/>
    <w:basedOn w:val="44"/>
    <w:next w:val="44"/>
    <w:autoRedefine/>
    <w:qFormat/>
    <w:uiPriority w:val="0"/>
    <w:pPr>
      <w:numPr>
        <w:ilvl w:val="5"/>
        <w:numId w:val="6"/>
      </w:numPr>
      <w:spacing w:before="50" w:beforeLines="50" w:after="50" w:afterLines="50"/>
      <w:ind w:firstLineChars="0"/>
    </w:pPr>
    <w:rPr>
      <w:rFonts w:ascii="黑体" w:eastAsia="黑体"/>
    </w:rPr>
  </w:style>
  <w:style w:type="paragraph" w:customStyle="1" w:styleId="111">
    <w:name w:val="标准文件_提示"/>
    <w:basedOn w:val="44"/>
    <w:next w:val="44"/>
    <w:autoRedefine/>
    <w:qFormat/>
    <w:uiPriority w:val="0"/>
    <w:rPr>
      <w:rFonts w:ascii="黑体" w:eastAsia="黑体"/>
    </w:rPr>
  </w:style>
  <w:style w:type="paragraph" w:customStyle="1" w:styleId="112">
    <w:name w:val="标准文件_正文图标题"/>
    <w:next w:val="44"/>
    <w:autoRedefine/>
    <w:qFormat/>
    <w:uiPriority w:val="0"/>
    <w:pPr>
      <w:numPr>
        <w:ilvl w:val="0"/>
        <w:numId w:val="13"/>
      </w:numPr>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标准名称"/>
    <w:autoRedefine/>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14">
    <w:name w:val="标准文件_示例X后"/>
    <w:basedOn w:val="44"/>
    <w:link w:val="142"/>
    <w:autoRedefine/>
    <w:qFormat/>
    <w:uiPriority w:val="0"/>
    <w:pPr>
      <w:ind w:left="1049" w:firstLine="0" w:firstLineChars="0"/>
    </w:pPr>
    <w:rPr>
      <w:sz w:val="18"/>
    </w:rPr>
  </w:style>
  <w:style w:type="paragraph" w:customStyle="1" w:styleId="115">
    <w:name w:val="标准文件_正文英文图标题"/>
    <w:next w:val="44"/>
    <w:autoRedefine/>
    <w:qFormat/>
    <w:uiPriority w:val="0"/>
    <w:pPr>
      <w:numPr>
        <w:ilvl w:val="0"/>
        <w:numId w:val="14"/>
      </w:numPr>
      <w:jc w:val="center"/>
    </w:pPr>
    <w:rPr>
      <w:rFonts w:ascii="黑体" w:hAnsi="Times New Roman" w:eastAsia="黑体" w:cs="Times New Roman"/>
      <w:sz w:val="21"/>
      <w:lang w:val="en-US" w:eastAsia="zh-CN" w:bidi="ar-SA"/>
    </w:rPr>
  </w:style>
  <w:style w:type="paragraph" w:customStyle="1" w:styleId="11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7">
    <w:name w:val="标准文件_注×："/>
    <w:autoRedefine/>
    <w:qFormat/>
    <w:uiPriority w:val="0"/>
    <w:pPr>
      <w:widowControl w:val="0"/>
      <w:numPr>
        <w:ilvl w:val="0"/>
        <w:numId w:val="15"/>
      </w:numPr>
      <w:autoSpaceDE w:val="0"/>
      <w:autoSpaceDN w:val="0"/>
      <w:jc w:val="both"/>
    </w:pPr>
    <w:rPr>
      <w:rFonts w:ascii="宋体" w:hAnsi="Times New Roman" w:eastAsia="宋体" w:cs="Times New Roman"/>
      <w:sz w:val="18"/>
      <w:szCs w:val="18"/>
      <w:lang w:val="en-US" w:eastAsia="zh-CN" w:bidi="ar-SA"/>
    </w:rPr>
  </w:style>
  <w:style w:type="paragraph" w:customStyle="1" w:styleId="118">
    <w:name w:val="标准文件_封面密级"/>
    <w:basedOn w:val="1"/>
    <w:autoRedefine/>
    <w:qFormat/>
    <w:uiPriority w:val="0"/>
    <w:rPr>
      <w:rFonts w:eastAsia="黑体"/>
      <w:sz w:val="32"/>
    </w:rPr>
  </w:style>
  <w:style w:type="paragraph" w:customStyle="1" w:styleId="119">
    <w:name w:val="标准文件_附录三级无标题"/>
    <w:basedOn w:val="120"/>
    <w:autoRedefine/>
    <w:qFormat/>
    <w:uiPriority w:val="0"/>
    <w:pPr>
      <w:spacing w:before="0" w:beforeLines="0" w:after="0" w:afterLines="0" w:line="276" w:lineRule="auto"/>
      <w:outlineLvl w:val="9"/>
    </w:pPr>
    <w:rPr>
      <w:rFonts w:ascii="宋体" w:eastAsia="宋体"/>
    </w:rPr>
  </w:style>
  <w:style w:type="paragraph" w:customStyle="1" w:styleId="120">
    <w:name w:val="标准文件_附录三级条标题"/>
    <w:next w:val="44"/>
    <w:autoRedefine/>
    <w:qFormat/>
    <w:uiPriority w:val="0"/>
    <w:pPr>
      <w:widowControl w:val="0"/>
      <w:numPr>
        <w:ilvl w:val="3"/>
        <w:numId w:val="1"/>
      </w:numPr>
      <w:spacing w:before="50" w:beforeLines="50" w:after="50" w:afterLines="50"/>
      <w:jc w:val="both"/>
      <w:outlineLvl w:val="4"/>
    </w:pPr>
    <w:rPr>
      <w:rFonts w:ascii="黑体" w:hAnsi="Times New Roman" w:eastAsia="黑体" w:cs="Times New Roman"/>
      <w:kern w:val="21"/>
      <w:sz w:val="21"/>
      <w:lang w:val="en-US" w:eastAsia="zh-CN" w:bidi="ar-SA"/>
    </w:rPr>
  </w:style>
  <w:style w:type="character" w:customStyle="1" w:styleId="121">
    <w:name w:val="不明显参考1"/>
    <w:autoRedefine/>
    <w:qFormat/>
    <w:uiPriority w:val="31"/>
    <w:rPr>
      <w:smallCaps/>
      <w:color w:val="C0504D"/>
      <w:u w:val="single"/>
    </w:rPr>
  </w:style>
  <w:style w:type="paragraph" w:customStyle="1" w:styleId="122">
    <w:name w:val="其他发布部门"/>
    <w:basedOn w:val="123"/>
    <w:autoRedefine/>
    <w:qFormat/>
    <w:uiPriority w:val="0"/>
    <w:pPr>
      <w:framePr w:wrap="around"/>
      <w:spacing w:line="0" w:lineRule="atLeast"/>
    </w:pPr>
    <w:rPr>
      <w:rFonts w:ascii="黑体" w:eastAsia="黑体"/>
      <w:b w:val="0"/>
    </w:rPr>
  </w:style>
  <w:style w:type="paragraph" w:customStyle="1" w:styleId="123">
    <w:name w:val="发布部门"/>
    <w:next w:val="44"/>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26">
    <w:name w:val="标准文件_示例后"/>
    <w:basedOn w:val="44"/>
    <w:autoRedefine/>
    <w:qFormat/>
    <w:uiPriority w:val="0"/>
    <w:pPr>
      <w:ind w:left="964" w:firstLine="0" w:firstLineChars="0"/>
    </w:pPr>
    <w:rPr>
      <w:sz w:val="18"/>
    </w:rPr>
  </w:style>
  <w:style w:type="paragraph" w:customStyle="1" w:styleId="127">
    <w:name w:val="标准文件_封面实施日期"/>
    <w:basedOn w:val="1"/>
    <w:autoRedefine/>
    <w:qFormat/>
    <w:uiPriority w:val="0"/>
    <w:pPr>
      <w:spacing w:line="310" w:lineRule="exact"/>
      <w:jc w:val="right"/>
    </w:pPr>
    <w:rPr>
      <w:rFonts w:ascii="黑体" w:eastAsia="黑体"/>
      <w:sz w:val="28"/>
    </w:rPr>
  </w:style>
  <w:style w:type="paragraph" w:customStyle="1" w:styleId="128">
    <w:name w:val="标准文件_目录标题"/>
    <w:basedOn w:val="1"/>
    <w:autoRedefine/>
    <w:qFormat/>
    <w:uiPriority w:val="0"/>
    <w:pPr>
      <w:spacing w:after="468" w:afterLines="150" w:line="240" w:lineRule="auto"/>
      <w:jc w:val="center"/>
    </w:pPr>
    <w:rPr>
      <w:rFonts w:ascii="黑体" w:eastAsia="黑体"/>
      <w:sz w:val="32"/>
    </w:rPr>
  </w:style>
  <w:style w:type="paragraph" w:customStyle="1" w:styleId="129">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30">
    <w:name w:val="标准文件_三级项"/>
    <w:basedOn w:val="1"/>
    <w:autoRedefine/>
    <w:qFormat/>
    <w:uiPriority w:val="0"/>
    <w:pPr>
      <w:numPr>
        <w:ilvl w:val="2"/>
        <w:numId w:val="16"/>
      </w:numPr>
      <w:spacing w:line="536870612" w:lineRule="auto"/>
    </w:pPr>
    <w:rPr>
      <w:rFonts w:ascii="Times New Roman" w:hAnsi="Times New Roman"/>
    </w:rPr>
  </w:style>
  <w:style w:type="paragraph" w:customStyle="1" w:styleId="1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2">
    <w:name w:val="目录 81"/>
    <w:basedOn w:val="133"/>
    <w:autoRedefine/>
    <w:semiHidden/>
    <w:qFormat/>
    <w:uiPriority w:val="0"/>
    <w:pPr>
      <w:ind w:left="1470"/>
    </w:pPr>
  </w:style>
  <w:style w:type="paragraph" w:customStyle="1" w:styleId="133">
    <w:name w:val="目录 71"/>
    <w:basedOn w:val="134"/>
    <w:autoRedefine/>
    <w:semiHidden/>
    <w:qFormat/>
    <w:uiPriority w:val="0"/>
    <w:pPr>
      <w:ind w:left="1260"/>
    </w:pPr>
  </w:style>
  <w:style w:type="paragraph" w:customStyle="1" w:styleId="134">
    <w:name w:val="目录 61"/>
    <w:basedOn w:val="1"/>
    <w:next w:val="1"/>
    <w:autoRedefine/>
    <w:semiHidden/>
    <w:qFormat/>
    <w:uiPriority w:val="0"/>
    <w:pPr>
      <w:adjustRightInd/>
      <w:spacing w:line="240" w:lineRule="auto"/>
      <w:jc w:val="left"/>
    </w:pPr>
  </w:style>
  <w:style w:type="paragraph" w:customStyle="1" w:styleId="135">
    <w:name w:val="标准文件_文件编号"/>
    <w:basedOn w:val="44"/>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36">
    <w:name w:val="标准文件_附录二级条标题"/>
    <w:basedOn w:val="43"/>
    <w:next w:val="44"/>
    <w:autoRedefine/>
    <w:qFormat/>
    <w:uiPriority w:val="0"/>
    <w:pPr>
      <w:widowControl/>
      <w:numPr>
        <w:ilvl w:val="2"/>
      </w:numPr>
      <w:wordWrap w:val="0"/>
      <w:overflowPunct w:val="0"/>
      <w:autoSpaceDE w:val="0"/>
      <w:autoSpaceDN w:val="0"/>
      <w:textAlignment w:val="baseline"/>
      <w:outlineLvl w:val="3"/>
    </w:pPr>
  </w:style>
  <w:style w:type="paragraph" w:customStyle="1" w:styleId="137">
    <w:name w:val="标准文件_编号列项（三级）"/>
    <w:autoRedefine/>
    <w:qFormat/>
    <w:uiPriority w:val="0"/>
    <w:pPr>
      <w:numPr>
        <w:ilvl w:val="2"/>
        <w:numId w:val="2"/>
      </w:numPr>
      <w:tabs>
        <w:tab w:val="left" w:pos="851"/>
      </w:tabs>
    </w:pPr>
    <w:rPr>
      <w:rFonts w:ascii="宋体" w:hAnsi="Times New Roman" w:eastAsia="宋体" w:cs="Times New Roman"/>
      <w:sz w:val="21"/>
      <w:lang w:val="en-US" w:eastAsia="zh-CN" w:bidi="ar-SA"/>
    </w:rPr>
  </w:style>
  <w:style w:type="character" w:customStyle="1" w:styleId="138">
    <w:name w:val="个人撰写风格"/>
    <w:autoRedefine/>
    <w:qFormat/>
    <w:uiPriority w:val="0"/>
    <w:rPr>
      <w:rFonts w:ascii="Arial" w:hAnsi="Arial" w:eastAsia="宋体" w:cs="Arial"/>
      <w:color w:val="auto"/>
      <w:spacing w:val="0"/>
      <w:sz w:val="20"/>
    </w:rPr>
  </w:style>
  <w:style w:type="paragraph" w:customStyle="1" w:styleId="139">
    <w:name w:val="标准文件_术语条四"/>
    <w:basedOn w:val="46"/>
    <w:next w:val="44"/>
    <w:autoRedefine/>
    <w:qFormat/>
    <w:uiPriority w:val="0"/>
  </w:style>
  <w:style w:type="paragraph" w:customStyle="1" w:styleId="140">
    <w:name w:val="标准文件_示例后续"/>
    <w:basedOn w:val="1"/>
    <w:autoRedefine/>
    <w:qFormat/>
    <w:uiPriority w:val="0"/>
    <w:pPr>
      <w:adjustRightInd/>
      <w:spacing w:line="240" w:lineRule="auto"/>
      <w:ind w:firstLine="200" w:firstLineChars="200"/>
    </w:pPr>
    <w:rPr>
      <w:sz w:val="18"/>
      <w:szCs w:val="24"/>
    </w:rPr>
  </w:style>
  <w:style w:type="paragraph" w:customStyle="1" w:styleId="141">
    <w:name w:val="标准文件_示例内容"/>
    <w:basedOn w:val="44"/>
    <w:autoRedefine/>
    <w:qFormat/>
    <w:uiPriority w:val="0"/>
    <w:rPr>
      <w:sz w:val="18"/>
    </w:rPr>
  </w:style>
  <w:style w:type="character" w:customStyle="1" w:styleId="142">
    <w:name w:val="标准文件_示例X后 字符"/>
    <w:basedOn w:val="143"/>
    <w:link w:val="114"/>
    <w:autoRedefine/>
    <w:qFormat/>
    <w:uiPriority w:val="0"/>
    <w:rPr>
      <w:rFonts w:ascii="宋体" w:hAnsi="Times New Roman"/>
      <w:sz w:val="18"/>
    </w:rPr>
  </w:style>
  <w:style w:type="character" w:customStyle="1" w:styleId="143">
    <w:name w:val="标准文件_段 Char"/>
    <w:link w:val="44"/>
    <w:autoRedefine/>
    <w:qFormat/>
    <w:uiPriority w:val="0"/>
    <w:rPr>
      <w:rFonts w:ascii="宋体" w:hAnsi="Times New Roman"/>
      <w:sz w:val="21"/>
    </w:rPr>
  </w:style>
  <w:style w:type="paragraph" w:customStyle="1" w:styleId="144">
    <w:name w:val="前言标题"/>
    <w:next w:val="1"/>
    <w:autoRedefine/>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45">
    <w:name w:val="标准文件_引言五级无标题"/>
    <w:basedOn w:val="110"/>
    <w:next w:val="44"/>
    <w:autoRedefine/>
    <w:qFormat/>
    <w:uiPriority w:val="0"/>
    <w:pPr>
      <w:spacing w:before="0" w:beforeLines="0" w:after="0" w:afterLines="0" w:line="276" w:lineRule="auto"/>
    </w:pPr>
    <w:rPr>
      <w:rFonts w:ascii="宋体" w:eastAsia="宋体"/>
    </w:rPr>
  </w:style>
  <w:style w:type="paragraph" w:customStyle="1" w:styleId="146">
    <w:name w:val="标准文件_附录表标题"/>
    <w:next w:val="44"/>
    <w:autoRedefine/>
    <w:qFormat/>
    <w:uiPriority w:val="0"/>
    <w:pPr>
      <w:adjustRightInd w:val="0"/>
      <w:snapToGrid w:val="0"/>
      <w:spacing w:before="83" w:beforeLines="25" w:after="166" w:afterLines="50"/>
      <w:ind w:left="420"/>
      <w:jc w:val="center"/>
      <w:textAlignment w:val="baseline"/>
    </w:pPr>
    <w:rPr>
      <w:rFonts w:ascii="黑体" w:hAnsi="Times New Roman" w:eastAsia="黑体" w:cs="Times New Roman"/>
      <w:sz w:val="21"/>
      <w:szCs w:val="13"/>
      <w:lang w:val="en-US" w:eastAsia="zh-CN" w:bidi="ar-SA"/>
    </w:rPr>
  </w:style>
  <w:style w:type="paragraph" w:customStyle="1" w:styleId="147">
    <w:name w:val="封面正文"/>
    <w:autoRedefine/>
    <w:qFormat/>
    <w:uiPriority w:val="0"/>
    <w:pPr>
      <w:jc w:val="both"/>
    </w:pPr>
    <w:rPr>
      <w:rFonts w:ascii="Times New Roman" w:hAnsi="Times New Roman" w:eastAsia="宋体" w:cs="Times New Roman"/>
      <w:lang w:val="en-US" w:eastAsia="zh-CN" w:bidi="ar-SA"/>
    </w:rPr>
  </w:style>
  <w:style w:type="paragraph" w:customStyle="1" w:styleId="148">
    <w:name w:val="附录性质"/>
    <w:basedOn w:val="1"/>
    <w:autoRedefine/>
    <w:qFormat/>
    <w:uiPriority w:val="0"/>
    <w:pPr>
      <w:widowControl/>
      <w:adjustRightInd/>
      <w:jc w:val="center"/>
    </w:pPr>
    <w:rPr>
      <w:rFonts w:ascii="黑体" w:eastAsia="黑体"/>
    </w:rPr>
  </w:style>
  <w:style w:type="paragraph" w:customStyle="1" w:styleId="149">
    <w:name w:val="标准文件_封面抬头"/>
    <w:basedOn w:val="44"/>
    <w:autoRedefine/>
    <w:qFormat/>
    <w:uiPriority w:val="0"/>
    <w:pPr>
      <w:adjustRightInd w:val="0"/>
      <w:spacing w:line="800" w:lineRule="exact"/>
      <w:ind w:firstLine="0" w:firstLineChars="0"/>
      <w:jc w:val="distribute"/>
    </w:pPr>
    <w:rPr>
      <w:rFonts w:ascii="黑体" w:eastAsia="黑体"/>
      <w:b/>
      <w:sz w:val="64"/>
    </w:rPr>
  </w:style>
  <w:style w:type="paragraph" w:customStyle="1" w:styleId="150">
    <w:name w:val="标准文件_英文注："/>
    <w:basedOn w:val="1"/>
    <w:next w:val="44"/>
    <w:autoRedefine/>
    <w:qFormat/>
    <w:uiPriority w:val="0"/>
    <w:pPr>
      <w:numPr>
        <w:ilvl w:val="0"/>
        <w:numId w:val="17"/>
      </w:numPr>
      <w:tabs>
        <w:tab w:val="left" w:pos="420"/>
      </w:tabs>
      <w:autoSpaceDE w:val="0"/>
      <w:autoSpaceDN w:val="0"/>
      <w:spacing w:line="240" w:lineRule="auto"/>
    </w:pPr>
    <w:rPr>
      <w:rFonts w:ascii="宋体" w:hAnsi="宋体"/>
      <w:kern w:val="0"/>
      <w:sz w:val="18"/>
      <w:szCs w:val="20"/>
    </w:rPr>
  </w:style>
  <w:style w:type="character" w:customStyle="1" w:styleId="151">
    <w:name w:val="标题 字符"/>
    <w:link w:val="29"/>
    <w:autoRedefine/>
    <w:qFormat/>
    <w:uiPriority w:val="0"/>
    <w:rPr>
      <w:rFonts w:ascii="Arial" w:hAnsi="Arial" w:eastAsia="宋体" w:cs="Arial"/>
      <w:b/>
      <w:bCs/>
      <w:sz w:val="32"/>
      <w:szCs w:val="32"/>
    </w:rPr>
  </w:style>
  <w:style w:type="paragraph" w:customStyle="1" w:styleId="152">
    <w:name w:val="标准文件_二级项2"/>
    <w:basedOn w:val="44"/>
    <w:autoRedefine/>
    <w:qFormat/>
    <w:uiPriority w:val="0"/>
    <w:pPr>
      <w:numPr>
        <w:ilvl w:val="1"/>
        <w:numId w:val="16"/>
      </w:numPr>
      <w:ind w:left="1271" w:hanging="420" w:firstLineChars="0"/>
    </w:pPr>
  </w:style>
  <w:style w:type="character" w:customStyle="1" w:styleId="153">
    <w:name w:val="发布"/>
    <w:basedOn w:val="34"/>
    <w:autoRedefine/>
    <w:qFormat/>
    <w:uiPriority w:val="0"/>
    <w:rPr>
      <w:rFonts w:ascii="黑体" w:eastAsia="黑体"/>
      <w:spacing w:val="85"/>
      <w:w w:val="100"/>
      <w:position w:val="3"/>
      <w:sz w:val="28"/>
      <w:szCs w:val="28"/>
    </w:rPr>
  </w:style>
  <w:style w:type="paragraph" w:customStyle="1" w:styleId="154">
    <w:name w:val="标准文件_封面发布日期"/>
    <w:basedOn w:val="1"/>
    <w:autoRedefine/>
    <w:qFormat/>
    <w:uiPriority w:val="0"/>
    <w:pPr>
      <w:spacing w:line="310" w:lineRule="exact"/>
    </w:pPr>
    <w:rPr>
      <w:rFonts w:ascii="黑体" w:eastAsia="黑体"/>
      <w:kern w:val="0"/>
      <w:sz w:val="28"/>
    </w:rPr>
  </w:style>
  <w:style w:type="paragraph" w:customStyle="1" w:styleId="155">
    <w:name w:val="标准文件_引言四级条标题"/>
    <w:basedOn w:val="44"/>
    <w:next w:val="44"/>
    <w:autoRedefine/>
    <w:qFormat/>
    <w:uiPriority w:val="0"/>
    <w:pPr>
      <w:numPr>
        <w:ilvl w:val="4"/>
        <w:numId w:val="6"/>
      </w:numPr>
      <w:spacing w:before="50" w:beforeLines="50" w:after="50" w:afterLines="50"/>
      <w:ind w:firstLineChars="0"/>
    </w:pPr>
    <w:rPr>
      <w:rFonts w:ascii="黑体" w:eastAsia="黑体"/>
    </w:rPr>
  </w:style>
  <w:style w:type="paragraph" w:customStyle="1" w:styleId="156">
    <w:name w:val="标准文件_大写罗马数字编号列项"/>
    <w:basedOn w:val="44"/>
    <w:autoRedefine/>
    <w:qFormat/>
    <w:uiPriority w:val="0"/>
    <w:pPr>
      <w:numPr>
        <w:ilvl w:val="0"/>
        <w:numId w:val="18"/>
      </w:numPr>
      <w:ind w:firstLine="0" w:firstLineChars="0"/>
    </w:pPr>
    <w:rPr>
      <w:rFonts w:ascii="Times New Roman" w:cs="Arial"/>
      <w:szCs w:val="28"/>
    </w:rPr>
  </w:style>
  <w:style w:type="paragraph" w:customStyle="1" w:styleId="157">
    <w:name w:val="标准文件_附录二级无标题"/>
    <w:basedOn w:val="136"/>
    <w:autoRedefine/>
    <w:qFormat/>
    <w:uiPriority w:val="0"/>
    <w:pPr>
      <w:spacing w:before="0" w:beforeLines="0" w:after="0" w:afterLines="0" w:line="276" w:lineRule="auto"/>
      <w:outlineLvl w:val="9"/>
    </w:pPr>
    <w:rPr>
      <w:rFonts w:ascii="宋体" w:eastAsia="宋体"/>
    </w:rPr>
  </w:style>
  <w:style w:type="paragraph" w:customStyle="1" w:styleId="158">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159">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60">
    <w:name w:val="a自建节标题"/>
    <w:basedOn w:val="1"/>
    <w:link w:val="173"/>
    <w:autoRedefine/>
    <w:qFormat/>
    <w:uiPriority w:val="0"/>
    <w:pPr>
      <w:adjustRightInd/>
      <w:spacing w:beforeLines="50" w:afterLines="50" w:line="240" w:lineRule="auto"/>
      <w:jc w:val="center"/>
      <w:outlineLvl w:val="1"/>
    </w:pPr>
    <w:rPr>
      <w:rFonts w:ascii="Times New Roman" w:hAnsi="Times New Roman" w:cstheme="minorBidi"/>
      <w:b/>
      <w:sz w:val="24"/>
      <w:szCs w:val="22"/>
    </w:rPr>
  </w:style>
  <w:style w:type="character" w:customStyle="1" w:styleId="161">
    <w:name w:val="标题 6 字符"/>
    <w:link w:val="7"/>
    <w:autoRedefine/>
    <w:qFormat/>
    <w:uiPriority w:val="0"/>
    <w:rPr>
      <w:rFonts w:ascii="Arial" w:hAnsi="Arial" w:eastAsia="黑体" w:cs="Times New Roman"/>
      <w:b/>
      <w:bCs/>
      <w:sz w:val="24"/>
      <w:szCs w:val="24"/>
    </w:rPr>
  </w:style>
  <w:style w:type="paragraph" w:customStyle="1" w:styleId="162">
    <w:name w:val="标准文件_五级无标题"/>
    <w:basedOn w:val="163"/>
    <w:autoRedefine/>
    <w:qFormat/>
    <w:uiPriority w:val="0"/>
    <w:pPr>
      <w:spacing w:before="0" w:beforeLines="0" w:after="0" w:afterLines="0"/>
      <w:outlineLvl w:val="9"/>
    </w:pPr>
    <w:rPr>
      <w:rFonts w:ascii="宋体" w:eastAsia="宋体"/>
    </w:rPr>
  </w:style>
  <w:style w:type="paragraph" w:customStyle="1" w:styleId="163">
    <w:name w:val="标准文件_五级条标题"/>
    <w:next w:val="44"/>
    <w:autoRedefine/>
    <w:qFormat/>
    <w:uiPriority w:val="0"/>
    <w:pPr>
      <w:widowControl w:val="0"/>
      <w:numPr>
        <w:ilvl w:val="6"/>
        <w:numId w:val="3"/>
      </w:numPr>
      <w:spacing w:before="50" w:beforeLines="50" w:after="50" w:afterLines="50"/>
      <w:jc w:val="both"/>
      <w:outlineLvl w:val="5"/>
    </w:pPr>
    <w:rPr>
      <w:rFonts w:ascii="黑体" w:hAnsi="Times New Roman" w:eastAsia="黑体" w:cs="Times New Roman"/>
      <w:sz w:val="21"/>
      <w:lang w:val="en-US" w:eastAsia="zh-CN" w:bidi="ar-SA"/>
    </w:rPr>
  </w:style>
  <w:style w:type="character" w:customStyle="1" w:styleId="164">
    <w:name w:val="日期 字符"/>
    <w:basedOn w:val="34"/>
    <w:link w:val="18"/>
    <w:autoRedefine/>
    <w:semiHidden/>
    <w:qFormat/>
    <w:uiPriority w:val="99"/>
    <w:rPr>
      <w:kern w:val="2"/>
      <w:sz w:val="21"/>
      <w:szCs w:val="21"/>
    </w:rPr>
  </w:style>
  <w:style w:type="character" w:customStyle="1" w:styleId="165">
    <w:name w:val="a自建章标题 字符"/>
    <w:basedOn w:val="34"/>
    <w:link w:val="166"/>
    <w:autoRedefine/>
    <w:qFormat/>
    <w:uiPriority w:val="0"/>
    <w:rPr>
      <w:rFonts w:asciiTheme="minorHAnsi" w:hAnsiTheme="minorHAnsi" w:eastAsiaTheme="minorEastAsia" w:cstheme="minorBidi"/>
      <w:b/>
      <w:bCs/>
      <w:color w:val="000000"/>
      <w:kern w:val="2"/>
      <w:sz w:val="28"/>
      <w:szCs w:val="32"/>
    </w:rPr>
  </w:style>
  <w:style w:type="paragraph" w:customStyle="1" w:styleId="166">
    <w:name w:val="a自建章标题"/>
    <w:basedOn w:val="105"/>
    <w:link w:val="165"/>
    <w:autoRedefine/>
    <w:qFormat/>
    <w:uiPriority w:val="0"/>
    <w:pPr>
      <w:pageBreakBefore/>
      <w:spacing w:beforeLines="100" w:afterLines="100"/>
      <w:ind w:left="0"/>
      <w:jc w:val="center"/>
      <w:outlineLvl w:val="0"/>
    </w:pPr>
    <w:rPr>
      <w:b/>
      <w:bCs/>
      <w:color w:val="000000"/>
      <w:sz w:val="28"/>
      <w:szCs w:val="32"/>
    </w:rPr>
  </w:style>
  <w:style w:type="paragraph" w:customStyle="1" w:styleId="167">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8">
    <w:name w:val="标准文件_目次、标准名称标题"/>
    <w:basedOn w:val="169"/>
    <w:next w:val="44"/>
    <w:autoRedefine/>
    <w:qFormat/>
    <w:uiPriority w:val="0"/>
    <w:pPr>
      <w:spacing w:line="460" w:lineRule="exact"/>
    </w:pPr>
  </w:style>
  <w:style w:type="paragraph" w:customStyle="1" w:styleId="169">
    <w:name w:val="标准文件_前言、引言标题"/>
    <w:next w:val="1"/>
    <w:autoRedefine/>
    <w:qFormat/>
    <w:uiPriority w:val="0"/>
    <w:pPr>
      <w:shd w:val="clear" w:color="FFFFFF" w:fill="FFFFFF"/>
      <w:spacing w:after="468" w:afterLines="150"/>
      <w:jc w:val="center"/>
      <w:outlineLvl w:val="0"/>
    </w:pPr>
    <w:rPr>
      <w:rFonts w:ascii="黑体" w:hAnsi="Times New Roman" w:eastAsia="黑体" w:cs="Times New Roman"/>
      <w:sz w:val="32"/>
      <w:lang w:val="en-US" w:eastAsia="zh-CN" w:bidi="ar-SA"/>
    </w:rPr>
  </w:style>
  <w:style w:type="paragraph" w:customStyle="1" w:styleId="170">
    <w:name w:val="标准文件_附录五级无标题"/>
    <w:basedOn w:val="171"/>
    <w:autoRedefine/>
    <w:qFormat/>
    <w:uiPriority w:val="0"/>
    <w:pPr>
      <w:spacing w:before="0" w:beforeLines="0" w:after="0" w:afterLines="0" w:line="276" w:lineRule="auto"/>
      <w:outlineLvl w:val="9"/>
    </w:pPr>
    <w:rPr>
      <w:rFonts w:ascii="宋体" w:eastAsia="宋体"/>
    </w:rPr>
  </w:style>
  <w:style w:type="paragraph" w:customStyle="1" w:styleId="171">
    <w:name w:val="标准文件_附录五级条标题"/>
    <w:next w:val="44"/>
    <w:autoRedefine/>
    <w:qFormat/>
    <w:uiPriority w:val="0"/>
    <w:pPr>
      <w:widowControl w:val="0"/>
      <w:numPr>
        <w:ilvl w:val="5"/>
        <w:numId w:val="1"/>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172">
    <w:name w:val="标准文件_示例×："/>
    <w:basedOn w:val="1"/>
    <w:next w:val="141"/>
    <w:autoRedefine/>
    <w:qFormat/>
    <w:uiPriority w:val="0"/>
    <w:pPr>
      <w:widowControl/>
      <w:numPr>
        <w:ilvl w:val="0"/>
        <w:numId w:val="19"/>
      </w:numPr>
      <w:adjustRightInd/>
      <w:spacing w:line="240" w:lineRule="auto"/>
    </w:pPr>
    <w:rPr>
      <w:rFonts w:ascii="宋体" w:hAnsi="Times New Roman"/>
      <w:kern w:val="0"/>
      <w:sz w:val="18"/>
      <w:szCs w:val="18"/>
    </w:rPr>
  </w:style>
  <w:style w:type="character" w:customStyle="1" w:styleId="173">
    <w:name w:val="a自建节标题 字符"/>
    <w:basedOn w:val="34"/>
    <w:link w:val="160"/>
    <w:autoRedefine/>
    <w:qFormat/>
    <w:uiPriority w:val="0"/>
    <w:rPr>
      <w:rFonts w:ascii="Times New Roman" w:hAnsi="Times New Roman" w:cstheme="minorBidi"/>
      <w:b/>
      <w:kern w:val="2"/>
      <w:sz w:val="24"/>
      <w:szCs w:val="22"/>
    </w:rPr>
  </w:style>
  <w:style w:type="paragraph" w:customStyle="1" w:styleId="174">
    <w:name w:val="标准文件_附录前"/>
    <w:next w:val="44"/>
    <w:autoRedefine/>
    <w:qFormat/>
    <w:uiPriority w:val="0"/>
    <w:pPr>
      <w:spacing w:line="20" w:lineRule="atLeast"/>
      <w:ind w:firstLine="200"/>
    </w:pPr>
    <w:rPr>
      <w:rFonts w:ascii="宋体" w:hAnsi="宋体" w:eastAsia="宋体" w:cs="Times New Roman"/>
      <w:kern w:val="2"/>
      <w:sz w:val="10"/>
      <w:lang w:val="en-US" w:eastAsia="zh-CN" w:bidi="ar-SA"/>
    </w:rPr>
  </w:style>
  <w:style w:type="character" w:customStyle="1" w:styleId="175">
    <w:name w:val="cf01"/>
    <w:basedOn w:val="34"/>
    <w:autoRedefine/>
    <w:qFormat/>
    <w:uiPriority w:val="0"/>
    <w:rPr>
      <w:rFonts w:hint="eastAsia" w:ascii="Microsoft YaHei UI" w:hAnsi="Microsoft YaHei UI" w:eastAsia="Microsoft YaHei UI"/>
      <w:sz w:val="18"/>
      <w:szCs w:val="18"/>
    </w:rPr>
  </w:style>
  <w:style w:type="paragraph" w:customStyle="1" w:styleId="176">
    <w:name w:val="附录一级无标题条"/>
    <w:basedOn w:val="177"/>
    <w:next w:val="44"/>
    <w:autoRedefine/>
    <w:qFormat/>
    <w:uiPriority w:val="0"/>
    <w:pPr>
      <w:autoSpaceDN w:val="0"/>
      <w:outlineLvl w:val="2"/>
    </w:pPr>
    <w:rPr>
      <w:rFonts w:ascii="宋体" w:hAnsi="宋体" w:eastAsia="宋体"/>
    </w:rPr>
  </w:style>
  <w:style w:type="paragraph" w:customStyle="1" w:styleId="177">
    <w:name w:val="标准文件_附录章标题"/>
    <w:next w:val="44"/>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78">
    <w:name w:val="WPSOffice手动目录 2"/>
    <w:autoRedefine/>
    <w:qFormat/>
    <w:uiPriority w:val="0"/>
    <w:pPr>
      <w:ind w:left="200" w:leftChars="200"/>
    </w:pPr>
    <w:rPr>
      <w:rFonts w:ascii="Calibri" w:hAnsi="Calibri" w:eastAsia="宋体" w:cs="Times New Roman"/>
      <w:lang w:val="en-US" w:eastAsia="zh-CN" w:bidi="ar-SA"/>
    </w:rPr>
  </w:style>
  <w:style w:type="paragraph" w:customStyle="1" w:styleId="179">
    <w:name w:val="列项·"/>
    <w:basedOn w:val="44"/>
    <w:autoRedefine/>
    <w:qFormat/>
    <w:uiPriority w:val="0"/>
    <w:pPr>
      <w:tabs>
        <w:tab w:val="left" w:pos="840"/>
      </w:tabs>
    </w:pPr>
  </w:style>
  <w:style w:type="paragraph" w:customStyle="1" w:styleId="180">
    <w:name w:val="标准文件_一致程度"/>
    <w:basedOn w:val="1"/>
    <w:autoRedefine/>
    <w:qFormat/>
    <w:uiPriority w:val="0"/>
    <w:pPr>
      <w:spacing w:line="440" w:lineRule="exact"/>
      <w:jc w:val="center"/>
    </w:pPr>
    <w:rPr>
      <w:sz w:val="28"/>
    </w:rPr>
  </w:style>
  <w:style w:type="paragraph" w:customStyle="1" w:styleId="181">
    <w:name w:val="其他发布日期"/>
    <w:basedOn w:val="124"/>
    <w:autoRedefine/>
    <w:qFormat/>
    <w:uiPriority w:val="0"/>
    <w:pPr>
      <w:framePr w:w="3997" w:h="471" w:hRule="exact" w:hSpace="0" w:vSpace="181" w:wrap="around" w:vAnchor="page" w:hAnchor="page" w:x="1419" w:y="14097"/>
    </w:pPr>
  </w:style>
  <w:style w:type="character" w:customStyle="1" w:styleId="182">
    <w:name w:val="标题 5 字符"/>
    <w:link w:val="6"/>
    <w:autoRedefine/>
    <w:qFormat/>
    <w:uiPriority w:val="0"/>
    <w:rPr>
      <w:rFonts w:ascii="Times New Roman" w:hAnsi="Times New Roman" w:eastAsia="宋体" w:cs="Times New Roman"/>
      <w:b/>
      <w:bCs/>
      <w:sz w:val="28"/>
      <w:szCs w:val="28"/>
    </w:rPr>
  </w:style>
  <w:style w:type="character" w:customStyle="1" w:styleId="183">
    <w:name w:val="标准文件_图表脚注内容"/>
    <w:autoRedefine/>
    <w:qFormat/>
    <w:uiPriority w:val="0"/>
    <w:rPr>
      <w:rFonts w:ascii="宋体" w:hAnsi="宋体" w:eastAsia="宋体" w:cs="Times New Roman"/>
      <w:spacing w:val="0"/>
      <w:sz w:val="18"/>
      <w:vertAlign w:val="superscript"/>
    </w:rPr>
  </w:style>
  <w:style w:type="paragraph" w:customStyle="1" w:styleId="184">
    <w:name w:val="标准_四级无标题"/>
    <w:basedOn w:val="47"/>
    <w:next w:val="44"/>
    <w:autoRedefine/>
    <w:qFormat/>
    <w:uiPriority w:val="0"/>
    <w:rPr>
      <w:rFonts w:eastAsia="宋体"/>
    </w:rPr>
  </w:style>
  <w:style w:type="paragraph" w:customStyle="1" w:styleId="185">
    <w:name w:val="注×:后续"/>
    <w:basedOn w:val="167"/>
    <w:autoRedefine/>
    <w:qFormat/>
    <w:uiPriority w:val="0"/>
    <w:pPr>
      <w:ind w:left="1406" w:leftChars="0" w:hanging="499" w:firstLineChars="0"/>
    </w:pPr>
  </w:style>
  <w:style w:type="character" w:customStyle="1" w:styleId="186">
    <w:name w:val="页眉 字符"/>
    <w:link w:val="21"/>
    <w:autoRedefine/>
    <w:qFormat/>
    <w:uiPriority w:val="99"/>
    <w:rPr>
      <w:rFonts w:ascii="Times New Roman" w:hAnsi="Times New Roman" w:eastAsia="宋体" w:cs="Times New Roman"/>
      <w:sz w:val="18"/>
      <w:szCs w:val="18"/>
    </w:rPr>
  </w:style>
  <w:style w:type="paragraph" w:customStyle="1" w:styleId="187">
    <w:name w:val="标准文件_标准部门"/>
    <w:basedOn w:val="1"/>
    <w:autoRedefine/>
    <w:qFormat/>
    <w:uiPriority w:val="0"/>
    <w:pPr>
      <w:jc w:val="center"/>
    </w:pPr>
    <w:rPr>
      <w:rFonts w:ascii="黑体" w:eastAsia="黑体"/>
      <w:kern w:val="0"/>
      <w:sz w:val="44"/>
    </w:rPr>
  </w:style>
  <w:style w:type="character" w:customStyle="1" w:styleId="188">
    <w:name w:val="标题 2 字符"/>
    <w:link w:val="3"/>
    <w:autoRedefine/>
    <w:qFormat/>
    <w:uiPriority w:val="9"/>
    <w:rPr>
      <w:rFonts w:ascii="Arial" w:hAnsi="Arial" w:eastAsia="黑体" w:cs="Times New Roman"/>
      <w:b/>
      <w:bCs/>
      <w:sz w:val="32"/>
      <w:szCs w:val="32"/>
    </w:rPr>
  </w:style>
  <w:style w:type="paragraph" w:customStyle="1" w:styleId="189">
    <w:name w:val="一级无标题条"/>
    <w:basedOn w:val="1"/>
    <w:autoRedefine/>
    <w:qFormat/>
    <w:uiPriority w:val="0"/>
    <w:pPr>
      <w:numPr>
        <w:ilvl w:val="2"/>
        <w:numId w:val="7"/>
      </w:numPr>
      <w:adjustRightInd/>
      <w:spacing w:before="10" w:after="10" w:line="240" w:lineRule="auto"/>
    </w:pPr>
    <w:rPr>
      <w:rFonts w:ascii="宋体" w:hAnsi="宋体"/>
      <w:szCs w:val="24"/>
    </w:rPr>
  </w:style>
  <w:style w:type="character" w:customStyle="1" w:styleId="190">
    <w:name w:val="个人答复风格"/>
    <w:autoRedefine/>
    <w:qFormat/>
    <w:uiPriority w:val="0"/>
    <w:rPr>
      <w:rFonts w:ascii="Arial" w:hAnsi="Arial" w:eastAsia="宋体" w:cs="Arial"/>
      <w:color w:val="auto"/>
      <w:spacing w:val="0"/>
      <w:sz w:val="20"/>
    </w:rPr>
  </w:style>
  <w:style w:type="paragraph" w:customStyle="1" w:styleId="191">
    <w:name w:val="标准文件_方框数字列项"/>
    <w:basedOn w:val="44"/>
    <w:autoRedefine/>
    <w:qFormat/>
    <w:uiPriority w:val="0"/>
    <w:pPr>
      <w:numPr>
        <w:ilvl w:val="0"/>
        <w:numId w:val="20"/>
      </w:numPr>
      <w:ind w:firstLine="0" w:firstLineChars="0"/>
    </w:pPr>
  </w:style>
  <w:style w:type="paragraph" w:customStyle="1" w:styleId="192">
    <w:name w:val="列项——"/>
    <w:autoRedefine/>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93">
    <w:name w:val="目录 31"/>
    <w:basedOn w:val="1"/>
    <w:next w:val="1"/>
    <w:autoRedefine/>
    <w:semiHidden/>
    <w:qFormat/>
    <w:uiPriority w:val="0"/>
    <w:pPr>
      <w:spacing w:line="240" w:lineRule="auto"/>
    </w:pPr>
    <w:rPr>
      <w:rFonts w:ascii="宋体" w:hAnsi="宋体"/>
      <w:iCs/>
    </w:rPr>
  </w:style>
  <w:style w:type="paragraph" w:customStyle="1" w:styleId="194">
    <w:name w:val="标准文件_页眉偶数页"/>
    <w:basedOn w:val="158"/>
    <w:next w:val="1"/>
    <w:autoRedefine/>
    <w:qFormat/>
    <w:uiPriority w:val="0"/>
    <w:pPr>
      <w:jc w:val="left"/>
    </w:pPr>
  </w:style>
  <w:style w:type="paragraph" w:customStyle="1" w:styleId="195">
    <w:name w:val="五级无标题条"/>
    <w:basedOn w:val="1"/>
    <w:autoRedefine/>
    <w:qFormat/>
    <w:uiPriority w:val="0"/>
    <w:pPr>
      <w:numPr>
        <w:ilvl w:val="6"/>
        <w:numId w:val="7"/>
      </w:numPr>
      <w:adjustRightInd/>
    </w:pPr>
    <w:rPr>
      <w:szCs w:val="24"/>
    </w:rPr>
  </w:style>
  <w:style w:type="paragraph" w:customStyle="1" w:styleId="196">
    <w:name w:val="标准文件_附录标识"/>
    <w:next w:val="44"/>
    <w:autoRedefine/>
    <w:qFormat/>
    <w:uiPriority w:val="0"/>
    <w:pPr>
      <w:numPr>
        <w:ilvl w:val="0"/>
        <w:numId w:val="1"/>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97">
    <w:name w:val="标准文件_封面标准名称"/>
    <w:basedOn w:val="1"/>
    <w:autoRedefine/>
    <w:qFormat/>
    <w:uiPriority w:val="0"/>
    <w:pPr>
      <w:spacing w:line="240" w:lineRule="auto"/>
      <w:jc w:val="center"/>
    </w:pPr>
    <w:rPr>
      <w:rFonts w:ascii="黑体" w:eastAsia="黑体"/>
      <w:kern w:val="0"/>
      <w:sz w:val="52"/>
    </w:rPr>
  </w:style>
  <w:style w:type="paragraph" w:customStyle="1" w:styleId="198">
    <w:name w:val="标准文件_引言三级条标题"/>
    <w:basedOn w:val="44"/>
    <w:next w:val="44"/>
    <w:autoRedefine/>
    <w:qFormat/>
    <w:uiPriority w:val="0"/>
    <w:pPr>
      <w:numPr>
        <w:ilvl w:val="3"/>
        <w:numId w:val="6"/>
      </w:numPr>
      <w:spacing w:before="50" w:beforeLines="50" w:after="50" w:afterLines="50"/>
      <w:ind w:firstLineChars="0"/>
    </w:pPr>
    <w:rPr>
      <w:rFonts w:ascii="黑体" w:eastAsia="黑体"/>
    </w:rPr>
  </w:style>
  <w:style w:type="paragraph" w:customStyle="1" w:styleId="199">
    <w:name w:val="标准文件_正文表标题"/>
    <w:next w:val="44"/>
    <w:autoRedefine/>
    <w:qFormat/>
    <w:uiPriority w:val="0"/>
    <w:pPr>
      <w:numPr>
        <w:ilvl w:val="0"/>
        <w:numId w:val="2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200">
    <w:name w:val="其他实施日期"/>
    <w:basedOn w:val="201"/>
    <w:autoRedefine/>
    <w:qFormat/>
    <w:uiPriority w:val="0"/>
    <w:pPr>
      <w:framePr w:w="3997" w:h="471" w:hRule="exact" w:vSpace="181" w:wrap="around" w:vAnchor="page" w:hAnchor="page" w:x="7089" w:y="14097"/>
    </w:pPr>
  </w:style>
  <w:style w:type="paragraph" w:customStyle="1" w:styleId="201">
    <w:name w:val="实施日期"/>
    <w:basedOn w:val="124"/>
    <w:autoRedefine/>
    <w:qFormat/>
    <w:uiPriority w:val="0"/>
    <w:pPr>
      <w:framePr w:hSpace="0" w:wrap="around" w:xAlign="right"/>
      <w:jc w:val="right"/>
    </w:pPr>
  </w:style>
  <w:style w:type="paragraph" w:customStyle="1" w:styleId="202">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3">
    <w:name w:val="标准文件_英文注×："/>
    <w:basedOn w:val="1"/>
    <w:autoRedefine/>
    <w:qFormat/>
    <w:uiPriority w:val="0"/>
    <w:pPr>
      <w:numPr>
        <w:ilvl w:val="0"/>
        <w:numId w:val="23"/>
      </w:numPr>
      <w:tabs>
        <w:tab w:val="left" w:pos="210"/>
      </w:tabs>
      <w:autoSpaceDE w:val="0"/>
      <w:autoSpaceDN w:val="0"/>
      <w:spacing w:line="240" w:lineRule="auto"/>
    </w:pPr>
    <w:rPr>
      <w:rFonts w:ascii="宋体" w:hAnsi="宋体"/>
      <w:kern w:val="0"/>
      <w:szCs w:val="20"/>
    </w:rPr>
  </w:style>
  <w:style w:type="paragraph" w:customStyle="1" w:styleId="204">
    <w:name w:val="标准文件_版本"/>
    <w:basedOn w:val="61"/>
    <w:autoRedefine/>
    <w:qFormat/>
    <w:uiPriority w:val="0"/>
    <w:pPr>
      <w:adjustRightInd/>
      <w:snapToGrid/>
      <w:ind w:firstLine="0" w:firstLineChars="0"/>
    </w:pPr>
    <w:rPr>
      <w:rFonts w:ascii="宋体" w:hAnsi="宋体"/>
      <w:kern w:val="2"/>
    </w:rPr>
  </w:style>
  <w:style w:type="character" w:customStyle="1" w:styleId="205">
    <w:name w:val="标准文件_来源"/>
    <w:basedOn w:val="34"/>
    <w:autoRedefine/>
    <w:qFormat/>
    <w:uiPriority w:val="1"/>
    <w:rPr>
      <w:rFonts w:eastAsia="宋体"/>
      <w:sz w:val="21"/>
    </w:rPr>
  </w:style>
  <w:style w:type="paragraph" w:customStyle="1" w:styleId="206">
    <w:name w:val="标准文件_小写罗马数字编号列项"/>
    <w:basedOn w:val="44"/>
    <w:autoRedefine/>
    <w:qFormat/>
    <w:uiPriority w:val="0"/>
    <w:pPr>
      <w:numPr>
        <w:ilvl w:val="0"/>
        <w:numId w:val="24"/>
      </w:numPr>
      <w:ind w:firstLine="0" w:firstLineChars="0"/>
    </w:pPr>
    <w:rPr>
      <w:rFonts w:cs="Arial"/>
      <w:szCs w:val="28"/>
    </w:rPr>
  </w:style>
  <w:style w:type="paragraph" w:customStyle="1" w:styleId="207">
    <w:name w:val="标准文件_表格"/>
    <w:basedOn w:val="44"/>
    <w:autoRedefine/>
    <w:qFormat/>
    <w:uiPriority w:val="0"/>
    <w:pPr>
      <w:ind w:firstLine="0" w:firstLineChars="0"/>
    </w:pPr>
    <w:rPr>
      <w:sz w:val="18"/>
    </w:rPr>
  </w:style>
  <w:style w:type="character" w:customStyle="1" w:styleId="208">
    <w:name w:val="标题 1 字符"/>
    <w:link w:val="2"/>
    <w:autoRedefine/>
    <w:qFormat/>
    <w:uiPriority w:val="0"/>
    <w:rPr>
      <w:rFonts w:ascii="Times New Roman" w:hAnsi="Times New Roman" w:eastAsia="宋体" w:cs="Times New Roman"/>
      <w:b/>
      <w:bCs/>
      <w:kern w:val="44"/>
      <w:sz w:val="44"/>
      <w:szCs w:val="44"/>
    </w:rPr>
  </w:style>
  <w:style w:type="paragraph" w:customStyle="1" w:styleId="209">
    <w:name w:val="标准文件_附录公式"/>
    <w:basedOn w:val="61"/>
    <w:next w:val="61"/>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210">
    <w:name w:val="标准书眉一"/>
    <w:autoRedefine/>
    <w:qFormat/>
    <w:uiPriority w:val="0"/>
    <w:pPr>
      <w:jc w:val="both"/>
    </w:pPr>
    <w:rPr>
      <w:rFonts w:ascii="Times New Roman" w:hAnsi="Times New Roman" w:eastAsia="宋体" w:cs="Times New Roman"/>
      <w:lang w:val="en-US" w:eastAsia="zh-CN" w:bidi="ar-SA"/>
    </w:rPr>
  </w:style>
  <w:style w:type="paragraph" w:customStyle="1" w:styleId="211">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212">
    <w:name w:val="标准文件_注X后"/>
    <w:basedOn w:val="44"/>
    <w:autoRedefine/>
    <w:qFormat/>
    <w:uiPriority w:val="0"/>
    <w:pPr>
      <w:ind w:left="811" w:firstLine="0" w:firstLineChars="0"/>
    </w:pPr>
    <w:rPr>
      <w:sz w:val="18"/>
    </w:rPr>
  </w:style>
  <w:style w:type="paragraph" w:customStyle="1" w:styleId="213">
    <w:name w:val="标准文件_附录标题"/>
    <w:basedOn w:val="196"/>
    <w:autoRedefine/>
    <w:qFormat/>
    <w:uiPriority w:val="0"/>
    <w:pPr>
      <w:numPr>
        <w:numId w:val="0"/>
      </w:numPr>
      <w:spacing w:after="280"/>
      <w:outlineLvl w:val="9"/>
    </w:pPr>
  </w:style>
  <w:style w:type="paragraph" w:customStyle="1" w:styleId="214">
    <w:name w:val="标准文件_正文英文表标题"/>
    <w:next w:val="44"/>
    <w:autoRedefine/>
    <w:qFormat/>
    <w:uiPriority w:val="0"/>
    <w:pPr>
      <w:numPr>
        <w:ilvl w:val="0"/>
        <w:numId w:val="25"/>
      </w:numPr>
      <w:jc w:val="center"/>
    </w:pPr>
    <w:rPr>
      <w:rFonts w:ascii="黑体" w:hAnsi="Times New Roman" w:eastAsia="黑体" w:cs="Times New Roman"/>
      <w:sz w:val="21"/>
      <w:lang w:val="en-US" w:eastAsia="zh-CN" w:bidi="ar-SA"/>
    </w:rPr>
  </w:style>
  <w:style w:type="paragraph" w:customStyle="1" w:styleId="215">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16">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217">
    <w:name w:val="目录 91"/>
    <w:basedOn w:val="132"/>
    <w:autoRedefine/>
    <w:semiHidden/>
    <w:qFormat/>
    <w:uiPriority w:val="0"/>
    <w:pPr>
      <w:ind w:left="1680"/>
    </w:pPr>
  </w:style>
  <w:style w:type="paragraph" w:customStyle="1" w:styleId="218">
    <w:name w:val="标准文件_引言四级无标题"/>
    <w:basedOn w:val="155"/>
    <w:next w:val="44"/>
    <w:autoRedefine/>
    <w:qFormat/>
    <w:uiPriority w:val="0"/>
    <w:pPr>
      <w:spacing w:before="0" w:beforeLines="0" w:after="0" w:afterLines="0" w:line="276" w:lineRule="auto"/>
    </w:pPr>
    <w:rPr>
      <w:rFonts w:ascii="宋体" w:eastAsia="宋体"/>
    </w:rPr>
  </w:style>
  <w:style w:type="character" w:customStyle="1" w:styleId="219">
    <w:name w:val="标准文件_发布"/>
    <w:autoRedefine/>
    <w:qFormat/>
    <w:uiPriority w:val="0"/>
    <w:rPr>
      <w:rFonts w:ascii="黑体" w:eastAsia="黑体"/>
      <w:spacing w:val="0"/>
      <w:w w:val="100"/>
      <w:position w:val="3"/>
      <w:sz w:val="28"/>
    </w:rPr>
  </w:style>
  <w:style w:type="paragraph" w:customStyle="1" w:styleId="220">
    <w:name w:val="目录 21"/>
    <w:basedOn w:val="1"/>
    <w:next w:val="1"/>
    <w:autoRedefine/>
    <w:semiHidden/>
    <w:qFormat/>
    <w:uiPriority w:val="0"/>
    <w:pPr>
      <w:adjustRightInd/>
      <w:spacing w:line="240" w:lineRule="auto"/>
      <w:jc w:val="left"/>
    </w:pPr>
    <w:rPr>
      <w:bCs/>
      <w:iCs/>
    </w:rPr>
  </w:style>
  <w:style w:type="paragraph" w:customStyle="1" w:styleId="221">
    <w:name w:val="标准文件_附录图标号"/>
    <w:basedOn w:val="44"/>
    <w:next w:val="44"/>
    <w:autoRedefine/>
    <w:qFormat/>
    <w:uiPriority w:val="0"/>
    <w:pPr>
      <w:numPr>
        <w:ilvl w:val="0"/>
        <w:numId w:val="8"/>
      </w:numPr>
      <w:spacing w:line="14" w:lineRule="exact"/>
      <w:ind w:firstLine="0" w:firstLineChars="0"/>
    </w:pPr>
    <w:rPr>
      <w:rFonts w:ascii="黑体" w:hAnsi="黑体" w:eastAsia="黑体"/>
      <w:vanish/>
      <w:sz w:val="2"/>
      <w:szCs w:val="21"/>
    </w:rPr>
  </w:style>
  <w:style w:type="paragraph" w:customStyle="1" w:styleId="222">
    <w:name w:val="标准文件_脚注内容"/>
    <w:basedOn w:val="44"/>
    <w:autoRedefine/>
    <w:qFormat/>
    <w:uiPriority w:val="0"/>
    <w:pPr>
      <w:ind w:left="400" w:leftChars="200" w:hanging="200" w:hangingChars="200"/>
    </w:pPr>
    <w:rPr>
      <w:sz w:val="15"/>
    </w:rPr>
  </w:style>
  <w:style w:type="character" w:customStyle="1" w:styleId="223">
    <w:name w:val="引用 字符"/>
    <w:link w:val="224"/>
    <w:autoRedefine/>
    <w:qFormat/>
    <w:uiPriority w:val="29"/>
    <w:rPr>
      <w:i/>
      <w:iCs/>
      <w:color w:val="000000"/>
    </w:rPr>
  </w:style>
  <w:style w:type="paragraph" w:styleId="224">
    <w:name w:val="Quote"/>
    <w:basedOn w:val="1"/>
    <w:next w:val="1"/>
    <w:link w:val="223"/>
    <w:autoRedefine/>
    <w:qFormat/>
    <w:uiPriority w:val="29"/>
    <w:rPr>
      <w:i/>
      <w:iCs/>
      <w:color w:val="000000"/>
    </w:rPr>
  </w:style>
  <w:style w:type="paragraph" w:customStyle="1" w:styleId="225">
    <w:name w:val="标准文件_注后"/>
    <w:basedOn w:val="44"/>
    <w:autoRedefine/>
    <w:qFormat/>
    <w:uiPriority w:val="0"/>
    <w:pPr>
      <w:ind w:left="811" w:firstLine="0" w:firstLineChars="0"/>
    </w:pPr>
    <w:rPr>
      <w:sz w:val="18"/>
    </w:rPr>
  </w:style>
  <w:style w:type="paragraph" w:customStyle="1" w:styleId="226">
    <w:name w:val="三级无标题条"/>
    <w:basedOn w:val="1"/>
    <w:autoRedefine/>
    <w:qFormat/>
    <w:uiPriority w:val="0"/>
    <w:pPr>
      <w:numPr>
        <w:ilvl w:val="4"/>
        <w:numId w:val="7"/>
      </w:numPr>
      <w:adjustRightInd/>
      <w:spacing w:line="240" w:lineRule="auto"/>
    </w:pPr>
    <w:rPr>
      <w:rFonts w:ascii="宋体" w:hAnsi="宋体"/>
      <w:szCs w:val="24"/>
    </w:rPr>
  </w:style>
  <w:style w:type="character" w:customStyle="1" w:styleId="227">
    <w:name w:val="标题 8 字符"/>
    <w:link w:val="9"/>
    <w:autoRedefine/>
    <w:qFormat/>
    <w:uiPriority w:val="0"/>
    <w:rPr>
      <w:rFonts w:ascii="Arial" w:hAnsi="Arial" w:eastAsia="黑体" w:cs="Times New Roman"/>
      <w:sz w:val="24"/>
      <w:szCs w:val="24"/>
    </w:rPr>
  </w:style>
  <w:style w:type="paragraph" w:customStyle="1" w:styleId="228">
    <w:name w:val="标准文件_公式后的破折号"/>
    <w:basedOn w:val="44"/>
    <w:next w:val="44"/>
    <w:autoRedefine/>
    <w:qFormat/>
    <w:uiPriority w:val="0"/>
    <w:pPr>
      <w:ind w:left="488" w:leftChars="200" w:hanging="289" w:hangingChars="290"/>
    </w:pPr>
  </w:style>
  <w:style w:type="paragraph" w:customStyle="1" w:styleId="229">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30">
    <w:name w:val="表"/>
    <w:basedOn w:val="1"/>
    <w:autoRedefine/>
    <w:qFormat/>
    <w:uiPriority w:val="0"/>
    <w:pPr>
      <w:snapToGrid w:val="0"/>
      <w:spacing w:line="300" w:lineRule="auto"/>
      <w:jc w:val="center"/>
    </w:pPr>
    <w:rPr>
      <w:bCs/>
    </w:rPr>
  </w:style>
  <w:style w:type="paragraph" w:customStyle="1" w:styleId="231">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232">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table" w:customStyle="1" w:styleId="233">
    <w:name w:val="Table Normal11"/>
    <w:basedOn w:val="32"/>
    <w:qFormat/>
    <w:uiPriority w:val="0"/>
    <w:rPr>
      <w:rFonts w:ascii="Times New Roman" w:hAnsi="Times New Roman" w:eastAsia="Times New Roman"/>
    </w:rPr>
    <w:tblPr>
      <w:tblCellMar>
        <w:left w:w="0" w:type="dxa"/>
        <w:right w:w="0" w:type="dxa"/>
      </w:tblCellMar>
    </w:tblPr>
  </w:style>
  <w:style w:type="paragraph" w:customStyle="1" w:styleId="234">
    <w:name w:val="标准文件_三级项2"/>
    <w:basedOn w:val="44"/>
    <w:autoRedefine/>
    <w:qFormat/>
    <w:uiPriority w:val="0"/>
    <w:pPr>
      <w:numPr>
        <w:ilvl w:val="0"/>
        <w:numId w:val="26"/>
      </w:numPr>
      <w:spacing w:line="300" w:lineRule="exact"/>
      <w:ind w:left="1276" w:hanging="425" w:firstLineChars="0"/>
    </w:pPr>
    <w:rPr>
      <w:rFonts w:ascii="Times New Roman"/>
    </w:rPr>
  </w:style>
  <w:style w:type="paragraph" w:customStyle="1" w:styleId="235">
    <w:name w:val="标准文件_引言三级无标题"/>
    <w:basedOn w:val="198"/>
    <w:next w:val="44"/>
    <w:autoRedefine/>
    <w:qFormat/>
    <w:uiPriority w:val="0"/>
    <w:pPr>
      <w:spacing w:before="0" w:beforeLines="0" w:after="0" w:afterLines="0" w:line="276" w:lineRule="auto"/>
    </w:pPr>
    <w:rPr>
      <w:rFonts w:ascii="宋体" w:eastAsia="宋体"/>
    </w:rPr>
  </w:style>
  <w:style w:type="paragraph" w:customStyle="1" w:styleId="236">
    <w:name w:val="标准文件_术语条五"/>
    <w:basedOn w:val="162"/>
    <w:next w:val="44"/>
    <w:autoRedefine/>
    <w:qFormat/>
    <w:uiPriority w:val="0"/>
  </w:style>
  <w:style w:type="paragraph" w:customStyle="1" w:styleId="237">
    <w:name w:val="标准文件_示例："/>
    <w:next w:val="141"/>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character" w:customStyle="1" w:styleId="238">
    <w:name w:val="段 Char"/>
    <w:basedOn w:val="34"/>
    <w:link w:val="63"/>
    <w:autoRedefine/>
    <w:qFormat/>
    <w:uiPriority w:val="0"/>
    <w:rPr>
      <w:rFonts w:ascii="宋体" w:hAnsi="Times New Roman"/>
      <w:sz w:val="21"/>
    </w:rPr>
  </w:style>
  <w:style w:type="paragraph" w:customStyle="1" w:styleId="239">
    <w:name w:val="标准文件_附录表标号"/>
    <w:basedOn w:val="44"/>
    <w:next w:val="44"/>
    <w:autoRedefine/>
    <w:qFormat/>
    <w:uiPriority w:val="0"/>
    <w:pPr>
      <w:numPr>
        <w:ilvl w:val="0"/>
        <w:numId w:val="28"/>
      </w:numPr>
      <w:spacing w:line="14" w:lineRule="exact"/>
      <w:ind w:firstLine="0" w:firstLineChars="0"/>
    </w:pPr>
    <w:rPr>
      <w:rFonts w:eastAsia="黑体"/>
      <w:vanish/>
      <w:sz w:val="2"/>
    </w:rPr>
  </w:style>
  <w:style w:type="paragraph" w:customStyle="1" w:styleId="240">
    <w:name w:val="TOC 标题1"/>
    <w:basedOn w:val="2"/>
    <w:next w:val="1"/>
    <w:autoRedefine/>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1">
    <w:name w:val="cf11"/>
    <w:basedOn w:val="34"/>
    <w:autoRedefine/>
    <w:qFormat/>
    <w:uiPriority w:val="0"/>
    <w:rPr>
      <w:rFonts w:hint="eastAsia" w:ascii="Microsoft YaHei UI" w:hAnsi="Microsoft YaHei UI" w:eastAsia="Microsoft YaHei UI"/>
      <w:sz w:val="18"/>
      <w:szCs w:val="18"/>
    </w:rPr>
  </w:style>
  <w:style w:type="paragraph" w:customStyle="1" w:styleId="242">
    <w:name w:val="标准文件_数字编号列项"/>
    <w:autoRedefine/>
    <w:qFormat/>
    <w:uiPriority w:val="0"/>
    <w:pPr>
      <w:numPr>
        <w:ilvl w:val="0"/>
        <w:numId w:val="29"/>
      </w:numPr>
      <w:jc w:val="both"/>
    </w:pPr>
    <w:rPr>
      <w:rFonts w:ascii="宋体" w:hAnsi="宋体" w:eastAsia="宋体" w:cs="Times New Roman"/>
      <w:sz w:val="21"/>
      <w:lang w:val="en-US" w:eastAsia="zh-CN" w:bidi="ar-SA"/>
    </w:rPr>
  </w:style>
  <w:style w:type="paragraph" w:customStyle="1" w:styleId="243">
    <w:name w:val="标准文件_一级项"/>
    <w:autoRedefine/>
    <w:qFormat/>
    <w:uiPriority w:val="0"/>
    <w:pPr>
      <w:numPr>
        <w:ilvl w:val="0"/>
        <w:numId w:val="16"/>
      </w:numPr>
    </w:pPr>
    <w:rPr>
      <w:rFonts w:ascii="宋体" w:hAnsi="Times New Roman" w:eastAsia="宋体" w:cs="Times New Roman"/>
      <w:sz w:val="21"/>
      <w:lang w:val="en-US" w:eastAsia="zh-CN" w:bidi="ar-SA"/>
    </w:rPr>
  </w:style>
  <w:style w:type="paragraph" w:customStyle="1" w:styleId="244">
    <w:name w:val="标准文件_引言一级条标题"/>
    <w:basedOn w:val="44"/>
    <w:next w:val="44"/>
    <w:autoRedefine/>
    <w:qFormat/>
    <w:uiPriority w:val="0"/>
    <w:pPr>
      <w:numPr>
        <w:ilvl w:val="1"/>
        <w:numId w:val="6"/>
      </w:numPr>
      <w:spacing w:before="50" w:beforeLines="50" w:after="50" w:afterLines="50"/>
      <w:ind w:firstLineChars="0"/>
    </w:pPr>
    <w:rPr>
      <w:rFonts w:ascii="黑体" w:eastAsia="黑体"/>
    </w:rPr>
  </w:style>
  <w:style w:type="character" w:customStyle="1" w:styleId="245">
    <w:name w:val="批注框文本 字符"/>
    <w:link w:val="19"/>
    <w:autoRedefine/>
    <w:semiHidden/>
    <w:qFormat/>
    <w:uiPriority w:val="99"/>
    <w:rPr>
      <w:sz w:val="18"/>
      <w:szCs w:val="18"/>
    </w:rPr>
  </w:style>
  <w:style w:type="paragraph" w:customStyle="1" w:styleId="246">
    <w:name w:val="WPSOffice手动目录 1"/>
    <w:autoRedefine/>
    <w:qFormat/>
    <w:uiPriority w:val="0"/>
    <w:rPr>
      <w:rFonts w:ascii="Calibri" w:hAnsi="Calibri" w:eastAsia="宋体" w:cs="Times New Roman"/>
      <w:lang w:val="en-US" w:eastAsia="zh-CN" w:bidi="ar-SA"/>
    </w:rPr>
  </w:style>
  <w:style w:type="paragraph" w:customStyle="1" w:styleId="247">
    <w:name w:val="标准文件_替换文件编号"/>
    <w:basedOn w:val="135"/>
    <w:autoRedefine/>
    <w:qFormat/>
    <w:uiPriority w:val="0"/>
    <w:pPr>
      <w:spacing w:before="57"/>
    </w:pPr>
    <w:rPr>
      <w:sz w:val="21"/>
    </w:rPr>
  </w:style>
  <w:style w:type="paragraph" w:customStyle="1" w:styleId="248">
    <w:name w:val="标准文件_注："/>
    <w:next w:val="44"/>
    <w:autoRedefine/>
    <w:qFormat/>
    <w:uiPriority w:val="0"/>
    <w:pPr>
      <w:widowControl w:val="0"/>
      <w:numPr>
        <w:ilvl w:val="0"/>
        <w:numId w:val="30"/>
      </w:numPr>
      <w:autoSpaceDE w:val="0"/>
      <w:autoSpaceDN w:val="0"/>
      <w:jc w:val="both"/>
    </w:pPr>
    <w:rPr>
      <w:rFonts w:ascii="宋体" w:hAnsi="Times New Roman" w:eastAsia="宋体" w:cs="Times New Roman"/>
      <w:sz w:val="18"/>
      <w:szCs w:val="18"/>
      <w:lang w:val="en-US" w:eastAsia="zh-CN" w:bidi="ar-SA"/>
    </w:rPr>
  </w:style>
  <w:style w:type="paragraph" w:customStyle="1" w:styleId="249">
    <w:name w:val="标准文件_附录一级无标题"/>
    <w:basedOn w:val="43"/>
    <w:autoRedefine/>
    <w:qFormat/>
    <w:uiPriority w:val="0"/>
    <w:pPr>
      <w:spacing w:before="0" w:beforeLines="0" w:after="0" w:afterLines="0" w:line="276" w:lineRule="auto"/>
      <w:outlineLvl w:val="9"/>
    </w:pPr>
    <w:rPr>
      <w:rFonts w:ascii="宋体" w:eastAsia="宋体"/>
    </w:rPr>
  </w:style>
  <w:style w:type="paragraph" w:customStyle="1" w:styleId="250">
    <w:name w:val="ha3"/>
    <w:basedOn w:val="1"/>
    <w:autoRedefine/>
    <w:qFormat/>
    <w:uiPriority w:val="0"/>
    <w:pPr>
      <w:adjustRightInd/>
      <w:spacing w:before="100" w:beforeAutospacing="1" w:after="100" w:afterAutospacing="1" w:line="240" w:lineRule="auto"/>
    </w:pPr>
    <w:rPr>
      <w:rFonts w:ascii="宋体" w:hAnsi="宋体" w:eastAsiaTheme="minorEastAsia" w:cstheme="minorBidi"/>
      <w:kern w:val="0"/>
      <w:sz w:val="24"/>
      <w:szCs w:val="24"/>
    </w:rPr>
  </w:style>
  <w:style w:type="character" w:customStyle="1" w:styleId="251">
    <w:name w:val="a自建条标题 字符"/>
    <w:basedOn w:val="34"/>
    <w:link w:val="109"/>
    <w:autoRedefine/>
    <w:qFormat/>
    <w:uiPriority w:val="0"/>
    <w:rPr>
      <w:rFonts w:ascii="Times New Roman" w:hAnsi="Times New Roman" w:cstheme="minorBidi"/>
      <w:bCs/>
      <w:kern w:val="2"/>
      <w:sz w:val="24"/>
      <w:szCs w:val="22"/>
    </w:rPr>
  </w:style>
  <w:style w:type="character" w:customStyle="1" w:styleId="252">
    <w:name w:val="标题 7 字符"/>
    <w:link w:val="8"/>
    <w:autoRedefine/>
    <w:qFormat/>
    <w:uiPriority w:val="0"/>
    <w:rPr>
      <w:rFonts w:ascii="Times New Roman" w:hAnsi="Times New Roman" w:eastAsia="宋体" w:cs="Times New Roman"/>
      <w:b/>
      <w:bCs/>
      <w:sz w:val="24"/>
      <w:szCs w:val="24"/>
    </w:rPr>
  </w:style>
  <w:style w:type="paragraph" w:customStyle="1" w:styleId="253">
    <w:name w:val="目录 41"/>
    <w:basedOn w:val="1"/>
    <w:next w:val="1"/>
    <w:autoRedefine/>
    <w:semiHidden/>
    <w:qFormat/>
    <w:uiPriority w:val="0"/>
    <w:pPr>
      <w:adjustRightInd/>
      <w:spacing w:line="240" w:lineRule="auto"/>
      <w:jc w:val="left"/>
    </w:pPr>
  </w:style>
  <w:style w:type="paragraph" w:customStyle="1" w:styleId="254">
    <w:name w:val="标准文件_封面标准分类号"/>
    <w:basedOn w:val="1"/>
    <w:autoRedefine/>
    <w:qFormat/>
    <w:uiPriority w:val="0"/>
    <w:rPr>
      <w:rFonts w:ascii="黑体" w:eastAsia="黑体"/>
      <w:b/>
      <w:kern w:val="0"/>
      <w:sz w:val="28"/>
    </w:rPr>
  </w:style>
  <w:style w:type="paragraph" w:customStyle="1" w:styleId="255">
    <w:name w:val="标准文件_图表脚注"/>
    <w:basedOn w:val="1"/>
    <w:next w:val="44"/>
    <w:autoRedefine/>
    <w:qFormat/>
    <w:uiPriority w:val="0"/>
    <w:pPr>
      <w:numPr>
        <w:ilvl w:val="0"/>
        <w:numId w:val="31"/>
      </w:numPr>
      <w:spacing w:line="240" w:lineRule="auto"/>
      <w:jc w:val="left"/>
    </w:pPr>
    <w:rPr>
      <w:rFonts w:ascii="宋体" w:hAnsi="宋体"/>
      <w:sz w:val="18"/>
    </w:rPr>
  </w:style>
  <w:style w:type="paragraph" w:customStyle="1" w:styleId="256">
    <w:name w:val="标准文件_字母编号列项（一级）"/>
    <w:autoRedefine/>
    <w:qFormat/>
    <w:uiPriority w:val="0"/>
    <w:pPr>
      <w:numPr>
        <w:ilvl w:val="0"/>
        <w:numId w:val="2"/>
      </w:numPr>
      <w:jc w:val="both"/>
    </w:pPr>
    <w:rPr>
      <w:rFonts w:ascii="宋体" w:hAnsi="Times New Roman" w:eastAsia="宋体" w:cs="Times New Roman"/>
      <w:sz w:val="21"/>
      <w:lang w:val="en-US" w:eastAsia="zh-CN" w:bidi="ar-SA"/>
    </w:rPr>
  </w:style>
  <w:style w:type="paragraph" w:customStyle="1" w:styleId="257">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258">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259">
    <w:name w:val="标准文件_附录四级无标题"/>
    <w:basedOn w:val="48"/>
    <w:autoRedefine/>
    <w:qFormat/>
    <w:uiPriority w:val="0"/>
    <w:pPr>
      <w:spacing w:before="0" w:beforeLines="0" w:after="0" w:afterLines="0" w:line="276" w:lineRule="auto"/>
      <w:outlineLvl w:val="9"/>
    </w:pPr>
    <w:rPr>
      <w:rFonts w:ascii="宋体" w:eastAsia="宋体"/>
    </w:rPr>
  </w:style>
  <w:style w:type="paragraph" w:customStyle="1" w:styleId="260">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61">
    <w:name w:val="标准文件_封面标准英文名称"/>
    <w:basedOn w:val="1"/>
    <w:autoRedefine/>
    <w:qFormat/>
    <w:uiPriority w:val="0"/>
    <w:pPr>
      <w:spacing w:line="240" w:lineRule="auto"/>
      <w:jc w:val="center"/>
    </w:pPr>
    <w:rPr>
      <w:rFonts w:ascii="黑体" w:eastAsia="黑体"/>
      <w:b/>
      <w:sz w:val="28"/>
    </w:rPr>
  </w:style>
  <w:style w:type="paragraph" w:customStyle="1" w:styleId="262">
    <w:name w:val="a自建项标题"/>
    <w:basedOn w:val="1"/>
    <w:autoRedefine/>
    <w:qFormat/>
    <w:uiPriority w:val="0"/>
    <w:pPr>
      <w:numPr>
        <w:ilvl w:val="0"/>
        <w:numId w:val="32"/>
      </w:numPr>
      <w:adjustRightInd/>
      <w:spacing w:line="460" w:lineRule="exact"/>
      <w:jc w:val="left"/>
      <w:outlineLvl w:val="4"/>
    </w:pPr>
    <w:rPr>
      <w:rFonts w:ascii="Times New Roman" w:hAnsi="Times New Roman" w:cstheme="minorBidi"/>
      <w:bCs/>
      <w:sz w:val="24"/>
      <w:szCs w:val="22"/>
    </w:rPr>
  </w:style>
  <w:style w:type="character" w:customStyle="1" w:styleId="263">
    <w:name w:val="标题 4 字符"/>
    <w:link w:val="5"/>
    <w:autoRedefine/>
    <w:qFormat/>
    <w:uiPriority w:val="0"/>
    <w:rPr>
      <w:rFonts w:ascii="Arial" w:hAnsi="Arial" w:eastAsia="黑体" w:cs="Times New Roman"/>
      <w:b/>
      <w:bCs/>
      <w:sz w:val="28"/>
      <w:szCs w:val="28"/>
    </w:rPr>
  </w:style>
  <w:style w:type="paragraph" w:customStyle="1" w:styleId="264">
    <w:name w:val="标准文件_术语条三"/>
    <w:basedOn w:val="51"/>
    <w:next w:val="44"/>
    <w:autoRedefine/>
    <w:qFormat/>
    <w:uiPriority w:val="0"/>
  </w:style>
  <w:style w:type="paragraph" w:customStyle="1" w:styleId="265">
    <w:name w:val="标准文件_引言一级无标题"/>
    <w:basedOn w:val="244"/>
    <w:next w:val="44"/>
    <w:autoRedefine/>
    <w:qFormat/>
    <w:uiPriority w:val="0"/>
    <w:pPr>
      <w:spacing w:before="0" w:beforeLines="0" w:after="0" w:afterLines="0" w:line="276" w:lineRule="auto"/>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6.jpe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18642</Words>
  <Characters>19260</Characters>
  <TotalTime>1</TotalTime>
  <ScaleCrop>false</ScaleCrop>
  <LinksUpToDate>false</LinksUpToDate>
  <CharactersWithSpaces>19502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2026-07-20T17:06:00Z</dcterms:created>
  <dc:creator>wanwan</dc:creator>
  <cp:lastModifiedBy>GONG</cp:lastModifiedBy>
  <dcterms:modified xsi:type="dcterms:W3CDTF">2026-09-02T06:57:16Z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eyJoZGlkIjoiMjAzODE3ZTEyYTM5ZGQ3NjUyMjRhNmZkMGE4YzYyZDQiLCJ1c2VySWQiOiIzMTA1OTgxNTAifQ==</vt:lpwstr>
  </property>
  <property fmtid="{D5CDD505-2E9C-101B-9397-08002B2CF9AE}" pid="3" name="KSOProductBuildVer">
    <vt:lpwstr>2052-12.1.0.28043</vt:lpwstr>
  </property>
  <property fmtid="{D5CDD505-2E9C-101B-9397-08002B2CF9AE}" pid="4" name="ICV">
    <vt:lpwstr>97B5B4BBC8324021A42286B320CE5A51_12</vt:lpwstr>
  </property>
</Properties>
</file>