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6A9792">
      <w:pPr>
        <w:spacing w:before="31" w:after="31"/>
        <w:jc w:val="right"/>
        <w:rPr>
          <w:sz w:val="32"/>
        </w:rPr>
      </w:pPr>
    </w:p>
    <w:p w14:paraId="5311B189">
      <w:pPr>
        <w:pStyle w:val="84"/>
      </w:pPr>
      <w:bookmarkStart w:id="0" w:name="SectionMark0"/>
      <w: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2016125</wp:posOffset>
                </wp:positionV>
                <wp:extent cx="6121400" cy="0"/>
                <wp:effectExtent l="0" t="6350" r="0" b="6350"/>
                <wp:wrapNone/>
                <wp:docPr id="8" name="直线 17"/>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800008"/>
                          </a:solidFill>
                          <a:prstDash val="solid"/>
                          <a:headEnd type="none" w="med" len="med"/>
                          <a:tailEnd type="none" w="med" len="med"/>
                        </a:ln>
                        <a:effectLst/>
                      </wps:spPr>
                      <wps:bodyPr upright="1"/>
                    </wps:wsp>
                  </a:graphicData>
                </a:graphic>
              </wp:anchor>
            </w:drawing>
          </mc:Choice>
          <mc:Fallback>
            <w:pict>
              <v:line id="直线 17" o:spid="_x0000_s1026" o:spt="20" style="position:absolute;left:0pt;margin-left:0pt;margin-top:158.75pt;height:0pt;width:482pt;z-index:251666432;mso-width-relative:page;mso-height-relative:page;" filled="f" stroked="t" coordsize="21600,21600" o:gfxdata="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Q&#10;U4FA1AAAAAgBAAAPAAAAAAAAAAEAIAAAACIAAABkcnMvZG93bnJldi54bWxQSwECFAAUAAAACACH&#10;TuJAjZaFZe8BAADrAwAADgAAAAAAAAABACAAAAAjAQAAZHJzL2Uyb0RvYy54bWxQSwUGAAAAAAYA&#10;BgBZAQAAhAUAAAAA&#10;">
                <v:fill on="f" focussize="0,0"/>
                <v:stroke weight="1pt" color="#800008" joinstyle="round"/>
                <v:imagedata o:title=""/>
                <o:lock v:ext="edit" aspectratio="f"/>
              </v:lin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-66675</wp:posOffset>
                </wp:positionH>
                <wp:positionV relativeFrom="paragraph">
                  <wp:posOffset>8364220</wp:posOffset>
                </wp:positionV>
                <wp:extent cx="6121400" cy="0"/>
                <wp:effectExtent l="0" t="6350" r="0" b="6350"/>
                <wp:wrapNone/>
                <wp:docPr id="9" name="直线 18"/>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800008"/>
                          </a:solidFill>
                          <a:prstDash val="solid"/>
                          <a:headEnd type="none" w="med" len="med"/>
                          <a:tailEnd type="none" w="med" len="med"/>
                        </a:ln>
                        <a:effectLst/>
                      </wps:spPr>
                      <wps:bodyPr upright="1"/>
                    </wps:wsp>
                  </a:graphicData>
                </a:graphic>
              </wp:anchor>
            </w:drawing>
          </mc:Choice>
          <mc:Fallback>
            <w:pict>
              <v:line id="直线 18" o:spid="_x0000_s1026" o:spt="20" style="position:absolute;left:0pt;margin-left:-5.25pt;margin-top:658.6pt;height:0pt;width:482pt;z-index:251667456;mso-width-relative:page;mso-height-relative:page;" filled="f" stroked="t" coordsize="21600,21600" o:gfxdata="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b65oDXAAAADQEAAA8AAAAAAAAAAQAgAAAAIgAAAGRycy9kb3ducmV2LnhtbFBLAQIUABQAAAAI&#10;AIdO4kCfw9sZ7gEAAOsDAAAOAAAAAAAAAAEAIAAAACYBAABkcnMvZTJvRG9jLnhtbFBLBQYAAAAA&#10;BgAGAFkBAACGBQAAAAA=&#10;">
                <v:fill on="f" focussize="0,0"/>
                <v:stroke weight="1pt" color="#800008" joinstyle="round"/>
                <v:imagedata o:title=""/>
                <o:lock v:ext="edit" aspectratio="f"/>
              </v:line>
            </w:pict>
          </mc:Fallback>
        </mc:AlternateContent>
      </w:r>
    </w:p>
    <w:tbl>
      <w:tblPr>
        <w:tblStyle w:val="35"/>
        <w:tblpPr w:leftFromText="180" w:rightFromText="180" w:vertAnchor="text" w:horzAnchor="margin" w:tblpXSpec="right" w:tblpY="13168"/>
        <w:tblW w:w="8472" w:type="dxa"/>
        <w:tblInd w:w="0" w:type="dxa"/>
        <w:tblLayout w:type="fixed"/>
        <w:tblCellMar>
          <w:top w:w="0" w:type="dxa"/>
          <w:left w:w="108" w:type="dxa"/>
          <w:bottom w:w="0" w:type="dxa"/>
          <w:right w:w="108" w:type="dxa"/>
        </w:tblCellMar>
      </w:tblPr>
      <w:tblGrid>
        <w:gridCol w:w="5019"/>
        <w:gridCol w:w="3453"/>
      </w:tblGrid>
      <w:tr w14:paraId="128F9804">
        <w:tblPrEx>
          <w:tblCellMar>
            <w:top w:w="0" w:type="dxa"/>
            <w:left w:w="108" w:type="dxa"/>
            <w:bottom w:w="0" w:type="dxa"/>
            <w:right w:w="108" w:type="dxa"/>
          </w:tblCellMar>
        </w:tblPrEx>
        <w:tc>
          <w:tcPr>
            <w:tcW w:w="5019" w:type="dxa"/>
          </w:tcPr>
          <w:p w14:paraId="3A90E7FC">
            <w:pPr>
              <w:pStyle w:val="86"/>
              <w:framePr w:w="0" w:hRule="auto" w:hSpace="0" w:vSpace="0" w:wrap="auto" w:vAnchor="margin" w:hAnchor="text" w:xAlign="left" w:yAlign="inline"/>
              <w:spacing w:before="31" w:after="31"/>
              <w:jc w:val="distribute"/>
              <w:rPr>
                <w:rFonts w:ascii="Times New Roman"/>
                <w:sz w:val="28"/>
                <w:szCs w:val="16"/>
              </w:rPr>
            </w:pPr>
            <w:r>
              <w:rPr>
                <w:rFonts w:ascii="Times New Roman"/>
                <w:sz w:val="28"/>
                <w:szCs w:val="16"/>
              </w:rPr>
              <w:t>湖北省住房和城乡建设厅</w:t>
            </w:r>
          </w:p>
        </w:tc>
        <w:tc>
          <w:tcPr>
            <w:tcW w:w="3453" w:type="dxa"/>
            <w:vMerge w:val="restart"/>
            <w:vAlign w:val="center"/>
          </w:tcPr>
          <w:p w14:paraId="74D0D79A">
            <w:pPr>
              <w:pStyle w:val="86"/>
              <w:framePr w:w="0" w:hRule="auto" w:hSpace="0" w:vSpace="0" w:wrap="auto" w:vAnchor="margin" w:hAnchor="text" w:xAlign="left" w:yAlign="inline"/>
              <w:spacing w:before="31" w:after="31"/>
              <w:rPr>
                <w:rFonts w:ascii="Times New Roman"/>
              </w:rPr>
            </w:pPr>
            <w:r>
              <w:rPr>
                <w:rStyle w:val="77"/>
                <w:rFonts w:ascii="Times New Roman"/>
              </w:rPr>
              <w:t>联合发布</w:t>
            </w:r>
          </w:p>
        </w:tc>
      </w:tr>
      <w:tr w14:paraId="6B88FEB2">
        <w:tblPrEx>
          <w:tblCellMar>
            <w:top w:w="0" w:type="dxa"/>
            <w:left w:w="108" w:type="dxa"/>
            <w:bottom w:w="0" w:type="dxa"/>
            <w:right w:w="108" w:type="dxa"/>
          </w:tblCellMar>
        </w:tblPrEx>
        <w:tc>
          <w:tcPr>
            <w:tcW w:w="5019" w:type="dxa"/>
          </w:tcPr>
          <w:p w14:paraId="3EF6BB73">
            <w:pPr>
              <w:pStyle w:val="86"/>
              <w:framePr w:w="0" w:hRule="auto" w:hSpace="0" w:vSpace="0" w:wrap="auto" w:vAnchor="margin" w:hAnchor="text" w:xAlign="left" w:yAlign="inline"/>
              <w:spacing w:before="31" w:after="31"/>
              <w:jc w:val="distribute"/>
              <w:rPr>
                <w:rFonts w:ascii="Times New Roman"/>
                <w:sz w:val="28"/>
                <w:szCs w:val="16"/>
              </w:rPr>
            </w:pPr>
            <w:r>
              <w:rPr>
                <w:rFonts w:ascii="Times New Roman"/>
                <w:sz w:val="28"/>
                <w:szCs w:val="16"/>
              </w:rPr>
              <w:t xml:space="preserve">湖北省市场监督管理局    </w:t>
            </w:r>
          </w:p>
        </w:tc>
        <w:tc>
          <w:tcPr>
            <w:tcW w:w="3453" w:type="dxa"/>
            <w:vMerge w:val="continue"/>
          </w:tcPr>
          <w:p w14:paraId="3E261673">
            <w:pPr>
              <w:pStyle w:val="86"/>
              <w:framePr w:w="0" w:hRule="auto" w:hSpace="0" w:vSpace="0" w:wrap="auto" w:vAnchor="margin" w:hAnchor="text" w:xAlign="left" w:yAlign="inline"/>
              <w:spacing w:before="31" w:after="31"/>
              <w:jc w:val="both"/>
              <w:rPr>
                <w:rFonts w:ascii="Times New Roman"/>
              </w:rPr>
            </w:pPr>
          </w:p>
        </w:tc>
      </w:tr>
    </w:tbl>
    <w:p w14:paraId="6033975C">
      <w:pPr>
        <w:pStyle w:val="84"/>
      </w:pPr>
      <w:r>
        <mc:AlternateContent>
          <mc:Choice Requires="wps">
            <w:drawing>
              <wp:anchor distT="0" distB="0" distL="114300" distR="114300" simplePos="0" relativeHeight="251665408" behindDoc="0" locked="1" layoutInCell="1" allowOverlap="1">
                <wp:simplePos x="0" y="0"/>
                <wp:positionH relativeFrom="margin">
                  <wp:posOffset>4712970</wp:posOffset>
                </wp:positionH>
                <wp:positionV relativeFrom="margin">
                  <wp:posOffset>8168005</wp:posOffset>
                </wp:positionV>
                <wp:extent cx="1425575" cy="312420"/>
                <wp:effectExtent l="0" t="0" r="3175" b="11430"/>
                <wp:wrapNone/>
                <wp:docPr id="7" name="fmFrame6"/>
                <wp:cNvGraphicFramePr/>
                <a:graphic xmlns:a="http://schemas.openxmlformats.org/drawingml/2006/main">
                  <a:graphicData uri="http://schemas.microsoft.com/office/word/2010/wordprocessingShape">
                    <wps:wsp>
                      <wps:cNvSpPr txBox="1"/>
                      <wps:spPr>
                        <a:xfrm>
                          <a:off x="0" y="0"/>
                          <a:ext cx="1425575" cy="312420"/>
                        </a:xfrm>
                        <a:prstGeom prst="rect">
                          <a:avLst/>
                        </a:prstGeom>
                        <a:solidFill>
                          <a:srgbClr val="FFFFFF"/>
                        </a:solidFill>
                        <a:ln>
                          <a:noFill/>
                        </a:ln>
                        <a:effectLst/>
                      </wps:spPr>
                      <wps:txbx>
                        <w:txbxContent>
                          <w:p w14:paraId="2C4D390E">
                            <w:pPr>
                              <w:pStyle w:val="78"/>
                            </w:pPr>
                            <w:r>
                              <w:rPr>
                                <w:rFonts w:hint="eastAsia"/>
                              </w:rPr>
                              <w:t>202x-xx -xx实施</w:t>
                            </w:r>
                          </w:p>
                        </w:txbxContent>
                      </wps:txbx>
                      <wps:bodyPr lIns="0" tIns="0" rIns="0" bIns="0" upright="1"/>
                    </wps:wsp>
                  </a:graphicData>
                </a:graphic>
              </wp:anchor>
            </w:drawing>
          </mc:Choice>
          <mc:Fallback>
            <w:pict>
              <v:shape id="fmFrame6" o:spid="_x0000_s1026" o:spt="202" type="#_x0000_t202" style="position:absolute;left:0pt;margin-left:371.1pt;margin-top:643.15pt;height:24.6pt;width:112.25pt;mso-position-horizontal-relative:margin;mso-position-vertical-relative:margin;z-index:251665408;mso-width-relative:page;mso-height-relative:page;" fillcolor="#FFFFFF" filled="t" stroked="f" coordsize="21600,21600" o:gfxdata="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gBqBbcAAAADQEAAA8AAAAAAAAAAQAgAAAAIgAAAGRycy9k&#10;b3ducmV2LnhtbFBLAQIUABQAAAAIAIdO4kBNM3LJxQEAAKYDAAAOAAAAAAAAAAEAIAAAACsBAABk&#10;cnMvZTJvRG9jLnhtbFBLBQYAAAAABgAGAFkBAABiBQAAAAA=&#10;">
                <v:fill on="t" focussize="0,0"/>
                <v:stroke on="f"/>
                <v:imagedata o:title=""/>
                <o:lock v:ext="edit" aspectratio="f"/>
                <v:textbox inset="0mm,0mm,0mm,0mm">
                  <w:txbxContent>
                    <w:p w14:paraId="2C4D390E">
                      <w:pPr>
                        <w:pStyle w:val="78"/>
                      </w:pPr>
                      <w:r>
                        <w:rPr>
                          <w:rFonts w:hint="eastAsia"/>
                        </w:rPr>
                        <w:t>202x-xx -xx实施</w:t>
                      </w:r>
                    </w:p>
                  </w:txbxContent>
                </v:textbox>
                <w10:anchorlock/>
              </v:shape>
            </w:pict>
          </mc:Fallback>
        </mc:AlternateContent>
      </w:r>
      <w:r>
        <mc:AlternateContent>
          <mc:Choice Requires="wps">
            <w:drawing>
              <wp:anchor distT="0" distB="0" distL="114300" distR="114300" simplePos="0" relativeHeight="251664384" behindDoc="0" locked="1" layoutInCell="1" allowOverlap="1">
                <wp:simplePos x="0" y="0"/>
                <wp:positionH relativeFrom="margin">
                  <wp:posOffset>0</wp:posOffset>
                </wp:positionH>
                <wp:positionV relativeFrom="margin">
                  <wp:posOffset>8221980</wp:posOffset>
                </wp:positionV>
                <wp:extent cx="2019300" cy="312420"/>
                <wp:effectExtent l="0" t="0" r="0" b="11430"/>
                <wp:wrapNone/>
                <wp:docPr id="6" name="fmFrame5"/>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a:effectLst/>
                      </wps:spPr>
                      <wps:txbx>
                        <w:txbxContent>
                          <w:p w14:paraId="332397B4">
                            <w:pPr>
                              <w:pStyle w:val="78"/>
                            </w:pPr>
                            <w:r>
                              <w:rPr>
                                <w:rFonts w:hint="eastAsia"/>
                              </w:rPr>
                              <w:t>202x-xx-xx发布</w:t>
                            </w:r>
                          </w:p>
                        </w:txbxContent>
                      </wps:txbx>
                      <wps:bodyPr wrap="square" lIns="0" tIns="0" rIns="0" bIns="0" upright="1"/>
                    </wps:wsp>
                  </a:graphicData>
                </a:graphic>
              </wp:anchor>
            </w:drawing>
          </mc:Choice>
          <mc:Fallback>
            <w:pict>
              <v:shape id="fmFrame5" o:spid="_x0000_s1026" o:spt="202" type="#_x0000_t202" style="position:absolute;left:0pt;margin-left:0pt;margin-top:647.4pt;height:24.6pt;width:159pt;mso-position-horizontal-relative:margin;mso-position-vertical-relative:margin;z-index:251664384;mso-width-relative:page;mso-height-relative:page;" fillcolor="#FFFFFF" filled="t" stroked="f" coordsize="21600,21600" o:gfxdata="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zrY2/2AAAAAoBAAAPAAAAAAAAAAEAIAAAACIAAABk&#10;cnMvZG93bnJldi54bWxQSwECFAAUAAAACACHTuJAwiY2h80BAAC0AwAADgAAAAAAAAABACAAAAAn&#10;AQAAZHJzL2Uyb0RvYy54bWxQSwUGAAAAAAYABgBZAQAAZgUAAAAA&#10;">
                <v:fill on="t" focussize="0,0"/>
                <v:stroke on="f"/>
                <v:imagedata o:title=""/>
                <o:lock v:ext="edit" aspectratio="f"/>
                <v:textbox inset="0mm,0mm,0mm,0mm">
                  <w:txbxContent>
                    <w:p w14:paraId="332397B4">
                      <w:pPr>
                        <w:pStyle w:val="78"/>
                      </w:pPr>
                      <w:r>
                        <w:rPr>
                          <w:rFonts w:hint="eastAsia"/>
                        </w:rPr>
                        <w:t>202x-xx-xx发布</w:t>
                      </w:r>
                    </w:p>
                  </w:txbxContent>
                </v:textbox>
                <w10:anchorlock/>
              </v:shape>
            </w:pict>
          </mc:Fallback>
        </mc:AlternateContent>
      </w:r>
      <w:r>
        <mc:AlternateContent>
          <mc:Choice Requires="wps">
            <w:drawing>
              <wp:anchor distT="0" distB="0" distL="114300" distR="114300" simplePos="0" relativeHeight="251663360" behindDoc="0" locked="1" layoutInCell="1" allowOverlap="1">
                <wp:simplePos x="0" y="0"/>
                <wp:positionH relativeFrom="margin">
                  <wp:posOffset>0</wp:posOffset>
                </wp:positionH>
                <wp:positionV relativeFrom="margin">
                  <wp:posOffset>3635375</wp:posOffset>
                </wp:positionV>
                <wp:extent cx="5969000" cy="4681220"/>
                <wp:effectExtent l="0" t="0" r="12700" b="5080"/>
                <wp:wrapNone/>
                <wp:docPr id="5" name="fmFrame4"/>
                <wp:cNvGraphicFramePr/>
                <a:graphic xmlns:a="http://schemas.openxmlformats.org/drawingml/2006/main">
                  <a:graphicData uri="http://schemas.microsoft.com/office/word/2010/wordprocessingShape">
                    <wps:wsp>
                      <wps:cNvSpPr txBox="1"/>
                      <wps:spPr>
                        <a:xfrm>
                          <a:off x="0" y="0"/>
                          <a:ext cx="5969000" cy="4681220"/>
                        </a:xfrm>
                        <a:prstGeom prst="rect">
                          <a:avLst/>
                        </a:prstGeom>
                        <a:solidFill>
                          <a:srgbClr val="FFFFFF"/>
                        </a:solidFill>
                        <a:ln>
                          <a:noFill/>
                        </a:ln>
                        <a:effectLst/>
                      </wps:spPr>
                      <wps:txbx>
                        <w:txbxContent>
                          <w:p w14:paraId="00FC455E">
                            <w:pPr>
                              <w:pStyle w:val="83"/>
                              <w:rPr>
                                <w:rFonts w:hint="eastAsia" w:ascii="黑体" w:eastAsia="黑体"/>
                                <w:sz w:val="52"/>
                              </w:rPr>
                            </w:pPr>
                            <w:bookmarkStart w:id="196" w:name="OLE_LINK26"/>
                            <w:bookmarkStart w:id="197" w:name="OLE_LINK43"/>
                            <w:bookmarkStart w:id="198" w:name="OLE_LINK326"/>
                            <w:bookmarkStart w:id="199" w:name="OLE_LINK2"/>
                            <w:bookmarkStart w:id="200" w:name="OLE_LINK63"/>
                            <w:bookmarkStart w:id="201" w:name="OLE_LINK62"/>
                            <w:bookmarkStart w:id="202" w:name="OLE_LINK325"/>
                            <w:bookmarkStart w:id="203" w:name="OLE_LINK44"/>
                            <w:r>
                              <w:rPr>
                                <w:rFonts w:hint="eastAsia" w:ascii="黑体" w:eastAsia="黑体"/>
                                <w:sz w:val="52"/>
                              </w:rPr>
                              <w:t>城市生命线安全工程运行监测技术标准</w:t>
                            </w:r>
                            <w:bookmarkEnd w:id="196"/>
                            <w:bookmarkEnd w:id="197"/>
                            <w:bookmarkEnd w:id="198"/>
                            <w:bookmarkEnd w:id="199"/>
                            <w:bookmarkEnd w:id="200"/>
                            <w:bookmarkEnd w:id="201"/>
                            <w:bookmarkEnd w:id="202"/>
                            <w:bookmarkEnd w:id="203"/>
                          </w:p>
                          <w:p w14:paraId="029EA59B">
                            <w:pPr>
                              <w:pStyle w:val="83"/>
                              <w:rPr>
                                <w:rFonts w:ascii="宋体" w:hAnsi="宋体" w:eastAsia="宋体" w:cs="宋体"/>
                                <w:sz w:val="24"/>
                                <w:szCs w:val="24"/>
                              </w:rPr>
                            </w:pPr>
                            <w:r>
                              <w:rPr>
                                <w:color w:val="000000"/>
                              </w:rPr>
                              <w:t>Technical Standard for Operation Monitoring of Urban Lifeline Safety Engineering</w:t>
                            </w:r>
                          </w:p>
                          <w:p w14:paraId="122E5141">
                            <w:pPr>
                              <w:pStyle w:val="83"/>
                              <w:rPr>
                                <w:rFonts w:hint="eastAsia" w:ascii="宋体" w:hAnsi="宋体" w:eastAsia="宋体" w:cs="宋体"/>
                                <w:sz w:val="24"/>
                                <w:szCs w:val="24"/>
                              </w:rPr>
                            </w:pPr>
                          </w:p>
                          <w:p w14:paraId="4C10FD3F">
                            <w:pPr>
                              <w:pStyle w:val="119"/>
                              <w:spacing w:before="440" w:after="160"/>
                              <w:textAlignment w:val="bottom"/>
                              <w:rPr>
                                <w:sz w:val="24"/>
                                <w:szCs w:val="28"/>
                              </w:rPr>
                            </w:pPr>
                            <w:r>
                              <w:rPr>
                                <w:rFonts w:hint="eastAsia"/>
                                <w:sz w:val="24"/>
                                <w:szCs w:val="28"/>
                              </w:rPr>
                              <w:t>（</w:t>
                            </w:r>
                            <w:r>
                              <w:rPr>
                                <w:rFonts w:hint="eastAsia"/>
                                <w:sz w:val="24"/>
                                <w:szCs w:val="28"/>
                                <w:lang w:val="en-US" w:eastAsia="zh-CN"/>
                              </w:rPr>
                              <w:t>征求意见稿</w:t>
                            </w:r>
                            <w:r>
                              <w:rPr>
                                <w:rFonts w:hint="eastAsia"/>
                                <w:sz w:val="24"/>
                                <w:szCs w:val="28"/>
                              </w:rPr>
                              <w:t>）</w:t>
                            </w:r>
                          </w:p>
                          <w:p w14:paraId="5C0211BA">
                            <w:pPr>
                              <w:pStyle w:val="81"/>
                              <w:rPr>
                                <w:rFonts w:hint="default" w:eastAsia="宋体"/>
                                <w:lang w:val="en-US" w:eastAsia="zh-CN"/>
                              </w:rPr>
                            </w:pPr>
                          </w:p>
                          <w:p w14:paraId="359D1EDE">
                            <w:pPr>
                              <w:spacing w:before="31" w:after="31"/>
                            </w:pPr>
                          </w:p>
                        </w:txbxContent>
                      </wps:txbx>
                      <wps:bodyPr wrap="square" lIns="0" tIns="0" rIns="0" bIns="0" upright="1"/>
                    </wps:wsp>
                  </a:graphicData>
                </a:graphic>
              </wp:anchor>
            </w:drawing>
          </mc:Choice>
          <mc:Fallback>
            <w:pict>
              <v:shape id="fmFrame4" o:spid="_x0000_s1026" o:spt="202" type="#_x0000_t202" style="position:absolute;left:0pt;margin-left:0pt;margin-top:286.25pt;height:368.6pt;width:470pt;mso-position-horizontal-relative:margin;mso-position-vertical-relative:margin;z-index:251663360;mso-width-relative:page;mso-height-relative:page;" fillcolor="#FFFFFF" filled="t" stroked="f" coordsize="21600,21600" o:gfxdata="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RXn3HYAAAACQEAAA8AAAAAAAAAAQAgAAAAIgAA&#10;AGRycy9kb3ducmV2LnhtbFBLAQIUABQAAAAIAIdO4kCS/I/JzwEAALUDAAAOAAAAAAAAAAEAIAAA&#10;ACcBAABkcnMvZTJvRG9jLnhtbFBLBQYAAAAABgAGAFkBAABoBQAAAAA=&#10;">
                <v:fill on="t" focussize="0,0"/>
                <v:stroke on="f"/>
                <v:imagedata o:title=""/>
                <o:lock v:ext="edit" aspectratio="f"/>
                <v:textbox inset="0mm,0mm,0mm,0mm">
                  <w:txbxContent>
                    <w:p w14:paraId="00FC455E">
                      <w:pPr>
                        <w:pStyle w:val="83"/>
                        <w:rPr>
                          <w:rFonts w:hint="eastAsia" w:ascii="黑体" w:eastAsia="黑体"/>
                          <w:sz w:val="52"/>
                        </w:rPr>
                      </w:pPr>
                      <w:bookmarkStart w:id="196" w:name="OLE_LINK26"/>
                      <w:bookmarkStart w:id="197" w:name="OLE_LINK43"/>
                      <w:bookmarkStart w:id="198" w:name="OLE_LINK326"/>
                      <w:bookmarkStart w:id="199" w:name="OLE_LINK2"/>
                      <w:bookmarkStart w:id="200" w:name="OLE_LINK63"/>
                      <w:bookmarkStart w:id="201" w:name="OLE_LINK62"/>
                      <w:bookmarkStart w:id="202" w:name="OLE_LINK325"/>
                      <w:bookmarkStart w:id="203" w:name="OLE_LINK44"/>
                      <w:r>
                        <w:rPr>
                          <w:rFonts w:hint="eastAsia" w:ascii="黑体" w:eastAsia="黑体"/>
                          <w:sz w:val="52"/>
                        </w:rPr>
                        <w:t>城市生命线安全工程运行监测技术标准</w:t>
                      </w:r>
                      <w:bookmarkEnd w:id="196"/>
                      <w:bookmarkEnd w:id="197"/>
                      <w:bookmarkEnd w:id="198"/>
                      <w:bookmarkEnd w:id="199"/>
                      <w:bookmarkEnd w:id="200"/>
                      <w:bookmarkEnd w:id="201"/>
                      <w:bookmarkEnd w:id="202"/>
                      <w:bookmarkEnd w:id="203"/>
                    </w:p>
                    <w:p w14:paraId="029EA59B">
                      <w:pPr>
                        <w:pStyle w:val="83"/>
                        <w:rPr>
                          <w:rFonts w:ascii="宋体" w:hAnsi="宋体" w:eastAsia="宋体" w:cs="宋体"/>
                          <w:sz w:val="24"/>
                          <w:szCs w:val="24"/>
                        </w:rPr>
                      </w:pPr>
                      <w:r>
                        <w:rPr>
                          <w:color w:val="000000"/>
                        </w:rPr>
                        <w:t>Technical Standard for Operation Monitoring of Urban Lifeline Safety Engineering</w:t>
                      </w:r>
                    </w:p>
                    <w:p w14:paraId="122E5141">
                      <w:pPr>
                        <w:pStyle w:val="83"/>
                        <w:rPr>
                          <w:rFonts w:hint="eastAsia" w:ascii="宋体" w:hAnsi="宋体" w:eastAsia="宋体" w:cs="宋体"/>
                          <w:sz w:val="24"/>
                          <w:szCs w:val="24"/>
                        </w:rPr>
                      </w:pPr>
                    </w:p>
                    <w:p w14:paraId="4C10FD3F">
                      <w:pPr>
                        <w:pStyle w:val="119"/>
                        <w:spacing w:before="440" w:after="160"/>
                        <w:textAlignment w:val="bottom"/>
                        <w:rPr>
                          <w:sz w:val="24"/>
                          <w:szCs w:val="28"/>
                        </w:rPr>
                      </w:pPr>
                      <w:r>
                        <w:rPr>
                          <w:rFonts w:hint="eastAsia"/>
                          <w:sz w:val="24"/>
                          <w:szCs w:val="28"/>
                        </w:rPr>
                        <w:t>（</w:t>
                      </w:r>
                      <w:r>
                        <w:rPr>
                          <w:rFonts w:hint="eastAsia"/>
                          <w:sz w:val="24"/>
                          <w:szCs w:val="28"/>
                          <w:lang w:val="en-US" w:eastAsia="zh-CN"/>
                        </w:rPr>
                        <w:t>征求意见稿</w:t>
                      </w:r>
                      <w:r>
                        <w:rPr>
                          <w:rFonts w:hint="eastAsia"/>
                          <w:sz w:val="24"/>
                          <w:szCs w:val="28"/>
                        </w:rPr>
                        <w:t>）</w:t>
                      </w:r>
                    </w:p>
                    <w:p w14:paraId="5C0211BA">
                      <w:pPr>
                        <w:pStyle w:val="81"/>
                        <w:rPr>
                          <w:rFonts w:hint="default" w:eastAsia="宋体"/>
                          <w:lang w:val="en-US" w:eastAsia="zh-CN"/>
                        </w:rPr>
                      </w:pPr>
                    </w:p>
                    <w:p w14:paraId="359D1EDE">
                      <w:pPr>
                        <w:spacing w:before="31" w:after="31"/>
                      </w:pPr>
                    </w:p>
                  </w:txbxContent>
                </v:textbox>
                <w10:anchorlock/>
              </v:shape>
            </w:pict>
          </mc:Fallback>
        </mc:AlternateContent>
      </w:r>
      <w:r>
        <mc:AlternateContent>
          <mc:Choice Requires="wps">
            <w:drawing>
              <wp:anchor distT="0" distB="0" distL="114300" distR="114300" simplePos="0" relativeHeight="251662336" behindDoc="0" locked="1" layoutInCell="1" allowOverlap="1">
                <wp:simplePos x="0" y="0"/>
                <wp:positionH relativeFrom="margin">
                  <wp:posOffset>0</wp:posOffset>
                </wp:positionH>
                <wp:positionV relativeFrom="margin">
                  <wp:posOffset>1401445</wp:posOffset>
                </wp:positionV>
                <wp:extent cx="5935980" cy="762635"/>
                <wp:effectExtent l="0" t="0" r="7620" b="18415"/>
                <wp:wrapNone/>
                <wp:docPr id="4" name="fmFrame3"/>
                <wp:cNvGraphicFramePr/>
                <a:graphic xmlns:a="http://schemas.openxmlformats.org/drawingml/2006/main">
                  <a:graphicData uri="http://schemas.microsoft.com/office/word/2010/wordprocessingShape">
                    <wps:wsp>
                      <wps:cNvSpPr txBox="1"/>
                      <wps:spPr>
                        <a:xfrm>
                          <a:off x="0" y="0"/>
                          <a:ext cx="5935980" cy="762635"/>
                        </a:xfrm>
                        <a:prstGeom prst="rect">
                          <a:avLst/>
                        </a:prstGeom>
                        <a:solidFill>
                          <a:srgbClr val="FFFFFF"/>
                        </a:solidFill>
                        <a:ln>
                          <a:noFill/>
                        </a:ln>
                        <a:effectLst/>
                      </wps:spPr>
                      <wps:txbx>
                        <w:txbxContent>
                          <w:p w14:paraId="0DC170E0">
                            <w:pPr>
                              <w:pStyle w:val="79"/>
                              <w:spacing w:before="120" w:line="400" w:lineRule="exact"/>
                              <w:rPr>
                                <w:sz w:val="30"/>
                                <w:szCs w:val="30"/>
                              </w:rPr>
                            </w:pPr>
                            <w:r>
                              <w:rPr>
                                <w:sz w:val="30"/>
                                <w:szCs w:val="30"/>
                              </w:rPr>
                              <w:t>DB42</w:t>
                            </w:r>
                            <w:r>
                              <w:rPr>
                                <w:rFonts w:hint="eastAsia"/>
                                <w:sz w:val="30"/>
                                <w:szCs w:val="30"/>
                              </w:rPr>
                              <w:t>/</w:t>
                            </w:r>
                            <w:r>
                              <w:rPr>
                                <w:rFonts w:hint="eastAsia"/>
                                <w:sz w:val="30"/>
                                <w:szCs w:val="30"/>
                                <w:lang w:val="en-US" w:eastAsia="zh-CN"/>
                              </w:rPr>
                              <w:t>T</w:t>
                            </w:r>
                            <w:r>
                              <w:rPr>
                                <w:rFonts w:hint="eastAsia"/>
                                <w:sz w:val="30"/>
                                <w:szCs w:val="30"/>
                              </w:rPr>
                              <w:t>***</w:t>
                            </w:r>
                            <w:r>
                              <w:rPr>
                                <w:sz w:val="30"/>
                                <w:szCs w:val="30"/>
                              </w:rPr>
                              <w:t>—</w:t>
                            </w:r>
                            <w:r>
                              <w:rPr>
                                <w:rFonts w:hint="eastAsia"/>
                                <w:sz w:val="30"/>
                                <w:szCs w:val="30"/>
                              </w:rPr>
                              <w:t>202*</w:t>
                            </w:r>
                          </w:p>
                          <w:p w14:paraId="6A6BCE03">
                            <w:pPr>
                              <w:pStyle w:val="79"/>
                              <w:spacing w:before="120" w:line="400" w:lineRule="exact"/>
                            </w:pPr>
                          </w:p>
                        </w:txbxContent>
                      </wps:txbx>
                      <wps:bodyPr lIns="0" tIns="0" rIns="0" bIns="0" upright="1"/>
                    </wps:wsp>
                  </a:graphicData>
                </a:graphic>
              </wp:anchor>
            </w:drawing>
          </mc:Choice>
          <mc:Fallback>
            <w:pict>
              <v:shape id="fmFrame3" o:spid="_x0000_s1026" o:spt="202" type="#_x0000_t202" style="position:absolute;left:0pt;margin-left:0pt;margin-top:110.35pt;height:60.05pt;width:467.4pt;mso-position-horizontal-relative:margin;mso-position-vertical-relative:margin;z-index:251662336;mso-width-relative:page;mso-height-relative:page;" fillcolor="#FFFFFF" filled="t" stroked="f" coordsize="21600,21600" o:gfxdata="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JfL7xfYAAAACAEAAA8AAAAAAAAAAQAgAAAAIgAAAGRycy9kb3ducmV2&#10;LnhtbFBLAQIUABQAAAAIAIdO4kCEo188wwEAAKYDAAAOAAAAAAAAAAEAIAAAACcBAABkcnMvZTJv&#10;RG9jLnhtbFBLBQYAAAAABgAGAFkBAABcBQAAAAA=&#10;">
                <v:fill on="t" focussize="0,0"/>
                <v:stroke on="f"/>
                <v:imagedata o:title=""/>
                <o:lock v:ext="edit" aspectratio="f"/>
                <v:textbox inset="0mm,0mm,0mm,0mm">
                  <w:txbxContent>
                    <w:p w14:paraId="0DC170E0">
                      <w:pPr>
                        <w:pStyle w:val="79"/>
                        <w:spacing w:before="120" w:line="400" w:lineRule="exact"/>
                        <w:rPr>
                          <w:sz w:val="30"/>
                          <w:szCs w:val="30"/>
                        </w:rPr>
                      </w:pPr>
                      <w:r>
                        <w:rPr>
                          <w:sz w:val="30"/>
                          <w:szCs w:val="30"/>
                        </w:rPr>
                        <w:t>DB42</w:t>
                      </w:r>
                      <w:r>
                        <w:rPr>
                          <w:rFonts w:hint="eastAsia"/>
                          <w:sz w:val="30"/>
                          <w:szCs w:val="30"/>
                        </w:rPr>
                        <w:t>/</w:t>
                      </w:r>
                      <w:r>
                        <w:rPr>
                          <w:rFonts w:hint="eastAsia"/>
                          <w:sz w:val="30"/>
                          <w:szCs w:val="30"/>
                          <w:lang w:val="en-US" w:eastAsia="zh-CN"/>
                        </w:rPr>
                        <w:t>T</w:t>
                      </w:r>
                      <w:r>
                        <w:rPr>
                          <w:rFonts w:hint="eastAsia"/>
                          <w:sz w:val="30"/>
                          <w:szCs w:val="30"/>
                        </w:rPr>
                        <w:t>***</w:t>
                      </w:r>
                      <w:r>
                        <w:rPr>
                          <w:sz w:val="30"/>
                          <w:szCs w:val="30"/>
                        </w:rPr>
                        <w:t>—</w:t>
                      </w:r>
                      <w:r>
                        <w:rPr>
                          <w:rFonts w:hint="eastAsia"/>
                          <w:sz w:val="30"/>
                          <w:szCs w:val="30"/>
                        </w:rPr>
                        <w:t>202*</w:t>
                      </w:r>
                    </w:p>
                    <w:p w14:paraId="6A6BCE03">
                      <w:pPr>
                        <w:pStyle w:val="79"/>
                        <w:spacing w:before="120" w:line="400" w:lineRule="exact"/>
                      </w:pPr>
                    </w:p>
                  </w:txbxContent>
                </v:textbox>
                <w10:anchorlock/>
              </v:shape>
            </w:pict>
          </mc:Fallback>
        </mc:AlternateContent>
      </w:r>
      <w:r>
        <mc:AlternateContent>
          <mc:Choice Requires="wps">
            <w:drawing>
              <wp:anchor distT="0" distB="0" distL="114300" distR="114300" simplePos="0" relativeHeight="251661312" behindDoc="0" locked="1" layoutInCell="1" allowOverlap="1">
                <wp:simplePos x="0" y="0"/>
                <wp:positionH relativeFrom="margin">
                  <wp:posOffset>2549525</wp:posOffset>
                </wp:positionH>
                <wp:positionV relativeFrom="margin">
                  <wp:posOffset>107315</wp:posOffset>
                </wp:positionV>
                <wp:extent cx="3175000" cy="720090"/>
                <wp:effectExtent l="0" t="0" r="6350" b="3810"/>
                <wp:wrapNone/>
                <wp:docPr id="3" name="fmFrame8"/>
                <wp:cNvGraphicFramePr/>
                <a:graphic xmlns:a="http://schemas.openxmlformats.org/drawingml/2006/main">
                  <a:graphicData uri="http://schemas.microsoft.com/office/word/2010/wordprocessingShape">
                    <wps:wsp>
                      <wps:cNvSpPr txBox="1"/>
                      <wps:spPr>
                        <a:xfrm>
                          <a:off x="0" y="0"/>
                          <a:ext cx="3175000" cy="720090"/>
                        </a:xfrm>
                        <a:prstGeom prst="rect">
                          <a:avLst/>
                        </a:prstGeom>
                        <a:solidFill>
                          <a:srgbClr val="FFFFFF"/>
                        </a:solidFill>
                        <a:ln>
                          <a:noFill/>
                        </a:ln>
                        <a:effectLst/>
                      </wps:spPr>
                      <wps:txbx>
                        <w:txbxContent>
                          <w:p w14:paraId="25762C13">
                            <w:pPr>
                              <w:pStyle w:val="70"/>
                            </w:pPr>
                            <w:r>
                              <w:t>DB42</w:t>
                            </w:r>
                          </w:p>
                        </w:txbxContent>
                      </wps:txbx>
                      <wps:bodyPr wrap="square" lIns="0" tIns="0" rIns="0" bIns="0" upright="1"/>
                    </wps:wsp>
                  </a:graphicData>
                </a:graphic>
              </wp:anchor>
            </w:drawing>
          </mc:Choice>
          <mc:Fallback>
            <w:pict>
              <v:shape id="fmFrame8" o:spid="_x0000_s1026" o:spt="202" type="#_x0000_t202" style="position:absolute;left:0pt;margin-left:200.75pt;margin-top:8.45pt;height:56.7pt;width:250pt;mso-position-horizontal-relative:margin;mso-position-vertical-relative:margin;z-index:251661312;mso-width-relative:page;mso-height-relative:page;" fillcolor="#FFFFFF" filled="t" stroked="f" coordsize="21600,21600" o:gfxdata="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JWTs82AAAAAoBAAAPAAAAAAAAAAEAIAAAACIAAABk&#10;cnMvZG93bnJldi54bWxQSwECFAAUAAAACACHTuJAnt18ZM0BAAC0AwAADgAAAAAAAAABACAAAAAn&#10;AQAAZHJzL2Uyb0RvYy54bWxQSwUGAAAAAAYABgBZAQAAZgUAAAAA&#10;">
                <v:fill on="t" focussize="0,0"/>
                <v:stroke on="f"/>
                <v:imagedata o:title=""/>
                <o:lock v:ext="edit" aspectratio="f"/>
                <v:textbox inset="0mm,0mm,0mm,0mm">
                  <w:txbxContent>
                    <w:p w14:paraId="25762C13">
                      <w:pPr>
                        <w:pStyle w:val="70"/>
                      </w:pPr>
                      <w:r>
                        <w:t>DB42</w:t>
                      </w:r>
                    </w:p>
                  </w:txbxContent>
                </v:textbox>
                <w10:anchorlock/>
              </v:shape>
            </w:pict>
          </mc:Fallback>
        </mc:AlternateContent>
      </w:r>
      <w:r>
        <mc:AlternateContent>
          <mc:Choice Requires="wps">
            <w:drawing>
              <wp:anchor distT="0" distB="0" distL="114300" distR="114300" simplePos="0" relativeHeight="251660288" behindDoc="0" locked="1" layoutInCell="1" allowOverlap="1">
                <wp:simplePos x="0" y="0"/>
                <wp:positionH relativeFrom="margin">
                  <wp:posOffset>0</wp:posOffset>
                </wp:positionH>
                <wp:positionV relativeFrom="margin">
                  <wp:posOffset>1010920</wp:posOffset>
                </wp:positionV>
                <wp:extent cx="6120130" cy="391160"/>
                <wp:effectExtent l="0" t="0" r="13970" b="8890"/>
                <wp:wrapNone/>
                <wp:docPr id="2" name="fmFrame2"/>
                <wp:cNvGraphicFramePr/>
                <a:graphic xmlns:a="http://schemas.openxmlformats.org/drawingml/2006/main">
                  <a:graphicData uri="http://schemas.microsoft.com/office/word/2010/wordprocessingShape">
                    <wps:wsp>
                      <wps:cNvSpPr txBox="1"/>
                      <wps:spPr>
                        <a:xfrm>
                          <a:off x="0" y="0"/>
                          <a:ext cx="6120130" cy="391160"/>
                        </a:xfrm>
                        <a:prstGeom prst="rect">
                          <a:avLst/>
                        </a:prstGeom>
                        <a:solidFill>
                          <a:srgbClr val="FFFFFF"/>
                        </a:solidFill>
                        <a:ln>
                          <a:noFill/>
                        </a:ln>
                        <a:effectLst/>
                      </wps:spPr>
                      <wps:txbx>
                        <w:txbxContent>
                          <w:p w14:paraId="12331AAA">
                            <w:pPr>
                              <w:pStyle w:val="85"/>
                            </w:pPr>
                            <w:r>
                              <w:rPr>
                                <w:rFonts w:hint="eastAsia"/>
                              </w:rPr>
                              <w:t>湖北省地方标准</w:t>
                            </w:r>
                          </w:p>
                        </w:txbxContent>
                      </wps:txbx>
                      <wps:bodyPr wrap="square" lIns="0" tIns="0" rIns="0" bIns="0" upright="1"/>
                    </wps:wsp>
                  </a:graphicData>
                </a:graphic>
              </wp:anchor>
            </w:drawing>
          </mc:Choice>
          <mc:Fallback>
            <w:pict>
              <v:shape id="fmFrame2" o:spid="_x0000_s1026" o:spt="202" type="#_x0000_t202" style="position:absolute;left:0pt;margin-left:0pt;margin-top:79.6pt;height:30.8pt;width:481.9pt;mso-position-horizontal-relative:margin;mso-position-vertical-relative:margin;z-index:251660288;mso-width-relative:page;mso-height-relative:page;" fillcolor="#FFFFFF" filled="t" stroked="f" coordsize="21600,21600" o:gfxdata="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Rg5HBdcAAAAIAQAADwAAAAAAAAABACAAAAAiAAAAZHJz&#10;L2Rvd25yZXYueG1sUEsBAhQAFAAAAAgAh07iQAUHWBPMAQAAtAMAAA4AAAAAAAAAAQAgAAAAJgEA&#10;AGRycy9lMm9Eb2MueG1sUEsFBgAAAAAGAAYAWQEAAGQFAAAAAA==&#10;">
                <v:fill on="t" focussize="0,0"/>
                <v:stroke on="f"/>
                <v:imagedata o:title=""/>
                <o:lock v:ext="edit" aspectratio="f"/>
                <v:textbox inset="0mm,0mm,0mm,0mm">
                  <w:txbxContent>
                    <w:p w14:paraId="12331AAA">
                      <w:pPr>
                        <w:pStyle w:val="85"/>
                      </w:pPr>
                      <w:r>
                        <w:rPr>
                          <w:rFonts w:hint="eastAsia"/>
                        </w:rPr>
                        <w:t>湖北省地方标准</w:t>
                      </w:r>
                    </w:p>
                  </w:txbxContent>
                </v:textbox>
                <w10:anchorlock/>
              </v:shape>
            </w:pict>
          </mc:Fallback>
        </mc:AlternateContent>
      </w:r>
      <w:r>
        <mc:AlternateContent>
          <mc:Choice Requires="wps">
            <w:drawing>
              <wp:anchor distT="0" distB="0" distL="114300" distR="114300" simplePos="0" relativeHeight="251659264" behindDoc="0" locked="1" layoutInCell="1" allowOverlap="1">
                <wp:simplePos x="0" y="0"/>
                <wp:positionH relativeFrom="margin">
                  <wp:posOffset>0</wp:posOffset>
                </wp:positionH>
                <wp:positionV relativeFrom="margin">
                  <wp:posOffset>0</wp:posOffset>
                </wp:positionV>
                <wp:extent cx="2540000" cy="657860"/>
                <wp:effectExtent l="0" t="0" r="12700" b="8890"/>
                <wp:wrapNone/>
                <wp:docPr id="1" name="fmFrame1"/>
                <wp:cNvGraphicFramePr/>
                <a:graphic xmlns:a="http://schemas.openxmlformats.org/drawingml/2006/main">
                  <a:graphicData uri="http://schemas.microsoft.com/office/word/2010/wordprocessingShape">
                    <wps:wsp>
                      <wps:cNvSpPr txBox="1"/>
                      <wps:spPr>
                        <a:xfrm>
                          <a:off x="0" y="0"/>
                          <a:ext cx="2540000" cy="657860"/>
                        </a:xfrm>
                        <a:prstGeom prst="rect">
                          <a:avLst/>
                        </a:prstGeom>
                        <a:solidFill>
                          <a:srgbClr val="FFFFFF"/>
                        </a:solidFill>
                        <a:ln>
                          <a:noFill/>
                        </a:ln>
                        <a:effectLst/>
                      </wps:spPr>
                      <wps:txbx>
                        <w:txbxContent>
                          <w:p w14:paraId="74638CEE">
                            <w:pPr>
                              <w:pStyle w:val="88"/>
                              <w:rPr>
                                <w:rFonts w:hint="default" w:eastAsia="黑体"/>
                                <w:szCs w:val="21"/>
                                <w:lang w:val="en-US" w:eastAsia="zh-CN"/>
                              </w:rPr>
                            </w:pPr>
                            <w:bookmarkStart w:id="204" w:name="OLE_LINK18"/>
                            <w:bookmarkStart w:id="205" w:name="OLE_LINK19"/>
                            <w:r>
                              <w:rPr>
                                <w:szCs w:val="21"/>
                              </w:rPr>
                              <w:t>ICS</w:t>
                            </w:r>
                            <w:r>
                              <w:rPr>
                                <w:rFonts w:hint="eastAsia"/>
                                <w:szCs w:val="21"/>
                              </w:rPr>
                              <w:t xml:space="preserve"> </w:t>
                            </w:r>
                            <w:r>
                              <w:rPr>
                                <w:rFonts w:hint="eastAsia"/>
                                <w:szCs w:val="21"/>
                                <w:lang w:val="en-US" w:eastAsia="zh-CN"/>
                              </w:rPr>
                              <w:t>13:320</w:t>
                            </w:r>
                          </w:p>
                          <w:bookmarkEnd w:id="204"/>
                          <w:bookmarkEnd w:id="205"/>
                          <w:p w14:paraId="5BFF1B3C">
                            <w:pPr>
                              <w:pStyle w:val="88"/>
                              <w:rPr>
                                <w:rFonts w:hint="eastAsia" w:eastAsia="黑体"/>
                                <w:lang w:eastAsia="zh-CN"/>
                              </w:rPr>
                            </w:pPr>
                            <w:bookmarkStart w:id="206" w:name="OLE_LINK20"/>
                            <w:bookmarkStart w:id="207" w:name="OLE_LINK21"/>
                            <w:r>
                              <w:rPr>
                                <w:szCs w:val="21"/>
                              </w:rPr>
                              <w:t>CCS</w:t>
                            </w:r>
                            <w:r>
                              <w:rPr>
                                <w:rFonts w:hint="eastAsia"/>
                              </w:rPr>
                              <w:t xml:space="preserve"> </w:t>
                            </w:r>
                            <w:r>
                              <w:rPr>
                                <w:rFonts w:hint="eastAsia"/>
                                <w:szCs w:val="21"/>
                              </w:rPr>
                              <w:t>A9</w:t>
                            </w:r>
                            <w:r>
                              <w:rPr>
                                <w:rFonts w:hint="eastAsia"/>
                                <w:szCs w:val="21"/>
                                <w:lang w:val="en-US" w:eastAsia="zh-CN"/>
                              </w:rPr>
                              <w:t>0</w:t>
                            </w:r>
                          </w:p>
                          <w:bookmarkEnd w:id="206"/>
                          <w:bookmarkEnd w:id="207"/>
                          <w:p w14:paraId="18E75909">
                            <w:pPr>
                              <w:pStyle w:val="88"/>
                            </w:pPr>
                          </w:p>
                        </w:txbxContent>
                      </wps:txbx>
                      <wps:bodyPr wrap="square" lIns="0" tIns="0" rIns="0" bIns="0" upright="1"/>
                    </wps:wsp>
                  </a:graphicData>
                </a:graphic>
              </wp:anchor>
            </w:drawing>
          </mc:Choice>
          <mc:Fallback>
            <w:pict>
              <v:shape id="fmFrame1" o:spid="_x0000_s1026" o:spt="202" type="#_x0000_t202" style="position:absolute;left:0pt;margin-left:0pt;margin-top:0pt;height:51.8pt;width:200pt;mso-position-horizontal-relative:margin;mso-position-vertical-relative:margin;z-index:251659264;mso-width-relative:page;mso-height-relative:page;" fillcolor="#FFFFFF" filled="t" stroked="f" coordsize="21600,21600" o:gfxdata="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F7Mvg0wAAAAUBAAAPAAAAAAAAAAEAIAAAACIAAABkcnMvZG93&#10;bnJldi54bWxQSwECFAAUAAAACACHTuJAXeQNV8wBAAC0AwAADgAAAAAAAAABACAAAAAiAQAAZHJz&#10;L2Uyb0RvYy54bWxQSwUGAAAAAAYABgBZAQAAYAUAAAAA&#10;">
                <v:fill on="t" focussize="0,0"/>
                <v:stroke on="f"/>
                <v:imagedata o:title=""/>
                <o:lock v:ext="edit" aspectratio="f"/>
                <v:textbox inset="0mm,0mm,0mm,0mm">
                  <w:txbxContent>
                    <w:p w14:paraId="74638CEE">
                      <w:pPr>
                        <w:pStyle w:val="88"/>
                        <w:rPr>
                          <w:rFonts w:hint="default" w:eastAsia="黑体"/>
                          <w:szCs w:val="21"/>
                          <w:lang w:val="en-US" w:eastAsia="zh-CN"/>
                        </w:rPr>
                      </w:pPr>
                      <w:bookmarkStart w:id="204" w:name="OLE_LINK18"/>
                      <w:bookmarkStart w:id="205" w:name="OLE_LINK19"/>
                      <w:r>
                        <w:rPr>
                          <w:szCs w:val="21"/>
                        </w:rPr>
                        <w:t>ICS</w:t>
                      </w:r>
                      <w:r>
                        <w:rPr>
                          <w:rFonts w:hint="eastAsia"/>
                          <w:szCs w:val="21"/>
                        </w:rPr>
                        <w:t xml:space="preserve"> </w:t>
                      </w:r>
                      <w:r>
                        <w:rPr>
                          <w:rFonts w:hint="eastAsia"/>
                          <w:szCs w:val="21"/>
                          <w:lang w:val="en-US" w:eastAsia="zh-CN"/>
                        </w:rPr>
                        <w:t>13:320</w:t>
                      </w:r>
                    </w:p>
                    <w:bookmarkEnd w:id="204"/>
                    <w:bookmarkEnd w:id="205"/>
                    <w:p w14:paraId="5BFF1B3C">
                      <w:pPr>
                        <w:pStyle w:val="88"/>
                        <w:rPr>
                          <w:rFonts w:hint="eastAsia" w:eastAsia="黑体"/>
                          <w:lang w:eastAsia="zh-CN"/>
                        </w:rPr>
                      </w:pPr>
                      <w:bookmarkStart w:id="206" w:name="OLE_LINK20"/>
                      <w:bookmarkStart w:id="207" w:name="OLE_LINK21"/>
                      <w:r>
                        <w:rPr>
                          <w:szCs w:val="21"/>
                        </w:rPr>
                        <w:t>CCS</w:t>
                      </w:r>
                      <w:r>
                        <w:rPr>
                          <w:rFonts w:hint="eastAsia"/>
                        </w:rPr>
                        <w:t xml:space="preserve"> </w:t>
                      </w:r>
                      <w:r>
                        <w:rPr>
                          <w:rFonts w:hint="eastAsia"/>
                          <w:szCs w:val="21"/>
                        </w:rPr>
                        <w:t>A9</w:t>
                      </w:r>
                      <w:r>
                        <w:rPr>
                          <w:rFonts w:hint="eastAsia"/>
                          <w:szCs w:val="21"/>
                          <w:lang w:val="en-US" w:eastAsia="zh-CN"/>
                        </w:rPr>
                        <w:t>0</w:t>
                      </w:r>
                    </w:p>
                    <w:bookmarkEnd w:id="206"/>
                    <w:bookmarkEnd w:id="207"/>
                    <w:p w14:paraId="18E75909">
                      <w:pPr>
                        <w:pStyle w:val="88"/>
                      </w:pPr>
                    </w:p>
                  </w:txbxContent>
                </v:textbox>
                <w10:anchorlock/>
              </v:shape>
            </w:pict>
          </mc:Fallback>
        </mc:AlternateContent>
      </w:r>
    </w:p>
    <w:p w14:paraId="43AA0BFD">
      <w:pPr>
        <w:spacing w:before="31" w:after="31"/>
      </w:pPr>
    </w:p>
    <w:p w14:paraId="330BC456">
      <w:pPr>
        <w:spacing w:before="31" w:after="31"/>
      </w:pPr>
    </w:p>
    <w:p w14:paraId="189E29F6">
      <w:pPr>
        <w:spacing w:before="31" w:after="31"/>
      </w:pPr>
    </w:p>
    <w:p w14:paraId="39C39695">
      <w:pPr>
        <w:spacing w:before="31" w:after="31"/>
      </w:pPr>
    </w:p>
    <w:p w14:paraId="0EE2996F">
      <w:pPr>
        <w:spacing w:before="31" w:after="31"/>
      </w:pPr>
    </w:p>
    <w:p w14:paraId="3EFBBCF6">
      <w:pPr>
        <w:spacing w:before="31" w:after="31"/>
      </w:pPr>
    </w:p>
    <w:p w14:paraId="3C60C33B">
      <w:pPr>
        <w:spacing w:before="31" w:after="31"/>
      </w:pPr>
    </w:p>
    <w:p w14:paraId="04F1148E">
      <w:pPr>
        <w:spacing w:before="31" w:after="31"/>
      </w:pPr>
    </w:p>
    <w:p w14:paraId="350E53C3">
      <w:pPr>
        <w:spacing w:before="31" w:after="31"/>
        <w:rPr>
          <w:kern w:val="0"/>
          <w:sz w:val="20"/>
        </w:rPr>
      </w:pPr>
    </w:p>
    <w:p w14:paraId="5B40E45E">
      <w:pPr>
        <w:spacing w:before="31" w:after="31"/>
        <w:jc w:val="right"/>
        <w:rPr>
          <w:kern w:val="0"/>
          <w:sz w:val="20"/>
        </w:rPr>
      </w:pPr>
    </w:p>
    <w:p w14:paraId="0E5442B9">
      <w:pPr>
        <w:spacing w:before="31" w:after="31"/>
        <w:rPr>
          <w:kern w:val="0"/>
          <w:sz w:val="20"/>
        </w:rPr>
      </w:pPr>
    </w:p>
    <w:p w14:paraId="1C591294">
      <w:pPr>
        <w:pStyle w:val="83"/>
        <w:sectPr>
          <w:headerReference r:id="rId7" w:type="first"/>
          <w:footerReference r:id="rId10" w:type="first"/>
          <w:headerReference r:id="rId5" w:type="default"/>
          <w:footerReference r:id="rId8" w:type="default"/>
          <w:headerReference r:id="rId6" w:type="even"/>
          <w:footerReference r:id="rId9" w:type="even"/>
          <w:type w:val="continuous"/>
          <w:pgSz w:w="11907" w:h="16839"/>
          <w:pgMar w:top="567" w:right="851" w:bottom="1361" w:left="1418" w:header="0" w:footer="0" w:gutter="0"/>
          <w:pgBorders>
            <w:top w:val="none" w:sz="0" w:space="0"/>
            <w:left w:val="none" w:sz="0" w:space="0"/>
            <w:bottom w:val="none" w:sz="0" w:space="0"/>
            <w:right w:val="none" w:sz="0" w:space="0"/>
          </w:pgBorders>
          <w:pgNumType w:start="1"/>
          <w:cols w:space="720" w:num="1"/>
          <w:titlePg/>
          <w:docGrid w:type="lines" w:linePitch="312" w:charSpace="0"/>
        </w:sectPr>
      </w:pPr>
    </w:p>
    <w:bookmarkEnd w:id="0"/>
    <w:p w14:paraId="1045789C">
      <w:pPr>
        <w:pStyle w:val="120"/>
        <w:spacing w:after="468"/>
        <w:rPr>
          <w:spacing w:val="320"/>
        </w:rPr>
        <w:sectPr>
          <w:footerReference r:id="rId12" w:type="default"/>
          <w:headerReference r:id="rId11" w:type="even"/>
          <w:footerReference r:id="rId13" w:type="even"/>
          <w:pgSz w:w="11907" w:h="16840"/>
          <w:pgMar w:top="1440" w:right="1418" w:bottom="1440" w:left="1418" w:header="851" w:footer="992" w:gutter="567"/>
          <w:pgBorders>
            <w:top w:val="none" w:sz="0" w:space="0"/>
            <w:left w:val="none" w:sz="0" w:space="0"/>
            <w:bottom w:val="none" w:sz="0" w:space="0"/>
            <w:right w:val="none" w:sz="0" w:space="0"/>
          </w:pgBorders>
          <w:cols w:space="720" w:num="1"/>
          <w:titlePg/>
          <w:docGrid w:type="linesAndChars" w:linePitch="312" w:charSpace="0"/>
        </w:sectPr>
      </w:pPr>
    </w:p>
    <w:p w14:paraId="54F6E9D4">
      <w:pPr>
        <w:pStyle w:val="120"/>
        <w:spacing w:after="468"/>
      </w:pPr>
      <w:r>
        <w:rPr>
          <w:spacing w:val="320"/>
        </w:rPr>
        <w:t>目</w:t>
      </w:r>
      <w:r>
        <w:t>次</w:t>
      </w:r>
    </w:p>
    <w:p w14:paraId="4E0076D8">
      <w:pPr>
        <w:pStyle w:val="24"/>
        <w:tabs>
          <w:tab w:val="right" w:leader="dot" w:pos="8504"/>
          <w:tab w:val="clear" w:pos="420"/>
          <w:tab w:val="clear" w:pos="567"/>
          <w:tab w:val="clear" w:pos="8495"/>
        </w:tabs>
      </w:pPr>
      <w:r>
        <w:rPr>
          <w:rStyle w:val="42"/>
          <w:u w:val="none"/>
        </w:rPr>
        <w:fldChar w:fldCharType="begin"/>
      </w:r>
      <w:r>
        <w:rPr>
          <w:rStyle w:val="42"/>
          <w:u w:val="none"/>
        </w:rPr>
        <w:instrText xml:space="preserve"> TOC \o "1-2" \h \z \u </w:instrText>
      </w:r>
      <w:r>
        <w:rPr>
          <w:rStyle w:val="42"/>
          <w:u w:val="none"/>
        </w:rPr>
        <w:fldChar w:fldCharType="separate"/>
      </w:r>
      <w:r>
        <w:rPr>
          <w:u w:val="none"/>
        </w:rPr>
        <w:fldChar w:fldCharType="begin"/>
      </w:r>
      <w:r>
        <w:instrText xml:space="preserve"> HYPERLINK \l _Toc25961 </w:instrText>
      </w:r>
      <w:r>
        <w:fldChar w:fldCharType="separate"/>
      </w:r>
      <w:r>
        <w:rPr>
          <w:rFonts w:hint="eastAsia" w:ascii="黑体" w:hAnsi="黑体" w:eastAsia="黑体"/>
          <w:bCs w:val="0"/>
          <w:szCs w:val="32"/>
        </w:rPr>
        <w:t>前  言</w:t>
      </w:r>
      <w:r>
        <w:tab/>
      </w:r>
      <w:r>
        <w:fldChar w:fldCharType="begin"/>
      </w:r>
      <w:r>
        <w:instrText xml:space="preserve"> PAGEREF _Toc25961 \h </w:instrText>
      </w:r>
      <w:r>
        <w:fldChar w:fldCharType="separate"/>
      </w:r>
      <w:r>
        <w:t>V</w:t>
      </w:r>
      <w:r>
        <w:fldChar w:fldCharType="end"/>
      </w:r>
      <w:r>
        <w:rPr>
          <w:u w:val="none"/>
        </w:rPr>
        <w:fldChar w:fldCharType="end"/>
      </w:r>
    </w:p>
    <w:p w14:paraId="41CCA73D">
      <w:pPr>
        <w:pStyle w:val="24"/>
        <w:tabs>
          <w:tab w:val="right" w:leader="dot" w:pos="8504"/>
          <w:tab w:val="clear" w:pos="420"/>
          <w:tab w:val="clear" w:pos="567"/>
          <w:tab w:val="clear" w:pos="8495"/>
        </w:tabs>
      </w:pPr>
      <w:r>
        <w:rPr>
          <w:u w:val="none"/>
        </w:rPr>
        <w:fldChar w:fldCharType="begin"/>
      </w:r>
      <w:r>
        <w:instrText xml:space="preserve"> HYPERLINK \l _Toc8482 </w:instrText>
      </w:r>
      <w:r>
        <w:fldChar w:fldCharType="separate"/>
      </w:r>
      <w:r>
        <w:rPr>
          <w:rFonts w:hint="eastAsia" w:ascii="黑体" w:hAnsi="黑体" w:eastAsia="黑体"/>
          <w:bCs w:val="0"/>
          <w:szCs w:val="32"/>
        </w:rPr>
        <w:t>引  言</w:t>
      </w:r>
      <w:r>
        <w:tab/>
      </w:r>
      <w:r>
        <w:fldChar w:fldCharType="begin"/>
      </w:r>
      <w:r>
        <w:instrText xml:space="preserve"> PAGEREF _Toc8482 \h </w:instrText>
      </w:r>
      <w:r>
        <w:fldChar w:fldCharType="separate"/>
      </w:r>
      <w:r>
        <w:t>VI</w:t>
      </w:r>
      <w:r>
        <w:fldChar w:fldCharType="end"/>
      </w:r>
      <w:r>
        <w:rPr>
          <w:u w:val="none"/>
        </w:rPr>
        <w:fldChar w:fldCharType="end"/>
      </w:r>
    </w:p>
    <w:p w14:paraId="03D2DE81">
      <w:pPr>
        <w:pStyle w:val="24"/>
        <w:tabs>
          <w:tab w:val="right" w:leader="dot" w:pos="8504"/>
          <w:tab w:val="clear" w:pos="420"/>
          <w:tab w:val="clear" w:pos="567"/>
          <w:tab w:val="clear" w:pos="8495"/>
        </w:tabs>
      </w:pPr>
      <w:r>
        <w:rPr>
          <w:u w:val="none"/>
        </w:rPr>
        <w:fldChar w:fldCharType="begin"/>
      </w:r>
      <w:r>
        <w:instrText xml:space="preserve"> HYPERLINK \l _Toc14797 </w:instrText>
      </w:r>
      <w:r>
        <w:fldChar w:fldCharType="separate"/>
      </w:r>
      <w:r>
        <w:rPr>
          <w:rFonts w:hint="default" w:ascii="Times New Roman" w:hAnsi="Times New Roman" w:eastAsia="黑体"/>
          <w:i w:val="0"/>
          <w:szCs w:val="21"/>
        </w:rPr>
        <w:t xml:space="preserve">1 </w:t>
      </w:r>
      <w:r>
        <w:rPr>
          <w:rFonts w:hint="eastAsia"/>
          <w:szCs w:val="21"/>
        </w:rPr>
        <w:t>范围</w:t>
      </w:r>
      <w:r>
        <w:tab/>
      </w:r>
      <w:r>
        <w:fldChar w:fldCharType="begin"/>
      </w:r>
      <w:r>
        <w:instrText xml:space="preserve"> PAGEREF _Toc14797 \h </w:instrText>
      </w:r>
      <w:r>
        <w:fldChar w:fldCharType="separate"/>
      </w:r>
      <w:r>
        <w:t>1</w:t>
      </w:r>
      <w:r>
        <w:fldChar w:fldCharType="end"/>
      </w:r>
      <w:r>
        <w:rPr>
          <w:u w:val="none"/>
        </w:rPr>
        <w:fldChar w:fldCharType="end"/>
      </w:r>
    </w:p>
    <w:p w14:paraId="42189353">
      <w:pPr>
        <w:pStyle w:val="24"/>
        <w:tabs>
          <w:tab w:val="right" w:leader="dot" w:pos="8504"/>
          <w:tab w:val="clear" w:pos="420"/>
          <w:tab w:val="clear" w:pos="567"/>
          <w:tab w:val="clear" w:pos="8495"/>
        </w:tabs>
      </w:pPr>
      <w:r>
        <w:rPr>
          <w:u w:val="none"/>
        </w:rPr>
        <w:fldChar w:fldCharType="begin"/>
      </w:r>
      <w:r>
        <w:instrText xml:space="preserve"> HYPERLINK \l _Toc11639 </w:instrText>
      </w:r>
      <w:r>
        <w:fldChar w:fldCharType="separate"/>
      </w:r>
      <w:r>
        <w:rPr>
          <w:rFonts w:hint="default" w:ascii="Times New Roman" w:hAnsi="Times New Roman" w:eastAsia="黑体"/>
          <w:i w:val="0"/>
          <w:szCs w:val="21"/>
        </w:rPr>
        <w:t xml:space="preserve">2 </w:t>
      </w:r>
      <w:r>
        <w:rPr>
          <w:rFonts w:hint="eastAsia"/>
          <w:szCs w:val="21"/>
        </w:rPr>
        <w:t>规范性引用文件</w:t>
      </w:r>
      <w:r>
        <w:tab/>
      </w:r>
      <w:r>
        <w:fldChar w:fldCharType="begin"/>
      </w:r>
      <w:r>
        <w:instrText xml:space="preserve"> PAGEREF _Toc11639 \h </w:instrText>
      </w:r>
      <w:r>
        <w:fldChar w:fldCharType="separate"/>
      </w:r>
      <w:r>
        <w:t>1</w:t>
      </w:r>
      <w:r>
        <w:fldChar w:fldCharType="end"/>
      </w:r>
      <w:r>
        <w:rPr>
          <w:u w:val="none"/>
        </w:rPr>
        <w:fldChar w:fldCharType="end"/>
      </w:r>
    </w:p>
    <w:p w14:paraId="00D883BC">
      <w:pPr>
        <w:pStyle w:val="24"/>
        <w:tabs>
          <w:tab w:val="right" w:leader="dot" w:pos="8504"/>
          <w:tab w:val="clear" w:pos="420"/>
          <w:tab w:val="clear" w:pos="567"/>
          <w:tab w:val="clear" w:pos="8495"/>
        </w:tabs>
      </w:pPr>
      <w:r>
        <w:rPr>
          <w:u w:val="none"/>
        </w:rPr>
        <w:fldChar w:fldCharType="begin"/>
      </w:r>
      <w:r>
        <w:instrText xml:space="preserve"> HYPERLINK \l _Toc30180 </w:instrText>
      </w:r>
      <w:r>
        <w:fldChar w:fldCharType="separate"/>
      </w:r>
      <w:r>
        <w:rPr>
          <w:rFonts w:hint="default" w:ascii="Times New Roman" w:hAnsi="Times New Roman" w:eastAsia="黑体"/>
          <w:i w:val="0"/>
          <w:szCs w:val="21"/>
        </w:rPr>
        <w:t xml:space="preserve">3 </w:t>
      </w:r>
      <w:r>
        <w:rPr>
          <w:rFonts w:hint="eastAsia"/>
          <w:szCs w:val="21"/>
        </w:rPr>
        <w:t>术语和定义</w:t>
      </w:r>
      <w:r>
        <w:tab/>
      </w:r>
      <w:r>
        <w:fldChar w:fldCharType="begin"/>
      </w:r>
      <w:r>
        <w:instrText xml:space="preserve"> PAGEREF _Toc30180 \h </w:instrText>
      </w:r>
      <w:r>
        <w:fldChar w:fldCharType="separate"/>
      </w:r>
      <w:r>
        <w:t>2</w:t>
      </w:r>
      <w:r>
        <w:fldChar w:fldCharType="end"/>
      </w:r>
      <w:r>
        <w:rPr>
          <w:u w:val="none"/>
        </w:rPr>
        <w:fldChar w:fldCharType="end"/>
      </w:r>
    </w:p>
    <w:p w14:paraId="3A7FC66E">
      <w:pPr>
        <w:pStyle w:val="24"/>
        <w:tabs>
          <w:tab w:val="right" w:leader="dot" w:pos="8504"/>
          <w:tab w:val="clear" w:pos="420"/>
          <w:tab w:val="clear" w:pos="567"/>
          <w:tab w:val="clear" w:pos="8495"/>
        </w:tabs>
      </w:pPr>
      <w:r>
        <w:rPr>
          <w:u w:val="none"/>
        </w:rPr>
        <w:fldChar w:fldCharType="begin"/>
      </w:r>
      <w:r>
        <w:instrText xml:space="preserve"> HYPERLINK \l _Toc23822 </w:instrText>
      </w:r>
      <w:r>
        <w:fldChar w:fldCharType="separate"/>
      </w:r>
      <w:r>
        <w:rPr>
          <w:rFonts w:hint="default" w:ascii="Times New Roman" w:hAnsi="Times New Roman" w:eastAsia="黑体"/>
          <w:i w:val="0"/>
          <w:szCs w:val="21"/>
        </w:rPr>
        <w:t xml:space="preserve">4 </w:t>
      </w:r>
      <w:r>
        <w:rPr>
          <w:rFonts w:hint="eastAsia"/>
          <w:szCs w:val="21"/>
          <w:lang w:eastAsia="zh-CN"/>
        </w:rPr>
        <w:t>总体要求</w:t>
      </w:r>
      <w:r>
        <w:tab/>
      </w:r>
      <w:r>
        <w:fldChar w:fldCharType="begin"/>
      </w:r>
      <w:r>
        <w:instrText xml:space="preserve"> PAGEREF _Toc23822 \h </w:instrText>
      </w:r>
      <w:r>
        <w:fldChar w:fldCharType="separate"/>
      </w:r>
      <w:r>
        <w:t>3</w:t>
      </w:r>
      <w:r>
        <w:fldChar w:fldCharType="end"/>
      </w:r>
      <w:r>
        <w:rPr>
          <w:u w:val="none"/>
        </w:rPr>
        <w:fldChar w:fldCharType="end"/>
      </w:r>
    </w:p>
    <w:p w14:paraId="5F640E40">
      <w:pPr>
        <w:pStyle w:val="24"/>
        <w:tabs>
          <w:tab w:val="right" w:leader="dot" w:pos="8504"/>
          <w:tab w:val="clear" w:pos="420"/>
          <w:tab w:val="clear" w:pos="567"/>
          <w:tab w:val="clear" w:pos="8495"/>
        </w:tabs>
      </w:pPr>
      <w:r>
        <w:rPr>
          <w:u w:val="none"/>
        </w:rPr>
        <w:fldChar w:fldCharType="begin"/>
      </w:r>
      <w:r>
        <w:instrText xml:space="preserve"> HYPERLINK \l _Toc9779 </w:instrText>
      </w:r>
      <w:r>
        <w:fldChar w:fldCharType="separate"/>
      </w:r>
      <w:r>
        <w:rPr>
          <w:rFonts w:hint="default" w:ascii="Times New Roman" w:hAnsi="Times New Roman" w:eastAsia="黑体"/>
          <w:i w:val="0"/>
          <w:szCs w:val="21"/>
        </w:rPr>
        <w:t xml:space="preserve">5 </w:t>
      </w:r>
      <w:r>
        <w:rPr>
          <w:rFonts w:hint="eastAsia"/>
          <w:szCs w:val="21"/>
        </w:rPr>
        <w:t>风险评估</w:t>
      </w:r>
      <w:r>
        <w:tab/>
      </w:r>
      <w:r>
        <w:fldChar w:fldCharType="begin"/>
      </w:r>
      <w:r>
        <w:instrText xml:space="preserve"> PAGEREF _Toc9779 \h </w:instrText>
      </w:r>
      <w:r>
        <w:fldChar w:fldCharType="separate"/>
      </w:r>
      <w:r>
        <w:t>4</w:t>
      </w:r>
      <w:r>
        <w:fldChar w:fldCharType="end"/>
      </w:r>
      <w:r>
        <w:rPr>
          <w:u w:val="none"/>
        </w:rPr>
        <w:fldChar w:fldCharType="end"/>
      </w:r>
    </w:p>
    <w:p w14:paraId="73208E4A">
      <w:pPr>
        <w:pStyle w:val="30"/>
        <w:tabs>
          <w:tab w:val="right" w:leader="dot" w:pos="8504"/>
          <w:tab w:val="clear" w:pos="1050"/>
          <w:tab w:val="clear" w:pos="8494"/>
        </w:tabs>
      </w:pPr>
      <w:r>
        <w:rPr>
          <w:u w:val="none"/>
        </w:rPr>
        <w:fldChar w:fldCharType="begin"/>
      </w:r>
      <w:r>
        <w:instrText xml:space="preserve"> HYPERLINK \l _Toc20237 </w:instrText>
      </w:r>
      <w:r>
        <w:fldChar w:fldCharType="separate"/>
      </w:r>
      <w:r>
        <w:rPr>
          <w:rFonts w:hint="default" w:ascii="Times New Roman" w:hAnsi="Times New Roman" w:eastAsia="黑体"/>
          <w:i w:val="0"/>
        </w:rPr>
        <w:t xml:space="preserve">5.1 </w:t>
      </w:r>
      <w:r>
        <w:rPr>
          <w:rFonts w:hint="eastAsia"/>
          <w:lang w:eastAsia="zh-CN"/>
        </w:rPr>
        <w:t>一般要求</w:t>
      </w:r>
      <w:r>
        <w:tab/>
      </w:r>
      <w:r>
        <w:fldChar w:fldCharType="begin"/>
      </w:r>
      <w:r>
        <w:instrText xml:space="preserve"> PAGEREF _Toc20237 \h </w:instrText>
      </w:r>
      <w:r>
        <w:fldChar w:fldCharType="separate"/>
      </w:r>
      <w:r>
        <w:t>4</w:t>
      </w:r>
      <w:r>
        <w:fldChar w:fldCharType="end"/>
      </w:r>
      <w:r>
        <w:rPr>
          <w:u w:val="none"/>
        </w:rPr>
        <w:fldChar w:fldCharType="end"/>
      </w:r>
    </w:p>
    <w:p w14:paraId="7746CF21">
      <w:pPr>
        <w:pStyle w:val="30"/>
        <w:tabs>
          <w:tab w:val="right" w:leader="dot" w:pos="8504"/>
          <w:tab w:val="clear" w:pos="1050"/>
          <w:tab w:val="clear" w:pos="8494"/>
        </w:tabs>
      </w:pPr>
      <w:r>
        <w:rPr>
          <w:u w:val="none"/>
        </w:rPr>
        <w:fldChar w:fldCharType="begin"/>
      </w:r>
      <w:r>
        <w:instrText xml:space="preserve"> HYPERLINK \l _Toc1810 </w:instrText>
      </w:r>
      <w:r>
        <w:fldChar w:fldCharType="separate"/>
      </w:r>
      <w:r>
        <w:rPr>
          <w:rFonts w:hint="default" w:ascii="Times New Roman" w:hAnsi="Times New Roman" w:eastAsia="黑体"/>
          <w:i w:val="0"/>
        </w:rPr>
        <w:t xml:space="preserve">5.2 </w:t>
      </w:r>
      <w:r>
        <w:rPr>
          <w:rFonts w:hint="eastAsia"/>
        </w:rPr>
        <w:t>计划和准备</w:t>
      </w:r>
      <w:r>
        <w:tab/>
      </w:r>
      <w:r>
        <w:fldChar w:fldCharType="begin"/>
      </w:r>
      <w:r>
        <w:instrText xml:space="preserve"> PAGEREF _Toc1810 \h </w:instrText>
      </w:r>
      <w:r>
        <w:fldChar w:fldCharType="separate"/>
      </w:r>
      <w:r>
        <w:t>4</w:t>
      </w:r>
      <w:r>
        <w:fldChar w:fldCharType="end"/>
      </w:r>
      <w:r>
        <w:rPr>
          <w:u w:val="none"/>
        </w:rPr>
        <w:fldChar w:fldCharType="end"/>
      </w:r>
    </w:p>
    <w:p w14:paraId="05797609">
      <w:pPr>
        <w:pStyle w:val="30"/>
        <w:tabs>
          <w:tab w:val="right" w:leader="dot" w:pos="8504"/>
          <w:tab w:val="clear" w:pos="1050"/>
          <w:tab w:val="clear" w:pos="8494"/>
        </w:tabs>
      </w:pPr>
      <w:r>
        <w:rPr>
          <w:u w:val="none"/>
        </w:rPr>
        <w:fldChar w:fldCharType="begin"/>
      </w:r>
      <w:r>
        <w:instrText xml:space="preserve"> HYPERLINK \l _Toc18676 </w:instrText>
      </w:r>
      <w:r>
        <w:fldChar w:fldCharType="separate"/>
      </w:r>
      <w:r>
        <w:rPr>
          <w:rFonts w:hint="default" w:ascii="Times New Roman" w:hAnsi="Times New Roman" w:eastAsia="黑体"/>
          <w:i w:val="0"/>
        </w:rPr>
        <w:t xml:space="preserve">5.3 </w:t>
      </w:r>
      <w:r>
        <w:rPr>
          <w:rFonts w:hint="eastAsia"/>
        </w:rPr>
        <w:t>风险识别</w:t>
      </w:r>
      <w:r>
        <w:tab/>
      </w:r>
      <w:r>
        <w:fldChar w:fldCharType="begin"/>
      </w:r>
      <w:r>
        <w:instrText xml:space="preserve"> PAGEREF _Toc18676 \h </w:instrText>
      </w:r>
      <w:r>
        <w:fldChar w:fldCharType="separate"/>
      </w:r>
      <w:r>
        <w:t>5</w:t>
      </w:r>
      <w:r>
        <w:fldChar w:fldCharType="end"/>
      </w:r>
      <w:r>
        <w:rPr>
          <w:u w:val="none"/>
        </w:rPr>
        <w:fldChar w:fldCharType="end"/>
      </w:r>
    </w:p>
    <w:p w14:paraId="15A27386">
      <w:pPr>
        <w:pStyle w:val="30"/>
        <w:tabs>
          <w:tab w:val="right" w:leader="dot" w:pos="8504"/>
          <w:tab w:val="clear" w:pos="1050"/>
          <w:tab w:val="clear" w:pos="8494"/>
        </w:tabs>
      </w:pPr>
      <w:r>
        <w:rPr>
          <w:u w:val="none"/>
        </w:rPr>
        <w:fldChar w:fldCharType="begin"/>
      </w:r>
      <w:r>
        <w:instrText xml:space="preserve"> HYPERLINK \l _Toc105 </w:instrText>
      </w:r>
      <w:r>
        <w:fldChar w:fldCharType="separate"/>
      </w:r>
      <w:r>
        <w:rPr>
          <w:rFonts w:hint="default" w:ascii="Times New Roman" w:hAnsi="Times New Roman" w:eastAsia="黑体"/>
          <w:i w:val="0"/>
        </w:rPr>
        <w:t xml:space="preserve">5.4 </w:t>
      </w:r>
      <w:r>
        <w:rPr>
          <w:rFonts w:hint="eastAsia"/>
        </w:rPr>
        <w:t>风险分析</w:t>
      </w:r>
      <w:r>
        <w:tab/>
      </w:r>
      <w:r>
        <w:fldChar w:fldCharType="begin"/>
      </w:r>
      <w:r>
        <w:instrText xml:space="preserve"> PAGEREF _Toc105 \h </w:instrText>
      </w:r>
      <w:r>
        <w:fldChar w:fldCharType="separate"/>
      </w:r>
      <w:r>
        <w:t>6</w:t>
      </w:r>
      <w:r>
        <w:fldChar w:fldCharType="end"/>
      </w:r>
      <w:r>
        <w:rPr>
          <w:u w:val="none"/>
        </w:rPr>
        <w:fldChar w:fldCharType="end"/>
      </w:r>
    </w:p>
    <w:p w14:paraId="0C9267BD">
      <w:pPr>
        <w:pStyle w:val="30"/>
        <w:tabs>
          <w:tab w:val="right" w:leader="dot" w:pos="8504"/>
          <w:tab w:val="clear" w:pos="1050"/>
          <w:tab w:val="clear" w:pos="8494"/>
        </w:tabs>
      </w:pPr>
      <w:r>
        <w:rPr>
          <w:u w:val="none"/>
        </w:rPr>
        <w:fldChar w:fldCharType="begin"/>
      </w:r>
      <w:r>
        <w:instrText xml:space="preserve"> HYPERLINK \l _Toc29163 </w:instrText>
      </w:r>
      <w:r>
        <w:fldChar w:fldCharType="separate"/>
      </w:r>
      <w:r>
        <w:rPr>
          <w:rFonts w:hint="default" w:ascii="Times New Roman" w:hAnsi="Times New Roman" w:eastAsia="黑体"/>
          <w:i w:val="0"/>
        </w:rPr>
        <w:t xml:space="preserve">5.5 </w:t>
      </w:r>
      <w:r>
        <w:rPr>
          <w:rFonts w:hint="eastAsia"/>
        </w:rPr>
        <w:t>风险评价</w:t>
      </w:r>
      <w:r>
        <w:tab/>
      </w:r>
      <w:r>
        <w:fldChar w:fldCharType="begin"/>
      </w:r>
      <w:r>
        <w:instrText xml:space="preserve"> PAGEREF _Toc29163 \h </w:instrText>
      </w:r>
      <w:r>
        <w:fldChar w:fldCharType="separate"/>
      </w:r>
      <w:r>
        <w:t>6</w:t>
      </w:r>
      <w:r>
        <w:fldChar w:fldCharType="end"/>
      </w:r>
      <w:r>
        <w:rPr>
          <w:u w:val="none"/>
        </w:rPr>
        <w:fldChar w:fldCharType="end"/>
      </w:r>
    </w:p>
    <w:p w14:paraId="55823AE7">
      <w:pPr>
        <w:pStyle w:val="30"/>
        <w:tabs>
          <w:tab w:val="right" w:leader="dot" w:pos="8504"/>
          <w:tab w:val="clear" w:pos="1050"/>
          <w:tab w:val="clear" w:pos="8494"/>
        </w:tabs>
      </w:pPr>
      <w:r>
        <w:rPr>
          <w:u w:val="none"/>
        </w:rPr>
        <w:fldChar w:fldCharType="begin"/>
      </w:r>
      <w:r>
        <w:instrText xml:space="preserve"> HYPERLINK \l _Toc26673 </w:instrText>
      </w:r>
      <w:r>
        <w:fldChar w:fldCharType="separate"/>
      </w:r>
      <w:r>
        <w:rPr>
          <w:rFonts w:hint="default" w:ascii="Times New Roman" w:hAnsi="Times New Roman" w:eastAsia="黑体"/>
          <w:i w:val="0"/>
        </w:rPr>
        <w:t xml:space="preserve">5.6 </w:t>
      </w:r>
      <w:r>
        <w:rPr>
          <w:rFonts w:hint="eastAsia"/>
        </w:rPr>
        <w:t>风险评估成果</w:t>
      </w:r>
      <w:r>
        <w:tab/>
      </w:r>
      <w:r>
        <w:fldChar w:fldCharType="begin"/>
      </w:r>
      <w:r>
        <w:instrText xml:space="preserve"> PAGEREF _Toc26673 \h </w:instrText>
      </w:r>
      <w:r>
        <w:fldChar w:fldCharType="separate"/>
      </w:r>
      <w:r>
        <w:t>7</w:t>
      </w:r>
      <w:r>
        <w:fldChar w:fldCharType="end"/>
      </w:r>
      <w:r>
        <w:rPr>
          <w:u w:val="none"/>
        </w:rPr>
        <w:fldChar w:fldCharType="end"/>
      </w:r>
    </w:p>
    <w:p w14:paraId="2F380BF2">
      <w:pPr>
        <w:pStyle w:val="24"/>
        <w:tabs>
          <w:tab w:val="right" w:leader="dot" w:pos="8504"/>
          <w:tab w:val="clear" w:pos="420"/>
          <w:tab w:val="clear" w:pos="567"/>
          <w:tab w:val="clear" w:pos="8495"/>
        </w:tabs>
      </w:pPr>
      <w:r>
        <w:rPr>
          <w:u w:val="none"/>
        </w:rPr>
        <w:fldChar w:fldCharType="begin"/>
      </w:r>
      <w:r>
        <w:instrText xml:space="preserve"> HYPERLINK \l _Toc11696 </w:instrText>
      </w:r>
      <w:r>
        <w:fldChar w:fldCharType="separate"/>
      </w:r>
      <w:r>
        <w:rPr>
          <w:rFonts w:hint="default" w:ascii="Times New Roman" w:hAnsi="Times New Roman" w:eastAsia="黑体"/>
          <w:i w:val="0"/>
          <w:szCs w:val="21"/>
        </w:rPr>
        <w:t xml:space="preserve">6 </w:t>
      </w:r>
      <w:r>
        <w:rPr>
          <w:rFonts w:hint="eastAsia"/>
          <w:szCs w:val="21"/>
        </w:rPr>
        <w:t>监测感知网</w:t>
      </w:r>
      <w:r>
        <w:rPr>
          <w:rFonts w:hint="eastAsia"/>
          <w:szCs w:val="21"/>
          <w:lang w:val="en-US" w:eastAsia="zh-CN"/>
        </w:rPr>
        <w:t>络</w:t>
      </w:r>
      <w:r>
        <w:rPr>
          <w:rFonts w:hint="eastAsia"/>
          <w:szCs w:val="21"/>
        </w:rPr>
        <w:t>建设</w:t>
      </w:r>
      <w:r>
        <w:tab/>
      </w:r>
      <w:r>
        <w:fldChar w:fldCharType="begin"/>
      </w:r>
      <w:r>
        <w:instrText xml:space="preserve"> PAGEREF _Toc11696 \h </w:instrText>
      </w:r>
      <w:r>
        <w:fldChar w:fldCharType="separate"/>
      </w:r>
      <w:r>
        <w:t>8</w:t>
      </w:r>
      <w:r>
        <w:fldChar w:fldCharType="end"/>
      </w:r>
      <w:r>
        <w:rPr>
          <w:u w:val="none"/>
        </w:rPr>
        <w:fldChar w:fldCharType="end"/>
      </w:r>
    </w:p>
    <w:p w14:paraId="5E338634">
      <w:pPr>
        <w:pStyle w:val="30"/>
        <w:tabs>
          <w:tab w:val="right" w:leader="dot" w:pos="8504"/>
          <w:tab w:val="clear" w:pos="1050"/>
          <w:tab w:val="clear" w:pos="8494"/>
        </w:tabs>
      </w:pPr>
      <w:r>
        <w:rPr>
          <w:u w:val="none"/>
        </w:rPr>
        <w:fldChar w:fldCharType="begin"/>
      </w:r>
      <w:r>
        <w:instrText xml:space="preserve"> HYPERLINK \l _Toc2609 </w:instrText>
      </w:r>
      <w:r>
        <w:fldChar w:fldCharType="separate"/>
      </w:r>
      <w:r>
        <w:rPr>
          <w:rFonts w:hint="default" w:ascii="Times New Roman" w:hAnsi="Times New Roman" w:eastAsia="黑体"/>
          <w:i w:val="0"/>
        </w:rPr>
        <w:t xml:space="preserve">6.1 </w:t>
      </w:r>
      <w:r>
        <w:rPr>
          <w:rFonts w:hint="eastAsia"/>
          <w:lang w:eastAsia="zh-CN"/>
        </w:rPr>
        <w:t>一般要求</w:t>
      </w:r>
      <w:r>
        <w:tab/>
      </w:r>
      <w:r>
        <w:fldChar w:fldCharType="begin"/>
      </w:r>
      <w:r>
        <w:instrText xml:space="preserve"> PAGEREF _Toc2609 \h </w:instrText>
      </w:r>
      <w:r>
        <w:fldChar w:fldCharType="separate"/>
      </w:r>
      <w:r>
        <w:t>8</w:t>
      </w:r>
      <w:r>
        <w:fldChar w:fldCharType="end"/>
      </w:r>
      <w:r>
        <w:rPr>
          <w:u w:val="none"/>
        </w:rPr>
        <w:fldChar w:fldCharType="end"/>
      </w:r>
    </w:p>
    <w:p w14:paraId="160C7F07">
      <w:pPr>
        <w:pStyle w:val="30"/>
        <w:tabs>
          <w:tab w:val="right" w:leader="dot" w:pos="8504"/>
          <w:tab w:val="clear" w:pos="1050"/>
          <w:tab w:val="clear" w:pos="8494"/>
        </w:tabs>
      </w:pPr>
      <w:r>
        <w:rPr>
          <w:u w:val="none"/>
        </w:rPr>
        <w:fldChar w:fldCharType="begin"/>
      </w:r>
      <w:r>
        <w:instrText xml:space="preserve"> HYPERLINK \l _Toc15331 </w:instrText>
      </w:r>
      <w:r>
        <w:fldChar w:fldCharType="separate"/>
      </w:r>
      <w:r>
        <w:rPr>
          <w:rFonts w:hint="default" w:ascii="Times New Roman" w:hAnsi="Times New Roman" w:eastAsia="黑体"/>
          <w:i w:val="0"/>
        </w:rPr>
        <w:t xml:space="preserve">6.2 </w:t>
      </w:r>
      <w:r>
        <w:rPr>
          <w:rFonts w:hint="eastAsia"/>
        </w:rPr>
        <w:t>燃气安全监测感知网</w:t>
      </w:r>
      <w:r>
        <w:tab/>
      </w:r>
      <w:r>
        <w:fldChar w:fldCharType="begin"/>
      </w:r>
      <w:r>
        <w:instrText xml:space="preserve"> PAGEREF _Toc15331 \h </w:instrText>
      </w:r>
      <w:r>
        <w:fldChar w:fldCharType="separate"/>
      </w:r>
      <w:r>
        <w:t>9</w:t>
      </w:r>
      <w:r>
        <w:fldChar w:fldCharType="end"/>
      </w:r>
      <w:r>
        <w:rPr>
          <w:u w:val="none"/>
        </w:rPr>
        <w:fldChar w:fldCharType="end"/>
      </w:r>
    </w:p>
    <w:p w14:paraId="2ADA57A3">
      <w:pPr>
        <w:pStyle w:val="30"/>
        <w:tabs>
          <w:tab w:val="right" w:leader="dot" w:pos="8504"/>
          <w:tab w:val="clear" w:pos="1050"/>
          <w:tab w:val="clear" w:pos="8494"/>
        </w:tabs>
      </w:pPr>
      <w:r>
        <w:rPr>
          <w:u w:val="none"/>
        </w:rPr>
        <w:fldChar w:fldCharType="begin"/>
      </w:r>
      <w:r>
        <w:instrText xml:space="preserve"> HYPERLINK \l _Toc9883 </w:instrText>
      </w:r>
      <w:r>
        <w:fldChar w:fldCharType="separate"/>
      </w:r>
      <w:r>
        <w:rPr>
          <w:rFonts w:hint="default" w:ascii="Times New Roman" w:hAnsi="Times New Roman" w:eastAsia="黑体"/>
          <w:i w:val="0"/>
        </w:rPr>
        <w:t xml:space="preserve">6.3 </w:t>
      </w:r>
      <w:r>
        <w:rPr>
          <w:rFonts w:hint="eastAsia"/>
        </w:rPr>
        <w:t>供水安全监测感知网</w:t>
      </w:r>
      <w:r>
        <w:tab/>
      </w:r>
      <w:r>
        <w:fldChar w:fldCharType="begin"/>
      </w:r>
      <w:r>
        <w:instrText xml:space="preserve"> PAGEREF _Toc9883 \h </w:instrText>
      </w:r>
      <w:r>
        <w:fldChar w:fldCharType="separate"/>
      </w:r>
      <w:r>
        <w:t>10</w:t>
      </w:r>
      <w:r>
        <w:fldChar w:fldCharType="end"/>
      </w:r>
      <w:r>
        <w:rPr>
          <w:u w:val="none"/>
        </w:rPr>
        <w:fldChar w:fldCharType="end"/>
      </w:r>
    </w:p>
    <w:p w14:paraId="44E6E44C">
      <w:pPr>
        <w:pStyle w:val="30"/>
        <w:tabs>
          <w:tab w:val="right" w:leader="dot" w:pos="8504"/>
          <w:tab w:val="clear" w:pos="1050"/>
          <w:tab w:val="clear" w:pos="8494"/>
        </w:tabs>
      </w:pPr>
      <w:r>
        <w:rPr>
          <w:u w:val="none"/>
        </w:rPr>
        <w:fldChar w:fldCharType="begin"/>
      </w:r>
      <w:r>
        <w:instrText xml:space="preserve"> HYPERLINK \l _Toc9918 </w:instrText>
      </w:r>
      <w:r>
        <w:fldChar w:fldCharType="separate"/>
      </w:r>
      <w:r>
        <w:rPr>
          <w:rFonts w:hint="default" w:ascii="Times New Roman" w:hAnsi="Times New Roman" w:eastAsia="黑体"/>
          <w:i w:val="0"/>
        </w:rPr>
        <w:t xml:space="preserve">6.4 </w:t>
      </w:r>
      <w:r>
        <w:rPr>
          <w:rFonts w:hint="eastAsia"/>
        </w:rPr>
        <w:t>排水安全监测感知网</w:t>
      </w:r>
      <w:r>
        <w:tab/>
      </w:r>
      <w:r>
        <w:fldChar w:fldCharType="begin"/>
      </w:r>
      <w:r>
        <w:instrText xml:space="preserve"> PAGEREF _Toc9918 \h </w:instrText>
      </w:r>
      <w:r>
        <w:fldChar w:fldCharType="separate"/>
      </w:r>
      <w:r>
        <w:t>11</w:t>
      </w:r>
      <w:r>
        <w:fldChar w:fldCharType="end"/>
      </w:r>
      <w:r>
        <w:rPr>
          <w:u w:val="none"/>
        </w:rPr>
        <w:fldChar w:fldCharType="end"/>
      </w:r>
    </w:p>
    <w:p w14:paraId="0900F6E6">
      <w:pPr>
        <w:pStyle w:val="30"/>
        <w:tabs>
          <w:tab w:val="right" w:leader="dot" w:pos="8504"/>
          <w:tab w:val="clear" w:pos="1050"/>
          <w:tab w:val="clear" w:pos="8494"/>
        </w:tabs>
      </w:pPr>
      <w:r>
        <w:rPr>
          <w:u w:val="none"/>
        </w:rPr>
        <w:fldChar w:fldCharType="begin"/>
      </w:r>
      <w:r>
        <w:instrText xml:space="preserve"> HYPERLINK \l _Toc26211 </w:instrText>
      </w:r>
      <w:r>
        <w:fldChar w:fldCharType="separate"/>
      </w:r>
      <w:r>
        <w:rPr>
          <w:rFonts w:hint="default" w:ascii="Times New Roman" w:hAnsi="Times New Roman" w:eastAsia="黑体"/>
          <w:i w:val="0"/>
        </w:rPr>
        <w:t xml:space="preserve">6.5 </w:t>
      </w:r>
      <w:r>
        <w:rPr>
          <w:rFonts w:hint="eastAsia"/>
        </w:rPr>
        <w:t>热力安全监测感知网</w:t>
      </w:r>
      <w:r>
        <w:tab/>
      </w:r>
      <w:r>
        <w:fldChar w:fldCharType="begin"/>
      </w:r>
      <w:r>
        <w:instrText xml:space="preserve"> PAGEREF _Toc26211 \h </w:instrText>
      </w:r>
      <w:r>
        <w:fldChar w:fldCharType="separate"/>
      </w:r>
      <w:r>
        <w:t>13</w:t>
      </w:r>
      <w:r>
        <w:fldChar w:fldCharType="end"/>
      </w:r>
      <w:r>
        <w:rPr>
          <w:u w:val="none"/>
        </w:rPr>
        <w:fldChar w:fldCharType="end"/>
      </w:r>
    </w:p>
    <w:p w14:paraId="123E24AE">
      <w:pPr>
        <w:pStyle w:val="30"/>
        <w:tabs>
          <w:tab w:val="right" w:leader="dot" w:pos="8504"/>
          <w:tab w:val="clear" w:pos="1050"/>
          <w:tab w:val="clear" w:pos="8494"/>
        </w:tabs>
      </w:pPr>
      <w:r>
        <w:rPr>
          <w:u w:val="none"/>
        </w:rPr>
        <w:fldChar w:fldCharType="begin"/>
      </w:r>
      <w:r>
        <w:instrText xml:space="preserve"> HYPERLINK \l _Toc9338 </w:instrText>
      </w:r>
      <w:r>
        <w:fldChar w:fldCharType="separate"/>
      </w:r>
      <w:r>
        <w:rPr>
          <w:rFonts w:hint="default" w:ascii="Times New Roman" w:hAnsi="Times New Roman" w:eastAsia="黑体"/>
          <w:i w:val="0"/>
        </w:rPr>
        <w:t xml:space="preserve">6.6 </w:t>
      </w:r>
      <w:r>
        <w:rPr>
          <w:rFonts w:hint="eastAsia"/>
        </w:rPr>
        <w:t>桥梁安全监测感知网</w:t>
      </w:r>
      <w:r>
        <w:tab/>
      </w:r>
      <w:r>
        <w:fldChar w:fldCharType="begin"/>
      </w:r>
      <w:r>
        <w:instrText xml:space="preserve"> PAGEREF _Toc9338 \h </w:instrText>
      </w:r>
      <w:r>
        <w:fldChar w:fldCharType="separate"/>
      </w:r>
      <w:r>
        <w:t>14</w:t>
      </w:r>
      <w:r>
        <w:fldChar w:fldCharType="end"/>
      </w:r>
      <w:r>
        <w:rPr>
          <w:u w:val="none"/>
        </w:rPr>
        <w:fldChar w:fldCharType="end"/>
      </w:r>
    </w:p>
    <w:p w14:paraId="50CE8D9A">
      <w:pPr>
        <w:pStyle w:val="30"/>
        <w:tabs>
          <w:tab w:val="right" w:leader="dot" w:pos="8504"/>
          <w:tab w:val="clear" w:pos="1050"/>
          <w:tab w:val="clear" w:pos="8494"/>
        </w:tabs>
      </w:pPr>
      <w:r>
        <w:rPr>
          <w:u w:val="none"/>
        </w:rPr>
        <w:fldChar w:fldCharType="begin"/>
      </w:r>
      <w:r>
        <w:instrText xml:space="preserve"> HYPERLINK \l _Toc31631 </w:instrText>
      </w:r>
      <w:r>
        <w:fldChar w:fldCharType="separate"/>
      </w:r>
      <w:r>
        <w:rPr>
          <w:rFonts w:hint="default" w:ascii="Times New Roman" w:hAnsi="Times New Roman" w:eastAsia="黑体"/>
          <w:i w:val="0"/>
        </w:rPr>
        <w:t xml:space="preserve">6.7 </w:t>
      </w:r>
      <w:r>
        <w:rPr>
          <w:rFonts w:hint="eastAsia"/>
        </w:rPr>
        <w:t>隧道安全监测感知网</w:t>
      </w:r>
      <w:r>
        <w:tab/>
      </w:r>
      <w:r>
        <w:fldChar w:fldCharType="begin"/>
      </w:r>
      <w:r>
        <w:instrText xml:space="preserve"> PAGEREF _Toc31631 \h </w:instrText>
      </w:r>
      <w:r>
        <w:fldChar w:fldCharType="separate"/>
      </w:r>
      <w:r>
        <w:t>16</w:t>
      </w:r>
      <w:r>
        <w:fldChar w:fldCharType="end"/>
      </w:r>
      <w:r>
        <w:rPr>
          <w:u w:val="none"/>
        </w:rPr>
        <w:fldChar w:fldCharType="end"/>
      </w:r>
    </w:p>
    <w:p w14:paraId="259CDB67">
      <w:pPr>
        <w:pStyle w:val="24"/>
        <w:tabs>
          <w:tab w:val="right" w:leader="dot" w:pos="8504"/>
          <w:tab w:val="clear" w:pos="420"/>
          <w:tab w:val="clear" w:pos="567"/>
          <w:tab w:val="clear" w:pos="8495"/>
        </w:tabs>
      </w:pPr>
      <w:r>
        <w:rPr>
          <w:u w:val="none"/>
        </w:rPr>
        <w:fldChar w:fldCharType="begin"/>
      </w:r>
      <w:r>
        <w:instrText xml:space="preserve"> HYPERLINK \l _Toc26865 </w:instrText>
      </w:r>
      <w:r>
        <w:fldChar w:fldCharType="separate"/>
      </w:r>
      <w:r>
        <w:rPr>
          <w:rFonts w:hint="default" w:ascii="Times New Roman" w:hAnsi="Times New Roman" w:eastAsia="黑体"/>
          <w:i w:val="0"/>
          <w:szCs w:val="21"/>
        </w:rPr>
        <w:t xml:space="preserve">7 </w:t>
      </w:r>
      <w:r>
        <w:rPr>
          <w:rFonts w:hint="eastAsia"/>
          <w:szCs w:val="21"/>
        </w:rPr>
        <w:t>工程数据库建设</w:t>
      </w:r>
      <w:r>
        <w:tab/>
      </w:r>
      <w:r>
        <w:fldChar w:fldCharType="begin"/>
      </w:r>
      <w:r>
        <w:instrText xml:space="preserve"> PAGEREF _Toc26865 \h </w:instrText>
      </w:r>
      <w:r>
        <w:fldChar w:fldCharType="separate"/>
      </w:r>
      <w:r>
        <w:t>18</w:t>
      </w:r>
      <w:r>
        <w:fldChar w:fldCharType="end"/>
      </w:r>
      <w:r>
        <w:rPr>
          <w:u w:val="none"/>
        </w:rPr>
        <w:fldChar w:fldCharType="end"/>
      </w:r>
    </w:p>
    <w:p w14:paraId="67364420">
      <w:pPr>
        <w:pStyle w:val="30"/>
        <w:tabs>
          <w:tab w:val="right" w:leader="dot" w:pos="8504"/>
          <w:tab w:val="clear" w:pos="1050"/>
          <w:tab w:val="clear" w:pos="8494"/>
        </w:tabs>
      </w:pPr>
      <w:r>
        <w:rPr>
          <w:u w:val="none"/>
        </w:rPr>
        <w:fldChar w:fldCharType="begin"/>
      </w:r>
      <w:r>
        <w:instrText xml:space="preserve"> HYPERLINK \l _Toc5333 </w:instrText>
      </w:r>
      <w:r>
        <w:fldChar w:fldCharType="separate"/>
      </w:r>
      <w:r>
        <w:rPr>
          <w:rFonts w:hint="default" w:ascii="Times New Roman" w:hAnsi="Times New Roman" w:eastAsia="黑体"/>
          <w:i w:val="0"/>
        </w:rPr>
        <w:t xml:space="preserve">7.1 </w:t>
      </w:r>
      <w:r>
        <w:rPr>
          <w:rFonts w:hint="eastAsia"/>
          <w:lang w:eastAsia="zh-CN"/>
        </w:rPr>
        <w:t>一般要求</w:t>
      </w:r>
      <w:r>
        <w:tab/>
      </w:r>
      <w:r>
        <w:fldChar w:fldCharType="begin"/>
      </w:r>
      <w:r>
        <w:instrText xml:space="preserve"> PAGEREF _Toc5333 \h </w:instrText>
      </w:r>
      <w:r>
        <w:fldChar w:fldCharType="separate"/>
      </w:r>
      <w:r>
        <w:t>18</w:t>
      </w:r>
      <w:r>
        <w:fldChar w:fldCharType="end"/>
      </w:r>
      <w:r>
        <w:rPr>
          <w:u w:val="none"/>
        </w:rPr>
        <w:fldChar w:fldCharType="end"/>
      </w:r>
    </w:p>
    <w:p w14:paraId="485D9451">
      <w:pPr>
        <w:pStyle w:val="30"/>
        <w:tabs>
          <w:tab w:val="right" w:leader="dot" w:pos="8504"/>
          <w:tab w:val="clear" w:pos="1050"/>
          <w:tab w:val="clear" w:pos="8494"/>
        </w:tabs>
      </w:pPr>
      <w:r>
        <w:rPr>
          <w:u w:val="none"/>
        </w:rPr>
        <w:fldChar w:fldCharType="begin"/>
      </w:r>
      <w:r>
        <w:instrText xml:space="preserve"> HYPERLINK \l _Toc4415 </w:instrText>
      </w:r>
      <w:r>
        <w:fldChar w:fldCharType="separate"/>
      </w:r>
      <w:r>
        <w:rPr>
          <w:rFonts w:hint="default" w:ascii="Times New Roman" w:hAnsi="Times New Roman" w:eastAsia="黑体"/>
          <w:i w:val="0"/>
        </w:rPr>
        <w:t xml:space="preserve">7.2 </w:t>
      </w:r>
      <w:r>
        <w:rPr>
          <w:rFonts w:hint="eastAsia"/>
        </w:rPr>
        <w:t>城市基础设施数据</w:t>
      </w:r>
      <w:r>
        <w:tab/>
      </w:r>
      <w:r>
        <w:fldChar w:fldCharType="begin"/>
      </w:r>
      <w:r>
        <w:instrText xml:space="preserve"> PAGEREF _Toc4415 \h </w:instrText>
      </w:r>
      <w:r>
        <w:fldChar w:fldCharType="separate"/>
      </w:r>
      <w:r>
        <w:t>19</w:t>
      </w:r>
      <w:r>
        <w:fldChar w:fldCharType="end"/>
      </w:r>
      <w:r>
        <w:rPr>
          <w:u w:val="none"/>
        </w:rPr>
        <w:fldChar w:fldCharType="end"/>
      </w:r>
    </w:p>
    <w:p w14:paraId="1895EB95">
      <w:pPr>
        <w:pStyle w:val="30"/>
        <w:tabs>
          <w:tab w:val="right" w:leader="dot" w:pos="8504"/>
          <w:tab w:val="clear" w:pos="1050"/>
          <w:tab w:val="clear" w:pos="8494"/>
        </w:tabs>
      </w:pPr>
      <w:r>
        <w:rPr>
          <w:u w:val="none"/>
        </w:rPr>
        <w:fldChar w:fldCharType="begin"/>
      </w:r>
      <w:r>
        <w:instrText xml:space="preserve"> HYPERLINK \l _Toc18228 </w:instrText>
      </w:r>
      <w:r>
        <w:fldChar w:fldCharType="separate"/>
      </w:r>
      <w:r>
        <w:rPr>
          <w:rFonts w:hint="default" w:ascii="Times New Roman" w:hAnsi="Times New Roman" w:eastAsia="黑体"/>
          <w:i w:val="0"/>
        </w:rPr>
        <w:t xml:space="preserve">7.3 </w:t>
      </w:r>
      <w:r>
        <w:rPr>
          <w:rFonts w:hint="eastAsia"/>
        </w:rPr>
        <w:t>国土空间地理数据</w:t>
      </w:r>
      <w:r>
        <w:tab/>
      </w:r>
      <w:r>
        <w:fldChar w:fldCharType="begin"/>
      </w:r>
      <w:r>
        <w:instrText xml:space="preserve"> PAGEREF _Toc18228 \h </w:instrText>
      </w:r>
      <w:r>
        <w:fldChar w:fldCharType="separate"/>
      </w:r>
      <w:r>
        <w:t>19</w:t>
      </w:r>
      <w:r>
        <w:fldChar w:fldCharType="end"/>
      </w:r>
      <w:r>
        <w:rPr>
          <w:u w:val="none"/>
        </w:rPr>
        <w:fldChar w:fldCharType="end"/>
      </w:r>
    </w:p>
    <w:p w14:paraId="753A2C95">
      <w:pPr>
        <w:pStyle w:val="30"/>
        <w:tabs>
          <w:tab w:val="right" w:leader="dot" w:pos="8504"/>
          <w:tab w:val="clear" w:pos="1050"/>
          <w:tab w:val="clear" w:pos="8494"/>
        </w:tabs>
      </w:pPr>
      <w:r>
        <w:rPr>
          <w:u w:val="none"/>
        </w:rPr>
        <w:fldChar w:fldCharType="begin"/>
      </w:r>
      <w:r>
        <w:instrText xml:space="preserve"> HYPERLINK \l _Toc24936 </w:instrText>
      </w:r>
      <w:r>
        <w:fldChar w:fldCharType="separate"/>
      </w:r>
      <w:r>
        <w:rPr>
          <w:rFonts w:hint="default" w:ascii="Times New Roman" w:hAnsi="Times New Roman" w:eastAsia="黑体"/>
          <w:i w:val="0"/>
        </w:rPr>
        <w:t xml:space="preserve">7.4 </w:t>
      </w:r>
      <w:r>
        <w:rPr>
          <w:rFonts w:hint="eastAsia"/>
        </w:rPr>
        <w:t>城市基础设施模型数据</w:t>
      </w:r>
      <w:r>
        <w:tab/>
      </w:r>
      <w:r>
        <w:fldChar w:fldCharType="begin"/>
      </w:r>
      <w:r>
        <w:instrText xml:space="preserve"> PAGEREF _Toc24936 \h </w:instrText>
      </w:r>
      <w:r>
        <w:fldChar w:fldCharType="separate"/>
      </w:r>
      <w:r>
        <w:t>20</w:t>
      </w:r>
      <w:r>
        <w:fldChar w:fldCharType="end"/>
      </w:r>
      <w:r>
        <w:rPr>
          <w:u w:val="none"/>
        </w:rPr>
        <w:fldChar w:fldCharType="end"/>
      </w:r>
    </w:p>
    <w:p w14:paraId="727984B2">
      <w:pPr>
        <w:pStyle w:val="30"/>
        <w:tabs>
          <w:tab w:val="right" w:leader="dot" w:pos="8504"/>
          <w:tab w:val="clear" w:pos="1050"/>
          <w:tab w:val="clear" w:pos="8494"/>
        </w:tabs>
      </w:pPr>
      <w:r>
        <w:rPr>
          <w:u w:val="none"/>
        </w:rPr>
        <w:fldChar w:fldCharType="begin"/>
      </w:r>
      <w:r>
        <w:instrText xml:space="preserve"> HYPERLINK \l _Toc25981 </w:instrText>
      </w:r>
      <w:r>
        <w:fldChar w:fldCharType="separate"/>
      </w:r>
      <w:r>
        <w:rPr>
          <w:rFonts w:hint="default" w:ascii="Times New Roman" w:hAnsi="Times New Roman" w:eastAsia="黑体"/>
          <w:i w:val="0"/>
        </w:rPr>
        <w:t xml:space="preserve">7.5 </w:t>
      </w:r>
      <w:r>
        <w:rPr>
          <w:rFonts w:hint="eastAsia"/>
        </w:rPr>
        <w:t>社会资源数据</w:t>
      </w:r>
      <w:r>
        <w:tab/>
      </w:r>
      <w:r>
        <w:fldChar w:fldCharType="begin"/>
      </w:r>
      <w:r>
        <w:instrText xml:space="preserve"> PAGEREF _Toc25981 \h </w:instrText>
      </w:r>
      <w:r>
        <w:fldChar w:fldCharType="separate"/>
      </w:r>
      <w:r>
        <w:t>20</w:t>
      </w:r>
      <w:r>
        <w:fldChar w:fldCharType="end"/>
      </w:r>
      <w:r>
        <w:rPr>
          <w:u w:val="none"/>
        </w:rPr>
        <w:fldChar w:fldCharType="end"/>
      </w:r>
    </w:p>
    <w:p w14:paraId="17A3DB02">
      <w:pPr>
        <w:pStyle w:val="30"/>
        <w:tabs>
          <w:tab w:val="right" w:leader="dot" w:pos="8504"/>
          <w:tab w:val="clear" w:pos="1050"/>
          <w:tab w:val="clear" w:pos="8494"/>
        </w:tabs>
      </w:pPr>
      <w:r>
        <w:rPr>
          <w:u w:val="none"/>
        </w:rPr>
        <w:fldChar w:fldCharType="begin"/>
      </w:r>
      <w:r>
        <w:instrText xml:space="preserve"> HYPERLINK \l _Toc3163 </w:instrText>
      </w:r>
      <w:r>
        <w:fldChar w:fldCharType="separate"/>
      </w:r>
      <w:r>
        <w:rPr>
          <w:rFonts w:hint="default" w:ascii="Times New Roman" w:hAnsi="Times New Roman" w:eastAsia="黑体"/>
          <w:i w:val="0"/>
        </w:rPr>
        <w:t xml:space="preserve">7.6 </w:t>
      </w:r>
      <w:r>
        <w:rPr>
          <w:rFonts w:hint="eastAsia"/>
        </w:rPr>
        <w:t>风险评估数据</w:t>
      </w:r>
      <w:r>
        <w:tab/>
      </w:r>
      <w:r>
        <w:fldChar w:fldCharType="begin"/>
      </w:r>
      <w:r>
        <w:instrText xml:space="preserve"> PAGEREF _Toc3163 \h </w:instrText>
      </w:r>
      <w:r>
        <w:fldChar w:fldCharType="separate"/>
      </w:r>
      <w:r>
        <w:t>21</w:t>
      </w:r>
      <w:r>
        <w:fldChar w:fldCharType="end"/>
      </w:r>
      <w:r>
        <w:rPr>
          <w:u w:val="none"/>
        </w:rPr>
        <w:fldChar w:fldCharType="end"/>
      </w:r>
    </w:p>
    <w:p w14:paraId="2BE21B40">
      <w:pPr>
        <w:pStyle w:val="30"/>
        <w:tabs>
          <w:tab w:val="right" w:leader="dot" w:pos="8504"/>
          <w:tab w:val="clear" w:pos="1050"/>
          <w:tab w:val="clear" w:pos="8494"/>
        </w:tabs>
      </w:pPr>
      <w:r>
        <w:rPr>
          <w:u w:val="none"/>
        </w:rPr>
        <w:fldChar w:fldCharType="begin"/>
      </w:r>
      <w:r>
        <w:instrText xml:space="preserve"> HYPERLINK \l _Toc15579 </w:instrText>
      </w:r>
      <w:r>
        <w:fldChar w:fldCharType="separate"/>
      </w:r>
      <w:r>
        <w:rPr>
          <w:rFonts w:hint="default" w:ascii="Times New Roman" w:hAnsi="Times New Roman" w:eastAsia="黑体"/>
          <w:i w:val="0"/>
        </w:rPr>
        <w:t xml:space="preserve">7.7 </w:t>
      </w:r>
      <w:r>
        <w:rPr>
          <w:rFonts w:hint="eastAsia"/>
        </w:rPr>
        <w:t>物联感知数据</w:t>
      </w:r>
      <w:r>
        <w:tab/>
      </w:r>
      <w:r>
        <w:fldChar w:fldCharType="begin"/>
      </w:r>
      <w:r>
        <w:instrText xml:space="preserve"> PAGEREF _Toc15579 \h </w:instrText>
      </w:r>
      <w:r>
        <w:fldChar w:fldCharType="separate"/>
      </w:r>
      <w:r>
        <w:t>21</w:t>
      </w:r>
      <w:r>
        <w:fldChar w:fldCharType="end"/>
      </w:r>
      <w:r>
        <w:rPr>
          <w:u w:val="none"/>
        </w:rPr>
        <w:fldChar w:fldCharType="end"/>
      </w:r>
    </w:p>
    <w:p w14:paraId="64FBC54E">
      <w:pPr>
        <w:pStyle w:val="30"/>
        <w:tabs>
          <w:tab w:val="right" w:leader="dot" w:pos="8504"/>
          <w:tab w:val="clear" w:pos="1050"/>
          <w:tab w:val="clear" w:pos="8494"/>
        </w:tabs>
      </w:pPr>
      <w:r>
        <w:rPr>
          <w:u w:val="none"/>
        </w:rPr>
        <w:fldChar w:fldCharType="begin"/>
      </w:r>
      <w:r>
        <w:instrText xml:space="preserve"> HYPERLINK \l _Toc16575 </w:instrText>
      </w:r>
      <w:r>
        <w:fldChar w:fldCharType="separate"/>
      </w:r>
      <w:r>
        <w:rPr>
          <w:rFonts w:hint="default" w:ascii="Times New Roman" w:hAnsi="Times New Roman" w:eastAsia="黑体"/>
          <w:i w:val="0"/>
        </w:rPr>
        <w:t xml:space="preserve">7.8 </w:t>
      </w:r>
      <w:r>
        <w:rPr>
          <w:rFonts w:hint="eastAsia"/>
        </w:rPr>
        <w:t>监测</w:t>
      </w:r>
      <w:r>
        <w:rPr>
          <w:rFonts w:hint="eastAsia"/>
          <w:lang w:eastAsia="zh-CN"/>
        </w:rPr>
        <w:t>报警预警</w:t>
      </w:r>
      <w:r>
        <w:rPr>
          <w:rFonts w:hint="eastAsia"/>
        </w:rPr>
        <w:t>数据</w:t>
      </w:r>
      <w:r>
        <w:tab/>
      </w:r>
      <w:r>
        <w:fldChar w:fldCharType="begin"/>
      </w:r>
      <w:r>
        <w:instrText xml:space="preserve"> PAGEREF _Toc16575 \h </w:instrText>
      </w:r>
      <w:r>
        <w:fldChar w:fldCharType="separate"/>
      </w:r>
      <w:r>
        <w:t>21</w:t>
      </w:r>
      <w:r>
        <w:fldChar w:fldCharType="end"/>
      </w:r>
      <w:r>
        <w:rPr>
          <w:u w:val="none"/>
        </w:rPr>
        <w:fldChar w:fldCharType="end"/>
      </w:r>
    </w:p>
    <w:p w14:paraId="7D3C3449">
      <w:pPr>
        <w:pStyle w:val="24"/>
        <w:tabs>
          <w:tab w:val="right" w:leader="dot" w:pos="8504"/>
          <w:tab w:val="clear" w:pos="420"/>
          <w:tab w:val="clear" w:pos="567"/>
          <w:tab w:val="clear" w:pos="8495"/>
        </w:tabs>
      </w:pPr>
      <w:r>
        <w:rPr>
          <w:u w:val="none"/>
        </w:rPr>
        <w:fldChar w:fldCharType="begin"/>
      </w:r>
      <w:r>
        <w:instrText xml:space="preserve"> HYPERLINK \l _Toc9946 </w:instrText>
      </w:r>
      <w:r>
        <w:fldChar w:fldCharType="separate"/>
      </w:r>
      <w:r>
        <w:rPr>
          <w:rFonts w:hint="default" w:ascii="Times New Roman" w:hAnsi="Times New Roman" w:eastAsia="黑体"/>
          <w:i w:val="0"/>
          <w:szCs w:val="21"/>
        </w:rPr>
        <w:t xml:space="preserve">8 </w:t>
      </w:r>
      <w:r>
        <w:rPr>
          <w:rFonts w:hint="eastAsia"/>
          <w:szCs w:val="21"/>
        </w:rPr>
        <w:t>监</w:t>
      </w:r>
      <w:r>
        <w:rPr>
          <w:rFonts w:hint="eastAsia"/>
          <w:szCs w:val="21"/>
          <w:lang w:val="en-US" w:eastAsia="zh-CN"/>
        </w:rPr>
        <w:t>测</w:t>
      </w:r>
      <w:r>
        <w:rPr>
          <w:rFonts w:hint="eastAsia"/>
          <w:szCs w:val="21"/>
        </w:rPr>
        <w:t>系统建设</w:t>
      </w:r>
      <w:r>
        <w:tab/>
      </w:r>
      <w:r>
        <w:fldChar w:fldCharType="begin"/>
      </w:r>
      <w:r>
        <w:instrText xml:space="preserve"> PAGEREF _Toc9946 \h </w:instrText>
      </w:r>
      <w:r>
        <w:fldChar w:fldCharType="separate"/>
      </w:r>
      <w:r>
        <w:t>21</w:t>
      </w:r>
      <w:r>
        <w:fldChar w:fldCharType="end"/>
      </w:r>
      <w:r>
        <w:rPr>
          <w:u w:val="none"/>
        </w:rPr>
        <w:fldChar w:fldCharType="end"/>
      </w:r>
    </w:p>
    <w:p w14:paraId="0BE6CFC6">
      <w:pPr>
        <w:pStyle w:val="30"/>
        <w:tabs>
          <w:tab w:val="right" w:leader="dot" w:pos="8504"/>
          <w:tab w:val="clear" w:pos="1050"/>
          <w:tab w:val="clear" w:pos="8494"/>
        </w:tabs>
      </w:pPr>
      <w:r>
        <w:rPr>
          <w:u w:val="none"/>
        </w:rPr>
        <w:fldChar w:fldCharType="begin"/>
      </w:r>
      <w:r>
        <w:instrText xml:space="preserve"> HYPERLINK \l _Toc18794 </w:instrText>
      </w:r>
      <w:r>
        <w:fldChar w:fldCharType="separate"/>
      </w:r>
      <w:r>
        <w:rPr>
          <w:rFonts w:hint="default" w:ascii="Times New Roman" w:hAnsi="Times New Roman" w:eastAsia="黑体"/>
          <w:i w:val="0"/>
        </w:rPr>
        <w:t xml:space="preserve">8.1 </w:t>
      </w:r>
      <w:r>
        <w:rPr>
          <w:rFonts w:hint="eastAsia"/>
          <w:lang w:eastAsia="zh-CN"/>
        </w:rPr>
        <w:t>一般要求</w:t>
      </w:r>
      <w:r>
        <w:tab/>
      </w:r>
      <w:r>
        <w:fldChar w:fldCharType="begin"/>
      </w:r>
      <w:r>
        <w:instrText xml:space="preserve"> PAGEREF _Toc18794 \h </w:instrText>
      </w:r>
      <w:r>
        <w:fldChar w:fldCharType="separate"/>
      </w:r>
      <w:r>
        <w:t>21</w:t>
      </w:r>
      <w:r>
        <w:fldChar w:fldCharType="end"/>
      </w:r>
      <w:r>
        <w:rPr>
          <w:u w:val="none"/>
        </w:rPr>
        <w:fldChar w:fldCharType="end"/>
      </w:r>
    </w:p>
    <w:p w14:paraId="7D16DFE1">
      <w:pPr>
        <w:pStyle w:val="30"/>
        <w:tabs>
          <w:tab w:val="right" w:leader="dot" w:pos="8504"/>
          <w:tab w:val="clear" w:pos="1050"/>
          <w:tab w:val="clear" w:pos="8494"/>
        </w:tabs>
      </w:pPr>
      <w:r>
        <w:rPr>
          <w:u w:val="none"/>
        </w:rPr>
        <w:fldChar w:fldCharType="begin"/>
      </w:r>
      <w:r>
        <w:instrText xml:space="preserve"> HYPERLINK \l _Toc9349 </w:instrText>
      </w:r>
      <w:r>
        <w:fldChar w:fldCharType="separate"/>
      </w:r>
      <w:r>
        <w:rPr>
          <w:rFonts w:hint="default" w:ascii="Times New Roman" w:hAnsi="Times New Roman" w:eastAsia="黑体"/>
          <w:i w:val="0"/>
        </w:rPr>
        <w:t xml:space="preserve">8.2 </w:t>
      </w:r>
      <w:r>
        <w:rPr>
          <w:rFonts w:hint="eastAsia"/>
        </w:rPr>
        <w:t>综合安全应用</w:t>
      </w:r>
      <w:r>
        <w:rPr>
          <w:rFonts w:hint="eastAsia"/>
          <w:lang w:val="en-US" w:eastAsia="zh-CN"/>
        </w:rPr>
        <w:t>系统</w:t>
      </w:r>
      <w:r>
        <w:tab/>
      </w:r>
      <w:r>
        <w:fldChar w:fldCharType="begin"/>
      </w:r>
      <w:r>
        <w:instrText xml:space="preserve"> PAGEREF _Toc9349 \h </w:instrText>
      </w:r>
      <w:r>
        <w:fldChar w:fldCharType="separate"/>
      </w:r>
      <w:r>
        <w:t>21</w:t>
      </w:r>
      <w:r>
        <w:fldChar w:fldCharType="end"/>
      </w:r>
      <w:r>
        <w:rPr>
          <w:u w:val="none"/>
        </w:rPr>
        <w:fldChar w:fldCharType="end"/>
      </w:r>
    </w:p>
    <w:p w14:paraId="151B3A4E">
      <w:pPr>
        <w:pStyle w:val="30"/>
        <w:tabs>
          <w:tab w:val="right" w:leader="dot" w:pos="8504"/>
          <w:tab w:val="clear" w:pos="1050"/>
          <w:tab w:val="clear" w:pos="8494"/>
        </w:tabs>
      </w:pPr>
      <w:r>
        <w:rPr>
          <w:u w:val="none"/>
        </w:rPr>
        <w:fldChar w:fldCharType="begin"/>
      </w:r>
      <w:r>
        <w:instrText xml:space="preserve"> HYPERLINK \l _Toc18050 </w:instrText>
      </w:r>
      <w:r>
        <w:fldChar w:fldCharType="separate"/>
      </w:r>
      <w:r>
        <w:rPr>
          <w:rFonts w:hint="default" w:ascii="Times New Roman" w:hAnsi="Times New Roman" w:eastAsia="黑体"/>
          <w:i w:val="0"/>
        </w:rPr>
        <w:t xml:space="preserve">8.3 </w:t>
      </w:r>
      <w:r>
        <w:rPr>
          <w:rFonts w:hint="eastAsia"/>
        </w:rPr>
        <w:t>专项</w:t>
      </w:r>
      <w:r>
        <w:rPr>
          <w:rFonts w:hint="default"/>
          <w:lang w:val="en-US"/>
        </w:rPr>
        <w:t>安全</w:t>
      </w:r>
      <w:r>
        <w:rPr>
          <w:rFonts w:hint="eastAsia"/>
          <w:lang w:val="en-US" w:eastAsia="zh-CN"/>
        </w:rPr>
        <w:t>场景</w:t>
      </w:r>
      <w:r>
        <w:rPr>
          <w:rFonts w:hint="eastAsia"/>
        </w:rPr>
        <w:t>应用</w:t>
      </w:r>
      <w:r>
        <w:rPr>
          <w:rFonts w:hint="eastAsia"/>
          <w:lang w:val="en-US" w:eastAsia="zh-CN"/>
        </w:rPr>
        <w:t>系统</w:t>
      </w:r>
      <w:r>
        <w:tab/>
      </w:r>
      <w:r>
        <w:fldChar w:fldCharType="begin"/>
      </w:r>
      <w:r>
        <w:instrText xml:space="preserve"> PAGEREF _Toc18050 \h </w:instrText>
      </w:r>
      <w:r>
        <w:fldChar w:fldCharType="separate"/>
      </w:r>
      <w:r>
        <w:t>22</w:t>
      </w:r>
      <w:r>
        <w:fldChar w:fldCharType="end"/>
      </w:r>
      <w:r>
        <w:rPr>
          <w:u w:val="none"/>
        </w:rPr>
        <w:fldChar w:fldCharType="end"/>
      </w:r>
    </w:p>
    <w:p w14:paraId="6C462C2E">
      <w:pPr>
        <w:pStyle w:val="24"/>
        <w:tabs>
          <w:tab w:val="right" w:leader="dot" w:pos="8504"/>
          <w:tab w:val="clear" w:pos="420"/>
          <w:tab w:val="clear" w:pos="567"/>
          <w:tab w:val="clear" w:pos="8495"/>
        </w:tabs>
      </w:pPr>
      <w:r>
        <w:rPr>
          <w:u w:val="none"/>
        </w:rPr>
        <w:fldChar w:fldCharType="begin"/>
      </w:r>
      <w:r>
        <w:instrText xml:space="preserve"> HYPERLINK \l _Toc5007 </w:instrText>
      </w:r>
      <w:r>
        <w:fldChar w:fldCharType="separate"/>
      </w:r>
      <w:r>
        <w:rPr>
          <w:rFonts w:hint="default" w:ascii="Times New Roman" w:hAnsi="Times New Roman" w:eastAsia="黑体"/>
          <w:i w:val="0"/>
          <w:szCs w:val="21"/>
        </w:rPr>
        <w:t xml:space="preserve">9 </w:t>
      </w:r>
      <w:r>
        <w:rPr>
          <w:rFonts w:hint="eastAsia"/>
          <w:szCs w:val="21"/>
        </w:rPr>
        <w:t>基础支撑系统建设</w:t>
      </w:r>
      <w:r>
        <w:tab/>
      </w:r>
      <w:r>
        <w:fldChar w:fldCharType="begin"/>
      </w:r>
      <w:r>
        <w:instrText xml:space="preserve"> PAGEREF _Toc5007 \h </w:instrText>
      </w:r>
      <w:r>
        <w:fldChar w:fldCharType="separate"/>
      </w:r>
      <w:r>
        <w:t>25</w:t>
      </w:r>
      <w:r>
        <w:fldChar w:fldCharType="end"/>
      </w:r>
      <w:r>
        <w:rPr>
          <w:u w:val="none"/>
        </w:rPr>
        <w:fldChar w:fldCharType="end"/>
      </w:r>
    </w:p>
    <w:p w14:paraId="5FCBA429">
      <w:pPr>
        <w:pStyle w:val="30"/>
        <w:tabs>
          <w:tab w:val="right" w:leader="dot" w:pos="8504"/>
          <w:tab w:val="clear" w:pos="1050"/>
          <w:tab w:val="clear" w:pos="8494"/>
        </w:tabs>
      </w:pPr>
      <w:r>
        <w:rPr>
          <w:u w:val="none"/>
        </w:rPr>
        <w:fldChar w:fldCharType="begin"/>
      </w:r>
      <w:r>
        <w:instrText xml:space="preserve"> HYPERLINK \l _Toc27785 </w:instrText>
      </w:r>
      <w:r>
        <w:fldChar w:fldCharType="separate"/>
      </w:r>
      <w:r>
        <w:rPr>
          <w:rFonts w:hint="default" w:ascii="Times New Roman" w:hAnsi="Times New Roman" w:eastAsia="黑体"/>
          <w:i w:val="0"/>
        </w:rPr>
        <w:t xml:space="preserve">9.1 </w:t>
      </w:r>
      <w:r>
        <w:rPr>
          <w:rFonts w:hint="eastAsia"/>
          <w:lang w:eastAsia="zh-CN"/>
        </w:rPr>
        <w:t>一般要求</w:t>
      </w:r>
      <w:r>
        <w:tab/>
      </w:r>
      <w:r>
        <w:fldChar w:fldCharType="begin"/>
      </w:r>
      <w:r>
        <w:instrText xml:space="preserve"> PAGEREF _Toc27785 \h </w:instrText>
      </w:r>
      <w:r>
        <w:fldChar w:fldCharType="separate"/>
      </w:r>
      <w:r>
        <w:t>25</w:t>
      </w:r>
      <w:r>
        <w:fldChar w:fldCharType="end"/>
      </w:r>
      <w:r>
        <w:rPr>
          <w:u w:val="none"/>
        </w:rPr>
        <w:fldChar w:fldCharType="end"/>
      </w:r>
    </w:p>
    <w:p w14:paraId="321D1D0D">
      <w:pPr>
        <w:pStyle w:val="30"/>
        <w:tabs>
          <w:tab w:val="right" w:leader="dot" w:pos="8504"/>
          <w:tab w:val="clear" w:pos="1050"/>
          <w:tab w:val="clear" w:pos="8494"/>
        </w:tabs>
      </w:pPr>
      <w:r>
        <w:rPr>
          <w:u w:val="none"/>
        </w:rPr>
        <w:fldChar w:fldCharType="begin"/>
      </w:r>
      <w:r>
        <w:instrText xml:space="preserve"> HYPERLINK \l _Toc21925 </w:instrText>
      </w:r>
      <w:r>
        <w:fldChar w:fldCharType="separate"/>
      </w:r>
      <w:r>
        <w:rPr>
          <w:rFonts w:hint="default" w:ascii="Times New Roman" w:hAnsi="Times New Roman" w:eastAsia="黑体"/>
          <w:i w:val="0"/>
        </w:rPr>
        <w:t xml:space="preserve">9.2 </w:t>
      </w:r>
      <w:r>
        <w:rPr>
          <w:rFonts w:hint="eastAsia"/>
        </w:rPr>
        <w:t>技术支撑底座</w:t>
      </w:r>
      <w:r>
        <w:tab/>
      </w:r>
      <w:r>
        <w:fldChar w:fldCharType="begin"/>
      </w:r>
      <w:r>
        <w:instrText xml:space="preserve"> PAGEREF _Toc21925 \h </w:instrText>
      </w:r>
      <w:r>
        <w:fldChar w:fldCharType="separate"/>
      </w:r>
      <w:r>
        <w:t>26</w:t>
      </w:r>
      <w:r>
        <w:fldChar w:fldCharType="end"/>
      </w:r>
      <w:r>
        <w:rPr>
          <w:u w:val="none"/>
        </w:rPr>
        <w:fldChar w:fldCharType="end"/>
      </w:r>
    </w:p>
    <w:p w14:paraId="1332B351">
      <w:pPr>
        <w:pStyle w:val="30"/>
        <w:tabs>
          <w:tab w:val="right" w:leader="dot" w:pos="8504"/>
          <w:tab w:val="clear" w:pos="1050"/>
          <w:tab w:val="clear" w:pos="8494"/>
        </w:tabs>
      </w:pPr>
      <w:r>
        <w:rPr>
          <w:u w:val="none"/>
        </w:rPr>
        <w:fldChar w:fldCharType="begin"/>
      </w:r>
      <w:r>
        <w:instrText xml:space="preserve"> HYPERLINK \l _Toc24807 </w:instrText>
      </w:r>
      <w:r>
        <w:fldChar w:fldCharType="separate"/>
      </w:r>
      <w:r>
        <w:rPr>
          <w:rFonts w:hint="default" w:ascii="Times New Roman" w:hAnsi="Times New Roman" w:eastAsia="黑体"/>
          <w:i w:val="0"/>
        </w:rPr>
        <w:t xml:space="preserve">9.3 </w:t>
      </w:r>
      <w:r>
        <w:rPr>
          <w:rFonts w:hint="eastAsia"/>
        </w:rPr>
        <w:t>基础运行环境</w:t>
      </w:r>
      <w:r>
        <w:tab/>
      </w:r>
      <w:r>
        <w:fldChar w:fldCharType="begin"/>
      </w:r>
      <w:r>
        <w:instrText xml:space="preserve"> PAGEREF _Toc24807 \h </w:instrText>
      </w:r>
      <w:r>
        <w:fldChar w:fldCharType="separate"/>
      </w:r>
      <w:r>
        <w:t>26</w:t>
      </w:r>
      <w:r>
        <w:fldChar w:fldCharType="end"/>
      </w:r>
      <w:r>
        <w:rPr>
          <w:u w:val="none"/>
        </w:rPr>
        <w:fldChar w:fldCharType="end"/>
      </w:r>
    </w:p>
    <w:p w14:paraId="199584AA">
      <w:pPr>
        <w:pStyle w:val="30"/>
        <w:tabs>
          <w:tab w:val="right" w:leader="dot" w:pos="8504"/>
          <w:tab w:val="clear" w:pos="1050"/>
          <w:tab w:val="clear" w:pos="8494"/>
        </w:tabs>
      </w:pPr>
      <w:r>
        <w:rPr>
          <w:u w:val="none"/>
        </w:rPr>
        <w:fldChar w:fldCharType="begin"/>
      </w:r>
      <w:r>
        <w:instrText xml:space="preserve"> HYPERLINK \l _Toc17234 </w:instrText>
      </w:r>
      <w:r>
        <w:fldChar w:fldCharType="separate"/>
      </w:r>
      <w:r>
        <w:rPr>
          <w:rFonts w:hint="default" w:ascii="Times New Roman" w:hAnsi="Times New Roman" w:eastAsia="黑体"/>
          <w:i w:val="0"/>
        </w:rPr>
        <w:t xml:space="preserve">9.4 </w:t>
      </w:r>
      <w:r>
        <w:rPr>
          <w:rFonts w:hint="eastAsia"/>
        </w:rPr>
        <w:t>数据采集、传输与存储</w:t>
      </w:r>
      <w:r>
        <w:tab/>
      </w:r>
      <w:r>
        <w:fldChar w:fldCharType="begin"/>
      </w:r>
      <w:r>
        <w:instrText xml:space="preserve"> PAGEREF _Toc17234 \h </w:instrText>
      </w:r>
      <w:r>
        <w:fldChar w:fldCharType="separate"/>
      </w:r>
      <w:r>
        <w:t>26</w:t>
      </w:r>
      <w:r>
        <w:fldChar w:fldCharType="end"/>
      </w:r>
      <w:r>
        <w:rPr>
          <w:u w:val="none"/>
        </w:rPr>
        <w:fldChar w:fldCharType="end"/>
      </w:r>
    </w:p>
    <w:p w14:paraId="2D0B30D4">
      <w:pPr>
        <w:pStyle w:val="30"/>
        <w:tabs>
          <w:tab w:val="right" w:leader="dot" w:pos="8504"/>
          <w:tab w:val="clear" w:pos="1050"/>
          <w:tab w:val="clear" w:pos="8494"/>
        </w:tabs>
      </w:pPr>
      <w:r>
        <w:rPr>
          <w:u w:val="none"/>
        </w:rPr>
        <w:fldChar w:fldCharType="begin"/>
      </w:r>
      <w:r>
        <w:instrText xml:space="preserve"> HYPERLINK \l _Toc18352 </w:instrText>
      </w:r>
      <w:r>
        <w:fldChar w:fldCharType="separate"/>
      </w:r>
      <w:r>
        <w:rPr>
          <w:rFonts w:hint="default" w:ascii="Times New Roman" w:hAnsi="Times New Roman" w:eastAsia="黑体"/>
          <w:i w:val="0"/>
        </w:rPr>
        <w:t xml:space="preserve">9.5 </w:t>
      </w:r>
      <w:r>
        <w:rPr>
          <w:rFonts w:hint="eastAsia"/>
        </w:rPr>
        <w:t>数据接口服务</w:t>
      </w:r>
      <w:r>
        <w:tab/>
      </w:r>
      <w:r>
        <w:fldChar w:fldCharType="begin"/>
      </w:r>
      <w:r>
        <w:instrText xml:space="preserve"> PAGEREF _Toc18352 \h </w:instrText>
      </w:r>
      <w:r>
        <w:fldChar w:fldCharType="separate"/>
      </w:r>
      <w:r>
        <w:t>27</w:t>
      </w:r>
      <w:r>
        <w:fldChar w:fldCharType="end"/>
      </w:r>
      <w:r>
        <w:rPr>
          <w:u w:val="none"/>
        </w:rPr>
        <w:fldChar w:fldCharType="end"/>
      </w:r>
    </w:p>
    <w:p w14:paraId="582C3C6E">
      <w:pPr>
        <w:pStyle w:val="30"/>
        <w:tabs>
          <w:tab w:val="right" w:leader="dot" w:pos="8504"/>
          <w:tab w:val="clear" w:pos="1050"/>
          <w:tab w:val="clear" w:pos="8494"/>
        </w:tabs>
      </w:pPr>
      <w:r>
        <w:rPr>
          <w:u w:val="none"/>
        </w:rPr>
        <w:fldChar w:fldCharType="begin"/>
      </w:r>
      <w:r>
        <w:instrText xml:space="preserve"> HYPERLINK \l _Toc20263 </w:instrText>
      </w:r>
      <w:r>
        <w:fldChar w:fldCharType="separate"/>
      </w:r>
      <w:r>
        <w:rPr>
          <w:rFonts w:hint="default" w:ascii="Times New Roman" w:hAnsi="Times New Roman" w:eastAsia="黑体"/>
          <w:i w:val="0"/>
        </w:rPr>
        <w:t xml:space="preserve">9.6 </w:t>
      </w:r>
      <w:r>
        <w:rPr>
          <w:rFonts w:hint="eastAsia"/>
        </w:rPr>
        <w:t>系统性能要求</w:t>
      </w:r>
      <w:r>
        <w:tab/>
      </w:r>
      <w:r>
        <w:fldChar w:fldCharType="begin"/>
      </w:r>
      <w:r>
        <w:instrText xml:space="preserve"> PAGEREF _Toc20263 \h </w:instrText>
      </w:r>
      <w:r>
        <w:fldChar w:fldCharType="separate"/>
      </w:r>
      <w:r>
        <w:t>27</w:t>
      </w:r>
      <w:r>
        <w:fldChar w:fldCharType="end"/>
      </w:r>
      <w:r>
        <w:rPr>
          <w:u w:val="none"/>
        </w:rPr>
        <w:fldChar w:fldCharType="end"/>
      </w:r>
    </w:p>
    <w:p w14:paraId="7EFB1B3A">
      <w:pPr>
        <w:pStyle w:val="24"/>
        <w:tabs>
          <w:tab w:val="right" w:leader="dot" w:pos="8504"/>
          <w:tab w:val="clear" w:pos="420"/>
          <w:tab w:val="clear" w:pos="567"/>
          <w:tab w:val="clear" w:pos="8495"/>
        </w:tabs>
      </w:pPr>
      <w:r>
        <w:rPr>
          <w:u w:val="none"/>
        </w:rPr>
        <w:fldChar w:fldCharType="begin"/>
      </w:r>
      <w:r>
        <w:instrText xml:space="preserve"> HYPERLINK \l _Toc29884 </w:instrText>
      </w:r>
      <w:r>
        <w:fldChar w:fldCharType="separate"/>
      </w:r>
      <w:r>
        <w:rPr>
          <w:rFonts w:hint="default" w:ascii="Times New Roman" w:hAnsi="Times New Roman" w:eastAsia="黑体"/>
          <w:i w:val="0"/>
          <w:szCs w:val="21"/>
        </w:rPr>
        <w:t xml:space="preserve">10 </w:t>
      </w:r>
      <w:r>
        <w:rPr>
          <w:rFonts w:hint="eastAsia"/>
          <w:szCs w:val="21"/>
        </w:rPr>
        <w:t>监测中心建设</w:t>
      </w:r>
      <w:r>
        <w:tab/>
      </w:r>
      <w:r>
        <w:fldChar w:fldCharType="begin"/>
      </w:r>
      <w:r>
        <w:instrText xml:space="preserve"> PAGEREF _Toc29884 \h </w:instrText>
      </w:r>
      <w:r>
        <w:fldChar w:fldCharType="separate"/>
      </w:r>
      <w:r>
        <w:t>27</w:t>
      </w:r>
      <w:r>
        <w:fldChar w:fldCharType="end"/>
      </w:r>
      <w:r>
        <w:rPr>
          <w:u w:val="none"/>
        </w:rPr>
        <w:fldChar w:fldCharType="end"/>
      </w:r>
    </w:p>
    <w:p w14:paraId="5CAEC3E9">
      <w:pPr>
        <w:pStyle w:val="30"/>
        <w:tabs>
          <w:tab w:val="right" w:leader="dot" w:pos="8504"/>
          <w:tab w:val="clear" w:pos="1050"/>
          <w:tab w:val="clear" w:pos="8494"/>
        </w:tabs>
      </w:pPr>
      <w:r>
        <w:rPr>
          <w:u w:val="none"/>
        </w:rPr>
        <w:fldChar w:fldCharType="begin"/>
      </w:r>
      <w:r>
        <w:instrText xml:space="preserve"> HYPERLINK \l _Toc8964 </w:instrText>
      </w:r>
      <w:r>
        <w:fldChar w:fldCharType="separate"/>
      </w:r>
      <w:r>
        <w:rPr>
          <w:rFonts w:hint="default" w:ascii="Times New Roman" w:hAnsi="Times New Roman" w:eastAsia="黑体"/>
          <w:i w:val="0"/>
        </w:rPr>
        <w:t xml:space="preserve">10.1 </w:t>
      </w:r>
      <w:r>
        <w:rPr>
          <w:rFonts w:hint="eastAsia"/>
          <w:lang w:eastAsia="zh-CN"/>
        </w:rPr>
        <w:t>一般要求</w:t>
      </w:r>
      <w:r>
        <w:tab/>
      </w:r>
      <w:r>
        <w:fldChar w:fldCharType="begin"/>
      </w:r>
      <w:r>
        <w:instrText xml:space="preserve"> PAGEREF _Toc8964 \h </w:instrText>
      </w:r>
      <w:r>
        <w:fldChar w:fldCharType="separate"/>
      </w:r>
      <w:r>
        <w:t>27</w:t>
      </w:r>
      <w:r>
        <w:fldChar w:fldCharType="end"/>
      </w:r>
      <w:r>
        <w:rPr>
          <w:u w:val="none"/>
        </w:rPr>
        <w:fldChar w:fldCharType="end"/>
      </w:r>
    </w:p>
    <w:p w14:paraId="5677E523">
      <w:pPr>
        <w:pStyle w:val="30"/>
        <w:tabs>
          <w:tab w:val="right" w:leader="dot" w:pos="8504"/>
          <w:tab w:val="clear" w:pos="1050"/>
          <w:tab w:val="clear" w:pos="8494"/>
        </w:tabs>
      </w:pPr>
      <w:r>
        <w:rPr>
          <w:u w:val="none"/>
        </w:rPr>
        <w:fldChar w:fldCharType="begin"/>
      </w:r>
      <w:r>
        <w:instrText xml:space="preserve"> HYPERLINK \l _Toc579 </w:instrText>
      </w:r>
      <w:r>
        <w:fldChar w:fldCharType="separate"/>
      </w:r>
      <w:r>
        <w:rPr>
          <w:rFonts w:hint="default" w:ascii="Times New Roman" w:hAnsi="Times New Roman" w:eastAsia="黑体"/>
          <w:i w:val="0"/>
        </w:rPr>
        <w:t xml:space="preserve">10.2 </w:t>
      </w:r>
      <w:r>
        <w:rPr>
          <w:rFonts w:hint="eastAsia"/>
        </w:rPr>
        <w:t>运营场所要求</w:t>
      </w:r>
      <w:r>
        <w:tab/>
      </w:r>
      <w:r>
        <w:fldChar w:fldCharType="begin"/>
      </w:r>
      <w:r>
        <w:instrText xml:space="preserve"> PAGEREF _Toc579 \h </w:instrText>
      </w:r>
      <w:r>
        <w:fldChar w:fldCharType="separate"/>
      </w:r>
      <w:r>
        <w:t>28</w:t>
      </w:r>
      <w:r>
        <w:fldChar w:fldCharType="end"/>
      </w:r>
      <w:r>
        <w:rPr>
          <w:u w:val="none"/>
        </w:rPr>
        <w:fldChar w:fldCharType="end"/>
      </w:r>
    </w:p>
    <w:p w14:paraId="30013963">
      <w:pPr>
        <w:pStyle w:val="30"/>
        <w:tabs>
          <w:tab w:val="right" w:leader="dot" w:pos="8504"/>
          <w:tab w:val="clear" w:pos="1050"/>
          <w:tab w:val="clear" w:pos="8494"/>
        </w:tabs>
      </w:pPr>
      <w:r>
        <w:rPr>
          <w:u w:val="none"/>
        </w:rPr>
        <w:fldChar w:fldCharType="begin"/>
      </w:r>
      <w:r>
        <w:instrText xml:space="preserve"> HYPERLINK \l _Toc4272 </w:instrText>
      </w:r>
      <w:r>
        <w:fldChar w:fldCharType="separate"/>
      </w:r>
      <w:r>
        <w:rPr>
          <w:rFonts w:hint="default" w:ascii="Times New Roman" w:hAnsi="Times New Roman" w:eastAsia="黑体"/>
          <w:i w:val="0"/>
        </w:rPr>
        <w:t xml:space="preserve">10.3 </w:t>
      </w:r>
      <w:r>
        <w:rPr>
          <w:rFonts w:hint="eastAsia"/>
        </w:rPr>
        <w:t>人员配备要求</w:t>
      </w:r>
      <w:r>
        <w:tab/>
      </w:r>
      <w:r>
        <w:fldChar w:fldCharType="begin"/>
      </w:r>
      <w:r>
        <w:instrText xml:space="preserve"> PAGEREF _Toc4272 \h </w:instrText>
      </w:r>
      <w:r>
        <w:fldChar w:fldCharType="separate"/>
      </w:r>
      <w:r>
        <w:t>28</w:t>
      </w:r>
      <w:r>
        <w:fldChar w:fldCharType="end"/>
      </w:r>
      <w:r>
        <w:rPr>
          <w:u w:val="none"/>
        </w:rPr>
        <w:fldChar w:fldCharType="end"/>
      </w:r>
    </w:p>
    <w:p w14:paraId="72C15817">
      <w:pPr>
        <w:pStyle w:val="24"/>
        <w:tabs>
          <w:tab w:val="right" w:leader="dot" w:pos="8504"/>
          <w:tab w:val="clear" w:pos="420"/>
          <w:tab w:val="clear" w:pos="567"/>
          <w:tab w:val="clear" w:pos="8495"/>
        </w:tabs>
      </w:pPr>
      <w:r>
        <w:rPr>
          <w:u w:val="none"/>
        </w:rPr>
        <w:fldChar w:fldCharType="begin"/>
      </w:r>
      <w:r>
        <w:instrText xml:space="preserve"> HYPERLINK \l _Toc24990 </w:instrText>
      </w:r>
      <w:r>
        <w:fldChar w:fldCharType="separate"/>
      </w:r>
      <w:r>
        <w:rPr>
          <w:rFonts w:hint="default" w:ascii="Times New Roman" w:hAnsi="Times New Roman" w:eastAsia="黑体"/>
          <w:i w:val="0"/>
          <w:szCs w:val="21"/>
        </w:rPr>
        <w:t xml:space="preserve">11 </w:t>
      </w:r>
      <w:r>
        <w:rPr>
          <w:rFonts w:hint="eastAsia"/>
          <w:szCs w:val="21"/>
        </w:rPr>
        <w:t>运行、维护</w:t>
      </w:r>
      <w:r>
        <w:tab/>
      </w:r>
      <w:r>
        <w:fldChar w:fldCharType="begin"/>
      </w:r>
      <w:r>
        <w:instrText xml:space="preserve"> PAGEREF _Toc24990 \h </w:instrText>
      </w:r>
      <w:r>
        <w:fldChar w:fldCharType="separate"/>
      </w:r>
      <w:r>
        <w:t>29</w:t>
      </w:r>
      <w:r>
        <w:fldChar w:fldCharType="end"/>
      </w:r>
      <w:r>
        <w:rPr>
          <w:u w:val="none"/>
        </w:rPr>
        <w:fldChar w:fldCharType="end"/>
      </w:r>
    </w:p>
    <w:p w14:paraId="3B92555A">
      <w:pPr>
        <w:pStyle w:val="30"/>
        <w:tabs>
          <w:tab w:val="right" w:leader="dot" w:pos="8504"/>
          <w:tab w:val="clear" w:pos="1050"/>
          <w:tab w:val="clear" w:pos="8494"/>
        </w:tabs>
      </w:pPr>
      <w:r>
        <w:rPr>
          <w:u w:val="none"/>
        </w:rPr>
        <w:fldChar w:fldCharType="begin"/>
      </w:r>
      <w:r>
        <w:instrText xml:space="preserve"> HYPERLINK \l _Toc14369 </w:instrText>
      </w:r>
      <w:r>
        <w:fldChar w:fldCharType="separate"/>
      </w:r>
      <w:r>
        <w:rPr>
          <w:rFonts w:hint="default" w:ascii="Times New Roman" w:hAnsi="Times New Roman" w:eastAsia="黑体"/>
          <w:i w:val="0"/>
        </w:rPr>
        <w:t xml:space="preserve">11.1 </w:t>
      </w:r>
      <w:r>
        <w:rPr>
          <w:rFonts w:hint="eastAsia"/>
          <w:lang w:eastAsia="zh-CN"/>
        </w:rPr>
        <w:t>一般要求</w:t>
      </w:r>
      <w:r>
        <w:tab/>
      </w:r>
      <w:r>
        <w:fldChar w:fldCharType="begin"/>
      </w:r>
      <w:r>
        <w:instrText xml:space="preserve"> PAGEREF _Toc14369 \h </w:instrText>
      </w:r>
      <w:r>
        <w:fldChar w:fldCharType="separate"/>
      </w:r>
      <w:r>
        <w:t>29</w:t>
      </w:r>
      <w:r>
        <w:fldChar w:fldCharType="end"/>
      </w:r>
      <w:r>
        <w:rPr>
          <w:u w:val="none"/>
        </w:rPr>
        <w:fldChar w:fldCharType="end"/>
      </w:r>
    </w:p>
    <w:p w14:paraId="1E9D5A5E">
      <w:pPr>
        <w:pStyle w:val="30"/>
        <w:tabs>
          <w:tab w:val="right" w:leader="dot" w:pos="8504"/>
          <w:tab w:val="clear" w:pos="1050"/>
          <w:tab w:val="clear" w:pos="8494"/>
        </w:tabs>
      </w:pPr>
      <w:r>
        <w:rPr>
          <w:u w:val="none"/>
        </w:rPr>
        <w:fldChar w:fldCharType="begin"/>
      </w:r>
      <w:r>
        <w:instrText xml:space="preserve"> HYPERLINK \l _Toc24291 </w:instrText>
      </w:r>
      <w:r>
        <w:fldChar w:fldCharType="separate"/>
      </w:r>
      <w:r>
        <w:rPr>
          <w:rFonts w:hint="default" w:ascii="Times New Roman" w:hAnsi="Times New Roman" w:eastAsia="黑体"/>
          <w:i w:val="0"/>
        </w:rPr>
        <w:t xml:space="preserve">11.2 </w:t>
      </w:r>
      <w:r>
        <w:rPr>
          <w:rFonts w:hint="eastAsia"/>
        </w:rPr>
        <w:t>设备管理</w:t>
      </w:r>
      <w:r>
        <w:tab/>
      </w:r>
      <w:r>
        <w:fldChar w:fldCharType="begin"/>
      </w:r>
      <w:r>
        <w:instrText xml:space="preserve"> PAGEREF _Toc24291 \h </w:instrText>
      </w:r>
      <w:r>
        <w:fldChar w:fldCharType="separate"/>
      </w:r>
      <w:r>
        <w:t>29</w:t>
      </w:r>
      <w:r>
        <w:fldChar w:fldCharType="end"/>
      </w:r>
      <w:r>
        <w:rPr>
          <w:u w:val="none"/>
        </w:rPr>
        <w:fldChar w:fldCharType="end"/>
      </w:r>
    </w:p>
    <w:p w14:paraId="491A99E0">
      <w:pPr>
        <w:pStyle w:val="30"/>
        <w:tabs>
          <w:tab w:val="right" w:leader="dot" w:pos="8504"/>
          <w:tab w:val="clear" w:pos="1050"/>
          <w:tab w:val="clear" w:pos="8494"/>
        </w:tabs>
      </w:pPr>
      <w:r>
        <w:rPr>
          <w:u w:val="none"/>
        </w:rPr>
        <w:fldChar w:fldCharType="begin"/>
      </w:r>
      <w:r>
        <w:instrText xml:space="preserve"> HYPERLINK \l _Toc6440 </w:instrText>
      </w:r>
      <w:r>
        <w:fldChar w:fldCharType="separate"/>
      </w:r>
      <w:r>
        <w:rPr>
          <w:rFonts w:hint="default" w:ascii="Times New Roman" w:hAnsi="Times New Roman" w:eastAsia="黑体"/>
          <w:i w:val="0"/>
        </w:rPr>
        <w:t xml:space="preserve">11.3 </w:t>
      </w:r>
      <w:r>
        <w:rPr>
          <w:rFonts w:hint="eastAsia"/>
        </w:rPr>
        <w:t>巡检巡查</w:t>
      </w:r>
      <w:r>
        <w:tab/>
      </w:r>
      <w:r>
        <w:fldChar w:fldCharType="begin"/>
      </w:r>
      <w:r>
        <w:instrText xml:space="preserve"> PAGEREF _Toc6440 \h </w:instrText>
      </w:r>
      <w:r>
        <w:fldChar w:fldCharType="separate"/>
      </w:r>
      <w:r>
        <w:t>29</w:t>
      </w:r>
      <w:r>
        <w:fldChar w:fldCharType="end"/>
      </w:r>
      <w:r>
        <w:rPr>
          <w:u w:val="none"/>
        </w:rPr>
        <w:fldChar w:fldCharType="end"/>
      </w:r>
    </w:p>
    <w:p w14:paraId="3A011829">
      <w:pPr>
        <w:pStyle w:val="30"/>
        <w:tabs>
          <w:tab w:val="right" w:leader="dot" w:pos="8504"/>
          <w:tab w:val="clear" w:pos="1050"/>
          <w:tab w:val="clear" w:pos="8494"/>
        </w:tabs>
      </w:pPr>
      <w:r>
        <w:rPr>
          <w:u w:val="none"/>
        </w:rPr>
        <w:fldChar w:fldCharType="begin"/>
      </w:r>
      <w:r>
        <w:instrText xml:space="preserve"> HYPERLINK \l _Toc5740 </w:instrText>
      </w:r>
      <w:r>
        <w:fldChar w:fldCharType="separate"/>
      </w:r>
      <w:r>
        <w:rPr>
          <w:rFonts w:hint="default" w:ascii="Times New Roman" w:hAnsi="Times New Roman" w:eastAsia="黑体"/>
          <w:i w:val="0"/>
        </w:rPr>
        <w:t xml:space="preserve">11.4 </w:t>
      </w:r>
      <w:r>
        <w:rPr>
          <w:rFonts w:hint="eastAsia"/>
          <w:lang w:eastAsia="zh-CN"/>
        </w:rPr>
        <w:t>风险隐患管控</w:t>
      </w:r>
      <w:r>
        <w:tab/>
      </w:r>
      <w:r>
        <w:fldChar w:fldCharType="begin"/>
      </w:r>
      <w:r>
        <w:instrText xml:space="preserve"> PAGEREF _Toc5740 \h </w:instrText>
      </w:r>
      <w:r>
        <w:fldChar w:fldCharType="separate"/>
      </w:r>
      <w:r>
        <w:t>29</w:t>
      </w:r>
      <w:r>
        <w:fldChar w:fldCharType="end"/>
      </w:r>
      <w:r>
        <w:rPr>
          <w:u w:val="none"/>
        </w:rPr>
        <w:fldChar w:fldCharType="end"/>
      </w:r>
    </w:p>
    <w:p w14:paraId="3241BA95">
      <w:pPr>
        <w:pStyle w:val="30"/>
        <w:tabs>
          <w:tab w:val="right" w:leader="dot" w:pos="8504"/>
          <w:tab w:val="clear" w:pos="1050"/>
          <w:tab w:val="clear" w:pos="8494"/>
        </w:tabs>
      </w:pPr>
      <w:r>
        <w:rPr>
          <w:u w:val="none"/>
        </w:rPr>
        <w:fldChar w:fldCharType="begin"/>
      </w:r>
      <w:r>
        <w:instrText xml:space="preserve"> HYPERLINK \l _Toc13147 </w:instrText>
      </w:r>
      <w:r>
        <w:fldChar w:fldCharType="separate"/>
      </w:r>
      <w:r>
        <w:rPr>
          <w:rFonts w:hint="default" w:ascii="Times New Roman" w:hAnsi="Times New Roman" w:eastAsia="黑体"/>
          <w:i w:val="0"/>
        </w:rPr>
        <w:t xml:space="preserve">11.5 </w:t>
      </w:r>
      <w:r>
        <w:rPr>
          <w:rFonts w:hint="eastAsia"/>
        </w:rPr>
        <w:t>报警管理</w:t>
      </w:r>
      <w:r>
        <w:tab/>
      </w:r>
      <w:r>
        <w:fldChar w:fldCharType="begin"/>
      </w:r>
      <w:r>
        <w:instrText xml:space="preserve"> PAGEREF _Toc13147 \h </w:instrText>
      </w:r>
      <w:r>
        <w:fldChar w:fldCharType="separate"/>
      </w:r>
      <w:r>
        <w:t>29</w:t>
      </w:r>
      <w:r>
        <w:fldChar w:fldCharType="end"/>
      </w:r>
      <w:r>
        <w:rPr>
          <w:u w:val="none"/>
        </w:rPr>
        <w:fldChar w:fldCharType="end"/>
      </w:r>
    </w:p>
    <w:p w14:paraId="6D8256A5">
      <w:pPr>
        <w:pStyle w:val="30"/>
        <w:tabs>
          <w:tab w:val="right" w:leader="dot" w:pos="8504"/>
          <w:tab w:val="clear" w:pos="1050"/>
          <w:tab w:val="clear" w:pos="8494"/>
        </w:tabs>
      </w:pPr>
      <w:r>
        <w:rPr>
          <w:u w:val="none"/>
        </w:rPr>
        <w:fldChar w:fldCharType="begin"/>
      </w:r>
      <w:r>
        <w:instrText xml:space="preserve"> HYPERLINK \l _Toc5002 </w:instrText>
      </w:r>
      <w:r>
        <w:fldChar w:fldCharType="separate"/>
      </w:r>
      <w:r>
        <w:rPr>
          <w:rFonts w:hint="default" w:ascii="Times New Roman" w:hAnsi="Times New Roman" w:eastAsia="黑体"/>
          <w:i w:val="0"/>
        </w:rPr>
        <w:t xml:space="preserve">11.6 </w:t>
      </w:r>
      <w:r>
        <w:rPr>
          <w:rFonts w:hint="eastAsia"/>
        </w:rPr>
        <w:t>预警管理</w:t>
      </w:r>
      <w:r>
        <w:tab/>
      </w:r>
      <w:r>
        <w:fldChar w:fldCharType="begin"/>
      </w:r>
      <w:r>
        <w:instrText xml:space="preserve"> PAGEREF _Toc5002 \h </w:instrText>
      </w:r>
      <w:r>
        <w:fldChar w:fldCharType="separate"/>
      </w:r>
      <w:r>
        <w:t>29</w:t>
      </w:r>
      <w:r>
        <w:fldChar w:fldCharType="end"/>
      </w:r>
      <w:r>
        <w:rPr>
          <w:u w:val="none"/>
        </w:rPr>
        <w:fldChar w:fldCharType="end"/>
      </w:r>
    </w:p>
    <w:p w14:paraId="048930C5">
      <w:pPr>
        <w:pStyle w:val="30"/>
        <w:tabs>
          <w:tab w:val="right" w:leader="dot" w:pos="8504"/>
          <w:tab w:val="clear" w:pos="1050"/>
          <w:tab w:val="clear" w:pos="8494"/>
        </w:tabs>
      </w:pPr>
      <w:r>
        <w:rPr>
          <w:u w:val="none"/>
        </w:rPr>
        <w:fldChar w:fldCharType="begin"/>
      </w:r>
      <w:r>
        <w:instrText xml:space="preserve"> HYPERLINK \l _Toc11894 </w:instrText>
      </w:r>
      <w:r>
        <w:fldChar w:fldCharType="separate"/>
      </w:r>
      <w:r>
        <w:rPr>
          <w:rFonts w:hint="default" w:ascii="Times New Roman" w:hAnsi="Times New Roman" w:eastAsia="黑体"/>
          <w:i w:val="0"/>
        </w:rPr>
        <w:t xml:space="preserve">11.7 </w:t>
      </w:r>
      <w:r>
        <w:rPr>
          <w:rFonts w:hint="eastAsia"/>
        </w:rPr>
        <w:t>数据管理</w:t>
      </w:r>
      <w:r>
        <w:tab/>
      </w:r>
      <w:r>
        <w:fldChar w:fldCharType="begin"/>
      </w:r>
      <w:r>
        <w:instrText xml:space="preserve"> PAGEREF _Toc11894 \h </w:instrText>
      </w:r>
      <w:r>
        <w:fldChar w:fldCharType="separate"/>
      </w:r>
      <w:r>
        <w:t>32</w:t>
      </w:r>
      <w:r>
        <w:fldChar w:fldCharType="end"/>
      </w:r>
      <w:r>
        <w:rPr>
          <w:u w:val="none"/>
        </w:rPr>
        <w:fldChar w:fldCharType="end"/>
      </w:r>
    </w:p>
    <w:p w14:paraId="5BC827F8">
      <w:pPr>
        <w:pStyle w:val="30"/>
        <w:tabs>
          <w:tab w:val="right" w:leader="dot" w:pos="8504"/>
          <w:tab w:val="clear" w:pos="1050"/>
          <w:tab w:val="clear" w:pos="8494"/>
        </w:tabs>
      </w:pPr>
      <w:r>
        <w:rPr>
          <w:u w:val="none"/>
        </w:rPr>
        <w:fldChar w:fldCharType="begin"/>
      </w:r>
      <w:r>
        <w:instrText xml:space="preserve"> HYPERLINK \l _Toc18939 </w:instrText>
      </w:r>
      <w:r>
        <w:fldChar w:fldCharType="separate"/>
      </w:r>
      <w:r>
        <w:rPr>
          <w:rFonts w:hint="default" w:ascii="Times New Roman" w:hAnsi="Times New Roman" w:eastAsia="黑体"/>
          <w:i w:val="0"/>
        </w:rPr>
        <w:t xml:space="preserve">11.8 </w:t>
      </w:r>
      <w:r>
        <w:rPr>
          <w:rFonts w:hint="eastAsia"/>
        </w:rPr>
        <w:t>定期报告</w:t>
      </w:r>
      <w:r>
        <w:tab/>
      </w:r>
      <w:r>
        <w:fldChar w:fldCharType="begin"/>
      </w:r>
      <w:r>
        <w:instrText xml:space="preserve"> PAGEREF _Toc18939 \h </w:instrText>
      </w:r>
      <w:r>
        <w:fldChar w:fldCharType="separate"/>
      </w:r>
      <w:r>
        <w:t>33</w:t>
      </w:r>
      <w:r>
        <w:fldChar w:fldCharType="end"/>
      </w:r>
      <w:r>
        <w:rPr>
          <w:u w:val="none"/>
        </w:rPr>
        <w:fldChar w:fldCharType="end"/>
      </w:r>
    </w:p>
    <w:p w14:paraId="4472B1CC">
      <w:pPr>
        <w:pStyle w:val="24"/>
        <w:tabs>
          <w:tab w:val="right" w:leader="dot" w:pos="8504"/>
          <w:tab w:val="clear" w:pos="420"/>
          <w:tab w:val="clear" w:pos="567"/>
          <w:tab w:val="clear" w:pos="8495"/>
        </w:tabs>
      </w:pPr>
      <w:r>
        <w:rPr>
          <w:u w:val="none"/>
        </w:rPr>
        <w:fldChar w:fldCharType="begin"/>
      </w:r>
      <w:r>
        <w:instrText xml:space="preserve"> HYPERLINK \l _Toc5762 </w:instrText>
      </w:r>
      <w:r>
        <w:fldChar w:fldCharType="separate"/>
      </w:r>
      <w:r>
        <w:rPr>
          <w:rFonts w:hint="default" w:ascii="Times New Roman" w:hAnsi="Times New Roman" w:eastAsia="黑体"/>
          <w:i w:val="0"/>
          <w:szCs w:val="21"/>
        </w:rPr>
        <w:t xml:space="preserve">12 </w:t>
      </w:r>
      <w:r>
        <w:rPr>
          <w:rFonts w:hint="eastAsia"/>
          <w:szCs w:val="21"/>
        </w:rPr>
        <w:t>验收</w:t>
      </w:r>
      <w:r>
        <w:tab/>
      </w:r>
      <w:r>
        <w:fldChar w:fldCharType="begin"/>
      </w:r>
      <w:r>
        <w:instrText xml:space="preserve"> PAGEREF _Toc5762 \h </w:instrText>
      </w:r>
      <w:r>
        <w:fldChar w:fldCharType="separate"/>
      </w:r>
      <w:r>
        <w:t>33</w:t>
      </w:r>
      <w:r>
        <w:fldChar w:fldCharType="end"/>
      </w:r>
      <w:r>
        <w:rPr>
          <w:u w:val="none"/>
        </w:rPr>
        <w:fldChar w:fldCharType="end"/>
      </w:r>
    </w:p>
    <w:p w14:paraId="04251A90">
      <w:pPr>
        <w:pStyle w:val="30"/>
        <w:tabs>
          <w:tab w:val="right" w:leader="dot" w:pos="8504"/>
          <w:tab w:val="clear" w:pos="1050"/>
          <w:tab w:val="clear" w:pos="8494"/>
        </w:tabs>
      </w:pPr>
      <w:r>
        <w:rPr>
          <w:u w:val="none"/>
        </w:rPr>
        <w:fldChar w:fldCharType="begin"/>
      </w:r>
      <w:r>
        <w:instrText xml:space="preserve"> HYPERLINK \l _Toc26583 </w:instrText>
      </w:r>
      <w:r>
        <w:fldChar w:fldCharType="separate"/>
      </w:r>
      <w:r>
        <w:rPr>
          <w:rFonts w:hint="default" w:ascii="Times New Roman" w:hAnsi="Times New Roman" w:eastAsia="黑体"/>
          <w:i w:val="0"/>
        </w:rPr>
        <w:t xml:space="preserve">12.1 </w:t>
      </w:r>
      <w:r>
        <w:rPr>
          <w:rFonts w:hint="eastAsia"/>
          <w:lang w:eastAsia="zh-CN"/>
        </w:rPr>
        <w:t>一般要求</w:t>
      </w:r>
      <w:r>
        <w:tab/>
      </w:r>
      <w:r>
        <w:fldChar w:fldCharType="begin"/>
      </w:r>
      <w:r>
        <w:instrText xml:space="preserve"> PAGEREF _Toc26583 \h </w:instrText>
      </w:r>
      <w:r>
        <w:fldChar w:fldCharType="separate"/>
      </w:r>
      <w:r>
        <w:t>33</w:t>
      </w:r>
      <w:r>
        <w:fldChar w:fldCharType="end"/>
      </w:r>
      <w:r>
        <w:rPr>
          <w:u w:val="none"/>
        </w:rPr>
        <w:fldChar w:fldCharType="end"/>
      </w:r>
    </w:p>
    <w:p w14:paraId="01077AC2">
      <w:pPr>
        <w:pStyle w:val="30"/>
        <w:tabs>
          <w:tab w:val="right" w:leader="dot" w:pos="8504"/>
          <w:tab w:val="clear" w:pos="1050"/>
          <w:tab w:val="clear" w:pos="8494"/>
        </w:tabs>
      </w:pPr>
      <w:r>
        <w:rPr>
          <w:u w:val="none"/>
        </w:rPr>
        <w:fldChar w:fldCharType="begin"/>
      </w:r>
      <w:r>
        <w:instrText xml:space="preserve"> HYPERLINK \l _Toc21130 </w:instrText>
      </w:r>
      <w:r>
        <w:fldChar w:fldCharType="separate"/>
      </w:r>
      <w:r>
        <w:rPr>
          <w:rFonts w:hint="default" w:ascii="Times New Roman" w:hAnsi="Times New Roman" w:eastAsia="黑体"/>
          <w:i w:val="0"/>
        </w:rPr>
        <w:t xml:space="preserve">12.2 </w:t>
      </w:r>
      <w:r>
        <w:t>监测系统硬件验收</w:t>
      </w:r>
      <w:r>
        <w:tab/>
      </w:r>
      <w:r>
        <w:fldChar w:fldCharType="begin"/>
      </w:r>
      <w:r>
        <w:instrText xml:space="preserve"> PAGEREF _Toc21130 \h </w:instrText>
      </w:r>
      <w:r>
        <w:fldChar w:fldCharType="separate"/>
      </w:r>
      <w:r>
        <w:t>33</w:t>
      </w:r>
      <w:r>
        <w:fldChar w:fldCharType="end"/>
      </w:r>
      <w:r>
        <w:rPr>
          <w:u w:val="none"/>
        </w:rPr>
        <w:fldChar w:fldCharType="end"/>
      </w:r>
    </w:p>
    <w:p w14:paraId="3D7F89FA">
      <w:pPr>
        <w:pStyle w:val="30"/>
        <w:tabs>
          <w:tab w:val="right" w:leader="dot" w:pos="8504"/>
          <w:tab w:val="clear" w:pos="1050"/>
          <w:tab w:val="clear" w:pos="8494"/>
        </w:tabs>
      </w:pPr>
      <w:r>
        <w:rPr>
          <w:u w:val="none"/>
        </w:rPr>
        <w:fldChar w:fldCharType="begin"/>
      </w:r>
      <w:r>
        <w:instrText xml:space="preserve"> HYPERLINK \l _Toc11275 </w:instrText>
      </w:r>
      <w:r>
        <w:fldChar w:fldCharType="separate"/>
      </w:r>
      <w:r>
        <w:rPr>
          <w:rFonts w:hint="default" w:ascii="Times New Roman" w:hAnsi="Times New Roman" w:eastAsia="黑体"/>
          <w:i w:val="0"/>
        </w:rPr>
        <w:t xml:space="preserve">12.3 </w:t>
      </w:r>
      <w:r>
        <w:rPr>
          <w:rFonts w:hint="eastAsia"/>
        </w:rPr>
        <w:t>监测系统软件验收</w:t>
      </w:r>
      <w:r>
        <w:tab/>
      </w:r>
      <w:r>
        <w:fldChar w:fldCharType="begin"/>
      </w:r>
      <w:r>
        <w:instrText xml:space="preserve"> PAGEREF _Toc11275 \h </w:instrText>
      </w:r>
      <w:r>
        <w:fldChar w:fldCharType="separate"/>
      </w:r>
      <w:r>
        <w:t>33</w:t>
      </w:r>
      <w:r>
        <w:fldChar w:fldCharType="end"/>
      </w:r>
      <w:r>
        <w:rPr>
          <w:u w:val="none"/>
        </w:rPr>
        <w:fldChar w:fldCharType="end"/>
      </w:r>
    </w:p>
    <w:p w14:paraId="78E420B8">
      <w:pPr>
        <w:pStyle w:val="30"/>
        <w:tabs>
          <w:tab w:val="right" w:leader="dot" w:pos="8504"/>
          <w:tab w:val="clear" w:pos="1050"/>
          <w:tab w:val="clear" w:pos="8494"/>
        </w:tabs>
      </w:pPr>
      <w:r>
        <w:rPr>
          <w:u w:val="none"/>
        </w:rPr>
        <w:fldChar w:fldCharType="begin"/>
      </w:r>
      <w:r>
        <w:instrText xml:space="preserve"> HYPERLINK \l _Toc29095 </w:instrText>
      </w:r>
      <w:r>
        <w:fldChar w:fldCharType="separate"/>
      </w:r>
      <w:r>
        <w:rPr>
          <w:rFonts w:hint="default" w:ascii="Times New Roman" w:hAnsi="Times New Roman" w:eastAsia="黑体"/>
          <w:i w:val="0"/>
        </w:rPr>
        <w:t xml:space="preserve">12.4 </w:t>
      </w:r>
      <w:r>
        <w:rPr>
          <w:rFonts w:hint="eastAsia"/>
        </w:rPr>
        <w:t>监测系统</w:t>
      </w:r>
      <w:r>
        <w:t>资料验收</w:t>
      </w:r>
      <w:r>
        <w:tab/>
      </w:r>
      <w:r>
        <w:fldChar w:fldCharType="begin"/>
      </w:r>
      <w:r>
        <w:instrText xml:space="preserve"> PAGEREF _Toc29095 \h </w:instrText>
      </w:r>
      <w:r>
        <w:fldChar w:fldCharType="separate"/>
      </w:r>
      <w:r>
        <w:t>33</w:t>
      </w:r>
      <w:r>
        <w:fldChar w:fldCharType="end"/>
      </w:r>
      <w:r>
        <w:rPr>
          <w:u w:val="none"/>
        </w:rPr>
        <w:fldChar w:fldCharType="end"/>
      </w:r>
    </w:p>
    <w:p w14:paraId="5FED0789">
      <w:pPr>
        <w:pStyle w:val="24"/>
        <w:tabs>
          <w:tab w:val="right" w:leader="dot" w:pos="8504"/>
          <w:tab w:val="clear" w:pos="420"/>
          <w:tab w:val="clear" w:pos="567"/>
          <w:tab w:val="clear" w:pos="8495"/>
        </w:tabs>
      </w:pPr>
      <w:r>
        <w:rPr>
          <w:u w:val="none"/>
        </w:rPr>
        <w:fldChar w:fldCharType="begin"/>
      </w:r>
      <w:r>
        <w:instrText xml:space="preserve"> HYPERLINK \l _Toc3494 </w:instrText>
      </w:r>
      <w:r>
        <w:fldChar w:fldCharType="separate"/>
      </w:r>
      <w:r>
        <w:rPr>
          <w:rFonts w:hint="default" w:ascii="Times New Roman" w:hAnsi="Times New Roman" w:eastAsia="黑体"/>
          <w:i w:val="0"/>
          <w:szCs w:val="21"/>
        </w:rPr>
        <w:t xml:space="preserve">13 </w:t>
      </w:r>
      <w:r>
        <w:rPr>
          <w:rFonts w:hint="eastAsia"/>
          <w:szCs w:val="21"/>
        </w:rPr>
        <w:t>标准实施及评价</w:t>
      </w:r>
      <w:r>
        <w:tab/>
      </w:r>
      <w:r>
        <w:fldChar w:fldCharType="begin"/>
      </w:r>
      <w:r>
        <w:instrText xml:space="preserve"> PAGEREF _Toc3494 \h </w:instrText>
      </w:r>
      <w:r>
        <w:fldChar w:fldCharType="separate"/>
      </w:r>
      <w:r>
        <w:t>34</w:t>
      </w:r>
      <w:r>
        <w:fldChar w:fldCharType="end"/>
      </w:r>
      <w:r>
        <w:rPr>
          <w:u w:val="none"/>
        </w:rPr>
        <w:fldChar w:fldCharType="end"/>
      </w:r>
    </w:p>
    <w:p w14:paraId="0E23D5F8">
      <w:pPr>
        <w:pStyle w:val="24"/>
        <w:tabs>
          <w:tab w:val="right" w:leader="dot" w:pos="8504"/>
          <w:tab w:val="clear" w:pos="420"/>
          <w:tab w:val="clear" w:pos="567"/>
          <w:tab w:val="clear" w:pos="8495"/>
        </w:tabs>
      </w:pPr>
      <w:r>
        <w:rPr>
          <w:u w:val="none"/>
        </w:rPr>
        <w:fldChar w:fldCharType="begin"/>
      </w:r>
      <w:r>
        <w:instrText xml:space="preserve"> HYPERLINK \l _Toc2465 </w:instrText>
      </w:r>
      <w:r>
        <w:fldChar w:fldCharType="separate"/>
      </w:r>
      <w:r>
        <w:rPr>
          <w:rFonts w:hint="eastAsia" w:ascii="黑体" w:hAnsi="黑体" w:eastAsia="黑体" w:cs="黑体"/>
          <w:szCs w:val="21"/>
        </w:rPr>
        <w:t>附录</w:t>
      </w:r>
      <w:r>
        <w:rPr>
          <w:rFonts w:hint="eastAsia" w:ascii="黑体" w:hAnsi="黑体" w:eastAsia="黑体" w:cs="黑体"/>
          <w:szCs w:val="21"/>
          <w:lang w:val="en-US" w:eastAsia="zh-CN"/>
        </w:rPr>
        <w:t>A</w:t>
      </w:r>
      <w:r>
        <w:rPr>
          <w:rFonts w:hint="eastAsia" w:ascii="黑体" w:hAnsi="黑体" w:eastAsia="黑体" w:cs="黑体"/>
          <w:szCs w:val="21"/>
        </w:rPr>
        <w:t xml:space="preserve"> </w:t>
      </w:r>
      <w:r>
        <w:rPr>
          <w:rFonts w:hint="eastAsia" w:ascii="黑体" w:hAnsi="黑体" w:eastAsia="黑体" w:cs="黑体"/>
          <w:bCs w:val="0"/>
          <w:szCs w:val="21"/>
        </w:rPr>
        <w:t>（</w:t>
      </w:r>
      <w:r>
        <w:rPr>
          <w:rFonts w:hint="eastAsia" w:ascii="黑体" w:hAnsi="黑体" w:eastAsia="黑体" w:cs="黑体"/>
          <w:bCs w:val="0"/>
          <w:szCs w:val="21"/>
          <w:lang w:val="en-US" w:eastAsia="zh-CN"/>
        </w:rPr>
        <w:t>规范</w:t>
      </w:r>
      <w:r>
        <w:rPr>
          <w:rFonts w:hint="eastAsia" w:ascii="黑体" w:hAnsi="黑体" w:eastAsia="黑体" w:cs="黑体"/>
          <w:bCs w:val="0"/>
          <w:szCs w:val="21"/>
        </w:rPr>
        <w:t xml:space="preserve">性） </w:t>
      </w:r>
      <w:r>
        <w:rPr>
          <w:rFonts w:hint="eastAsia" w:ascii="黑体" w:hAnsi="黑体" w:eastAsia="黑体" w:cs="黑体"/>
          <w:bCs w:val="0"/>
          <w:szCs w:val="21"/>
          <w:lang w:val="en-US" w:eastAsia="zh-CN"/>
        </w:rPr>
        <w:t>可能性评估指标、安全管理指标、后果评估指标</w:t>
      </w:r>
      <w:r>
        <w:tab/>
      </w:r>
      <w:r>
        <w:fldChar w:fldCharType="begin"/>
      </w:r>
      <w:r>
        <w:instrText xml:space="preserve"> PAGEREF _Toc2465 \h </w:instrText>
      </w:r>
      <w:r>
        <w:fldChar w:fldCharType="separate"/>
      </w:r>
      <w:r>
        <w:t>35</w:t>
      </w:r>
      <w:r>
        <w:fldChar w:fldCharType="end"/>
      </w:r>
      <w:r>
        <w:rPr>
          <w:u w:val="none"/>
        </w:rPr>
        <w:fldChar w:fldCharType="end"/>
      </w:r>
    </w:p>
    <w:p w14:paraId="07AE1D22">
      <w:pPr>
        <w:pStyle w:val="24"/>
        <w:tabs>
          <w:tab w:val="right" w:leader="dot" w:pos="8504"/>
          <w:tab w:val="clear" w:pos="420"/>
          <w:tab w:val="clear" w:pos="567"/>
          <w:tab w:val="clear" w:pos="8495"/>
        </w:tabs>
      </w:pPr>
      <w:r>
        <w:rPr>
          <w:u w:val="none"/>
        </w:rPr>
        <w:fldChar w:fldCharType="begin"/>
      </w:r>
      <w:r>
        <w:instrText xml:space="preserve"> HYPERLINK \l _Toc8826 </w:instrText>
      </w:r>
      <w:r>
        <w:fldChar w:fldCharType="separate"/>
      </w:r>
      <w:r>
        <w:rPr>
          <w:rFonts w:hint="eastAsia" w:ascii="宋体" w:hAnsi="宋体"/>
          <w:szCs w:val="21"/>
          <w:lang w:val="en-US" w:eastAsia="zh-CN"/>
        </w:rPr>
        <w:t>A</w:t>
      </w:r>
      <w:r>
        <w:rPr>
          <w:rFonts w:hint="eastAsia" w:ascii="宋体" w:hAnsi="宋体"/>
          <w:szCs w:val="21"/>
        </w:rPr>
        <w:t>.1可能性评估指标</w:t>
      </w:r>
      <w:r>
        <w:tab/>
      </w:r>
      <w:r>
        <w:fldChar w:fldCharType="begin"/>
      </w:r>
      <w:r>
        <w:instrText xml:space="preserve"> PAGEREF _Toc8826 \h </w:instrText>
      </w:r>
      <w:r>
        <w:fldChar w:fldCharType="separate"/>
      </w:r>
      <w:r>
        <w:t>35</w:t>
      </w:r>
      <w:r>
        <w:fldChar w:fldCharType="end"/>
      </w:r>
      <w:r>
        <w:rPr>
          <w:u w:val="none"/>
        </w:rPr>
        <w:fldChar w:fldCharType="end"/>
      </w:r>
    </w:p>
    <w:p w14:paraId="1CB1A6A5">
      <w:pPr>
        <w:pStyle w:val="24"/>
        <w:tabs>
          <w:tab w:val="right" w:leader="dot" w:pos="8504"/>
          <w:tab w:val="clear" w:pos="420"/>
          <w:tab w:val="clear" w:pos="567"/>
          <w:tab w:val="clear" w:pos="8495"/>
        </w:tabs>
      </w:pPr>
      <w:r>
        <w:rPr>
          <w:u w:val="none"/>
        </w:rPr>
        <w:fldChar w:fldCharType="begin"/>
      </w:r>
      <w:r>
        <w:instrText xml:space="preserve"> HYPERLINK \l _Toc31617 </w:instrText>
      </w:r>
      <w:r>
        <w:fldChar w:fldCharType="separate"/>
      </w:r>
      <w:r>
        <w:rPr>
          <w:rFonts w:hint="eastAsia" w:ascii="宋体" w:hAnsi="宋体"/>
          <w:szCs w:val="21"/>
          <w:lang w:val="en-US" w:eastAsia="zh-CN"/>
        </w:rPr>
        <w:t>A</w:t>
      </w:r>
      <w:r>
        <w:rPr>
          <w:rFonts w:hint="eastAsia" w:ascii="宋体" w:hAnsi="宋体"/>
          <w:szCs w:val="21"/>
        </w:rPr>
        <w:t>.2安全管理指标</w:t>
      </w:r>
      <w:r>
        <w:tab/>
      </w:r>
      <w:r>
        <w:fldChar w:fldCharType="begin"/>
      </w:r>
      <w:r>
        <w:instrText xml:space="preserve"> PAGEREF _Toc31617 \h </w:instrText>
      </w:r>
      <w:r>
        <w:fldChar w:fldCharType="separate"/>
      </w:r>
      <w:r>
        <w:t>37</w:t>
      </w:r>
      <w:r>
        <w:fldChar w:fldCharType="end"/>
      </w:r>
      <w:r>
        <w:rPr>
          <w:u w:val="none"/>
        </w:rPr>
        <w:fldChar w:fldCharType="end"/>
      </w:r>
    </w:p>
    <w:p w14:paraId="55270429">
      <w:pPr>
        <w:pStyle w:val="24"/>
        <w:tabs>
          <w:tab w:val="right" w:leader="dot" w:pos="8504"/>
          <w:tab w:val="clear" w:pos="420"/>
          <w:tab w:val="clear" w:pos="567"/>
          <w:tab w:val="clear" w:pos="8495"/>
        </w:tabs>
      </w:pPr>
      <w:r>
        <w:rPr>
          <w:u w:val="none"/>
        </w:rPr>
        <w:fldChar w:fldCharType="begin"/>
      </w:r>
      <w:r>
        <w:instrText xml:space="preserve"> HYPERLINK \l _Toc26596 </w:instrText>
      </w:r>
      <w:r>
        <w:fldChar w:fldCharType="separate"/>
      </w:r>
      <w:r>
        <w:rPr>
          <w:rFonts w:hint="eastAsia" w:ascii="宋体" w:hAnsi="宋体"/>
          <w:szCs w:val="21"/>
          <w:lang w:val="en-US" w:eastAsia="zh-CN"/>
        </w:rPr>
        <w:t>A.3后果评估指标</w:t>
      </w:r>
      <w:r>
        <w:tab/>
      </w:r>
      <w:r>
        <w:fldChar w:fldCharType="begin"/>
      </w:r>
      <w:r>
        <w:instrText xml:space="preserve"> PAGEREF _Toc26596 \h </w:instrText>
      </w:r>
      <w:r>
        <w:fldChar w:fldCharType="separate"/>
      </w:r>
      <w:r>
        <w:t>38</w:t>
      </w:r>
      <w:r>
        <w:fldChar w:fldCharType="end"/>
      </w:r>
      <w:r>
        <w:rPr>
          <w:u w:val="none"/>
        </w:rPr>
        <w:fldChar w:fldCharType="end"/>
      </w:r>
    </w:p>
    <w:p w14:paraId="3992E5CF">
      <w:pPr>
        <w:pStyle w:val="24"/>
        <w:tabs>
          <w:tab w:val="right" w:leader="dot" w:pos="8504"/>
          <w:tab w:val="clear" w:pos="420"/>
          <w:tab w:val="clear" w:pos="567"/>
          <w:tab w:val="clear" w:pos="8495"/>
        </w:tabs>
      </w:pPr>
      <w:r>
        <w:rPr>
          <w:u w:val="none"/>
        </w:rPr>
        <w:fldChar w:fldCharType="begin"/>
      </w:r>
      <w:r>
        <w:instrText xml:space="preserve"> HYPERLINK \l _Toc21956 </w:instrText>
      </w:r>
      <w:r>
        <w:fldChar w:fldCharType="separate"/>
      </w:r>
      <w:r>
        <w:rPr>
          <w:rFonts w:hint="eastAsia" w:ascii="黑体" w:hAnsi="黑体" w:eastAsia="黑体" w:cs="黑体"/>
          <w:szCs w:val="21"/>
        </w:rPr>
        <w:t>附录</w:t>
      </w:r>
      <w:r>
        <w:rPr>
          <w:rFonts w:hint="eastAsia" w:ascii="黑体" w:hAnsi="黑体" w:eastAsia="黑体" w:cs="黑体"/>
          <w:szCs w:val="21"/>
          <w:lang w:val="en-US" w:eastAsia="zh-CN"/>
        </w:rPr>
        <w:t>B</w:t>
      </w:r>
      <w:r>
        <w:rPr>
          <w:rFonts w:hint="eastAsia" w:ascii="黑体" w:hAnsi="黑体" w:eastAsia="黑体" w:cs="黑体"/>
          <w:szCs w:val="21"/>
        </w:rPr>
        <w:t xml:space="preserve"> </w:t>
      </w:r>
      <w:r>
        <w:rPr>
          <w:rFonts w:hint="eastAsia" w:ascii="黑体" w:hAnsi="黑体" w:eastAsia="黑体" w:cs="黑体"/>
          <w:bCs w:val="0"/>
          <w:szCs w:val="21"/>
        </w:rPr>
        <w:t>（</w:t>
      </w:r>
      <w:r>
        <w:rPr>
          <w:rFonts w:hint="eastAsia" w:ascii="黑体" w:hAnsi="黑体" w:eastAsia="黑体" w:cs="黑体"/>
          <w:bCs w:val="0"/>
          <w:szCs w:val="21"/>
          <w:lang w:val="en-US" w:eastAsia="zh-CN"/>
        </w:rPr>
        <w:t>规范性</w:t>
      </w:r>
      <w:r>
        <w:rPr>
          <w:rFonts w:hint="eastAsia" w:ascii="黑体" w:hAnsi="黑体" w:eastAsia="黑体" w:cs="黑体"/>
          <w:bCs w:val="0"/>
          <w:szCs w:val="21"/>
        </w:rPr>
        <w:t xml:space="preserve">） </w:t>
      </w:r>
      <w:r>
        <w:rPr>
          <w:rFonts w:hint="eastAsia" w:ascii="黑体" w:hAnsi="黑体" w:eastAsia="黑体" w:cs="黑体"/>
          <w:bCs w:val="0"/>
          <w:szCs w:val="21"/>
          <w:lang w:val="en-US" w:eastAsia="zh-CN"/>
        </w:rPr>
        <w:t>监测布点要求</w:t>
      </w:r>
      <w:r>
        <w:tab/>
      </w:r>
      <w:r>
        <w:fldChar w:fldCharType="begin"/>
      </w:r>
      <w:r>
        <w:instrText xml:space="preserve"> PAGEREF _Toc21956 \h </w:instrText>
      </w:r>
      <w:r>
        <w:fldChar w:fldCharType="separate"/>
      </w:r>
      <w:r>
        <w:t>39</w:t>
      </w:r>
      <w:r>
        <w:fldChar w:fldCharType="end"/>
      </w:r>
      <w:r>
        <w:rPr>
          <w:u w:val="none"/>
        </w:rPr>
        <w:fldChar w:fldCharType="end"/>
      </w:r>
    </w:p>
    <w:p w14:paraId="1BDEAE5E">
      <w:pPr>
        <w:pStyle w:val="24"/>
        <w:tabs>
          <w:tab w:val="right" w:leader="dot" w:pos="8504"/>
          <w:tab w:val="clear" w:pos="420"/>
          <w:tab w:val="clear" w:pos="567"/>
          <w:tab w:val="clear" w:pos="8495"/>
        </w:tabs>
      </w:pPr>
      <w:r>
        <w:rPr>
          <w:u w:val="none"/>
        </w:rPr>
        <w:fldChar w:fldCharType="begin"/>
      </w:r>
      <w:r>
        <w:instrText xml:space="preserve"> HYPERLINK \l _Toc26296 </w:instrText>
      </w:r>
      <w:r>
        <w:fldChar w:fldCharType="separate"/>
      </w:r>
      <w:r>
        <w:rPr>
          <w:rFonts w:hint="eastAsia" w:ascii="宋体" w:hAnsi="宋体"/>
          <w:szCs w:val="21"/>
          <w:lang w:val="en-US" w:eastAsia="zh-CN"/>
        </w:rPr>
        <w:t>B.1燃气监测布点要求</w:t>
      </w:r>
      <w:r>
        <w:tab/>
      </w:r>
      <w:r>
        <w:fldChar w:fldCharType="begin"/>
      </w:r>
      <w:r>
        <w:instrText xml:space="preserve"> PAGEREF _Toc26296 \h </w:instrText>
      </w:r>
      <w:r>
        <w:fldChar w:fldCharType="separate"/>
      </w:r>
      <w:r>
        <w:t>39</w:t>
      </w:r>
      <w:r>
        <w:fldChar w:fldCharType="end"/>
      </w:r>
      <w:r>
        <w:rPr>
          <w:u w:val="none"/>
        </w:rPr>
        <w:fldChar w:fldCharType="end"/>
      </w:r>
    </w:p>
    <w:p w14:paraId="5D44D944">
      <w:pPr>
        <w:pStyle w:val="24"/>
        <w:tabs>
          <w:tab w:val="right" w:leader="dot" w:pos="8504"/>
          <w:tab w:val="clear" w:pos="420"/>
          <w:tab w:val="clear" w:pos="567"/>
          <w:tab w:val="clear" w:pos="8495"/>
        </w:tabs>
      </w:pPr>
      <w:r>
        <w:rPr>
          <w:u w:val="none"/>
        </w:rPr>
        <w:fldChar w:fldCharType="begin"/>
      </w:r>
      <w:r>
        <w:instrText xml:space="preserve"> HYPERLINK \l _Toc2320 </w:instrText>
      </w:r>
      <w:r>
        <w:fldChar w:fldCharType="separate"/>
      </w:r>
      <w:r>
        <w:rPr>
          <w:rFonts w:hint="eastAsia" w:ascii="宋体" w:hAnsi="宋体"/>
          <w:szCs w:val="21"/>
          <w:lang w:val="en-US" w:eastAsia="zh-CN"/>
        </w:rPr>
        <w:t>B.2供水监测布点要求</w:t>
      </w:r>
      <w:r>
        <w:tab/>
      </w:r>
      <w:r>
        <w:fldChar w:fldCharType="begin"/>
      </w:r>
      <w:r>
        <w:instrText xml:space="preserve"> PAGEREF _Toc2320 \h </w:instrText>
      </w:r>
      <w:r>
        <w:fldChar w:fldCharType="separate"/>
      </w:r>
      <w:r>
        <w:t>43</w:t>
      </w:r>
      <w:r>
        <w:fldChar w:fldCharType="end"/>
      </w:r>
      <w:r>
        <w:rPr>
          <w:u w:val="none"/>
        </w:rPr>
        <w:fldChar w:fldCharType="end"/>
      </w:r>
    </w:p>
    <w:p w14:paraId="3C7A2090">
      <w:pPr>
        <w:pStyle w:val="24"/>
        <w:tabs>
          <w:tab w:val="right" w:leader="dot" w:pos="8504"/>
          <w:tab w:val="clear" w:pos="420"/>
          <w:tab w:val="clear" w:pos="567"/>
          <w:tab w:val="clear" w:pos="8495"/>
        </w:tabs>
      </w:pPr>
      <w:r>
        <w:rPr>
          <w:u w:val="none"/>
        </w:rPr>
        <w:fldChar w:fldCharType="begin"/>
      </w:r>
      <w:r>
        <w:instrText xml:space="preserve"> HYPERLINK \l _Toc13218 </w:instrText>
      </w:r>
      <w:r>
        <w:fldChar w:fldCharType="separate"/>
      </w:r>
      <w:r>
        <w:rPr>
          <w:rFonts w:hint="eastAsia" w:ascii="宋体" w:hAnsi="宋体"/>
          <w:szCs w:val="21"/>
          <w:lang w:val="en-US" w:eastAsia="zh-CN"/>
        </w:rPr>
        <w:t>B.3排水监测布点要求</w:t>
      </w:r>
      <w:r>
        <w:tab/>
      </w:r>
      <w:r>
        <w:fldChar w:fldCharType="begin"/>
      </w:r>
      <w:r>
        <w:instrText xml:space="preserve"> PAGEREF _Toc13218 \h </w:instrText>
      </w:r>
      <w:r>
        <w:fldChar w:fldCharType="separate"/>
      </w:r>
      <w:r>
        <w:t>45</w:t>
      </w:r>
      <w:r>
        <w:fldChar w:fldCharType="end"/>
      </w:r>
      <w:r>
        <w:rPr>
          <w:u w:val="none"/>
        </w:rPr>
        <w:fldChar w:fldCharType="end"/>
      </w:r>
    </w:p>
    <w:p w14:paraId="0F271F14">
      <w:pPr>
        <w:pStyle w:val="24"/>
        <w:tabs>
          <w:tab w:val="right" w:leader="dot" w:pos="8504"/>
          <w:tab w:val="clear" w:pos="420"/>
          <w:tab w:val="clear" w:pos="567"/>
          <w:tab w:val="clear" w:pos="8495"/>
        </w:tabs>
      </w:pPr>
      <w:r>
        <w:rPr>
          <w:u w:val="none"/>
        </w:rPr>
        <w:fldChar w:fldCharType="begin"/>
      </w:r>
      <w:r>
        <w:instrText xml:space="preserve"> HYPERLINK \l _Toc2962 </w:instrText>
      </w:r>
      <w:r>
        <w:fldChar w:fldCharType="separate"/>
      </w:r>
      <w:r>
        <w:rPr>
          <w:rFonts w:hint="eastAsia" w:ascii="宋体" w:hAnsi="宋体"/>
          <w:szCs w:val="21"/>
          <w:lang w:val="en-US" w:eastAsia="zh-CN"/>
        </w:rPr>
        <w:t>B</w:t>
      </w:r>
      <w:r>
        <w:rPr>
          <w:rFonts w:hint="eastAsia" w:ascii="宋体" w:hAnsi="宋体"/>
          <w:szCs w:val="21"/>
        </w:rPr>
        <w:t>.</w:t>
      </w:r>
      <w:r>
        <w:rPr>
          <w:rFonts w:hint="eastAsia" w:ascii="宋体" w:hAnsi="宋体"/>
          <w:szCs w:val="21"/>
          <w:lang w:val="en-US" w:eastAsia="zh-CN"/>
        </w:rPr>
        <w:t>4热力</w:t>
      </w:r>
      <w:r>
        <w:rPr>
          <w:rFonts w:hint="eastAsia" w:ascii="宋体" w:hAnsi="宋体"/>
          <w:szCs w:val="21"/>
        </w:rPr>
        <w:t>监测</w:t>
      </w:r>
      <w:r>
        <w:rPr>
          <w:rFonts w:hint="eastAsia" w:ascii="宋体" w:hAnsi="宋体"/>
          <w:szCs w:val="21"/>
          <w:lang w:val="en-US" w:eastAsia="zh-CN"/>
        </w:rPr>
        <w:t>布点要求</w:t>
      </w:r>
      <w:r>
        <w:tab/>
      </w:r>
      <w:r>
        <w:fldChar w:fldCharType="begin"/>
      </w:r>
      <w:r>
        <w:instrText xml:space="preserve"> PAGEREF _Toc2962 \h </w:instrText>
      </w:r>
      <w:r>
        <w:fldChar w:fldCharType="separate"/>
      </w:r>
      <w:r>
        <w:t>46</w:t>
      </w:r>
      <w:r>
        <w:fldChar w:fldCharType="end"/>
      </w:r>
      <w:r>
        <w:rPr>
          <w:u w:val="none"/>
        </w:rPr>
        <w:fldChar w:fldCharType="end"/>
      </w:r>
    </w:p>
    <w:p w14:paraId="1C43BBC6">
      <w:pPr>
        <w:pStyle w:val="24"/>
        <w:tabs>
          <w:tab w:val="right" w:leader="dot" w:pos="8504"/>
          <w:tab w:val="clear" w:pos="420"/>
          <w:tab w:val="clear" w:pos="567"/>
          <w:tab w:val="clear" w:pos="8495"/>
        </w:tabs>
      </w:pPr>
      <w:r>
        <w:rPr>
          <w:u w:val="none"/>
        </w:rPr>
        <w:fldChar w:fldCharType="begin"/>
      </w:r>
      <w:r>
        <w:instrText xml:space="preserve"> HYPERLINK \l _Toc6011 </w:instrText>
      </w:r>
      <w:r>
        <w:fldChar w:fldCharType="separate"/>
      </w:r>
      <w:r>
        <w:rPr>
          <w:rFonts w:hint="eastAsia" w:ascii="宋体" w:hAnsi="宋体"/>
          <w:szCs w:val="21"/>
          <w:lang w:val="en-US" w:eastAsia="zh-CN"/>
        </w:rPr>
        <w:t>B</w:t>
      </w:r>
      <w:r>
        <w:rPr>
          <w:rFonts w:hint="eastAsia" w:ascii="宋体" w:hAnsi="宋体"/>
          <w:szCs w:val="21"/>
        </w:rPr>
        <w:t>.</w:t>
      </w:r>
      <w:r>
        <w:rPr>
          <w:rFonts w:hint="eastAsia" w:ascii="宋体" w:hAnsi="宋体"/>
          <w:szCs w:val="21"/>
          <w:lang w:val="en-US" w:eastAsia="zh-CN"/>
        </w:rPr>
        <w:t>5桥梁</w:t>
      </w:r>
      <w:r>
        <w:rPr>
          <w:rFonts w:hint="eastAsia" w:ascii="宋体" w:hAnsi="宋体"/>
          <w:szCs w:val="21"/>
        </w:rPr>
        <w:t>监测</w:t>
      </w:r>
      <w:r>
        <w:rPr>
          <w:rFonts w:hint="eastAsia" w:ascii="宋体" w:hAnsi="宋体"/>
          <w:szCs w:val="21"/>
          <w:lang w:val="en-US" w:eastAsia="zh-CN"/>
        </w:rPr>
        <w:t>布点要求</w:t>
      </w:r>
      <w:r>
        <w:tab/>
      </w:r>
      <w:r>
        <w:fldChar w:fldCharType="begin"/>
      </w:r>
      <w:r>
        <w:instrText xml:space="preserve"> PAGEREF _Toc6011 \h </w:instrText>
      </w:r>
      <w:r>
        <w:fldChar w:fldCharType="separate"/>
      </w:r>
      <w:r>
        <w:t>47</w:t>
      </w:r>
      <w:r>
        <w:fldChar w:fldCharType="end"/>
      </w:r>
      <w:r>
        <w:rPr>
          <w:u w:val="none"/>
        </w:rPr>
        <w:fldChar w:fldCharType="end"/>
      </w:r>
    </w:p>
    <w:p w14:paraId="7995C979">
      <w:pPr>
        <w:pStyle w:val="24"/>
        <w:tabs>
          <w:tab w:val="right" w:leader="dot" w:pos="8504"/>
          <w:tab w:val="clear" w:pos="420"/>
          <w:tab w:val="clear" w:pos="567"/>
          <w:tab w:val="clear" w:pos="8495"/>
        </w:tabs>
      </w:pPr>
      <w:r>
        <w:rPr>
          <w:u w:val="none"/>
        </w:rPr>
        <w:fldChar w:fldCharType="begin"/>
      </w:r>
      <w:r>
        <w:instrText xml:space="preserve"> HYPERLINK \l _Toc10367 </w:instrText>
      </w:r>
      <w:r>
        <w:fldChar w:fldCharType="separate"/>
      </w:r>
      <w:r>
        <w:rPr>
          <w:rFonts w:hint="eastAsia" w:ascii="宋体" w:hAnsi="宋体"/>
          <w:szCs w:val="21"/>
          <w:lang w:val="en-US" w:eastAsia="zh-CN"/>
        </w:rPr>
        <w:t>B</w:t>
      </w:r>
      <w:r>
        <w:rPr>
          <w:rFonts w:hint="eastAsia" w:ascii="宋体" w:hAnsi="宋体"/>
          <w:szCs w:val="21"/>
        </w:rPr>
        <w:t>.</w:t>
      </w:r>
      <w:r>
        <w:rPr>
          <w:rFonts w:hint="eastAsia" w:ascii="宋体" w:hAnsi="宋体"/>
          <w:szCs w:val="21"/>
          <w:lang w:val="en-US" w:eastAsia="zh-CN"/>
        </w:rPr>
        <w:t>6隧道</w:t>
      </w:r>
      <w:r>
        <w:rPr>
          <w:rFonts w:hint="eastAsia" w:ascii="宋体" w:hAnsi="宋体"/>
          <w:szCs w:val="21"/>
        </w:rPr>
        <w:t>监测</w:t>
      </w:r>
      <w:r>
        <w:rPr>
          <w:rFonts w:hint="eastAsia" w:ascii="宋体" w:hAnsi="宋体"/>
          <w:szCs w:val="21"/>
          <w:lang w:val="en-US" w:eastAsia="zh-CN"/>
        </w:rPr>
        <w:t>布点要求</w:t>
      </w:r>
      <w:r>
        <w:tab/>
      </w:r>
      <w:r>
        <w:fldChar w:fldCharType="begin"/>
      </w:r>
      <w:r>
        <w:instrText xml:space="preserve"> PAGEREF _Toc10367 \h </w:instrText>
      </w:r>
      <w:r>
        <w:fldChar w:fldCharType="separate"/>
      </w:r>
      <w:r>
        <w:t>56</w:t>
      </w:r>
      <w:r>
        <w:fldChar w:fldCharType="end"/>
      </w:r>
      <w:r>
        <w:rPr>
          <w:u w:val="none"/>
        </w:rPr>
        <w:fldChar w:fldCharType="end"/>
      </w:r>
    </w:p>
    <w:p w14:paraId="20B3564A">
      <w:pPr>
        <w:pStyle w:val="24"/>
        <w:tabs>
          <w:tab w:val="right" w:leader="dot" w:pos="8504"/>
          <w:tab w:val="clear" w:pos="420"/>
          <w:tab w:val="clear" w:pos="567"/>
          <w:tab w:val="clear" w:pos="8495"/>
        </w:tabs>
      </w:pPr>
      <w:r>
        <w:rPr>
          <w:u w:val="none"/>
        </w:rPr>
        <w:fldChar w:fldCharType="begin"/>
      </w:r>
      <w:r>
        <w:instrText xml:space="preserve"> HYPERLINK \l _Toc18279 </w:instrText>
      </w:r>
      <w:r>
        <w:fldChar w:fldCharType="separate"/>
      </w:r>
      <w:r>
        <w:rPr>
          <w:rFonts w:hint="eastAsia" w:ascii="黑体" w:hAnsi="黑体" w:eastAsia="黑体" w:cs="黑体"/>
          <w:szCs w:val="21"/>
        </w:rPr>
        <w:t>附录</w:t>
      </w:r>
      <w:r>
        <w:rPr>
          <w:rFonts w:hint="eastAsia" w:ascii="黑体" w:hAnsi="黑体" w:eastAsia="黑体" w:cs="黑体"/>
          <w:szCs w:val="21"/>
          <w:lang w:val="en-US" w:eastAsia="zh-CN"/>
        </w:rPr>
        <w:t>C</w:t>
      </w:r>
      <w:r>
        <w:rPr>
          <w:rFonts w:hint="eastAsia" w:ascii="黑体" w:hAnsi="黑体" w:eastAsia="黑体" w:cs="黑体"/>
          <w:szCs w:val="21"/>
        </w:rPr>
        <w:t xml:space="preserve"> </w:t>
      </w:r>
      <w:r>
        <w:rPr>
          <w:rFonts w:hint="eastAsia" w:ascii="黑体" w:hAnsi="黑体" w:eastAsia="黑体" w:cs="黑体"/>
          <w:bCs w:val="0"/>
          <w:szCs w:val="21"/>
        </w:rPr>
        <w:t>（</w:t>
      </w:r>
      <w:r>
        <w:rPr>
          <w:rFonts w:hint="eastAsia" w:ascii="黑体" w:hAnsi="黑体" w:eastAsia="黑体" w:cs="黑体"/>
          <w:bCs w:val="0"/>
          <w:szCs w:val="21"/>
          <w:lang w:val="en-US" w:eastAsia="zh-CN"/>
        </w:rPr>
        <w:t>规范</w:t>
      </w:r>
      <w:r>
        <w:rPr>
          <w:rFonts w:hint="eastAsia" w:ascii="黑体" w:hAnsi="黑体" w:eastAsia="黑体" w:cs="黑体"/>
          <w:bCs w:val="0"/>
          <w:szCs w:val="21"/>
        </w:rPr>
        <w:t xml:space="preserve">性） </w:t>
      </w:r>
      <w:r>
        <w:rPr>
          <w:rFonts w:hint="eastAsia" w:ascii="黑体" w:hAnsi="黑体" w:eastAsia="黑体" w:cs="黑体"/>
          <w:bCs w:val="0"/>
          <w:szCs w:val="21"/>
          <w:lang w:val="en-US" w:eastAsia="zh-CN"/>
        </w:rPr>
        <w:t>监测设备性能要求</w:t>
      </w:r>
      <w:r>
        <w:tab/>
      </w:r>
      <w:r>
        <w:fldChar w:fldCharType="begin"/>
      </w:r>
      <w:r>
        <w:instrText xml:space="preserve"> PAGEREF _Toc18279 \h </w:instrText>
      </w:r>
      <w:r>
        <w:fldChar w:fldCharType="separate"/>
      </w:r>
      <w:r>
        <w:t>57</w:t>
      </w:r>
      <w:r>
        <w:fldChar w:fldCharType="end"/>
      </w:r>
      <w:r>
        <w:rPr>
          <w:u w:val="none"/>
        </w:rPr>
        <w:fldChar w:fldCharType="end"/>
      </w:r>
    </w:p>
    <w:p w14:paraId="3BEC3C7E">
      <w:pPr>
        <w:pStyle w:val="24"/>
        <w:tabs>
          <w:tab w:val="right" w:leader="dot" w:pos="8504"/>
          <w:tab w:val="clear" w:pos="420"/>
          <w:tab w:val="clear" w:pos="567"/>
          <w:tab w:val="clear" w:pos="8495"/>
        </w:tabs>
      </w:pPr>
      <w:r>
        <w:rPr>
          <w:u w:val="none"/>
        </w:rPr>
        <w:fldChar w:fldCharType="begin"/>
      </w:r>
      <w:r>
        <w:instrText xml:space="preserve"> HYPERLINK \l _Toc25664 </w:instrText>
      </w:r>
      <w:r>
        <w:fldChar w:fldCharType="separate"/>
      </w:r>
      <w:r>
        <w:rPr>
          <w:rFonts w:hint="eastAsia" w:ascii="宋体" w:hAnsi="宋体"/>
          <w:szCs w:val="21"/>
          <w:lang w:val="en-US" w:eastAsia="zh-CN"/>
        </w:rPr>
        <w:t>C.1燃气监测设备性能要求</w:t>
      </w:r>
      <w:r>
        <w:tab/>
      </w:r>
      <w:r>
        <w:fldChar w:fldCharType="begin"/>
      </w:r>
      <w:r>
        <w:instrText xml:space="preserve"> PAGEREF _Toc25664 \h </w:instrText>
      </w:r>
      <w:r>
        <w:fldChar w:fldCharType="separate"/>
      </w:r>
      <w:r>
        <w:t>57</w:t>
      </w:r>
      <w:r>
        <w:fldChar w:fldCharType="end"/>
      </w:r>
      <w:r>
        <w:rPr>
          <w:u w:val="none"/>
        </w:rPr>
        <w:fldChar w:fldCharType="end"/>
      </w:r>
    </w:p>
    <w:p w14:paraId="62F5D69F">
      <w:pPr>
        <w:pStyle w:val="24"/>
        <w:tabs>
          <w:tab w:val="right" w:leader="dot" w:pos="8504"/>
          <w:tab w:val="clear" w:pos="420"/>
          <w:tab w:val="clear" w:pos="567"/>
          <w:tab w:val="clear" w:pos="8495"/>
        </w:tabs>
      </w:pPr>
      <w:r>
        <w:rPr>
          <w:u w:val="none"/>
        </w:rPr>
        <w:fldChar w:fldCharType="begin"/>
      </w:r>
      <w:r>
        <w:instrText xml:space="preserve"> HYPERLINK \l _Toc4788 </w:instrText>
      </w:r>
      <w:r>
        <w:fldChar w:fldCharType="separate"/>
      </w:r>
      <w:r>
        <w:rPr>
          <w:rFonts w:hint="eastAsia" w:ascii="宋体" w:hAnsi="宋体"/>
          <w:szCs w:val="21"/>
          <w:lang w:val="en-US" w:eastAsia="zh-CN"/>
        </w:rPr>
        <w:t>C</w:t>
      </w:r>
      <w:r>
        <w:rPr>
          <w:rFonts w:hint="eastAsia" w:ascii="宋体" w:hAnsi="宋体"/>
          <w:szCs w:val="21"/>
        </w:rPr>
        <w:t>.2供水</w:t>
      </w:r>
      <w:r>
        <w:rPr>
          <w:rFonts w:hint="eastAsia" w:ascii="宋体" w:hAnsi="宋体"/>
          <w:szCs w:val="21"/>
          <w:lang w:eastAsia="zh-CN"/>
        </w:rPr>
        <w:t>监测设备</w:t>
      </w:r>
      <w:r>
        <w:rPr>
          <w:rFonts w:hint="eastAsia" w:ascii="宋体" w:hAnsi="宋体"/>
          <w:szCs w:val="21"/>
          <w:lang w:val="en-US" w:eastAsia="zh-CN"/>
        </w:rPr>
        <w:t>性能</w:t>
      </w:r>
      <w:r>
        <w:rPr>
          <w:rFonts w:hint="eastAsia" w:ascii="宋体" w:hAnsi="宋体"/>
          <w:szCs w:val="21"/>
        </w:rPr>
        <w:t>要求</w:t>
      </w:r>
      <w:r>
        <w:tab/>
      </w:r>
      <w:r>
        <w:fldChar w:fldCharType="begin"/>
      </w:r>
      <w:r>
        <w:instrText xml:space="preserve"> PAGEREF _Toc4788 \h </w:instrText>
      </w:r>
      <w:r>
        <w:fldChar w:fldCharType="separate"/>
      </w:r>
      <w:r>
        <w:t>61</w:t>
      </w:r>
      <w:r>
        <w:fldChar w:fldCharType="end"/>
      </w:r>
      <w:r>
        <w:rPr>
          <w:u w:val="none"/>
        </w:rPr>
        <w:fldChar w:fldCharType="end"/>
      </w:r>
    </w:p>
    <w:p w14:paraId="546B1FBD">
      <w:pPr>
        <w:pStyle w:val="24"/>
        <w:tabs>
          <w:tab w:val="right" w:leader="dot" w:pos="8504"/>
          <w:tab w:val="clear" w:pos="420"/>
          <w:tab w:val="clear" w:pos="567"/>
          <w:tab w:val="clear" w:pos="8495"/>
        </w:tabs>
      </w:pPr>
      <w:r>
        <w:rPr>
          <w:u w:val="none"/>
        </w:rPr>
        <w:fldChar w:fldCharType="begin"/>
      </w:r>
      <w:r>
        <w:instrText xml:space="preserve"> HYPERLINK \l _Toc25423 </w:instrText>
      </w:r>
      <w:r>
        <w:fldChar w:fldCharType="separate"/>
      </w:r>
      <w:r>
        <w:rPr>
          <w:rFonts w:hint="eastAsia" w:ascii="宋体" w:hAnsi="宋体"/>
          <w:szCs w:val="21"/>
          <w:lang w:val="en-US" w:eastAsia="zh-CN"/>
        </w:rPr>
        <w:t>C</w:t>
      </w:r>
      <w:r>
        <w:rPr>
          <w:rFonts w:hint="eastAsia" w:ascii="宋体" w:hAnsi="宋体"/>
          <w:szCs w:val="21"/>
        </w:rPr>
        <w:t>.3排水</w:t>
      </w:r>
      <w:r>
        <w:rPr>
          <w:rFonts w:hint="eastAsia" w:ascii="宋体" w:hAnsi="宋体"/>
          <w:szCs w:val="21"/>
          <w:lang w:eastAsia="zh-CN"/>
        </w:rPr>
        <w:t>监测设备</w:t>
      </w:r>
      <w:r>
        <w:rPr>
          <w:rFonts w:hint="eastAsia" w:ascii="宋体" w:hAnsi="宋体"/>
          <w:szCs w:val="21"/>
          <w:lang w:val="en-US" w:eastAsia="zh-CN"/>
        </w:rPr>
        <w:t>性能</w:t>
      </w:r>
      <w:r>
        <w:rPr>
          <w:rFonts w:hint="eastAsia" w:ascii="宋体" w:hAnsi="宋体"/>
          <w:szCs w:val="21"/>
        </w:rPr>
        <w:t>要求</w:t>
      </w:r>
      <w:r>
        <w:tab/>
      </w:r>
      <w:r>
        <w:fldChar w:fldCharType="begin"/>
      </w:r>
      <w:r>
        <w:instrText xml:space="preserve"> PAGEREF _Toc25423 \h </w:instrText>
      </w:r>
      <w:r>
        <w:fldChar w:fldCharType="separate"/>
      </w:r>
      <w:r>
        <w:t>64</w:t>
      </w:r>
      <w:r>
        <w:fldChar w:fldCharType="end"/>
      </w:r>
      <w:r>
        <w:rPr>
          <w:u w:val="none"/>
        </w:rPr>
        <w:fldChar w:fldCharType="end"/>
      </w:r>
    </w:p>
    <w:p w14:paraId="671AB8CB">
      <w:pPr>
        <w:pStyle w:val="24"/>
        <w:tabs>
          <w:tab w:val="right" w:leader="dot" w:pos="8504"/>
          <w:tab w:val="clear" w:pos="420"/>
          <w:tab w:val="clear" w:pos="567"/>
          <w:tab w:val="clear" w:pos="8495"/>
        </w:tabs>
      </w:pPr>
      <w:r>
        <w:rPr>
          <w:u w:val="none"/>
        </w:rPr>
        <w:fldChar w:fldCharType="begin"/>
      </w:r>
      <w:r>
        <w:instrText xml:space="preserve"> HYPERLINK \l _Toc23755 </w:instrText>
      </w:r>
      <w:r>
        <w:fldChar w:fldCharType="separate"/>
      </w:r>
      <w:r>
        <w:rPr>
          <w:rFonts w:hint="eastAsia" w:ascii="宋体" w:hAnsi="宋体"/>
          <w:szCs w:val="21"/>
          <w:lang w:val="en-US" w:eastAsia="zh-CN"/>
        </w:rPr>
        <w:t>C</w:t>
      </w:r>
      <w:r>
        <w:rPr>
          <w:rFonts w:hint="eastAsia" w:ascii="宋体" w:hAnsi="宋体"/>
          <w:szCs w:val="21"/>
        </w:rPr>
        <w:t>.4热力</w:t>
      </w:r>
      <w:r>
        <w:rPr>
          <w:rFonts w:hint="eastAsia" w:ascii="宋体" w:hAnsi="宋体"/>
          <w:szCs w:val="21"/>
          <w:lang w:eastAsia="zh-CN"/>
        </w:rPr>
        <w:t>监测设备</w:t>
      </w:r>
      <w:r>
        <w:rPr>
          <w:rFonts w:hint="eastAsia" w:ascii="宋体" w:hAnsi="宋体"/>
          <w:szCs w:val="21"/>
          <w:lang w:val="en-US" w:eastAsia="zh-CN"/>
        </w:rPr>
        <w:t>性能</w:t>
      </w:r>
      <w:r>
        <w:rPr>
          <w:rFonts w:hint="eastAsia" w:ascii="宋体" w:hAnsi="宋体"/>
          <w:szCs w:val="21"/>
        </w:rPr>
        <w:t>要求</w:t>
      </w:r>
      <w:r>
        <w:tab/>
      </w:r>
      <w:r>
        <w:fldChar w:fldCharType="begin"/>
      </w:r>
      <w:r>
        <w:instrText xml:space="preserve"> PAGEREF _Toc23755 \h </w:instrText>
      </w:r>
      <w:r>
        <w:fldChar w:fldCharType="separate"/>
      </w:r>
      <w:r>
        <w:t>67</w:t>
      </w:r>
      <w:r>
        <w:fldChar w:fldCharType="end"/>
      </w:r>
      <w:r>
        <w:rPr>
          <w:u w:val="none"/>
        </w:rPr>
        <w:fldChar w:fldCharType="end"/>
      </w:r>
    </w:p>
    <w:p w14:paraId="33B79598">
      <w:pPr>
        <w:pStyle w:val="24"/>
        <w:tabs>
          <w:tab w:val="right" w:leader="dot" w:pos="8504"/>
          <w:tab w:val="clear" w:pos="420"/>
          <w:tab w:val="clear" w:pos="567"/>
          <w:tab w:val="clear" w:pos="8495"/>
        </w:tabs>
      </w:pPr>
      <w:r>
        <w:rPr>
          <w:u w:val="none"/>
        </w:rPr>
        <w:fldChar w:fldCharType="begin"/>
      </w:r>
      <w:r>
        <w:instrText xml:space="preserve"> HYPERLINK \l _Toc28894 </w:instrText>
      </w:r>
      <w:r>
        <w:fldChar w:fldCharType="separate"/>
      </w:r>
      <w:r>
        <w:rPr>
          <w:rFonts w:hint="eastAsia" w:ascii="宋体" w:hAnsi="宋体"/>
          <w:szCs w:val="21"/>
          <w:lang w:val="en-US" w:eastAsia="zh-CN"/>
        </w:rPr>
        <w:t>C</w:t>
      </w:r>
      <w:r>
        <w:rPr>
          <w:rFonts w:hint="eastAsia" w:ascii="宋体" w:hAnsi="宋体"/>
          <w:szCs w:val="21"/>
        </w:rPr>
        <w:t>.5桥梁</w:t>
      </w:r>
      <w:r>
        <w:rPr>
          <w:rFonts w:hint="eastAsia" w:ascii="宋体" w:hAnsi="宋体"/>
          <w:szCs w:val="21"/>
          <w:lang w:eastAsia="zh-CN"/>
        </w:rPr>
        <w:t>监测设备</w:t>
      </w:r>
      <w:r>
        <w:rPr>
          <w:rFonts w:hint="eastAsia" w:ascii="宋体" w:hAnsi="宋体"/>
          <w:szCs w:val="21"/>
          <w:lang w:val="en-US" w:eastAsia="zh-CN"/>
        </w:rPr>
        <w:t>性能</w:t>
      </w:r>
      <w:r>
        <w:rPr>
          <w:rFonts w:hint="eastAsia" w:ascii="宋体" w:hAnsi="宋体"/>
          <w:szCs w:val="21"/>
        </w:rPr>
        <w:t>要求</w:t>
      </w:r>
      <w:r>
        <w:tab/>
      </w:r>
      <w:r>
        <w:fldChar w:fldCharType="begin"/>
      </w:r>
      <w:r>
        <w:instrText xml:space="preserve"> PAGEREF _Toc28894 \h </w:instrText>
      </w:r>
      <w:r>
        <w:fldChar w:fldCharType="separate"/>
      </w:r>
      <w:r>
        <w:t>70</w:t>
      </w:r>
      <w:r>
        <w:fldChar w:fldCharType="end"/>
      </w:r>
      <w:r>
        <w:rPr>
          <w:u w:val="none"/>
        </w:rPr>
        <w:fldChar w:fldCharType="end"/>
      </w:r>
    </w:p>
    <w:p w14:paraId="53C668DF">
      <w:pPr>
        <w:pStyle w:val="24"/>
        <w:tabs>
          <w:tab w:val="right" w:leader="dot" w:pos="8504"/>
          <w:tab w:val="clear" w:pos="420"/>
          <w:tab w:val="clear" w:pos="567"/>
          <w:tab w:val="clear" w:pos="8495"/>
        </w:tabs>
      </w:pPr>
      <w:r>
        <w:rPr>
          <w:u w:val="none"/>
        </w:rPr>
        <w:fldChar w:fldCharType="begin"/>
      </w:r>
      <w:r>
        <w:instrText xml:space="preserve"> HYPERLINK \l _Toc11201 </w:instrText>
      </w:r>
      <w:r>
        <w:fldChar w:fldCharType="separate"/>
      </w:r>
      <w:r>
        <w:rPr>
          <w:rFonts w:hint="eastAsia" w:ascii="宋体" w:hAnsi="宋体"/>
          <w:szCs w:val="21"/>
          <w:lang w:val="en-US" w:eastAsia="zh-CN"/>
        </w:rPr>
        <w:t>C</w:t>
      </w:r>
      <w:r>
        <w:rPr>
          <w:rFonts w:hint="eastAsia" w:ascii="宋体" w:hAnsi="宋体"/>
          <w:szCs w:val="21"/>
        </w:rPr>
        <w:t>.6隧道</w:t>
      </w:r>
      <w:r>
        <w:rPr>
          <w:rFonts w:hint="eastAsia" w:ascii="宋体" w:hAnsi="宋体"/>
          <w:szCs w:val="21"/>
          <w:lang w:eastAsia="zh-CN"/>
        </w:rPr>
        <w:t>监测设备</w:t>
      </w:r>
      <w:r>
        <w:rPr>
          <w:rFonts w:hint="eastAsia" w:ascii="宋体" w:hAnsi="宋体"/>
          <w:szCs w:val="21"/>
          <w:lang w:val="en-US" w:eastAsia="zh-CN"/>
        </w:rPr>
        <w:t>性能</w:t>
      </w:r>
      <w:r>
        <w:rPr>
          <w:rFonts w:hint="eastAsia" w:ascii="宋体" w:hAnsi="宋体"/>
          <w:szCs w:val="21"/>
        </w:rPr>
        <w:t>要求</w:t>
      </w:r>
      <w:r>
        <w:tab/>
      </w:r>
      <w:r>
        <w:fldChar w:fldCharType="begin"/>
      </w:r>
      <w:r>
        <w:instrText xml:space="preserve"> PAGEREF _Toc11201 \h </w:instrText>
      </w:r>
      <w:r>
        <w:fldChar w:fldCharType="separate"/>
      </w:r>
      <w:r>
        <w:t>73</w:t>
      </w:r>
      <w:r>
        <w:fldChar w:fldCharType="end"/>
      </w:r>
      <w:r>
        <w:rPr>
          <w:u w:val="none"/>
        </w:rPr>
        <w:fldChar w:fldCharType="end"/>
      </w:r>
    </w:p>
    <w:p w14:paraId="23F8EA2C">
      <w:pPr>
        <w:pStyle w:val="24"/>
        <w:tabs>
          <w:tab w:val="right" w:leader="dot" w:pos="8504"/>
          <w:tab w:val="clear" w:pos="420"/>
          <w:tab w:val="clear" w:pos="567"/>
          <w:tab w:val="clear" w:pos="8495"/>
        </w:tabs>
      </w:pPr>
      <w:r>
        <w:rPr>
          <w:u w:val="none"/>
        </w:rPr>
        <w:fldChar w:fldCharType="begin"/>
      </w:r>
      <w:r>
        <w:instrText xml:space="preserve"> HYPERLINK \l _Toc27570 </w:instrText>
      </w:r>
      <w:r>
        <w:fldChar w:fldCharType="separate"/>
      </w:r>
      <w:r>
        <w:rPr>
          <w:rFonts w:hint="eastAsia" w:ascii="黑体" w:hAnsi="黑体" w:eastAsia="黑体" w:cs="黑体"/>
          <w:szCs w:val="21"/>
        </w:rPr>
        <w:t>附录</w:t>
      </w:r>
      <w:r>
        <w:rPr>
          <w:rFonts w:hint="eastAsia" w:ascii="黑体" w:hAnsi="黑体" w:eastAsia="黑体" w:cs="黑体"/>
          <w:szCs w:val="21"/>
          <w:lang w:val="en-US" w:eastAsia="zh-CN"/>
        </w:rPr>
        <w:t>D</w:t>
      </w:r>
      <w:r>
        <w:rPr>
          <w:rFonts w:hint="eastAsia" w:ascii="黑体" w:hAnsi="黑体" w:eastAsia="黑体" w:cs="黑体"/>
          <w:szCs w:val="21"/>
        </w:rPr>
        <w:t xml:space="preserve"> </w:t>
      </w:r>
      <w:r>
        <w:rPr>
          <w:rFonts w:hint="eastAsia" w:ascii="黑体" w:hAnsi="黑体" w:eastAsia="黑体" w:cs="黑体"/>
          <w:bCs w:val="0"/>
          <w:szCs w:val="21"/>
        </w:rPr>
        <w:t xml:space="preserve">（资料性） </w:t>
      </w:r>
      <w:r>
        <w:rPr>
          <w:rFonts w:hint="eastAsia" w:ascii="黑体" w:hAnsi="黑体" w:eastAsia="黑体" w:cs="黑体"/>
          <w:bCs w:val="0"/>
          <w:szCs w:val="21"/>
          <w:lang w:val="en-US" w:eastAsia="zh-CN"/>
        </w:rPr>
        <w:t>系统架构示意图</w:t>
      </w:r>
      <w:r>
        <w:tab/>
      </w:r>
      <w:r>
        <w:fldChar w:fldCharType="begin"/>
      </w:r>
      <w:r>
        <w:instrText xml:space="preserve"> PAGEREF _Toc27570 \h </w:instrText>
      </w:r>
      <w:r>
        <w:fldChar w:fldCharType="separate"/>
      </w:r>
      <w:r>
        <w:t>77</w:t>
      </w:r>
      <w:r>
        <w:fldChar w:fldCharType="end"/>
      </w:r>
      <w:r>
        <w:rPr>
          <w:u w:val="none"/>
        </w:rPr>
        <w:fldChar w:fldCharType="end"/>
      </w:r>
    </w:p>
    <w:p w14:paraId="2D95552D">
      <w:pPr>
        <w:pStyle w:val="24"/>
        <w:tabs>
          <w:tab w:val="right" w:leader="dot" w:pos="8504"/>
          <w:tab w:val="clear" w:pos="420"/>
          <w:tab w:val="clear" w:pos="567"/>
          <w:tab w:val="clear" w:pos="8495"/>
        </w:tabs>
      </w:pPr>
      <w:r>
        <w:rPr>
          <w:u w:val="none"/>
        </w:rPr>
        <w:fldChar w:fldCharType="begin"/>
      </w:r>
      <w:r>
        <w:instrText xml:space="preserve"> HYPERLINK \l _Toc6209 </w:instrText>
      </w:r>
      <w:r>
        <w:fldChar w:fldCharType="separate"/>
      </w:r>
      <w:r>
        <w:rPr>
          <w:rFonts w:hint="eastAsia" w:ascii="黑体" w:hAnsi="黑体" w:eastAsia="黑体" w:cs="黑体"/>
          <w:szCs w:val="21"/>
        </w:rPr>
        <w:t>附录</w:t>
      </w:r>
      <w:r>
        <w:rPr>
          <w:rFonts w:hint="eastAsia" w:ascii="黑体" w:hAnsi="黑体" w:eastAsia="黑体" w:cs="黑体"/>
          <w:szCs w:val="21"/>
          <w:lang w:val="en-US" w:eastAsia="zh-CN"/>
        </w:rPr>
        <w:t>E</w:t>
      </w:r>
      <w:r>
        <w:rPr>
          <w:rFonts w:hint="eastAsia" w:ascii="黑体" w:hAnsi="黑体" w:eastAsia="黑体" w:cs="黑体"/>
          <w:szCs w:val="21"/>
        </w:rPr>
        <w:t xml:space="preserve"> </w:t>
      </w:r>
      <w:r>
        <w:rPr>
          <w:rFonts w:hint="eastAsia" w:ascii="黑体" w:hAnsi="黑体" w:eastAsia="黑体" w:cs="黑体"/>
          <w:bCs w:val="0"/>
          <w:szCs w:val="21"/>
        </w:rPr>
        <w:t>（资料性） 湖北省地方标准实施信息及意见反馈表</w:t>
      </w:r>
      <w:r>
        <w:tab/>
      </w:r>
      <w:r>
        <w:fldChar w:fldCharType="begin"/>
      </w:r>
      <w:r>
        <w:instrText xml:space="preserve"> PAGEREF _Toc6209 \h </w:instrText>
      </w:r>
      <w:r>
        <w:fldChar w:fldCharType="separate"/>
      </w:r>
      <w:r>
        <w:t>78</w:t>
      </w:r>
      <w:r>
        <w:fldChar w:fldCharType="end"/>
      </w:r>
      <w:r>
        <w:rPr>
          <w:u w:val="none"/>
        </w:rPr>
        <w:fldChar w:fldCharType="end"/>
      </w:r>
    </w:p>
    <w:p w14:paraId="2269DAEA">
      <w:pPr>
        <w:pStyle w:val="24"/>
        <w:rPr>
          <w:u w:val="none"/>
        </w:rPr>
        <w:sectPr>
          <w:headerReference r:id="rId15" w:type="first"/>
          <w:headerReference r:id="rId14" w:type="default"/>
          <w:footerReference r:id="rId16" w:type="even"/>
          <w:pgSz w:w="11907" w:h="16840"/>
          <w:pgMar w:top="1440" w:right="1418" w:bottom="1440" w:left="1418" w:header="851" w:footer="992" w:gutter="567"/>
          <w:pgBorders>
            <w:top w:val="none" w:sz="0" w:space="0"/>
            <w:left w:val="none" w:sz="0" w:space="0"/>
            <w:bottom w:val="none" w:sz="0" w:space="0"/>
            <w:right w:val="none" w:sz="0" w:space="0"/>
          </w:pgBorders>
          <w:pgNumType w:fmt="upperRoman" w:start="1"/>
          <w:cols w:space="720" w:num="1"/>
          <w:docGrid w:type="linesAndChars" w:linePitch="312" w:charSpace="0"/>
        </w:sectPr>
      </w:pPr>
      <w:r>
        <w:rPr>
          <w:u w:val="none"/>
        </w:rPr>
        <w:fldChar w:fldCharType="end"/>
      </w:r>
    </w:p>
    <w:p w14:paraId="5C0CBAC1"/>
    <w:p w14:paraId="7DE35689">
      <w:pPr>
        <w:spacing w:before="31" w:after="31"/>
        <w:sectPr>
          <w:headerReference r:id="rId17" w:type="default"/>
          <w:footerReference r:id="rId18" w:type="default"/>
          <w:pgSz w:w="11907" w:h="16840"/>
          <w:pgMar w:top="1440" w:right="1418" w:bottom="1440" w:left="1418" w:header="851" w:footer="992" w:gutter="567"/>
          <w:pgBorders>
            <w:top w:val="none" w:sz="0" w:space="0"/>
            <w:left w:val="none" w:sz="0" w:space="0"/>
            <w:bottom w:val="none" w:sz="0" w:space="0"/>
            <w:right w:val="none" w:sz="0" w:space="0"/>
          </w:pgBorders>
          <w:pgNumType w:fmt="upperRoman" w:start="1"/>
          <w:cols w:space="720" w:num="1"/>
          <w:docGrid w:type="linesAndChars" w:linePitch="312" w:charSpace="0"/>
        </w:sectPr>
      </w:pPr>
    </w:p>
    <w:p w14:paraId="3E0E6F71">
      <w:pPr>
        <w:pStyle w:val="2"/>
        <w:spacing w:before="31" w:after="31"/>
        <w:jc w:val="center"/>
        <w:rPr>
          <w:rFonts w:ascii="黑体" w:hAnsi="黑体" w:eastAsia="黑体"/>
          <w:b w:val="0"/>
          <w:bCs w:val="0"/>
          <w:sz w:val="32"/>
          <w:szCs w:val="32"/>
        </w:rPr>
      </w:pPr>
      <w:bookmarkStart w:id="1" w:name="_Toc190108982"/>
      <w:bookmarkStart w:id="2" w:name="_Toc183528820"/>
      <w:r>
        <w:rPr>
          <w:rFonts w:hint="eastAsia" w:ascii="黑体" w:hAnsi="黑体" w:eastAsia="黑体"/>
          <w:b w:val="0"/>
          <w:bCs w:val="0"/>
          <w:sz w:val="32"/>
          <w:szCs w:val="32"/>
        </w:rPr>
        <w:t xml:space="preserve"> </w:t>
      </w:r>
      <w:bookmarkStart w:id="3" w:name="_Toc25961"/>
      <w:r>
        <w:rPr>
          <w:rFonts w:hint="eastAsia" w:ascii="黑体" w:hAnsi="黑体" w:eastAsia="黑体"/>
          <w:b w:val="0"/>
          <w:bCs w:val="0"/>
          <w:sz w:val="32"/>
          <w:szCs w:val="32"/>
        </w:rPr>
        <w:t>前  言</w:t>
      </w:r>
      <w:bookmarkEnd w:id="1"/>
      <w:bookmarkEnd w:id="2"/>
      <w:bookmarkEnd w:id="3"/>
    </w:p>
    <w:p w14:paraId="1CED069D">
      <w:pPr>
        <w:pStyle w:val="92"/>
        <w:spacing w:beforeLines="0" w:afterLines="50"/>
        <w:ind w:firstLine="436"/>
        <w:rPr>
          <w:dstrike/>
          <w:spacing w:val="4"/>
          <w:szCs w:val="21"/>
        </w:rPr>
      </w:pPr>
      <w:bookmarkStart w:id="4" w:name="_Hlk178261118"/>
      <w:r>
        <w:rPr>
          <w:rFonts w:hint="eastAsia"/>
          <w:spacing w:val="4"/>
          <w:szCs w:val="21"/>
        </w:rPr>
        <w:t>本文件按照GB/T1.1-2020</w:t>
      </w:r>
      <w:bookmarkStart w:id="5" w:name="OLE_LINK121"/>
      <w:bookmarkStart w:id="6" w:name="OLE_LINK122"/>
      <w:r>
        <w:rPr>
          <w:rFonts w:hint="eastAsia"/>
          <w:spacing w:val="4"/>
          <w:szCs w:val="21"/>
        </w:rPr>
        <w:t>《标准化工作导则 第1部分：标准化文件的结构和起草规则》的规定起草</w:t>
      </w:r>
      <w:bookmarkEnd w:id="5"/>
      <w:bookmarkEnd w:id="6"/>
      <w:r>
        <w:rPr>
          <w:rFonts w:hint="eastAsia"/>
          <w:spacing w:val="4"/>
          <w:szCs w:val="21"/>
        </w:rPr>
        <w:t>。</w:t>
      </w:r>
    </w:p>
    <w:bookmarkEnd w:id="4"/>
    <w:p w14:paraId="21242BB1">
      <w:pPr>
        <w:pStyle w:val="92"/>
        <w:spacing w:beforeLines="0" w:afterLines="50"/>
        <w:ind w:firstLine="420"/>
        <w:rPr>
          <w:spacing w:val="4"/>
          <w:szCs w:val="21"/>
        </w:rPr>
      </w:pPr>
      <w:r>
        <w:rPr>
          <w:rFonts w:hint="eastAsia"/>
        </w:rPr>
        <w:t>请注意本</w:t>
      </w:r>
      <w:r>
        <w:rPr>
          <w:rFonts w:hint="eastAsia"/>
          <w:spacing w:val="4"/>
          <w:szCs w:val="21"/>
        </w:rPr>
        <w:t>文件</w:t>
      </w:r>
      <w:r>
        <w:rPr>
          <w:rFonts w:hint="eastAsia"/>
        </w:rPr>
        <w:t>的某些内容可能涉及专利。本文件的发布机构不承担识别专利的责任。</w:t>
      </w:r>
    </w:p>
    <w:p w14:paraId="01E3EDD6">
      <w:pPr>
        <w:pStyle w:val="92"/>
        <w:spacing w:beforeLines="0" w:afterLines="50"/>
        <w:ind w:firstLine="436"/>
      </w:pPr>
      <w:r>
        <w:rPr>
          <w:rFonts w:hint="eastAsia"/>
          <w:spacing w:val="4"/>
          <w:szCs w:val="21"/>
        </w:rPr>
        <w:t>本文件由</w:t>
      </w:r>
      <w:bookmarkStart w:id="7" w:name="OLE_LINK17"/>
      <w:bookmarkStart w:id="8" w:name="OLE_LINK16"/>
      <w:r>
        <w:rPr>
          <w:rFonts w:hint="eastAsia"/>
          <w:spacing w:val="4"/>
          <w:szCs w:val="21"/>
        </w:rPr>
        <w:t>湖北省住房和城乡建设厅</w:t>
      </w:r>
      <w:bookmarkEnd w:id="7"/>
      <w:bookmarkEnd w:id="8"/>
      <w:r>
        <w:rPr>
          <w:rFonts w:hint="eastAsia"/>
          <w:spacing w:val="4"/>
          <w:szCs w:val="21"/>
        </w:rPr>
        <w:t>提出并归口。</w:t>
      </w:r>
    </w:p>
    <w:p w14:paraId="4A6CEB00">
      <w:pPr>
        <w:pStyle w:val="92"/>
        <w:spacing w:beforeLines="0" w:afterLines="50"/>
        <w:ind w:firstLine="436"/>
        <w:rPr>
          <w:rFonts w:hint="eastAsia" w:eastAsia="宋体"/>
          <w:spacing w:val="4"/>
          <w:szCs w:val="21"/>
          <w:lang w:eastAsia="zh-CN"/>
        </w:rPr>
      </w:pPr>
      <w:r>
        <w:rPr>
          <w:rFonts w:hint="eastAsia"/>
          <w:spacing w:val="4"/>
          <w:szCs w:val="21"/>
        </w:rPr>
        <w:t>本文件起草单位：</w:t>
      </w:r>
      <w:r>
        <w:rPr>
          <w:rFonts w:hint="eastAsia"/>
        </w:rPr>
        <w:t>中国市政工程中南设计研究总院有限公司</w:t>
      </w:r>
      <w:r>
        <w:rPr>
          <w:rFonts w:hint="eastAsia"/>
          <w:lang w:eastAsia="zh-CN"/>
        </w:rPr>
        <w:t>、</w:t>
      </w:r>
      <w:r>
        <w:rPr>
          <w:rFonts w:hint="eastAsia"/>
          <w:spacing w:val="4"/>
          <w:szCs w:val="21"/>
        </w:rPr>
        <w:t>湖北省城市生命线建设发展有限公司</w:t>
      </w:r>
      <w:r>
        <w:rPr>
          <w:rFonts w:hint="eastAsia"/>
          <w:spacing w:val="4"/>
          <w:szCs w:val="21"/>
          <w:lang w:eastAsia="zh-CN"/>
        </w:rPr>
        <w:t>、</w:t>
      </w:r>
      <w:r>
        <w:rPr>
          <w:rFonts w:hint="eastAsia"/>
          <w:spacing w:val="4"/>
          <w:szCs w:val="21"/>
          <w:lang w:val="en-US" w:eastAsia="zh-CN"/>
        </w:rPr>
        <w:t>武汉理工大学、</w:t>
      </w:r>
      <w:r>
        <w:rPr>
          <w:rFonts w:hint="eastAsia"/>
          <w:spacing w:val="4"/>
          <w:szCs w:val="21"/>
        </w:rPr>
        <w:t>湖北省城乡建设发展中心</w:t>
      </w:r>
      <w:r>
        <w:rPr>
          <w:rFonts w:hint="eastAsia"/>
          <w:spacing w:val="4"/>
          <w:szCs w:val="21"/>
          <w:lang w:eastAsia="zh-CN"/>
        </w:rPr>
        <w:t>、</w:t>
      </w:r>
      <w:r>
        <w:rPr>
          <w:rFonts w:hint="eastAsia"/>
          <w:spacing w:val="4"/>
          <w:szCs w:val="21"/>
        </w:rPr>
        <w:t>武汉安耐捷科技工程有限公司</w:t>
      </w:r>
      <w:r>
        <w:rPr>
          <w:rFonts w:hint="eastAsia"/>
          <w:spacing w:val="4"/>
          <w:szCs w:val="21"/>
          <w:lang w:eastAsia="zh-CN"/>
        </w:rPr>
        <w:t>、</w:t>
      </w:r>
      <w:r>
        <w:rPr>
          <w:rFonts w:hint="eastAsia"/>
          <w:spacing w:val="4"/>
          <w:szCs w:val="21"/>
        </w:rPr>
        <w:t>武汉城市公共设施运营管理集团有限公司</w:t>
      </w:r>
      <w:r>
        <w:rPr>
          <w:rFonts w:hint="eastAsia"/>
          <w:spacing w:val="4"/>
          <w:szCs w:val="21"/>
          <w:lang w:eastAsia="zh-CN"/>
        </w:rPr>
        <w:t>、武汉烽理光电技术有限公司、湖北省智慧交通研究院有限公司</w:t>
      </w:r>
    </w:p>
    <w:p w14:paraId="39096535">
      <w:pPr>
        <w:pStyle w:val="92"/>
        <w:spacing w:beforeLines="0" w:afterLines="50"/>
        <w:ind w:firstLine="436"/>
        <w:rPr>
          <w:rFonts w:hint="default" w:eastAsia="宋体"/>
          <w:spacing w:val="4"/>
          <w:szCs w:val="21"/>
          <w:highlight w:val="none"/>
          <w:lang w:val="en-US" w:eastAsia="zh-CN"/>
        </w:rPr>
      </w:pPr>
      <w:r>
        <w:rPr>
          <w:rFonts w:hint="eastAsia"/>
          <w:spacing w:val="4"/>
          <w:szCs w:val="21"/>
        </w:rPr>
        <w:t>本文件主要起草人：</w:t>
      </w:r>
      <w:r>
        <w:rPr>
          <w:rFonts w:hint="eastAsia"/>
          <w:spacing w:val="4"/>
          <w:szCs w:val="21"/>
          <w:lang w:val="en-US" w:eastAsia="zh-CN"/>
        </w:rPr>
        <w:t>谢文刚、郭启华、周标、杨萌、申均卫、徐一旻、李英杰、齐鸣、付维新、黄亚晖、</w:t>
      </w:r>
      <w:r>
        <w:rPr>
          <w:rFonts w:hint="eastAsia"/>
          <w:spacing w:val="4"/>
          <w:szCs w:val="21"/>
          <w:highlight w:val="none"/>
          <w:lang w:val="en-US" w:eastAsia="zh-CN"/>
        </w:rPr>
        <w:t>吴兵、</w:t>
      </w:r>
      <w:r>
        <w:rPr>
          <w:rFonts w:hint="eastAsia"/>
          <w:spacing w:val="4"/>
          <w:szCs w:val="21"/>
          <w:lang w:val="en-US" w:eastAsia="zh-CN"/>
        </w:rPr>
        <w:t>刘坦、余璟、王艳娟、邱亭、刘鹏、</w:t>
      </w:r>
      <w:r>
        <w:rPr>
          <w:rFonts w:hint="eastAsia"/>
          <w:spacing w:val="4"/>
          <w:szCs w:val="21"/>
          <w:highlight w:val="none"/>
          <w:lang w:val="en-US" w:eastAsia="zh-CN"/>
        </w:rPr>
        <w:t>黄鹏、李双菊、易晨光</w:t>
      </w:r>
      <w:r>
        <w:rPr>
          <w:rFonts w:hint="eastAsia"/>
          <w:szCs w:val="21"/>
          <w:highlight w:val="none"/>
          <w:lang w:eastAsia="zh-CN"/>
        </w:rPr>
        <w:t>、</w:t>
      </w:r>
      <w:r>
        <w:rPr>
          <w:rFonts w:hint="eastAsia"/>
          <w:spacing w:val="4"/>
          <w:szCs w:val="21"/>
          <w:highlight w:val="none"/>
          <w:lang w:val="en-US" w:eastAsia="zh-CN"/>
        </w:rPr>
        <w:t>何小龙、黄志华、姚厚杰、乔正凡、张怀宇、黄华、陈安安、</w:t>
      </w:r>
      <w:r>
        <w:rPr>
          <w:szCs w:val="21"/>
          <w:highlight w:val="none"/>
        </w:rPr>
        <w:t>邢亚</w:t>
      </w:r>
      <w:r>
        <w:rPr>
          <w:rFonts w:hint="eastAsia"/>
          <w:spacing w:val="4"/>
          <w:szCs w:val="21"/>
          <w:lang w:val="en-US" w:eastAsia="zh-CN"/>
        </w:rPr>
        <w:t>东、周锐、闫奇众、</w:t>
      </w:r>
      <w:r>
        <w:rPr>
          <w:rFonts w:hint="eastAsia"/>
          <w:highlight w:val="none"/>
        </w:rPr>
        <w:t>张庆</w:t>
      </w:r>
      <w:r>
        <w:rPr>
          <w:rFonts w:hint="eastAsia"/>
          <w:spacing w:val="4"/>
          <w:szCs w:val="21"/>
          <w:highlight w:val="none"/>
          <w:lang w:val="en-US" w:eastAsia="zh-CN"/>
        </w:rPr>
        <w:t>、胡自和、张君、</w:t>
      </w:r>
      <w:r>
        <w:rPr>
          <w:rFonts w:hint="eastAsia"/>
          <w:spacing w:val="4"/>
          <w:szCs w:val="21"/>
          <w:lang w:val="en-US" w:eastAsia="zh-CN"/>
        </w:rPr>
        <w:t>肖新波、</w:t>
      </w:r>
      <w:r>
        <w:rPr>
          <w:rFonts w:hint="eastAsia"/>
          <w:spacing w:val="4"/>
          <w:szCs w:val="21"/>
          <w:highlight w:val="none"/>
          <w:lang w:val="en-US" w:eastAsia="zh-CN"/>
        </w:rPr>
        <w:t>李璐、</w:t>
      </w:r>
      <w:r>
        <w:rPr>
          <w:rFonts w:hint="eastAsia"/>
          <w:szCs w:val="21"/>
          <w:highlight w:val="none"/>
          <w:lang w:val="en-US" w:eastAsia="zh-CN"/>
        </w:rPr>
        <w:t>刘丹、</w:t>
      </w:r>
      <w:r>
        <w:rPr>
          <w:rFonts w:hint="eastAsia"/>
          <w:spacing w:val="4"/>
          <w:szCs w:val="21"/>
          <w:highlight w:val="none"/>
          <w:lang w:val="en-US" w:eastAsia="zh-CN"/>
        </w:rPr>
        <w:t>张波、乐超鹏、</w:t>
      </w:r>
      <w:r>
        <w:rPr>
          <w:rFonts w:hint="eastAsia"/>
          <w:spacing w:val="4"/>
          <w:szCs w:val="21"/>
          <w:lang w:val="en-US" w:eastAsia="zh-CN"/>
        </w:rPr>
        <w:t>庞奕</w:t>
      </w:r>
      <w:r>
        <w:rPr>
          <w:rFonts w:hint="eastAsia"/>
          <w:spacing w:val="4"/>
          <w:szCs w:val="21"/>
          <w:highlight w:val="none"/>
          <w:lang w:val="en-US" w:eastAsia="zh-CN"/>
        </w:rPr>
        <w:t>、王愚</w:t>
      </w:r>
    </w:p>
    <w:p w14:paraId="12434CFA">
      <w:pPr>
        <w:pStyle w:val="92"/>
        <w:spacing w:beforeLines="0" w:afterLines="50"/>
        <w:ind w:firstLine="420"/>
      </w:pPr>
      <w:r>
        <w:rPr>
          <w:rFonts w:hint="eastAsia"/>
        </w:rPr>
        <w:t>本文件实施应用中的疑问，可咨询湖北省住房和城乡建设厅，联系电话：027-68873088，邮箱：</w:t>
      </w:r>
      <w:r>
        <w:t>bkc@hbszjt.net.cn</w:t>
      </w:r>
      <w:r>
        <w:rPr>
          <w:rFonts w:hint="eastAsia"/>
        </w:rPr>
        <w:t>。在执行过程中如有意见和建议邮寄：武汉市江岸区解放公园路8号（中国市政工程中南设计研究总院有限公司），邮编：430010，电话：027-82631888，</w:t>
      </w:r>
      <w:r>
        <w:fldChar w:fldCharType="begin"/>
      </w:r>
      <w:r>
        <w:instrText xml:space="preserve"> HYPERLINK "mailto:邮箱znszyadmin@citic.com" </w:instrText>
      </w:r>
      <w:r>
        <w:fldChar w:fldCharType="separate"/>
      </w:r>
      <w:r>
        <w:rPr>
          <w:rStyle w:val="42"/>
          <w:rFonts w:hint="eastAsia"/>
        </w:rPr>
        <w:t>邮箱</w:t>
      </w:r>
      <w:r>
        <w:rPr>
          <w:rStyle w:val="42"/>
        </w:rPr>
        <w:t>znszyadmin@citic.com</w:t>
      </w:r>
      <w:r>
        <w:rPr>
          <w:rStyle w:val="42"/>
        </w:rPr>
        <w:fldChar w:fldCharType="end"/>
      </w:r>
      <w:r>
        <w:rPr>
          <w:rFonts w:hint="eastAsia"/>
        </w:rPr>
        <w:t>。</w:t>
      </w:r>
    </w:p>
    <w:p w14:paraId="4908DB81">
      <w:pPr>
        <w:pStyle w:val="92"/>
        <w:spacing w:beforeLines="0" w:afterLines="50"/>
        <w:ind w:firstLine="420"/>
      </w:pPr>
    </w:p>
    <w:p w14:paraId="43E61699">
      <w:pPr>
        <w:pStyle w:val="92"/>
        <w:spacing w:beforeLines="0" w:afterLines="50"/>
        <w:ind w:firstLine="420"/>
        <w:sectPr>
          <w:headerReference r:id="rId19" w:type="default"/>
          <w:footerReference r:id="rId20" w:type="default"/>
          <w:footerReference r:id="rId21" w:type="even"/>
          <w:pgSz w:w="11907" w:h="16840"/>
          <w:pgMar w:top="1440" w:right="1418" w:bottom="1440" w:left="1418" w:header="851" w:footer="992" w:gutter="567"/>
          <w:pgBorders>
            <w:top w:val="none" w:sz="0" w:space="0"/>
            <w:left w:val="none" w:sz="0" w:space="0"/>
            <w:bottom w:val="none" w:sz="0" w:space="0"/>
            <w:right w:val="none" w:sz="0" w:space="0"/>
          </w:pgBorders>
          <w:pgNumType w:fmt="upperRoman" w:start="5"/>
          <w:cols w:space="720" w:num="1"/>
          <w:docGrid w:type="linesAndChars" w:linePitch="312" w:charSpace="0"/>
        </w:sectPr>
      </w:pPr>
    </w:p>
    <w:p w14:paraId="5CAAC3AA">
      <w:pPr>
        <w:pStyle w:val="92"/>
        <w:spacing w:beforeLines="0" w:afterLines="50"/>
        <w:ind w:firstLine="420"/>
      </w:pPr>
    </w:p>
    <w:p w14:paraId="414049E1">
      <w:pPr>
        <w:pStyle w:val="2"/>
        <w:spacing w:before="31" w:after="31"/>
        <w:jc w:val="center"/>
        <w:rPr>
          <w:rFonts w:ascii="黑体" w:hAnsi="黑体" w:eastAsia="黑体"/>
          <w:b w:val="0"/>
          <w:bCs w:val="0"/>
          <w:sz w:val="32"/>
          <w:szCs w:val="32"/>
        </w:rPr>
      </w:pPr>
      <w:bookmarkStart w:id="9" w:name="_Toc183528821"/>
      <w:bookmarkStart w:id="10" w:name="_Toc8482"/>
      <w:bookmarkStart w:id="11" w:name="_Toc190108983"/>
      <w:r>
        <w:rPr>
          <w:rFonts w:hint="eastAsia" w:ascii="黑体" w:hAnsi="黑体" w:eastAsia="黑体"/>
          <w:b w:val="0"/>
          <w:bCs w:val="0"/>
          <w:sz w:val="32"/>
          <w:szCs w:val="32"/>
        </w:rPr>
        <w:t>引  言</w:t>
      </w:r>
      <w:bookmarkEnd w:id="9"/>
      <w:bookmarkEnd w:id="10"/>
      <w:bookmarkEnd w:id="11"/>
    </w:p>
    <w:p w14:paraId="20266315">
      <w:pPr>
        <w:pStyle w:val="92"/>
        <w:spacing w:beforeLines="0" w:afterLines="0"/>
        <w:ind w:firstLine="420"/>
        <w:rPr>
          <w:lang w:val="en-US" w:eastAsia="zh-CN"/>
        </w:rPr>
      </w:pPr>
      <w:r>
        <w:rPr>
          <w:lang w:val="en-US" w:eastAsia="zh-CN"/>
        </w:rPr>
        <w:t>为规范湖北省</w:t>
      </w:r>
      <w:r>
        <w:rPr>
          <w:rFonts w:hint="eastAsia"/>
          <w:lang w:val="en-US" w:eastAsia="zh-CN"/>
        </w:rPr>
        <w:t>城市基础设施生命线安全工程</w:t>
      </w:r>
      <w:r>
        <w:rPr>
          <w:lang w:val="en-US" w:eastAsia="zh-CN"/>
        </w:rPr>
        <w:t>建设与</w:t>
      </w:r>
      <w:r>
        <w:rPr>
          <w:rFonts w:hint="eastAsia"/>
          <w:lang w:val="en-US" w:eastAsia="zh-CN"/>
        </w:rPr>
        <w:t>运行维护</w:t>
      </w:r>
      <w:r>
        <w:rPr>
          <w:lang w:val="en-US" w:eastAsia="zh-CN"/>
        </w:rPr>
        <w:t>管理，落实安全风险源头预防、动态管控与系统治理要求，健全城市</w:t>
      </w:r>
      <w:r>
        <w:rPr>
          <w:rFonts w:hint="eastAsia"/>
          <w:lang w:val="en-US" w:eastAsia="zh-CN"/>
        </w:rPr>
        <w:t>基础设施</w:t>
      </w:r>
      <w:r>
        <w:rPr>
          <w:lang w:val="en-US" w:eastAsia="zh-CN"/>
        </w:rPr>
        <w:t>生命线安全防控体系，提升城市安全风险精细化管控和应急保障能力，有效防范化解生命线工程重大安全风险，特制定本</w:t>
      </w:r>
      <w:r>
        <w:rPr>
          <w:rFonts w:hint="default"/>
          <w:lang w:val="en-US" w:eastAsia="zh-CN"/>
        </w:rPr>
        <w:t>文件</w:t>
      </w:r>
      <w:r>
        <w:rPr>
          <w:lang w:val="en-US" w:eastAsia="zh-CN"/>
        </w:rPr>
        <w:t>。</w:t>
      </w:r>
    </w:p>
    <w:p w14:paraId="71625490">
      <w:pPr>
        <w:pStyle w:val="92"/>
        <w:spacing w:beforeLines="0" w:afterLines="0"/>
        <w:ind w:firstLine="420"/>
        <w:sectPr>
          <w:pgSz w:w="11907" w:h="16840"/>
          <w:pgMar w:top="1440" w:right="1418" w:bottom="1440" w:left="1418" w:header="851" w:footer="992" w:gutter="567"/>
          <w:pgBorders>
            <w:top w:val="none" w:sz="0" w:space="0"/>
            <w:left w:val="none" w:sz="0" w:space="0"/>
            <w:bottom w:val="none" w:sz="0" w:space="0"/>
            <w:right w:val="none" w:sz="0" w:space="0"/>
          </w:pgBorders>
          <w:pgNumType w:fmt="upperRoman"/>
          <w:cols w:space="720" w:num="1"/>
          <w:docGrid w:type="linesAndChars" w:linePitch="312" w:charSpace="0"/>
        </w:sectPr>
      </w:pPr>
    </w:p>
    <w:p w14:paraId="69AE26F6">
      <w:pPr>
        <w:pStyle w:val="98"/>
        <w:spacing w:beforeLines="100" w:afterLines="100"/>
        <w:jc w:val="center"/>
        <w:rPr>
          <w:rFonts w:hint="eastAsia" w:ascii="黑体" w:eastAsia="黑体"/>
          <w:color w:val="auto"/>
          <w:sz w:val="32"/>
          <w:szCs w:val="32"/>
        </w:rPr>
      </w:pPr>
      <w:r>
        <w:rPr>
          <w:rFonts w:hint="eastAsia" w:ascii="黑体" w:eastAsia="黑体"/>
          <w:color w:val="auto"/>
          <w:sz w:val="32"/>
          <w:szCs w:val="32"/>
        </w:rPr>
        <w:t>城市生命线安全工程运行监测技术标准</w:t>
      </w:r>
    </w:p>
    <w:p w14:paraId="671739A9">
      <w:pPr>
        <w:pStyle w:val="98"/>
        <w:spacing w:beforeLines="100" w:afterLines="100"/>
        <w:jc w:val="center"/>
        <w:rPr>
          <w:rFonts w:hint="eastAsia" w:ascii="黑体" w:eastAsia="黑体"/>
          <w:color w:val="auto"/>
          <w:sz w:val="32"/>
          <w:szCs w:val="32"/>
        </w:rPr>
      </w:pPr>
    </w:p>
    <w:p w14:paraId="1FA6CEA6">
      <w:pPr>
        <w:pStyle w:val="111"/>
        <w:pageBreakBefore w:val="0"/>
        <w:numPr>
          <w:ilvl w:val="0"/>
          <w:numId w:val="1"/>
        </w:numPr>
        <w:spacing w:beforeLines="100" w:afterLines="100"/>
        <w:ind w:left="0" w:firstLine="0"/>
        <w:rPr>
          <w:sz w:val="21"/>
          <w:szCs w:val="21"/>
        </w:rPr>
      </w:pPr>
      <w:bookmarkStart w:id="12" w:name="_Toc190108984"/>
      <w:bookmarkStart w:id="13" w:name="_Toc183528822"/>
      <w:bookmarkStart w:id="14" w:name="_Toc14797"/>
      <w:bookmarkStart w:id="15" w:name="OLE_LINK3"/>
      <w:bookmarkStart w:id="16" w:name="OLE_LINK4"/>
      <w:r>
        <w:rPr>
          <w:rFonts w:hint="eastAsia"/>
          <w:sz w:val="21"/>
          <w:szCs w:val="21"/>
        </w:rPr>
        <w:t>范围</w:t>
      </w:r>
      <w:bookmarkEnd w:id="12"/>
      <w:bookmarkEnd w:id="13"/>
      <w:bookmarkEnd w:id="14"/>
    </w:p>
    <w:p w14:paraId="637489E4">
      <w:pPr>
        <w:pStyle w:val="92"/>
        <w:spacing w:beforeLines="0" w:afterLines="0"/>
        <w:ind w:firstLine="420"/>
        <w:rPr>
          <w:rFonts w:hint="eastAsia"/>
          <w:lang w:val="en-US" w:eastAsia="zh-CN"/>
        </w:rPr>
      </w:pPr>
      <w:r>
        <w:rPr>
          <w:rFonts w:hint="eastAsia"/>
          <w:lang w:val="en-US" w:eastAsia="zh-CN"/>
        </w:rPr>
        <w:t>本文件规定了湖北省城市基础设施生命线安全工程的总体要求、风险评估、监测感知网络建设、工程数据库建设、监测系统建设、基础支撑系统建设、监测中心建设、运行维护、验收等全流程技术要求。</w:t>
      </w:r>
    </w:p>
    <w:p w14:paraId="7791551A">
      <w:pPr>
        <w:pStyle w:val="92"/>
        <w:rPr>
          <w:rFonts w:hint="default"/>
          <w:lang w:val="en-US"/>
        </w:rPr>
      </w:pPr>
      <w:r>
        <w:rPr>
          <w:rFonts w:hint="eastAsia"/>
          <w:lang w:val="en-US" w:eastAsia="zh-CN"/>
        </w:rPr>
        <w:t>本</w:t>
      </w:r>
      <w:r>
        <w:rPr>
          <w:rFonts w:hint="default"/>
          <w:lang w:val="en-US" w:eastAsia="zh-CN"/>
        </w:rPr>
        <w:t>文件</w:t>
      </w:r>
      <w:r>
        <w:rPr>
          <w:rFonts w:hint="eastAsia"/>
          <w:lang w:val="en-US" w:eastAsia="zh-CN"/>
        </w:rPr>
        <w:t>适用于湖北省行政区域内</w:t>
      </w:r>
      <w:r>
        <w:rPr>
          <w:rFonts w:hint="eastAsia"/>
        </w:rPr>
        <w:t>燃气、供水、排水、热力</w:t>
      </w:r>
      <w:r>
        <w:rPr>
          <w:rFonts w:hint="eastAsia"/>
          <w:lang w:eastAsia="zh-CN"/>
        </w:rPr>
        <w:t>、</w:t>
      </w:r>
      <w:r>
        <w:rPr>
          <w:rFonts w:hint="eastAsia"/>
        </w:rPr>
        <w:t>桥梁、隧道</w:t>
      </w:r>
      <w:r>
        <w:rPr>
          <w:rFonts w:hint="eastAsia"/>
          <w:lang w:val="en-US" w:eastAsia="zh-CN"/>
        </w:rPr>
        <w:t>等城市基础设施生命线安全工程新建、改建、扩建项目的规划、设计、施工、验收、运行维护管理工作。</w:t>
      </w:r>
    </w:p>
    <w:bookmarkEnd w:id="15"/>
    <w:bookmarkEnd w:id="16"/>
    <w:p w14:paraId="267FE1D5">
      <w:pPr>
        <w:pStyle w:val="111"/>
        <w:pageBreakBefore w:val="0"/>
        <w:numPr>
          <w:ilvl w:val="0"/>
          <w:numId w:val="1"/>
        </w:numPr>
        <w:spacing w:beforeLines="100" w:afterLines="100"/>
        <w:ind w:left="0" w:firstLine="0"/>
        <w:rPr>
          <w:sz w:val="21"/>
          <w:szCs w:val="21"/>
        </w:rPr>
      </w:pPr>
      <w:bookmarkStart w:id="17" w:name="_Toc190108985"/>
      <w:bookmarkStart w:id="18" w:name="_Toc183528823"/>
      <w:bookmarkStart w:id="19" w:name="_Toc146166122"/>
      <w:bookmarkStart w:id="20" w:name="_Toc11639"/>
      <w:bookmarkStart w:id="21" w:name="_Toc146166123"/>
      <w:bookmarkStart w:id="22" w:name="_Toc120077114"/>
      <w:r>
        <w:rPr>
          <w:rFonts w:hint="eastAsia"/>
          <w:sz w:val="21"/>
          <w:szCs w:val="21"/>
        </w:rPr>
        <w:t>规范性引用文件</w:t>
      </w:r>
      <w:bookmarkEnd w:id="17"/>
      <w:bookmarkEnd w:id="18"/>
      <w:bookmarkEnd w:id="19"/>
      <w:bookmarkEnd w:id="20"/>
    </w:p>
    <w:p w14:paraId="4904EC56">
      <w:pPr>
        <w:pStyle w:val="92"/>
        <w:spacing w:beforeLines="0" w:afterLines="0"/>
        <w:ind w:firstLine="420"/>
        <w:rPr>
          <w:rFonts w:hint="eastAsia"/>
        </w:rPr>
      </w:pPr>
      <w:bookmarkStart w:id="23" w:name="OLE_LINK13"/>
      <w:bookmarkStart w:id="24" w:name="OLE_LINK12"/>
      <w:r>
        <w:rPr>
          <w:rFonts w:hint="eastAsia"/>
          <w:lang w:val="en-US" w:eastAsia="zh-CN"/>
        </w:rPr>
        <w:t>下列文件中的内容通过文中的规范性引用而构成本文件必不可少的条款。其中，注日期的引用文件，仅该日期对应的版本适用于本文件；不注日期的引用文件，其最新版本（包括所有修改单）适用于本文件。</w:t>
      </w:r>
    </w:p>
    <w:p w14:paraId="4F692069">
      <w:pPr>
        <w:pStyle w:val="92"/>
        <w:spacing w:beforeLines="0" w:afterLines="0"/>
        <w:ind w:firstLine="420"/>
        <w:rPr>
          <w:rFonts w:hint="eastAsia" w:ascii="宋体" w:hAnsi="宋体" w:eastAsia="宋体" w:cs="宋体"/>
          <w:bCs/>
          <w:color w:val="auto"/>
          <w:lang w:val="en-US" w:eastAsia="zh-CN"/>
        </w:rPr>
      </w:pPr>
      <w:r>
        <w:rPr>
          <w:rFonts w:hint="eastAsia" w:ascii="宋体" w:hAnsi="宋体" w:eastAsia="宋体" w:cs="宋体"/>
          <w:bCs/>
          <w:color w:val="auto"/>
          <w:lang w:val="en-US" w:eastAsia="zh-CN"/>
        </w:rPr>
        <w:t>GB/T 4208 外壳防护等级（IP代码）</w:t>
      </w:r>
    </w:p>
    <w:p w14:paraId="74D9F0FF">
      <w:pPr>
        <w:pStyle w:val="92"/>
        <w:spacing w:beforeLines="0" w:afterLines="0"/>
        <w:ind w:firstLine="420"/>
        <w:rPr>
          <w:rFonts w:hint="eastAsia" w:ascii="宋体" w:hAnsi="宋体" w:eastAsia="宋体" w:cs="宋体"/>
          <w:bCs/>
          <w:color w:val="auto"/>
          <w:lang w:val="en-US" w:eastAsia="zh-CN"/>
        </w:rPr>
      </w:pPr>
      <w:r>
        <w:rPr>
          <w:rFonts w:hint="eastAsia" w:ascii="宋体" w:hAnsi="宋体" w:eastAsia="宋体" w:cs="宋体"/>
          <w:bCs/>
          <w:color w:val="auto"/>
          <w:lang w:val="en-US" w:eastAsia="zh-CN"/>
        </w:rPr>
        <w:t>GB/T 22239 信息安全技术 网络安全等级保护基本要求</w:t>
      </w:r>
    </w:p>
    <w:p w14:paraId="6EE64A58">
      <w:pPr>
        <w:pStyle w:val="92"/>
        <w:spacing w:beforeLines="0" w:afterLines="0"/>
        <w:ind w:firstLine="420"/>
        <w:rPr>
          <w:rFonts w:hint="eastAsia" w:ascii="宋体" w:hAnsi="宋体" w:eastAsia="宋体" w:cs="宋体"/>
          <w:bCs/>
          <w:color w:val="auto"/>
          <w:lang w:val="en-US" w:eastAsia="zh-CN"/>
        </w:rPr>
      </w:pPr>
      <w:r>
        <w:rPr>
          <w:rFonts w:hint="eastAsia" w:ascii="宋体" w:hAnsi="宋体" w:eastAsia="宋体" w:cs="宋体"/>
          <w:bCs/>
          <w:color w:val="auto"/>
          <w:lang w:val="en-US" w:eastAsia="zh-CN"/>
        </w:rPr>
        <w:t>GB/T 24726 交通信息采集 视频交通流检测器</w:t>
      </w:r>
    </w:p>
    <w:p w14:paraId="732577D9">
      <w:pPr>
        <w:pStyle w:val="92"/>
        <w:spacing w:beforeLines="0" w:afterLines="0"/>
        <w:ind w:firstLine="420"/>
        <w:rPr>
          <w:rFonts w:hint="eastAsia" w:ascii="宋体" w:hAnsi="宋体" w:eastAsia="宋体" w:cs="宋体"/>
          <w:bCs/>
          <w:color w:val="auto"/>
          <w:lang w:val="en-US" w:eastAsia="zh-CN"/>
        </w:rPr>
      </w:pPr>
      <w:r>
        <w:rPr>
          <w:rFonts w:hint="eastAsia" w:ascii="宋体" w:hAnsi="宋体" w:eastAsia="宋体" w:cs="宋体"/>
          <w:bCs/>
          <w:color w:val="auto"/>
          <w:lang w:val="en-US" w:eastAsia="zh-CN"/>
        </w:rPr>
        <w:t>GB/T 27921 风险管理 风险评估技术</w:t>
      </w:r>
    </w:p>
    <w:p w14:paraId="6018F803">
      <w:pPr>
        <w:pStyle w:val="92"/>
        <w:spacing w:beforeLines="0" w:afterLines="0"/>
        <w:ind w:firstLine="420"/>
        <w:rPr>
          <w:rFonts w:hint="eastAsia" w:ascii="宋体" w:hAnsi="宋体" w:eastAsia="宋体" w:cs="宋体"/>
          <w:bCs/>
          <w:color w:val="auto"/>
          <w:lang w:val="en-US" w:eastAsia="zh-CN"/>
        </w:rPr>
      </w:pPr>
      <w:r>
        <w:rPr>
          <w:rFonts w:hint="eastAsia" w:ascii="宋体" w:hAnsi="宋体" w:eastAsia="宋体" w:cs="宋体"/>
          <w:bCs/>
          <w:color w:val="auto"/>
          <w:lang w:val="en-US" w:eastAsia="zh-CN"/>
        </w:rPr>
        <w:t>GB/T 28827.1 信息技术服务 运行维护 第1部分：通用要求</w:t>
      </w:r>
    </w:p>
    <w:p w14:paraId="2EF153CB">
      <w:pPr>
        <w:pStyle w:val="92"/>
        <w:spacing w:beforeLines="0" w:afterLines="0"/>
        <w:ind w:firstLine="420"/>
        <w:rPr>
          <w:rFonts w:hint="eastAsia" w:ascii="宋体" w:hAnsi="宋体" w:eastAsia="宋体" w:cs="宋体"/>
          <w:bCs/>
          <w:color w:val="auto"/>
          <w:lang w:val="en-US" w:eastAsia="zh-CN"/>
        </w:rPr>
      </w:pPr>
      <w:r>
        <w:rPr>
          <w:rFonts w:hint="eastAsia" w:ascii="宋体" w:hAnsi="宋体" w:eastAsia="宋体" w:cs="宋体"/>
          <w:bCs/>
          <w:color w:val="auto"/>
          <w:lang w:val="en-US" w:eastAsia="zh-CN"/>
        </w:rPr>
        <w:t>GB 36894 危险化学品生产装置和储存设施风险基准</w:t>
      </w:r>
    </w:p>
    <w:p w14:paraId="2A0CE8F8">
      <w:pPr>
        <w:pStyle w:val="92"/>
        <w:spacing w:beforeLines="0" w:afterLines="0"/>
        <w:ind w:firstLine="420"/>
        <w:rPr>
          <w:rFonts w:hint="eastAsia" w:ascii="宋体" w:hAnsi="宋体" w:eastAsia="宋体" w:cs="宋体"/>
          <w:bCs/>
          <w:color w:val="auto"/>
          <w:lang w:val="en-US" w:eastAsia="zh-CN"/>
        </w:rPr>
      </w:pPr>
      <w:r>
        <w:rPr>
          <w:rFonts w:hint="eastAsia" w:ascii="宋体" w:hAnsi="宋体" w:eastAsia="宋体" w:cs="宋体"/>
          <w:bCs/>
          <w:color w:val="auto"/>
          <w:lang w:val="en-US" w:eastAsia="zh-CN"/>
        </w:rPr>
        <w:t>GB/T 3836.4 爆炸性环境 第4部分：由本质安全型“i”保护的设备</w:t>
      </w:r>
    </w:p>
    <w:p w14:paraId="1AB6F41E">
      <w:pPr>
        <w:pStyle w:val="92"/>
        <w:spacing w:beforeLines="0" w:afterLines="0"/>
        <w:ind w:firstLine="420"/>
        <w:rPr>
          <w:rFonts w:hint="eastAsia" w:ascii="宋体" w:hAnsi="宋体" w:eastAsia="宋体" w:cs="宋体"/>
          <w:bCs/>
          <w:color w:val="auto"/>
          <w:lang w:val="en-US" w:eastAsia="zh-CN"/>
        </w:rPr>
      </w:pPr>
      <w:r>
        <w:rPr>
          <w:rFonts w:hint="eastAsia" w:ascii="宋体" w:hAnsi="宋体" w:eastAsia="宋体" w:cs="宋体"/>
          <w:bCs/>
          <w:color w:val="auto"/>
          <w:lang w:val="en-US" w:eastAsia="zh-CN"/>
        </w:rPr>
        <w:t>GB/T 39195 城市内涝风险普查技术规范</w:t>
      </w:r>
    </w:p>
    <w:p w14:paraId="0F3322A3">
      <w:pPr>
        <w:pStyle w:val="92"/>
        <w:spacing w:beforeLines="0" w:afterLines="0"/>
        <w:ind w:firstLine="420"/>
        <w:rPr>
          <w:rFonts w:hint="eastAsia" w:ascii="宋体" w:hAnsi="宋体" w:eastAsia="宋体" w:cs="宋体"/>
          <w:bCs/>
          <w:color w:val="auto"/>
          <w:lang w:val="en-US" w:eastAsia="zh-CN"/>
        </w:rPr>
      </w:pPr>
      <w:r>
        <w:rPr>
          <w:rFonts w:hint="eastAsia" w:ascii="宋体" w:hAnsi="宋体" w:eastAsia="宋体" w:cs="宋体"/>
          <w:bCs/>
          <w:color w:val="auto"/>
          <w:lang w:val="en-US" w:eastAsia="zh-CN"/>
        </w:rPr>
        <w:t>GB/T 39477-2020 政务信息共享数据安全技术要求</w:t>
      </w:r>
    </w:p>
    <w:p w14:paraId="5FBA8C69">
      <w:pPr>
        <w:pStyle w:val="92"/>
        <w:spacing w:beforeLines="0" w:afterLines="0"/>
        <w:ind w:firstLine="420"/>
        <w:rPr>
          <w:rFonts w:hint="eastAsia" w:ascii="宋体" w:hAnsi="宋体" w:eastAsia="宋体" w:cs="宋体"/>
          <w:bCs/>
          <w:color w:val="auto"/>
          <w:lang w:val="en-US" w:eastAsia="zh-CN"/>
        </w:rPr>
      </w:pPr>
      <w:r>
        <w:rPr>
          <w:rFonts w:hint="eastAsia" w:ascii="宋体" w:hAnsi="宋体" w:eastAsia="宋体" w:cs="宋体"/>
          <w:bCs/>
          <w:color w:val="auto"/>
          <w:lang w:val="en-US" w:eastAsia="zh-CN"/>
        </w:rPr>
        <w:t>GB/T 41401 智能井盖</w:t>
      </w:r>
    </w:p>
    <w:p w14:paraId="2583D562">
      <w:pPr>
        <w:pStyle w:val="92"/>
        <w:spacing w:beforeLines="0" w:afterLines="0"/>
        <w:ind w:firstLine="420"/>
        <w:rPr>
          <w:rFonts w:hint="eastAsia" w:ascii="宋体" w:hAnsi="宋体" w:eastAsia="宋体" w:cs="宋体"/>
          <w:bCs/>
          <w:color w:val="auto"/>
          <w:lang w:val="en-US" w:eastAsia="zh-CN"/>
        </w:rPr>
      </w:pPr>
      <w:r>
        <w:rPr>
          <w:rFonts w:hint="eastAsia" w:ascii="宋体" w:hAnsi="宋体" w:eastAsia="宋体" w:cs="宋体"/>
          <w:bCs/>
          <w:color w:val="auto"/>
          <w:lang w:val="en-US" w:eastAsia="zh-CN"/>
        </w:rPr>
        <w:t>GB/T 42768 公共安全 城市安全风险评估</w:t>
      </w:r>
    </w:p>
    <w:p w14:paraId="26E6EE2F">
      <w:pPr>
        <w:pStyle w:val="92"/>
        <w:spacing w:beforeLines="0" w:afterLines="0"/>
        <w:ind w:firstLine="420"/>
        <w:rPr>
          <w:rFonts w:hint="eastAsia" w:ascii="宋体" w:hAnsi="宋体" w:eastAsia="宋体" w:cs="宋体"/>
          <w:bCs/>
          <w:color w:val="auto"/>
          <w:lang w:val="en-US" w:eastAsia="zh-CN"/>
        </w:rPr>
      </w:pPr>
      <w:r>
        <w:rPr>
          <w:rFonts w:hint="eastAsia" w:ascii="宋体" w:hAnsi="宋体" w:eastAsia="宋体" w:cs="宋体"/>
          <w:bCs/>
          <w:color w:val="auto"/>
          <w:lang w:val="en-US" w:eastAsia="zh-CN"/>
        </w:rPr>
        <w:t>GB/T 45791 城市基础设施公共安全监测通用技术规范</w:t>
      </w:r>
    </w:p>
    <w:p w14:paraId="1BD5CB8A">
      <w:pPr>
        <w:pStyle w:val="92"/>
        <w:spacing w:beforeLines="0" w:afterLines="0"/>
        <w:ind w:firstLine="420"/>
        <w:rPr>
          <w:rFonts w:hint="eastAsia" w:ascii="宋体" w:hAnsi="宋体" w:eastAsia="宋体" w:cs="宋体"/>
          <w:bCs/>
          <w:color w:val="auto"/>
          <w:lang w:val="en-US" w:eastAsia="zh-CN"/>
        </w:rPr>
      </w:pPr>
      <w:r>
        <w:rPr>
          <w:rFonts w:hint="eastAsia" w:ascii="宋体" w:hAnsi="宋体" w:eastAsia="宋体" w:cs="宋体"/>
          <w:bCs/>
          <w:color w:val="auto"/>
          <w:lang w:val="en-US" w:eastAsia="zh-CN"/>
        </w:rPr>
        <w:t>GB 50013 室外给水设计标准</w:t>
      </w:r>
    </w:p>
    <w:p w14:paraId="7823434A">
      <w:pPr>
        <w:pStyle w:val="92"/>
        <w:spacing w:beforeLines="0" w:afterLines="0"/>
        <w:ind w:firstLine="420"/>
        <w:rPr>
          <w:rFonts w:hint="eastAsia" w:ascii="宋体" w:hAnsi="宋体" w:eastAsia="宋体" w:cs="宋体"/>
          <w:bCs/>
          <w:color w:val="auto"/>
          <w:lang w:val="en-US" w:eastAsia="zh-CN"/>
        </w:rPr>
      </w:pPr>
      <w:r>
        <w:rPr>
          <w:rFonts w:hint="eastAsia" w:ascii="宋体" w:hAnsi="宋体" w:eastAsia="宋体" w:cs="宋体"/>
          <w:bCs/>
          <w:color w:val="auto"/>
          <w:lang w:val="en-US" w:eastAsia="zh-CN"/>
        </w:rPr>
        <w:t>GB 50014 室外排水设计标准</w:t>
      </w:r>
    </w:p>
    <w:p w14:paraId="1417D202">
      <w:pPr>
        <w:pStyle w:val="92"/>
        <w:spacing w:beforeLines="0" w:afterLines="0"/>
        <w:ind w:firstLine="420"/>
        <w:rPr>
          <w:rFonts w:hint="eastAsia" w:ascii="宋体" w:hAnsi="宋体" w:eastAsia="宋体" w:cs="宋体"/>
          <w:bCs/>
          <w:color w:val="auto"/>
          <w:lang w:val="en-US" w:eastAsia="zh-CN"/>
        </w:rPr>
      </w:pPr>
      <w:r>
        <w:rPr>
          <w:rFonts w:hint="eastAsia" w:ascii="宋体" w:hAnsi="宋体" w:eastAsia="宋体" w:cs="宋体"/>
          <w:bCs/>
          <w:color w:val="auto"/>
          <w:lang w:val="en-US" w:eastAsia="zh-CN"/>
        </w:rPr>
        <w:t>GB 50028 城镇燃气设计规范</w:t>
      </w:r>
    </w:p>
    <w:p w14:paraId="6C4BD812">
      <w:pPr>
        <w:pStyle w:val="92"/>
        <w:spacing w:beforeLines="0" w:afterLines="0"/>
        <w:ind w:firstLine="420"/>
        <w:rPr>
          <w:rFonts w:hint="eastAsia" w:ascii="宋体" w:hAnsi="宋体" w:eastAsia="宋体" w:cs="宋体"/>
          <w:bCs/>
          <w:color w:val="auto"/>
          <w:lang w:val="en-US" w:eastAsia="zh-CN"/>
        </w:rPr>
      </w:pPr>
      <w:r>
        <w:rPr>
          <w:rFonts w:hint="eastAsia" w:ascii="宋体" w:hAnsi="宋体" w:eastAsia="宋体" w:cs="宋体"/>
          <w:bCs/>
          <w:color w:val="auto"/>
          <w:lang w:val="en-US" w:eastAsia="zh-CN"/>
        </w:rPr>
        <w:t>GB 50041 锅炉房设计标准</w:t>
      </w:r>
    </w:p>
    <w:p w14:paraId="1A610A07">
      <w:pPr>
        <w:pStyle w:val="92"/>
        <w:spacing w:beforeLines="0" w:afterLines="0"/>
        <w:ind w:firstLine="420"/>
        <w:rPr>
          <w:rFonts w:hint="eastAsia" w:ascii="宋体" w:hAnsi="宋体" w:eastAsia="宋体" w:cs="宋体"/>
          <w:bCs/>
          <w:color w:val="auto"/>
          <w:lang w:val="en-US" w:eastAsia="zh-CN"/>
        </w:rPr>
      </w:pPr>
      <w:r>
        <w:rPr>
          <w:rFonts w:hint="eastAsia" w:ascii="宋体" w:hAnsi="宋体" w:eastAsia="宋体" w:cs="宋体"/>
          <w:bCs/>
          <w:color w:val="auto"/>
          <w:lang w:val="en-US" w:eastAsia="zh-CN"/>
        </w:rPr>
        <w:t>GB 50265 泵站设计标准</w:t>
      </w:r>
    </w:p>
    <w:p w14:paraId="79DF322C">
      <w:pPr>
        <w:pStyle w:val="92"/>
        <w:spacing w:beforeLines="0" w:afterLines="0"/>
        <w:ind w:firstLine="420"/>
        <w:rPr>
          <w:rFonts w:hint="eastAsia" w:ascii="宋体" w:hAnsi="宋体" w:eastAsia="宋体" w:cs="宋体"/>
          <w:bCs/>
          <w:color w:val="auto"/>
          <w:lang w:val="en-US" w:eastAsia="zh-CN"/>
        </w:rPr>
      </w:pPr>
      <w:r>
        <w:rPr>
          <w:rFonts w:hint="eastAsia" w:ascii="宋体" w:hAnsi="宋体" w:eastAsia="宋体" w:cs="宋体"/>
          <w:bCs/>
          <w:color w:val="auto"/>
          <w:lang w:val="en-US" w:eastAsia="zh-CN"/>
        </w:rPr>
        <w:t>GB 55009 燃气工程项目规范</w:t>
      </w:r>
    </w:p>
    <w:p w14:paraId="0CEB6432">
      <w:pPr>
        <w:pStyle w:val="92"/>
        <w:spacing w:beforeLines="0" w:afterLines="0"/>
        <w:ind w:firstLine="420"/>
        <w:rPr>
          <w:rFonts w:hint="eastAsia" w:ascii="宋体" w:hAnsi="宋体" w:eastAsia="宋体" w:cs="宋体"/>
          <w:bCs/>
          <w:color w:val="auto"/>
          <w:lang w:val="en-US" w:eastAsia="zh-CN"/>
        </w:rPr>
      </w:pPr>
      <w:r>
        <w:rPr>
          <w:rFonts w:hint="eastAsia" w:ascii="宋体" w:hAnsi="宋体" w:eastAsia="宋体" w:cs="宋体"/>
          <w:bCs/>
          <w:color w:val="auto"/>
          <w:lang w:val="en-US" w:eastAsia="zh-CN"/>
        </w:rPr>
        <w:t>GB 55010 供热工程项目规范</w:t>
      </w:r>
    </w:p>
    <w:p w14:paraId="17EC2AB0">
      <w:pPr>
        <w:pStyle w:val="92"/>
        <w:spacing w:beforeLines="0" w:afterLines="0"/>
        <w:ind w:firstLine="420"/>
        <w:rPr>
          <w:rFonts w:hint="eastAsia" w:ascii="宋体" w:hAnsi="宋体" w:eastAsia="宋体" w:cs="宋体"/>
          <w:bCs/>
          <w:color w:val="auto"/>
          <w:lang w:val="en-US" w:eastAsia="zh-CN"/>
        </w:rPr>
      </w:pPr>
      <w:r>
        <w:rPr>
          <w:rFonts w:hint="eastAsia" w:ascii="宋体" w:hAnsi="宋体" w:eastAsia="宋体" w:cs="宋体"/>
          <w:bCs/>
          <w:color w:val="auto"/>
          <w:lang w:val="en-US" w:eastAsia="zh-CN"/>
        </w:rPr>
        <w:t>GB 55026 城市给水工程项目规范CJJ/T 34 城镇供热管网设计标准</w:t>
      </w:r>
    </w:p>
    <w:p w14:paraId="6804739C">
      <w:pPr>
        <w:pStyle w:val="92"/>
        <w:spacing w:beforeLines="0" w:afterLines="0"/>
        <w:ind w:firstLine="420"/>
        <w:rPr>
          <w:rFonts w:hint="eastAsia" w:ascii="宋体" w:hAnsi="宋体" w:eastAsia="宋体" w:cs="宋体"/>
          <w:bCs/>
          <w:color w:val="auto"/>
          <w:lang w:val="en-US" w:eastAsia="zh-CN"/>
        </w:rPr>
      </w:pPr>
      <w:r>
        <w:rPr>
          <w:rFonts w:hint="eastAsia" w:ascii="宋体" w:hAnsi="宋体" w:eastAsia="宋体" w:cs="宋体"/>
          <w:bCs/>
          <w:color w:val="auto"/>
          <w:lang w:val="en-US" w:eastAsia="zh-CN"/>
        </w:rPr>
        <w:t>CJJ 58 城镇供水厂运行、维护及安全技术规程</w:t>
      </w:r>
    </w:p>
    <w:p w14:paraId="417822BF">
      <w:pPr>
        <w:pStyle w:val="92"/>
        <w:spacing w:beforeLines="0" w:afterLines="0"/>
        <w:ind w:firstLine="420"/>
        <w:rPr>
          <w:rFonts w:hint="eastAsia" w:ascii="宋体" w:hAnsi="宋体" w:eastAsia="宋体" w:cs="宋体"/>
          <w:bCs/>
          <w:color w:val="auto"/>
          <w:lang w:val="en-US" w:eastAsia="zh-CN"/>
        </w:rPr>
      </w:pPr>
      <w:r>
        <w:rPr>
          <w:rFonts w:hint="eastAsia" w:ascii="宋体" w:hAnsi="宋体" w:eastAsia="宋体" w:cs="宋体"/>
          <w:bCs/>
          <w:color w:val="auto"/>
          <w:lang w:val="en-US" w:eastAsia="zh-CN"/>
        </w:rPr>
        <w:t>CJJ 138 城镇地热供热工程技术规程</w:t>
      </w:r>
    </w:p>
    <w:p w14:paraId="429977D8">
      <w:pPr>
        <w:pStyle w:val="92"/>
        <w:spacing w:beforeLines="0" w:afterLines="0"/>
        <w:ind w:firstLine="420"/>
        <w:rPr>
          <w:rFonts w:hint="eastAsia" w:ascii="宋体" w:hAnsi="宋体" w:eastAsia="宋体" w:cs="宋体"/>
          <w:bCs/>
          <w:color w:val="auto"/>
          <w:lang w:val="en-US" w:eastAsia="zh-CN"/>
        </w:rPr>
      </w:pPr>
      <w:r>
        <w:rPr>
          <w:rFonts w:hint="eastAsia" w:ascii="宋体" w:hAnsi="宋体" w:eastAsia="宋体" w:cs="宋体"/>
          <w:bCs/>
          <w:color w:val="auto"/>
          <w:lang w:val="en-US" w:eastAsia="zh-CN"/>
        </w:rPr>
        <w:t>CJJ/T 146 城镇燃气报警控制系统技术规程</w:t>
      </w:r>
    </w:p>
    <w:p w14:paraId="0F0BE1BD">
      <w:pPr>
        <w:pStyle w:val="92"/>
        <w:spacing w:beforeLines="0" w:afterLines="0"/>
        <w:ind w:firstLine="420"/>
        <w:rPr>
          <w:rFonts w:hint="eastAsia" w:ascii="宋体" w:hAnsi="宋体" w:eastAsia="宋体" w:cs="宋体"/>
          <w:bCs/>
          <w:color w:val="auto"/>
          <w:lang w:val="en-US" w:eastAsia="zh-CN"/>
        </w:rPr>
      </w:pPr>
      <w:r>
        <w:rPr>
          <w:rFonts w:hint="eastAsia" w:ascii="宋体" w:hAnsi="宋体" w:eastAsia="宋体" w:cs="宋体"/>
          <w:bCs/>
          <w:color w:val="auto"/>
          <w:lang w:val="en-US" w:eastAsia="zh-CN"/>
        </w:rPr>
        <w:t>CJJ/T 312城市运行管理服务平台技术标准</w:t>
      </w:r>
    </w:p>
    <w:bookmarkEnd w:id="23"/>
    <w:bookmarkEnd w:id="24"/>
    <w:p w14:paraId="1C20C050">
      <w:pPr>
        <w:pStyle w:val="111"/>
        <w:pageBreakBefore w:val="0"/>
        <w:numPr>
          <w:ilvl w:val="0"/>
          <w:numId w:val="1"/>
        </w:numPr>
        <w:spacing w:beforeLines="100" w:afterLines="100"/>
        <w:ind w:left="0" w:firstLine="0"/>
        <w:rPr>
          <w:rFonts w:hint="eastAsia"/>
          <w:sz w:val="21"/>
          <w:szCs w:val="21"/>
        </w:rPr>
      </w:pPr>
      <w:bookmarkStart w:id="25" w:name="_Toc30180"/>
      <w:bookmarkStart w:id="26" w:name="_Toc190108986"/>
      <w:bookmarkStart w:id="27" w:name="_Toc183528824"/>
      <w:r>
        <w:rPr>
          <w:rFonts w:hint="eastAsia"/>
          <w:sz w:val="21"/>
          <w:szCs w:val="21"/>
        </w:rPr>
        <w:t>术语</w:t>
      </w:r>
      <w:bookmarkEnd w:id="21"/>
      <w:bookmarkEnd w:id="22"/>
      <w:r>
        <w:rPr>
          <w:rFonts w:hint="eastAsia"/>
          <w:sz w:val="21"/>
          <w:szCs w:val="21"/>
        </w:rPr>
        <w:t>和定义</w:t>
      </w:r>
      <w:bookmarkEnd w:id="25"/>
      <w:bookmarkEnd w:id="26"/>
      <w:bookmarkEnd w:id="27"/>
    </w:p>
    <w:p w14:paraId="563A60D4">
      <w:pPr>
        <w:pStyle w:val="92"/>
        <w:spacing w:beforeLines="0" w:afterLines="0"/>
        <w:ind w:firstLine="420"/>
      </w:pPr>
      <w:bookmarkStart w:id="28" w:name="_Toc120077115"/>
      <w:r>
        <w:rPr>
          <w:rFonts w:hint="eastAsia"/>
        </w:rPr>
        <w:t>下列术语</w:t>
      </w:r>
      <w:bookmarkStart w:id="29" w:name="_Hlk178617815"/>
      <w:r>
        <w:rPr>
          <w:rFonts w:hint="eastAsia"/>
        </w:rPr>
        <w:t>和定义适用于本文件</w:t>
      </w:r>
      <w:bookmarkEnd w:id="29"/>
      <w:r>
        <w:rPr>
          <w:rFonts w:hint="eastAsia"/>
        </w:rPr>
        <w:t>。</w:t>
      </w:r>
    </w:p>
    <w:p w14:paraId="73B6B7EC">
      <w:pPr>
        <w:pStyle w:val="98"/>
        <w:spacing w:beforeLines="0" w:afterLines="0"/>
        <w:rPr>
          <w:rFonts w:hint="eastAsia" w:eastAsia="宋体"/>
          <w:b/>
          <w:color w:val="auto"/>
          <w:lang w:eastAsia="zh-CN"/>
        </w:rPr>
      </w:pPr>
      <w:r>
        <w:rPr>
          <w:rFonts w:hint="eastAsia"/>
          <w:b/>
          <w:color w:val="auto"/>
        </w:rPr>
        <w:t>3.</w:t>
      </w:r>
      <w:r>
        <w:rPr>
          <w:rFonts w:hint="eastAsia"/>
          <w:b/>
          <w:color w:val="auto"/>
          <w:lang w:val="en-US" w:eastAsia="zh-CN"/>
        </w:rPr>
        <w:t>1</w:t>
      </w:r>
    </w:p>
    <w:p w14:paraId="02A6D43E">
      <w:pPr>
        <w:pStyle w:val="92"/>
        <w:spacing w:beforeLines="0" w:afterLines="0"/>
        <w:ind w:firstLine="420"/>
        <w:rPr>
          <w:rFonts w:ascii="黑体" w:eastAsia="黑体"/>
        </w:rPr>
      </w:pPr>
      <w:bookmarkStart w:id="30" w:name="OLE_LINK319"/>
      <w:bookmarkStart w:id="31" w:name="OLE_LINK320"/>
      <w:bookmarkStart w:id="32" w:name="OLE_LINK317"/>
      <w:bookmarkStart w:id="33" w:name="OLE_LINK318"/>
      <w:bookmarkStart w:id="34" w:name="OLE_LINK48"/>
      <w:r>
        <w:rPr>
          <w:rFonts w:hint="eastAsia" w:ascii="黑体" w:eastAsia="黑体"/>
        </w:rPr>
        <w:t>城市基础设施生命线安全</w:t>
      </w:r>
      <w:bookmarkEnd w:id="30"/>
      <w:bookmarkEnd w:id="31"/>
      <w:r>
        <w:rPr>
          <w:rFonts w:hint="eastAsia" w:ascii="黑体" w:eastAsia="黑体"/>
        </w:rPr>
        <w:t>工程</w:t>
      </w:r>
      <w:bookmarkEnd w:id="32"/>
      <w:bookmarkEnd w:id="33"/>
      <w:bookmarkEnd w:id="34"/>
      <w:r>
        <w:rPr>
          <w:rFonts w:hint="eastAsia" w:ascii="黑体" w:eastAsia="黑体"/>
        </w:rPr>
        <w:t xml:space="preserve"> </w:t>
      </w:r>
      <w:r>
        <w:rPr>
          <w:rFonts w:ascii="黑体" w:eastAsia="黑体"/>
        </w:rPr>
        <w:t>safety</w:t>
      </w:r>
      <w:r>
        <w:rPr>
          <w:rFonts w:hint="eastAsia" w:ascii="黑体" w:eastAsia="黑体"/>
        </w:rPr>
        <w:t xml:space="preserve"> </w:t>
      </w:r>
      <w:bookmarkStart w:id="35" w:name="OLE_LINK38"/>
      <w:bookmarkStart w:id="36" w:name="OLE_LINK37"/>
      <w:r>
        <w:rPr>
          <w:rFonts w:ascii="黑体" w:eastAsia="黑体"/>
        </w:rPr>
        <w:t>engineering</w:t>
      </w:r>
      <w:bookmarkEnd w:id="35"/>
      <w:bookmarkEnd w:id="36"/>
      <w:r>
        <w:rPr>
          <w:rFonts w:hint="eastAsia" w:ascii="黑体" w:eastAsia="黑体"/>
          <w:lang w:val="en-US" w:eastAsia="zh-CN"/>
        </w:rPr>
        <w:t xml:space="preserve"> of </w:t>
      </w:r>
      <w:r>
        <w:rPr>
          <w:rFonts w:hint="eastAsia" w:ascii="黑体" w:eastAsia="黑体"/>
        </w:rPr>
        <w:t xml:space="preserve">urban </w:t>
      </w:r>
      <w:r>
        <w:rPr>
          <w:rFonts w:ascii="黑体" w:eastAsia="黑体"/>
        </w:rPr>
        <w:t>infrastructure lifeline</w:t>
      </w:r>
      <w:r>
        <w:rPr>
          <w:rFonts w:hint="eastAsia" w:ascii="黑体" w:eastAsia="黑体"/>
          <w:lang w:val="en-US" w:eastAsia="zh-CN"/>
        </w:rPr>
        <w:t>s</w:t>
      </w:r>
      <w:r>
        <w:rPr>
          <w:rFonts w:ascii="黑体" w:eastAsia="黑体"/>
        </w:rPr>
        <w:t xml:space="preserve"> </w:t>
      </w:r>
    </w:p>
    <w:p w14:paraId="32AB6A5D">
      <w:pPr>
        <w:pStyle w:val="92"/>
        <w:spacing w:beforeLines="0" w:afterLines="0"/>
        <w:ind w:firstLine="420"/>
      </w:pPr>
      <w:r>
        <w:rPr>
          <w:rFonts w:hint="eastAsia"/>
        </w:rPr>
        <w:t>运用物联网、大数据、人工智能等现代信息技术，对</w:t>
      </w:r>
      <w:r>
        <w:rPr>
          <w:rFonts w:hint="eastAsia"/>
          <w:lang w:val="en-US" w:eastAsia="zh-CN"/>
        </w:rPr>
        <w:t>城市</w:t>
      </w:r>
      <w:r>
        <w:rPr>
          <w:rFonts w:hint="eastAsia"/>
        </w:rPr>
        <w:t>燃气、供水、排水、热力、供电、通信、道路、桥梁、隧道、综合管廊等城市基础设施生命线的运行状态实时监测、安全风险动态预警、隐患精准溯源、突发事件协同处置</w:t>
      </w:r>
      <w:r>
        <w:t>，及早</w:t>
      </w:r>
      <w:r>
        <w:rPr>
          <w:rFonts w:hint="eastAsia"/>
        </w:rPr>
        <w:t>发现和管控风险隐患，有效防范事故发生，保障城市基础设施生命线安全运行的</w:t>
      </w:r>
      <w:r>
        <w:t>系统性工程</w:t>
      </w:r>
      <w:r>
        <w:rPr>
          <w:rFonts w:hint="eastAsia"/>
          <w:lang w:val="en-US" w:eastAsia="zh-CN"/>
        </w:rPr>
        <w:t>（</w:t>
      </w:r>
      <w:r>
        <w:rPr>
          <w:lang w:val="en-US" w:eastAsia="zh-CN"/>
        </w:rPr>
        <w:t>简称</w:t>
      </w:r>
      <w:r>
        <w:rPr>
          <w:rFonts w:hint="eastAsia"/>
          <w:lang w:val="en-US" w:eastAsia="zh-CN"/>
        </w:rPr>
        <w:t>“城市生命线安全工程”）</w:t>
      </w:r>
      <w:r>
        <w:rPr>
          <w:rFonts w:hint="eastAsia"/>
        </w:rPr>
        <w:t>。</w:t>
      </w:r>
    </w:p>
    <w:p w14:paraId="5CC28502">
      <w:pPr>
        <w:pStyle w:val="98"/>
        <w:spacing w:beforeLines="0" w:afterLines="0"/>
        <w:rPr>
          <w:rFonts w:hint="eastAsia"/>
          <w:b/>
          <w:color w:val="auto"/>
          <w:lang w:val="en-US" w:eastAsia="zh-CN"/>
        </w:rPr>
      </w:pPr>
      <w:r>
        <w:rPr>
          <w:rFonts w:hint="eastAsia"/>
          <w:b/>
          <w:color w:val="auto"/>
          <w:lang w:val="en-US" w:eastAsia="zh-CN"/>
        </w:rPr>
        <w:t>3.2</w:t>
      </w:r>
    </w:p>
    <w:p w14:paraId="57E9DE9E">
      <w:pPr>
        <w:pStyle w:val="92"/>
        <w:spacing w:beforeLines="0" w:afterLines="0"/>
        <w:ind w:firstLine="420"/>
        <w:rPr>
          <w:rFonts w:hint="eastAsia" w:ascii="黑体" w:eastAsia="黑体"/>
          <w:lang w:val="en-US" w:eastAsia="zh-CN"/>
        </w:rPr>
      </w:pPr>
      <w:r>
        <w:rPr>
          <w:rFonts w:hint="eastAsia" w:ascii="黑体" w:eastAsia="黑体"/>
          <w:lang w:val="en-US" w:eastAsia="zh-CN"/>
        </w:rPr>
        <w:t>监测感知设备 monitoring sensing device</w:t>
      </w:r>
    </w:p>
    <w:p w14:paraId="637AD964">
      <w:pPr>
        <w:pStyle w:val="92"/>
        <w:spacing w:beforeLines="0" w:afterLines="0"/>
        <w:ind w:firstLine="420"/>
      </w:pPr>
      <w:r>
        <w:rPr>
          <w:lang w:val="en-US" w:eastAsia="zh-CN"/>
        </w:rPr>
        <w:t>部署于城市生命线设施及周边环境</w:t>
      </w:r>
      <w:r>
        <w:rPr>
          <w:rFonts w:hint="eastAsia"/>
          <w:lang w:val="en-US" w:eastAsia="zh-CN"/>
        </w:rPr>
        <w:t>，</w:t>
      </w:r>
      <w:r>
        <w:rPr>
          <w:lang w:val="en-US" w:eastAsia="zh-CN"/>
        </w:rPr>
        <w:t>能够采集、识别、</w:t>
      </w:r>
      <w:r>
        <w:rPr>
          <w:rFonts w:hint="eastAsia"/>
          <w:lang w:val="en-US" w:eastAsia="zh-CN"/>
        </w:rPr>
        <w:t>监测设施的</w:t>
      </w:r>
      <w:r>
        <w:rPr>
          <w:lang w:val="en-US" w:eastAsia="zh-CN"/>
        </w:rPr>
        <w:t>温度、湿度、压力、流量、</w:t>
      </w:r>
      <w:r>
        <w:rPr>
          <w:rFonts w:hint="eastAsia"/>
          <w:lang w:val="en-US" w:eastAsia="zh-CN"/>
        </w:rPr>
        <w:t>液位、</w:t>
      </w:r>
      <w:r>
        <w:rPr>
          <w:lang w:val="en-US" w:eastAsia="zh-CN"/>
        </w:rPr>
        <w:t>气体浓度、振动</w:t>
      </w:r>
      <w:r>
        <w:rPr>
          <w:rFonts w:hint="eastAsia"/>
          <w:lang w:val="en-US" w:eastAsia="zh-CN"/>
        </w:rPr>
        <w:t>、</w:t>
      </w:r>
      <w:r>
        <w:rPr>
          <w:lang w:val="en-US" w:eastAsia="zh-CN"/>
        </w:rPr>
        <w:t>位移</w:t>
      </w:r>
      <w:r>
        <w:rPr>
          <w:rFonts w:hint="eastAsia"/>
          <w:lang w:val="en-US" w:eastAsia="zh-CN"/>
        </w:rPr>
        <w:t>、倾角</w:t>
      </w:r>
      <w:r>
        <w:rPr>
          <w:lang w:val="en-US" w:eastAsia="zh-CN"/>
        </w:rPr>
        <w:t>等运行状态与环境参数，并将物理、化学等模拟信号转换为可被系统识别、处理、传输的数字信号的硬件装置（简称</w:t>
      </w:r>
      <w:r>
        <w:rPr>
          <w:rFonts w:hint="eastAsia"/>
          <w:lang w:val="en-US" w:eastAsia="zh-CN"/>
        </w:rPr>
        <w:t>“监测</w:t>
      </w:r>
      <w:r>
        <w:rPr>
          <w:lang w:val="en-US" w:eastAsia="zh-CN"/>
        </w:rPr>
        <w:t>设备</w:t>
      </w:r>
      <w:r>
        <w:rPr>
          <w:rFonts w:hint="eastAsia"/>
          <w:lang w:val="en-US" w:eastAsia="zh-CN"/>
        </w:rPr>
        <w:t>”</w:t>
      </w:r>
      <w:r>
        <w:rPr>
          <w:lang w:val="en-US" w:eastAsia="zh-CN"/>
        </w:rPr>
        <w:t>）。</w:t>
      </w:r>
    </w:p>
    <w:bookmarkEnd w:id="28"/>
    <w:p w14:paraId="6927091D">
      <w:pPr>
        <w:pStyle w:val="98"/>
        <w:spacing w:beforeLines="0" w:afterLines="0"/>
        <w:rPr>
          <w:rFonts w:hint="eastAsia"/>
          <w:b/>
          <w:color w:val="auto"/>
          <w:lang w:val="en-US" w:eastAsia="zh-CN"/>
        </w:rPr>
      </w:pPr>
      <w:bookmarkStart w:id="37" w:name="_Toc120077117"/>
      <w:r>
        <w:rPr>
          <w:rFonts w:hint="eastAsia"/>
          <w:b/>
          <w:color w:val="auto"/>
          <w:lang w:val="en-US" w:eastAsia="zh-CN"/>
        </w:rPr>
        <w:t>3.3</w:t>
      </w:r>
    </w:p>
    <w:p w14:paraId="722276BE">
      <w:pPr>
        <w:pStyle w:val="92"/>
        <w:spacing w:beforeLines="0" w:afterLines="0"/>
        <w:ind w:firstLine="420"/>
        <w:rPr>
          <w:rFonts w:cs="Times New Roman"/>
          <w:sz w:val="28"/>
          <w:szCs w:val="28"/>
        </w:rPr>
      </w:pPr>
      <w:r>
        <w:rPr>
          <w:rFonts w:ascii="黑体" w:eastAsia="黑体"/>
        </w:rPr>
        <w:t>阈值</w:t>
      </w:r>
      <w:r>
        <w:rPr>
          <w:rFonts w:hint="eastAsia" w:ascii="黑体" w:eastAsia="黑体"/>
        </w:rPr>
        <w:t xml:space="preserve"> </w:t>
      </w:r>
      <w:r>
        <w:rPr>
          <w:rFonts w:ascii="黑体" w:eastAsia="黑体"/>
        </w:rPr>
        <w:t>threshold value</w:t>
      </w:r>
    </w:p>
    <w:p w14:paraId="361FA177">
      <w:pPr>
        <w:pStyle w:val="92"/>
        <w:spacing w:beforeLines="0" w:afterLines="0"/>
        <w:ind w:firstLine="420"/>
      </w:pPr>
      <w:r>
        <w:t>为保证基础设施运行安全及周边环境安全，对表征监测对象可能发生异常或危险状态的监测量所设定的警戒值。</w:t>
      </w:r>
    </w:p>
    <w:p w14:paraId="04F7DD41">
      <w:pPr>
        <w:pStyle w:val="98"/>
        <w:spacing w:beforeLines="0" w:afterLines="0"/>
        <w:rPr>
          <w:rFonts w:hint="eastAsia"/>
          <w:b/>
          <w:color w:val="auto"/>
          <w:lang w:val="en-US" w:eastAsia="zh-CN"/>
        </w:rPr>
      </w:pPr>
      <w:r>
        <w:rPr>
          <w:rFonts w:hint="eastAsia"/>
          <w:b/>
          <w:color w:val="auto"/>
          <w:lang w:val="en-US" w:eastAsia="zh-CN"/>
        </w:rPr>
        <w:t>3.4</w:t>
      </w:r>
    </w:p>
    <w:p w14:paraId="2BC76F00">
      <w:pPr>
        <w:pStyle w:val="92"/>
        <w:spacing w:beforeLines="0" w:afterLines="0"/>
        <w:ind w:firstLine="420"/>
        <w:rPr>
          <w:rFonts w:ascii="黑体" w:eastAsia="黑体"/>
        </w:rPr>
      </w:pPr>
      <w:r>
        <w:rPr>
          <w:rFonts w:hint="eastAsia" w:ascii="黑体" w:eastAsia="黑体"/>
        </w:rPr>
        <w:t>城市</w:t>
      </w:r>
      <w:r>
        <w:rPr>
          <w:rFonts w:hint="eastAsia" w:ascii="黑体" w:eastAsia="黑体"/>
          <w:lang w:val="en-US" w:eastAsia="zh-CN"/>
        </w:rPr>
        <w:t>基础设施</w:t>
      </w:r>
      <w:r>
        <w:rPr>
          <w:rFonts w:hint="eastAsia" w:ascii="黑体" w:eastAsia="黑体"/>
        </w:rPr>
        <w:t xml:space="preserve">生命线安全运行监测中心safety operation monitoring </w:t>
      </w:r>
      <w:r>
        <w:rPr>
          <w:rFonts w:ascii="黑体" w:eastAsia="黑体"/>
        </w:rPr>
        <w:t>center of urban infrastructure</w:t>
      </w:r>
      <w:r>
        <w:rPr>
          <w:rFonts w:hint="eastAsia" w:ascii="黑体" w:eastAsia="黑体"/>
          <w:lang w:val="en-US" w:eastAsia="zh-CN"/>
        </w:rPr>
        <w:t xml:space="preserve"> </w:t>
      </w:r>
      <w:r>
        <w:rPr>
          <w:rFonts w:ascii="黑体" w:eastAsia="黑体"/>
        </w:rPr>
        <w:t>lifeline</w:t>
      </w:r>
      <w:r>
        <w:rPr>
          <w:rFonts w:hint="eastAsia" w:ascii="黑体" w:eastAsia="黑体"/>
          <w:lang w:val="en-US" w:eastAsia="zh-CN"/>
        </w:rPr>
        <w:t>s</w:t>
      </w:r>
      <w:r>
        <w:rPr>
          <w:rFonts w:ascii="黑体" w:eastAsia="黑体"/>
        </w:rPr>
        <w:t xml:space="preserve"> </w:t>
      </w:r>
    </w:p>
    <w:p w14:paraId="5B040DDE">
      <w:pPr>
        <w:pStyle w:val="92"/>
        <w:spacing w:beforeLines="0" w:afterLines="0"/>
        <w:ind w:firstLine="420"/>
      </w:pPr>
      <w:r>
        <w:rPr>
          <w:rFonts w:hint="eastAsia"/>
        </w:rPr>
        <w:t>接收、储存和处理城市基础设施安全运行监测数据，承担</w:t>
      </w:r>
      <w:r>
        <w:rPr>
          <w:rFonts w:hint="eastAsia"/>
          <w:lang w:val="en-US" w:eastAsia="zh-CN"/>
        </w:rPr>
        <w:t>日常</w:t>
      </w:r>
      <w:r>
        <w:rPr>
          <w:rFonts w:hint="eastAsia"/>
        </w:rPr>
        <w:t>监测值守、</w:t>
      </w:r>
      <w:r>
        <w:rPr>
          <w:rFonts w:hint="eastAsia"/>
          <w:lang w:val="en-US" w:eastAsia="zh-CN"/>
        </w:rPr>
        <w:t>风险</w:t>
      </w:r>
      <w:r>
        <w:rPr>
          <w:rFonts w:hint="eastAsia"/>
        </w:rPr>
        <w:t>分析研判、</w:t>
      </w:r>
      <w:r>
        <w:rPr>
          <w:rFonts w:hint="eastAsia"/>
          <w:lang w:val="en-US" w:eastAsia="zh-CN"/>
        </w:rPr>
        <w:t>应急</w:t>
      </w:r>
      <w:r>
        <w:rPr>
          <w:rFonts w:hint="eastAsia"/>
        </w:rPr>
        <w:t>辅助决策</w:t>
      </w:r>
      <w:r>
        <w:rPr>
          <w:lang w:val="en-US" w:eastAsia="zh-CN"/>
        </w:rPr>
        <w:t>、数据上报共享等职能的</w:t>
      </w:r>
      <w:r>
        <w:rPr>
          <w:rFonts w:hint="eastAsia"/>
          <w:lang w:val="en-US" w:eastAsia="zh-CN"/>
        </w:rPr>
        <w:t>专业化运行管理机构</w:t>
      </w:r>
      <w:r>
        <w:rPr>
          <w:rFonts w:hint="eastAsia"/>
          <w:lang w:eastAsia="zh-CN"/>
        </w:rPr>
        <w:t>（</w:t>
      </w:r>
      <w:r>
        <w:rPr>
          <w:rFonts w:hint="eastAsia" w:cs="Times New Roman"/>
        </w:rPr>
        <w:t>简称“监测中心”</w:t>
      </w:r>
      <w:r>
        <w:rPr>
          <w:rFonts w:hint="eastAsia"/>
          <w:lang w:eastAsia="zh-CN"/>
        </w:rPr>
        <w:t>）</w:t>
      </w:r>
      <w:r>
        <w:rPr>
          <w:rFonts w:hint="eastAsia"/>
        </w:rPr>
        <w:t>。</w:t>
      </w:r>
    </w:p>
    <w:bookmarkEnd w:id="37"/>
    <w:p w14:paraId="47FC8D1D">
      <w:pPr>
        <w:pStyle w:val="98"/>
        <w:spacing w:beforeLines="0" w:afterLines="0"/>
        <w:rPr>
          <w:rFonts w:hint="eastAsia"/>
          <w:b/>
          <w:color w:val="auto"/>
          <w:lang w:val="en-US" w:eastAsia="zh-CN"/>
        </w:rPr>
      </w:pPr>
      <w:r>
        <w:rPr>
          <w:rFonts w:hint="eastAsia"/>
          <w:b/>
          <w:color w:val="auto"/>
          <w:lang w:val="en-US" w:eastAsia="zh-CN"/>
        </w:rPr>
        <w:t>3.5</w:t>
      </w:r>
    </w:p>
    <w:p w14:paraId="35294B85">
      <w:pPr>
        <w:pStyle w:val="92"/>
        <w:spacing w:beforeLines="0" w:afterLines="0"/>
        <w:ind w:firstLine="420"/>
        <w:rPr>
          <w:rFonts w:ascii="黑体" w:eastAsia="黑体"/>
        </w:rPr>
      </w:pPr>
      <w:r>
        <w:rPr>
          <w:rFonts w:hint="eastAsia" w:ascii="黑体" w:eastAsia="黑体"/>
        </w:rPr>
        <w:t>报警alarm</w:t>
      </w:r>
    </w:p>
    <w:p w14:paraId="7AE1FC4F">
      <w:pPr>
        <w:pStyle w:val="92"/>
        <w:spacing w:beforeLines="0" w:afterLines="0"/>
        <w:ind w:firstLine="420"/>
      </w:pPr>
      <w:r>
        <w:rPr>
          <w:rFonts w:hint="eastAsia"/>
        </w:rPr>
        <w:t>监测指标数字达到设定阈值时产生警示信号的过程。</w:t>
      </w:r>
    </w:p>
    <w:p w14:paraId="3FEF08B4">
      <w:pPr>
        <w:pStyle w:val="32"/>
        <w:widowControl w:val="0"/>
        <w:spacing w:beforeLines="10" w:afterLines="10" w:line="400" w:lineRule="exact"/>
        <w:ind w:firstLine="416"/>
        <w:jc w:val="both"/>
        <w:rPr>
          <w:rFonts w:cs="宋体"/>
          <w:kern w:val="2"/>
          <w:sz w:val="21"/>
          <w:szCs w:val="20"/>
        </w:rPr>
      </w:pPr>
      <w:r>
        <w:rPr>
          <w:rFonts w:cs="宋体"/>
          <w:kern w:val="2"/>
          <w:sz w:val="21"/>
          <w:szCs w:val="20"/>
        </w:rPr>
        <w:t>[</w:t>
      </w:r>
      <w:r>
        <w:rPr>
          <w:rFonts w:hint="eastAsia" w:cs="宋体"/>
          <w:kern w:val="2"/>
          <w:sz w:val="21"/>
          <w:szCs w:val="20"/>
        </w:rPr>
        <w:t>来源：</w:t>
      </w:r>
      <w:r>
        <w:rPr>
          <w:rFonts w:cs="宋体"/>
          <w:kern w:val="2"/>
          <w:sz w:val="21"/>
          <w:szCs w:val="20"/>
        </w:rPr>
        <w:t>GB/T45791-2025</w:t>
      </w:r>
      <w:r>
        <w:rPr>
          <w:rFonts w:hint="eastAsia" w:cs="宋体"/>
          <w:kern w:val="2"/>
          <w:sz w:val="21"/>
          <w:szCs w:val="20"/>
        </w:rPr>
        <w:t>，</w:t>
      </w:r>
      <w:r>
        <w:rPr>
          <w:rFonts w:cs="宋体"/>
          <w:kern w:val="2"/>
          <w:sz w:val="21"/>
          <w:szCs w:val="20"/>
        </w:rPr>
        <w:t>3.6]</w:t>
      </w:r>
    </w:p>
    <w:p w14:paraId="5AD6D6DA">
      <w:pPr>
        <w:pStyle w:val="98"/>
        <w:spacing w:beforeLines="0" w:afterLines="0"/>
        <w:rPr>
          <w:rFonts w:hint="eastAsia" w:eastAsia="宋体"/>
          <w:b/>
          <w:color w:val="auto"/>
          <w:lang w:eastAsia="zh-CN"/>
        </w:rPr>
      </w:pPr>
      <w:r>
        <w:rPr>
          <w:rFonts w:hint="eastAsia"/>
          <w:b/>
          <w:color w:val="auto"/>
        </w:rPr>
        <w:t>3.</w:t>
      </w:r>
      <w:r>
        <w:rPr>
          <w:rFonts w:hint="eastAsia"/>
          <w:b/>
          <w:color w:val="auto"/>
          <w:lang w:val="en-US" w:eastAsia="zh-CN"/>
        </w:rPr>
        <w:t>6</w:t>
      </w:r>
    </w:p>
    <w:p w14:paraId="276BE95C">
      <w:pPr>
        <w:pStyle w:val="92"/>
        <w:spacing w:beforeLines="0" w:afterLines="0"/>
        <w:ind w:firstLine="420"/>
      </w:pPr>
      <w:r>
        <w:rPr>
          <w:rFonts w:hint="eastAsia" w:ascii="黑体" w:eastAsia="黑体"/>
        </w:rPr>
        <w:t>预警early warning</w:t>
      </w:r>
    </w:p>
    <w:p w14:paraId="1EAD98AC">
      <w:pPr>
        <w:pStyle w:val="92"/>
        <w:spacing w:beforeLines="0" w:afterLines="0"/>
        <w:ind w:firstLine="420"/>
      </w:pPr>
      <w:r>
        <w:rPr>
          <w:rFonts w:hint="eastAsia"/>
        </w:rPr>
        <w:t>通过对报警信息进行专业分析，确定可能发生、即将发生或正在发生的风险事件，并针对性地提前或及时发出风险警示的过程。</w:t>
      </w:r>
    </w:p>
    <w:p w14:paraId="70EC52E4">
      <w:pPr>
        <w:pStyle w:val="92"/>
        <w:spacing w:beforeLines="0" w:afterLines="0"/>
        <w:ind w:firstLine="420"/>
      </w:pPr>
      <w:r>
        <w:rPr>
          <w:rFonts w:hint="eastAsia"/>
        </w:rPr>
        <w:t>[来源：GB/T45791-2025，3.7]</w:t>
      </w:r>
    </w:p>
    <w:p w14:paraId="2EAEE129">
      <w:pPr>
        <w:pStyle w:val="98"/>
        <w:spacing w:beforeLines="0" w:afterLines="0"/>
        <w:rPr>
          <w:rFonts w:hint="eastAsia" w:eastAsia="宋体"/>
          <w:b/>
          <w:color w:val="auto"/>
          <w:lang w:eastAsia="zh-CN"/>
        </w:rPr>
      </w:pPr>
      <w:r>
        <w:rPr>
          <w:rFonts w:hint="eastAsia"/>
          <w:b/>
          <w:color w:val="auto"/>
        </w:rPr>
        <w:t>3.</w:t>
      </w:r>
      <w:r>
        <w:rPr>
          <w:rFonts w:hint="eastAsia"/>
          <w:b/>
          <w:color w:val="auto"/>
          <w:lang w:val="en-US" w:eastAsia="zh-CN"/>
        </w:rPr>
        <w:t>7</w:t>
      </w:r>
    </w:p>
    <w:p w14:paraId="471E53C8">
      <w:pPr>
        <w:pStyle w:val="92"/>
        <w:spacing w:beforeLines="0" w:afterLines="0"/>
        <w:ind w:firstLine="420"/>
        <w:rPr>
          <w:rFonts w:ascii="黑体" w:eastAsia="黑体"/>
        </w:rPr>
      </w:pPr>
      <w:r>
        <w:rPr>
          <w:rFonts w:ascii="黑体" w:eastAsia="黑体"/>
        </w:rPr>
        <w:t>燃气</w:t>
      </w:r>
      <w:r>
        <w:rPr>
          <w:rFonts w:hint="eastAsia" w:ascii="黑体" w:eastAsia="黑体"/>
          <w:lang w:val="en-US" w:eastAsia="zh-CN"/>
        </w:rPr>
        <w:t>管道</w:t>
      </w:r>
      <w:r>
        <w:rPr>
          <w:rFonts w:ascii="黑体" w:eastAsia="黑体"/>
        </w:rPr>
        <w:t>相邻</w:t>
      </w:r>
      <w:r>
        <w:rPr>
          <w:rFonts w:hint="eastAsia" w:ascii="黑体" w:eastAsia="黑体"/>
          <w:lang w:val="en-US" w:eastAsia="zh-CN"/>
        </w:rPr>
        <w:t>地下</w:t>
      </w:r>
      <w:r>
        <w:rPr>
          <w:rFonts w:ascii="黑体" w:eastAsia="黑体"/>
        </w:rPr>
        <w:t>空间</w:t>
      </w:r>
      <w:r>
        <w:rPr>
          <w:rFonts w:hint="eastAsia" w:ascii="黑体" w:eastAsia="黑体"/>
          <w:lang w:val="en-US" w:eastAsia="zh-CN"/>
        </w:rPr>
        <w:t>u</w:t>
      </w:r>
      <w:r>
        <w:rPr>
          <w:rFonts w:hint="eastAsia" w:ascii="黑体" w:eastAsia="黑体"/>
        </w:rPr>
        <w:t>nderground</w:t>
      </w:r>
      <w:r>
        <w:rPr>
          <w:rFonts w:hint="eastAsia" w:ascii="黑体" w:eastAsia="黑体"/>
          <w:lang w:val="en-US" w:eastAsia="zh-CN"/>
        </w:rPr>
        <w:t xml:space="preserve"> </w:t>
      </w:r>
      <w:r>
        <w:rPr>
          <w:rFonts w:ascii="黑体" w:eastAsia="黑体"/>
        </w:rPr>
        <w:t>space</w:t>
      </w:r>
      <w:r>
        <w:rPr>
          <w:rFonts w:hint="eastAsia" w:ascii="黑体" w:eastAsia="黑体"/>
          <w:lang w:val="en-US" w:eastAsia="zh-CN"/>
        </w:rPr>
        <w:t xml:space="preserve">s </w:t>
      </w:r>
      <w:r>
        <w:rPr>
          <w:rFonts w:ascii="黑体" w:eastAsia="黑体"/>
        </w:rPr>
        <w:t>adjacent</w:t>
      </w:r>
      <w:r>
        <w:rPr>
          <w:rFonts w:hint="eastAsia" w:ascii="黑体" w:eastAsia="黑体"/>
          <w:lang w:val="en-US" w:eastAsia="zh-CN"/>
        </w:rPr>
        <w:t xml:space="preserve"> to </w:t>
      </w:r>
      <w:r>
        <w:rPr>
          <w:rFonts w:hint="eastAsia" w:ascii="黑体" w:eastAsia="黑体"/>
        </w:rPr>
        <w:t xml:space="preserve">gas </w:t>
      </w:r>
      <w:r>
        <w:rPr>
          <w:rFonts w:hint="eastAsia" w:ascii="黑体" w:eastAsia="黑体"/>
          <w:lang w:val="en-US" w:eastAsia="zh-CN"/>
        </w:rPr>
        <w:t xml:space="preserve">pipelines </w:t>
      </w:r>
      <w:r>
        <w:rPr>
          <w:rFonts w:ascii="黑体" w:eastAsia="黑体"/>
        </w:rPr>
        <w:t xml:space="preserve"> </w:t>
      </w:r>
    </w:p>
    <w:p w14:paraId="25828DE5">
      <w:pPr>
        <w:pStyle w:val="92"/>
        <w:spacing w:beforeLines="0" w:afterLines="0"/>
        <w:ind w:firstLine="420"/>
      </w:pPr>
      <w:bookmarkStart w:id="38" w:name="OLE_LINK22"/>
      <w:bookmarkStart w:id="39" w:name="OLE_LINK14"/>
      <w:r>
        <w:rPr>
          <w:rFonts w:hint="eastAsia"/>
          <w:lang w:val="en-US" w:eastAsia="zh-CN"/>
        </w:rPr>
        <w:t>紧邻燃气管道及其附属设施，相互间无有效气密分隔，泄漏</w:t>
      </w:r>
      <w:r>
        <w:rPr>
          <w:rFonts w:hint="default"/>
          <w:lang w:val="en-US" w:eastAsia="zh-CN"/>
        </w:rPr>
        <w:t>燃气</w:t>
      </w:r>
      <w:r>
        <w:rPr>
          <w:rFonts w:hint="eastAsia"/>
          <w:lang w:val="en-US" w:eastAsia="zh-CN"/>
        </w:rPr>
        <w:t>可渗透、扩散并积聚</w:t>
      </w:r>
      <w:r>
        <w:rPr>
          <w:rFonts w:hint="eastAsia" w:ascii="Times New Roman" w:hAnsi="Times New Roman" w:eastAsia="宋体" w:cs="宋体"/>
          <w:sz w:val="21"/>
          <w:szCs w:val="20"/>
        </w:rPr>
        <w:t>，易形成爆炸性混合气体</w:t>
      </w:r>
      <w:r>
        <w:rPr>
          <w:rFonts w:hint="default"/>
          <w:lang w:val="en-US" w:eastAsia="zh-CN"/>
        </w:rPr>
        <w:t>的</w:t>
      </w:r>
      <w:r>
        <w:rPr>
          <w:rFonts w:hint="eastAsia"/>
          <w:lang w:val="en-US" w:eastAsia="zh-CN"/>
        </w:rPr>
        <w:t>地下管道（井）、管沟、地下建（构）筑物</w:t>
      </w:r>
      <w:r>
        <w:rPr>
          <w:rFonts w:hint="eastAsia" w:ascii="Times New Roman" w:hAnsi="Times New Roman" w:eastAsia="宋体" w:cs="宋体"/>
          <w:sz w:val="21"/>
          <w:szCs w:val="20"/>
        </w:rPr>
        <w:t>、地下密闭夹层</w:t>
      </w:r>
      <w:r>
        <w:rPr>
          <w:rFonts w:hint="eastAsia"/>
          <w:lang w:val="en-US" w:eastAsia="zh-CN"/>
        </w:rPr>
        <w:t>等密闭或半密闭地下空间（简称“燃气管道相邻空间”）。</w:t>
      </w:r>
    </w:p>
    <w:bookmarkEnd w:id="38"/>
    <w:bookmarkEnd w:id="39"/>
    <w:p w14:paraId="37B46A7D">
      <w:pPr>
        <w:pStyle w:val="98"/>
        <w:rPr>
          <w:rFonts w:hint="eastAsia" w:cs="宋体"/>
          <w:b/>
          <w:color w:val="auto"/>
          <w:kern w:val="2"/>
          <w:sz w:val="21"/>
          <w:szCs w:val="20"/>
          <w:lang w:val="en-US" w:eastAsia="zh-CN" w:bidi="ar"/>
        </w:rPr>
      </w:pPr>
      <w:r>
        <w:rPr>
          <w:rFonts w:hint="eastAsia" w:cs="宋体"/>
          <w:b/>
          <w:color w:val="auto"/>
          <w:kern w:val="2"/>
          <w:sz w:val="21"/>
          <w:szCs w:val="20"/>
          <w:lang w:val="en-US" w:eastAsia="zh-CN" w:bidi="ar"/>
        </w:rPr>
        <w:t>3.8</w:t>
      </w:r>
    </w:p>
    <w:p w14:paraId="637B8E38">
      <w:pPr>
        <w:pStyle w:val="92"/>
        <w:spacing w:beforeLines="0" w:afterLines="0"/>
        <w:ind w:firstLine="420"/>
        <w:rPr>
          <w:rFonts w:hint="default" w:ascii="黑体" w:eastAsia="黑体"/>
          <w:b w:val="0"/>
          <w:lang w:val="en-US" w:eastAsia="zh-CN"/>
        </w:rPr>
      </w:pPr>
      <w:r>
        <w:rPr>
          <w:rFonts w:hint="default" w:ascii="黑体" w:eastAsia="黑体"/>
          <w:b w:val="0"/>
          <w:lang w:val="en-US" w:eastAsia="zh-CN"/>
        </w:rPr>
        <w:t>第三方损坏 third-party damage</w:t>
      </w:r>
    </w:p>
    <w:p w14:paraId="46F7C525">
      <w:pPr>
        <w:pStyle w:val="92"/>
        <w:spacing w:beforeLines="0" w:afterLines="0"/>
        <w:ind w:firstLine="420"/>
        <w:rPr>
          <w:rFonts w:hint="eastAsia"/>
          <w:b w:val="0"/>
          <w:color w:val="auto"/>
          <w:lang w:val="en-US" w:eastAsia="zh-CN"/>
        </w:rPr>
      </w:pPr>
      <w:r>
        <w:rPr>
          <w:rFonts w:hint="eastAsia"/>
          <w:b w:val="0"/>
          <w:color w:val="auto"/>
          <w:lang w:val="en-US" w:eastAsia="zh-CN"/>
        </w:rPr>
        <w:t>城市基础设施权属（管养）单位及与其有合同关系的承包商之外的个人或组织无意或蓄意损坏设施的行为。</w:t>
      </w:r>
    </w:p>
    <w:p w14:paraId="776AE5CF">
      <w:pPr>
        <w:pStyle w:val="92"/>
        <w:spacing w:beforeLines="0" w:afterLines="0"/>
        <w:ind w:firstLine="420"/>
        <w:rPr>
          <w:rFonts w:hint="eastAsia"/>
          <w:color w:val="auto"/>
        </w:rPr>
      </w:pPr>
      <w:r>
        <w:rPr>
          <w:rFonts w:hint="eastAsia"/>
          <w:color w:val="auto"/>
        </w:rPr>
        <w:t>[来源：GB</w:t>
      </w:r>
      <w:r>
        <w:rPr>
          <w:rFonts w:hint="eastAsia"/>
          <w:color w:val="auto"/>
          <w:lang w:val="en-US" w:eastAsia="zh-CN"/>
        </w:rPr>
        <w:t>/T</w:t>
      </w:r>
      <w:r>
        <w:rPr>
          <w:rFonts w:hint="eastAsia" w:cs="宋体"/>
          <w:b w:val="0"/>
          <w:bCs w:val="0"/>
          <w:i w:val="0"/>
          <w:iCs w:val="0"/>
          <w:caps w:val="0"/>
          <w:color w:val="auto"/>
          <w:spacing w:val="0"/>
          <w:sz w:val="21"/>
          <w:szCs w:val="20"/>
          <w:shd w:val="clear"/>
          <w:lang w:val="en-US" w:eastAsia="zh-CN"/>
        </w:rPr>
        <w:t>47764</w:t>
      </w:r>
      <w:r>
        <w:rPr>
          <w:rFonts w:hint="eastAsia" w:ascii="Times New Roman" w:hAnsi="Times New Roman" w:eastAsia="宋体" w:cs="宋体"/>
          <w:b w:val="0"/>
          <w:bCs w:val="0"/>
          <w:i w:val="0"/>
          <w:iCs w:val="0"/>
          <w:caps w:val="0"/>
          <w:color w:val="auto"/>
          <w:spacing w:val="0"/>
          <w:sz w:val="21"/>
          <w:szCs w:val="20"/>
          <w:shd w:val="clear"/>
        </w:rPr>
        <w:t>-202</w:t>
      </w:r>
      <w:r>
        <w:rPr>
          <w:rFonts w:hint="eastAsia" w:cs="宋体"/>
          <w:b w:val="0"/>
          <w:bCs w:val="0"/>
          <w:i w:val="0"/>
          <w:iCs w:val="0"/>
          <w:caps w:val="0"/>
          <w:color w:val="auto"/>
          <w:spacing w:val="0"/>
          <w:sz w:val="21"/>
          <w:szCs w:val="20"/>
          <w:shd w:val="clear"/>
          <w:lang w:val="en-US" w:eastAsia="zh-CN"/>
        </w:rPr>
        <w:t>6</w:t>
      </w:r>
      <w:r>
        <w:rPr>
          <w:rFonts w:hint="eastAsia"/>
          <w:color w:val="auto"/>
        </w:rPr>
        <w:t>，3.</w:t>
      </w:r>
      <w:r>
        <w:rPr>
          <w:rFonts w:hint="eastAsia"/>
          <w:color w:val="auto"/>
          <w:lang w:val="en-US" w:eastAsia="zh-CN"/>
        </w:rPr>
        <w:t>12，有修改</w:t>
      </w:r>
      <w:r>
        <w:rPr>
          <w:rFonts w:hint="eastAsia"/>
          <w:color w:val="auto"/>
        </w:rPr>
        <w:t>]</w:t>
      </w:r>
    </w:p>
    <w:p w14:paraId="77ED09BE">
      <w:pPr>
        <w:pStyle w:val="111"/>
        <w:pageBreakBefore w:val="0"/>
        <w:numPr>
          <w:ilvl w:val="0"/>
          <w:numId w:val="1"/>
        </w:numPr>
        <w:spacing w:beforeLines="100" w:afterLines="100"/>
        <w:ind w:left="0" w:firstLine="0"/>
        <w:rPr>
          <w:sz w:val="21"/>
          <w:szCs w:val="21"/>
        </w:rPr>
      </w:pPr>
      <w:bookmarkStart w:id="40" w:name="_Toc23822"/>
      <w:bookmarkStart w:id="41" w:name="OLE_LINK10"/>
      <w:bookmarkStart w:id="42" w:name="OLE_LINK9"/>
      <w:r>
        <w:rPr>
          <w:rFonts w:hint="eastAsia"/>
          <w:sz w:val="21"/>
          <w:szCs w:val="21"/>
          <w:lang w:eastAsia="zh-CN"/>
        </w:rPr>
        <w:t>总体要求</w:t>
      </w:r>
      <w:bookmarkEnd w:id="40"/>
    </w:p>
    <w:p w14:paraId="731F66A7">
      <w:pPr>
        <w:pStyle w:val="98"/>
        <w:spacing w:beforeLines="0" w:afterLines="0"/>
        <w:rPr>
          <w:rFonts w:hint="eastAsia" w:ascii="宋体" w:hAnsi="宋体"/>
          <w:bCs/>
          <w:color w:val="auto"/>
          <w:highlight w:val="none"/>
          <w:lang w:val="en-US" w:eastAsia="zh-CN"/>
        </w:rPr>
      </w:pPr>
      <w:r>
        <w:rPr>
          <w:rFonts w:ascii="宋体" w:hAnsi="宋体"/>
          <w:bCs/>
          <w:color w:val="auto"/>
          <w:highlight w:val="none"/>
          <w:lang w:val="en-US" w:eastAsia="zh-CN"/>
        </w:rPr>
        <w:t>4.</w:t>
      </w:r>
      <w:r>
        <w:rPr>
          <w:rFonts w:hint="eastAsia" w:ascii="宋体" w:hAnsi="宋体"/>
          <w:bCs/>
          <w:color w:val="auto"/>
          <w:highlight w:val="none"/>
          <w:lang w:val="en-US" w:eastAsia="zh-CN"/>
        </w:rPr>
        <w:t>1 城市生命线安全运行维护平台</w:t>
      </w:r>
      <w:r>
        <w:rPr>
          <w:rFonts w:hint="eastAsia" w:ascii="宋体" w:hAnsi="宋体"/>
          <w:bCs/>
          <w:color w:val="auto"/>
        </w:rPr>
        <w:t>可新建或</w:t>
      </w:r>
      <w:r>
        <w:rPr>
          <w:rFonts w:hint="eastAsia" w:ascii="宋体" w:hAnsi="宋体"/>
          <w:bCs/>
          <w:color w:val="auto"/>
          <w:lang w:val="en-US" w:eastAsia="zh-CN"/>
        </w:rPr>
        <w:t>在</w:t>
      </w:r>
      <w:r>
        <w:rPr>
          <w:rFonts w:hint="eastAsia" w:ascii="宋体" w:hAnsi="宋体"/>
          <w:bCs/>
          <w:color w:val="auto"/>
        </w:rPr>
        <w:t>城市运行管理服务平台</w:t>
      </w:r>
      <w:r>
        <w:rPr>
          <w:rFonts w:hint="eastAsia" w:ascii="宋体" w:hAnsi="宋体"/>
          <w:bCs/>
          <w:color w:val="auto"/>
          <w:lang w:val="en-US" w:eastAsia="zh-CN"/>
        </w:rPr>
        <w:t>等政务平台架构内进行建设，</w:t>
      </w:r>
      <w:r>
        <w:rPr>
          <w:rFonts w:hint="eastAsia" w:ascii="宋体" w:hAnsi="宋体"/>
          <w:bCs/>
          <w:color w:val="auto"/>
          <w:highlight w:val="none"/>
          <w:lang w:val="en-US" w:eastAsia="zh-CN"/>
        </w:rPr>
        <w:t>分为</w:t>
      </w:r>
      <w:r>
        <w:rPr>
          <w:rFonts w:hint="eastAsia" w:ascii="宋体" w:hAnsi="宋体"/>
          <w:bCs/>
          <w:color w:val="auto"/>
        </w:rPr>
        <w:t>省级、市级、县级三个层级</w:t>
      </w:r>
      <w:r>
        <w:rPr>
          <w:rFonts w:hint="eastAsia" w:ascii="宋体" w:hAnsi="宋体"/>
          <w:bCs/>
          <w:color w:val="auto"/>
          <w:lang w:eastAsia="zh-CN"/>
        </w:rPr>
        <w:t>，</w:t>
      </w:r>
      <w:r>
        <w:rPr>
          <w:rFonts w:hint="eastAsia" w:ascii="宋体" w:hAnsi="宋体"/>
          <w:bCs/>
          <w:color w:val="auto"/>
          <w:highlight w:val="none"/>
          <w:lang w:val="en-US" w:eastAsia="zh-CN"/>
        </w:rPr>
        <w:t>各级平台宜通过国家电子政务外网实现互联互通、数据交换和业务协同，</w:t>
      </w:r>
      <w:r>
        <w:rPr>
          <w:rFonts w:hint="eastAsia" w:ascii="宋体" w:hAnsi="宋体"/>
          <w:bCs/>
          <w:color w:val="auto"/>
          <w:lang w:val="en-US" w:eastAsia="zh-CN"/>
        </w:rPr>
        <w:t>平台建设除符合本文件要求外，还</w:t>
      </w:r>
      <w:r>
        <w:rPr>
          <w:rFonts w:hint="eastAsia" w:ascii="宋体" w:hAnsi="宋体"/>
          <w:bCs/>
          <w:color w:val="auto"/>
          <w:highlight w:val="none"/>
          <w:lang w:val="en-US" w:eastAsia="zh-CN"/>
        </w:rPr>
        <w:t>应符合</w:t>
      </w:r>
      <w:r>
        <w:rPr>
          <w:rFonts w:hint="eastAsia" w:ascii="宋体" w:hAnsi="宋体" w:eastAsia="宋体" w:cs="宋体"/>
          <w:bCs/>
          <w:color w:val="auto"/>
          <w:highlight w:val="none"/>
          <w:lang w:val="en-US" w:eastAsia="zh-CN"/>
        </w:rPr>
        <w:t>CJJ/T 312</w:t>
      </w:r>
      <w:r>
        <w:rPr>
          <w:rFonts w:hint="eastAsia" w:ascii="宋体" w:hAnsi="宋体" w:cs="宋体"/>
          <w:bCs/>
          <w:color w:val="auto"/>
          <w:highlight w:val="none"/>
          <w:lang w:val="en-US" w:eastAsia="zh-CN"/>
        </w:rPr>
        <w:t>要求</w:t>
      </w:r>
      <w:r>
        <w:rPr>
          <w:rFonts w:hint="eastAsia" w:ascii="宋体" w:hAnsi="宋体"/>
          <w:bCs/>
          <w:color w:val="auto"/>
          <w:highlight w:val="none"/>
          <w:lang w:val="en-US" w:eastAsia="zh-CN"/>
        </w:rPr>
        <w:t>。</w:t>
      </w:r>
    </w:p>
    <w:p w14:paraId="1193C879">
      <w:pPr>
        <w:pStyle w:val="98"/>
        <w:spacing w:beforeLines="0" w:afterLines="0"/>
        <w:rPr>
          <w:rFonts w:ascii="宋体" w:hAnsi="宋体"/>
          <w:bCs/>
          <w:color w:val="auto"/>
        </w:rPr>
      </w:pPr>
      <w:r>
        <w:rPr>
          <w:rFonts w:ascii="宋体" w:hAnsi="宋体"/>
          <w:bCs/>
          <w:color w:val="auto"/>
          <w:lang w:val="en-US" w:eastAsia="zh-CN"/>
        </w:rPr>
        <w:t>4.</w:t>
      </w:r>
      <w:r>
        <w:rPr>
          <w:rFonts w:hint="eastAsia" w:ascii="宋体" w:hAnsi="宋体"/>
          <w:bCs/>
          <w:color w:val="auto"/>
          <w:lang w:val="en-US" w:eastAsia="zh-CN"/>
        </w:rPr>
        <w:t>2</w:t>
      </w:r>
      <w:r>
        <w:rPr>
          <w:rFonts w:ascii="宋体" w:hAnsi="宋体"/>
          <w:bCs/>
          <w:color w:val="auto"/>
          <w:lang w:val="en-US" w:eastAsia="zh-CN"/>
        </w:rPr>
        <w:t xml:space="preserve"> </w:t>
      </w:r>
      <w:r>
        <w:rPr>
          <w:rFonts w:hint="eastAsia" w:ascii="宋体" w:hAnsi="宋体"/>
          <w:bCs/>
          <w:color w:val="auto"/>
          <w:lang w:val="en-US" w:eastAsia="zh-CN"/>
        </w:rPr>
        <w:t>城市生命线安全工程</w:t>
      </w:r>
      <w:r>
        <w:rPr>
          <w:rFonts w:ascii="宋体" w:hAnsi="宋体"/>
          <w:bCs/>
          <w:color w:val="auto"/>
          <w:lang w:val="en-US" w:eastAsia="zh-CN"/>
        </w:rPr>
        <w:t>建设</w:t>
      </w:r>
      <w:r>
        <w:rPr>
          <w:rFonts w:hint="eastAsia" w:ascii="宋体" w:hAnsi="宋体"/>
          <w:bCs/>
          <w:color w:val="auto"/>
          <w:lang w:val="en-US" w:eastAsia="zh-CN"/>
        </w:rPr>
        <w:t>、运行维护体系应闭环完整，主要包含风险评估、</w:t>
      </w:r>
      <w:r>
        <w:rPr>
          <w:rFonts w:ascii="宋体" w:hAnsi="宋体"/>
          <w:bCs/>
          <w:color w:val="auto"/>
          <w:lang w:val="en-US" w:eastAsia="zh-CN"/>
        </w:rPr>
        <w:t>监测感知网</w:t>
      </w:r>
      <w:r>
        <w:rPr>
          <w:rFonts w:ascii="宋体" w:hAnsi="宋体"/>
          <w:bCs/>
          <w:color w:val="auto"/>
          <w:highlight w:val="none"/>
          <w:lang w:val="en-US" w:eastAsia="zh-CN"/>
        </w:rPr>
        <w:t>络</w:t>
      </w:r>
      <w:r>
        <w:rPr>
          <w:rFonts w:ascii="宋体" w:hAnsi="宋体"/>
          <w:bCs/>
          <w:color w:val="auto"/>
          <w:lang w:val="en-US" w:eastAsia="zh-CN"/>
        </w:rPr>
        <w:t>建设、工程数据库建设、监测系统建设、基础支撑系统建设、监测中心建设</w:t>
      </w:r>
      <w:r>
        <w:rPr>
          <w:rFonts w:hint="eastAsia" w:ascii="宋体" w:hAnsi="宋体"/>
          <w:bCs/>
          <w:color w:val="auto"/>
          <w:lang w:val="en-US" w:eastAsia="zh-CN"/>
        </w:rPr>
        <w:t>、</w:t>
      </w:r>
      <w:r>
        <w:rPr>
          <w:rFonts w:hint="eastAsia" w:ascii="宋体" w:hAnsi="宋体"/>
          <w:bCs/>
          <w:color w:val="auto"/>
        </w:rPr>
        <w:t>运行维护</w:t>
      </w:r>
      <w:r>
        <w:rPr>
          <w:rFonts w:hint="eastAsia" w:ascii="宋体" w:hAnsi="宋体"/>
          <w:bCs/>
          <w:color w:val="auto"/>
          <w:lang w:eastAsia="zh-CN"/>
        </w:rPr>
        <w:t>、</w:t>
      </w:r>
      <w:r>
        <w:rPr>
          <w:rFonts w:hint="eastAsia" w:ascii="宋体" w:hAnsi="宋体"/>
          <w:bCs/>
          <w:color w:val="auto"/>
          <w:lang w:val="en-US" w:eastAsia="zh-CN"/>
        </w:rPr>
        <w:t>验收</w:t>
      </w:r>
      <w:r>
        <w:rPr>
          <w:rFonts w:ascii="宋体" w:hAnsi="宋体"/>
          <w:bCs/>
          <w:color w:val="auto"/>
          <w:lang w:val="en-US" w:eastAsia="zh-CN"/>
        </w:rPr>
        <w:t>等环节。</w:t>
      </w:r>
    </w:p>
    <w:p w14:paraId="449C361C">
      <w:pPr>
        <w:pStyle w:val="98"/>
        <w:spacing w:beforeLines="0" w:afterLines="0"/>
        <w:rPr>
          <w:rFonts w:ascii="宋体" w:hAnsi="宋体"/>
          <w:bCs/>
          <w:color w:val="auto"/>
        </w:rPr>
      </w:pPr>
      <w:r>
        <w:rPr>
          <w:rFonts w:ascii="宋体" w:hAnsi="宋体"/>
          <w:bCs/>
          <w:color w:val="auto"/>
          <w:lang w:val="en-US" w:eastAsia="zh-CN"/>
        </w:rPr>
        <w:t>4.</w:t>
      </w:r>
      <w:r>
        <w:rPr>
          <w:rFonts w:hint="eastAsia" w:ascii="宋体" w:hAnsi="宋体"/>
          <w:bCs/>
          <w:color w:val="auto"/>
          <w:lang w:val="en-US" w:eastAsia="zh-CN"/>
        </w:rPr>
        <w:t>3</w:t>
      </w:r>
      <w:r>
        <w:rPr>
          <w:rFonts w:ascii="宋体" w:hAnsi="宋体"/>
          <w:bCs/>
          <w:color w:val="auto"/>
          <w:lang w:val="en-US" w:eastAsia="zh-CN"/>
        </w:rPr>
        <w:t xml:space="preserve"> </w:t>
      </w:r>
      <w:r>
        <w:rPr>
          <w:rFonts w:hint="eastAsia" w:ascii="宋体" w:hAnsi="宋体"/>
          <w:bCs/>
          <w:color w:val="auto"/>
          <w:lang w:val="en-US" w:eastAsia="zh-CN"/>
        </w:rPr>
        <w:t>城市生命线安全工程</w:t>
      </w:r>
      <w:r>
        <w:rPr>
          <w:rFonts w:ascii="宋体" w:hAnsi="宋体"/>
          <w:bCs/>
          <w:color w:val="auto"/>
          <w:lang w:val="en-US" w:eastAsia="zh-CN"/>
        </w:rPr>
        <w:t>建设应遵循整体规划、分步实施的原则。新建城市生命线基础设施应同步配套建设</w:t>
      </w:r>
      <w:r>
        <w:rPr>
          <w:rFonts w:hint="eastAsia" w:ascii="宋体" w:hAnsi="宋体"/>
          <w:bCs/>
          <w:color w:val="auto"/>
          <w:lang w:val="en-US" w:eastAsia="zh-CN"/>
        </w:rPr>
        <w:t>监测</w:t>
      </w:r>
      <w:r>
        <w:rPr>
          <w:rFonts w:ascii="宋体" w:hAnsi="宋体"/>
          <w:bCs/>
          <w:color w:val="auto"/>
          <w:lang w:val="en-US" w:eastAsia="zh-CN"/>
        </w:rPr>
        <w:t>设备，实现</w:t>
      </w:r>
      <w:r>
        <w:rPr>
          <w:rFonts w:hint="eastAsia" w:ascii="宋体" w:hAnsi="宋体"/>
          <w:bCs/>
          <w:color w:val="auto"/>
          <w:lang w:val="en-US" w:eastAsia="zh-CN"/>
        </w:rPr>
        <w:t>同步</w:t>
      </w:r>
      <w:r>
        <w:rPr>
          <w:rFonts w:ascii="宋体" w:hAnsi="宋体"/>
          <w:bCs/>
          <w:color w:val="auto"/>
          <w:lang w:val="en-US" w:eastAsia="zh-CN"/>
        </w:rPr>
        <w:t>设计、</w:t>
      </w:r>
      <w:r>
        <w:rPr>
          <w:rFonts w:hint="eastAsia" w:ascii="宋体" w:hAnsi="宋体"/>
          <w:bCs/>
          <w:color w:val="auto"/>
          <w:lang w:val="en-US" w:eastAsia="zh-CN"/>
        </w:rPr>
        <w:t>同步</w:t>
      </w:r>
      <w:r>
        <w:rPr>
          <w:rFonts w:ascii="宋体" w:hAnsi="宋体"/>
          <w:bCs/>
          <w:color w:val="auto"/>
          <w:lang w:val="en-US" w:eastAsia="zh-CN"/>
        </w:rPr>
        <w:t>施工、</w:t>
      </w:r>
      <w:r>
        <w:rPr>
          <w:rFonts w:hint="eastAsia" w:ascii="宋体" w:hAnsi="宋体"/>
          <w:bCs/>
          <w:color w:val="auto"/>
          <w:lang w:val="en-US" w:eastAsia="zh-CN"/>
        </w:rPr>
        <w:t>同步验收、同步</w:t>
      </w:r>
      <w:r>
        <w:rPr>
          <w:rFonts w:ascii="宋体" w:hAnsi="宋体"/>
          <w:bCs/>
          <w:color w:val="auto"/>
          <w:lang w:val="en-US" w:eastAsia="zh-CN"/>
        </w:rPr>
        <w:t>投</w:t>
      </w:r>
      <w:r>
        <w:rPr>
          <w:rFonts w:hint="eastAsia" w:ascii="宋体" w:hAnsi="宋体"/>
          <w:bCs/>
          <w:color w:val="auto"/>
          <w:lang w:val="en-US" w:eastAsia="zh-CN"/>
        </w:rPr>
        <w:t>入使</w:t>
      </w:r>
      <w:r>
        <w:rPr>
          <w:rFonts w:ascii="宋体" w:hAnsi="宋体"/>
          <w:bCs/>
          <w:color w:val="auto"/>
          <w:lang w:val="en-US" w:eastAsia="zh-CN"/>
        </w:rPr>
        <w:t>用；既有城市生命线基础设施应结合风险评估结果，</w:t>
      </w:r>
      <w:r>
        <w:rPr>
          <w:rFonts w:hint="eastAsia" w:ascii="宋体" w:hAnsi="宋体"/>
          <w:bCs/>
          <w:color w:val="auto"/>
          <w:lang w:val="en-US" w:eastAsia="zh-CN"/>
        </w:rPr>
        <w:t>按照</w:t>
      </w:r>
      <w:r>
        <w:rPr>
          <w:rFonts w:ascii="宋体" w:hAnsi="宋体"/>
          <w:bCs/>
          <w:color w:val="auto"/>
          <w:lang w:val="en-US" w:eastAsia="zh-CN"/>
        </w:rPr>
        <w:t>急用先建、重点优先的原则，逐步实现</w:t>
      </w:r>
      <w:r>
        <w:rPr>
          <w:rFonts w:hint="eastAsia" w:ascii="宋体" w:hAnsi="宋体"/>
          <w:bCs/>
          <w:color w:val="auto"/>
          <w:lang w:val="en-US" w:eastAsia="zh-CN"/>
        </w:rPr>
        <w:t>监测设备</w:t>
      </w:r>
      <w:r>
        <w:rPr>
          <w:rFonts w:ascii="宋体" w:hAnsi="宋体"/>
          <w:bCs/>
          <w:color w:val="auto"/>
          <w:lang w:val="en-US" w:eastAsia="zh-CN"/>
        </w:rPr>
        <w:t>全域覆盖。</w:t>
      </w:r>
    </w:p>
    <w:p w14:paraId="08CA6195">
      <w:pPr>
        <w:pStyle w:val="98"/>
        <w:spacing w:beforeLines="0" w:afterLines="0"/>
        <w:rPr>
          <w:rFonts w:ascii="宋体" w:hAnsi="宋体"/>
          <w:bCs/>
          <w:color w:val="auto"/>
        </w:rPr>
      </w:pPr>
      <w:r>
        <w:rPr>
          <w:rFonts w:ascii="宋体" w:hAnsi="宋体"/>
          <w:bCs/>
          <w:color w:val="auto"/>
          <w:lang w:val="en-US" w:eastAsia="zh-CN"/>
        </w:rPr>
        <w:t>4.</w:t>
      </w:r>
      <w:r>
        <w:rPr>
          <w:rFonts w:hint="eastAsia" w:ascii="宋体" w:hAnsi="宋体"/>
          <w:bCs/>
          <w:color w:val="auto"/>
          <w:lang w:val="en-US" w:eastAsia="zh-CN"/>
        </w:rPr>
        <w:t>4</w:t>
      </w:r>
      <w:r>
        <w:rPr>
          <w:rFonts w:ascii="宋体" w:hAnsi="宋体"/>
          <w:bCs/>
          <w:color w:val="auto"/>
          <w:lang w:val="en-US" w:eastAsia="zh-CN"/>
        </w:rPr>
        <w:t xml:space="preserve"> </w:t>
      </w:r>
      <w:r>
        <w:rPr>
          <w:rFonts w:hint="eastAsia" w:ascii="宋体" w:hAnsi="宋体"/>
          <w:bCs/>
          <w:color w:val="auto"/>
          <w:lang w:val="en-US" w:eastAsia="zh-CN"/>
        </w:rPr>
        <w:t>城市生命线安全工程</w:t>
      </w:r>
      <w:r>
        <w:rPr>
          <w:rFonts w:ascii="宋体" w:hAnsi="宋体"/>
          <w:bCs/>
          <w:color w:val="auto"/>
          <w:lang w:val="en-US" w:eastAsia="zh-CN"/>
        </w:rPr>
        <w:t>应采用智慧监测</w:t>
      </w:r>
      <w:r>
        <w:rPr>
          <w:rFonts w:hint="eastAsia" w:ascii="宋体" w:hAnsi="宋体"/>
          <w:bCs/>
          <w:color w:val="auto"/>
          <w:lang w:val="en-US" w:eastAsia="zh-CN"/>
        </w:rPr>
        <w:t>与协同处置</w:t>
      </w:r>
      <w:r>
        <w:rPr>
          <w:rFonts w:ascii="宋体" w:hAnsi="宋体"/>
          <w:bCs/>
          <w:color w:val="auto"/>
          <w:lang w:val="en-US" w:eastAsia="zh-CN"/>
        </w:rPr>
        <w:t>相结合的建设</w:t>
      </w:r>
      <w:r>
        <w:rPr>
          <w:rFonts w:hint="eastAsia" w:ascii="宋体" w:hAnsi="宋体"/>
          <w:bCs/>
          <w:color w:val="auto"/>
          <w:lang w:val="en-US" w:eastAsia="zh-CN"/>
        </w:rPr>
        <w:t>、运行管理</w:t>
      </w:r>
      <w:r>
        <w:rPr>
          <w:rFonts w:ascii="宋体" w:hAnsi="宋体"/>
          <w:bCs/>
          <w:color w:val="auto"/>
          <w:lang w:val="en-US" w:eastAsia="zh-CN"/>
        </w:rPr>
        <w:t>模式，构建全域感知、动态</w:t>
      </w:r>
      <w:r>
        <w:rPr>
          <w:rFonts w:hint="default" w:ascii="宋体" w:hAnsi="宋体"/>
          <w:bCs/>
          <w:color w:val="auto"/>
          <w:lang w:val="en-US" w:eastAsia="zh-CN"/>
        </w:rPr>
        <w:t>管控</w:t>
      </w:r>
      <w:r>
        <w:rPr>
          <w:rFonts w:ascii="宋体" w:hAnsi="宋体"/>
          <w:bCs/>
          <w:color w:val="auto"/>
          <w:lang w:val="en-US" w:eastAsia="zh-CN"/>
        </w:rPr>
        <w:t>的安全管控体系，实现</w:t>
      </w:r>
      <w:r>
        <w:rPr>
          <w:rFonts w:hint="eastAsia" w:ascii="宋体" w:hAnsi="宋体"/>
          <w:bCs/>
          <w:color w:val="auto"/>
          <w:lang w:val="en-US" w:eastAsia="zh-CN"/>
        </w:rPr>
        <w:t>城市</w:t>
      </w:r>
      <w:r>
        <w:rPr>
          <w:rFonts w:ascii="宋体" w:hAnsi="宋体"/>
          <w:bCs/>
          <w:color w:val="auto"/>
          <w:lang w:val="en-US" w:eastAsia="zh-CN"/>
        </w:rPr>
        <w:t>生命线</w:t>
      </w:r>
      <w:r>
        <w:rPr>
          <w:rFonts w:hint="eastAsia" w:ascii="宋体" w:hAnsi="宋体"/>
          <w:bCs/>
          <w:color w:val="auto"/>
          <w:lang w:val="en-US" w:eastAsia="zh-CN"/>
        </w:rPr>
        <w:t>基础设施</w:t>
      </w:r>
      <w:r>
        <w:rPr>
          <w:rFonts w:ascii="宋体" w:hAnsi="宋体"/>
          <w:bCs/>
          <w:color w:val="auto"/>
          <w:lang w:val="en-US" w:eastAsia="zh-CN"/>
        </w:rPr>
        <w:t>运行状态实时监测、安全风险动态预警、隐患精准溯源、突发事件协同处置。</w:t>
      </w:r>
    </w:p>
    <w:p w14:paraId="11AA5820">
      <w:pPr>
        <w:pStyle w:val="98"/>
        <w:spacing w:beforeLines="0" w:afterLines="0"/>
        <w:rPr>
          <w:rFonts w:ascii="宋体" w:hAnsi="宋体"/>
          <w:bCs/>
          <w:color w:val="auto"/>
        </w:rPr>
      </w:pPr>
      <w:r>
        <w:rPr>
          <w:rFonts w:ascii="宋体" w:hAnsi="宋体"/>
          <w:bCs/>
          <w:color w:val="auto"/>
          <w:lang w:val="en-US" w:eastAsia="zh-CN"/>
        </w:rPr>
        <w:t>4.</w:t>
      </w:r>
      <w:r>
        <w:rPr>
          <w:rFonts w:hint="eastAsia" w:ascii="宋体" w:hAnsi="宋体"/>
          <w:bCs/>
          <w:color w:val="auto"/>
          <w:lang w:val="en-US" w:eastAsia="zh-CN"/>
        </w:rPr>
        <w:t>5</w:t>
      </w:r>
      <w:r>
        <w:rPr>
          <w:rFonts w:ascii="宋体" w:hAnsi="宋体"/>
          <w:bCs/>
          <w:color w:val="auto"/>
          <w:lang w:val="en-US" w:eastAsia="zh-CN"/>
        </w:rPr>
        <w:t xml:space="preserve"> </w:t>
      </w:r>
      <w:r>
        <w:rPr>
          <w:rFonts w:hint="eastAsia" w:ascii="宋体" w:hAnsi="宋体"/>
          <w:bCs/>
          <w:color w:val="auto"/>
          <w:lang w:val="en-US" w:eastAsia="zh-CN"/>
        </w:rPr>
        <w:t>城市生命线安全工程</w:t>
      </w:r>
      <w:r>
        <w:rPr>
          <w:rFonts w:ascii="宋体" w:hAnsi="宋体"/>
          <w:bCs/>
          <w:color w:val="auto"/>
          <w:lang w:val="en-US" w:eastAsia="zh-CN"/>
        </w:rPr>
        <w:t>应充分整合利用行业现有</w:t>
      </w:r>
      <w:r>
        <w:rPr>
          <w:rFonts w:hint="eastAsia" w:ascii="宋体" w:hAnsi="宋体"/>
          <w:bCs/>
          <w:color w:val="auto"/>
          <w:lang w:val="en-US" w:eastAsia="zh-CN"/>
        </w:rPr>
        <w:t>城市</w:t>
      </w:r>
      <w:r>
        <w:rPr>
          <w:rFonts w:ascii="宋体" w:hAnsi="宋体"/>
          <w:bCs/>
          <w:color w:val="auto"/>
          <w:lang w:val="en-US" w:eastAsia="zh-CN"/>
        </w:rPr>
        <w:t>基础设施运维数据、国土空间地理信息数据、</w:t>
      </w:r>
      <w:r>
        <w:rPr>
          <w:rFonts w:hint="eastAsia" w:ascii="宋体" w:hAnsi="宋体"/>
          <w:bCs/>
          <w:color w:val="auto"/>
        </w:rPr>
        <w:t>城市基础设施模型数据、</w:t>
      </w:r>
      <w:r>
        <w:rPr>
          <w:rFonts w:ascii="宋体" w:hAnsi="宋体"/>
          <w:bCs/>
          <w:color w:val="auto"/>
          <w:lang w:val="en-US" w:eastAsia="zh-CN"/>
        </w:rPr>
        <w:t>社会资源数据、物联感知数据</w:t>
      </w:r>
      <w:r>
        <w:rPr>
          <w:rFonts w:hint="eastAsia" w:ascii="宋体" w:hAnsi="宋体"/>
          <w:bCs/>
          <w:color w:val="auto"/>
          <w:lang w:val="en-US" w:eastAsia="zh-CN"/>
        </w:rPr>
        <w:t>、</w:t>
      </w:r>
      <w:r>
        <w:rPr>
          <w:rFonts w:hint="eastAsia" w:ascii="宋体" w:hAnsi="宋体"/>
          <w:bCs/>
          <w:color w:val="auto"/>
        </w:rPr>
        <w:t>风险评估数据、监测</w:t>
      </w:r>
      <w:r>
        <w:rPr>
          <w:rFonts w:hint="eastAsia" w:ascii="宋体" w:hAnsi="宋体"/>
          <w:bCs/>
          <w:color w:val="auto"/>
          <w:lang w:eastAsia="zh-CN"/>
        </w:rPr>
        <w:t>报警预警</w:t>
      </w:r>
      <w:r>
        <w:rPr>
          <w:rFonts w:hint="eastAsia" w:ascii="宋体" w:hAnsi="宋体"/>
          <w:bCs/>
          <w:color w:val="auto"/>
        </w:rPr>
        <w:t>数据</w:t>
      </w:r>
      <w:r>
        <w:rPr>
          <w:rFonts w:ascii="宋体" w:hAnsi="宋体"/>
          <w:bCs/>
          <w:color w:val="auto"/>
          <w:lang w:val="en-US" w:eastAsia="zh-CN"/>
        </w:rPr>
        <w:t>等各类数据资源，规范开展数据汇聚接入、整合分析、共享共用工作。</w:t>
      </w:r>
    </w:p>
    <w:p w14:paraId="4BAB0123">
      <w:pPr>
        <w:pStyle w:val="98"/>
        <w:spacing w:beforeLines="0" w:afterLines="0"/>
        <w:rPr>
          <w:rFonts w:ascii="宋体" w:hAnsi="宋体"/>
          <w:bCs/>
          <w:color w:val="auto"/>
        </w:rPr>
      </w:pPr>
      <w:r>
        <w:rPr>
          <w:rFonts w:ascii="宋体" w:hAnsi="宋体"/>
          <w:bCs/>
          <w:color w:val="auto"/>
          <w:lang w:val="en-US" w:eastAsia="zh-CN"/>
        </w:rPr>
        <w:t>4.</w:t>
      </w:r>
      <w:r>
        <w:rPr>
          <w:rFonts w:hint="eastAsia" w:ascii="宋体" w:hAnsi="宋体"/>
          <w:bCs/>
          <w:color w:val="auto"/>
          <w:lang w:val="en-US" w:eastAsia="zh-CN"/>
        </w:rPr>
        <w:t>6</w:t>
      </w:r>
      <w:r>
        <w:rPr>
          <w:rFonts w:ascii="宋体" w:hAnsi="宋体"/>
          <w:bCs/>
          <w:color w:val="auto"/>
          <w:lang w:val="en-US" w:eastAsia="zh-CN"/>
        </w:rPr>
        <w:t xml:space="preserve"> </w:t>
      </w:r>
      <w:r>
        <w:rPr>
          <w:rFonts w:hint="eastAsia" w:ascii="宋体" w:hAnsi="宋体"/>
          <w:bCs/>
          <w:color w:val="auto"/>
          <w:lang w:val="en-US" w:eastAsia="zh-CN"/>
        </w:rPr>
        <w:t>监测系统运行维护</w:t>
      </w:r>
      <w:r>
        <w:rPr>
          <w:rFonts w:ascii="宋体" w:hAnsi="宋体"/>
          <w:bCs/>
          <w:color w:val="auto"/>
          <w:lang w:val="en-US" w:eastAsia="zh-CN"/>
        </w:rPr>
        <w:t>应建立标准化、规范化</w:t>
      </w:r>
      <w:r>
        <w:rPr>
          <w:rFonts w:hint="eastAsia" w:ascii="宋体" w:hAnsi="宋体"/>
          <w:bCs/>
          <w:color w:val="auto"/>
          <w:lang w:val="en-US" w:eastAsia="zh-CN"/>
        </w:rPr>
        <w:t>、常态化的运行维护机制与应急响应机制，</w:t>
      </w:r>
      <w:r>
        <w:rPr>
          <w:rFonts w:ascii="宋体" w:hAnsi="宋体"/>
          <w:bCs/>
          <w:color w:val="auto"/>
          <w:lang w:val="en-US" w:eastAsia="zh-CN"/>
        </w:rPr>
        <w:t>定期开展</w:t>
      </w:r>
      <w:r>
        <w:rPr>
          <w:rFonts w:hint="eastAsia" w:ascii="宋体" w:hAnsi="宋体"/>
          <w:bCs/>
          <w:color w:val="auto"/>
          <w:lang w:val="en-US" w:eastAsia="zh-CN"/>
        </w:rPr>
        <w:t>监测设备</w:t>
      </w:r>
      <w:r>
        <w:rPr>
          <w:rFonts w:ascii="宋体" w:hAnsi="宋体"/>
          <w:bCs/>
          <w:color w:val="auto"/>
          <w:lang w:val="en-US" w:eastAsia="zh-CN"/>
        </w:rPr>
        <w:t>校准、监测数据质量核查、风险预警模型迭代优化等工作，</w:t>
      </w:r>
      <w:r>
        <w:rPr>
          <w:rFonts w:hint="eastAsia" w:ascii="宋体" w:hAnsi="宋体"/>
          <w:bCs/>
          <w:color w:val="auto"/>
          <w:lang w:val="en-US" w:eastAsia="zh-CN"/>
        </w:rPr>
        <w:t>保证系统</w:t>
      </w:r>
      <w:r>
        <w:rPr>
          <w:rFonts w:ascii="宋体" w:hAnsi="宋体"/>
          <w:bCs/>
          <w:color w:val="auto"/>
          <w:lang w:val="en-US" w:eastAsia="zh-CN"/>
        </w:rPr>
        <w:t>安全可控、运行稳定、功能可靠、数据精准。</w:t>
      </w:r>
    </w:p>
    <w:p w14:paraId="5F282576">
      <w:pPr>
        <w:pStyle w:val="98"/>
        <w:spacing w:beforeLines="0" w:afterLines="0"/>
        <w:rPr>
          <w:rFonts w:ascii="宋体" w:hAnsi="宋体"/>
          <w:bCs/>
          <w:color w:val="auto"/>
        </w:rPr>
      </w:pPr>
      <w:r>
        <w:rPr>
          <w:rFonts w:ascii="宋体" w:hAnsi="宋体"/>
          <w:bCs/>
          <w:color w:val="auto"/>
          <w:lang w:val="en-US" w:eastAsia="zh-CN"/>
        </w:rPr>
        <w:t>4.</w:t>
      </w:r>
      <w:r>
        <w:rPr>
          <w:rFonts w:hint="eastAsia" w:ascii="宋体" w:hAnsi="宋体"/>
          <w:bCs/>
          <w:color w:val="auto"/>
          <w:lang w:val="en-US" w:eastAsia="zh-CN"/>
        </w:rPr>
        <w:t>7</w:t>
      </w:r>
      <w:r>
        <w:rPr>
          <w:rFonts w:ascii="宋体" w:hAnsi="宋体"/>
          <w:bCs/>
          <w:color w:val="auto"/>
          <w:lang w:val="en-US" w:eastAsia="zh-CN"/>
        </w:rPr>
        <w:t xml:space="preserve"> </w:t>
      </w:r>
      <w:r>
        <w:rPr>
          <w:rFonts w:hint="eastAsia" w:ascii="宋体" w:hAnsi="宋体"/>
          <w:bCs/>
          <w:color w:val="auto"/>
          <w:lang w:val="en-US" w:eastAsia="zh-CN"/>
        </w:rPr>
        <w:t>城市生命线安全工程规划、</w:t>
      </w:r>
      <w:r>
        <w:rPr>
          <w:rFonts w:ascii="宋体" w:hAnsi="宋体"/>
          <w:bCs/>
          <w:color w:val="auto"/>
          <w:lang w:val="en-US" w:eastAsia="zh-CN"/>
        </w:rPr>
        <w:t>设计、建设、验收、运行维护全</w:t>
      </w:r>
      <w:r>
        <w:rPr>
          <w:rFonts w:hint="eastAsia" w:ascii="宋体" w:hAnsi="宋体"/>
          <w:bCs/>
          <w:color w:val="auto"/>
          <w:lang w:val="en-US" w:eastAsia="zh-CN"/>
        </w:rPr>
        <w:t>生命周期</w:t>
      </w:r>
      <w:r>
        <w:rPr>
          <w:rFonts w:ascii="宋体" w:hAnsi="宋体"/>
          <w:bCs/>
          <w:color w:val="auto"/>
          <w:lang w:val="en-US" w:eastAsia="zh-CN"/>
        </w:rPr>
        <w:t xml:space="preserve">的网络与信息安全管理，应符合GB/T 22239 </w:t>
      </w:r>
      <w:r>
        <w:rPr>
          <w:rFonts w:hint="eastAsia" w:ascii="宋体" w:hAnsi="宋体"/>
          <w:bCs/>
          <w:color w:val="auto"/>
          <w:lang w:val="en-US" w:eastAsia="zh-CN"/>
        </w:rPr>
        <w:t>要求</w:t>
      </w:r>
      <w:r>
        <w:rPr>
          <w:rFonts w:ascii="宋体" w:hAnsi="宋体"/>
          <w:bCs/>
          <w:color w:val="auto"/>
          <w:lang w:val="en-US" w:eastAsia="zh-CN"/>
        </w:rPr>
        <w:t>，系统</w:t>
      </w:r>
      <w:r>
        <w:rPr>
          <w:rFonts w:hint="eastAsia" w:ascii="宋体" w:hAnsi="宋体"/>
          <w:bCs/>
          <w:color w:val="auto"/>
          <w:lang w:val="en-US" w:eastAsia="zh-CN"/>
        </w:rPr>
        <w:t>网络</w:t>
      </w:r>
      <w:r>
        <w:rPr>
          <w:rFonts w:ascii="宋体" w:hAnsi="宋体"/>
          <w:bCs/>
          <w:color w:val="auto"/>
          <w:lang w:val="en-US" w:eastAsia="zh-CN"/>
        </w:rPr>
        <w:t>安全保护等级不得低于三级。数据采集、存储、使用、加工、传输、提供、公开等</w:t>
      </w:r>
      <w:r>
        <w:rPr>
          <w:rFonts w:hint="eastAsia" w:ascii="宋体" w:hAnsi="宋体"/>
          <w:bCs/>
          <w:color w:val="auto"/>
          <w:lang w:val="en-US" w:eastAsia="zh-CN"/>
        </w:rPr>
        <w:t>数据处理</w:t>
      </w:r>
      <w:r>
        <w:rPr>
          <w:rFonts w:ascii="宋体" w:hAnsi="宋体"/>
          <w:bCs/>
          <w:color w:val="auto"/>
          <w:lang w:val="en-US" w:eastAsia="zh-CN"/>
        </w:rPr>
        <w:t>环节，应</w:t>
      </w:r>
      <w:r>
        <w:rPr>
          <w:rFonts w:hint="eastAsia" w:ascii="宋体" w:hAnsi="宋体"/>
          <w:bCs/>
          <w:color w:val="auto"/>
          <w:lang w:val="en-US" w:eastAsia="zh-CN"/>
        </w:rPr>
        <w:t>符合GB/T 39477要求</w:t>
      </w:r>
      <w:r>
        <w:rPr>
          <w:rFonts w:ascii="宋体" w:hAnsi="宋体"/>
          <w:bCs/>
          <w:color w:val="auto"/>
          <w:lang w:val="en-US" w:eastAsia="zh-CN"/>
        </w:rPr>
        <w:t>。</w:t>
      </w:r>
    </w:p>
    <w:p w14:paraId="219E4866">
      <w:pPr>
        <w:pStyle w:val="98"/>
        <w:spacing w:beforeLines="0" w:afterLines="0"/>
        <w:rPr>
          <w:rFonts w:ascii="宋体" w:hAnsi="宋体"/>
          <w:bCs/>
          <w:color w:val="auto"/>
        </w:rPr>
      </w:pPr>
      <w:r>
        <w:rPr>
          <w:rFonts w:ascii="宋体" w:hAnsi="宋体"/>
          <w:bCs/>
          <w:color w:val="auto"/>
          <w:lang w:val="en-US" w:eastAsia="zh-CN"/>
        </w:rPr>
        <w:t>4.</w:t>
      </w:r>
      <w:r>
        <w:rPr>
          <w:rFonts w:hint="eastAsia" w:ascii="宋体" w:hAnsi="宋体"/>
          <w:bCs/>
          <w:color w:val="auto"/>
          <w:lang w:val="en-US" w:eastAsia="zh-CN"/>
        </w:rPr>
        <w:t>8</w:t>
      </w:r>
      <w:r>
        <w:rPr>
          <w:rFonts w:ascii="宋体" w:hAnsi="宋体"/>
          <w:bCs/>
          <w:color w:val="auto"/>
          <w:lang w:val="en-US" w:eastAsia="zh-CN"/>
        </w:rPr>
        <w:t xml:space="preserve"> 已建成投运的</w:t>
      </w:r>
      <w:r>
        <w:rPr>
          <w:rFonts w:hint="eastAsia" w:ascii="宋体" w:hAnsi="宋体"/>
          <w:bCs/>
          <w:color w:val="auto"/>
          <w:lang w:val="en-US" w:eastAsia="zh-CN"/>
        </w:rPr>
        <w:t>城市生命线安全</w:t>
      </w:r>
      <w:r>
        <w:rPr>
          <w:rFonts w:ascii="宋体" w:hAnsi="宋体"/>
          <w:bCs/>
          <w:color w:val="auto"/>
          <w:lang w:val="en-US" w:eastAsia="zh-CN"/>
        </w:rPr>
        <w:t>工程，应结合风险复核、隐患</w:t>
      </w:r>
      <w:r>
        <w:rPr>
          <w:rFonts w:hint="eastAsia" w:ascii="宋体" w:hAnsi="宋体"/>
          <w:bCs/>
          <w:color w:val="auto"/>
          <w:lang w:val="en-US" w:eastAsia="zh-CN"/>
        </w:rPr>
        <w:t>排查</w:t>
      </w:r>
      <w:r>
        <w:rPr>
          <w:rFonts w:ascii="宋体" w:hAnsi="宋体"/>
          <w:bCs/>
          <w:color w:val="auto"/>
          <w:lang w:val="en-US" w:eastAsia="zh-CN"/>
        </w:rPr>
        <w:t>更新</w:t>
      </w:r>
      <w:r>
        <w:rPr>
          <w:rFonts w:hint="eastAsia" w:ascii="宋体" w:hAnsi="宋体"/>
          <w:bCs/>
          <w:color w:val="auto"/>
          <w:lang w:val="en-US" w:eastAsia="zh-CN"/>
        </w:rPr>
        <w:t>、设施改造更新、城市建设更新</w:t>
      </w:r>
      <w:r>
        <w:rPr>
          <w:rFonts w:ascii="宋体" w:hAnsi="宋体"/>
          <w:bCs/>
          <w:color w:val="auto"/>
          <w:lang w:val="en-US" w:eastAsia="zh-CN"/>
        </w:rPr>
        <w:t>等情况，动态调整</w:t>
      </w:r>
      <w:r>
        <w:rPr>
          <w:rFonts w:hint="eastAsia" w:ascii="宋体" w:hAnsi="宋体"/>
          <w:bCs/>
          <w:color w:val="auto"/>
          <w:lang w:val="en-US" w:eastAsia="zh-CN"/>
        </w:rPr>
        <w:t>监测设备</w:t>
      </w:r>
      <w:r>
        <w:rPr>
          <w:rFonts w:ascii="宋体" w:hAnsi="宋体"/>
          <w:bCs/>
          <w:color w:val="auto"/>
          <w:lang w:val="en-US" w:eastAsia="zh-CN"/>
        </w:rPr>
        <w:t>点位布设和监测参数，持续提升监测精准性和有效性。</w:t>
      </w:r>
    </w:p>
    <w:bookmarkEnd w:id="41"/>
    <w:bookmarkEnd w:id="42"/>
    <w:p w14:paraId="57E3520B">
      <w:pPr>
        <w:pStyle w:val="111"/>
        <w:pageBreakBefore w:val="0"/>
        <w:numPr>
          <w:ilvl w:val="0"/>
          <w:numId w:val="1"/>
        </w:numPr>
        <w:spacing w:beforeLines="100" w:afterLines="100"/>
        <w:ind w:left="0" w:firstLine="0"/>
        <w:rPr>
          <w:sz w:val="21"/>
          <w:szCs w:val="21"/>
        </w:rPr>
      </w:pPr>
      <w:bookmarkStart w:id="43" w:name="_Toc9779"/>
      <w:r>
        <w:rPr>
          <w:rFonts w:hint="eastAsia"/>
          <w:sz w:val="21"/>
          <w:szCs w:val="21"/>
        </w:rPr>
        <w:t>风险评估</w:t>
      </w:r>
      <w:bookmarkEnd w:id="43"/>
    </w:p>
    <w:p w14:paraId="4920F28F">
      <w:pPr>
        <w:pStyle w:val="108"/>
        <w:numPr>
          <w:ilvl w:val="1"/>
          <w:numId w:val="1"/>
        </w:numPr>
        <w:spacing w:beforeLines="50" w:afterLines="50"/>
      </w:pPr>
      <w:bookmarkStart w:id="44" w:name="_Toc20237"/>
      <w:r>
        <w:rPr>
          <w:rFonts w:hint="eastAsia"/>
          <w:lang w:eastAsia="zh-CN"/>
        </w:rPr>
        <w:t>一般要求</w:t>
      </w:r>
      <w:bookmarkEnd w:id="44"/>
    </w:p>
    <w:p w14:paraId="1C27639F">
      <w:pPr>
        <w:pStyle w:val="4"/>
        <w:spacing w:beforeLines="0" w:afterLines="0"/>
        <w:rPr>
          <w:rFonts w:hint="eastAsia" w:ascii="宋体" w:hAnsi="宋体" w:cs="宋体"/>
          <w:bCs/>
        </w:rPr>
      </w:pPr>
      <w:r>
        <w:rPr>
          <w:rFonts w:hint="eastAsia" w:ascii="宋体" w:hAnsi="宋体" w:cs="宋体"/>
          <w:bCs/>
        </w:rPr>
        <w:t>5.1.1</w:t>
      </w:r>
      <w:r>
        <w:rPr>
          <w:rFonts w:hint="eastAsia" w:ascii="宋体" w:hAnsi="宋体" w:cs="宋体"/>
          <w:bCs/>
          <w:lang w:val="en-US" w:eastAsia="zh-CN"/>
        </w:rPr>
        <w:t>城市生命线安全</w:t>
      </w:r>
      <w:r>
        <w:rPr>
          <w:rFonts w:hint="eastAsia" w:ascii="宋体" w:hAnsi="宋体" w:cs="宋体"/>
          <w:bCs/>
        </w:rPr>
        <w:t>风险评估基本流程一般包含计划与准备、风险识别、风险分析、风险评价、成果编制等阶段，风险评估基本流程见图1。</w:t>
      </w:r>
    </w:p>
    <w:p w14:paraId="59EDA8BF">
      <w:pPr>
        <w:pStyle w:val="12"/>
        <w:spacing w:before="24" w:after="24"/>
      </w:pPr>
      <w:r>
        <w:rPr>
          <w:rFonts w:hint="eastAsia"/>
        </w:rPr>
        <w:object>
          <v:shape id="_x0000_i1025" o:spt="75" type="#_x0000_t75" style="height:277pt;width:204.15pt;" o:ole="t" filled="f" o:preferrelative="t" stroked="f" coordsize="21600,21600">
            <v:path/>
            <v:fill on="f" focussize="0,0"/>
            <v:stroke on="f" joinstyle="miter"/>
            <v:imagedata r:id="rId32" o:title=""/>
            <o:lock v:ext="edit" aspectratio="t"/>
            <w10:wrap type="none"/>
            <w10:anchorlock/>
          </v:shape>
          <o:OLEObject Type="Embed" ProgID="Visio.Drawing.15" ShapeID="_x0000_i1025" DrawAspect="Content" ObjectID="_1468075725" r:id="rId31">
            <o:LockedField>false</o:LockedField>
          </o:OLEObject>
        </w:object>
      </w:r>
    </w:p>
    <w:p w14:paraId="2BBD6656">
      <w:pPr>
        <w:pStyle w:val="12"/>
        <w:spacing w:before="24" w:after="24"/>
      </w:pPr>
      <w:r>
        <w:rPr>
          <w:rFonts w:hint="eastAsia"/>
        </w:rPr>
        <w:t>图1 风险评估基本流程</w:t>
      </w:r>
    </w:p>
    <w:p w14:paraId="469BE856">
      <w:pPr>
        <w:keepNext w:val="0"/>
        <w:keepLines w:val="0"/>
        <w:widowControl/>
        <w:suppressLineNumbers w:val="0"/>
        <w:jc w:val="left"/>
        <w:rPr>
          <w:rFonts w:hint="eastAsia" w:ascii="宋体" w:hAnsi="宋体" w:eastAsia="宋体" w:cs="宋体"/>
          <w:bCs/>
          <w:kern w:val="2"/>
          <w:sz w:val="21"/>
          <w:lang w:val="en-US" w:eastAsia="zh-CN" w:bidi="ar-SA"/>
        </w:rPr>
      </w:pPr>
      <w:r>
        <w:rPr>
          <w:rFonts w:hint="eastAsia" w:ascii="宋体" w:hAnsi="宋体" w:eastAsia="宋体" w:cs="宋体"/>
          <w:bCs/>
          <w:kern w:val="2"/>
          <w:sz w:val="21"/>
          <w:lang w:val="en-US" w:eastAsia="zh-CN" w:bidi="ar-SA"/>
        </w:rPr>
        <w:t>5.1.2</w:t>
      </w:r>
      <w:r>
        <w:rPr>
          <w:rFonts w:ascii="宋体" w:hAnsi="宋体" w:eastAsia="宋体" w:cs="宋体"/>
          <w:bCs/>
          <w:kern w:val="2"/>
          <w:sz w:val="21"/>
          <w:lang w:val="en-US" w:eastAsia="zh-CN" w:bidi="ar-SA"/>
        </w:rPr>
        <w:t>开展风险评估工作前应编制专项风险评估方案，可选取典型区域、高风险区域作为试验区先行开展试点评估，优化评估方法后全域推进</w:t>
      </w:r>
      <w:r>
        <w:rPr>
          <w:rFonts w:hint="eastAsia" w:ascii="宋体" w:hAnsi="宋体" w:eastAsia="宋体" w:cs="宋体"/>
          <w:bCs/>
          <w:kern w:val="2"/>
          <w:sz w:val="21"/>
          <w:lang w:val="en-US" w:eastAsia="zh-CN" w:bidi="ar-SA"/>
        </w:rPr>
        <w:t>。</w:t>
      </w:r>
    </w:p>
    <w:p w14:paraId="61D0949D">
      <w:pPr>
        <w:keepNext w:val="0"/>
        <w:keepLines w:val="0"/>
        <w:widowControl/>
        <w:suppressLineNumbers w:val="0"/>
        <w:jc w:val="left"/>
        <w:rPr>
          <w:rFonts w:hint="eastAsia" w:ascii="宋体" w:hAnsi="宋体" w:eastAsia="宋体" w:cs="宋体"/>
          <w:bCs/>
          <w:kern w:val="2"/>
          <w:sz w:val="21"/>
          <w:lang w:val="en-US" w:eastAsia="zh-CN" w:bidi="ar-SA"/>
        </w:rPr>
      </w:pPr>
      <w:r>
        <w:rPr>
          <w:rFonts w:hint="eastAsia" w:ascii="宋体" w:hAnsi="宋体" w:eastAsia="宋体" w:cs="宋体"/>
          <w:bCs/>
          <w:kern w:val="2"/>
          <w:sz w:val="21"/>
          <w:lang w:val="en-US" w:eastAsia="zh-CN" w:bidi="ar-SA"/>
        </w:rPr>
        <w:t>5.1.3风险评估形成的风险分布、风险等级、三高区域等成果，应作为</w:t>
      </w:r>
      <w:r>
        <w:rPr>
          <w:rFonts w:hint="eastAsia" w:ascii="宋体" w:hAnsi="宋体" w:cs="宋体"/>
          <w:bCs/>
          <w:lang w:val="en-US" w:eastAsia="zh-CN"/>
        </w:rPr>
        <w:t>城市生命线安全</w:t>
      </w:r>
      <w:r>
        <w:rPr>
          <w:rFonts w:hint="eastAsia" w:ascii="宋体" w:hAnsi="宋体" w:eastAsia="宋体" w:cs="宋体"/>
          <w:bCs/>
          <w:kern w:val="2"/>
          <w:sz w:val="21"/>
          <w:lang w:val="en-US" w:eastAsia="zh-CN" w:bidi="ar-SA"/>
        </w:rPr>
        <w:t>工程建设的重要依据。</w:t>
      </w:r>
    </w:p>
    <w:p w14:paraId="3D3BFDEA">
      <w:pPr>
        <w:pStyle w:val="108"/>
        <w:numPr>
          <w:ilvl w:val="1"/>
          <w:numId w:val="1"/>
        </w:numPr>
        <w:spacing w:before="120" w:beforeLines="50" w:after="120" w:afterLines="50"/>
      </w:pPr>
      <w:bookmarkStart w:id="45" w:name="_Toc234328959"/>
      <w:bookmarkStart w:id="46" w:name="_Toc1810"/>
      <w:bookmarkStart w:id="47" w:name="_Toc232858330"/>
      <w:r>
        <w:rPr>
          <w:rFonts w:hint="eastAsia"/>
        </w:rPr>
        <w:t>计划和准备</w:t>
      </w:r>
      <w:bookmarkEnd w:id="45"/>
      <w:bookmarkEnd w:id="46"/>
      <w:bookmarkEnd w:id="47"/>
    </w:p>
    <w:p w14:paraId="2A9DE320">
      <w:pPr>
        <w:keepNext w:val="0"/>
        <w:keepLines w:val="0"/>
        <w:widowControl/>
        <w:suppressLineNumbers w:val="0"/>
        <w:jc w:val="left"/>
        <w:rPr>
          <w:rFonts w:hint="eastAsia" w:ascii="宋体" w:hAnsi="宋体" w:eastAsia="宋体" w:cs="宋体"/>
          <w:bCs/>
          <w:kern w:val="2"/>
          <w:sz w:val="21"/>
          <w:lang w:val="en-US" w:eastAsia="zh-CN" w:bidi="ar-SA"/>
        </w:rPr>
      </w:pPr>
      <w:bookmarkStart w:id="48" w:name="OLE_LINK5"/>
      <w:r>
        <w:rPr>
          <w:rFonts w:hint="eastAsia" w:ascii="宋体" w:hAnsi="宋体" w:eastAsia="宋体" w:cs="宋体"/>
          <w:bCs/>
          <w:kern w:val="2"/>
          <w:sz w:val="21"/>
          <w:lang w:val="en-US" w:eastAsia="zh-CN" w:bidi="ar-SA"/>
        </w:rPr>
        <w:t>5.2.1风险评估方案应结合评估区域特征、行业设施特点、城市运维现状编制，方案内容应完整规范，包含工作目标、工作要求、评估范围、评估依据、评估方法、工作组织机制、实施流程、进度安排及相关技术附件等内容。</w:t>
      </w:r>
    </w:p>
    <w:bookmarkEnd w:id="48"/>
    <w:p w14:paraId="4CC770A8">
      <w:pPr>
        <w:pStyle w:val="4"/>
        <w:spacing w:beforeLines="0" w:afterLines="0"/>
        <w:rPr>
          <w:rFonts w:hint="eastAsia" w:ascii="宋体" w:hAnsi="宋体"/>
          <w:bCs/>
        </w:rPr>
      </w:pPr>
      <w:r>
        <w:rPr>
          <w:rFonts w:hint="eastAsia" w:ascii="宋体" w:hAnsi="宋体"/>
          <w:bCs/>
        </w:rPr>
        <w:t>5.2.2评估范围应符合下列规定：</w:t>
      </w:r>
    </w:p>
    <w:p w14:paraId="5C379E01">
      <w:pPr>
        <w:spacing w:before="24" w:after="24"/>
        <w:ind w:firstLine="420" w:firstLineChars="200"/>
        <w:rPr>
          <w:rFonts w:hint="default" w:ascii="Times New Roman" w:hAnsi="Times New Roman"/>
          <w:bCs w:val="0"/>
        </w:rPr>
      </w:pPr>
      <w:r>
        <w:rPr>
          <w:rFonts w:hint="default" w:ascii="Times New Roman" w:hAnsi="Times New Roman"/>
          <w:bCs w:val="0"/>
        </w:rPr>
        <w:t>a）评估范围</w:t>
      </w:r>
      <w:r>
        <w:rPr>
          <w:rFonts w:hint="eastAsia"/>
          <w:bCs w:val="0"/>
          <w:lang w:eastAsia="zh-CN"/>
        </w:rPr>
        <w:t>应</w:t>
      </w:r>
      <w:r>
        <w:rPr>
          <w:rFonts w:ascii="Times New Roman" w:hAnsi="Times New Roman"/>
          <w:bCs w:val="0"/>
        </w:rPr>
        <w:t>符合城市管理的相关要求</w:t>
      </w:r>
      <w:r>
        <w:rPr>
          <w:rFonts w:hint="default" w:ascii="Times New Roman" w:hAnsi="Times New Roman"/>
          <w:bCs w:val="0"/>
        </w:rPr>
        <w:t>。</w:t>
      </w:r>
    </w:p>
    <w:p w14:paraId="6112D90D">
      <w:pPr>
        <w:spacing w:before="24" w:after="24"/>
        <w:ind w:firstLine="420" w:firstLineChars="200"/>
      </w:pPr>
      <w:r>
        <w:t>b）</w:t>
      </w:r>
      <w:r>
        <w:rPr>
          <w:rFonts w:hint="eastAsia"/>
        </w:rPr>
        <w:t>评估</w:t>
      </w:r>
      <w:r>
        <w:t>区域、行业风险源、自然灾害风险点、重点防护目标应纳入评估范围。</w:t>
      </w:r>
    </w:p>
    <w:p w14:paraId="177085E5">
      <w:pPr>
        <w:pStyle w:val="108"/>
        <w:numPr>
          <w:ilvl w:val="1"/>
          <w:numId w:val="1"/>
        </w:numPr>
        <w:spacing w:before="120" w:beforeLines="50" w:after="120" w:afterLines="50"/>
      </w:pPr>
      <w:bookmarkStart w:id="49" w:name="_Toc234328960"/>
      <w:bookmarkStart w:id="50" w:name="_Toc18676"/>
      <w:bookmarkStart w:id="51" w:name="_Toc232858333"/>
      <w:r>
        <w:rPr>
          <w:rFonts w:hint="eastAsia"/>
        </w:rPr>
        <w:t>风险识别</w:t>
      </w:r>
      <w:bookmarkEnd w:id="49"/>
      <w:bookmarkEnd w:id="50"/>
      <w:bookmarkEnd w:id="51"/>
    </w:p>
    <w:p w14:paraId="71B51881">
      <w:pPr>
        <w:pStyle w:val="4"/>
        <w:spacing w:beforeLines="0" w:afterLines="0"/>
        <w:rPr>
          <w:rFonts w:hint="eastAsia" w:ascii="宋体" w:hAnsi="宋体" w:eastAsia="宋体" w:cs="宋体"/>
          <w:bCs/>
          <w:lang w:eastAsia="zh-CN"/>
        </w:rPr>
      </w:pPr>
      <w:r>
        <w:rPr>
          <w:rFonts w:hint="eastAsia" w:ascii="宋体" w:hAnsi="宋体" w:cs="宋体"/>
          <w:bCs/>
        </w:rPr>
        <w:t>5.3.1应结合评估区域设施分布、风险特征合理划分评估单元，评估单元划分应符合</w:t>
      </w:r>
      <w:r>
        <w:rPr>
          <w:rFonts w:hint="eastAsia" w:ascii="宋体" w:hAnsi="宋体" w:cs="宋体"/>
          <w:bCs/>
          <w:lang w:eastAsia="zh-CN"/>
        </w:rPr>
        <w:t>以下要求：</w:t>
      </w:r>
    </w:p>
    <w:p w14:paraId="5F0AA7A6">
      <w:pPr>
        <w:pStyle w:val="98"/>
        <w:ind w:firstLine="420" w:firstLineChars="200"/>
        <w:rPr>
          <w:rFonts w:hint="eastAsia" w:ascii="宋体" w:hAnsi="宋体" w:cs="宋体"/>
          <w:bCs/>
          <w:color w:val="auto"/>
          <w:lang w:val="en-US" w:eastAsia="zh-CN"/>
        </w:rPr>
      </w:pPr>
      <w:r>
        <w:rPr>
          <w:rFonts w:hint="eastAsia" w:ascii="宋体" w:hAnsi="宋体" w:cs="宋体"/>
          <w:bCs/>
          <w:color w:val="auto"/>
          <w:lang w:val="en-US" w:eastAsia="zh-CN"/>
        </w:rPr>
        <w:t>a）</w:t>
      </w:r>
      <w:r>
        <w:rPr>
          <w:rFonts w:hint="eastAsia" w:ascii="宋体" w:hAnsi="宋体" w:cs="宋体"/>
          <w:bCs/>
          <w:color w:val="auto"/>
        </w:rPr>
        <w:t>评估单元应边界清晰、相对独立，具备明确的安全管理责任主体</w:t>
      </w:r>
      <w:r>
        <w:rPr>
          <w:rFonts w:hint="eastAsia" w:ascii="宋体" w:hAnsi="宋体" w:cs="宋体"/>
          <w:bCs/>
          <w:color w:val="auto"/>
          <w:lang w:val="en-US" w:eastAsia="zh-CN"/>
        </w:rPr>
        <w:t>；</w:t>
      </w:r>
    </w:p>
    <w:p w14:paraId="1461427F">
      <w:pPr>
        <w:pStyle w:val="98"/>
        <w:ind w:firstLine="420" w:firstLineChars="200"/>
        <w:rPr>
          <w:rFonts w:hint="eastAsia" w:ascii="宋体" w:hAnsi="宋体" w:eastAsia="宋体" w:cs="宋体"/>
          <w:bCs/>
          <w:color w:val="auto"/>
          <w:lang w:eastAsia="zh-CN"/>
        </w:rPr>
      </w:pPr>
      <w:r>
        <w:rPr>
          <w:rFonts w:hint="eastAsia" w:ascii="宋体" w:hAnsi="宋体" w:cs="宋体"/>
          <w:bCs/>
          <w:color w:val="auto"/>
          <w:lang w:val="en-US" w:eastAsia="zh-CN"/>
        </w:rPr>
        <w:t xml:space="preserve">b) </w:t>
      </w:r>
      <w:r>
        <w:rPr>
          <w:rFonts w:hint="eastAsia" w:ascii="宋体" w:hAnsi="宋体" w:cs="宋体"/>
          <w:bCs/>
          <w:color w:val="auto"/>
        </w:rPr>
        <w:t>全部评估单元组合应完整覆盖评估全域，无遗漏、无重叠</w:t>
      </w:r>
      <w:r>
        <w:rPr>
          <w:rFonts w:hint="eastAsia" w:ascii="宋体" w:hAnsi="宋体" w:cs="宋体"/>
          <w:bCs/>
          <w:color w:val="auto"/>
          <w:lang w:val="en-US" w:eastAsia="zh-CN"/>
        </w:rPr>
        <w:t>；</w:t>
      </w:r>
    </w:p>
    <w:p w14:paraId="00E0C12C">
      <w:pPr>
        <w:pStyle w:val="98"/>
        <w:spacing w:beforeLines="0" w:afterLines="0"/>
        <w:ind w:firstLine="420" w:firstLineChars="200"/>
        <w:rPr>
          <w:rFonts w:hint="eastAsia" w:ascii="宋体" w:hAnsi="宋体" w:eastAsia="宋体"/>
          <w:bCs/>
          <w:color w:val="auto"/>
          <w:lang w:eastAsia="zh-CN"/>
        </w:rPr>
      </w:pPr>
      <w:r>
        <w:rPr>
          <w:rFonts w:hint="eastAsia" w:ascii="宋体" w:hAnsi="宋体"/>
          <w:bCs/>
          <w:color w:val="auto"/>
          <w:lang w:val="en-US" w:eastAsia="zh-CN"/>
        </w:rPr>
        <w:t>c</w:t>
      </w:r>
      <w:r>
        <w:rPr>
          <w:rFonts w:hint="eastAsia" w:ascii="宋体" w:hAnsi="宋体"/>
          <w:bCs/>
          <w:color w:val="auto"/>
        </w:rPr>
        <w:t>）独立场</w:t>
      </w:r>
      <w:r>
        <w:rPr>
          <w:rFonts w:hint="eastAsia" w:ascii="宋体" w:hAnsi="宋体"/>
          <w:bCs/>
          <w:color w:val="auto"/>
          <w:lang w:val="en-US" w:eastAsia="zh-CN"/>
        </w:rPr>
        <w:t>所</w:t>
      </w:r>
      <w:r>
        <w:rPr>
          <w:rFonts w:hint="eastAsia" w:ascii="宋体" w:hAnsi="宋体"/>
          <w:bCs/>
          <w:color w:val="auto"/>
        </w:rPr>
        <w:t>、构筑物、专项设施宜单独划分为一个评估单元</w:t>
      </w:r>
      <w:r>
        <w:rPr>
          <w:rFonts w:hint="eastAsia" w:ascii="宋体" w:hAnsi="宋体"/>
          <w:bCs/>
          <w:color w:val="auto"/>
          <w:lang w:eastAsia="zh-CN"/>
        </w:rPr>
        <w:t>。</w:t>
      </w:r>
    </w:p>
    <w:p w14:paraId="2B737617">
      <w:pPr>
        <w:pStyle w:val="98"/>
        <w:spacing w:beforeLines="0" w:afterLines="0"/>
        <w:rPr>
          <w:rFonts w:hint="eastAsia" w:ascii="宋体" w:hAnsi="宋体"/>
          <w:bCs/>
          <w:color w:val="auto"/>
        </w:rPr>
      </w:pPr>
      <w:r>
        <w:rPr>
          <w:rFonts w:hint="eastAsia" w:ascii="宋体" w:hAnsi="宋体"/>
          <w:bCs/>
          <w:color w:val="auto"/>
          <w:lang w:val="en-US" w:eastAsia="zh-CN"/>
        </w:rPr>
        <w:t>5.3.2</w:t>
      </w:r>
      <w:r>
        <w:rPr>
          <w:rFonts w:hint="eastAsia" w:ascii="宋体" w:hAnsi="宋体"/>
          <w:bCs/>
          <w:color w:val="auto"/>
        </w:rPr>
        <w:t>管道类设施评估单元划分应符合下列规定：</w:t>
      </w:r>
    </w:p>
    <w:p w14:paraId="41BB6393">
      <w:pPr>
        <w:pStyle w:val="135"/>
        <w:numPr>
          <w:ilvl w:val="-1"/>
          <w:numId w:val="0"/>
        </w:numPr>
        <w:spacing w:before="24" w:after="24"/>
        <w:ind w:leftChars="200" w:firstLine="0" w:firstLineChars="0"/>
      </w:pPr>
      <w:r>
        <w:rPr>
          <w:rFonts w:hint="eastAsia"/>
          <w:lang w:val="en-US" w:eastAsia="zh-CN"/>
        </w:rPr>
        <w:t>a）</w:t>
      </w:r>
      <w:r>
        <w:rPr>
          <w:rFonts w:hint="eastAsia"/>
        </w:rPr>
        <w:t>以道路交叉口、行政区域边界为分界</w:t>
      </w:r>
      <w:r>
        <w:rPr>
          <w:rFonts w:hint="eastAsia"/>
          <w:lang w:eastAsia="zh-CN"/>
        </w:rPr>
        <w:t>，</w:t>
      </w:r>
      <w:r>
        <w:rPr>
          <w:rFonts w:hint="eastAsia"/>
        </w:rPr>
        <w:t>可划分</w:t>
      </w:r>
      <w:r>
        <w:rPr>
          <w:rFonts w:hint="eastAsia"/>
          <w:lang w:val="en-US" w:eastAsia="zh-CN"/>
        </w:rPr>
        <w:t>为</w:t>
      </w:r>
      <w:r>
        <w:rPr>
          <w:rFonts w:hint="eastAsia"/>
        </w:rPr>
        <w:t>不同评估单元；</w:t>
      </w:r>
    </w:p>
    <w:p w14:paraId="0719BA0D">
      <w:pPr>
        <w:pStyle w:val="135"/>
        <w:numPr>
          <w:ilvl w:val="-1"/>
          <w:numId w:val="0"/>
        </w:numPr>
        <w:spacing w:before="24" w:after="24"/>
        <w:ind w:leftChars="200" w:firstLine="0" w:firstLineChars="0"/>
      </w:pPr>
      <w:r>
        <w:rPr>
          <w:rFonts w:hint="eastAsia"/>
          <w:lang w:val="en-US" w:eastAsia="zh-CN"/>
        </w:rPr>
        <w:t>b）</w:t>
      </w:r>
      <w:r>
        <w:rPr>
          <w:rFonts w:hint="eastAsia"/>
        </w:rPr>
        <w:t>依据管道管径、管龄、管材、设计服务年限、</w:t>
      </w:r>
      <w:r>
        <w:rPr>
          <w:rFonts w:hint="eastAsia"/>
          <w:lang w:val="en-US" w:eastAsia="zh-CN"/>
        </w:rPr>
        <w:t>工作</w:t>
      </w:r>
      <w:r>
        <w:rPr>
          <w:rFonts w:hint="eastAsia"/>
        </w:rPr>
        <w:t>压力、敷设方式、地面覆盖材质、地面活动强度等属性差异，可划分</w:t>
      </w:r>
      <w:r>
        <w:rPr>
          <w:rFonts w:hint="eastAsia"/>
          <w:lang w:eastAsia="zh-CN"/>
        </w:rPr>
        <w:t>为</w:t>
      </w:r>
      <w:r>
        <w:rPr>
          <w:rFonts w:hint="eastAsia"/>
        </w:rPr>
        <w:t>不同评估单元；</w:t>
      </w:r>
    </w:p>
    <w:p w14:paraId="071B1EC3">
      <w:pPr>
        <w:pStyle w:val="135"/>
        <w:numPr>
          <w:ilvl w:val="-1"/>
          <w:numId w:val="0"/>
        </w:numPr>
        <w:spacing w:before="24" w:after="24"/>
        <w:ind w:leftChars="200" w:firstLine="0" w:firstLineChars="0"/>
      </w:pPr>
      <w:r>
        <w:rPr>
          <w:rFonts w:hint="eastAsia"/>
          <w:lang w:val="en-US" w:eastAsia="zh-CN"/>
        </w:rPr>
        <w:t>c）</w:t>
      </w:r>
      <w:r>
        <w:rPr>
          <w:rFonts w:hint="eastAsia"/>
        </w:rPr>
        <w:t>根据管道覆盖范围、事故影响半径、风险扩散能力差异，可划分</w:t>
      </w:r>
      <w:r>
        <w:rPr>
          <w:rFonts w:hint="eastAsia"/>
          <w:lang w:eastAsia="zh-CN"/>
        </w:rPr>
        <w:t>为</w:t>
      </w:r>
      <w:r>
        <w:rPr>
          <w:rFonts w:hint="eastAsia"/>
        </w:rPr>
        <w:t>不同评估单元；</w:t>
      </w:r>
    </w:p>
    <w:p w14:paraId="18D5373E">
      <w:pPr>
        <w:pStyle w:val="135"/>
        <w:numPr>
          <w:ilvl w:val="-1"/>
          <w:numId w:val="0"/>
        </w:numPr>
        <w:spacing w:before="24" w:after="24"/>
        <w:ind w:leftChars="200" w:firstLine="0" w:firstLineChars="0"/>
      </w:pPr>
      <w:r>
        <w:rPr>
          <w:rFonts w:hint="eastAsia"/>
          <w:lang w:val="en-US" w:eastAsia="zh-CN"/>
        </w:rPr>
        <w:t>d）</w:t>
      </w:r>
      <w:r>
        <w:rPr>
          <w:rFonts w:hint="eastAsia"/>
        </w:rPr>
        <w:t>管道</w:t>
      </w:r>
      <w:r>
        <w:rPr>
          <w:rFonts w:hint="eastAsia"/>
          <w:lang w:val="en-US" w:eastAsia="zh-CN"/>
        </w:rPr>
        <w:t>元</w:t>
      </w:r>
      <w:r>
        <w:rPr>
          <w:rFonts w:hint="eastAsia"/>
        </w:rPr>
        <w:t>件、接驳节点、设备连接处宜作为单元分界节点，划分独立评估单元；</w:t>
      </w:r>
    </w:p>
    <w:p w14:paraId="4F0F569B">
      <w:pPr>
        <w:pStyle w:val="135"/>
        <w:numPr>
          <w:ilvl w:val="-1"/>
          <w:numId w:val="0"/>
        </w:numPr>
        <w:spacing w:before="24" w:after="24"/>
        <w:ind w:leftChars="200" w:firstLine="0" w:firstLineChars="0"/>
      </w:pPr>
      <w:r>
        <w:rPr>
          <w:rFonts w:hint="eastAsia"/>
          <w:lang w:val="en-US" w:eastAsia="zh-CN"/>
        </w:rPr>
        <w:t>e）</w:t>
      </w:r>
      <w:r>
        <w:rPr>
          <w:rFonts w:hint="eastAsia"/>
        </w:rPr>
        <w:t>区域环境一致、设施属性相同的连续管道可划为同一评估单元，单段管道评估单元长度不宜大于1km。</w:t>
      </w:r>
    </w:p>
    <w:p w14:paraId="16F44286">
      <w:pPr>
        <w:pStyle w:val="98"/>
        <w:spacing w:beforeLines="0" w:afterLines="0"/>
        <w:rPr>
          <w:rFonts w:hint="eastAsia" w:ascii="宋体" w:hAnsi="宋体"/>
          <w:bCs/>
          <w:color w:val="auto"/>
        </w:rPr>
      </w:pPr>
      <w:bookmarkStart w:id="52" w:name="_Toc232858332"/>
      <w:r>
        <w:rPr>
          <w:rFonts w:hint="eastAsia" w:ascii="宋体" w:hAnsi="宋体"/>
          <w:bCs/>
          <w:color w:val="auto"/>
          <w:lang w:val="en-US" w:eastAsia="zh-CN"/>
        </w:rPr>
        <w:t>5.3.3现场调查</w:t>
      </w:r>
      <w:bookmarkEnd w:id="52"/>
      <w:r>
        <w:rPr>
          <w:rFonts w:hint="eastAsia" w:ascii="宋体" w:hAnsi="宋体"/>
          <w:bCs/>
          <w:color w:val="auto"/>
          <w:lang w:val="en-US" w:eastAsia="zh-CN"/>
        </w:rPr>
        <w:t>应核实前期收集资料的真实性，提供准确、全面的风险评估基础信息，</w:t>
      </w:r>
      <w:r>
        <w:rPr>
          <w:rFonts w:ascii="宋体" w:hAnsi="宋体"/>
          <w:bCs/>
          <w:color w:val="auto"/>
        </w:rPr>
        <w:t>调查内容应包括</w:t>
      </w:r>
      <w:bookmarkStart w:id="53" w:name="OLE_LINK29"/>
      <w:r>
        <w:rPr>
          <w:rFonts w:ascii="宋体" w:hAnsi="宋体"/>
          <w:bCs/>
          <w:color w:val="auto"/>
        </w:rPr>
        <w:t>评估范围内</w:t>
      </w:r>
      <w:r>
        <w:rPr>
          <w:rFonts w:hint="eastAsia" w:ascii="宋体" w:hAnsi="宋体"/>
          <w:bCs/>
          <w:color w:val="auto"/>
          <w:lang w:eastAsia="zh-CN"/>
        </w:rPr>
        <w:t>城市生命线</w:t>
      </w:r>
      <w:r>
        <w:rPr>
          <w:rFonts w:ascii="宋体" w:hAnsi="宋体"/>
          <w:bCs/>
          <w:color w:val="auto"/>
        </w:rPr>
        <w:t>的风险源、重点防护目标、应急资源等信息</w:t>
      </w:r>
      <w:bookmarkEnd w:id="53"/>
      <w:r>
        <w:rPr>
          <w:rFonts w:hint="eastAsia" w:ascii="宋体" w:hAnsi="宋体"/>
          <w:bCs/>
          <w:color w:val="auto"/>
        </w:rPr>
        <w:t>。</w:t>
      </w:r>
    </w:p>
    <w:p w14:paraId="367A65B7">
      <w:pPr>
        <w:pStyle w:val="98"/>
        <w:spacing w:beforeLines="0" w:afterLines="0"/>
        <w:rPr>
          <w:rFonts w:hint="eastAsia" w:ascii="宋体" w:hAnsi="宋体"/>
          <w:bCs/>
          <w:color w:val="auto"/>
        </w:rPr>
      </w:pPr>
      <w:r>
        <w:rPr>
          <w:rFonts w:hint="eastAsia" w:ascii="宋体" w:hAnsi="宋体"/>
          <w:bCs/>
          <w:color w:val="auto"/>
          <w:lang w:val="en-US" w:eastAsia="zh-CN"/>
        </w:rPr>
        <w:t>5.3.4</w:t>
      </w:r>
      <w:r>
        <w:rPr>
          <w:rFonts w:hint="eastAsia" w:ascii="宋体" w:hAnsi="宋体"/>
          <w:bCs/>
          <w:color w:val="auto"/>
        </w:rPr>
        <w:t>风</w:t>
      </w:r>
      <w:r>
        <w:rPr>
          <w:rFonts w:ascii="宋体" w:hAnsi="宋体"/>
          <w:bCs/>
          <w:color w:val="auto"/>
        </w:rPr>
        <w:t>险源调查应</w:t>
      </w:r>
      <w:r>
        <w:rPr>
          <w:rFonts w:hint="eastAsia" w:ascii="宋体" w:hAnsi="宋体"/>
          <w:bCs/>
          <w:color w:val="auto"/>
          <w:lang w:eastAsia="zh-CN"/>
        </w:rPr>
        <w:t>符合以下要求</w:t>
      </w:r>
      <w:r>
        <w:rPr>
          <w:rFonts w:hint="eastAsia" w:ascii="宋体" w:hAnsi="宋体"/>
          <w:bCs/>
          <w:color w:val="auto"/>
        </w:rPr>
        <w:t>：</w:t>
      </w:r>
    </w:p>
    <w:p w14:paraId="4F98F246">
      <w:pPr>
        <w:pStyle w:val="98"/>
        <w:spacing w:beforeLines="0" w:afterLines="0"/>
        <w:ind w:firstLine="420" w:firstLineChars="200"/>
        <w:rPr>
          <w:rFonts w:hint="eastAsia" w:ascii="宋体" w:hAnsi="宋体"/>
          <w:bCs/>
          <w:color w:val="auto"/>
          <w:lang w:val="en-US" w:eastAsia="zh-CN"/>
        </w:rPr>
      </w:pPr>
      <w:r>
        <w:rPr>
          <w:rFonts w:hint="eastAsia" w:ascii="宋体" w:hAnsi="宋体"/>
          <w:bCs/>
          <w:color w:val="auto"/>
          <w:lang w:val="en-US" w:eastAsia="zh-CN"/>
        </w:rPr>
        <w:t>a）现场调查宜重点关注对城市安全影响较大的高层建筑、大型综合体、综合交通枢纽、隧道桥梁、水利工程、管线管廊、道路交通、轨道交通、燃气工程、排水防涝、垃圾填埋场、危险废物处置中心、渣土受纳场、电力设施及电梯、大型游乐设施、地下设施、危险化学品等风险源相关信息；</w:t>
      </w:r>
    </w:p>
    <w:p w14:paraId="0F850F2C">
      <w:pPr>
        <w:pStyle w:val="98"/>
        <w:spacing w:beforeLines="0" w:afterLines="0"/>
        <w:ind w:firstLine="420" w:firstLineChars="200"/>
        <w:rPr>
          <w:rFonts w:hint="eastAsia" w:ascii="宋体" w:hAnsi="宋体"/>
          <w:bCs/>
          <w:color w:val="auto"/>
          <w:lang w:val="en-US" w:eastAsia="zh-CN"/>
        </w:rPr>
      </w:pPr>
      <w:r>
        <w:rPr>
          <w:rFonts w:hint="eastAsia" w:ascii="宋体" w:hAnsi="宋体"/>
          <w:bCs/>
          <w:color w:val="auto"/>
          <w:lang w:val="en-US" w:eastAsia="zh-CN"/>
        </w:rPr>
        <w:t>b）核实风险源具体情况、安全及受控状态、事故防范应急措施等；</w:t>
      </w:r>
    </w:p>
    <w:p w14:paraId="77FE8701">
      <w:pPr>
        <w:pStyle w:val="98"/>
        <w:spacing w:beforeLines="0" w:afterLines="0"/>
        <w:ind w:firstLine="420" w:firstLineChars="200"/>
        <w:rPr>
          <w:rFonts w:hint="eastAsia" w:ascii="宋体" w:hAnsi="宋体"/>
          <w:bCs/>
          <w:color w:val="auto"/>
          <w:lang w:val="en-US" w:eastAsia="zh-CN"/>
        </w:rPr>
      </w:pPr>
      <w:r>
        <w:rPr>
          <w:rFonts w:hint="eastAsia" w:ascii="宋体" w:hAnsi="宋体"/>
          <w:bCs/>
          <w:color w:val="auto"/>
          <w:lang w:val="en-US" w:eastAsia="zh-CN"/>
        </w:rPr>
        <w:t>c）对评估范围外可能对评估对象安全构成威胁的风险源进行调查。</w:t>
      </w:r>
    </w:p>
    <w:p w14:paraId="5F7A5320">
      <w:pPr>
        <w:pStyle w:val="98"/>
        <w:spacing w:beforeLines="0" w:afterLines="0"/>
        <w:rPr>
          <w:rFonts w:hint="eastAsia" w:ascii="宋体" w:hAnsi="宋体" w:eastAsia="宋体"/>
          <w:bCs/>
          <w:color w:val="auto"/>
          <w:lang w:eastAsia="zh-CN"/>
        </w:rPr>
      </w:pPr>
      <w:r>
        <w:rPr>
          <w:rFonts w:hint="eastAsia" w:ascii="宋体" w:hAnsi="宋体"/>
          <w:bCs/>
          <w:color w:val="auto"/>
          <w:lang w:val="en-US" w:eastAsia="zh-CN"/>
        </w:rPr>
        <w:t>5.3.5</w:t>
      </w:r>
      <w:r>
        <w:rPr>
          <w:rFonts w:ascii="宋体" w:hAnsi="宋体"/>
          <w:bCs/>
          <w:color w:val="auto"/>
        </w:rPr>
        <w:t>重点防护目标应</w:t>
      </w:r>
      <w:r>
        <w:rPr>
          <w:rFonts w:hint="eastAsia" w:ascii="宋体" w:hAnsi="宋体"/>
          <w:bCs/>
          <w:color w:val="auto"/>
        </w:rPr>
        <w:t>调查GB36894中要求的防护目标和</w:t>
      </w:r>
      <w:r>
        <w:rPr>
          <w:rFonts w:hint="eastAsia" w:ascii="宋体" w:hAnsi="宋体"/>
          <w:bCs/>
          <w:color w:val="auto"/>
          <w:lang w:eastAsia="zh-CN"/>
        </w:rPr>
        <w:t>城市生命线</w:t>
      </w:r>
      <w:r>
        <w:rPr>
          <w:rFonts w:ascii="宋体" w:hAnsi="宋体"/>
          <w:bCs/>
          <w:color w:val="auto"/>
        </w:rPr>
        <w:t>安全风险相关的重点防护目标</w:t>
      </w:r>
      <w:r>
        <w:rPr>
          <w:rFonts w:hint="eastAsia" w:ascii="宋体" w:hAnsi="宋体"/>
          <w:bCs/>
          <w:color w:val="auto"/>
        </w:rPr>
        <w:t>，</w:t>
      </w:r>
      <w:r>
        <w:rPr>
          <w:rFonts w:ascii="宋体" w:hAnsi="宋体"/>
          <w:bCs/>
          <w:color w:val="auto"/>
        </w:rPr>
        <w:t>调查应明确相关设施的名称、位置</w:t>
      </w:r>
      <w:r>
        <w:rPr>
          <w:rFonts w:hint="eastAsia" w:ascii="宋体" w:hAnsi="宋体"/>
          <w:bCs/>
          <w:color w:val="auto"/>
        </w:rPr>
        <w:t>和</w:t>
      </w:r>
      <w:r>
        <w:rPr>
          <w:rFonts w:ascii="宋体" w:hAnsi="宋体"/>
          <w:bCs/>
          <w:color w:val="auto"/>
        </w:rPr>
        <w:t>范围、高峰时段的人员数量及时间等信息，以评估在事故发生时的人员疏散难度和应急反应能力</w:t>
      </w:r>
      <w:r>
        <w:rPr>
          <w:rFonts w:hint="eastAsia" w:ascii="宋体" w:hAnsi="宋体"/>
          <w:bCs/>
          <w:color w:val="auto"/>
          <w:lang w:eastAsia="zh-CN"/>
        </w:rPr>
        <w:t>。</w:t>
      </w:r>
    </w:p>
    <w:p w14:paraId="7FA4AA77">
      <w:pPr>
        <w:pStyle w:val="98"/>
        <w:spacing w:beforeLines="0" w:afterLines="0"/>
        <w:rPr>
          <w:rFonts w:hint="eastAsia" w:ascii="宋体" w:hAnsi="宋体"/>
          <w:bCs/>
          <w:color w:val="auto"/>
        </w:rPr>
      </w:pPr>
      <w:r>
        <w:rPr>
          <w:rFonts w:hint="eastAsia" w:ascii="宋体" w:hAnsi="宋体"/>
          <w:bCs/>
          <w:color w:val="auto"/>
          <w:lang w:val="en-US" w:eastAsia="zh-CN"/>
        </w:rPr>
        <w:t>5.3.6</w:t>
      </w:r>
      <w:r>
        <w:rPr>
          <w:rFonts w:hint="eastAsia" w:ascii="宋体" w:hAnsi="宋体"/>
          <w:bCs/>
          <w:color w:val="auto"/>
        </w:rPr>
        <w:t>应急资源调查</w:t>
      </w:r>
      <w:r>
        <w:rPr>
          <w:rFonts w:hint="eastAsia" w:ascii="宋体" w:hAnsi="宋体"/>
          <w:bCs/>
          <w:color w:val="auto"/>
          <w:lang w:val="en-US" w:eastAsia="zh-CN"/>
        </w:rPr>
        <w:t>内容</w:t>
      </w:r>
      <w:r>
        <w:rPr>
          <w:rFonts w:hint="eastAsia" w:ascii="宋体" w:hAnsi="宋体"/>
          <w:bCs/>
          <w:color w:val="auto"/>
        </w:rPr>
        <w:t>应包括对</w:t>
      </w:r>
      <w:r>
        <w:rPr>
          <w:rFonts w:hint="eastAsia" w:ascii="宋体" w:hAnsi="宋体"/>
          <w:bCs/>
          <w:color w:val="auto"/>
          <w:lang w:eastAsia="zh-CN"/>
        </w:rPr>
        <w:t>城市生命线</w:t>
      </w:r>
      <w:r>
        <w:rPr>
          <w:rFonts w:hint="eastAsia" w:ascii="宋体" w:hAnsi="宋体"/>
          <w:bCs/>
          <w:color w:val="auto"/>
        </w:rPr>
        <w:t>安全所涉及的应急组织、应急救援力量、应急专家、应急物资装备及应急预案、应急资金与技术支撑、应急交通规划等。</w:t>
      </w:r>
    </w:p>
    <w:p w14:paraId="4428391D">
      <w:pPr>
        <w:pStyle w:val="98"/>
        <w:spacing w:beforeLines="0" w:afterLines="0"/>
        <w:rPr>
          <w:rFonts w:hint="eastAsia" w:ascii="宋体" w:hAnsi="宋体"/>
          <w:bCs/>
          <w:color w:val="auto"/>
          <w:lang w:val="en-US" w:eastAsia="zh-CN"/>
        </w:rPr>
      </w:pPr>
      <w:r>
        <w:rPr>
          <w:rFonts w:hint="eastAsia" w:ascii="宋体" w:hAnsi="宋体"/>
          <w:bCs/>
          <w:color w:val="auto"/>
          <w:lang w:val="en-US" w:eastAsia="zh-CN"/>
        </w:rPr>
        <w:t>5.3.7安全风险识别应综合分析各类基础设施生命线安全风险特点、风险识别技术能力和基础资料情况，可根据GB/T 42768 的规定执行，也可选择行业领域内已有的识别方法，如询问与交流、现场检查、查阅有关记录、工作危害分析法（JHA）、检查表法（SCL）、头脑风暴法（BS）、流程图法、系统分析法、场景分析法、综合判断法等，开展相应的风险识别工作。</w:t>
      </w:r>
    </w:p>
    <w:p w14:paraId="55909ABF">
      <w:pPr>
        <w:pStyle w:val="98"/>
        <w:spacing w:beforeLines="0" w:afterLines="0"/>
        <w:rPr>
          <w:rFonts w:hint="eastAsia" w:ascii="宋体" w:hAnsi="宋体"/>
          <w:bCs/>
          <w:color w:val="auto"/>
        </w:rPr>
      </w:pPr>
      <w:r>
        <w:rPr>
          <w:rFonts w:hint="eastAsia" w:ascii="宋体" w:hAnsi="宋体"/>
          <w:bCs/>
          <w:color w:val="auto"/>
          <w:lang w:val="en-US" w:eastAsia="zh-CN"/>
        </w:rPr>
        <w:t>5.3.8</w:t>
      </w:r>
      <w:r>
        <w:rPr>
          <w:rFonts w:ascii="宋体" w:hAnsi="宋体"/>
          <w:bCs/>
          <w:color w:val="auto"/>
        </w:rPr>
        <w:t>对各类</w:t>
      </w:r>
      <w:r>
        <w:rPr>
          <w:rFonts w:hint="eastAsia" w:ascii="宋体" w:hAnsi="宋体"/>
          <w:bCs/>
          <w:color w:val="auto"/>
          <w:lang w:val="en-US" w:eastAsia="zh-CN"/>
        </w:rPr>
        <w:t>基础设施</w:t>
      </w:r>
      <w:r>
        <w:rPr>
          <w:rFonts w:ascii="宋体" w:hAnsi="宋体"/>
          <w:bCs/>
          <w:color w:val="auto"/>
        </w:rPr>
        <w:t>，应重点</w:t>
      </w:r>
      <w:r>
        <w:rPr>
          <w:rFonts w:hint="eastAsia" w:ascii="宋体" w:hAnsi="宋体"/>
          <w:bCs/>
          <w:color w:val="auto"/>
        </w:rPr>
        <w:t>识别以下类型风险：</w:t>
      </w:r>
    </w:p>
    <w:p w14:paraId="54BD1B9C">
      <w:pPr>
        <w:pStyle w:val="135"/>
        <w:numPr>
          <w:ilvl w:val="-1"/>
          <w:numId w:val="0"/>
        </w:numPr>
        <w:spacing w:before="24" w:after="24"/>
        <w:ind w:leftChars="200" w:firstLine="0" w:firstLineChars="0"/>
      </w:pPr>
      <w:r>
        <w:rPr>
          <w:rFonts w:hint="eastAsia"/>
          <w:lang w:val="en-US" w:eastAsia="zh-CN"/>
        </w:rPr>
        <w:t>a)</w:t>
      </w:r>
      <w:r>
        <w:rPr>
          <w:rFonts w:hint="eastAsia"/>
        </w:rPr>
        <w:t>燃气管道泄漏风险、供水管道爆管风险、雨水内涝风险、污水溢流风险、热力管道泄漏风险、桥梁和隧道的垮塌风险；</w:t>
      </w:r>
    </w:p>
    <w:p w14:paraId="574069F6">
      <w:pPr>
        <w:pStyle w:val="135"/>
        <w:numPr>
          <w:ilvl w:val="-1"/>
          <w:numId w:val="0"/>
        </w:numPr>
        <w:spacing w:before="24" w:after="24"/>
        <w:ind w:leftChars="200" w:firstLine="0" w:firstLineChars="0"/>
        <w:rPr>
          <w:rFonts w:hint="eastAsia" w:ascii="宋体" w:hAnsi="宋体"/>
          <w:bCs/>
        </w:rPr>
      </w:pPr>
      <w:r>
        <w:rPr>
          <w:rFonts w:hint="eastAsia"/>
          <w:lang w:val="en-US" w:eastAsia="zh-CN"/>
        </w:rPr>
        <w:t>b)</w:t>
      </w:r>
      <w:r>
        <w:rPr>
          <w:rFonts w:hint="eastAsia"/>
        </w:rPr>
        <w:t>由自然灾害、历史事故灾难、公共安全</w:t>
      </w:r>
      <w:r>
        <w:rPr>
          <w:rFonts w:hint="eastAsia"/>
          <w:lang w:val="en-US" w:eastAsia="zh-CN"/>
        </w:rPr>
        <w:t>隐患</w:t>
      </w:r>
      <w:r>
        <w:rPr>
          <w:rFonts w:hint="eastAsia"/>
        </w:rPr>
        <w:t>等因素引发的安全</w:t>
      </w:r>
      <w:r>
        <w:rPr>
          <w:rFonts w:hint="eastAsia" w:ascii="宋体" w:hAnsi="宋体"/>
          <w:bCs/>
        </w:rPr>
        <w:t>风险。</w:t>
      </w:r>
    </w:p>
    <w:p w14:paraId="45339C40">
      <w:pPr>
        <w:pStyle w:val="108"/>
        <w:numPr>
          <w:ilvl w:val="1"/>
          <w:numId w:val="1"/>
        </w:numPr>
        <w:spacing w:before="120" w:beforeLines="50" w:after="120" w:afterLines="50"/>
      </w:pPr>
      <w:r>
        <w:rPr>
          <w:rFonts w:hint="eastAsia"/>
          <w:color w:val="808080" w:themeColor="background1" w:themeShade="80"/>
        </w:rPr>
        <w:t xml:space="preserve">  </w:t>
      </w:r>
      <w:bookmarkStart w:id="54" w:name="_Toc232858334"/>
      <w:bookmarkStart w:id="55" w:name="_Toc234328961"/>
      <w:bookmarkStart w:id="56" w:name="_Toc105"/>
      <w:r>
        <w:rPr>
          <w:rFonts w:hint="eastAsia"/>
        </w:rPr>
        <w:t>风险分析</w:t>
      </w:r>
      <w:bookmarkEnd w:id="54"/>
      <w:bookmarkEnd w:id="55"/>
      <w:bookmarkEnd w:id="56"/>
    </w:p>
    <w:p w14:paraId="16BFAAE2">
      <w:pPr>
        <w:pStyle w:val="4"/>
        <w:spacing w:beforeLines="0" w:afterLines="0"/>
        <w:rPr>
          <w:rFonts w:hint="eastAsia" w:ascii="宋体" w:hAnsi="宋体" w:cs="宋体"/>
          <w:bCs/>
        </w:rPr>
      </w:pPr>
      <w:r>
        <w:rPr>
          <w:rFonts w:hint="eastAsia" w:ascii="宋体" w:hAnsi="宋体" w:cs="宋体"/>
          <w:bCs/>
        </w:rPr>
        <w:t>5.4.1风险分析应根据评估对象风险类型特点，选择适用的分析方法，可按GB/T27921的规定执行。</w:t>
      </w:r>
    </w:p>
    <w:p w14:paraId="64A626E9">
      <w:pPr>
        <w:pStyle w:val="4"/>
        <w:spacing w:beforeLines="0" w:afterLines="0"/>
        <w:rPr>
          <w:rFonts w:hint="eastAsia" w:ascii="宋体" w:hAnsi="宋体" w:cs="宋体"/>
          <w:bCs/>
        </w:rPr>
      </w:pPr>
      <w:r>
        <w:rPr>
          <w:rFonts w:hint="eastAsia" w:ascii="宋体" w:hAnsi="宋体" w:cs="宋体"/>
          <w:bCs/>
        </w:rPr>
        <w:t>5.4.2</w:t>
      </w:r>
      <w:r>
        <w:rPr>
          <w:rFonts w:ascii="宋体" w:hAnsi="宋体" w:cs="宋体"/>
          <w:bCs/>
        </w:rPr>
        <w:t>风险</w:t>
      </w:r>
      <w:r>
        <w:rPr>
          <w:rFonts w:hint="eastAsia" w:ascii="宋体" w:hAnsi="宋体" w:cs="宋体"/>
          <w:bCs/>
        </w:rPr>
        <w:t>分析</w:t>
      </w:r>
      <w:r>
        <w:rPr>
          <w:rFonts w:ascii="宋体" w:hAnsi="宋体" w:cs="宋体"/>
          <w:bCs/>
        </w:rPr>
        <w:t>宜采用风险矩阵法，其中</w:t>
      </w:r>
      <w:r>
        <w:rPr>
          <w:rFonts w:hint="eastAsia" w:ascii="宋体" w:hAnsi="宋体" w:cs="宋体"/>
          <w:bCs/>
        </w:rPr>
        <w:t>指标体系的确定应符合下列规定：</w:t>
      </w:r>
    </w:p>
    <w:p w14:paraId="342D23DB">
      <w:pPr>
        <w:pStyle w:val="98"/>
        <w:spacing w:beforeLines="0" w:afterLines="0"/>
        <w:ind w:firstLine="420" w:firstLineChars="200"/>
        <w:rPr>
          <w:rFonts w:hint="eastAsia" w:ascii="宋体" w:hAnsi="宋体"/>
          <w:bCs/>
          <w:color w:val="auto"/>
        </w:rPr>
      </w:pPr>
      <w:r>
        <w:rPr>
          <w:rFonts w:hint="eastAsia" w:ascii="宋体" w:hAnsi="宋体"/>
          <w:bCs/>
          <w:color w:val="auto"/>
        </w:rPr>
        <w:t>a）指标选取应符合行业技术标准规定，并采用法定计量单位；</w:t>
      </w:r>
    </w:p>
    <w:p w14:paraId="087756A8">
      <w:pPr>
        <w:pStyle w:val="98"/>
        <w:spacing w:beforeLines="0" w:afterLines="0"/>
        <w:ind w:firstLine="420" w:firstLineChars="200"/>
        <w:rPr>
          <w:rFonts w:hint="eastAsia" w:ascii="宋体" w:hAnsi="宋体"/>
          <w:bCs/>
          <w:color w:val="auto"/>
        </w:rPr>
      </w:pPr>
      <w:r>
        <w:rPr>
          <w:rFonts w:hint="eastAsia" w:ascii="宋体" w:hAnsi="宋体"/>
          <w:bCs/>
          <w:color w:val="auto"/>
        </w:rPr>
        <w:t>b）权重赋值宜采用层次分析法等标准化方法；</w:t>
      </w:r>
    </w:p>
    <w:p w14:paraId="02B9E155">
      <w:pPr>
        <w:pStyle w:val="98"/>
        <w:spacing w:beforeLines="0" w:afterLines="0"/>
        <w:ind w:firstLine="420" w:firstLineChars="200"/>
        <w:rPr>
          <w:rFonts w:hint="eastAsia" w:ascii="宋体" w:hAnsi="宋体"/>
          <w:bCs/>
          <w:color w:val="auto"/>
        </w:rPr>
      </w:pPr>
      <w:r>
        <w:rPr>
          <w:rFonts w:hint="eastAsia" w:ascii="宋体" w:hAnsi="宋体"/>
          <w:bCs/>
          <w:color w:val="auto"/>
        </w:rPr>
        <w:t>c）计算过程应保留完整的参数溯源记录；</w:t>
      </w:r>
    </w:p>
    <w:p w14:paraId="0DF3FD67">
      <w:pPr>
        <w:pStyle w:val="98"/>
        <w:spacing w:beforeLines="0" w:afterLines="0"/>
        <w:ind w:firstLine="420" w:firstLineChars="200"/>
        <w:rPr>
          <w:rFonts w:hint="eastAsia" w:ascii="宋体" w:hAnsi="宋体"/>
          <w:bCs/>
          <w:color w:val="auto"/>
        </w:rPr>
      </w:pPr>
      <w:r>
        <w:rPr>
          <w:rFonts w:hint="eastAsia" w:ascii="宋体" w:hAnsi="宋体"/>
          <w:bCs/>
          <w:color w:val="auto"/>
        </w:rPr>
        <w:t>d）指标体系应根据所引用标准的更新而动态调整。</w:t>
      </w:r>
    </w:p>
    <w:p w14:paraId="435F8288">
      <w:pPr>
        <w:pStyle w:val="4"/>
        <w:spacing w:beforeLines="0" w:afterLines="0"/>
        <w:rPr>
          <w:rFonts w:hint="eastAsia" w:ascii="宋体" w:hAnsi="宋体" w:cs="宋体"/>
          <w:bCs/>
        </w:rPr>
      </w:pPr>
      <w:r>
        <w:rPr>
          <w:rFonts w:hint="eastAsia" w:ascii="宋体" w:hAnsi="宋体" w:cs="宋体"/>
          <w:bCs/>
        </w:rPr>
        <w:t>5.4.3风险分析一般包含风险事件发生的可能性分析和后果严重性</w:t>
      </w:r>
      <w:r>
        <w:rPr>
          <w:rFonts w:hint="eastAsia" w:ascii="宋体" w:hAnsi="宋体" w:cs="宋体"/>
          <w:bCs/>
          <w:lang w:val="en-US" w:eastAsia="zh-CN"/>
        </w:rPr>
        <w:t>分析</w:t>
      </w:r>
      <w:r>
        <w:rPr>
          <w:rFonts w:hint="eastAsia" w:ascii="宋体" w:hAnsi="宋体" w:cs="宋体"/>
          <w:bCs/>
        </w:rPr>
        <w:t>，可采用定性分析、定量分析或定性定量相结合的分析方法。</w:t>
      </w:r>
    </w:p>
    <w:p w14:paraId="334F13E4">
      <w:pPr>
        <w:keepNext w:val="0"/>
        <w:keepLines w:val="0"/>
        <w:widowControl/>
        <w:suppressLineNumbers w:val="0"/>
        <w:jc w:val="left"/>
        <w:rPr>
          <w:rFonts w:hint="eastAsia" w:ascii="宋体" w:hAnsi="宋体" w:eastAsia="宋体" w:cs="宋体"/>
          <w:bCs/>
          <w:lang w:eastAsia="zh-CN"/>
        </w:rPr>
      </w:pPr>
      <w:r>
        <w:rPr>
          <w:rFonts w:hint="eastAsia" w:ascii="宋体" w:hAnsi="宋体" w:cs="宋体"/>
          <w:bCs/>
        </w:rPr>
        <w:t>5.4.4风险事件可能性应结合历史事故频率、设施服役年限、现有安全管控措施有效性、第三方施工管控水平、企业运维管理能力等多维度参数综合判定，并根据区域管理现状合理修正等级</w:t>
      </w:r>
      <w:r>
        <w:rPr>
          <w:rFonts w:hint="eastAsia" w:ascii="宋体" w:hAnsi="宋体" w:cs="宋体"/>
          <w:bCs/>
          <w:lang w:eastAsia="zh-CN"/>
        </w:rPr>
        <w:t>。</w:t>
      </w:r>
    </w:p>
    <w:p w14:paraId="169811A9">
      <w:pPr>
        <w:pStyle w:val="4"/>
        <w:spacing w:beforeLines="0" w:afterLines="0"/>
        <w:rPr>
          <w:rFonts w:hint="eastAsia" w:ascii="宋体" w:hAnsi="宋体" w:eastAsia="宋体" w:cs="宋体"/>
          <w:bCs/>
          <w:lang w:eastAsia="zh-CN"/>
        </w:rPr>
      </w:pPr>
      <w:r>
        <w:rPr>
          <w:rFonts w:hint="eastAsia" w:ascii="宋体" w:hAnsi="宋体" w:cs="宋体"/>
          <w:bCs/>
        </w:rPr>
        <w:t>5.4.5风险事件后果严重性应结合人员伤亡风险、财产损失规模、重点防护目标受影响程度、基础设施</w:t>
      </w:r>
      <w:r>
        <w:rPr>
          <w:rFonts w:hint="eastAsia" w:ascii="宋体" w:hAnsi="宋体" w:cs="宋体"/>
          <w:b w:val="0"/>
          <w:bCs/>
        </w:rPr>
        <w:t>损坏或</w:t>
      </w:r>
      <w:r>
        <w:rPr>
          <w:rFonts w:hint="eastAsia" w:ascii="宋体" w:hAnsi="宋体" w:cs="宋体"/>
          <w:bCs/>
        </w:rPr>
        <w:t>中断范围、环境破坏情况等核心参数综合度量判定</w:t>
      </w:r>
      <w:r>
        <w:rPr>
          <w:rFonts w:hint="eastAsia" w:ascii="宋体" w:hAnsi="宋体" w:cs="宋体"/>
          <w:bCs/>
          <w:lang w:eastAsia="zh-CN"/>
        </w:rPr>
        <w:t>。</w:t>
      </w:r>
    </w:p>
    <w:p w14:paraId="66B65DD3">
      <w:pPr>
        <w:pStyle w:val="4"/>
        <w:spacing w:beforeLines="0" w:afterLines="0"/>
        <w:rPr>
          <w:rFonts w:hint="eastAsia" w:ascii="宋体" w:hAnsi="宋体" w:cs="宋体"/>
          <w:bCs/>
        </w:rPr>
      </w:pPr>
      <w:r>
        <w:rPr>
          <w:rFonts w:hint="eastAsia" w:ascii="宋体" w:hAnsi="宋体" w:cs="宋体"/>
          <w:bCs/>
        </w:rPr>
        <w:t>5.4.6城市燃气、供水、排水、热力、桥梁、隧道等设施风险评估指标，可参照附录</w:t>
      </w:r>
      <w:r>
        <w:rPr>
          <w:rFonts w:hint="default" w:ascii="宋体" w:hAnsi="宋体" w:cs="宋体"/>
          <w:bCs/>
          <w:lang w:val="en-US"/>
        </w:rPr>
        <w:t>A</w:t>
      </w:r>
      <w:r>
        <w:rPr>
          <w:rFonts w:hint="eastAsia" w:ascii="宋体" w:hAnsi="宋体" w:cs="宋体"/>
          <w:bCs/>
        </w:rPr>
        <w:t>的要求，从中选取及补充必要的评估指标。</w:t>
      </w:r>
    </w:p>
    <w:p w14:paraId="44400AE0">
      <w:pPr>
        <w:pStyle w:val="4"/>
        <w:spacing w:beforeLines="0" w:afterLines="0"/>
        <w:rPr>
          <w:rFonts w:hint="eastAsia" w:ascii="宋体" w:hAnsi="宋体" w:cs="宋体"/>
          <w:bCs/>
        </w:rPr>
      </w:pPr>
      <w:r>
        <w:rPr>
          <w:rFonts w:hint="eastAsia" w:ascii="宋体" w:hAnsi="宋体" w:cs="宋体"/>
          <w:bCs/>
        </w:rPr>
        <w:t>5.4.7燃气、供水、排水、热力设施可能性评估指标应包括管道物理属性、周边环境、管道运维状态等。桥梁、隧道</w:t>
      </w:r>
      <w:r>
        <w:rPr>
          <w:rFonts w:hint="eastAsia" w:ascii="宋体" w:hAnsi="宋体" w:cs="宋体"/>
          <w:bCs/>
          <w:lang w:val="en-US" w:eastAsia="zh-CN"/>
        </w:rPr>
        <w:t>设施</w:t>
      </w:r>
      <w:r>
        <w:rPr>
          <w:rFonts w:hint="eastAsia" w:ascii="宋体" w:hAnsi="宋体" w:cs="宋体"/>
          <w:bCs/>
        </w:rPr>
        <w:t>可能性评估指标应包括正常运行、交通安全、自然条件、运行维护等因素。</w:t>
      </w:r>
    </w:p>
    <w:p w14:paraId="37E3B3C0">
      <w:pPr>
        <w:pStyle w:val="4"/>
        <w:spacing w:beforeLines="0" w:afterLines="0"/>
        <w:rPr>
          <w:rFonts w:hint="eastAsia" w:ascii="宋体" w:hAnsi="宋体" w:cs="宋体"/>
          <w:bCs/>
        </w:rPr>
      </w:pPr>
      <w:r>
        <w:rPr>
          <w:rFonts w:hint="eastAsia" w:ascii="宋体" w:hAnsi="宋体" w:cs="宋体"/>
          <w:bCs/>
        </w:rPr>
        <w:t>5.4.8燃气、供水、排水、热力</w:t>
      </w:r>
      <w:r>
        <w:rPr>
          <w:rFonts w:hint="eastAsia" w:ascii="宋体" w:hAnsi="宋体" w:cs="宋体"/>
          <w:bCs/>
          <w:lang w:val="en-US" w:eastAsia="zh-CN"/>
        </w:rPr>
        <w:t>设施</w:t>
      </w:r>
      <w:r>
        <w:rPr>
          <w:rFonts w:hint="eastAsia" w:ascii="宋体" w:hAnsi="宋体" w:cs="宋体"/>
          <w:bCs/>
        </w:rPr>
        <w:t>后果评估指标应包括事故危害程度、社会影响</w:t>
      </w:r>
      <w:r>
        <w:rPr>
          <w:rFonts w:hint="eastAsia" w:ascii="宋体" w:hAnsi="宋体" w:cs="宋体"/>
          <w:bCs/>
          <w:lang w:val="en-US" w:eastAsia="zh-CN"/>
        </w:rPr>
        <w:t>范围</w:t>
      </w:r>
      <w:r>
        <w:rPr>
          <w:rFonts w:hint="eastAsia" w:ascii="宋体" w:hAnsi="宋体" w:cs="宋体"/>
          <w:bCs/>
        </w:rPr>
        <w:t>等，桥梁、隧道</w:t>
      </w:r>
      <w:r>
        <w:rPr>
          <w:rFonts w:hint="eastAsia" w:ascii="宋体" w:hAnsi="宋体" w:cs="宋体"/>
          <w:bCs/>
          <w:lang w:val="en-US" w:eastAsia="zh-CN"/>
        </w:rPr>
        <w:t>设施</w:t>
      </w:r>
      <w:r>
        <w:rPr>
          <w:rFonts w:hint="eastAsia" w:ascii="宋体" w:hAnsi="宋体" w:cs="宋体"/>
          <w:bCs/>
        </w:rPr>
        <w:t>后果评估指标应包括结构损伤、</w:t>
      </w:r>
      <w:r>
        <w:rPr>
          <w:rFonts w:hint="eastAsia" w:ascii="宋体" w:hAnsi="宋体" w:cs="宋体"/>
          <w:bCs/>
          <w:lang w:val="en-US" w:eastAsia="zh-CN"/>
        </w:rPr>
        <w:t>交通</w:t>
      </w:r>
      <w:r>
        <w:rPr>
          <w:rFonts w:hint="eastAsia" w:ascii="宋体" w:hAnsi="宋体" w:cs="宋体"/>
          <w:bCs/>
        </w:rPr>
        <w:t>通行延误、人员安全</w:t>
      </w:r>
      <w:r>
        <w:rPr>
          <w:rFonts w:hint="eastAsia" w:ascii="宋体" w:hAnsi="宋体" w:cs="宋体"/>
          <w:bCs/>
          <w:lang w:val="en-US" w:eastAsia="zh-CN"/>
        </w:rPr>
        <w:t>风险</w:t>
      </w:r>
      <w:r>
        <w:rPr>
          <w:rFonts w:hint="eastAsia" w:ascii="宋体" w:hAnsi="宋体" w:cs="宋体"/>
          <w:bCs/>
        </w:rPr>
        <w:t>、社会影响等</w:t>
      </w:r>
      <w:r>
        <w:rPr>
          <w:rFonts w:hint="eastAsia" w:ascii="宋体" w:hAnsi="宋体" w:cs="宋体"/>
          <w:bCs/>
          <w:lang w:val="en-US" w:eastAsia="zh-CN"/>
        </w:rPr>
        <w:t>内容</w:t>
      </w:r>
      <w:r>
        <w:rPr>
          <w:rFonts w:hint="eastAsia" w:ascii="宋体" w:hAnsi="宋体" w:cs="宋体"/>
          <w:bCs/>
        </w:rPr>
        <w:t>。</w:t>
      </w:r>
    </w:p>
    <w:p w14:paraId="0802C456">
      <w:pPr>
        <w:pStyle w:val="108"/>
        <w:numPr>
          <w:ilvl w:val="1"/>
          <w:numId w:val="1"/>
        </w:numPr>
        <w:spacing w:before="120" w:beforeLines="50" w:after="120" w:afterLines="50"/>
      </w:pPr>
      <w:r>
        <w:rPr>
          <w:rFonts w:ascii="宋体" w:hAnsi="宋体"/>
          <w:bCs/>
          <w:color w:val="808080" w:themeColor="background1" w:themeShade="80"/>
        </w:rPr>
        <w:t xml:space="preserve">  </w:t>
      </w:r>
      <w:bookmarkStart w:id="57" w:name="_Toc232858335"/>
      <w:bookmarkStart w:id="58" w:name="_Toc234328962"/>
      <w:bookmarkStart w:id="59" w:name="_Toc29163"/>
      <w:r>
        <w:rPr>
          <w:rFonts w:hint="eastAsia"/>
        </w:rPr>
        <w:t>风险评价</w:t>
      </w:r>
      <w:bookmarkEnd w:id="57"/>
      <w:bookmarkEnd w:id="58"/>
      <w:bookmarkEnd w:id="59"/>
    </w:p>
    <w:p w14:paraId="353D3F28">
      <w:pPr>
        <w:pStyle w:val="4"/>
        <w:spacing w:beforeLines="0" w:afterLines="0"/>
        <w:rPr>
          <w:rFonts w:hint="eastAsia" w:ascii="宋体" w:hAnsi="宋体" w:cs="宋体"/>
          <w:bCs/>
        </w:rPr>
      </w:pPr>
      <w:r>
        <w:rPr>
          <w:rFonts w:hint="eastAsia" w:ascii="宋体" w:hAnsi="宋体" w:cs="宋体"/>
          <w:bCs/>
        </w:rPr>
        <w:t>5.5.1风险评价应基于风险分析</w:t>
      </w:r>
      <w:r>
        <w:rPr>
          <w:rFonts w:hint="eastAsia" w:ascii="宋体" w:hAnsi="宋体" w:cs="宋体"/>
          <w:bCs/>
          <w:lang w:val="en-US" w:eastAsia="zh-CN"/>
        </w:rPr>
        <w:t>确定</w:t>
      </w:r>
      <w:r>
        <w:rPr>
          <w:rFonts w:hint="eastAsia" w:ascii="宋体" w:hAnsi="宋体" w:cs="宋体"/>
          <w:bCs/>
        </w:rPr>
        <w:t>的可能性等级</w:t>
      </w:r>
      <w:r>
        <w:rPr>
          <w:rFonts w:hint="eastAsia" w:ascii="宋体" w:hAnsi="宋体" w:cs="宋体"/>
          <w:bCs/>
          <w:lang w:eastAsia="zh-CN"/>
        </w:rPr>
        <w:t>、</w:t>
      </w:r>
      <w:r>
        <w:rPr>
          <w:rFonts w:hint="eastAsia" w:ascii="宋体" w:hAnsi="宋体" w:cs="宋体"/>
          <w:bCs/>
        </w:rPr>
        <w:t>后果</w:t>
      </w:r>
      <w:r>
        <w:rPr>
          <w:rFonts w:ascii="宋体" w:hAnsi="宋体" w:cs="宋体"/>
          <w:bCs/>
        </w:rPr>
        <w:t>严重性</w:t>
      </w:r>
      <w:r>
        <w:rPr>
          <w:rFonts w:hint="eastAsia" w:ascii="宋体" w:hAnsi="宋体" w:cs="宋体"/>
          <w:bCs/>
        </w:rPr>
        <w:t>等级，</w:t>
      </w:r>
      <w:r>
        <w:rPr>
          <w:rFonts w:hint="eastAsia" w:ascii="宋体" w:hAnsi="宋体" w:cs="宋体"/>
          <w:bCs/>
          <w:lang w:val="en-US" w:eastAsia="zh-CN"/>
        </w:rPr>
        <w:t>采</w:t>
      </w:r>
      <w:r>
        <w:rPr>
          <w:rFonts w:hint="eastAsia" w:ascii="宋体" w:hAnsi="宋体" w:cs="宋体"/>
          <w:bCs/>
        </w:rPr>
        <w:t>用风险矩阵法</w:t>
      </w:r>
      <w:r>
        <w:rPr>
          <w:rFonts w:hint="eastAsia" w:ascii="宋体" w:hAnsi="宋体" w:cs="宋体"/>
          <w:bCs/>
          <w:lang w:val="en-US" w:eastAsia="zh-CN"/>
        </w:rPr>
        <w:t>判定</w:t>
      </w:r>
      <w:r>
        <w:rPr>
          <w:rFonts w:hint="eastAsia" w:ascii="宋体" w:hAnsi="宋体" w:cs="宋体"/>
          <w:bCs/>
        </w:rPr>
        <w:t>评估对象的风险等级。</w:t>
      </w:r>
    </w:p>
    <w:p w14:paraId="69E65D7B">
      <w:pPr>
        <w:pStyle w:val="4"/>
        <w:spacing w:beforeLines="0" w:afterLines="0"/>
        <w:rPr>
          <w:rFonts w:hint="eastAsia" w:ascii="宋体" w:hAnsi="宋体" w:cs="宋体"/>
          <w:bCs/>
        </w:rPr>
      </w:pPr>
      <w:r>
        <w:rPr>
          <w:rFonts w:hint="eastAsia" w:ascii="宋体" w:hAnsi="宋体" w:cs="宋体"/>
          <w:bCs/>
        </w:rPr>
        <w:t>5.5.2风险等级按严重程度从高到低分为重大风险、较大风险、一般风险、低风险四个等级，分别以Ⅰ级（红色）、Ⅱ级（橙色）、Ⅲ级（黄色）、Ⅳ级（蓝色）表示，风险等级准则</w:t>
      </w:r>
      <w:r>
        <w:rPr>
          <w:rFonts w:hint="eastAsia" w:ascii="宋体" w:hAnsi="宋体" w:cs="宋体"/>
          <w:bCs/>
          <w:lang w:val="en-US" w:eastAsia="zh-CN"/>
        </w:rPr>
        <w:t>见</w:t>
      </w:r>
      <w:r>
        <w:rPr>
          <w:rFonts w:hint="eastAsia" w:ascii="宋体" w:hAnsi="宋体" w:cs="宋体"/>
          <w:bCs/>
        </w:rPr>
        <w:t>表</w:t>
      </w:r>
      <w:r>
        <w:rPr>
          <w:rFonts w:hint="eastAsia" w:ascii="宋体" w:hAnsi="宋体" w:cs="宋体"/>
          <w:bCs/>
          <w:lang w:val="en-US" w:eastAsia="zh-CN"/>
        </w:rPr>
        <w:t>1</w:t>
      </w:r>
      <w:r>
        <w:rPr>
          <w:rFonts w:hint="eastAsia" w:ascii="宋体" w:hAnsi="宋体" w:cs="宋体"/>
          <w:bCs/>
        </w:rPr>
        <w:t>。</w:t>
      </w:r>
    </w:p>
    <w:p w14:paraId="01AAFE18">
      <w:pPr>
        <w:pStyle w:val="98"/>
        <w:spacing w:beforeLines="0" w:afterLines="0"/>
        <w:jc w:val="center"/>
        <w:rPr>
          <w:rFonts w:hint="eastAsia" w:ascii="宋体" w:hAnsi="宋体"/>
          <w:bCs/>
          <w:color w:val="808080" w:themeColor="background1" w:themeShade="80"/>
        </w:rPr>
      </w:pPr>
    </w:p>
    <w:p w14:paraId="54F8D854">
      <w:pPr>
        <w:pStyle w:val="98"/>
        <w:spacing w:beforeLines="0" w:afterLines="0"/>
        <w:jc w:val="center"/>
        <w:rPr>
          <w:rFonts w:hint="eastAsia" w:ascii="宋体" w:hAnsi="宋体"/>
          <w:bCs/>
          <w:color w:val="808080" w:themeColor="background1" w:themeShade="80"/>
        </w:rPr>
      </w:pPr>
    </w:p>
    <w:p w14:paraId="02B9E746">
      <w:pPr>
        <w:pStyle w:val="98"/>
        <w:spacing w:beforeLines="0" w:afterLines="0"/>
        <w:jc w:val="center"/>
        <w:rPr>
          <w:rFonts w:hint="eastAsia" w:ascii="宋体" w:hAnsi="宋体"/>
          <w:bCs/>
          <w:color w:val="808080" w:themeColor="background1" w:themeShade="80"/>
        </w:rPr>
      </w:pPr>
    </w:p>
    <w:p w14:paraId="7BB4C72B">
      <w:pPr>
        <w:pStyle w:val="98"/>
        <w:spacing w:beforeLines="0" w:afterLines="0"/>
        <w:jc w:val="center"/>
        <w:rPr>
          <w:rFonts w:hint="eastAsia" w:ascii="宋体" w:hAnsi="宋体"/>
          <w:bCs/>
          <w:color w:val="808080" w:themeColor="background1" w:themeShade="80"/>
        </w:rPr>
      </w:pPr>
    </w:p>
    <w:p w14:paraId="28C59E19">
      <w:pPr>
        <w:pStyle w:val="98"/>
        <w:spacing w:beforeLines="0" w:afterLines="0"/>
        <w:jc w:val="center"/>
        <w:rPr>
          <w:rFonts w:hint="eastAsia" w:ascii="宋体" w:hAnsi="宋体"/>
          <w:bCs/>
          <w:color w:val="808080" w:themeColor="background1" w:themeShade="80"/>
        </w:rPr>
      </w:pPr>
    </w:p>
    <w:p w14:paraId="6F989E0F">
      <w:pPr>
        <w:pStyle w:val="98"/>
        <w:spacing w:beforeLines="0" w:afterLines="0"/>
        <w:jc w:val="center"/>
        <w:rPr>
          <w:rFonts w:hint="eastAsia" w:ascii="宋体" w:hAnsi="宋体"/>
          <w:bCs/>
          <w:color w:val="808080" w:themeColor="background1" w:themeShade="80"/>
        </w:rPr>
      </w:pPr>
    </w:p>
    <w:p w14:paraId="09BB66A7">
      <w:pPr>
        <w:pStyle w:val="98"/>
        <w:spacing w:beforeLines="0" w:afterLines="0"/>
        <w:jc w:val="center"/>
        <w:rPr>
          <w:rFonts w:hint="eastAsia" w:ascii="宋体" w:hAnsi="宋体"/>
          <w:bCs/>
          <w:color w:val="808080" w:themeColor="background1" w:themeShade="80"/>
        </w:rPr>
      </w:pPr>
    </w:p>
    <w:p w14:paraId="71585D47">
      <w:pPr>
        <w:pStyle w:val="98"/>
        <w:spacing w:beforeLines="0" w:afterLines="0"/>
        <w:jc w:val="center"/>
        <w:rPr>
          <w:rFonts w:hint="eastAsia" w:ascii="宋体" w:hAnsi="宋体"/>
          <w:bCs/>
          <w:color w:val="auto"/>
        </w:rPr>
      </w:pPr>
      <w:r>
        <w:rPr>
          <w:rFonts w:hint="eastAsia" w:ascii="宋体" w:hAnsi="宋体"/>
          <w:bCs/>
          <w:color w:val="808080" w:themeColor="background1" w:themeShade="80"/>
        </w:rPr>
        <w:t xml:space="preserve">  </w:t>
      </w:r>
      <w:r>
        <w:rPr>
          <w:rFonts w:ascii="宋体" w:hAnsi="宋体"/>
          <w:bCs/>
          <w:color w:val="auto"/>
        </w:rPr>
        <w:t>表</w:t>
      </w:r>
      <w:r>
        <w:rPr>
          <w:rFonts w:hint="eastAsia" w:ascii="宋体" w:hAnsi="宋体"/>
          <w:bCs/>
          <w:color w:val="auto"/>
        </w:rPr>
        <w:t>1</w:t>
      </w:r>
      <w:r>
        <w:rPr>
          <w:rFonts w:hint="eastAsia" w:ascii="宋体" w:hAnsi="宋体"/>
          <w:bCs/>
          <w:color w:val="auto"/>
          <w:lang w:val="en-US" w:eastAsia="zh-CN"/>
        </w:rPr>
        <w:t xml:space="preserve">  </w:t>
      </w:r>
      <w:r>
        <w:rPr>
          <w:rFonts w:ascii="宋体" w:hAnsi="宋体"/>
          <w:bCs/>
          <w:color w:val="auto"/>
        </w:rPr>
        <w:t>风险等级</w:t>
      </w:r>
      <w:r>
        <w:rPr>
          <w:rFonts w:hint="eastAsia" w:ascii="宋体" w:hAnsi="宋体"/>
          <w:bCs/>
          <w:color w:val="auto"/>
        </w:rPr>
        <w:t>准则</w:t>
      </w:r>
    </w:p>
    <w:tbl>
      <w:tblPr>
        <w:tblStyle w:val="35"/>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0"/>
        <w:gridCol w:w="1538"/>
        <w:gridCol w:w="1214"/>
        <w:gridCol w:w="1215"/>
        <w:gridCol w:w="1216"/>
        <w:gridCol w:w="1216"/>
        <w:gridCol w:w="1216"/>
      </w:tblGrid>
      <w:tr w14:paraId="79152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28" w:type="dxa"/>
            <w:gridSpan w:val="2"/>
            <w:vMerge w:val="restart"/>
            <w:vAlign w:val="center"/>
          </w:tcPr>
          <w:p w14:paraId="740A7634">
            <w:pPr>
              <w:pStyle w:val="98"/>
              <w:spacing w:beforeLines="0" w:afterLines="0" w:line="240" w:lineRule="auto"/>
              <w:jc w:val="center"/>
              <w:rPr>
                <w:rFonts w:hint="eastAsia" w:ascii="宋体" w:hAnsi="宋体"/>
                <w:bCs/>
                <w:color w:val="auto"/>
              </w:rPr>
            </w:pPr>
            <w:r>
              <w:rPr>
                <w:rFonts w:hint="eastAsia" w:ascii="宋体" w:hAnsi="宋体"/>
                <w:bCs/>
                <w:color w:val="auto"/>
              </w:rPr>
              <w:t>风险等级</w:t>
            </w:r>
          </w:p>
        </w:tc>
        <w:tc>
          <w:tcPr>
            <w:tcW w:w="6077" w:type="dxa"/>
            <w:gridSpan w:val="5"/>
            <w:vAlign w:val="center"/>
          </w:tcPr>
          <w:p w14:paraId="699B3309">
            <w:pPr>
              <w:pStyle w:val="98"/>
              <w:spacing w:beforeLines="0" w:afterLines="0" w:line="240" w:lineRule="auto"/>
              <w:jc w:val="center"/>
              <w:rPr>
                <w:rFonts w:hint="eastAsia" w:ascii="宋体" w:hAnsi="宋体"/>
                <w:bCs/>
                <w:color w:val="auto"/>
              </w:rPr>
            </w:pPr>
            <w:r>
              <w:rPr>
                <w:rFonts w:hint="eastAsia" w:ascii="宋体" w:hAnsi="宋体"/>
                <w:bCs/>
                <w:color w:val="auto"/>
              </w:rPr>
              <w:t>后果严重性等级</w:t>
            </w:r>
          </w:p>
        </w:tc>
      </w:tr>
      <w:tr w14:paraId="62BBD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28" w:type="dxa"/>
            <w:gridSpan w:val="2"/>
            <w:vMerge w:val="continue"/>
            <w:vAlign w:val="center"/>
          </w:tcPr>
          <w:p w14:paraId="7F568E62">
            <w:pPr>
              <w:pStyle w:val="98"/>
              <w:spacing w:beforeLines="0" w:afterLines="0" w:line="240" w:lineRule="auto"/>
              <w:jc w:val="center"/>
              <w:rPr>
                <w:rFonts w:hint="eastAsia" w:ascii="宋体" w:hAnsi="宋体"/>
                <w:bCs/>
                <w:color w:val="auto"/>
              </w:rPr>
            </w:pPr>
          </w:p>
        </w:tc>
        <w:tc>
          <w:tcPr>
            <w:tcW w:w="1214" w:type="dxa"/>
            <w:vAlign w:val="center"/>
          </w:tcPr>
          <w:p w14:paraId="16085BBE">
            <w:pPr>
              <w:pStyle w:val="98"/>
              <w:spacing w:beforeLines="0" w:afterLines="0" w:line="240" w:lineRule="auto"/>
              <w:jc w:val="center"/>
              <w:rPr>
                <w:rFonts w:hint="eastAsia" w:ascii="宋体" w:hAnsi="宋体"/>
                <w:bCs/>
                <w:color w:val="auto"/>
              </w:rPr>
            </w:pPr>
            <w:r>
              <w:rPr>
                <w:rFonts w:hint="eastAsia" w:ascii="宋体" w:hAnsi="宋体"/>
                <w:bCs/>
                <w:color w:val="auto"/>
              </w:rPr>
              <w:t>很小1</w:t>
            </w:r>
          </w:p>
        </w:tc>
        <w:tc>
          <w:tcPr>
            <w:tcW w:w="1215" w:type="dxa"/>
            <w:vAlign w:val="center"/>
          </w:tcPr>
          <w:p w14:paraId="162EB40F">
            <w:pPr>
              <w:pStyle w:val="98"/>
              <w:spacing w:beforeLines="0" w:afterLines="0" w:line="240" w:lineRule="auto"/>
              <w:jc w:val="center"/>
              <w:rPr>
                <w:rFonts w:hint="eastAsia" w:ascii="宋体" w:hAnsi="宋体"/>
                <w:bCs/>
                <w:color w:val="auto"/>
              </w:rPr>
            </w:pPr>
            <w:r>
              <w:rPr>
                <w:rFonts w:hint="eastAsia" w:ascii="宋体" w:hAnsi="宋体"/>
                <w:bCs/>
                <w:color w:val="auto"/>
              </w:rPr>
              <w:t>小2</w:t>
            </w:r>
          </w:p>
        </w:tc>
        <w:tc>
          <w:tcPr>
            <w:tcW w:w="1216" w:type="dxa"/>
            <w:vAlign w:val="center"/>
          </w:tcPr>
          <w:p w14:paraId="77BCB93A">
            <w:pPr>
              <w:pStyle w:val="98"/>
              <w:spacing w:beforeLines="0" w:afterLines="0" w:line="240" w:lineRule="auto"/>
              <w:jc w:val="center"/>
              <w:rPr>
                <w:rFonts w:hint="eastAsia" w:ascii="宋体" w:hAnsi="宋体"/>
                <w:bCs/>
                <w:color w:val="auto"/>
              </w:rPr>
            </w:pPr>
            <w:r>
              <w:rPr>
                <w:rFonts w:hint="eastAsia" w:ascii="宋体" w:hAnsi="宋体"/>
                <w:bCs/>
                <w:color w:val="auto"/>
              </w:rPr>
              <w:t>一般3</w:t>
            </w:r>
          </w:p>
        </w:tc>
        <w:tc>
          <w:tcPr>
            <w:tcW w:w="1216" w:type="dxa"/>
            <w:vAlign w:val="center"/>
          </w:tcPr>
          <w:p w14:paraId="550A14B0">
            <w:pPr>
              <w:pStyle w:val="98"/>
              <w:spacing w:beforeLines="0" w:afterLines="0" w:line="240" w:lineRule="auto"/>
              <w:jc w:val="center"/>
              <w:rPr>
                <w:rFonts w:hint="eastAsia" w:ascii="宋体" w:hAnsi="宋体"/>
                <w:bCs/>
                <w:color w:val="auto"/>
              </w:rPr>
            </w:pPr>
            <w:r>
              <w:rPr>
                <w:rFonts w:hint="eastAsia" w:ascii="宋体" w:hAnsi="宋体"/>
                <w:bCs/>
                <w:color w:val="auto"/>
              </w:rPr>
              <w:t>大4</w:t>
            </w:r>
          </w:p>
        </w:tc>
        <w:tc>
          <w:tcPr>
            <w:tcW w:w="1216" w:type="dxa"/>
            <w:vAlign w:val="center"/>
          </w:tcPr>
          <w:p w14:paraId="3AC73347">
            <w:pPr>
              <w:pStyle w:val="98"/>
              <w:spacing w:beforeLines="0" w:afterLines="0" w:line="240" w:lineRule="auto"/>
              <w:jc w:val="center"/>
              <w:rPr>
                <w:rFonts w:hint="eastAsia" w:ascii="宋体" w:hAnsi="宋体"/>
                <w:bCs/>
                <w:color w:val="auto"/>
              </w:rPr>
            </w:pPr>
            <w:r>
              <w:rPr>
                <w:rFonts w:hint="eastAsia" w:ascii="宋体" w:hAnsi="宋体"/>
                <w:bCs/>
                <w:color w:val="auto"/>
              </w:rPr>
              <w:t>很大5</w:t>
            </w:r>
          </w:p>
        </w:tc>
      </w:tr>
      <w:tr w14:paraId="7939B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0" w:type="dxa"/>
            <w:vMerge w:val="restart"/>
            <w:vAlign w:val="center"/>
          </w:tcPr>
          <w:p w14:paraId="50A6D81C">
            <w:pPr>
              <w:pStyle w:val="98"/>
              <w:spacing w:beforeLines="0" w:afterLines="0" w:line="240" w:lineRule="auto"/>
              <w:jc w:val="center"/>
              <w:rPr>
                <w:rFonts w:hint="eastAsia" w:ascii="宋体" w:hAnsi="宋体"/>
                <w:bCs/>
                <w:color w:val="auto"/>
              </w:rPr>
            </w:pPr>
            <w:r>
              <w:rPr>
                <w:rFonts w:hint="eastAsia" w:ascii="宋体" w:hAnsi="宋体"/>
                <w:bCs/>
                <w:color w:val="auto"/>
              </w:rPr>
              <w:t>可能性等级</w:t>
            </w:r>
          </w:p>
        </w:tc>
        <w:tc>
          <w:tcPr>
            <w:tcW w:w="1538" w:type="dxa"/>
            <w:vAlign w:val="center"/>
          </w:tcPr>
          <w:p w14:paraId="6598078E">
            <w:pPr>
              <w:pStyle w:val="98"/>
              <w:spacing w:beforeLines="0" w:afterLines="0" w:line="240" w:lineRule="auto"/>
              <w:jc w:val="center"/>
              <w:rPr>
                <w:rFonts w:hint="eastAsia" w:ascii="宋体" w:hAnsi="宋体"/>
                <w:bCs/>
                <w:color w:val="auto"/>
              </w:rPr>
            </w:pPr>
            <w:r>
              <w:rPr>
                <w:rFonts w:hint="eastAsia" w:ascii="宋体" w:hAnsi="宋体"/>
                <w:bCs/>
                <w:color w:val="auto"/>
              </w:rPr>
              <w:t>基本不可能1</w:t>
            </w:r>
          </w:p>
        </w:tc>
        <w:tc>
          <w:tcPr>
            <w:tcW w:w="1214" w:type="dxa"/>
            <w:shd w:val="clear" w:color="auto" w:fill="0070C0"/>
            <w:vAlign w:val="center"/>
          </w:tcPr>
          <w:p w14:paraId="40943227">
            <w:pPr>
              <w:pStyle w:val="98"/>
              <w:spacing w:beforeLines="0" w:afterLines="0" w:line="240" w:lineRule="auto"/>
              <w:jc w:val="center"/>
              <w:rPr>
                <w:rFonts w:hint="eastAsia" w:ascii="宋体" w:hAnsi="宋体"/>
                <w:bCs/>
                <w:color w:val="auto"/>
              </w:rPr>
            </w:pPr>
            <w:r>
              <w:rPr>
                <w:rFonts w:hint="eastAsia" w:ascii="宋体" w:hAnsi="宋体"/>
                <w:bCs/>
                <w:color w:val="auto"/>
              </w:rPr>
              <w:t>低</w:t>
            </w:r>
          </w:p>
        </w:tc>
        <w:tc>
          <w:tcPr>
            <w:tcW w:w="1215" w:type="dxa"/>
            <w:shd w:val="clear" w:color="auto" w:fill="0070C0"/>
            <w:vAlign w:val="center"/>
          </w:tcPr>
          <w:p w14:paraId="5A468592">
            <w:pPr>
              <w:pStyle w:val="98"/>
              <w:spacing w:beforeLines="0" w:afterLines="0" w:line="240" w:lineRule="auto"/>
              <w:jc w:val="center"/>
              <w:rPr>
                <w:rFonts w:hint="eastAsia" w:ascii="宋体" w:hAnsi="宋体"/>
                <w:bCs/>
                <w:color w:val="auto"/>
              </w:rPr>
            </w:pPr>
            <w:r>
              <w:rPr>
                <w:rFonts w:hint="eastAsia" w:ascii="宋体" w:hAnsi="宋体"/>
                <w:bCs/>
                <w:color w:val="auto"/>
              </w:rPr>
              <w:t>低</w:t>
            </w:r>
          </w:p>
        </w:tc>
        <w:tc>
          <w:tcPr>
            <w:tcW w:w="1216" w:type="dxa"/>
            <w:shd w:val="clear" w:color="auto" w:fill="0070C0"/>
            <w:vAlign w:val="center"/>
          </w:tcPr>
          <w:p w14:paraId="27778549">
            <w:pPr>
              <w:pStyle w:val="98"/>
              <w:spacing w:beforeLines="0" w:afterLines="0" w:line="240" w:lineRule="auto"/>
              <w:jc w:val="center"/>
              <w:rPr>
                <w:rFonts w:hint="eastAsia" w:ascii="宋体" w:hAnsi="宋体"/>
                <w:bCs/>
                <w:color w:val="auto"/>
              </w:rPr>
            </w:pPr>
            <w:r>
              <w:rPr>
                <w:rFonts w:hint="eastAsia" w:ascii="宋体" w:hAnsi="宋体"/>
                <w:bCs/>
                <w:color w:val="auto"/>
              </w:rPr>
              <w:t>低</w:t>
            </w:r>
          </w:p>
        </w:tc>
        <w:tc>
          <w:tcPr>
            <w:tcW w:w="1216" w:type="dxa"/>
            <w:shd w:val="clear" w:color="auto" w:fill="FFFF00"/>
            <w:vAlign w:val="center"/>
          </w:tcPr>
          <w:p w14:paraId="480026ED">
            <w:pPr>
              <w:pStyle w:val="98"/>
              <w:spacing w:beforeLines="0" w:afterLines="0" w:line="240" w:lineRule="auto"/>
              <w:jc w:val="center"/>
              <w:rPr>
                <w:rFonts w:hint="eastAsia" w:ascii="宋体" w:hAnsi="宋体"/>
                <w:bCs/>
                <w:color w:val="auto"/>
              </w:rPr>
            </w:pPr>
            <w:r>
              <w:rPr>
                <w:rFonts w:hint="eastAsia" w:ascii="宋体" w:hAnsi="宋体"/>
                <w:bCs/>
                <w:color w:val="auto"/>
              </w:rPr>
              <w:t>一般</w:t>
            </w:r>
          </w:p>
        </w:tc>
        <w:tc>
          <w:tcPr>
            <w:tcW w:w="1216" w:type="dxa"/>
            <w:shd w:val="clear" w:color="auto" w:fill="FFFF00"/>
            <w:vAlign w:val="center"/>
          </w:tcPr>
          <w:p w14:paraId="6255C1B9">
            <w:pPr>
              <w:pStyle w:val="98"/>
              <w:spacing w:beforeLines="0" w:afterLines="0" w:line="240" w:lineRule="auto"/>
              <w:jc w:val="center"/>
              <w:rPr>
                <w:rFonts w:hint="eastAsia" w:ascii="宋体" w:hAnsi="宋体"/>
                <w:bCs/>
                <w:color w:val="auto"/>
              </w:rPr>
            </w:pPr>
            <w:r>
              <w:rPr>
                <w:rFonts w:hint="eastAsia" w:ascii="宋体" w:hAnsi="宋体"/>
                <w:bCs/>
                <w:color w:val="auto"/>
              </w:rPr>
              <w:t>一般</w:t>
            </w:r>
          </w:p>
        </w:tc>
      </w:tr>
      <w:tr w14:paraId="21E49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0" w:type="dxa"/>
            <w:vMerge w:val="continue"/>
            <w:vAlign w:val="center"/>
          </w:tcPr>
          <w:p w14:paraId="72E0EE8E">
            <w:pPr>
              <w:pStyle w:val="98"/>
              <w:spacing w:beforeLines="0" w:afterLines="0" w:line="240" w:lineRule="auto"/>
              <w:jc w:val="center"/>
              <w:rPr>
                <w:rFonts w:hint="eastAsia" w:ascii="宋体" w:hAnsi="宋体"/>
                <w:bCs/>
                <w:color w:val="auto"/>
              </w:rPr>
            </w:pPr>
          </w:p>
        </w:tc>
        <w:tc>
          <w:tcPr>
            <w:tcW w:w="1538" w:type="dxa"/>
            <w:vAlign w:val="center"/>
          </w:tcPr>
          <w:p w14:paraId="0353D323">
            <w:pPr>
              <w:pStyle w:val="98"/>
              <w:spacing w:beforeLines="0" w:afterLines="0" w:line="240" w:lineRule="auto"/>
              <w:jc w:val="center"/>
              <w:rPr>
                <w:rFonts w:hint="eastAsia" w:ascii="宋体" w:hAnsi="宋体"/>
                <w:bCs/>
                <w:color w:val="auto"/>
              </w:rPr>
            </w:pPr>
            <w:r>
              <w:rPr>
                <w:rFonts w:hint="eastAsia" w:ascii="宋体" w:hAnsi="宋体"/>
                <w:bCs/>
                <w:color w:val="auto"/>
              </w:rPr>
              <w:t>较不可能2</w:t>
            </w:r>
          </w:p>
        </w:tc>
        <w:tc>
          <w:tcPr>
            <w:tcW w:w="1214" w:type="dxa"/>
            <w:shd w:val="clear" w:color="auto" w:fill="0070C0"/>
            <w:vAlign w:val="center"/>
          </w:tcPr>
          <w:p w14:paraId="0D153A56">
            <w:pPr>
              <w:pStyle w:val="98"/>
              <w:spacing w:beforeLines="0" w:afterLines="0" w:line="240" w:lineRule="auto"/>
              <w:jc w:val="center"/>
              <w:rPr>
                <w:rFonts w:hint="eastAsia" w:ascii="宋体" w:hAnsi="宋体"/>
                <w:bCs/>
                <w:color w:val="auto"/>
              </w:rPr>
            </w:pPr>
            <w:r>
              <w:rPr>
                <w:rFonts w:hint="eastAsia" w:ascii="宋体" w:hAnsi="宋体"/>
                <w:bCs/>
                <w:color w:val="auto"/>
              </w:rPr>
              <w:t>低</w:t>
            </w:r>
          </w:p>
        </w:tc>
        <w:tc>
          <w:tcPr>
            <w:tcW w:w="1215" w:type="dxa"/>
            <w:shd w:val="clear" w:color="auto" w:fill="0070C0"/>
            <w:vAlign w:val="center"/>
          </w:tcPr>
          <w:p w14:paraId="77CC7516">
            <w:pPr>
              <w:pStyle w:val="98"/>
              <w:spacing w:beforeLines="0" w:afterLines="0" w:line="240" w:lineRule="auto"/>
              <w:jc w:val="center"/>
              <w:rPr>
                <w:rFonts w:hint="eastAsia" w:ascii="宋体" w:hAnsi="宋体"/>
                <w:bCs/>
                <w:color w:val="auto"/>
              </w:rPr>
            </w:pPr>
            <w:r>
              <w:rPr>
                <w:rFonts w:hint="eastAsia" w:ascii="宋体" w:hAnsi="宋体"/>
                <w:bCs/>
                <w:color w:val="auto"/>
              </w:rPr>
              <w:t>低</w:t>
            </w:r>
          </w:p>
        </w:tc>
        <w:tc>
          <w:tcPr>
            <w:tcW w:w="1216" w:type="dxa"/>
            <w:shd w:val="clear" w:color="auto" w:fill="FFFF00"/>
            <w:vAlign w:val="center"/>
          </w:tcPr>
          <w:p w14:paraId="6FC4AA1E">
            <w:pPr>
              <w:pStyle w:val="98"/>
              <w:spacing w:beforeLines="0" w:afterLines="0" w:line="240" w:lineRule="auto"/>
              <w:jc w:val="center"/>
              <w:rPr>
                <w:rFonts w:hint="eastAsia" w:ascii="宋体" w:hAnsi="宋体"/>
                <w:bCs/>
                <w:color w:val="auto"/>
              </w:rPr>
            </w:pPr>
            <w:r>
              <w:rPr>
                <w:rFonts w:hint="eastAsia" w:ascii="宋体" w:hAnsi="宋体"/>
                <w:bCs/>
                <w:color w:val="auto"/>
              </w:rPr>
              <w:t>一般</w:t>
            </w:r>
          </w:p>
        </w:tc>
        <w:tc>
          <w:tcPr>
            <w:tcW w:w="1216" w:type="dxa"/>
            <w:shd w:val="clear" w:color="auto" w:fill="FFFF00"/>
            <w:vAlign w:val="center"/>
          </w:tcPr>
          <w:p w14:paraId="7554D9DC">
            <w:pPr>
              <w:pStyle w:val="98"/>
              <w:spacing w:beforeLines="0" w:afterLines="0" w:line="240" w:lineRule="auto"/>
              <w:jc w:val="center"/>
              <w:rPr>
                <w:rFonts w:hint="eastAsia" w:ascii="宋体" w:hAnsi="宋体"/>
                <w:bCs/>
                <w:color w:val="auto"/>
              </w:rPr>
            </w:pPr>
            <w:r>
              <w:rPr>
                <w:rFonts w:hint="eastAsia" w:ascii="宋体" w:hAnsi="宋体"/>
                <w:bCs/>
                <w:color w:val="auto"/>
              </w:rPr>
              <w:t>一般</w:t>
            </w:r>
          </w:p>
        </w:tc>
        <w:tc>
          <w:tcPr>
            <w:tcW w:w="1216" w:type="dxa"/>
            <w:shd w:val="clear" w:color="auto" w:fill="E97132"/>
            <w:vAlign w:val="center"/>
          </w:tcPr>
          <w:p w14:paraId="60B1A9FE">
            <w:pPr>
              <w:pStyle w:val="98"/>
              <w:spacing w:beforeLines="0" w:afterLines="0" w:line="240" w:lineRule="auto"/>
              <w:jc w:val="center"/>
              <w:rPr>
                <w:rFonts w:hint="eastAsia" w:ascii="宋体" w:hAnsi="宋体"/>
                <w:bCs/>
                <w:color w:val="auto"/>
              </w:rPr>
            </w:pPr>
            <w:r>
              <w:rPr>
                <w:rFonts w:hint="eastAsia" w:ascii="宋体" w:hAnsi="宋体"/>
                <w:bCs/>
                <w:color w:val="auto"/>
              </w:rPr>
              <w:t>较大</w:t>
            </w:r>
          </w:p>
        </w:tc>
      </w:tr>
      <w:tr w14:paraId="6207C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0" w:type="dxa"/>
            <w:vMerge w:val="continue"/>
            <w:vAlign w:val="center"/>
          </w:tcPr>
          <w:p w14:paraId="57C876AD">
            <w:pPr>
              <w:pStyle w:val="98"/>
              <w:spacing w:beforeLines="0" w:afterLines="0" w:line="240" w:lineRule="auto"/>
              <w:jc w:val="center"/>
              <w:rPr>
                <w:rFonts w:hint="eastAsia" w:ascii="宋体" w:hAnsi="宋体"/>
                <w:bCs/>
                <w:color w:val="auto"/>
              </w:rPr>
            </w:pPr>
          </w:p>
        </w:tc>
        <w:tc>
          <w:tcPr>
            <w:tcW w:w="1538" w:type="dxa"/>
            <w:vAlign w:val="center"/>
          </w:tcPr>
          <w:p w14:paraId="0D55C440">
            <w:pPr>
              <w:pStyle w:val="98"/>
              <w:spacing w:beforeLines="0" w:afterLines="0" w:line="240" w:lineRule="auto"/>
              <w:jc w:val="center"/>
              <w:rPr>
                <w:rFonts w:hint="eastAsia" w:ascii="宋体" w:hAnsi="宋体"/>
                <w:bCs/>
                <w:color w:val="auto"/>
              </w:rPr>
            </w:pPr>
            <w:r>
              <w:rPr>
                <w:rFonts w:hint="eastAsia" w:ascii="宋体" w:hAnsi="宋体"/>
                <w:bCs/>
                <w:color w:val="auto"/>
              </w:rPr>
              <w:t>可能3</w:t>
            </w:r>
          </w:p>
        </w:tc>
        <w:tc>
          <w:tcPr>
            <w:tcW w:w="1214" w:type="dxa"/>
            <w:shd w:val="clear" w:color="auto" w:fill="0070C0"/>
            <w:vAlign w:val="center"/>
          </w:tcPr>
          <w:p w14:paraId="5D69FF16">
            <w:pPr>
              <w:pStyle w:val="98"/>
              <w:spacing w:beforeLines="0" w:afterLines="0" w:line="240" w:lineRule="auto"/>
              <w:jc w:val="center"/>
              <w:rPr>
                <w:rFonts w:hint="eastAsia" w:ascii="宋体" w:hAnsi="宋体"/>
                <w:bCs/>
                <w:color w:val="auto"/>
              </w:rPr>
            </w:pPr>
            <w:r>
              <w:rPr>
                <w:rFonts w:hint="eastAsia" w:ascii="宋体" w:hAnsi="宋体"/>
                <w:bCs/>
                <w:color w:val="auto"/>
              </w:rPr>
              <w:t>低</w:t>
            </w:r>
          </w:p>
        </w:tc>
        <w:tc>
          <w:tcPr>
            <w:tcW w:w="1215" w:type="dxa"/>
            <w:shd w:val="clear" w:color="auto" w:fill="FFFF00"/>
            <w:vAlign w:val="center"/>
          </w:tcPr>
          <w:p w14:paraId="5B4203B7">
            <w:pPr>
              <w:pStyle w:val="98"/>
              <w:spacing w:beforeLines="0" w:afterLines="0" w:line="240" w:lineRule="auto"/>
              <w:jc w:val="center"/>
              <w:rPr>
                <w:rFonts w:hint="eastAsia" w:ascii="宋体" w:hAnsi="宋体"/>
                <w:bCs/>
                <w:color w:val="auto"/>
              </w:rPr>
            </w:pPr>
            <w:r>
              <w:rPr>
                <w:rFonts w:hint="eastAsia" w:ascii="宋体" w:hAnsi="宋体"/>
                <w:bCs/>
                <w:color w:val="auto"/>
              </w:rPr>
              <w:t>一般</w:t>
            </w:r>
          </w:p>
        </w:tc>
        <w:tc>
          <w:tcPr>
            <w:tcW w:w="1216" w:type="dxa"/>
            <w:shd w:val="clear" w:color="auto" w:fill="FFFF00"/>
            <w:vAlign w:val="center"/>
          </w:tcPr>
          <w:p w14:paraId="3EFAEAD5">
            <w:pPr>
              <w:pStyle w:val="98"/>
              <w:spacing w:beforeLines="0" w:afterLines="0" w:line="240" w:lineRule="auto"/>
              <w:jc w:val="center"/>
              <w:rPr>
                <w:rFonts w:hint="eastAsia" w:ascii="宋体" w:hAnsi="宋体"/>
                <w:bCs/>
                <w:color w:val="auto"/>
              </w:rPr>
            </w:pPr>
            <w:r>
              <w:rPr>
                <w:rFonts w:hint="eastAsia" w:ascii="宋体" w:hAnsi="宋体"/>
                <w:bCs/>
                <w:color w:val="auto"/>
              </w:rPr>
              <w:t>一般</w:t>
            </w:r>
          </w:p>
        </w:tc>
        <w:tc>
          <w:tcPr>
            <w:tcW w:w="1216" w:type="dxa"/>
            <w:shd w:val="clear" w:color="auto" w:fill="E97132"/>
            <w:vAlign w:val="center"/>
          </w:tcPr>
          <w:p w14:paraId="3407721F">
            <w:pPr>
              <w:pStyle w:val="98"/>
              <w:spacing w:beforeLines="0" w:afterLines="0" w:line="240" w:lineRule="auto"/>
              <w:jc w:val="center"/>
              <w:rPr>
                <w:rFonts w:hint="eastAsia" w:ascii="宋体" w:hAnsi="宋体"/>
                <w:bCs/>
                <w:color w:val="auto"/>
              </w:rPr>
            </w:pPr>
            <w:r>
              <w:rPr>
                <w:rFonts w:hint="eastAsia" w:ascii="宋体" w:hAnsi="宋体"/>
                <w:bCs/>
                <w:color w:val="auto"/>
              </w:rPr>
              <w:t>较大</w:t>
            </w:r>
          </w:p>
        </w:tc>
        <w:tc>
          <w:tcPr>
            <w:tcW w:w="1216" w:type="dxa"/>
            <w:shd w:val="clear" w:color="auto" w:fill="EE0000"/>
            <w:vAlign w:val="center"/>
          </w:tcPr>
          <w:p w14:paraId="2377FD13">
            <w:pPr>
              <w:pStyle w:val="98"/>
              <w:spacing w:beforeLines="0" w:afterLines="0" w:line="240" w:lineRule="auto"/>
              <w:jc w:val="center"/>
              <w:rPr>
                <w:rFonts w:hint="eastAsia" w:ascii="宋体" w:hAnsi="宋体"/>
                <w:bCs/>
                <w:color w:val="auto"/>
              </w:rPr>
            </w:pPr>
            <w:r>
              <w:rPr>
                <w:rFonts w:hint="eastAsia" w:ascii="宋体" w:hAnsi="宋体"/>
                <w:bCs/>
                <w:color w:val="auto"/>
              </w:rPr>
              <w:t>重大</w:t>
            </w:r>
          </w:p>
        </w:tc>
      </w:tr>
      <w:tr w14:paraId="6B5A8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0" w:type="dxa"/>
            <w:vMerge w:val="continue"/>
            <w:vAlign w:val="center"/>
          </w:tcPr>
          <w:p w14:paraId="17028A87">
            <w:pPr>
              <w:pStyle w:val="98"/>
              <w:spacing w:beforeLines="0" w:afterLines="0" w:line="240" w:lineRule="auto"/>
              <w:jc w:val="center"/>
              <w:rPr>
                <w:rFonts w:hint="eastAsia" w:ascii="宋体" w:hAnsi="宋体"/>
                <w:bCs/>
                <w:color w:val="auto"/>
              </w:rPr>
            </w:pPr>
          </w:p>
        </w:tc>
        <w:tc>
          <w:tcPr>
            <w:tcW w:w="1538" w:type="dxa"/>
            <w:vAlign w:val="center"/>
          </w:tcPr>
          <w:p w14:paraId="12B36734">
            <w:pPr>
              <w:pStyle w:val="98"/>
              <w:spacing w:beforeLines="0" w:afterLines="0" w:line="240" w:lineRule="auto"/>
              <w:jc w:val="center"/>
              <w:rPr>
                <w:rFonts w:hint="eastAsia" w:ascii="宋体" w:hAnsi="宋体"/>
                <w:bCs/>
                <w:color w:val="auto"/>
              </w:rPr>
            </w:pPr>
            <w:r>
              <w:rPr>
                <w:rFonts w:hint="eastAsia" w:ascii="宋体" w:hAnsi="宋体"/>
                <w:bCs/>
                <w:color w:val="auto"/>
              </w:rPr>
              <w:t>较可能4</w:t>
            </w:r>
          </w:p>
        </w:tc>
        <w:tc>
          <w:tcPr>
            <w:tcW w:w="1214" w:type="dxa"/>
            <w:shd w:val="clear" w:color="auto" w:fill="FFFF00"/>
            <w:vAlign w:val="center"/>
          </w:tcPr>
          <w:p w14:paraId="7A05AE0D">
            <w:pPr>
              <w:pStyle w:val="98"/>
              <w:spacing w:beforeLines="0" w:afterLines="0" w:line="240" w:lineRule="auto"/>
              <w:jc w:val="center"/>
              <w:rPr>
                <w:rFonts w:hint="eastAsia" w:ascii="宋体" w:hAnsi="宋体"/>
                <w:bCs/>
                <w:color w:val="auto"/>
              </w:rPr>
            </w:pPr>
            <w:r>
              <w:rPr>
                <w:rFonts w:hint="eastAsia" w:ascii="宋体" w:hAnsi="宋体"/>
                <w:bCs/>
                <w:color w:val="auto"/>
              </w:rPr>
              <w:t>一般</w:t>
            </w:r>
          </w:p>
        </w:tc>
        <w:tc>
          <w:tcPr>
            <w:tcW w:w="1215" w:type="dxa"/>
            <w:shd w:val="clear" w:color="auto" w:fill="FFFF00"/>
            <w:vAlign w:val="center"/>
          </w:tcPr>
          <w:p w14:paraId="17680395">
            <w:pPr>
              <w:pStyle w:val="98"/>
              <w:spacing w:beforeLines="0" w:afterLines="0" w:line="240" w:lineRule="auto"/>
              <w:jc w:val="center"/>
              <w:rPr>
                <w:rFonts w:hint="eastAsia" w:ascii="宋体" w:hAnsi="宋体"/>
                <w:bCs/>
                <w:color w:val="auto"/>
              </w:rPr>
            </w:pPr>
            <w:r>
              <w:rPr>
                <w:rFonts w:hint="eastAsia" w:ascii="宋体" w:hAnsi="宋体"/>
                <w:bCs/>
                <w:color w:val="auto"/>
              </w:rPr>
              <w:t>一般</w:t>
            </w:r>
          </w:p>
        </w:tc>
        <w:tc>
          <w:tcPr>
            <w:tcW w:w="1216" w:type="dxa"/>
            <w:shd w:val="clear" w:color="auto" w:fill="E97132"/>
            <w:vAlign w:val="center"/>
          </w:tcPr>
          <w:p w14:paraId="009C9389">
            <w:pPr>
              <w:pStyle w:val="98"/>
              <w:spacing w:beforeLines="0" w:afterLines="0" w:line="240" w:lineRule="auto"/>
              <w:jc w:val="center"/>
              <w:rPr>
                <w:rFonts w:hint="eastAsia" w:ascii="宋体" w:hAnsi="宋体"/>
                <w:bCs/>
                <w:color w:val="auto"/>
              </w:rPr>
            </w:pPr>
            <w:r>
              <w:rPr>
                <w:rFonts w:hint="eastAsia" w:ascii="宋体" w:hAnsi="宋体"/>
                <w:bCs/>
                <w:color w:val="auto"/>
              </w:rPr>
              <w:t>较大</w:t>
            </w:r>
          </w:p>
        </w:tc>
        <w:tc>
          <w:tcPr>
            <w:tcW w:w="1216" w:type="dxa"/>
            <w:shd w:val="clear" w:color="auto" w:fill="E97132"/>
            <w:vAlign w:val="center"/>
          </w:tcPr>
          <w:p w14:paraId="70F7B390">
            <w:pPr>
              <w:pStyle w:val="98"/>
              <w:spacing w:beforeLines="0" w:afterLines="0" w:line="240" w:lineRule="auto"/>
              <w:jc w:val="center"/>
              <w:rPr>
                <w:rFonts w:hint="eastAsia" w:ascii="宋体" w:hAnsi="宋体"/>
                <w:bCs/>
                <w:color w:val="auto"/>
              </w:rPr>
            </w:pPr>
            <w:r>
              <w:rPr>
                <w:rFonts w:hint="eastAsia" w:ascii="宋体" w:hAnsi="宋体"/>
                <w:bCs/>
                <w:color w:val="auto"/>
              </w:rPr>
              <w:t>较大</w:t>
            </w:r>
          </w:p>
        </w:tc>
        <w:tc>
          <w:tcPr>
            <w:tcW w:w="1216" w:type="dxa"/>
            <w:shd w:val="clear" w:color="auto" w:fill="EE0000"/>
            <w:vAlign w:val="center"/>
          </w:tcPr>
          <w:p w14:paraId="58D427AA">
            <w:pPr>
              <w:pStyle w:val="98"/>
              <w:spacing w:beforeLines="0" w:afterLines="0" w:line="240" w:lineRule="auto"/>
              <w:jc w:val="center"/>
              <w:rPr>
                <w:rFonts w:hint="eastAsia" w:ascii="宋体" w:hAnsi="宋体"/>
                <w:bCs/>
                <w:color w:val="auto"/>
              </w:rPr>
            </w:pPr>
            <w:r>
              <w:rPr>
                <w:rFonts w:hint="eastAsia" w:ascii="宋体" w:hAnsi="宋体"/>
                <w:bCs/>
                <w:color w:val="auto"/>
              </w:rPr>
              <w:t>重大</w:t>
            </w:r>
          </w:p>
        </w:tc>
      </w:tr>
      <w:tr w14:paraId="30B43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0" w:type="dxa"/>
            <w:vMerge w:val="continue"/>
            <w:vAlign w:val="center"/>
          </w:tcPr>
          <w:p w14:paraId="5C848834">
            <w:pPr>
              <w:pStyle w:val="98"/>
              <w:spacing w:beforeLines="0" w:afterLines="0" w:line="240" w:lineRule="auto"/>
              <w:jc w:val="center"/>
              <w:rPr>
                <w:rFonts w:hint="eastAsia" w:ascii="宋体" w:hAnsi="宋体"/>
                <w:bCs/>
                <w:color w:val="auto"/>
              </w:rPr>
            </w:pPr>
          </w:p>
        </w:tc>
        <w:tc>
          <w:tcPr>
            <w:tcW w:w="1538" w:type="dxa"/>
            <w:vAlign w:val="center"/>
          </w:tcPr>
          <w:p w14:paraId="5611C65D">
            <w:pPr>
              <w:pStyle w:val="98"/>
              <w:spacing w:beforeLines="0" w:afterLines="0" w:line="240" w:lineRule="auto"/>
              <w:jc w:val="center"/>
              <w:rPr>
                <w:rFonts w:hint="eastAsia" w:ascii="宋体" w:hAnsi="宋体"/>
                <w:bCs/>
                <w:color w:val="auto"/>
              </w:rPr>
            </w:pPr>
            <w:r>
              <w:rPr>
                <w:rFonts w:hint="eastAsia" w:ascii="宋体" w:hAnsi="宋体"/>
                <w:bCs/>
                <w:color w:val="auto"/>
              </w:rPr>
              <w:t>很可能5</w:t>
            </w:r>
          </w:p>
        </w:tc>
        <w:tc>
          <w:tcPr>
            <w:tcW w:w="1214" w:type="dxa"/>
            <w:shd w:val="clear" w:color="auto" w:fill="FFFF00"/>
            <w:vAlign w:val="center"/>
          </w:tcPr>
          <w:p w14:paraId="0E69BD2A">
            <w:pPr>
              <w:pStyle w:val="98"/>
              <w:spacing w:beforeLines="0" w:afterLines="0" w:line="240" w:lineRule="auto"/>
              <w:jc w:val="center"/>
              <w:rPr>
                <w:rFonts w:hint="eastAsia" w:ascii="宋体" w:hAnsi="宋体"/>
                <w:bCs/>
                <w:color w:val="auto"/>
              </w:rPr>
            </w:pPr>
            <w:r>
              <w:rPr>
                <w:rFonts w:hint="eastAsia" w:ascii="宋体" w:hAnsi="宋体"/>
                <w:bCs/>
                <w:color w:val="auto"/>
              </w:rPr>
              <w:t>一般</w:t>
            </w:r>
          </w:p>
        </w:tc>
        <w:tc>
          <w:tcPr>
            <w:tcW w:w="1215" w:type="dxa"/>
            <w:shd w:val="clear" w:color="auto" w:fill="E97132"/>
            <w:vAlign w:val="center"/>
          </w:tcPr>
          <w:p w14:paraId="6F96A19A">
            <w:pPr>
              <w:pStyle w:val="98"/>
              <w:spacing w:beforeLines="0" w:afterLines="0" w:line="240" w:lineRule="auto"/>
              <w:jc w:val="center"/>
              <w:rPr>
                <w:rFonts w:hint="eastAsia" w:ascii="宋体" w:hAnsi="宋体"/>
                <w:bCs/>
                <w:color w:val="auto"/>
              </w:rPr>
            </w:pPr>
            <w:r>
              <w:rPr>
                <w:rFonts w:hint="eastAsia" w:ascii="宋体" w:hAnsi="宋体"/>
                <w:bCs/>
                <w:color w:val="auto"/>
              </w:rPr>
              <w:t>较大</w:t>
            </w:r>
          </w:p>
        </w:tc>
        <w:tc>
          <w:tcPr>
            <w:tcW w:w="1216" w:type="dxa"/>
            <w:shd w:val="clear" w:color="auto" w:fill="E97132"/>
            <w:vAlign w:val="center"/>
          </w:tcPr>
          <w:p w14:paraId="06358827">
            <w:pPr>
              <w:pStyle w:val="98"/>
              <w:spacing w:beforeLines="0" w:afterLines="0" w:line="240" w:lineRule="auto"/>
              <w:jc w:val="center"/>
              <w:rPr>
                <w:rFonts w:hint="eastAsia" w:ascii="宋体" w:hAnsi="宋体"/>
                <w:bCs/>
                <w:color w:val="auto"/>
              </w:rPr>
            </w:pPr>
            <w:r>
              <w:rPr>
                <w:rFonts w:hint="eastAsia" w:ascii="宋体" w:hAnsi="宋体"/>
                <w:bCs/>
                <w:color w:val="auto"/>
              </w:rPr>
              <w:t>较大</w:t>
            </w:r>
          </w:p>
        </w:tc>
        <w:tc>
          <w:tcPr>
            <w:tcW w:w="1216" w:type="dxa"/>
            <w:shd w:val="clear" w:color="auto" w:fill="EE0000"/>
            <w:vAlign w:val="center"/>
          </w:tcPr>
          <w:p w14:paraId="25708B31">
            <w:pPr>
              <w:pStyle w:val="98"/>
              <w:spacing w:beforeLines="0" w:afterLines="0" w:line="240" w:lineRule="auto"/>
              <w:jc w:val="center"/>
              <w:rPr>
                <w:rFonts w:hint="eastAsia" w:ascii="宋体" w:hAnsi="宋体"/>
                <w:bCs/>
                <w:color w:val="auto"/>
              </w:rPr>
            </w:pPr>
            <w:r>
              <w:rPr>
                <w:rFonts w:hint="eastAsia" w:ascii="宋体" w:hAnsi="宋体"/>
                <w:bCs/>
                <w:color w:val="auto"/>
              </w:rPr>
              <w:t>重大</w:t>
            </w:r>
          </w:p>
        </w:tc>
        <w:tc>
          <w:tcPr>
            <w:tcW w:w="1216" w:type="dxa"/>
            <w:shd w:val="clear" w:color="auto" w:fill="EE0000"/>
            <w:vAlign w:val="center"/>
          </w:tcPr>
          <w:p w14:paraId="31040FB7">
            <w:pPr>
              <w:pStyle w:val="98"/>
              <w:spacing w:beforeLines="0" w:afterLines="0" w:line="240" w:lineRule="auto"/>
              <w:jc w:val="center"/>
              <w:rPr>
                <w:rFonts w:hint="eastAsia" w:ascii="宋体" w:hAnsi="宋体"/>
                <w:bCs/>
                <w:color w:val="auto"/>
              </w:rPr>
            </w:pPr>
            <w:r>
              <w:rPr>
                <w:rFonts w:hint="eastAsia" w:ascii="宋体" w:hAnsi="宋体"/>
                <w:bCs/>
                <w:color w:val="auto"/>
              </w:rPr>
              <w:t>重大</w:t>
            </w:r>
          </w:p>
        </w:tc>
      </w:tr>
    </w:tbl>
    <w:p w14:paraId="15AE60B9">
      <w:pPr>
        <w:pStyle w:val="4"/>
        <w:spacing w:beforeLines="0" w:afterLines="0"/>
        <w:rPr>
          <w:rFonts w:hint="eastAsia" w:ascii="宋体" w:hAnsi="宋体" w:cs="宋体"/>
          <w:bCs/>
        </w:rPr>
      </w:pPr>
      <w:r>
        <w:rPr>
          <w:rFonts w:hint="eastAsia" w:ascii="宋体" w:hAnsi="宋体" w:cs="宋体"/>
          <w:bCs/>
        </w:rPr>
        <w:t>5.5.3</w:t>
      </w:r>
      <w:r>
        <w:rPr>
          <w:rFonts w:ascii="宋体" w:hAnsi="宋体" w:cs="宋体"/>
          <w:bCs/>
        </w:rPr>
        <w:t>可根据行业或风险管理相关规定、风险管理工作</w:t>
      </w:r>
      <w:r>
        <w:rPr>
          <w:rFonts w:hint="eastAsia" w:ascii="宋体" w:hAnsi="宋体" w:cs="宋体"/>
          <w:bCs/>
          <w:lang w:val="en-US" w:eastAsia="zh-CN"/>
        </w:rPr>
        <w:t>需求</w:t>
      </w:r>
      <w:r>
        <w:rPr>
          <w:rFonts w:ascii="宋体" w:hAnsi="宋体" w:cs="宋体"/>
          <w:bCs/>
        </w:rPr>
        <w:t>，在风险评估方案中对风险等级准则进行适当调整。</w:t>
      </w:r>
    </w:p>
    <w:p w14:paraId="5D2E8BDF">
      <w:pPr>
        <w:pStyle w:val="108"/>
        <w:numPr>
          <w:ilvl w:val="1"/>
          <w:numId w:val="1"/>
        </w:numPr>
        <w:spacing w:before="120" w:beforeLines="50" w:after="120" w:afterLines="50"/>
      </w:pPr>
      <w:r>
        <w:rPr>
          <w:rFonts w:hint="eastAsia" w:ascii="宋体" w:hAnsi="宋体"/>
          <w:bCs/>
          <w:color w:val="808080" w:themeColor="background1" w:themeShade="80"/>
        </w:rPr>
        <w:t xml:space="preserve">  </w:t>
      </w:r>
      <w:bookmarkStart w:id="60" w:name="_Toc26673"/>
      <w:bookmarkStart w:id="61" w:name="_Toc232858337"/>
      <w:bookmarkStart w:id="62" w:name="_Toc234328963"/>
      <w:r>
        <w:rPr>
          <w:rFonts w:hint="eastAsia"/>
        </w:rPr>
        <w:t>风险评估成果</w:t>
      </w:r>
      <w:bookmarkEnd w:id="60"/>
      <w:bookmarkEnd w:id="61"/>
      <w:bookmarkEnd w:id="62"/>
    </w:p>
    <w:p w14:paraId="35FDC0DB">
      <w:pPr>
        <w:keepNext w:val="0"/>
        <w:keepLines w:val="0"/>
        <w:widowControl/>
        <w:suppressLineNumbers w:val="0"/>
        <w:jc w:val="left"/>
        <w:rPr>
          <w:rFonts w:hint="eastAsia" w:ascii="宋体" w:hAnsi="宋体"/>
          <w:bCs/>
          <w:color w:val="auto"/>
          <w:lang w:val="en-US" w:eastAsia="zh-CN"/>
        </w:rPr>
      </w:pPr>
      <w:r>
        <w:rPr>
          <w:rFonts w:hint="eastAsia" w:ascii="宋体" w:hAnsi="宋体" w:cs="宋体"/>
          <w:bCs/>
        </w:rPr>
        <w:t>5.6.1风险评估成果</w:t>
      </w:r>
      <w:r>
        <w:rPr>
          <w:rFonts w:hint="eastAsia" w:ascii="宋体" w:hAnsi="宋体" w:cs="宋体"/>
          <w:bCs/>
          <w:lang w:val="en-US" w:eastAsia="zh-CN"/>
        </w:rPr>
        <w:t>主要包括</w:t>
      </w:r>
      <w:r>
        <w:rPr>
          <w:rFonts w:hint="eastAsia" w:ascii="宋体" w:hAnsi="宋体"/>
          <w:bCs/>
          <w:color w:val="auto"/>
        </w:rPr>
        <w:t>风险评估报告</w:t>
      </w:r>
      <w:r>
        <w:rPr>
          <w:rFonts w:hint="eastAsia" w:ascii="宋体" w:hAnsi="宋体"/>
          <w:bCs/>
          <w:color w:val="auto"/>
          <w:lang w:eastAsia="zh-CN"/>
        </w:rPr>
        <w:t>、</w:t>
      </w:r>
      <w:r>
        <w:rPr>
          <w:rFonts w:hint="eastAsia" w:ascii="宋体" w:hAnsi="宋体"/>
          <w:bCs/>
          <w:color w:val="auto"/>
        </w:rPr>
        <w:t>风险清单</w:t>
      </w:r>
      <w:r>
        <w:rPr>
          <w:rFonts w:hint="eastAsia" w:ascii="宋体" w:hAnsi="宋体"/>
          <w:bCs/>
          <w:color w:val="auto"/>
          <w:lang w:eastAsia="zh-CN"/>
        </w:rPr>
        <w:t>、</w:t>
      </w:r>
      <w:r>
        <w:rPr>
          <w:rFonts w:hint="eastAsia" w:ascii="宋体" w:hAnsi="宋体"/>
          <w:bCs/>
          <w:color w:val="auto"/>
        </w:rPr>
        <w:t>风险分布四色图</w:t>
      </w:r>
      <w:r>
        <w:rPr>
          <w:rFonts w:hint="eastAsia" w:ascii="宋体" w:hAnsi="宋体"/>
          <w:bCs/>
          <w:color w:val="auto"/>
          <w:lang w:eastAsia="zh-CN"/>
        </w:rPr>
        <w:t>、</w:t>
      </w:r>
      <w:r>
        <w:rPr>
          <w:rFonts w:hint="eastAsia" w:ascii="宋体" w:hAnsi="宋体"/>
          <w:bCs/>
          <w:color w:val="auto"/>
          <w:lang w:val="en-US" w:eastAsia="zh-CN"/>
        </w:rPr>
        <w:t>三高</w:t>
      </w:r>
      <w:r>
        <w:rPr>
          <w:rFonts w:hint="eastAsia" w:ascii="宋体" w:hAnsi="宋体"/>
          <w:bCs/>
          <w:color w:val="auto"/>
        </w:rPr>
        <w:t>区域分布图</w:t>
      </w:r>
      <w:r>
        <w:rPr>
          <w:rFonts w:hint="eastAsia" w:ascii="宋体" w:hAnsi="宋体"/>
          <w:bCs/>
          <w:color w:val="auto"/>
          <w:lang w:val="en-US" w:eastAsia="zh-CN"/>
        </w:rPr>
        <w:t>四类核心成果</w:t>
      </w:r>
      <w:r>
        <w:rPr>
          <w:rFonts w:hint="eastAsia" w:ascii="宋体" w:hAnsi="宋体"/>
          <w:bCs/>
          <w:color w:val="auto"/>
          <w:lang w:eastAsia="zh-CN"/>
        </w:rPr>
        <w:t>。</w:t>
      </w:r>
    </w:p>
    <w:p w14:paraId="57E08E7A">
      <w:pPr>
        <w:pStyle w:val="4"/>
        <w:spacing w:beforeLines="0" w:afterLines="0"/>
        <w:rPr>
          <w:rFonts w:hint="eastAsia" w:ascii="宋体" w:hAnsi="宋体" w:cs="宋体"/>
          <w:bCs/>
        </w:rPr>
      </w:pPr>
      <w:r>
        <w:rPr>
          <w:rFonts w:hint="eastAsia" w:ascii="宋体" w:hAnsi="宋体" w:cs="宋体"/>
          <w:bCs/>
        </w:rPr>
        <w:t>5.6.2风险评估报告应</w:t>
      </w:r>
      <w:r>
        <w:rPr>
          <w:rFonts w:hint="eastAsia" w:ascii="宋体" w:hAnsi="宋体" w:cs="宋体"/>
          <w:bCs/>
          <w:lang w:val="en-US" w:eastAsia="zh-CN"/>
        </w:rPr>
        <w:t>符合以下要求</w:t>
      </w:r>
      <w:r>
        <w:rPr>
          <w:rFonts w:hint="eastAsia" w:ascii="宋体" w:hAnsi="宋体" w:cs="宋体"/>
          <w:bCs/>
        </w:rPr>
        <w:t>：</w:t>
      </w:r>
    </w:p>
    <w:p w14:paraId="477AF1FB">
      <w:pPr>
        <w:pStyle w:val="98"/>
        <w:spacing w:beforeLines="0" w:afterLines="0"/>
        <w:ind w:firstLine="420" w:firstLineChars="200"/>
        <w:rPr>
          <w:rFonts w:hint="eastAsia" w:ascii="宋体" w:hAnsi="宋体" w:eastAsia="宋体"/>
          <w:bCs/>
          <w:color w:val="auto"/>
          <w:lang w:eastAsia="zh-CN"/>
        </w:rPr>
      </w:pPr>
      <w:r>
        <w:rPr>
          <w:rFonts w:hint="eastAsia" w:ascii="宋体" w:hAnsi="宋体"/>
          <w:bCs/>
          <w:color w:val="auto"/>
        </w:rPr>
        <w:t>a）报告</w:t>
      </w:r>
      <w:r>
        <w:rPr>
          <w:rFonts w:hint="eastAsia" w:ascii="宋体" w:hAnsi="宋体"/>
          <w:bCs/>
          <w:color w:val="auto"/>
          <w:lang w:val="en-US" w:eastAsia="zh-CN"/>
        </w:rPr>
        <w:t>内容</w:t>
      </w:r>
      <w:r>
        <w:rPr>
          <w:rFonts w:hint="eastAsia" w:ascii="宋体" w:hAnsi="宋体"/>
          <w:bCs/>
          <w:color w:val="auto"/>
        </w:rPr>
        <w:t>应全面、客观、准确反映</w:t>
      </w:r>
      <w:r>
        <w:rPr>
          <w:rFonts w:hint="eastAsia" w:ascii="宋体" w:hAnsi="宋体"/>
          <w:bCs/>
          <w:color w:val="auto"/>
          <w:lang w:eastAsia="zh-CN"/>
        </w:rPr>
        <w:t>城市生命线安全风险现状与评估工作过程；</w:t>
      </w:r>
    </w:p>
    <w:p w14:paraId="72DE9A50">
      <w:pPr>
        <w:pStyle w:val="98"/>
        <w:spacing w:beforeLines="0" w:afterLines="0"/>
        <w:ind w:firstLine="420" w:firstLineChars="200"/>
        <w:rPr>
          <w:rFonts w:hint="eastAsia" w:ascii="宋体" w:hAnsi="宋体" w:eastAsia="宋体"/>
          <w:bCs/>
          <w:color w:val="auto"/>
          <w:lang w:eastAsia="zh-CN"/>
        </w:rPr>
      </w:pPr>
      <w:r>
        <w:rPr>
          <w:rFonts w:hint="eastAsia" w:ascii="宋体" w:hAnsi="宋体"/>
          <w:bCs/>
          <w:color w:val="auto"/>
        </w:rPr>
        <w:t>b）报告应包括相关背景、评估目的、评估范围、评估依据、评估方法</w:t>
      </w:r>
      <w:r>
        <w:rPr>
          <w:rFonts w:hint="eastAsia" w:ascii="宋体" w:hAnsi="宋体"/>
          <w:bCs/>
          <w:color w:val="auto"/>
          <w:lang w:val="en-US" w:eastAsia="zh-CN"/>
        </w:rPr>
        <w:t>与</w:t>
      </w:r>
      <w:r>
        <w:rPr>
          <w:rFonts w:hint="eastAsia" w:ascii="宋体" w:hAnsi="宋体"/>
          <w:bCs/>
          <w:color w:val="auto"/>
        </w:rPr>
        <w:t>流程、</w:t>
      </w:r>
      <w:r>
        <w:rPr>
          <w:rFonts w:hint="eastAsia" w:ascii="宋体" w:hAnsi="宋体"/>
          <w:bCs/>
          <w:color w:val="auto"/>
          <w:lang w:eastAsia="zh-CN"/>
        </w:rPr>
        <w:t>城市生命线</w:t>
      </w:r>
      <w:r>
        <w:rPr>
          <w:rFonts w:hint="eastAsia" w:ascii="宋体" w:hAnsi="宋体"/>
          <w:bCs/>
          <w:color w:val="auto"/>
          <w:lang w:val="en-US" w:eastAsia="zh-CN"/>
        </w:rPr>
        <w:t>设施</w:t>
      </w:r>
      <w:r>
        <w:rPr>
          <w:rFonts w:hint="eastAsia" w:ascii="宋体" w:hAnsi="宋体"/>
          <w:bCs/>
          <w:color w:val="auto"/>
        </w:rPr>
        <w:t>基本</w:t>
      </w:r>
      <w:r>
        <w:rPr>
          <w:rFonts w:hint="eastAsia" w:ascii="宋体" w:hAnsi="宋体"/>
          <w:bCs/>
          <w:color w:val="auto"/>
          <w:lang w:val="en-US" w:eastAsia="zh-CN"/>
        </w:rPr>
        <w:t>概况</w:t>
      </w:r>
      <w:r>
        <w:rPr>
          <w:rFonts w:hint="eastAsia" w:ascii="宋体" w:hAnsi="宋体"/>
          <w:bCs/>
          <w:color w:val="auto"/>
        </w:rPr>
        <w:t>、风险</w:t>
      </w:r>
      <w:r>
        <w:rPr>
          <w:rFonts w:hint="eastAsia" w:ascii="宋体" w:hAnsi="宋体"/>
          <w:bCs/>
          <w:color w:val="auto"/>
          <w:lang w:val="en-US" w:eastAsia="zh-CN"/>
        </w:rPr>
        <w:t>识别</w:t>
      </w:r>
      <w:r>
        <w:rPr>
          <w:rFonts w:hint="eastAsia" w:ascii="宋体" w:hAnsi="宋体"/>
          <w:bCs/>
          <w:color w:val="auto"/>
        </w:rPr>
        <w:t>与分析、</w:t>
      </w:r>
      <w:r>
        <w:rPr>
          <w:rFonts w:hint="eastAsia" w:ascii="宋体" w:hAnsi="宋体"/>
          <w:bCs/>
          <w:color w:val="auto"/>
          <w:lang w:val="en-US" w:eastAsia="zh-CN"/>
        </w:rPr>
        <w:t>风险等级评价</w:t>
      </w:r>
      <w:r>
        <w:rPr>
          <w:rFonts w:hint="eastAsia" w:ascii="宋体" w:hAnsi="宋体"/>
          <w:bCs/>
          <w:color w:val="auto"/>
        </w:rPr>
        <w:t>结果</w:t>
      </w:r>
      <w:r>
        <w:rPr>
          <w:rFonts w:hint="eastAsia" w:ascii="宋体" w:hAnsi="宋体"/>
          <w:bCs/>
          <w:color w:val="auto"/>
          <w:lang w:eastAsia="zh-CN"/>
        </w:rPr>
        <w:t>、</w:t>
      </w:r>
      <w:r>
        <w:rPr>
          <w:rFonts w:hint="eastAsia" w:ascii="宋体" w:hAnsi="宋体"/>
          <w:bCs/>
          <w:color w:val="auto"/>
          <w:lang w:val="en-US" w:eastAsia="zh-CN"/>
        </w:rPr>
        <w:t>风险分级</w:t>
      </w:r>
      <w:r>
        <w:rPr>
          <w:rFonts w:hint="eastAsia" w:ascii="宋体" w:hAnsi="宋体"/>
          <w:bCs/>
          <w:color w:val="auto"/>
        </w:rPr>
        <w:t>管控建议、</w:t>
      </w:r>
      <w:r>
        <w:rPr>
          <w:rFonts w:hint="eastAsia" w:ascii="宋体" w:hAnsi="宋体"/>
          <w:bCs/>
          <w:color w:val="auto"/>
          <w:lang w:val="en-US" w:eastAsia="zh-CN"/>
        </w:rPr>
        <w:t>相关</w:t>
      </w:r>
      <w:r>
        <w:rPr>
          <w:rFonts w:hint="eastAsia" w:ascii="宋体" w:hAnsi="宋体"/>
          <w:bCs/>
          <w:color w:val="auto"/>
        </w:rPr>
        <w:t>附件等内容</w:t>
      </w:r>
      <w:r>
        <w:rPr>
          <w:rFonts w:hint="eastAsia" w:ascii="宋体" w:hAnsi="宋体"/>
          <w:bCs/>
          <w:color w:val="auto"/>
          <w:lang w:eastAsia="zh-CN"/>
        </w:rPr>
        <w:t>；</w:t>
      </w:r>
    </w:p>
    <w:p w14:paraId="6373644A">
      <w:pPr>
        <w:pStyle w:val="98"/>
        <w:spacing w:beforeLines="0" w:afterLines="0"/>
        <w:ind w:firstLine="420" w:firstLineChars="200"/>
        <w:rPr>
          <w:rFonts w:hint="eastAsia" w:ascii="宋体" w:hAnsi="宋体"/>
          <w:bCs/>
          <w:strike w:val="0"/>
          <w:color w:val="auto"/>
        </w:rPr>
      </w:pPr>
      <w:r>
        <w:rPr>
          <w:rFonts w:hint="eastAsia" w:ascii="宋体" w:hAnsi="宋体"/>
          <w:bCs/>
          <w:strike w:val="0"/>
          <w:color w:val="auto"/>
        </w:rPr>
        <w:t>c）风险评估报告编制完成后，应组织行业</w:t>
      </w:r>
      <w:r>
        <w:rPr>
          <w:rFonts w:hint="eastAsia" w:ascii="宋体" w:hAnsi="宋体"/>
          <w:bCs/>
          <w:strike w:val="0"/>
          <w:color w:val="auto"/>
          <w:lang w:val="en-US" w:eastAsia="zh-CN"/>
        </w:rPr>
        <w:t>主管</w:t>
      </w:r>
      <w:r>
        <w:rPr>
          <w:rFonts w:hint="eastAsia" w:ascii="宋体" w:hAnsi="宋体"/>
          <w:bCs/>
          <w:strike w:val="0"/>
          <w:color w:val="auto"/>
        </w:rPr>
        <w:t>部门</w:t>
      </w:r>
      <w:r>
        <w:rPr>
          <w:rFonts w:hint="eastAsia" w:ascii="宋体" w:hAnsi="宋体"/>
          <w:bCs/>
          <w:strike w:val="0"/>
          <w:color w:val="auto"/>
          <w:lang w:eastAsia="zh-CN"/>
        </w:rPr>
        <w:t>、</w:t>
      </w:r>
      <w:r>
        <w:rPr>
          <w:rFonts w:hint="eastAsia" w:ascii="宋体" w:hAnsi="宋体"/>
          <w:bCs/>
          <w:strike w:val="0"/>
          <w:color w:val="auto"/>
          <w:lang w:val="en-US" w:eastAsia="zh-CN"/>
        </w:rPr>
        <w:t>技术</w:t>
      </w:r>
      <w:r>
        <w:rPr>
          <w:rFonts w:hint="eastAsia" w:ascii="宋体" w:hAnsi="宋体"/>
          <w:bCs/>
          <w:strike w:val="0"/>
          <w:color w:val="auto"/>
        </w:rPr>
        <w:t>专家</w:t>
      </w:r>
      <w:r>
        <w:rPr>
          <w:rFonts w:hint="eastAsia" w:ascii="宋体" w:hAnsi="宋体"/>
          <w:bCs/>
          <w:strike w:val="0"/>
          <w:color w:val="auto"/>
          <w:lang w:val="en-US" w:eastAsia="zh-CN"/>
        </w:rPr>
        <w:t>开展</w:t>
      </w:r>
      <w:r>
        <w:rPr>
          <w:rFonts w:hint="eastAsia" w:ascii="宋体" w:hAnsi="宋体"/>
          <w:bCs/>
          <w:strike w:val="0"/>
          <w:color w:val="auto"/>
        </w:rPr>
        <w:t>评审，对报告的完整性、有效性进行论证。</w:t>
      </w:r>
    </w:p>
    <w:p w14:paraId="16461AE6">
      <w:pPr>
        <w:pStyle w:val="4"/>
        <w:spacing w:beforeLines="0" w:afterLines="0"/>
        <w:rPr>
          <w:rFonts w:hint="eastAsia" w:ascii="宋体" w:hAnsi="宋体" w:cs="宋体"/>
          <w:bCs/>
        </w:rPr>
      </w:pPr>
      <w:r>
        <w:rPr>
          <w:rFonts w:hint="eastAsia" w:ascii="宋体" w:hAnsi="宋体" w:cs="宋体"/>
          <w:bCs/>
        </w:rPr>
        <w:t>5.6.3风险清单应包括评估单元、评估对象、风险源位置、风险描述、风险类型、风险等级、风险管控措施、责任单位等内容。</w:t>
      </w:r>
    </w:p>
    <w:p w14:paraId="63F0BFA7">
      <w:pPr>
        <w:pStyle w:val="4"/>
        <w:spacing w:beforeLines="0" w:afterLines="0"/>
        <w:rPr>
          <w:rFonts w:hint="eastAsia" w:ascii="宋体" w:hAnsi="宋体" w:cs="宋体"/>
          <w:bCs/>
        </w:rPr>
      </w:pPr>
      <w:r>
        <w:rPr>
          <w:rFonts w:hint="eastAsia" w:ascii="宋体" w:hAnsi="宋体" w:cs="宋体"/>
          <w:bCs/>
        </w:rPr>
        <w:t>5.6.4风险分布四色图应按照红、橙、黄、蓝四级色标对应风险等级绘制，应包含标题、地图图层、风险分级图层、指北针、图例、比例尺、制图信息等内容。</w:t>
      </w:r>
    </w:p>
    <w:p w14:paraId="70A96947">
      <w:pPr>
        <w:rPr>
          <w:rFonts w:hint="eastAsia" w:ascii="宋体" w:hAnsi="宋体" w:eastAsia="宋体" w:cs="宋体"/>
          <w:bCs/>
          <w:lang w:val="en-US" w:eastAsia="zh-CN"/>
        </w:rPr>
      </w:pPr>
      <w:r>
        <w:rPr>
          <w:rFonts w:hint="eastAsia" w:ascii="宋体" w:hAnsi="宋体" w:cs="宋体"/>
          <w:bCs/>
          <w:lang w:val="en-US" w:eastAsia="zh-CN"/>
        </w:rPr>
        <w:t>5.6.5</w:t>
      </w:r>
      <w:r>
        <w:rPr>
          <w:rFonts w:hint="eastAsia" w:ascii="宋体" w:hAnsi="宋体" w:cs="宋体"/>
          <w:bCs/>
        </w:rPr>
        <w:t>三高区域分布图应包括高风险区域、高敏感区域和高后果区域分布数据，并应采用矢量电子地图呈现</w:t>
      </w:r>
      <w:r>
        <w:rPr>
          <w:rFonts w:hint="eastAsia" w:ascii="宋体" w:hAnsi="宋体" w:cs="宋体"/>
          <w:bCs/>
          <w:lang w:eastAsia="zh-CN"/>
        </w:rPr>
        <w:t>。</w:t>
      </w:r>
    </w:p>
    <w:p w14:paraId="23FA2C2A">
      <w:pPr>
        <w:spacing w:before="24" w:after="24"/>
        <w:rPr>
          <w:rFonts w:hint="eastAsia" w:ascii="宋体" w:hAnsi="宋体" w:cs="宋体"/>
          <w:bCs/>
        </w:rPr>
      </w:pPr>
      <w:r>
        <w:rPr>
          <w:rFonts w:hint="eastAsia" w:ascii="宋体" w:hAnsi="宋体" w:cs="宋体"/>
          <w:bCs/>
        </w:rPr>
        <w:t>5.6.6三高区域划分标准应</w:t>
      </w:r>
      <w:r>
        <w:rPr>
          <w:rFonts w:hint="eastAsia" w:ascii="宋体" w:hAnsi="宋体" w:cs="宋体"/>
          <w:bCs/>
          <w:lang w:eastAsia="zh-CN"/>
        </w:rPr>
        <w:t>符合以下要求</w:t>
      </w:r>
      <w:r>
        <w:rPr>
          <w:rFonts w:hint="eastAsia" w:ascii="宋体" w:hAnsi="宋体" w:cs="宋体"/>
          <w:bCs/>
        </w:rPr>
        <w:t>：</w:t>
      </w:r>
    </w:p>
    <w:p w14:paraId="7CF8C713">
      <w:pPr>
        <w:pStyle w:val="98"/>
        <w:spacing w:beforeLines="0" w:afterLines="0"/>
        <w:ind w:firstLine="420" w:firstLineChars="200"/>
        <w:rPr>
          <w:rFonts w:ascii="宋体" w:hAnsi="宋体"/>
          <w:bCs/>
          <w:color w:val="auto"/>
        </w:rPr>
      </w:pPr>
      <w:r>
        <w:rPr>
          <w:rFonts w:hint="eastAsia" w:ascii="宋体" w:hAnsi="宋体"/>
          <w:bCs/>
          <w:color w:val="auto"/>
        </w:rPr>
        <w:t>a）</w:t>
      </w:r>
      <w:bookmarkStart w:id="63" w:name="OLE_LINK47"/>
      <w:bookmarkStart w:id="64" w:name="OLE_LINK46"/>
      <w:r>
        <w:rPr>
          <w:rFonts w:hint="eastAsia" w:ascii="宋体" w:hAnsi="宋体"/>
          <w:bCs/>
          <w:color w:val="auto"/>
        </w:rPr>
        <w:t>风险等级评价为重大</w:t>
      </w:r>
      <w:r>
        <w:rPr>
          <w:rFonts w:hint="eastAsia" w:ascii="宋体" w:hAnsi="宋体"/>
          <w:bCs/>
          <w:color w:val="auto"/>
          <w:lang w:eastAsia="zh-CN"/>
        </w:rPr>
        <w:t>、</w:t>
      </w:r>
      <w:r>
        <w:rPr>
          <w:rFonts w:hint="eastAsia" w:ascii="宋体" w:hAnsi="宋体"/>
          <w:bCs/>
          <w:color w:val="auto"/>
        </w:rPr>
        <w:t>较大风险的</w:t>
      </w:r>
      <w:bookmarkEnd w:id="63"/>
      <w:bookmarkEnd w:id="64"/>
      <w:bookmarkStart w:id="65" w:name="OLE_LINK42"/>
      <w:bookmarkStart w:id="66" w:name="OLE_LINK45"/>
      <w:r>
        <w:rPr>
          <w:rFonts w:hint="eastAsia" w:ascii="宋体" w:hAnsi="宋体"/>
          <w:bCs/>
          <w:color w:val="auto"/>
          <w:lang w:eastAsia="zh-CN"/>
        </w:rPr>
        <w:t>城市生命线</w:t>
      </w:r>
      <w:r>
        <w:rPr>
          <w:rFonts w:hint="eastAsia" w:ascii="宋体" w:hAnsi="宋体"/>
          <w:bCs/>
          <w:color w:val="auto"/>
          <w:lang w:val="en-US" w:eastAsia="zh-CN"/>
        </w:rPr>
        <w:t>设施及</w:t>
      </w:r>
      <w:r>
        <w:rPr>
          <w:rFonts w:hint="eastAsia" w:ascii="宋体" w:hAnsi="宋体"/>
          <w:bCs/>
          <w:color w:val="auto"/>
        </w:rPr>
        <w:t>所在区域</w:t>
      </w:r>
      <w:r>
        <w:rPr>
          <w:rFonts w:hint="eastAsia" w:ascii="宋体" w:hAnsi="宋体"/>
          <w:bCs/>
          <w:color w:val="auto"/>
          <w:lang w:eastAsia="zh-CN"/>
        </w:rPr>
        <w:t>，</w:t>
      </w:r>
      <w:r>
        <w:rPr>
          <w:rFonts w:hint="eastAsia" w:ascii="宋体" w:hAnsi="宋体"/>
          <w:bCs/>
          <w:color w:val="auto"/>
        </w:rPr>
        <w:t>划</w:t>
      </w:r>
      <w:r>
        <w:rPr>
          <w:rFonts w:hint="eastAsia" w:ascii="宋体" w:hAnsi="宋体"/>
          <w:bCs/>
          <w:color w:val="auto"/>
          <w:lang w:val="en-US" w:eastAsia="zh-CN"/>
        </w:rPr>
        <w:t>定</w:t>
      </w:r>
      <w:r>
        <w:rPr>
          <w:rFonts w:hint="eastAsia" w:ascii="宋体" w:hAnsi="宋体"/>
          <w:bCs/>
          <w:color w:val="auto"/>
        </w:rPr>
        <w:t>为高风险区域</w:t>
      </w:r>
      <w:bookmarkEnd w:id="65"/>
      <w:bookmarkEnd w:id="66"/>
      <w:r>
        <w:rPr>
          <w:rFonts w:hint="eastAsia" w:ascii="宋体" w:hAnsi="宋体"/>
          <w:bCs/>
          <w:color w:val="auto"/>
        </w:rPr>
        <w:t>；</w:t>
      </w:r>
    </w:p>
    <w:p w14:paraId="6A2DAE54">
      <w:pPr>
        <w:pStyle w:val="98"/>
        <w:spacing w:beforeLines="0" w:afterLines="0"/>
        <w:ind w:firstLine="420" w:firstLineChars="200"/>
        <w:rPr>
          <w:rFonts w:ascii="宋体" w:hAnsi="宋体"/>
          <w:bCs/>
          <w:color w:val="auto"/>
        </w:rPr>
      </w:pPr>
      <w:r>
        <w:rPr>
          <w:rFonts w:hint="eastAsia" w:ascii="宋体" w:hAnsi="宋体"/>
          <w:bCs/>
          <w:color w:val="auto"/>
        </w:rPr>
        <w:t>b）风险等级评价为重大</w:t>
      </w:r>
      <w:r>
        <w:rPr>
          <w:rFonts w:hint="eastAsia" w:ascii="宋体" w:hAnsi="宋体"/>
          <w:bCs/>
          <w:color w:val="auto"/>
          <w:lang w:eastAsia="zh-CN"/>
        </w:rPr>
        <w:t>、</w:t>
      </w:r>
      <w:r>
        <w:rPr>
          <w:rFonts w:hint="eastAsia" w:ascii="宋体" w:hAnsi="宋体"/>
          <w:bCs/>
          <w:color w:val="auto"/>
        </w:rPr>
        <w:t>较大风险的燃气管道，</w:t>
      </w:r>
      <w:r>
        <w:rPr>
          <w:rFonts w:hint="eastAsia" w:ascii="宋体" w:hAnsi="宋体"/>
          <w:bCs/>
          <w:color w:val="auto"/>
          <w:lang w:val="en-US" w:eastAsia="zh-CN"/>
        </w:rPr>
        <w:t>其</w:t>
      </w:r>
      <w:r>
        <w:rPr>
          <w:rFonts w:hint="eastAsia" w:ascii="宋体" w:hAnsi="宋体"/>
          <w:bCs/>
          <w:color w:val="auto"/>
        </w:rPr>
        <w:t>潜在影响半径范围内存在高敏感防护目标的区域</w:t>
      </w:r>
      <w:r>
        <w:rPr>
          <w:rFonts w:hint="eastAsia" w:ascii="宋体" w:hAnsi="宋体"/>
          <w:bCs/>
          <w:color w:val="auto"/>
          <w:lang w:eastAsia="zh-CN"/>
        </w:rPr>
        <w:t>，</w:t>
      </w:r>
      <w:r>
        <w:rPr>
          <w:rFonts w:hint="eastAsia" w:ascii="宋体" w:hAnsi="宋体"/>
          <w:bCs/>
          <w:color w:val="auto"/>
        </w:rPr>
        <w:t>划</w:t>
      </w:r>
      <w:r>
        <w:rPr>
          <w:rFonts w:hint="eastAsia" w:ascii="宋体" w:hAnsi="宋体"/>
          <w:bCs/>
          <w:color w:val="auto"/>
          <w:lang w:val="en-US" w:eastAsia="zh-CN"/>
        </w:rPr>
        <w:t>定</w:t>
      </w:r>
      <w:r>
        <w:rPr>
          <w:rFonts w:hint="eastAsia" w:ascii="宋体" w:hAnsi="宋体"/>
          <w:bCs/>
          <w:color w:val="auto"/>
        </w:rPr>
        <w:t>为高敏感区域；</w:t>
      </w:r>
    </w:p>
    <w:p w14:paraId="64342D1D">
      <w:pPr>
        <w:ind w:firstLine="420" w:firstLineChars="200"/>
        <w:rPr>
          <w:rFonts w:hint="eastAsia" w:ascii="宋体" w:hAnsi="宋体" w:cs="宋体"/>
          <w:bCs/>
        </w:rPr>
      </w:pPr>
      <w:r>
        <w:rPr>
          <w:rFonts w:hint="eastAsia" w:ascii="宋体" w:hAnsi="宋体"/>
          <w:bCs/>
          <w:color w:val="auto"/>
        </w:rPr>
        <w:t>c）</w:t>
      </w:r>
      <w:r>
        <w:rPr>
          <w:rFonts w:hint="eastAsia" w:ascii="宋体" w:hAnsi="宋体"/>
          <w:bCs/>
          <w:color w:val="auto"/>
          <w:lang w:val="en-US" w:eastAsia="zh-CN"/>
        </w:rPr>
        <w:t>事故</w:t>
      </w:r>
      <w:r>
        <w:rPr>
          <w:rFonts w:hint="eastAsia" w:ascii="宋体" w:hAnsi="宋体"/>
          <w:bCs/>
          <w:color w:val="auto"/>
        </w:rPr>
        <w:t>后果严重性等级评价为大</w:t>
      </w:r>
      <w:r>
        <w:rPr>
          <w:rFonts w:hint="eastAsia" w:ascii="宋体" w:hAnsi="宋体"/>
          <w:bCs/>
          <w:color w:val="auto"/>
          <w:lang w:eastAsia="zh-CN"/>
        </w:rPr>
        <w:t>（</w:t>
      </w:r>
      <w:r>
        <w:rPr>
          <w:rFonts w:hint="eastAsia" w:ascii="宋体" w:hAnsi="宋体"/>
          <w:bCs/>
          <w:color w:val="auto"/>
        </w:rPr>
        <w:t>4</w:t>
      </w:r>
      <w:r>
        <w:rPr>
          <w:rFonts w:hint="eastAsia" w:ascii="宋体" w:hAnsi="宋体"/>
          <w:bCs/>
          <w:color w:val="auto"/>
          <w:lang w:val="en-US" w:eastAsia="zh-CN"/>
        </w:rPr>
        <w:t>级</w:t>
      </w:r>
      <w:r>
        <w:rPr>
          <w:rFonts w:hint="eastAsia" w:ascii="宋体" w:hAnsi="宋体"/>
          <w:bCs/>
          <w:color w:val="auto"/>
          <w:lang w:eastAsia="zh-CN"/>
        </w:rPr>
        <w:t>）</w:t>
      </w:r>
      <w:r>
        <w:rPr>
          <w:rFonts w:hint="eastAsia" w:ascii="宋体" w:hAnsi="宋体"/>
          <w:bCs/>
          <w:color w:val="auto"/>
        </w:rPr>
        <w:t>或很大</w:t>
      </w:r>
      <w:r>
        <w:rPr>
          <w:rFonts w:hint="eastAsia" w:ascii="宋体" w:hAnsi="宋体"/>
          <w:bCs/>
          <w:color w:val="auto"/>
          <w:lang w:eastAsia="zh-CN"/>
        </w:rPr>
        <w:t>（</w:t>
      </w:r>
      <w:r>
        <w:rPr>
          <w:rFonts w:hint="eastAsia" w:ascii="宋体" w:hAnsi="宋体"/>
          <w:bCs/>
          <w:color w:val="auto"/>
        </w:rPr>
        <w:t>5</w:t>
      </w:r>
      <w:r>
        <w:rPr>
          <w:rFonts w:hint="eastAsia" w:ascii="宋体" w:hAnsi="宋体"/>
          <w:bCs/>
          <w:color w:val="auto"/>
          <w:lang w:val="en-US" w:eastAsia="zh-CN"/>
        </w:rPr>
        <w:t>级</w:t>
      </w:r>
      <w:r>
        <w:rPr>
          <w:rFonts w:hint="eastAsia" w:ascii="宋体" w:hAnsi="宋体"/>
          <w:bCs/>
          <w:color w:val="auto"/>
          <w:lang w:eastAsia="zh-CN"/>
        </w:rPr>
        <w:t>）</w:t>
      </w:r>
      <w:r>
        <w:rPr>
          <w:rFonts w:hint="eastAsia" w:ascii="宋体" w:hAnsi="宋体"/>
          <w:bCs/>
          <w:color w:val="auto"/>
        </w:rPr>
        <w:t>的</w:t>
      </w:r>
      <w:r>
        <w:rPr>
          <w:rFonts w:hint="eastAsia" w:ascii="宋体" w:hAnsi="宋体"/>
          <w:bCs/>
          <w:color w:val="auto"/>
          <w:lang w:eastAsia="zh-CN"/>
        </w:rPr>
        <w:t>城市生命线</w:t>
      </w:r>
      <w:r>
        <w:rPr>
          <w:rFonts w:hint="eastAsia" w:ascii="宋体" w:hAnsi="宋体"/>
          <w:bCs/>
          <w:color w:val="auto"/>
          <w:lang w:val="en-US" w:eastAsia="zh-CN"/>
        </w:rPr>
        <w:t>设施及</w:t>
      </w:r>
      <w:r>
        <w:rPr>
          <w:rFonts w:hint="eastAsia" w:ascii="宋体" w:hAnsi="宋体"/>
          <w:bCs/>
          <w:color w:val="auto"/>
        </w:rPr>
        <w:t>所在区域</w:t>
      </w:r>
      <w:r>
        <w:rPr>
          <w:rFonts w:hint="eastAsia" w:ascii="宋体" w:hAnsi="宋体"/>
          <w:bCs/>
          <w:color w:val="auto"/>
          <w:lang w:eastAsia="zh-CN"/>
        </w:rPr>
        <w:t>，</w:t>
      </w:r>
      <w:r>
        <w:rPr>
          <w:rFonts w:hint="eastAsia" w:ascii="宋体" w:hAnsi="宋体"/>
          <w:bCs/>
          <w:color w:val="auto"/>
        </w:rPr>
        <w:t>划</w:t>
      </w:r>
      <w:r>
        <w:rPr>
          <w:rFonts w:hint="eastAsia" w:ascii="宋体" w:hAnsi="宋体"/>
          <w:bCs/>
          <w:color w:val="auto"/>
          <w:lang w:val="en-US" w:eastAsia="zh-CN"/>
        </w:rPr>
        <w:t>定</w:t>
      </w:r>
      <w:r>
        <w:rPr>
          <w:rFonts w:hint="eastAsia" w:ascii="宋体" w:hAnsi="宋体"/>
          <w:bCs/>
          <w:color w:val="auto"/>
        </w:rPr>
        <w:t>为高后果区域。</w:t>
      </w:r>
    </w:p>
    <w:p w14:paraId="0B0E1BFE">
      <w:pPr>
        <w:pStyle w:val="4"/>
        <w:spacing w:beforeLines="0" w:afterLines="0"/>
        <w:rPr>
          <w:rFonts w:hint="eastAsia" w:ascii="宋体" w:hAnsi="宋体" w:cs="宋体"/>
          <w:bCs/>
        </w:rPr>
      </w:pPr>
      <w:r>
        <w:rPr>
          <w:rFonts w:hint="eastAsia" w:ascii="宋体" w:hAnsi="宋体" w:cs="宋体"/>
          <w:bCs/>
        </w:rPr>
        <w:t>5.6.</w:t>
      </w:r>
      <w:r>
        <w:rPr>
          <w:rFonts w:hint="eastAsia" w:ascii="宋体" w:hAnsi="宋体" w:cs="宋体"/>
          <w:bCs/>
          <w:lang w:val="en-US" w:eastAsia="zh-CN"/>
        </w:rPr>
        <w:t>7</w:t>
      </w:r>
      <w:r>
        <w:rPr>
          <w:rFonts w:hint="eastAsia" w:ascii="宋体" w:hAnsi="宋体" w:cs="宋体"/>
          <w:bCs/>
        </w:rPr>
        <w:t>应根据风险等级、三高区域分布结果，分级、分类、分区制定差异化的风险防控、隐患整改、监测布设、应急管控专项建议。</w:t>
      </w:r>
    </w:p>
    <w:p w14:paraId="324FD5C2">
      <w:pPr>
        <w:pStyle w:val="4"/>
        <w:spacing w:beforeLines="0" w:afterLines="0"/>
        <w:rPr>
          <w:rFonts w:hint="eastAsia" w:ascii="宋体" w:hAnsi="宋体" w:cs="宋体"/>
          <w:bCs/>
        </w:rPr>
      </w:pPr>
      <w:r>
        <w:rPr>
          <w:rFonts w:hint="eastAsia" w:ascii="宋体" w:hAnsi="宋体" w:cs="宋体"/>
          <w:bCs/>
        </w:rPr>
        <w:t>5.6.</w:t>
      </w:r>
      <w:r>
        <w:rPr>
          <w:rFonts w:hint="eastAsia" w:ascii="宋体" w:hAnsi="宋体" w:cs="宋体"/>
          <w:bCs/>
          <w:lang w:val="en-US" w:eastAsia="zh-CN"/>
        </w:rPr>
        <w:t>8</w:t>
      </w:r>
      <w:r>
        <w:rPr>
          <w:rFonts w:hint="eastAsia" w:ascii="宋体" w:hAnsi="宋体" w:cs="宋体"/>
          <w:bCs/>
        </w:rPr>
        <w:t>风险评估成果应建立动态更新机制，</w:t>
      </w:r>
      <w:r>
        <w:rPr>
          <w:rFonts w:ascii="宋体" w:hAnsi="宋体" w:cs="宋体"/>
          <w:bCs/>
        </w:rPr>
        <w:t>结合城市体检、城市更新、</w:t>
      </w:r>
      <w:r>
        <w:rPr>
          <w:rFonts w:hint="eastAsia" w:ascii="宋体" w:hAnsi="宋体" w:cs="宋体"/>
          <w:bCs/>
        </w:rPr>
        <w:t>风险复核、隐患整改等工作，迭代更新风险数据与评估结论，</w:t>
      </w:r>
      <w:r>
        <w:rPr>
          <w:rFonts w:ascii="宋体" w:hAnsi="宋体" w:cs="宋体"/>
          <w:bCs/>
        </w:rPr>
        <w:t>动态更新风险评估结果</w:t>
      </w:r>
      <w:r>
        <w:rPr>
          <w:rFonts w:hint="eastAsia" w:ascii="宋体" w:hAnsi="宋体" w:cs="宋体"/>
          <w:bCs/>
        </w:rPr>
        <w:t>。</w:t>
      </w:r>
    </w:p>
    <w:p w14:paraId="536AA7CE">
      <w:pPr>
        <w:pStyle w:val="111"/>
        <w:pageBreakBefore w:val="0"/>
        <w:numPr>
          <w:ilvl w:val="0"/>
          <w:numId w:val="1"/>
        </w:numPr>
        <w:spacing w:beforeLines="100" w:afterLines="100"/>
        <w:ind w:left="0" w:firstLine="0"/>
        <w:rPr>
          <w:sz w:val="21"/>
          <w:szCs w:val="21"/>
        </w:rPr>
      </w:pPr>
      <w:bookmarkStart w:id="67" w:name="_Toc11696"/>
      <w:r>
        <w:rPr>
          <w:rFonts w:hint="eastAsia"/>
          <w:sz w:val="21"/>
          <w:szCs w:val="21"/>
        </w:rPr>
        <w:t>监测感知网</w:t>
      </w:r>
      <w:r>
        <w:rPr>
          <w:rFonts w:hint="eastAsia"/>
          <w:sz w:val="21"/>
          <w:szCs w:val="21"/>
          <w:lang w:val="en-US" w:eastAsia="zh-CN"/>
        </w:rPr>
        <w:t>络</w:t>
      </w:r>
      <w:r>
        <w:rPr>
          <w:rFonts w:hint="eastAsia"/>
          <w:sz w:val="21"/>
          <w:szCs w:val="21"/>
        </w:rPr>
        <w:t>建设</w:t>
      </w:r>
      <w:bookmarkEnd w:id="67"/>
    </w:p>
    <w:p w14:paraId="5B0BCE51">
      <w:pPr>
        <w:pStyle w:val="108"/>
        <w:numPr>
          <w:ilvl w:val="1"/>
          <w:numId w:val="1"/>
        </w:numPr>
        <w:spacing w:beforeLines="50" w:afterLines="50"/>
      </w:pPr>
      <w:bookmarkStart w:id="68" w:name="_Toc2609"/>
      <w:r>
        <w:rPr>
          <w:rFonts w:hint="eastAsia"/>
          <w:lang w:eastAsia="zh-CN"/>
        </w:rPr>
        <w:t>一般要求</w:t>
      </w:r>
      <w:bookmarkEnd w:id="68"/>
    </w:p>
    <w:p w14:paraId="4D99DF63">
      <w:pPr>
        <w:keepNext w:val="0"/>
        <w:keepLines w:val="0"/>
        <w:widowControl/>
        <w:suppressLineNumbers w:val="0"/>
        <w:jc w:val="left"/>
        <w:rPr>
          <w:rFonts w:hint="eastAsia" w:ascii="宋体" w:hAnsi="宋体" w:eastAsia="宋体"/>
          <w:bCs/>
          <w:color w:val="auto"/>
          <w:lang w:eastAsia="zh-CN"/>
        </w:rPr>
      </w:pPr>
      <w:r>
        <w:rPr>
          <w:rFonts w:hint="eastAsia" w:ascii="宋体" w:hAnsi="宋体"/>
          <w:bCs/>
          <w:color w:val="auto"/>
        </w:rPr>
        <w:t>6.1.</w:t>
      </w:r>
      <w:r>
        <w:rPr>
          <w:rFonts w:hint="eastAsia" w:ascii="宋体" w:hAnsi="宋体"/>
          <w:bCs/>
          <w:color w:val="auto"/>
          <w:lang w:val="en-US" w:eastAsia="zh-CN"/>
        </w:rPr>
        <w:t>1</w:t>
      </w:r>
      <w:r>
        <w:rPr>
          <w:rFonts w:hint="eastAsia" w:ascii="宋体" w:hAnsi="宋体"/>
          <w:bCs/>
          <w:color w:val="auto"/>
        </w:rPr>
        <w:t>监测感知网络建设应结合风险评估结果、行业管理</w:t>
      </w:r>
      <w:r>
        <w:rPr>
          <w:rFonts w:hint="eastAsia" w:ascii="宋体" w:hAnsi="宋体"/>
          <w:bCs/>
          <w:color w:val="auto"/>
          <w:lang w:eastAsia="zh-CN"/>
        </w:rPr>
        <w:t>标准</w:t>
      </w:r>
      <w:r>
        <w:rPr>
          <w:rFonts w:hint="eastAsia" w:ascii="宋体" w:hAnsi="宋体"/>
          <w:bCs/>
          <w:color w:val="auto"/>
        </w:rPr>
        <w:t>及设施运营管理需求，科学确定监测对象、监测</w:t>
      </w:r>
      <w:r>
        <w:rPr>
          <w:rFonts w:hint="eastAsia" w:ascii="宋体" w:hAnsi="宋体"/>
          <w:bCs/>
          <w:color w:val="auto"/>
          <w:lang w:val="en-US" w:eastAsia="zh-CN"/>
        </w:rPr>
        <w:t>布点</w:t>
      </w:r>
      <w:r>
        <w:rPr>
          <w:rFonts w:hint="eastAsia" w:ascii="宋体" w:hAnsi="宋体"/>
          <w:bCs/>
          <w:color w:val="auto"/>
        </w:rPr>
        <w:t>、监测指标及适配监测设备</w:t>
      </w:r>
      <w:r>
        <w:rPr>
          <w:rFonts w:hint="eastAsia" w:ascii="宋体" w:hAnsi="宋体"/>
          <w:bCs/>
          <w:color w:val="auto"/>
          <w:lang w:eastAsia="zh-CN"/>
        </w:rPr>
        <w:t>。</w:t>
      </w:r>
    </w:p>
    <w:p w14:paraId="4AA3E650">
      <w:pPr>
        <w:widowControl/>
        <w:jc w:val="left"/>
        <w:rPr>
          <w:rFonts w:ascii="宋体" w:hAnsi="宋体"/>
          <w:bCs/>
          <w:color w:val="auto"/>
        </w:rPr>
      </w:pPr>
      <w:r>
        <w:rPr>
          <w:rFonts w:hint="eastAsia" w:ascii="宋体" w:hAnsi="宋体"/>
          <w:bCs/>
          <w:color w:val="auto"/>
        </w:rPr>
        <w:t>6.1.</w:t>
      </w:r>
      <w:r>
        <w:rPr>
          <w:rFonts w:hint="eastAsia" w:ascii="宋体" w:hAnsi="宋体"/>
          <w:bCs/>
          <w:color w:val="auto"/>
          <w:lang w:val="en-US" w:eastAsia="zh-CN"/>
        </w:rPr>
        <w:t>2</w:t>
      </w:r>
      <w:r>
        <w:rPr>
          <w:rFonts w:hint="eastAsia" w:ascii="宋体" w:hAnsi="宋体"/>
          <w:bCs/>
          <w:color w:val="auto"/>
        </w:rPr>
        <w:t>应结合各行业设施运行特点与监测需求，采用固定式监测</w:t>
      </w:r>
      <w:r>
        <w:rPr>
          <w:rFonts w:hint="eastAsia" w:ascii="宋体" w:hAnsi="宋体"/>
          <w:bCs/>
          <w:color w:val="auto"/>
          <w:lang w:val="en-US" w:eastAsia="zh-CN"/>
        </w:rPr>
        <w:t>与</w:t>
      </w:r>
      <w:r>
        <w:rPr>
          <w:rFonts w:hint="eastAsia" w:ascii="宋体" w:hAnsi="宋体"/>
          <w:bCs/>
          <w:color w:val="auto"/>
        </w:rPr>
        <w:t>移动式监测相结合</w:t>
      </w:r>
      <w:r>
        <w:rPr>
          <w:rFonts w:hint="eastAsia" w:ascii="宋体" w:hAnsi="宋体"/>
          <w:bCs/>
          <w:color w:val="auto"/>
          <w:lang w:eastAsia="zh-CN"/>
        </w:rPr>
        <w:t>、</w:t>
      </w:r>
      <w:r>
        <w:rPr>
          <w:rFonts w:hint="eastAsia" w:ascii="宋体" w:hAnsi="宋体"/>
          <w:bCs/>
          <w:color w:val="auto"/>
        </w:rPr>
        <w:t>长期监测</w:t>
      </w:r>
      <w:r>
        <w:rPr>
          <w:rFonts w:hint="eastAsia" w:ascii="宋体" w:hAnsi="宋体"/>
          <w:bCs/>
          <w:color w:val="auto"/>
          <w:lang w:val="en-US" w:eastAsia="zh-CN"/>
        </w:rPr>
        <w:t>与</w:t>
      </w:r>
      <w:r>
        <w:rPr>
          <w:rFonts w:hint="eastAsia" w:ascii="宋体" w:hAnsi="宋体"/>
          <w:bCs/>
          <w:color w:val="auto"/>
        </w:rPr>
        <w:t>临时监测相结合</w:t>
      </w:r>
      <w:r>
        <w:rPr>
          <w:rFonts w:hint="eastAsia" w:ascii="宋体" w:hAnsi="宋体"/>
          <w:bCs/>
          <w:color w:val="auto"/>
          <w:lang w:eastAsia="zh-CN"/>
        </w:rPr>
        <w:t>、</w:t>
      </w:r>
      <w:r>
        <w:rPr>
          <w:rFonts w:hint="eastAsia" w:ascii="宋体" w:hAnsi="宋体"/>
          <w:bCs/>
          <w:color w:val="auto"/>
        </w:rPr>
        <w:t>标准化监测</w:t>
      </w:r>
      <w:r>
        <w:rPr>
          <w:rFonts w:hint="eastAsia" w:ascii="宋体" w:hAnsi="宋体"/>
          <w:bCs/>
          <w:color w:val="auto"/>
          <w:lang w:val="en-US" w:eastAsia="zh-CN"/>
        </w:rPr>
        <w:t>与</w:t>
      </w:r>
      <w:r>
        <w:rPr>
          <w:rFonts w:hint="eastAsia" w:ascii="宋体" w:hAnsi="宋体"/>
          <w:bCs/>
          <w:color w:val="auto"/>
        </w:rPr>
        <w:t>轻量化监测相结合的</w:t>
      </w:r>
      <w:r>
        <w:rPr>
          <w:rFonts w:hint="eastAsia" w:ascii="宋体" w:hAnsi="宋体"/>
          <w:bCs/>
          <w:color w:val="auto"/>
          <w:lang w:val="en-US" w:eastAsia="zh-CN"/>
        </w:rPr>
        <w:t>组合</w:t>
      </w:r>
      <w:r>
        <w:rPr>
          <w:rFonts w:hint="eastAsia" w:ascii="宋体" w:hAnsi="宋体"/>
          <w:bCs/>
          <w:color w:val="auto"/>
        </w:rPr>
        <w:t>监测方式。</w:t>
      </w:r>
    </w:p>
    <w:p w14:paraId="0C05A28A">
      <w:pPr>
        <w:spacing w:beforeLines="0" w:afterLines="0"/>
        <w:rPr>
          <w:rFonts w:ascii="宋体" w:hAnsi="宋体"/>
          <w:bCs/>
        </w:rPr>
      </w:pPr>
      <w:r>
        <w:rPr>
          <w:rFonts w:hint="eastAsia" w:ascii="宋体" w:hAnsi="宋体"/>
          <w:bCs/>
        </w:rPr>
        <w:t>6.1.</w:t>
      </w:r>
      <w:r>
        <w:rPr>
          <w:rFonts w:hint="eastAsia" w:ascii="宋体" w:hAnsi="宋体"/>
          <w:bCs/>
          <w:lang w:val="en-US" w:eastAsia="zh-CN"/>
        </w:rPr>
        <w:t>3</w:t>
      </w:r>
      <w:r>
        <w:rPr>
          <w:rFonts w:hint="eastAsia" w:ascii="宋体" w:hAnsi="宋体"/>
          <w:bCs/>
        </w:rPr>
        <w:t>监测布点应符合以下</w:t>
      </w:r>
      <w:r>
        <w:rPr>
          <w:rFonts w:hint="eastAsia" w:ascii="宋体" w:hAnsi="宋体" w:cs="Times New Roman"/>
          <w:bCs/>
          <w:kern w:val="2"/>
          <w:sz w:val="21"/>
          <w:szCs w:val="20"/>
          <w:lang w:val="en-US" w:eastAsia="zh-CN" w:bidi="ar"/>
        </w:rPr>
        <w:t>要求</w:t>
      </w:r>
      <w:r>
        <w:rPr>
          <w:rFonts w:hint="eastAsia" w:ascii="宋体" w:hAnsi="宋体"/>
          <w:bCs/>
        </w:rPr>
        <w:t>：</w:t>
      </w:r>
    </w:p>
    <w:p w14:paraId="25C3595C">
      <w:pPr>
        <w:pStyle w:val="98"/>
        <w:spacing w:beforeLines="0" w:afterLines="0"/>
        <w:ind w:firstLine="420" w:firstLineChars="200"/>
        <w:rPr>
          <w:rFonts w:ascii="宋体" w:hAnsi="宋体"/>
          <w:bCs/>
          <w:color w:val="auto"/>
        </w:rPr>
      </w:pPr>
      <w:r>
        <w:rPr>
          <w:rFonts w:hint="eastAsia" w:ascii="宋体" w:hAnsi="宋体"/>
          <w:bCs/>
          <w:color w:val="auto"/>
        </w:rPr>
        <w:t>a）位置和数量</w:t>
      </w:r>
      <w:r>
        <w:rPr>
          <w:rFonts w:hint="eastAsia" w:ascii="宋体" w:hAnsi="宋体"/>
          <w:bCs/>
          <w:color w:val="auto"/>
          <w:lang w:val="en-US" w:eastAsia="zh-CN"/>
        </w:rPr>
        <w:t>应</w:t>
      </w:r>
      <w:r>
        <w:rPr>
          <w:rFonts w:hint="eastAsia" w:ascii="宋体" w:hAnsi="宋体"/>
          <w:bCs/>
          <w:color w:val="auto"/>
        </w:rPr>
        <w:t>根据监测对象</w:t>
      </w:r>
      <w:r>
        <w:rPr>
          <w:rFonts w:hint="eastAsia" w:ascii="宋体" w:hAnsi="宋体"/>
          <w:bCs/>
          <w:color w:val="auto"/>
          <w:lang w:eastAsia="zh-CN"/>
        </w:rPr>
        <w:t>的</w:t>
      </w:r>
      <w:r>
        <w:rPr>
          <w:rFonts w:hint="eastAsia" w:ascii="宋体" w:hAnsi="宋体"/>
          <w:bCs/>
          <w:color w:val="auto"/>
        </w:rPr>
        <w:t>类型和特征、</w:t>
      </w:r>
      <w:r>
        <w:rPr>
          <w:rFonts w:hint="eastAsia" w:ascii="宋体" w:hAnsi="宋体"/>
          <w:bCs/>
          <w:color w:val="auto"/>
          <w:lang w:val="en-US" w:eastAsia="zh-CN"/>
        </w:rPr>
        <w:t>监测点</w:t>
      </w:r>
      <w:r>
        <w:rPr>
          <w:rFonts w:hint="eastAsia" w:ascii="宋体" w:hAnsi="宋体"/>
          <w:bCs/>
          <w:color w:val="auto"/>
        </w:rPr>
        <w:t>风险评估等级及监测方法</w:t>
      </w:r>
      <w:r>
        <w:rPr>
          <w:rFonts w:hint="eastAsia" w:ascii="宋体" w:hAnsi="宋体"/>
          <w:bCs/>
          <w:color w:val="auto"/>
          <w:lang w:eastAsia="zh-CN"/>
        </w:rPr>
        <w:t>的</w:t>
      </w:r>
      <w:r>
        <w:rPr>
          <w:rFonts w:hint="eastAsia" w:ascii="宋体" w:hAnsi="宋体"/>
          <w:bCs/>
          <w:color w:val="auto"/>
          <w:lang w:val="en-US" w:eastAsia="zh-CN"/>
        </w:rPr>
        <w:t>要求</w:t>
      </w:r>
      <w:r>
        <w:rPr>
          <w:rFonts w:hint="eastAsia" w:ascii="宋体" w:hAnsi="宋体"/>
          <w:bCs/>
          <w:color w:val="auto"/>
        </w:rPr>
        <w:t>综合确定；</w:t>
      </w:r>
    </w:p>
    <w:p w14:paraId="176BD778">
      <w:pPr>
        <w:pStyle w:val="98"/>
        <w:spacing w:beforeLines="0" w:afterLines="0"/>
        <w:ind w:firstLine="420" w:firstLineChars="200"/>
        <w:rPr>
          <w:rFonts w:ascii="宋体" w:hAnsi="宋体"/>
          <w:bCs/>
          <w:color w:val="auto"/>
        </w:rPr>
      </w:pPr>
      <w:r>
        <w:rPr>
          <w:rFonts w:hint="eastAsia" w:ascii="宋体" w:hAnsi="宋体"/>
          <w:bCs/>
          <w:color w:val="auto"/>
        </w:rPr>
        <w:t>b）满足反映监测指标变化规律和分析监测对象安全运行状态的要求；</w:t>
      </w:r>
    </w:p>
    <w:p w14:paraId="4245CD82">
      <w:pPr>
        <w:pStyle w:val="98"/>
        <w:spacing w:beforeLines="0" w:afterLines="0"/>
        <w:ind w:firstLine="420" w:firstLineChars="200"/>
        <w:rPr>
          <w:rFonts w:hint="eastAsia" w:ascii="宋体" w:hAnsi="宋体" w:eastAsia="宋体"/>
          <w:bCs/>
          <w:color w:val="auto"/>
          <w:lang w:eastAsia="zh-CN"/>
        </w:rPr>
      </w:pPr>
      <w:r>
        <w:rPr>
          <w:rFonts w:hint="eastAsia" w:ascii="宋体" w:hAnsi="宋体"/>
          <w:bCs/>
          <w:color w:val="auto"/>
        </w:rPr>
        <w:t>c）</w:t>
      </w:r>
      <w:r>
        <w:rPr>
          <w:rFonts w:hint="eastAsia" w:ascii="宋体" w:hAnsi="宋体"/>
          <w:bCs/>
          <w:color w:val="auto"/>
          <w:lang w:val="en-US" w:eastAsia="zh-CN"/>
        </w:rPr>
        <w:t>监测点位</w:t>
      </w:r>
      <w:r>
        <w:rPr>
          <w:rFonts w:hint="eastAsia" w:ascii="宋体" w:hAnsi="宋体"/>
          <w:bCs/>
          <w:color w:val="auto"/>
        </w:rPr>
        <w:t>便于监测设备安装和维护</w:t>
      </w:r>
      <w:r>
        <w:rPr>
          <w:rFonts w:hint="eastAsia" w:ascii="宋体" w:hAnsi="宋体"/>
          <w:bCs/>
          <w:color w:val="auto"/>
          <w:lang w:eastAsia="zh-CN"/>
        </w:rPr>
        <w:t>。</w:t>
      </w:r>
    </w:p>
    <w:p w14:paraId="1049902A">
      <w:pPr>
        <w:widowControl/>
        <w:jc w:val="left"/>
        <w:rPr>
          <w:rFonts w:ascii="宋体" w:hAnsi="宋体"/>
          <w:bCs/>
          <w:color w:val="auto"/>
        </w:rPr>
      </w:pPr>
      <w:r>
        <w:rPr>
          <w:rFonts w:hint="eastAsia" w:ascii="宋体" w:hAnsi="宋体"/>
          <w:bCs/>
          <w:color w:val="auto"/>
        </w:rPr>
        <w:t>6.1.</w:t>
      </w:r>
      <w:r>
        <w:rPr>
          <w:rFonts w:hint="eastAsia" w:ascii="宋体" w:hAnsi="宋体"/>
          <w:bCs/>
          <w:color w:val="auto"/>
          <w:lang w:val="en-US" w:eastAsia="zh-CN"/>
        </w:rPr>
        <w:t>4</w:t>
      </w:r>
      <w:r>
        <w:rPr>
          <w:rFonts w:hint="eastAsia" w:ascii="宋体" w:hAnsi="宋体"/>
          <w:bCs/>
          <w:color w:val="auto"/>
        </w:rPr>
        <w:t>重大或耦合风险区域宜采用多种类型</w:t>
      </w:r>
      <w:r>
        <w:rPr>
          <w:rFonts w:hint="eastAsia" w:ascii="宋体" w:hAnsi="宋体"/>
          <w:bCs/>
          <w:color w:val="auto"/>
          <w:lang w:eastAsia="zh-CN"/>
        </w:rPr>
        <w:t>监测设备</w:t>
      </w:r>
      <w:r>
        <w:rPr>
          <w:rFonts w:hint="eastAsia" w:ascii="宋体" w:hAnsi="宋体"/>
          <w:bCs/>
          <w:color w:val="auto"/>
        </w:rPr>
        <w:t>共同监测，对风险进行综合分析。</w:t>
      </w:r>
    </w:p>
    <w:p w14:paraId="5E7B4C27">
      <w:pPr>
        <w:widowControl/>
        <w:jc w:val="left"/>
        <w:rPr>
          <w:rFonts w:hint="eastAsia" w:ascii="宋体" w:hAnsi="宋体"/>
          <w:bCs/>
          <w:color w:val="auto"/>
        </w:rPr>
      </w:pPr>
      <w:r>
        <w:rPr>
          <w:rFonts w:hint="eastAsia" w:ascii="宋体" w:hAnsi="宋体"/>
          <w:bCs/>
          <w:color w:val="auto"/>
        </w:rPr>
        <w:t>6.1.</w:t>
      </w:r>
      <w:r>
        <w:rPr>
          <w:rFonts w:hint="eastAsia" w:ascii="宋体" w:hAnsi="宋体"/>
          <w:bCs/>
          <w:color w:val="auto"/>
          <w:lang w:val="en-US" w:eastAsia="zh-CN"/>
        </w:rPr>
        <w:t>5</w:t>
      </w:r>
      <w:r>
        <w:rPr>
          <w:rFonts w:hint="eastAsia" w:ascii="宋体" w:hAnsi="宋体"/>
          <w:bCs/>
          <w:color w:val="auto"/>
        </w:rPr>
        <w:t>宜采取图像识别、空间定位、</w:t>
      </w:r>
      <w:r>
        <w:rPr>
          <w:rFonts w:hint="eastAsia" w:ascii="宋体" w:hAnsi="宋体"/>
          <w:bCs/>
          <w:color w:val="auto"/>
          <w:lang w:val="en-US" w:eastAsia="zh-CN"/>
        </w:rPr>
        <w:t>振动</w:t>
      </w:r>
      <w:r>
        <w:rPr>
          <w:rFonts w:hint="eastAsia" w:ascii="宋体" w:hAnsi="宋体"/>
          <w:bCs/>
          <w:color w:val="auto"/>
        </w:rPr>
        <w:t>扰动感知等</w:t>
      </w:r>
      <w:r>
        <w:rPr>
          <w:rFonts w:hint="eastAsia" w:ascii="宋体" w:hAnsi="宋体"/>
          <w:bCs/>
          <w:color w:val="auto"/>
          <w:lang w:val="en-US" w:eastAsia="zh-CN"/>
        </w:rPr>
        <w:t>智能</w:t>
      </w:r>
      <w:r>
        <w:rPr>
          <w:rFonts w:hint="eastAsia" w:ascii="宋体" w:hAnsi="宋体"/>
          <w:bCs/>
          <w:color w:val="auto"/>
        </w:rPr>
        <w:t>监测</w:t>
      </w:r>
      <w:r>
        <w:rPr>
          <w:rFonts w:hint="eastAsia" w:ascii="宋体" w:hAnsi="宋体"/>
          <w:bCs/>
          <w:color w:val="auto"/>
          <w:lang w:val="en-US" w:eastAsia="zh-CN"/>
        </w:rPr>
        <w:t>技术，</w:t>
      </w:r>
      <w:r>
        <w:rPr>
          <w:rFonts w:hint="eastAsia" w:ascii="宋体" w:hAnsi="宋体"/>
          <w:bCs/>
          <w:color w:val="auto"/>
        </w:rPr>
        <w:t>对第三方施工</w:t>
      </w:r>
      <w:r>
        <w:rPr>
          <w:rFonts w:hint="eastAsia" w:ascii="宋体" w:hAnsi="宋体" w:cs="Times New Roman"/>
          <w:bCs/>
          <w:color w:val="auto"/>
          <w:kern w:val="2"/>
          <w:sz w:val="21"/>
          <w:szCs w:val="20"/>
          <w:lang w:val="en-US" w:eastAsia="zh-CN" w:bidi="ar"/>
        </w:rPr>
        <w:t>行为</w:t>
      </w:r>
      <w:r>
        <w:rPr>
          <w:rFonts w:hint="eastAsia" w:ascii="宋体" w:hAnsi="宋体"/>
          <w:bCs/>
          <w:color w:val="auto"/>
          <w:lang w:val="en-US" w:eastAsia="zh-CN"/>
        </w:rPr>
        <w:t>开展</w:t>
      </w:r>
      <w:r>
        <w:rPr>
          <w:rFonts w:hint="eastAsia" w:ascii="宋体" w:hAnsi="宋体"/>
          <w:bCs/>
          <w:color w:val="auto"/>
        </w:rPr>
        <w:t>监测，防范第三方施工导致的</w:t>
      </w:r>
      <w:r>
        <w:rPr>
          <w:rFonts w:hint="eastAsia" w:ascii="宋体" w:hAnsi="宋体"/>
          <w:bCs/>
          <w:color w:val="auto"/>
          <w:lang w:val="en-US" w:eastAsia="zh-CN"/>
        </w:rPr>
        <w:t>生命线</w:t>
      </w:r>
      <w:r>
        <w:rPr>
          <w:rFonts w:hint="eastAsia" w:ascii="宋体" w:hAnsi="宋体"/>
          <w:bCs/>
          <w:color w:val="auto"/>
        </w:rPr>
        <w:t>设施</w:t>
      </w:r>
      <w:r>
        <w:rPr>
          <w:rFonts w:hint="eastAsia" w:ascii="宋体" w:hAnsi="宋体"/>
          <w:bCs/>
          <w:color w:val="auto"/>
          <w:lang w:val="en-US" w:eastAsia="zh-CN"/>
        </w:rPr>
        <w:t>损</w:t>
      </w:r>
      <w:r>
        <w:rPr>
          <w:rFonts w:hint="eastAsia" w:ascii="宋体" w:hAnsi="宋体"/>
          <w:bCs/>
          <w:color w:val="auto"/>
        </w:rPr>
        <w:t>坏。</w:t>
      </w:r>
    </w:p>
    <w:p w14:paraId="0B1AD0B1">
      <w:pPr>
        <w:widowControl/>
        <w:jc w:val="left"/>
        <w:rPr>
          <w:rFonts w:hint="eastAsia" w:ascii="宋体" w:hAnsi="宋体"/>
          <w:bCs/>
          <w:color w:val="auto"/>
        </w:rPr>
      </w:pPr>
      <w:r>
        <w:rPr>
          <w:rFonts w:hint="eastAsia" w:ascii="宋体" w:hAnsi="宋体"/>
          <w:bCs/>
          <w:color w:val="auto"/>
          <w:lang w:val="en-US" w:eastAsia="zh-CN"/>
        </w:rPr>
        <w:t>6.1.6应根据监测对象类型、特征、监测方法、监测指标变化规律和分析监测对象安全运行状态的要求，选择合适的监测设备。</w:t>
      </w:r>
    </w:p>
    <w:p w14:paraId="1EEA78D3">
      <w:pPr>
        <w:pStyle w:val="98"/>
        <w:spacing w:beforeLines="0" w:afterLines="0"/>
        <w:rPr>
          <w:rFonts w:hint="eastAsia" w:ascii="宋体" w:hAnsi="宋体"/>
          <w:bCs/>
          <w:color w:val="auto"/>
          <w:lang w:val="en-US" w:eastAsia="zh-CN"/>
        </w:rPr>
      </w:pPr>
      <w:r>
        <w:rPr>
          <w:rFonts w:hint="eastAsia" w:ascii="宋体" w:hAnsi="宋体"/>
          <w:bCs/>
          <w:color w:val="auto"/>
        </w:rPr>
        <w:t>6.1.</w:t>
      </w:r>
      <w:r>
        <w:rPr>
          <w:rFonts w:hint="eastAsia" w:ascii="宋体" w:hAnsi="宋体"/>
          <w:bCs/>
          <w:color w:val="auto"/>
          <w:lang w:val="en-US" w:eastAsia="zh-CN"/>
        </w:rPr>
        <w:t>7</w:t>
      </w:r>
      <w:r>
        <w:rPr>
          <w:rFonts w:hint="eastAsia" w:ascii="宋体" w:hAnsi="宋体"/>
          <w:bCs/>
          <w:color w:val="auto"/>
        </w:rPr>
        <w:t>监测设备</w:t>
      </w:r>
      <w:r>
        <w:rPr>
          <w:rFonts w:hint="eastAsia" w:ascii="宋体" w:hAnsi="宋体"/>
          <w:bCs/>
          <w:color w:val="auto"/>
          <w:lang w:val="en-US" w:eastAsia="zh-CN"/>
        </w:rPr>
        <w:t>性能应满足</w:t>
      </w:r>
      <w:r>
        <w:rPr>
          <w:rFonts w:hint="default" w:ascii="宋体" w:hAnsi="宋体"/>
          <w:bCs/>
          <w:color w:val="auto"/>
          <w:lang w:val="en-US" w:eastAsia="zh-CN"/>
        </w:rPr>
        <w:t>GB/T 45791</w:t>
      </w:r>
      <w:r>
        <w:rPr>
          <w:rFonts w:hint="eastAsia" w:ascii="宋体" w:hAnsi="宋体"/>
          <w:bCs/>
          <w:color w:val="auto"/>
          <w:lang w:val="en-US" w:eastAsia="zh-CN"/>
        </w:rPr>
        <w:t>表A.1及以下要求：</w:t>
      </w:r>
    </w:p>
    <w:p w14:paraId="14ED39CB">
      <w:pPr>
        <w:pStyle w:val="98"/>
        <w:spacing w:beforeLines="0" w:afterLines="0"/>
        <w:ind w:firstLine="420" w:firstLineChars="200"/>
        <w:rPr>
          <w:rFonts w:hint="eastAsia" w:ascii="宋体" w:hAnsi="宋体" w:eastAsia="宋体"/>
          <w:bCs/>
          <w:color w:val="auto"/>
          <w:lang w:eastAsia="zh-CN"/>
        </w:rPr>
      </w:pPr>
      <w:r>
        <w:rPr>
          <w:rFonts w:hint="eastAsia" w:ascii="宋体" w:hAnsi="宋体"/>
          <w:bCs/>
          <w:color w:val="auto"/>
        </w:rPr>
        <w:t>a）便于安装维护，具有稳定性强、可靠性高和可扩展性，并支持接入</w:t>
      </w:r>
      <w:r>
        <w:rPr>
          <w:rFonts w:hint="eastAsia" w:ascii="宋体" w:hAnsi="宋体"/>
          <w:bCs/>
          <w:color w:val="auto"/>
          <w:lang w:val="en-US" w:eastAsia="zh-CN"/>
        </w:rPr>
        <w:t>生命线</w:t>
      </w:r>
      <w:r>
        <w:rPr>
          <w:rFonts w:hint="default" w:ascii="宋体" w:hAnsi="宋体"/>
          <w:bCs/>
          <w:color w:val="auto"/>
          <w:lang w:eastAsia="zh-CN"/>
        </w:rPr>
        <w:t>监测系统</w:t>
      </w:r>
      <w:r>
        <w:rPr>
          <w:rFonts w:hint="eastAsia" w:ascii="宋体" w:hAnsi="宋体"/>
          <w:bCs/>
          <w:color w:val="auto"/>
          <w:lang w:eastAsia="zh-CN"/>
        </w:rPr>
        <w:t>；</w:t>
      </w:r>
    </w:p>
    <w:p w14:paraId="2FFE669E">
      <w:pPr>
        <w:pStyle w:val="98"/>
        <w:spacing w:beforeLines="0" w:afterLines="0"/>
        <w:ind w:firstLine="420" w:firstLineChars="200"/>
        <w:rPr>
          <w:rFonts w:hint="eastAsia" w:ascii="宋体" w:hAnsi="宋体" w:cs="宋体"/>
          <w:bCs/>
          <w:color w:val="auto"/>
          <w:lang w:val="en-US" w:eastAsia="zh-CN"/>
        </w:rPr>
      </w:pPr>
      <w:r>
        <w:rPr>
          <w:rFonts w:hint="eastAsia" w:ascii="宋体" w:hAnsi="宋体" w:cs="宋体"/>
          <w:bCs/>
          <w:color w:val="auto"/>
          <w:lang w:val="en-US" w:eastAsia="zh-CN"/>
        </w:rPr>
        <w:t>b) 精度和量程满足监测需求，满足行业标准及本文件技术要求；</w:t>
      </w:r>
    </w:p>
    <w:p w14:paraId="11C9FF3D">
      <w:pPr>
        <w:pStyle w:val="98"/>
        <w:spacing w:beforeLines="0" w:afterLines="0"/>
        <w:ind w:firstLine="420" w:firstLineChars="200"/>
        <w:rPr>
          <w:rFonts w:hint="eastAsia" w:ascii="宋体" w:hAnsi="宋体" w:eastAsia="宋体" w:cs="宋体"/>
          <w:bCs/>
          <w:color w:val="auto"/>
          <w:lang w:val="en-US" w:eastAsia="zh-CN"/>
        </w:rPr>
      </w:pPr>
      <w:r>
        <w:rPr>
          <w:rFonts w:hint="eastAsia" w:ascii="宋体" w:hAnsi="宋体" w:cs="宋体"/>
          <w:bCs/>
          <w:color w:val="auto"/>
          <w:lang w:val="en-US" w:eastAsia="zh-CN"/>
        </w:rPr>
        <w:t xml:space="preserve">c) </w:t>
      </w:r>
      <w:r>
        <w:rPr>
          <w:rFonts w:hint="eastAsia" w:ascii="Times New Roman" w:hAnsi="Times New Roman" w:eastAsia="宋体" w:cs="宋体"/>
          <w:bCs/>
          <w:color w:val="auto"/>
          <w:sz w:val="21"/>
          <w:szCs w:val="21"/>
        </w:rPr>
        <w:t>设备宜集成定位模块</w:t>
      </w:r>
      <w:r>
        <w:rPr>
          <w:rFonts w:hint="eastAsia" w:cs="宋体"/>
          <w:bCs/>
          <w:color w:val="auto"/>
          <w:sz w:val="21"/>
          <w:szCs w:val="21"/>
          <w:lang w:eastAsia="zh-CN"/>
        </w:rPr>
        <w:t>；</w:t>
      </w:r>
    </w:p>
    <w:p w14:paraId="55128349">
      <w:pPr>
        <w:pStyle w:val="98"/>
        <w:spacing w:beforeLines="0" w:afterLines="0"/>
        <w:ind w:firstLine="420" w:firstLineChars="200"/>
        <w:rPr>
          <w:rFonts w:hint="default" w:ascii="宋体" w:hAnsi="宋体" w:cs="宋体"/>
          <w:bCs/>
          <w:color w:val="auto"/>
          <w:lang w:val="en-US" w:eastAsia="zh-CN"/>
        </w:rPr>
      </w:pPr>
      <w:r>
        <w:rPr>
          <w:rFonts w:hint="eastAsia" w:ascii="宋体" w:hAnsi="宋体" w:cs="宋体"/>
          <w:bCs/>
          <w:color w:val="auto"/>
          <w:lang w:val="en-US" w:eastAsia="zh-CN"/>
        </w:rPr>
        <w:t>d) 具有设备自检功能且能上报故障状态；</w:t>
      </w:r>
    </w:p>
    <w:p w14:paraId="32D29F48">
      <w:pPr>
        <w:pStyle w:val="98"/>
        <w:spacing w:beforeLines="0" w:afterLines="0"/>
        <w:ind w:firstLine="420" w:firstLineChars="200"/>
        <w:rPr>
          <w:rFonts w:hint="eastAsia" w:ascii="宋体" w:hAnsi="宋体" w:cs="宋体"/>
          <w:bCs/>
          <w:color w:val="auto"/>
          <w:lang w:val="en-US" w:eastAsia="zh-CN"/>
        </w:rPr>
      </w:pPr>
      <w:r>
        <w:rPr>
          <w:rFonts w:hint="eastAsia" w:ascii="宋体" w:hAnsi="宋体" w:cs="宋体"/>
          <w:bCs/>
          <w:color w:val="auto"/>
          <w:lang w:val="en-US" w:eastAsia="zh-CN"/>
        </w:rPr>
        <w:t>e）具备掉电数据保存、网络时钟自动同步功能，设备与监测系统时间偏差不应大于 5s；</w:t>
      </w:r>
    </w:p>
    <w:p w14:paraId="737D0A3A">
      <w:pPr>
        <w:widowControl/>
        <w:ind w:firstLine="420" w:firstLineChars="200"/>
        <w:jc w:val="left"/>
        <w:rPr>
          <w:rFonts w:hint="eastAsia" w:ascii="宋体" w:hAnsi="宋体" w:cs="宋体"/>
          <w:bCs/>
          <w:color w:val="auto"/>
          <w:lang w:val="en-US" w:eastAsia="zh-CN"/>
        </w:rPr>
      </w:pPr>
      <w:r>
        <w:rPr>
          <w:rFonts w:hint="eastAsia" w:ascii="宋体" w:hAnsi="宋体" w:cs="宋体"/>
          <w:bCs/>
          <w:color w:val="auto"/>
          <w:lang w:val="en-US" w:eastAsia="zh-CN"/>
        </w:rPr>
        <w:t>f）</w:t>
      </w:r>
      <w:r>
        <w:rPr>
          <w:rFonts w:hint="eastAsia" w:ascii="宋体" w:hAnsi="宋体"/>
          <w:bCs/>
          <w:color w:val="auto"/>
        </w:rPr>
        <w:t>供电系统要安全可靠，符合国家相关标准。无法采用市政供电时</w:t>
      </w:r>
      <w:r>
        <w:rPr>
          <w:rFonts w:hint="eastAsia" w:ascii="宋体" w:hAnsi="宋体"/>
          <w:bCs/>
          <w:color w:val="auto"/>
          <w:lang w:eastAsia="zh-CN"/>
        </w:rPr>
        <w:t>，</w:t>
      </w:r>
      <w:r>
        <w:rPr>
          <w:rFonts w:hint="eastAsia" w:ascii="宋体" w:hAnsi="宋体"/>
          <w:bCs/>
          <w:color w:val="auto"/>
          <w:lang w:val="en-US" w:eastAsia="zh-CN"/>
        </w:rPr>
        <w:t>可</w:t>
      </w:r>
      <w:r>
        <w:rPr>
          <w:rFonts w:hint="eastAsia" w:ascii="宋体" w:hAnsi="宋体" w:cs="宋体"/>
          <w:bCs/>
          <w:color w:val="auto"/>
          <w:lang w:val="en-US" w:eastAsia="zh-CN"/>
        </w:rPr>
        <w:t>采用电池供电或</w:t>
      </w:r>
      <w:r>
        <w:rPr>
          <w:rFonts w:ascii="宋体" w:hAnsi="宋体"/>
          <w:bCs/>
          <w:color w:val="auto"/>
        </w:rPr>
        <w:t>太阳能、风能与可充电电池结合的供电模式</w:t>
      </w:r>
      <w:r>
        <w:rPr>
          <w:rFonts w:hint="eastAsia" w:ascii="宋体" w:hAnsi="宋体" w:cs="宋体"/>
          <w:bCs/>
          <w:color w:val="auto"/>
          <w:lang w:val="en-US" w:eastAsia="zh-CN"/>
        </w:rPr>
        <w:t>。采用电池供电时，电池续航寿命不应低于3年，且支持电池更换，同时</w:t>
      </w:r>
      <w:r>
        <w:rPr>
          <w:rFonts w:hint="eastAsia" w:ascii="宋体" w:hAnsi="宋体"/>
          <w:bCs/>
          <w:color w:val="auto"/>
          <w:lang w:val="en-US" w:eastAsia="zh-CN"/>
        </w:rPr>
        <w:t>具备电量监测功能，设备处于低电量状态时，应自动上传报警信息。</w:t>
      </w:r>
      <w:r>
        <w:rPr>
          <w:rFonts w:ascii="宋体" w:hAnsi="宋体"/>
          <w:bCs/>
          <w:color w:val="auto"/>
        </w:rPr>
        <w:t>采用太阳能供电</w:t>
      </w:r>
      <w:r>
        <w:rPr>
          <w:rFonts w:hint="eastAsia" w:ascii="宋体" w:hAnsi="宋体"/>
          <w:bCs/>
          <w:color w:val="auto"/>
          <w:lang w:val="en-US" w:eastAsia="zh-CN"/>
        </w:rPr>
        <w:t>时</w:t>
      </w:r>
      <w:r>
        <w:rPr>
          <w:rFonts w:ascii="宋体" w:hAnsi="宋体"/>
          <w:bCs/>
          <w:color w:val="auto"/>
        </w:rPr>
        <w:t>，无日照条件下持续供电不应少于2周</w:t>
      </w:r>
      <w:r>
        <w:rPr>
          <w:rFonts w:hint="eastAsia" w:ascii="宋体" w:hAnsi="宋体"/>
          <w:bCs/>
          <w:color w:val="auto"/>
          <w:lang w:eastAsia="zh-CN"/>
        </w:rPr>
        <w:t>。</w:t>
      </w:r>
    </w:p>
    <w:p w14:paraId="4B5263FA">
      <w:pPr>
        <w:widowControl/>
        <w:jc w:val="left"/>
        <w:rPr>
          <w:rFonts w:ascii="宋体" w:hAnsi="宋体"/>
          <w:bCs/>
          <w:color w:val="auto"/>
        </w:rPr>
      </w:pPr>
      <w:r>
        <w:rPr>
          <w:rFonts w:hint="eastAsia" w:ascii="宋体" w:hAnsi="宋体"/>
          <w:bCs/>
          <w:color w:val="auto"/>
        </w:rPr>
        <w:t>6.1.</w:t>
      </w:r>
      <w:r>
        <w:rPr>
          <w:rFonts w:hint="eastAsia" w:ascii="宋体" w:hAnsi="宋体"/>
          <w:bCs/>
          <w:color w:val="auto"/>
          <w:lang w:val="en-US" w:eastAsia="zh-CN"/>
        </w:rPr>
        <w:t>8</w:t>
      </w:r>
      <w:r>
        <w:rPr>
          <w:rFonts w:hint="eastAsia" w:ascii="宋体" w:hAnsi="宋体"/>
          <w:bCs/>
          <w:color w:val="auto"/>
        </w:rPr>
        <w:t>监测设备</w:t>
      </w:r>
      <w:r>
        <w:rPr>
          <w:rFonts w:hint="eastAsia" w:ascii="宋体" w:hAnsi="宋体"/>
          <w:bCs/>
          <w:color w:val="auto"/>
          <w:lang w:val="en-US" w:eastAsia="zh-CN"/>
        </w:rPr>
        <w:t>外壳</w:t>
      </w:r>
      <w:r>
        <w:rPr>
          <w:rFonts w:hint="eastAsia" w:ascii="宋体" w:hAnsi="宋体"/>
          <w:bCs/>
          <w:color w:val="auto"/>
        </w:rPr>
        <w:t>防护等级应符合GB/T</w:t>
      </w:r>
      <w:r>
        <w:rPr>
          <w:rFonts w:hint="eastAsia" w:ascii="宋体" w:hAnsi="宋体"/>
          <w:bCs/>
          <w:color w:val="auto"/>
          <w:lang w:val="en-US" w:eastAsia="zh-CN"/>
        </w:rPr>
        <w:t xml:space="preserve"> </w:t>
      </w:r>
      <w:r>
        <w:rPr>
          <w:rFonts w:hint="eastAsia" w:ascii="宋体" w:hAnsi="宋体"/>
          <w:bCs/>
          <w:color w:val="auto"/>
        </w:rPr>
        <w:t>4208的相关规定</w:t>
      </w:r>
      <w:r>
        <w:rPr>
          <w:rFonts w:hint="eastAsia" w:ascii="宋体" w:hAnsi="宋体"/>
          <w:bCs/>
          <w:color w:val="auto"/>
          <w:lang w:eastAsia="zh-CN"/>
        </w:rPr>
        <w:t>。</w:t>
      </w:r>
      <w:r>
        <w:rPr>
          <w:rFonts w:ascii="宋体" w:hAnsi="宋体"/>
          <w:bCs/>
          <w:color w:val="auto"/>
          <w:szCs w:val="21"/>
        </w:rPr>
        <w:t>存在浸水</w:t>
      </w:r>
      <w:r>
        <w:rPr>
          <w:rFonts w:hint="eastAsia" w:ascii="宋体" w:hAnsi="宋体"/>
          <w:bCs/>
          <w:color w:val="auto"/>
          <w:szCs w:val="21"/>
          <w:lang w:eastAsia="zh-CN"/>
        </w:rPr>
        <w:t>、</w:t>
      </w:r>
      <w:r>
        <w:rPr>
          <w:rFonts w:ascii="宋体" w:hAnsi="宋体"/>
          <w:bCs/>
          <w:color w:val="auto"/>
          <w:szCs w:val="21"/>
        </w:rPr>
        <w:t>淹没风险的</w:t>
      </w:r>
      <w:r>
        <w:rPr>
          <w:rFonts w:hint="eastAsia" w:ascii="宋体" w:hAnsi="宋体"/>
          <w:bCs/>
          <w:color w:val="auto"/>
          <w:lang w:val="en-US" w:eastAsia="zh-CN"/>
        </w:rPr>
        <w:t>监测设备防护等级不应低于IP68，室外露天安装的监测</w:t>
      </w:r>
      <w:r>
        <w:rPr>
          <w:rFonts w:ascii="宋体" w:hAnsi="宋体"/>
          <w:bCs/>
          <w:color w:val="auto"/>
        </w:rPr>
        <w:t>设备防护等级不应低于IP65。</w:t>
      </w:r>
    </w:p>
    <w:p w14:paraId="643AB75B">
      <w:pPr>
        <w:widowControl/>
        <w:jc w:val="left"/>
        <w:rPr>
          <w:rFonts w:hint="eastAsia" w:ascii="宋体" w:hAnsi="宋体"/>
          <w:bCs/>
          <w:color w:val="auto"/>
          <w:lang w:val="en-US" w:eastAsia="zh-CN"/>
        </w:rPr>
      </w:pPr>
      <w:r>
        <w:rPr>
          <w:rFonts w:hint="eastAsia" w:ascii="宋体" w:hAnsi="宋体"/>
          <w:bCs/>
          <w:color w:val="auto"/>
        </w:rPr>
        <w:t>6.1.</w:t>
      </w:r>
      <w:r>
        <w:rPr>
          <w:rFonts w:hint="eastAsia" w:ascii="宋体" w:hAnsi="宋体"/>
          <w:bCs/>
          <w:color w:val="auto"/>
          <w:lang w:val="en-US" w:eastAsia="zh-CN"/>
        </w:rPr>
        <w:t>9</w:t>
      </w:r>
      <w:r>
        <w:rPr>
          <w:rFonts w:hint="eastAsia" w:ascii="宋体" w:hAnsi="宋体"/>
          <w:bCs/>
          <w:color w:val="auto"/>
        </w:rPr>
        <w:t>监测设备应具备</w:t>
      </w:r>
      <w:r>
        <w:rPr>
          <w:rFonts w:hint="eastAsia" w:ascii="宋体" w:hAnsi="宋体" w:eastAsia="宋体" w:cs="Times New Roman"/>
          <w:bCs/>
          <w:color w:val="auto"/>
          <w:kern w:val="2"/>
          <w:sz w:val="21"/>
          <w:szCs w:val="20"/>
          <w:lang w:val="en-US" w:eastAsia="zh-CN" w:bidi="ar"/>
        </w:rPr>
        <w:t>智能</w:t>
      </w:r>
      <w:r>
        <w:rPr>
          <w:rFonts w:hint="eastAsia" w:ascii="宋体" w:hAnsi="宋体"/>
          <w:bCs/>
          <w:color w:val="auto"/>
        </w:rPr>
        <w:t>报警功能，</w:t>
      </w:r>
      <w:r>
        <w:rPr>
          <w:rFonts w:hint="eastAsia" w:ascii="宋体" w:hAnsi="宋体"/>
          <w:bCs/>
          <w:color w:val="auto"/>
          <w:lang w:val="en-US" w:eastAsia="zh-CN"/>
        </w:rPr>
        <w:t>支持自定义</w:t>
      </w:r>
      <w:r>
        <w:rPr>
          <w:rFonts w:hint="eastAsia" w:ascii="宋体" w:hAnsi="宋体"/>
          <w:bCs/>
          <w:color w:val="auto"/>
        </w:rPr>
        <w:t>报警阈值，当</w:t>
      </w:r>
      <w:r>
        <w:rPr>
          <w:rFonts w:hint="eastAsia" w:ascii="宋体" w:hAnsi="宋体"/>
          <w:bCs/>
          <w:color w:val="auto"/>
          <w:lang w:val="en-US" w:eastAsia="zh-CN"/>
        </w:rPr>
        <w:t>监测参数</w:t>
      </w:r>
      <w:r>
        <w:rPr>
          <w:rFonts w:hint="eastAsia" w:ascii="宋体" w:hAnsi="宋体"/>
          <w:bCs/>
          <w:color w:val="auto"/>
        </w:rPr>
        <w:t>超</w:t>
      </w:r>
      <w:r>
        <w:rPr>
          <w:rFonts w:hint="eastAsia" w:ascii="宋体" w:hAnsi="宋体"/>
          <w:bCs/>
          <w:color w:val="auto"/>
          <w:lang w:val="en-US" w:eastAsia="zh-CN"/>
        </w:rPr>
        <w:t>出</w:t>
      </w:r>
      <w:r>
        <w:rPr>
          <w:rFonts w:hint="eastAsia" w:ascii="宋体" w:hAnsi="宋体"/>
          <w:bCs/>
          <w:color w:val="auto"/>
        </w:rPr>
        <w:t>阈值时</w:t>
      </w:r>
      <w:r>
        <w:rPr>
          <w:rFonts w:hint="eastAsia" w:ascii="宋体" w:hAnsi="宋体"/>
          <w:bCs/>
          <w:color w:val="auto"/>
          <w:lang w:eastAsia="zh-CN"/>
        </w:rPr>
        <w:t>，</w:t>
      </w:r>
      <w:r>
        <w:rPr>
          <w:rFonts w:hint="eastAsia" w:ascii="宋体" w:hAnsi="宋体"/>
          <w:bCs/>
          <w:color w:val="auto"/>
          <w:lang w:val="en-US" w:eastAsia="zh-CN"/>
        </w:rPr>
        <w:t>可</w:t>
      </w:r>
      <w:r>
        <w:rPr>
          <w:rFonts w:hint="eastAsia" w:ascii="宋体" w:hAnsi="宋体"/>
          <w:bCs/>
          <w:color w:val="auto"/>
        </w:rPr>
        <w:t>自动</w:t>
      </w:r>
      <w:r>
        <w:rPr>
          <w:rFonts w:hint="eastAsia" w:ascii="宋体" w:hAnsi="宋体"/>
          <w:bCs/>
          <w:color w:val="auto"/>
          <w:lang w:val="en-US" w:eastAsia="zh-CN"/>
        </w:rPr>
        <w:t>生成</w:t>
      </w:r>
      <w:r>
        <w:rPr>
          <w:rFonts w:hint="eastAsia" w:ascii="宋体" w:hAnsi="宋体"/>
          <w:bCs/>
          <w:color w:val="auto"/>
        </w:rPr>
        <w:t>报警信息</w:t>
      </w:r>
      <w:r>
        <w:rPr>
          <w:rFonts w:hint="eastAsia" w:ascii="宋体" w:hAnsi="宋体"/>
          <w:bCs/>
          <w:color w:val="auto"/>
          <w:lang w:val="en-US" w:eastAsia="zh-CN"/>
        </w:rPr>
        <w:t>并实时上</w:t>
      </w:r>
      <w:r>
        <w:rPr>
          <w:rFonts w:hint="eastAsia" w:ascii="宋体" w:hAnsi="宋体"/>
          <w:bCs/>
          <w:color w:val="auto"/>
        </w:rPr>
        <w:t>传</w:t>
      </w:r>
      <w:r>
        <w:rPr>
          <w:rFonts w:hint="eastAsia" w:ascii="宋体" w:hAnsi="宋体"/>
          <w:bCs/>
          <w:color w:val="auto"/>
          <w:lang w:val="en-US" w:eastAsia="zh-CN"/>
        </w:rPr>
        <w:t>，同步根据报警风险等级提高数据采集与上传频次。</w:t>
      </w:r>
    </w:p>
    <w:p w14:paraId="161A1799">
      <w:pPr>
        <w:widowControl/>
        <w:jc w:val="left"/>
        <w:rPr>
          <w:rFonts w:ascii="宋体" w:hAnsi="宋体"/>
          <w:bCs/>
          <w:color w:val="auto"/>
        </w:rPr>
      </w:pPr>
      <w:r>
        <w:rPr>
          <w:rFonts w:hint="eastAsia" w:ascii="宋体" w:hAnsi="宋体"/>
          <w:bCs/>
          <w:color w:val="auto"/>
        </w:rPr>
        <w:t>6.1.</w:t>
      </w:r>
      <w:r>
        <w:rPr>
          <w:rFonts w:hint="eastAsia" w:ascii="宋体" w:hAnsi="宋体"/>
          <w:bCs/>
          <w:color w:val="auto"/>
          <w:lang w:val="en-US" w:eastAsia="zh-CN"/>
        </w:rPr>
        <w:t>10</w:t>
      </w:r>
      <w:r>
        <w:rPr>
          <w:rFonts w:hint="eastAsia" w:ascii="宋体" w:hAnsi="宋体"/>
          <w:bCs/>
          <w:color w:val="auto"/>
        </w:rPr>
        <w:t>室外</w:t>
      </w:r>
      <w:r>
        <w:rPr>
          <w:rFonts w:hint="eastAsia" w:ascii="宋体" w:hAnsi="宋体"/>
          <w:bCs/>
          <w:color w:val="auto"/>
          <w:lang w:val="en-US" w:eastAsia="zh-CN"/>
        </w:rPr>
        <w:t>布设的监测</w:t>
      </w:r>
      <w:r>
        <w:rPr>
          <w:rFonts w:hint="eastAsia" w:ascii="宋体" w:hAnsi="宋体"/>
          <w:bCs/>
          <w:color w:val="auto"/>
        </w:rPr>
        <w:t>设备</w:t>
      </w:r>
      <w:r>
        <w:rPr>
          <w:rFonts w:hint="eastAsia" w:ascii="宋体" w:hAnsi="宋体" w:eastAsia="宋体" w:cs="Times New Roman"/>
          <w:bCs/>
          <w:color w:val="auto"/>
          <w:kern w:val="2"/>
          <w:sz w:val="21"/>
          <w:szCs w:val="20"/>
          <w:lang w:val="en-US" w:eastAsia="zh-CN" w:bidi="ar"/>
        </w:rPr>
        <w:t>应设置可靠的防雷、防浪涌防护装置，有效</w:t>
      </w:r>
      <w:r>
        <w:rPr>
          <w:rFonts w:hint="eastAsia" w:ascii="宋体" w:hAnsi="宋体" w:cs="Times New Roman"/>
          <w:bCs/>
          <w:color w:val="auto"/>
          <w:kern w:val="2"/>
          <w:sz w:val="21"/>
          <w:szCs w:val="20"/>
          <w:lang w:val="en-US" w:eastAsia="zh-CN" w:bidi="ar"/>
        </w:rPr>
        <w:t>抵御</w:t>
      </w:r>
      <w:r>
        <w:rPr>
          <w:rFonts w:hint="eastAsia" w:ascii="宋体" w:hAnsi="宋体" w:eastAsia="宋体" w:cs="Times New Roman"/>
          <w:bCs/>
          <w:color w:val="auto"/>
          <w:kern w:val="2"/>
          <w:sz w:val="21"/>
          <w:szCs w:val="20"/>
          <w:lang w:val="en-US" w:eastAsia="zh-CN" w:bidi="ar"/>
        </w:rPr>
        <w:t>雷击、电浪涌等脉冲干扰造成设备损坏、数据异常等问题</w:t>
      </w:r>
      <w:r>
        <w:rPr>
          <w:rFonts w:hint="eastAsia" w:ascii="宋体" w:hAnsi="宋体"/>
          <w:bCs/>
          <w:color w:val="auto"/>
        </w:rPr>
        <w:t>。</w:t>
      </w:r>
    </w:p>
    <w:p w14:paraId="3509C051">
      <w:pPr>
        <w:widowControl/>
        <w:jc w:val="left"/>
        <w:rPr>
          <w:rFonts w:ascii="宋体" w:hAnsi="宋体"/>
          <w:bCs/>
          <w:color w:val="auto"/>
        </w:rPr>
      </w:pPr>
      <w:r>
        <w:rPr>
          <w:rFonts w:hint="eastAsia" w:ascii="宋体" w:hAnsi="宋体"/>
          <w:bCs/>
          <w:color w:val="auto"/>
        </w:rPr>
        <w:t>6.1.1</w:t>
      </w:r>
      <w:r>
        <w:rPr>
          <w:rFonts w:hint="eastAsia" w:ascii="宋体" w:hAnsi="宋体"/>
          <w:bCs/>
          <w:color w:val="auto"/>
          <w:lang w:val="en-US" w:eastAsia="zh-CN"/>
        </w:rPr>
        <w:t>1布设于爆炸危险区或</w:t>
      </w:r>
      <w:r>
        <w:rPr>
          <w:rFonts w:hint="eastAsia" w:ascii="宋体" w:hAnsi="宋体"/>
          <w:bCs/>
          <w:color w:val="auto"/>
        </w:rPr>
        <w:t>存在爆炸风险的密闭空间内安装的监测设备应</w:t>
      </w:r>
      <w:r>
        <w:rPr>
          <w:rFonts w:hint="eastAsia" w:ascii="宋体" w:hAnsi="宋体" w:cs="Times New Roman"/>
          <w:bCs/>
          <w:color w:val="auto"/>
          <w:kern w:val="2"/>
          <w:sz w:val="21"/>
          <w:szCs w:val="20"/>
          <w:lang w:val="en-US" w:eastAsia="zh-CN" w:bidi="ar"/>
        </w:rPr>
        <w:t>满足防爆要求</w:t>
      </w:r>
      <w:r>
        <w:rPr>
          <w:rFonts w:hint="eastAsia" w:ascii="宋体" w:hAnsi="宋体" w:eastAsia="宋体" w:cs="Times New Roman"/>
          <w:bCs/>
          <w:color w:val="auto"/>
          <w:kern w:val="2"/>
          <w:sz w:val="21"/>
          <w:szCs w:val="20"/>
          <w:lang w:val="en-US" w:eastAsia="zh-CN" w:bidi="ar"/>
        </w:rPr>
        <w:t>，防爆性能应符合GB/T 3836.4的相关规定</w:t>
      </w:r>
      <w:r>
        <w:rPr>
          <w:rFonts w:hint="eastAsia" w:ascii="宋体" w:hAnsi="宋体"/>
          <w:bCs/>
          <w:color w:val="auto"/>
        </w:rPr>
        <w:t>。</w:t>
      </w:r>
    </w:p>
    <w:p w14:paraId="480CDB3C">
      <w:pPr>
        <w:widowControl/>
        <w:jc w:val="left"/>
        <w:rPr>
          <w:rFonts w:hint="eastAsia" w:ascii="宋体" w:hAnsi="宋体"/>
          <w:bCs/>
          <w:color w:val="auto"/>
          <w:sz w:val="21"/>
          <w:szCs w:val="20"/>
        </w:rPr>
      </w:pPr>
      <w:r>
        <w:rPr>
          <w:rFonts w:hint="eastAsia" w:ascii="宋体" w:hAnsi="宋体"/>
          <w:bCs/>
          <w:color w:val="auto"/>
        </w:rPr>
        <w:t>6.1.1</w:t>
      </w:r>
      <w:r>
        <w:rPr>
          <w:rFonts w:hint="eastAsia" w:ascii="宋体" w:hAnsi="宋体"/>
          <w:bCs/>
          <w:color w:val="auto"/>
          <w:sz w:val="21"/>
          <w:szCs w:val="20"/>
          <w:lang w:val="en-US" w:eastAsia="zh-CN"/>
        </w:rPr>
        <w:t>2</w:t>
      </w:r>
      <w:r>
        <w:rPr>
          <w:rFonts w:hint="eastAsia" w:ascii="宋体" w:hAnsi="宋体" w:eastAsia="宋体" w:cs="Times New Roman"/>
          <w:bCs/>
          <w:color w:val="auto"/>
          <w:kern w:val="2"/>
          <w:sz w:val="21"/>
          <w:szCs w:val="20"/>
          <w:lang w:val="en-US" w:eastAsia="zh-CN" w:bidi="ar"/>
        </w:rPr>
        <w:t>布置于腐蚀性气体、腐蚀性液体等腐蚀环境的监测设备，应采取防腐措施，满足</w:t>
      </w:r>
      <w:r>
        <w:rPr>
          <w:rFonts w:hint="eastAsia" w:ascii="宋体" w:hAnsi="宋体" w:cs="Times New Roman"/>
          <w:bCs/>
          <w:color w:val="auto"/>
          <w:kern w:val="2"/>
          <w:sz w:val="21"/>
          <w:szCs w:val="20"/>
          <w:lang w:val="en-US" w:eastAsia="zh-CN" w:bidi="ar"/>
        </w:rPr>
        <w:t>腐蚀</w:t>
      </w:r>
      <w:r>
        <w:rPr>
          <w:rFonts w:hint="eastAsia" w:ascii="宋体" w:hAnsi="宋体" w:eastAsia="宋体" w:cs="Times New Roman"/>
          <w:bCs/>
          <w:color w:val="auto"/>
          <w:kern w:val="2"/>
          <w:sz w:val="21"/>
          <w:szCs w:val="20"/>
          <w:lang w:val="en-US" w:eastAsia="zh-CN" w:bidi="ar"/>
        </w:rPr>
        <w:t>环境下长期稳定运行的要求</w:t>
      </w:r>
      <w:r>
        <w:rPr>
          <w:rFonts w:hint="eastAsia" w:ascii="宋体" w:hAnsi="宋体"/>
          <w:bCs/>
          <w:color w:val="auto"/>
          <w:sz w:val="21"/>
          <w:szCs w:val="20"/>
        </w:rPr>
        <w:t>。</w:t>
      </w:r>
    </w:p>
    <w:p w14:paraId="48584089">
      <w:pPr>
        <w:widowControl/>
        <w:jc w:val="left"/>
        <w:rPr>
          <w:rFonts w:hint="eastAsia" w:ascii="宋体" w:hAnsi="宋体"/>
          <w:bCs/>
          <w:color w:val="auto"/>
          <w:sz w:val="21"/>
          <w:szCs w:val="20"/>
        </w:rPr>
      </w:pPr>
      <w:r>
        <w:rPr>
          <w:rFonts w:hint="eastAsia" w:ascii="宋体" w:hAnsi="宋体"/>
          <w:bCs/>
          <w:color w:val="auto"/>
          <w:lang w:val="en-US" w:eastAsia="zh-CN"/>
        </w:rPr>
        <w:t>6.1.13</w:t>
      </w:r>
      <w:r>
        <w:rPr>
          <w:rFonts w:ascii="宋体" w:hAnsi="宋体"/>
          <w:bCs/>
          <w:color w:val="auto"/>
          <w:lang w:val="en-US" w:eastAsia="zh-CN"/>
        </w:rPr>
        <w:t>对现状合规可用的</w:t>
      </w:r>
      <w:r>
        <w:rPr>
          <w:rFonts w:hint="eastAsia" w:ascii="宋体" w:hAnsi="宋体"/>
          <w:bCs/>
          <w:color w:val="auto"/>
          <w:lang w:val="en-US" w:eastAsia="zh-CN"/>
        </w:rPr>
        <w:t>监测设备</w:t>
      </w:r>
      <w:r>
        <w:rPr>
          <w:rFonts w:ascii="宋体" w:hAnsi="宋体"/>
          <w:bCs/>
          <w:color w:val="auto"/>
          <w:lang w:val="en-US" w:eastAsia="zh-CN"/>
        </w:rPr>
        <w:t>应优先利旧复用，</w:t>
      </w:r>
      <w:r>
        <w:rPr>
          <w:rFonts w:hint="eastAsia" w:ascii="宋体" w:hAnsi="宋体"/>
          <w:bCs/>
          <w:color w:val="auto"/>
          <w:lang w:val="en-US" w:eastAsia="zh-CN"/>
        </w:rPr>
        <w:t>不应</w:t>
      </w:r>
      <w:r>
        <w:rPr>
          <w:rFonts w:ascii="宋体" w:hAnsi="宋体"/>
          <w:bCs/>
          <w:color w:val="auto"/>
          <w:lang w:val="en-US" w:eastAsia="zh-CN"/>
        </w:rPr>
        <w:t>重复建设。</w:t>
      </w:r>
    </w:p>
    <w:p w14:paraId="697A1EAB">
      <w:pPr>
        <w:pStyle w:val="108"/>
        <w:numPr>
          <w:ilvl w:val="1"/>
          <w:numId w:val="1"/>
        </w:numPr>
        <w:spacing w:beforeLines="50" w:afterLines="50"/>
      </w:pPr>
      <w:bookmarkStart w:id="69" w:name="_Toc15331"/>
      <w:r>
        <w:rPr>
          <w:rFonts w:hint="eastAsia"/>
        </w:rPr>
        <w:t>燃气安全监测感知网</w:t>
      </w:r>
      <w:bookmarkEnd w:id="69"/>
    </w:p>
    <w:p w14:paraId="3C99E5F5">
      <w:pPr>
        <w:pStyle w:val="98"/>
        <w:spacing w:beforeLines="0" w:afterLines="0"/>
        <w:rPr>
          <w:rFonts w:hint="eastAsia" w:ascii="宋体" w:hAnsi="宋体" w:eastAsia="宋体"/>
          <w:bCs/>
          <w:color w:val="auto"/>
          <w:lang w:val="en-US" w:eastAsia="zh-CN"/>
        </w:rPr>
      </w:pPr>
      <w:bookmarkStart w:id="70" w:name="OLE_LINK27"/>
      <w:r>
        <w:rPr>
          <w:rFonts w:hint="eastAsia" w:ascii="宋体" w:hAnsi="宋体"/>
          <w:bCs/>
          <w:color w:val="auto"/>
        </w:rPr>
        <w:t>6.2.</w:t>
      </w:r>
      <w:r>
        <w:rPr>
          <w:rFonts w:hint="eastAsia" w:ascii="宋体" w:hAnsi="宋体"/>
          <w:bCs/>
          <w:color w:val="auto"/>
          <w:lang w:val="en-US" w:eastAsia="zh-CN"/>
        </w:rPr>
        <w:t>1燃气监测对象及其主要</w:t>
      </w:r>
      <w:r>
        <w:rPr>
          <w:rFonts w:hint="eastAsia" w:ascii="宋体" w:hAnsi="宋体"/>
          <w:bCs/>
          <w:color w:val="auto"/>
        </w:rPr>
        <w:t>监测指标</w:t>
      </w:r>
      <w:r>
        <w:rPr>
          <w:rFonts w:hint="eastAsia" w:ascii="宋体" w:hAnsi="宋体"/>
          <w:bCs/>
          <w:color w:val="auto"/>
          <w:lang w:val="en-US" w:eastAsia="zh-CN"/>
        </w:rPr>
        <w:t>应符合以下要求</w:t>
      </w:r>
      <w:r>
        <w:rPr>
          <w:rFonts w:hint="eastAsia" w:ascii="宋体" w:hAnsi="宋体"/>
          <w:bCs/>
          <w:color w:val="auto"/>
          <w:lang w:eastAsia="zh-CN"/>
        </w:rPr>
        <w:t>：</w:t>
      </w:r>
    </w:p>
    <w:p w14:paraId="5E905DA7">
      <w:pPr>
        <w:pStyle w:val="98"/>
        <w:numPr>
          <w:ilvl w:val="0"/>
          <w:numId w:val="5"/>
        </w:numPr>
        <w:spacing w:beforeLines="0" w:afterLines="0"/>
        <w:ind w:firstLine="420" w:firstLineChars="200"/>
        <w:rPr>
          <w:rFonts w:hint="eastAsia" w:ascii="宋体" w:hAnsi="宋体" w:eastAsia="宋体" w:cs="宋体"/>
          <w:bCs/>
          <w:color w:val="auto"/>
          <w:kern w:val="2"/>
          <w:sz w:val="21"/>
          <w:szCs w:val="20"/>
          <w:lang w:val="en-US" w:eastAsia="zh-CN" w:bidi="ar-SA"/>
        </w:rPr>
      </w:pPr>
      <w:r>
        <w:rPr>
          <w:rFonts w:hint="eastAsia" w:ascii="宋体" w:hAnsi="宋体" w:eastAsia="宋体" w:cs="宋体"/>
          <w:bCs/>
          <w:color w:val="auto"/>
          <w:kern w:val="2"/>
          <w:sz w:val="21"/>
          <w:szCs w:val="20"/>
          <w:lang w:val="en-US" w:eastAsia="zh-CN" w:bidi="ar-SA"/>
        </w:rPr>
        <w:t>燃气厂站监测指标主要包括可燃气体浓度、压力、温度、流量、液位、视频监控；</w:t>
      </w:r>
    </w:p>
    <w:p w14:paraId="611C53CE">
      <w:pPr>
        <w:pStyle w:val="98"/>
        <w:numPr>
          <w:ilvl w:val="0"/>
          <w:numId w:val="5"/>
        </w:numPr>
        <w:spacing w:beforeLines="0" w:afterLines="0"/>
        <w:ind w:firstLine="420" w:firstLineChars="200"/>
        <w:rPr>
          <w:rFonts w:hint="eastAsia" w:ascii="宋体" w:hAnsi="宋体" w:eastAsia="宋体" w:cs="宋体"/>
          <w:bCs/>
          <w:color w:val="auto"/>
          <w:kern w:val="2"/>
          <w:sz w:val="21"/>
          <w:szCs w:val="20"/>
          <w:lang w:val="en-US" w:eastAsia="zh-CN" w:bidi="ar-SA"/>
        </w:rPr>
      </w:pPr>
      <w:r>
        <w:rPr>
          <w:rFonts w:hint="eastAsia" w:ascii="宋体" w:hAnsi="宋体" w:eastAsia="宋体" w:cs="宋体"/>
          <w:bCs/>
          <w:color w:val="auto"/>
          <w:kern w:val="2"/>
          <w:sz w:val="21"/>
          <w:szCs w:val="20"/>
          <w:lang w:val="en-US" w:eastAsia="zh-CN" w:bidi="ar-SA"/>
        </w:rPr>
        <w:t>燃气管道监测指标主要包括可燃气体浓度、压力、流量、位移、振动、管道电位、视频监控；</w:t>
      </w:r>
    </w:p>
    <w:p w14:paraId="7F85E8DD">
      <w:pPr>
        <w:pStyle w:val="98"/>
        <w:numPr>
          <w:ilvl w:val="0"/>
          <w:numId w:val="5"/>
        </w:numPr>
        <w:spacing w:beforeLines="0" w:afterLines="0"/>
        <w:ind w:firstLine="420" w:firstLineChars="200"/>
        <w:rPr>
          <w:rFonts w:hint="eastAsia" w:ascii="宋体" w:hAnsi="宋体" w:eastAsia="宋体" w:cs="宋体"/>
          <w:bCs/>
          <w:color w:val="auto"/>
          <w:kern w:val="2"/>
          <w:sz w:val="21"/>
          <w:szCs w:val="20"/>
          <w:lang w:val="en-US" w:eastAsia="zh-CN" w:bidi="ar-SA"/>
        </w:rPr>
      </w:pPr>
      <w:r>
        <w:rPr>
          <w:rFonts w:hint="eastAsia" w:ascii="宋体" w:hAnsi="宋体" w:eastAsia="宋体" w:cs="宋体"/>
          <w:bCs/>
          <w:color w:val="auto"/>
          <w:kern w:val="2"/>
          <w:sz w:val="21"/>
          <w:szCs w:val="20"/>
          <w:lang w:val="en-US" w:eastAsia="zh-CN" w:bidi="ar-SA"/>
        </w:rPr>
        <w:t>燃气阀井（室）监测指标主要包括可燃气体浓度、压力、视频监控；</w:t>
      </w:r>
    </w:p>
    <w:p w14:paraId="69631ACB">
      <w:pPr>
        <w:pStyle w:val="98"/>
        <w:numPr>
          <w:ilvl w:val="0"/>
          <w:numId w:val="5"/>
        </w:numPr>
        <w:spacing w:beforeLines="0" w:afterLines="0"/>
        <w:ind w:firstLine="420" w:firstLineChars="200"/>
        <w:rPr>
          <w:rFonts w:hint="eastAsia" w:ascii="宋体" w:hAnsi="宋体" w:eastAsia="宋体" w:cs="宋体"/>
          <w:bCs/>
          <w:color w:val="auto"/>
          <w:kern w:val="2"/>
          <w:sz w:val="21"/>
          <w:szCs w:val="20"/>
          <w:lang w:val="en-US" w:eastAsia="zh-CN" w:bidi="ar-SA"/>
        </w:rPr>
      </w:pPr>
      <w:r>
        <w:rPr>
          <w:rFonts w:hint="eastAsia" w:ascii="宋体" w:hAnsi="宋体" w:eastAsia="宋体" w:cs="宋体"/>
          <w:bCs/>
          <w:color w:val="auto"/>
          <w:kern w:val="2"/>
          <w:sz w:val="21"/>
          <w:szCs w:val="20"/>
          <w:lang w:val="en-US" w:eastAsia="zh-CN" w:bidi="ar-SA"/>
        </w:rPr>
        <w:t>调压设施监测指标主要包括压力、可燃气体浓度；</w:t>
      </w:r>
    </w:p>
    <w:p w14:paraId="65F585D3">
      <w:pPr>
        <w:pStyle w:val="98"/>
        <w:numPr>
          <w:ilvl w:val="0"/>
          <w:numId w:val="5"/>
        </w:numPr>
        <w:spacing w:beforeLines="0" w:afterLines="0"/>
        <w:ind w:firstLine="420" w:firstLineChars="200"/>
        <w:rPr>
          <w:rFonts w:hint="eastAsia" w:ascii="宋体" w:hAnsi="宋体" w:eastAsia="宋体" w:cs="宋体"/>
          <w:bCs/>
          <w:color w:val="auto"/>
          <w:kern w:val="2"/>
          <w:sz w:val="21"/>
          <w:szCs w:val="20"/>
          <w:lang w:val="en-US" w:eastAsia="zh-CN" w:bidi="ar-SA"/>
        </w:rPr>
      </w:pPr>
      <w:r>
        <w:rPr>
          <w:rFonts w:hint="eastAsia" w:ascii="宋体" w:hAnsi="宋体" w:eastAsia="宋体" w:cs="宋体"/>
          <w:bCs/>
          <w:color w:val="auto"/>
          <w:kern w:val="2"/>
          <w:sz w:val="21"/>
          <w:szCs w:val="20"/>
          <w:lang w:val="en-US" w:eastAsia="zh-CN" w:bidi="ar-SA"/>
        </w:rPr>
        <w:t>用气场所监测指标主要为可燃气体浓度；</w:t>
      </w:r>
    </w:p>
    <w:p w14:paraId="1EE5EE44">
      <w:pPr>
        <w:pStyle w:val="98"/>
        <w:numPr>
          <w:ilvl w:val="0"/>
          <w:numId w:val="5"/>
        </w:numPr>
        <w:spacing w:beforeLines="0" w:afterLines="0"/>
        <w:ind w:firstLine="420" w:firstLineChars="200"/>
        <w:rPr>
          <w:rFonts w:hint="eastAsia" w:ascii="宋体" w:hAnsi="宋体" w:eastAsia="宋体" w:cs="宋体"/>
          <w:bCs/>
          <w:color w:val="auto"/>
          <w:kern w:val="2"/>
          <w:sz w:val="21"/>
          <w:szCs w:val="20"/>
          <w:lang w:val="en-US" w:eastAsia="zh-CN" w:bidi="ar-SA"/>
        </w:rPr>
      </w:pPr>
      <w:r>
        <w:rPr>
          <w:rFonts w:hint="eastAsia" w:ascii="宋体" w:hAnsi="宋体" w:eastAsia="宋体" w:cs="宋体"/>
          <w:bCs/>
          <w:color w:val="auto"/>
          <w:kern w:val="2"/>
          <w:sz w:val="21"/>
          <w:szCs w:val="20"/>
          <w:lang w:val="en-US" w:eastAsia="zh-CN" w:bidi="ar-SA"/>
        </w:rPr>
        <w:t>燃气管道相邻空间监测指标主要为可燃气体浓度。</w:t>
      </w:r>
    </w:p>
    <w:p w14:paraId="7549AF9A">
      <w:pPr>
        <w:pStyle w:val="98"/>
        <w:spacing w:beforeLines="0" w:afterLines="0"/>
        <w:rPr>
          <w:rFonts w:hint="eastAsia" w:ascii="宋体" w:hAnsi="宋体" w:eastAsia="宋体"/>
          <w:bCs/>
          <w:color w:val="auto"/>
          <w:lang w:eastAsia="zh-CN"/>
        </w:rPr>
      </w:pPr>
      <w:r>
        <w:rPr>
          <w:rFonts w:hint="eastAsia" w:ascii="宋体" w:hAnsi="宋体"/>
          <w:bCs/>
          <w:color w:val="auto"/>
        </w:rPr>
        <w:t>6.2.</w:t>
      </w:r>
      <w:r>
        <w:rPr>
          <w:rFonts w:hint="eastAsia" w:ascii="宋体" w:hAnsi="宋体"/>
          <w:bCs/>
          <w:color w:val="auto"/>
          <w:lang w:val="en-US" w:eastAsia="zh-CN"/>
        </w:rPr>
        <w:t>2燃气</w:t>
      </w:r>
      <w:r>
        <w:rPr>
          <w:rFonts w:hint="eastAsia" w:ascii="宋体" w:hAnsi="宋体"/>
          <w:bCs/>
          <w:color w:val="auto"/>
        </w:rPr>
        <w:t>监测</w:t>
      </w:r>
      <w:r>
        <w:rPr>
          <w:rFonts w:hint="eastAsia" w:ascii="宋体" w:hAnsi="宋体"/>
          <w:bCs/>
          <w:color w:val="auto"/>
          <w:lang w:val="en-US" w:eastAsia="zh-CN"/>
        </w:rPr>
        <w:t>设备</w:t>
      </w:r>
      <w:r>
        <w:rPr>
          <w:rFonts w:hint="eastAsia" w:ascii="宋体" w:hAnsi="宋体"/>
          <w:bCs/>
          <w:color w:val="auto"/>
        </w:rPr>
        <w:t>布点</w:t>
      </w:r>
      <w:r>
        <w:rPr>
          <w:rFonts w:hint="eastAsia" w:ascii="宋体" w:hAnsi="宋体"/>
          <w:bCs/>
          <w:color w:val="auto"/>
          <w:lang w:val="en-US" w:eastAsia="zh-CN"/>
        </w:rPr>
        <w:t>要求</w:t>
      </w:r>
    </w:p>
    <w:p w14:paraId="4447CC43">
      <w:pPr>
        <w:pStyle w:val="98"/>
        <w:spacing w:beforeLines="0" w:afterLines="0"/>
        <w:ind w:firstLine="0" w:firstLineChars="0"/>
        <w:rPr>
          <w:rFonts w:hint="eastAsia" w:ascii="宋体" w:hAnsi="宋体"/>
          <w:bCs/>
          <w:color w:val="auto"/>
        </w:rPr>
      </w:pPr>
      <w:r>
        <w:rPr>
          <w:rFonts w:hint="eastAsia" w:ascii="宋体" w:hAnsi="宋体"/>
          <w:bCs/>
          <w:color w:val="auto"/>
          <w:lang w:val="en-US" w:eastAsia="zh-CN"/>
        </w:rPr>
        <w:t>6.2.2.1</w:t>
      </w:r>
      <w:r>
        <w:rPr>
          <w:rFonts w:hint="eastAsia" w:ascii="宋体" w:hAnsi="宋体"/>
          <w:bCs/>
          <w:color w:val="auto"/>
        </w:rPr>
        <w:t>燃气厂站</w:t>
      </w:r>
      <w:r>
        <w:rPr>
          <w:rFonts w:hint="eastAsia" w:ascii="宋体" w:hAnsi="宋体" w:cs="宋体"/>
          <w:bCs/>
          <w:color w:val="auto"/>
          <w:kern w:val="2"/>
          <w:sz w:val="21"/>
          <w:szCs w:val="20"/>
          <w:lang w:val="en-US" w:eastAsia="zh-CN" w:bidi="ar-SA"/>
        </w:rPr>
        <w:t>监测设备布点应</w:t>
      </w:r>
      <w:r>
        <w:rPr>
          <w:rFonts w:hint="eastAsia" w:ascii="宋体" w:hAnsi="宋体"/>
          <w:bCs/>
          <w:color w:val="auto"/>
          <w:lang w:val="en-US" w:eastAsia="zh-CN"/>
        </w:rPr>
        <w:t>符合</w:t>
      </w:r>
      <w:r>
        <w:rPr>
          <w:rFonts w:hint="eastAsia" w:ascii="宋体" w:hAnsi="宋体"/>
          <w:bCs/>
          <w:color w:val="auto"/>
        </w:rPr>
        <w:t>GB</w:t>
      </w:r>
      <w:r>
        <w:rPr>
          <w:rFonts w:hint="eastAsia" w:ascii="宋体" w:hAnsi="宋体"/>
          <w:bCs/>
          <w:color w:val="auto"/>
          <w:lang w:val="en-US" w:eastAsia="zh-CN"/>
        </w:rPr>
        <w:t xml:space="preserve"> </w:t>
      </w:r>
      <w:r>
        <w:rPr>
          <w:rFonts w:hint="eastAsia" w:ascii="宋体" w:hAnsi="宋体"/>
          <w:bCs/>
          <w:color w:val="auto"/>
        </w:rPr>
        <w:t>55009、GB</w:t>
      </w:r>
      <w:r>
        <w:rPr>
          <w:rFonts w:hint="eastAsia" w:ascii="宋体" w:hAnsi="宋体"/>
          <w:bCs/>
          <w:color w:val="auto"/>
          <w:lang w:val="en-US" w:eastAsia="zh-CN"/>
        </w:rPr>
        <w:t xml:space="preserve"> </w:t>
      </w:r>
      <w:r>
        <w:rPr>
          <w:rFonts w:hint="eastAsia" w:ascii="宋体" w:hAnsi="宋体"/>
          <w:bCs/>
          <w:color w:val="auto"/>
        </w:rPr>
        <w:t>50028</w:t>
      </w:r>
      <w:r>
        <w:rPr>
          <w:rFonts w:hint="eastAsia" w:ascii="宋体" w:hAnsi="宋体"/>
          <w:bCs/>
          <w:color w:val="auto"/>
          <w:lang w:eastAsia="zh-CN"/>
        </w:rPr>
        <w:t>、</w:t>
      </w:r>
      <w:r>
        <w:rPr>
          <w:rFonts w:hint="eastAsia" w:ascii="宋体" w:hAnsi="宋体"/>
          <w:bCs/>
          <w:color w:val="auto"/>
          <w:lang w:val="en-US" w:eastAsia="zh-CN"/>
        </w:rPr>
        <w:t>CJJ/T 146</w:t>
      </w:r>
      <w:r>
        <w:rPr>
          <w:rFonts w:hint="eastAsia" w:ascii="宋体" w:hAnsi="宋体"/>
          <w:bCs/>
          <w:color w:val="auto"/>
        </w:rPr>
        <w:t>等</w:t>
      </w:r>
      <w:r>
        <w:rPr>
          <w:rFonts w:hint="eastAsia" w:ascii="宋体" w:hAnsi="宋体"/>
          <w:bCs/>
          <w:color w:val="auto"/>
          <w:lang w:eastAsia="zh-CN"/>
        </w:rPr>
        <w:t>标准要求</w:t>
      </w:r>
      <w:r>
        <w:rPr>
          <w:rFonts w:ascii="宋体" w:hAnsi="宋体"/>
          <w:bCs/>
          <w:color w:val="auto"/>
          <w:szCs w:val="21"/>
        </w:rPr>
        <w:t>，并结合</w:t>
      </w:r>
      <w:r>
        <w:rPr>
          <w:rFonts w:hint="eastAsia" w:ascii="宋体" w:hAnsi="宋体"/>
          <w:bCs/>
          <w:color w:val="auto"/>
          <w:szCs w:val="21"/>
          <w:lang w:val="en-US" w:eastAsia="zh-CN"/>
        </w:rPr>
        <w:t>厂站功能</w:t>
      </w:r>
      <w:r>
        <w:rPr>
          <w:rFonts w:ascii="宋体" w:hAnsi="宋体"/>
          <w:bCs/>
          <w:color w:val="auto"/>
          <w:szCs w:val="21"/>
        </w:rPr>
        <w:t>分区、</w:t>
      </w:r>
      <w:r>
        <w:rPr>
          <w:rFonts w:hint="eastAsia" w:ascii="宋体" w:hAnsi="宋体"/>
          <w:bCs/>
          <w:color w:val="auto"/>
          <w:szCs w:val="21"/>
          <w:lang w:val="en-US" w:eastAsia="zh-CN"/>
        </w:rPr>
        <w:t>爆炸危险区划分、工艺介质特点、系统控制需求、设备安全管理需求</w:t>
      </w:r>
      <w:r>
        <w:rPr>
          <w:rFonts w:ascii="宋体" w:hAnsi="宋体"/>
          <w:bCs/>
          <w:color w:val="auto"/>
          <w:szCs w:val="21"/>
        </w:rPr>
        <w:t>、风险等级及运行管理需求布设监测点位</w:t>
      </w:r>
      <w:r>
        <w:rPr>
          <w:rFonts w:hint="eastAsia" w:ascii="宋体" w:hAnsi="宋体" w:cs="宋体"/>
          <w:bCs/>
          <w:color w:val="auto"/>
          <w:kern w:val="2"/>
          <w:sz w:val="21"/>
          <w:szCs w:val="20"/>
          <w:lang w:val="en-US" w:eastAsia="zh-CN" w:bidi="ar-SA"/>
        </w:rPr>
        <w:t>。</w:t>
      </w:r>
    </w:p>
    <w:p w14:paraId="7EC0A4D1">
      <w:pPr>
        <w:pStyle w:val="98"/>
        <w:spacing w:beforeLines="0" w:afterLines="0"/>
        <w:ind w:firstLine="0" w:firstLineChars="0"/>
        <w:rPr>
          <w:rFonts w:hint="eastAsia" w:ascii="宋体" w:hAnsi="宋体"/>
          <w:bCs/>
          <w:color w:val="auto"/>
          <w:lang w:val="en-US" w:eastAsia="zh-CN"/>
        </w:rPr>
      </w:pPr>
      <w:r>
        <w:rPr>
          <w:rFonts w:hint="eastAsia" w:ascii="宋体" w:hAnsi="宋体"/>
          <w:bCs/>
          <w:color w:val="auto"/>
          <w:lang w:val="en-US" w:eastAsia="zh-CN"/>
        </w:rPr>
        <w:t>6.2.2.2</w:t>
      </w:r>
      <w:r>
        <w:rPr>
          <w:rFonts w:hint="eastAsia" w:ascii="宋体" w:hAnsi="宋体"/>
          <w:bCs/>
          <w:color w:val="auto"/>
        </w:rPr>
        <w:t>燃气管道</w:t>
      </w:r>
      <w:r>
        <w:rPr>
          <w:rFonts w:hint="eastAsia" w:ascii="宋体" w:hAnsi="宋体"/>
          <w:bCs/>
          <w:color w:val="auto"/>
          <w:lang w:val="en-US" w:eastAsia="zh-CN"/>
        </w:rPr>
        <w:t>及阀井（室）</w:t>
      </w:r>
      <w:r>
        <w:rPr>
          <w:rFonts w:hint="eastAsia" w:ascii="宋体" w:hAnsi="宋体" w:cs="宋体"/>
          <w:bCs/>
          <w:color w:val="auto"/>
          <w:kern w:val="2"/>
          <w:sz w:val="21"/>
          <w:szCs w:val="20"/>
          <w:lang w:val="en-US" w:eastAsia="zh-CN" w:bidi="ar-SA"/>
        </w:rPr>
        <w:t>监测设备布点应</w:t>
      </w:r>
      <w:r>
        <w:rPr>
          <w:rFonts w:hint="eastAsia" w:ascii="宋体" w:hAnsi="宋体"/>
          <w:bCs/>
          <w:color w:val="auto"/>
          <w:lang w:val="en-US" w:eastAsia="zh-CN"/>
        </w:rPr>
        <w:t>符合以下要求：</w:t>
      </w:r>
    </w:p>
    <w:p w14:paraId="2B0EE758">
      <w:pPr>
        <w:pStyle w:val="98"/>
        <w:numPr>
          <w:ilvl w:val="0"/>
          <w:numId w:val="6"/>
        </w:numPr>
        <w:spacing w:beforeLines="0" w:afterLines="0"/>
        <w:ind w:firstLine="420" w:firstLineChars="200"/>
        <w:rPr>
          <w:rFonts w:hint="eastAsia" w:ascii="宋体" w:hAnsi="宋体" w:eastAsia="宋体" w:cs="宋体"/>
          <w:bCs/>
          <w:color w:val="auto"/>
          <w:kern w:val="2"/>
          <w:sz w:val="21"/>
          <w:szCs w:val="20"/>
          <w:lang w:val="en-US" w:eastAsia="zh-CN" w:bidi="ar-SA"/>
        </w:rPr>
      </w:pPr>
      <w:r>
        <w:rPr>
          <w:rFonts w:hint="eastAsia" w:ascii="宋体" w:hAnsi="宋体" w:eastAsia="宋体" w:cs="宋体"/>
          <w:bCs/>
          <w:color w:val="auto"/>
          <w:kern w:val="2"/>
          <w:sz w:val="21"/>
          <w:szCs w:val="20"/>
          <w:lang w:val="en-US" w:eastAsia="zh-CN" w:bidi="ar-SA"/>
        </w:rPr>
        <w:t>经风险评估判定为较大风险及以上等级，在采取维修、更新改造、加强管理等治理措施后，风险等级仍无法有效降低的燃气管道，</w:t>
      </w:r>
      <w:r>
        <w:rPr>
          <w:rFonts w:hint="eastAsia" w:ascii="宋体" w:hAnsi="宋体" w:cs="宋体"/>
          <w:bCs/>
          <w:color w:val="auto"/>
          <w:kern w:val="2"/>
          <w:sz w:val="21"/>
          <w:szCs w:val="20"/>
          <w:lang w:val="en-US" w:eastAsia="zh-CN" w:bidi="ar-SA"/>
        </w:rPr>
        <w:t>应</w:t>
      </w:r>
      <w:r>
        <w:rPr>
          <w:rFonts w:hint="eastAsia" w:ascii="宋体" w:hAnsi="宋体" w:eastAsia="宋体" w:cs="宋体"/>
          <w:bCs/>
          <w:color w:val="auto"/>
          <w:kern w:val="2"/>
          <w:sz w:val="21"/>
          <w:szCs w:val="20"/>
          <w:lang w:val="en-US" w:eastAsia="zh-CN" w:bidi="ar-SA"/>
        </w:rPr>
        <w:t>对该</w:t>
      </w:r>
      <w:r>
        <w:rPr>
          <w:rFonts w:hint="eastAsia" w:ascii="宋体" w:hAnsi="宋体" w:cs="宋体"/>
          <w:bCs/>
          <w:color w:val="auto"/>
          <w:kern w:val="2"/>
          <w:sz w:val="21"/>
          <w:szCs w:val="20"/>
          <w:lang w:val="en-US" w:eastAsia="zh-CN" w:bidi="ar-SA"/>
        </w:rPr>
        <w:t>段管道、</w:t>
      </w:r>
      <w:r>
        <w:rPr>
          <w:rFonts w:hint="eastAsia" w:ascii="宋体" w:hAnsi="宋体" w:eastAsia="宋体" w:cs="宋体"/>
          <w:bCs/>
          <w:color w:val="auto"/>
          <w:kern w:val="2"/>
          <w:sz w:val="21"/>
          <w:szCs w:val="20"/>
          <w:lang w:val="en-US" w:eastAsia="zh-CN" w:bidi="ar-SA"/>
        </w:rPr>
        <w:t>阀井</w:t>
      </w:r>
      <w:r>
        <w:rPr>
          <w:rFonts w:hint="eastAsia" w:ascii="宋体" w:hAnsi="宋体" w:cs="宋体"/>
          <w:bCs/>
          <w:color w:val="auto"/>
          <w:kern w:val="2"/>
          <w:sz w:val="21"/>
          <w:szCs w:val="20"/>
          <w:lang w:val="en-US" w:eastAsia="zh-CN" w:bidi="ar-SA"/>
        </w:rPr>
        <w:t>（室）、燃气管道相邻空间</w:t>
      </w:r>
      <w:r>
        <w:rPr>
          <w:rFonts w:hint="eastAsia" w:ascii="宋体" w:hAnsi="宋体" w:eastAsia="宋体" w:cs="宋体"/>
          <w:bCs/>
          <w:color w:val="auto"/>
          <w:kern w:val="2"/>
          <w:sz w:val="21"/>
          <w:szCs w:val="20"/>
          <w:lang w:val="en-US" w:eastAsia="zh-CN" w:bidi="ar-SA"/>
        </w:rPr>
        <w:t>进行</w:t>
      </w:r>
      <w:r>
        <w:rPr>
          <w:rFonts w:hint="eastAsia" w:ascii="宋体" w:hAnsi="宋体" w:cs="宋体"/>
          <w:bCs/>
          <w:color w:val="auto"/>
          <w:kern w:val="2"/>
          <w:sz w:val="21"/>
          <w:szCs w:val="20"/>
          <w:lang w:val="en-US" w:eastAsia="zh-CN" w:bidi="ar-SA"/>
        </w:rPr>
        <w:t>可燃气体浓度监测，可对周边环境进行视频监控</w:t>
      </w:r>
      <w:r>
        <w:rPr>
          <w:rFonts w:hint="eastAsia" w:ascii="宋体" w:hAnsi="宋体" w:eastAsia="宋体" w:cs="宋体"/>
          <w:bCs/>
          <w:color w:val="auto"/>
          <w:kern w:val="2"/>
          <w:sz w:val="21"/>
          <w:szCs w:val="20"/>
          <w:lang w:val="en-US" w:eastAsia="zh-CN" w:bidi="ar-SA"/>
        </w:rPr>
        <w:t>；</w:t>
      </w:r>
    </w:p>
    <w:p w14:paraId="416FB6F5">
      <w:pPr>
        <w:pStyle w:val="98"/>
        <w:numPr>
          <w:ilvl w:val="0"/>
          <w:numId w:val="6"/>
        </w:numPr>
        <w:spacing w:beforeLines="0" w:afterLines="0"/>
        <w:ind w:firstLine="420" w:firstLineChars="200"/>
        <w:rPr>
          <w:rFonts w:hint="eastAsia" w:ascii="宋体" w:hAnsi="宋体" w:eastAsia="宋体" w:cs="宋体"/>
          <w:bCs/>
          <w:color w:val="auto"/>
          <w:kern w:val="2"/>
          <w:sz w:val="21"/>
          <w:szCs w:val="20"/>
          <w:lang w:val="en-US" w:eastAsia="zh-CN" w:bidi="ar-SA"/>
        </w:rPr>
      </w:pPr>
      <w:r>
        <w:rPr>
          <w:rFonts w:hint="eastAsia" w:ascii="宋体" w:hAnsi="宋体" w:eastAsia="宋体" w:cs="宋体"/>
          <w:bCs/>
          <w:color w:val="auto"/>
          <w:kern w:val="2"/>
          <w:sz w:val="21"/>
          <w:szCs w:val="20"/>
          <w:lang w:val="en-US" w:eastAsia="zh-CN" w:bidi="ar-SA"/>
        </w:rPr>
        <w:t>依据《城镇燃气经营安全重大隐患判定标准》等判定为</w:t>
      </w:r>
      <w:r>
        <w:rPr>
          <w:rFonts w:hint="eastAsia" w:ascii="宋体" w:hAnsi="宋体" w:eastAsia="宋体" w:cs="宋体"/>
          <w:color w:val="auto"/>
          <w:kern w:val="2"/>
          <w:sz w:val="21"/>
          <w:szCs w:val="20"/>
          <w:lang w:val="en-US" w:eastAsia="zh-CN" w:bidi="ar-SA"/>
        </w:rPr>
        <w:t>重大安全隐患</w:t>
      </w:r>
      <w:r>
        <w:rPr>
          <w:rFonts w:hint="eastAsia" w:ascii="宋体" w:hAnsi="宋体" w:cs="宋体"/>
          <w:color w:val="auto"/>
          <w:kern w:val="2"/>
          <w:sz w:val="21"/>
          <w:szCs w:val="20"/>
          <w:lang w:val="en-US" w:eastAsia="zh-CN" w:bidi="ar-SA"/>
        </w:rPr>
        <w:t>且</w:t>
      </w:r>
      <w:r>
        <w:rPr>
          <w:rFonts w:hint="eastAsia" w:ascii="宋体" w:hAnsi="宋体" w:eastAsia="宋体" w:cs="宋体"/>
          <w:bCs/>
          <w:color w:val="auto"/>
          <w:kern w:val="2"/>
          <w:sz w:val="21"/>
          <w:szCs w:val="20"/>
          <w:lang w:val="en-US" w:eastAsia="zh-CN" w:bidi="ar-SA"/>
        </w:rPr>
        <w:t>未能按期完成整改消除隐患的</w:t>
      </w:r>
      <w:r>
        <w:rPr>
          <w:rFonts w:hint="eastAsia" w:ascii="宋体" w:hAnsi="宋体" w:cs="宋体"/>
          <w:bCs/>
          <w:color w:val="auto"/>
          <w:kern w:val="2"/>
          <w:sz w:val="21"/>
          <w:szCs w:val="20"/>
          <w:lang w:val="en-US" w:eastAsia="zh-CN" w:bidi="ar-SA"/>
        </w:rPr>
        <w:t>燃气</w:t>
      </w:r>
      <w:r>
        <w:rPr>
          <w:rFonts w:hint="eastAsia" w:ascii="宋体" w:hAnsi="宋体" w:eastAsia="宋体" w:cs="宋体"/>
          <w:bCs/>
          <w:color w:val="auto"/>
          <w:kern w:val="2"/>
          <w:sz w:val="21"/>
          <w:szCs w:val="20"/>
          <w:lang w:val="en-US" w:eastAsia="zh-CN" w:bidi="ar-SA"/>
        </w:rPr>
        <w:t>管道，</w:t>
      </w:r>
      <w:r>
        <w:rPr>
          <w:rFonts w:hint="eastAsia" w:ascii="宋体" w:hAnsi="宋体" w:cs="宋体"/>
          <w:bCs/>
          <w:color w:val="auto"/>
          <w:kern w:val="2"/>
          <w:sz w:val="21"/>
          <w:szCs w:val="20"/>
          <w:lang w:val="en-US" w:eastAsia="zh-CN" w:bidi="ar-SA"/>
        </w:rPr>
        <w:t>应</w:t>
      </w:r>
      <w:r>
        <w:rPr>
          <w:rFonts w:hint="eastAsia" w:ascii="宋体" w:hAnsi="宋体" w:eastAsia="宋体" w:cs="宋体"/>
          <w:bCs/>
          <w:color w:val="auto"/>
          <w:kern w:val="2"/>
          <w:sz w:val="21"/>
          <w:szCs w:val="20"/>
          <w:lang w:val="en-US" w:eastAsia="zh-CN" w:bidi="ar-SA"/>
        </w:rPr>
        <w:t>对该</w:t>
      </w:r>
      <w:r>
        <w:rPr>
          <w:rFonts w:hint="eastAsia" w:ascii="宋体" w:hAnsi="宋体" w:cs="宋体"/>
          <w:bCs/>
          <w:color w:val="auto"/>
          <w:kern w:val="2"/>
          <w:sz w:val="21"/>
          <w:szCs w:val="20"/>
          <w:lang w:val="en-US" w:eastAsia="zh-CN" w:bidi="ar-SA"/>
        </w:rPr>
        <w:t>段管道、</w:t>
      </w:r>
      <w:r>
        <w:rPr>
          <w:rFonts w:hint="eastAsia" w:ascii="宋体" w:hAnsi="宋体" w:eastAsia="宋体" w:cs="宋体"/>
          <w:bCs/>
          <w:color w:val="auto"/>
          <w:kern w:val="2"/>
          <w:sz w:val="21"/>
          <w:szCs w:val="20"/>
          <w:lang w:val="en-US" w:eastAsia="zh-CN" w:bidi="ar-SA"/>
        </w:rPr>
        <w:t>阀井</w:t>
      </w:r>
      <w:r>
        <w:rPr>
          <w:rFonts w:hint="eastAsia" w:ascii="宋体" w:hAnsi="宋体" w:cs="宋体"/>
          <w:bCs/>
          <w:color w:val="auto"/>
          <w:kern w:val="2"/>
          <w:sz w:val="21"/>
          <w:szCs w:val="20"/>
          <w:lang w:val="en-US" w:eastAsia="zh-CN" w:bidi="ar-SA"/>
        </w:rPr>
        <w:t>（室）、燃气管道相邻空间</w:t>
      </w:r>
      <w:r>
        <w:rPr>
          <w:rFonts w:hint="eastAsia" w:ascii="宋体" w:hAnsi="宋体" w:eastAsia="宋体" w:cs="宋体"/>
          <w:bCs/>
          <w:color w:val="auto"/>
          <w:kern w:val="2"/>
          <w:sz w:val="21"/>
          <w:szCs w:val="20"/>
          <w:lang w:val="en-US" w:eastAsia="zh-CN" w:bidi="ar-SA"/>
        </w:rPr>
        <w:t>进行</w:t>
      </w:r>
      <w:r>
        <w:rPr>
          <w:rFonts w:hint="eastAsia" w:ascii="宋体" w:hAnsi="宋体" w:cs="宋体"/>
          <w:bCs/>
          <w:color w:val="auto"/>
          <w:kern w:val="2"/>
          <w:sz w:val="21"/>
          <w:szCs w:val="20"/>
          <w:lang w:val="en-US" w:eastAsia="zh-CN" w:bidi="ar-SA"/>
        </w:rPr>
        <w:t>可燃气体浓度监测，可对周边环境进行视频监控；</w:t>
      </w:r>
    </w:p>
    <w:p w14:paraId="5CE654F0">
      <w:pPr>
        <w:pStyle w:val="98"/>
        <w:numPr>
          <w:ilvl w:val="0"/>
          <w:numId w:val="6"/>
        </w:numPr>
        <w:spacing w:beforeLines="0" w:afterLines="0"/>
        <w:ind w:firstLine="420" w:firstLineChars="200"/>
        <w:rPr>
          <w:rFonts w:hint="eastAsia" w:ascii="宋体" w:hAnsi="宋体" w:eastAsia="宋体" w:cs="宋体"/>
          <w:bCs/>
          <w:color w:val="auto"/>
          <w:kern w:val="2"/>
          <w:sz w:val="21"/>
          <w:szCs w:val="20"/>
          <w:lang w:val="en-US" w:eastAsia="zh-CN" w:bidi="ar"/>
        </w:rPr>
      </w:pPr>
      <w:r>
        <w:rPr>
          <w:rFonts w:hint="eastAsia" w:ascii="宋体" w:hAnsi="宋体" w:eastAsia="宋体" w:cs="宋体"/>
          <w:bCs/>
          <w:color w:val="auto"/>
          <w:kern w:val="2"/>
          <w:sz w:val="21"/>
          <w:szCs w:val="20"/>
          <w:lang w:val="en-US" w:eastAsia="zh-CN" w:bidi="ar"/>
        </w:rPr>
        <w:t>燃气泄漏后</w:t>
      </w:r>
      <w:r>
        <w:rPr>
          <w:rFonts w:hint="eastAsia" w:ascii="宋体" w:hAnsi="宋体" w:cs="宋体"/>
          <w:bCs/>
          <w:color w:val="auto"/>
          <w:kern w:val="2"/>
          <w:sz w:val="21"/>
          <w:szCs w:val="20"/>
          <w:lang w:val="en-US" w:eastAsia="zh-CN" w:bidi="ar"/>
        </w:rPr>
        <w:t>可能导致</w:t>
      </w:r>
      <w:r>
        <w:rPr>
          <w:rFonts w:hint="eastAsia" w:ascii="宋体" w:hAnsi="宋体" w:eastAsia="宋体" w:cs="宋体"/>
          <w:bCs/>
          <w:color w:val="auto"/>
          <w:kern w:val="2"/>
          <w:sz w:val="21"/>
          <w:szCs w:val="20"/>
          <w:lang w:val="en-US" w:eastAsia="zh-CN" w:bidi="ar"/>
        </w:rPr>
        <w:t>人员伤亡、较大财产损失或严重社会影响的</w:t>
      </w:r>
      <w:r>
        <w:rPr>
          <w:rFonts w:hint="eastAsia" w:ascii="宋体" w:hAnsi="宋体" w:cs="宋体"/>
          <w:color w:val="auto"/>
          <w:kern w:val="2"/>
          <w:sz w:val="21"/>
          <w:szCs w:val="20"/>
          <w:lang w:val="en-US" w:eastAsia="zh-CN" w:bidi="ar"/>
        </w:rPr>
        <w:t>重点区域的</w:t>
      </w:r>
      <w:r>
        <w:rPr>
          <w:rFonts w:hint="eastAsia" w:ascii="宋体" w:hAnsi="宋体" w:eastAsia="宋体" w:cs="宋体"/>
          <w:bCs/>
          <w:color w:val="auto"/>
          <w:kern w:val="2"/>
          <w:sz w:val="21"/>
          <w:szCs w:val="20"/>
          <w:lang w:val="en-US" w:eastAsia="zh-CN" w:bidi="ar"/>
        </w:rPr>
        <w:t>燃气管道</w:t>
      </w:r>
      <w:r>
        <w:rPr>
          <w:rFonts w:hint="eastAsia" w:ascii="宋体" w:hAnsi="宋体" w:eastAsia="宋体" w:cs="宋体"/>
          <w:bCs/>
          <w:color w:val="auto"/>
          <w:kern w:val="2"/>
          <w:sz w:val="21"/>
          <w:szCs w:val="20"/>
          <w:lang w:val="en-US" w:eastAsia="zh-CN" w:bidi="ar-SA"/>
        </w:rPr>
        <w:t>，</w:t>
      </w:r>
      <w:r>
        <w:rPr>
          <w:rFonts w:hint="eastAsia" w:ascii="宋体" w:hAnsi="宋体" w:cs="宋体"/>
          <w:bCs/>
          <w:color w:val="auto"/>
          <w:kern w:val="2"/>
          <w:sz w:val="21"/>
          <w:szCs w:val="20"/>
          <w:lang w:val="en-US" w:eastAsia="zh-CN" w:bidi="ar-SA"/>
        </w:rPr>
        <w:t>应</w:t>
      </w:r>
      <w:r>
        <w:rPr>
          <w:rFonts w:hint="eastAsia" w:ascii="宋体" w:hAnsi="宋体" w:eastAsia="宋体" w:cs="宋体"/>
          <w:bCs/>
          <w:color w:val="auto"/>
          <w:kern w:val="2"/>
          <w:sz w:val="21"/>
          <w:szCs w:val="20"/>
          <w:lang w:val="en-US" w:eastAsia="zh-CN" w:bidi="ar-SA"/>
        </w:rPr>
        <w:t>对该</w:t>
      </w:r>
      <w:r>
        <w:rPr>
          <w:rFonts w:hint="eastAsia" w:ascii="宋体" w:hAnsi="宋体" w:cs="宋体"/>
          <w:bCs/>
          <w:color w:val="auto"/>
          <w:kern w:val="2"/>
          <w:sz w:val="21"/>
          <w:szCs w:val="20"/>
          <w:lang w:val="en-US" w:eastAsia="zh-CN" w:bidi="ar-SA"/>
        </w:rPr>
        <w:t>段管道、</w:t>
      </w:r>
      <w:r>
        <w:rPr>
          <w:rFonts w:hint="eastAsia" w:ascii="宋体" w:hAnsi="宋体" w:eastAsia="宋体" w:cs="宋体"/>
          <w:bCs/>
          <w:color w:val="auto"/>
          <w:kern w:val="2"/>
          <w:sz w:val="21"/>
          <w:szCs w:val="20"/>
          <w:lang w:val="en-US" w:eastAsia="zh-CN" w:bidi="ar-SA"/>
        </w:rPr>
        <w:t>阀井</w:t>
      </w:r>
      <w:r>
        <w:rPr>
          <w:rFonts w:hint="eastAsia" w:ascii="宋体" w:hAnsi="宋体" w:cs="宋体"/>
          <w:bCs/>
          <w:color w:val="auto"/>
          <w:kern w:val="2"/>
          <w:sz w:val="21"/>
          <w:szCs w:val="20"/>
          <w:lang w:val="en-US" w:eastAsia="zh-CN" w:bidi="ar-SA"/>
        </w:rPr>
        <w:t>（室）、燃气管道相邻空间</w:t>
      </w:r>
      <w:r>
        <w:rPr>
          <w:rFonts w:hint="eastAsia" w:ascii="宋体" w:hAnsi="宋体" w:eastAsia="宋体" w:cs="宋体"/>
          <w:bCs/>
          <w:color w:val="auto"/>
          <w:kern w:val="2"/>
          <w:sz w:val="21"/>
          <w:szCs w:val="20"/>
          <w:lang w:val="en-US" w:eastAsia="zh-CN" w:bidi="ar-SA"/>
        </w:rPr>
        <w:t>进行</w:t>
      </w:r>
      <w:r>
        <w:rPr>
          <w:rFonts w:hint="eastAsia" w:ascii="宋体" w:hAnsi="宋体" w:cs="宋体"/>
          <w:bCs/>
          <w:color w:val="auto"/>
          <w:kern w:val="2"/>
          <w:sz w:val="21"/>
          <w:szCs w:val="20"/>
          <w:lang w:val="en-US" w:eastAsia="zh-CN" w:bidi="ar-SA"/>
        </w:rPr>
        <w:t>可燃气体浓度监测，可对周边环境进行视频监控；</w:t>
      </w:r>
    </w:p>
    <w:p w14:paraId="6A333035">
      <w:pPr>
        <w:pStyle w:val="98"/>
        <w:numPr>
          <w:ilvl w:val="0"/>
          <w:numId w:val="6"/>
        </w:numPr>
        <w:spacing w:beforeLines="0" w:afterLines="0"/>
        <w:ind w:firstLine="420" w:firstLineChars="200"/>
        <w:rPr>
          <w:rFonts w:hint="eastAsia" w:ascii="宋体" w:hAnsi="宋体"/>
          <w:bCs/>
          <w:color w:val="auto"/>
          <w:lang w:val="en-US" w:eastAsia="zh-CN"/>
        </w:rPr>
      </w:pPr>
      <w:r>
        <w:rPr>
          <w:rFonts w:hint="eastAsia" w:ascii="宋体" w:hAnsi="宋体"/>
          <w:bCs/>
          <w:color w:val="auto"/>
        </w:rPr>
        <w:t>超高压、高压、次高压管道</w:t>
      </w:r>
      <w:r>
        <w:rPr>
          <w:rFonts w:hint="eastAsia" w:ascii="宋体" w:hAnsi="宋体"/>
          <w:bCs/>
          <w:color w:val="auto"/>
          <w:lang w:eastAsia="zh-CN"/>
        </w:rPr>
        <w:t>，</w:t>
      </w:r>
      <w:r>
        <w:rPr>
          <w:rFonts w:hint="eastAsia" w:ascii="宋体" w:hAnsi="宋体"/>
          <w:bCs/>
          <w:color w:val="auto"/>
          <w:lang w:val="en-US" w:eastAsia="zh-CN"/>
        </w:rPr>
        <w:t>应对管道电位进行监测，应对其</w:t>
      </w:r>
      <w:r>
        <w:rPr>
          <w:rFonts w:hint="eastAsia" w:ascii="宋体" w:hAnsi="宋体"/>
          <w:bCs/>
          <w:color w:val="auto"/>
        </w:rPr>
        <w:t>阀井（室）</w:t>
      </w:r>
      <w:r>
        <w:rPr>
          <w:rFonts w:hint="eastAsia" w:ascii="宋体" w:hAnsi="宋体" w:eastAsia="宋体" w:cs="宋体"/>
          <w:bCs/>
          <w:color w:val="auto"/>
          <w:kern w:val="2"/>
          <w:sz w:val="21"/>
          <w:szCs w:val="20"/>
          <w:lang w:val="en-US" w:eastAsia="zh-CN" w:bidi="ar-SA"/>
        </w:rPr>
        <w:t>进行</w:t>
      </w:r>
      <w:r>
        <w:rPr>
          <w:rFonts w:hint="eastAsia" w:ascii="宋体" w:hAnsi="宋体" w:cs="宋体"/>
          <w:bCs/>
          <w:color w:val="auto"/>
          <w:kern w:val="2"/>
          <w:sz w:val="21"/>
          <w:szCs w:val="20"/>
          <w:lang w:val="en-US" w:eastAsia="zh-CN" w:bidi="ar-SA"/>
        </w:rPr>
        <w:t>可燃气体浓度监测</w:t>
      </w:r>
      <w:r>
        <w:rPr>
          <w:rFonts w:hint="eastAsia" w:ascii="宋体" w:hAnsi="宋体"/>
          <w:bCs/>
          <w:color w:val="auto"/>
          <w:lang w:val="en-US" w:eastAsia="zh-CN"/>
        </w:rPr>
        <w:t>。</w:t>
      </w:r>
    </w:p>
    <w:p w14:paraId="543FC2EE">
      <w:pPr>
        <w:pStyle w:val="98"/>
        <w:numPr>
          <w:ilvl w:val="0"/>
          <w:numId w:val="6"/>
        </w:numPr>
        <w:spacing w:beforeLines="0" w:afterLines="0"/>
        <w:ind w:firstLine="420" w:firstLineChars="200"/>
        <w:rPr>
          <w:rFonts w:hint="eastAsia" w:ascii="宋体" w:hAnsi="宋体" w:eastAsia="宋体"/>
          <w:bCs/>
          <w:color w:val="auto"/>
          <w:lang w:val="en-US" w:eastAsia="zh-CN"/>
        </w:rPr>
      </w:pPr>
      <w:r>
        <w:rPr>
          <w:rFonts w:hint="eastAsia" w:ascii="宋体" w:hAnsi="宋体"/>
          <w:bCs/>
          <w:color w:val="auto"/>
        </w:rPr>
        <w:t>敷设于地形复杂、巡检人员及车辆不易到达区域的</w:t>
      </w:r>
      <w:r>
        <w:rPr>
          <w:rFonts w:hint="eastAsia" w:ascii="宋体" w:hAnsi="宋体"/>
          <w:bCs/>
          <w:color w:val="auto"/>
          <w:lang w:val="en-US" w:eastAsia="zh-CN"/>
        </w:rPr>
        <w:t>燃气</w:t>
      </w:r>
      <w:r>
        <w:rPr>
          <w:rFonts w:hint="eastAsia" w:ascii="宋体" w:hAnsi="宋体"/>
          <w:bCs/>
          <w:color w:val="auto"/>
        </w:rPr>
        <w:t>管道</w:t>
      </w:r>
      <w:r>
        <w:rPr>
          <w:rFonts w:hint="eastAsia" w:ascii="宋体" w:hAnsi="宋体" w:cs="宋体"/>
          <w:bCs/>
          <w:color w:val="auto"/>
          <w:kern w:val="2"/>
          <w:sz w:val="21"/>
          <w:szCs w:val="20"/>
          <w:lang w:val="en-US" w:eastAsia="zh-CN" w:bidi="ar"/>
        </w:rPr>
        <w:t>，宜</w:t>
      </w:r>
      <w:r>
        <w:rPr>
          <w:rFonts w:hint="eastAsia" w:ascii="宋体" w:hAnsi="宋体" w:cs="宋体"/>
          <w:bCs/>
          <w:color w:val="auto"/>
          <w:kern w:val="2"/>
          <w:sz w:val="21"/>
          <w:szCs w:val="20"/>
          <w:lang w:val="en-US" w:eastAsia="zh-CN" w:bidi="ar-SA"/>
        </w:rPr>
        <w:t>对周边环境进行视频监控</w:t>
      </w:r>
      <w:r>
        <w:rPr>
          <w:rFonts w:hint="eastAsia" w:ascii="宋体" w:hAnsi="宋体"/>
          <w:bCs/>
          <w:color w:val="auto"/>
          <w:lang w:val="en-US" w:eastAsia="zh-CN"/>
        </w:rPr>
        <w:t>。</w:t>
      </w:r>
    </w:p>
    <w:p w14:paraId="223EA1DF">
      <w:pPr>
        <w:pStyle w:val="98"/>
        <w:numPr>
          <w:ilvl w:val="0"/>
          <w:numId w:val="6"/>
        </w:numPr>
        <w:spacing w:beforeLines="0" w:afterLines="0"/>
        <w:ind w:firstLine="420" w:firstLineChars="200"/>
        <w:rPr>
          <w:rFonts w:hint="eastAsia" w:ascii="宋体" w:hAnsi="宋体" w:eastAsia="宋体"/>
          <w:bCs/>
          <w:color w:val="auto"/>
          <w:lang w:val="en-US" w:eastAsia="zh-CN"/>
        </w:rPr>
      </w:pPr>
      <w:r>
        <w:rPr>
          <w:rFonts w:hint="eastAsia" w:ascii="宋体" w:hAnsi="宋体" w:eastAsia="宋体" w:cs="宋体"/>
          <w:bCs/>
          <w:color w:val="auto"/>
          <w:kern w:val="2"/>
          <w:sz w:val="21"/>
          <w:szCs w:val="20"/>
          <w:lang w:val="en-US" w:eastAsia="zh-CN" w:bidi="ar-SA"/>
        </w:rPr>
        <w:t>敷设于地表沉降高风险区、地质灾害高发区的管道</w:t>
      </w:r>
      <w:r>
        <w:rPr>
          <w:rFonts w:hint="eastAsia" w:ascii="宋体" w:hAnsi="宋体" w:cs="宋体"/>
          <w:bCs/>
          <w:color w:val="auto"/>
          <w:kern w:val="2"/>
          <w:sz w:val="21"/>
          <w:szCs w:val="20"/>
          <w:lang w:val="en-US" w:eastAsia="zh-CN" w:bidi="ar-SA"/>
        </w:rPr>
        <w:t>，应对管道位移进行监测</w:t>
      </w:r>
      <w:r>
        <w:rPr>
          <w:rFonts w:hint="eastAsia" w:ascii="宋体" w:hAnsi="宋体"/>
          <w:bCs/>
          <w:color w:val="auto"/>
          <w:lang w:val="en-US" w:eastAsia="zh-CN"/>
        </w:rPr>
        <w:t>。</w:t>
      </w:r>
    </w:p>
    <w:p w14:paraId="32350684">
      <w:pPr>
        <w:pStyle w:val="98"/>
        <w:numPr>
          <w:ilvl w:val="0"/>
          <w:numId w:val="6"/>
        </w:numPr>
        <w:spacing w:beforeLines="0" w:afterLines="0"/>
        <w:ind w:firstLine="420" w:firstLineChars="200"/>
        <w:rPr>
          <w:rFonts w:hint="eastAsia" w:ascii="宋体" w:hAnsi="宋体" w:eastAsia="宋体"/>
          <w:bCs/>
          <w:color w:val="auto"/>
          <w:lang w:val="en-US" w:eastAsia="zh-CN"/>
        </w:rPr>
      </w:pPr>
      <w:r>
        <w:rPr>
          <w:rFonts w:hint="eastAsia" w:ascii="宋体" w:hAnsi="宋体"/>
          <w:bCs/>
          <w:color w:val="auto"/>
          <w:lang w:val="en-US" w:eastAsia="zh-CN"/>
        </w:rPr>
        <w:t>第三方损坏</w:t>
      </w:r>
      <w:r>
        <w:rPr>
          <w:rFonts w:hint="eastAsia" w:ascii="宋体" w:hAnsi="宋体" w:cs="宋体"/>
          <w:bCs/>
          <w:color w:val="auto"/>
          <w:kern w:val="2"/>
          <w:sz w:val="21"/>
          <w:szCs w:val="20"/>
        </w:rPr>
        <w:t>风险较高的</w:t>
      </w:r>
      <w:r>
        <w:rPr>
          <w:rFonts w:hint="eastAsia" w:ascii="宋体" w:hAnsi="宋体"/>
          <w:bCs/>
          <w:color w:val="auto"/>
          <w:lang w:val="en-US" w:eastAsia="zh-CN"/>
        </w:rPr>
        <w:t>燃气管道，应</w:t>
      </w:r>
      <w:r>
        <w:rPr>
          <w:rFonts w:hint="eastAsia" w:ascii="宋体" w:hAnsi="宋体" w:cs="宋体"/>
          <w:bCs/>
          <w:color w:val="auto"/>
          <w:kern w:val="2"/>
          <w:sz w:val="21"/>
          <w:szCs w:val="20"/>
          <w:lang w:val="en-US" w:eastAsia="zh-CN" w:bidi="ar-SA"/>
        </w:rPr>
        <w:t>对施工区进行视频监控，可进行振动监测</w:t>
      </w:r>
      <w:r>
        <w:rPr>
          <w:rFonts w:hint="eastAsia" w:ascii="宋体" w:hAnsi="宋体"/>
          <w:bCs/>
          <w:color w:val="auto"/>
          <w:lang w:val="en-US" w:eastAsia="zh-CN"/>
        </w:rPr>
        <w:t>。</w:t>
      </w:r>
    </w:p>
    <w:p w14:paraId="7A1B3CC7">
      <w:pPr>
        <w:pStyle w:val="98"/>
        <w:numPr>
          <w:ilvl w:val="0"/>
          <w:numId w:val="0"/>
        </w:numPr>
        <w:spacing w:beforeLines="0" w:afterLines="0"/>
        <w:rPr>
          <w:rFonts w:hint="eastAsia" w:ascii="宋体" w:hAnsi="宋体"/>
          <w:bCs/>
          <w:color w:val="auto"/>
          <w:lang w:eastAsia="zh-CN"/>
        </w:rPr>
      </w:pPr>
      <w:r>
        <w:rPr>
          <w:rFonts w:hint="eastAsia" w:ascii="宋体" w:hAnsi="宋体"/>
          <w:bCs/>
          <w:color w:val="auto"/>
          <w:lang w:val="en-US" w:eastAsia="zh-CN"/>
        </w:rPr>
        <w:t>6.2.2.3服务重要公共建筑、不可中断用户</w:t>
      </w:r>
      <w:r>
        <w:rPr>
          <w:rFonts w:hint="eastAsia" w:ascii="宋体" w:hAnsi="宋体" w:cs="宋体"/>
          <w:bCs/>
          <w:color w:val="auto"/>
          <w:kern w:val="2"/>
          <w:sz w:val="21"/>
          <w:szCs w:val="20"/>
          <w:lang w:val="en-US" w:eastAsia="zh-CN" w:bidi="ar"/>
        </w:rPr>
        <w:t>及供气规模较大的</w:t>
      </w:r>
      <w:r>
        <w:rPr>
          <w:rFonts w:hint="eastAsia" w:ascii="宋体" w:hAnsi="宋体"/>
          <w:bCs/>
          <w:color w:val="auto"/>
          <w:lang w:val="en-US" w:eastAsia="zh-CN"/>
        </w:rPr>
        <w:t>调压设施，宜</w:t>
      </w:r>
      <w:r>
        <w:rPr>
          <w:rFonts w:hint="eastAsia" w:ascii="宋体" w:hAnsi="宋体" w:cs="宋体"/>
          <w:bCs/>
          <w:color w:val="auto"/>
          <w:kern w:val="2"/>
          <w:sz w:val="21"/>
          <w:szCs w:val="20"/>
          <w:lang w:val="en-US" w:eastAsia="zh-CN" w:bidi="ar"/>
        </w:rPr>
        <w:t>对其工作压力、可燃气体浓度进行监测。</w:t>
      </w:r>
    </w:p>
    <w:p w14:paraId="2D78E86C">
      <w:pPr>
        <w:pStyle w:val="98"/>
        <w:numPr>
          <w:ilvl w:val="0"/>
          <w:numId w:val="0"/>
        </w:numPr>
        <w:spacing w:beforeLines="0" w:afterLines="0"/>
      </w:pPr>
      <w:r>
        <w:rPr>
          <w:rFonts w:hint="eastAsia" w:ascii="宋体" w:hAnsi="宋体"/>
          <w:bCs/>
          <w:color w:val="auto"/>
          <w:lang w:val="en-US" w:eastAsia="zh-CN"/>
        </w:rPr>
        <w:t>6.2.2.4</w:t>
      </w:r>
      <w:r>
        <w:rPr>
          <w:rFonts w:hint="eastAsia" w:ascii="宋体" w:hAnsi="宋体" w:cs="宋体"/>
          <w:bCs/>
          <w:color w:val="auto"/>
          <w:kern w:val="2"/>
          <w:sz w:val="21"/>
          <w:szCs w:val="20"/>
          <w:lang w:val="en-US" w:eastAsia="zh-CN" w:bidi="ar"/>
        </w:rPr>
        <w:t>工商业用气场所、建筑高度大于100m高层建筑居民用户用气场所，应对可燃气体浓度进行监测。</w:t>
      </w:r>
    </w:p>
    <w:p w14:paraId="44746E20">
      <w:pPr>
        <w:pStyle w:val="98"/>
        <w:spacing w:beforeLines="0" w:afterLines="0"/>
        <w:ind w:firstLine="0" w:firstLineChars="0"/>
        <w:rPr>
          <w:rFonts w:hint="eastAsia" w:ascii="宋体" w:hAnsi="宋体"/>
          <w:bCs/>
          <w:color w:val="auto"/>
          <w:lang w:val="en-US" w:eastAsia="zh-CN"/>
        </w:rPr>
      </w:pPr>
      <w:r>
        <w:rPr>
          <w:rFonts w:hint="eastAsia" w:ascii="宋体" w:hAnsi="宋体"/>
          <w:bCs/>
          <w:color w:val="auto"/>
          <w:lang w:val="en-US" w:eastAsia="zh-CN"/>
        </w:rPr>
        <w:t>6.2.2.5对</w:t>
      </w:r>
      <w:r>
        <w:rPr>
          <w:rFonts w:hint="eastAsia" w:ascii="宋体" w:hAnsi="宋体" w:eastAsia="宋体" w:cs="宋体"/>
          <w:color w:val="auto"/>
          <w:kern w:val="2"/>
          <w:sz w:val="21"/>
          <w:szCs w:val="20"/>
          <w:lang w:val="en-US" w:eastAsia="zh-CN" w:bidi="ar-SA"/>
        </w:rPr>
        <w:t>较大风险及以上</w:t>
      </w:r>
      <w:r>
        <w:rPr>
          <w:rFonts w:hint="eastAsia" w:ascii="宋体" w:hAnsi="宋体" w:cs="宋体"/>
          <w:color w:val="auto"/>
          <w:kern w:val="2"/>
          <w:sz w:val="21"/>
          <w:szCs w:val="20"/>
          <w:lang w:val="en-US" w:eastAsia="zh-CN" w:bidi="ar-SA"/>
        </w:rPr>
        <w:t>风险</w:t>
      </w:r>
      <w:r>
        <w:rPr>
          <w:rFonts w:hint="eastAsia" w:ascii="宋体" w:hAnsi="宋体" w:eastAsia="宋体" w:cs="宋体"/>
          <w:color w:val="auto"/>
          <w:kern w:val="2"/>
          <w:sz w:val="21"/>
          <w:szCs w:val="20"/>
          <w:lang w:val="en-US" w:eastAsia="zh-CN" w:bidi="ar-SA"/>
        </w:rPr>
        <w:t>等级</w:t>
      </w:r>
      <w:r>
        <w:rPr>
          <w:rFonts w:hint="eastAsia" w:ascii="宋体" w:hAnsi="宋体" w:eastAsia="宋体" w:cs="宋体"/>
          <w:bCs/>
          <w:color w:val="auto"/>
          <w:kern w:val="2"/>
          <w:sz w:val="21"/>
          <w:szCs w:val="20"/>
          <w:lang w:val="en-US" w:eastAsia="zh-CN" w:bidi="ar-SA"/>
        </w:rPr>
        <w:t>燃气管道</w:t>
      </w:r>
      <w:r>
        <w:rPr>
          <w:rFonts w:hint="eastAsia" w:ascii="宋体" w:hAnsi="宋体" w:cs="宋体"/>
          <w:bCs/>
          <w:color w:val="auto"/>
          <w:kern w:val="2"/>
          <w:sz w:val="21"/>
          <w:szCs w:val="20"/>
          <w:lang w:val="en-US" w:eastAsia="zh-CN" w:bidi="ar-SA"/>
        </w:rPr>
        <w:t>、</w:t>
      </w:r>
      <w:r>
        <w:rPr>
          <w:rFonts w:hint="eastAsia" w:ascii="宋体" w:hAnsi="宋体" w:eastAsia="宋体" w:cs="宋体"/>
          <w:color w:val="auto"/>
          <w:kern w:val="2"/>
          <w:sz w:val="21"/>
          <w:szCs w:val="20"/>
          <w:lang w:val="en-US" w:eastAsia="zh-CN" w:bidi="ar-SA"/>
        </w:rPr>
        <w:t>重大安全隐患</w:t>
      </w:r>
      <w:r>
        <w:rPr>
          <w:rFonts w:hint="eastAsia" w:ascii="宋体" w:hAnsi="宋体" w:cs="宋体"/>
          <w:color w:val="auto"/>
          <w:kern w:val="2"/>
          <w:sz w:val="21"/>
          <w:szCs w:val="20"/>
          <w:lang w:val="en-US" w:eastAsia="zh-CN" w:bidi="ar-SA"/>
        </w:rPr>
        <w:t>燃气管道、</w:t>
      </w:r>
      <w:r>
        <w:rPr>
          <w:rFonts w:hint="eastAsia" w:ascii="宋体" w:hAnsi="宋体" w:cs="宋体"/>
          <w:color w:val="auto"/>
          <w:kern w:val="2"/>
          <w:sz w:val="21"/>
          <w:szCs w:val="20"/>
          <w:lang w:val="en-US" w:eastAsia="zh-CN" w:bidi="ar"/>
        </w:rPr>
        <w:t>重点区域</w:t>
      </w:r>
      <w:r>
        <w:rPr>
          <w:rFonts w:hint="eastAsia" w:ascii="宋体" w:hAnsi="宋体" w:eastAsia="宋体" w:cs="宋体"/>
          <w:bCs/>
          <w:color w:val="auto"/>
          <w:kern w:val="2"/>
          <w:sz w:val="21"/>
          <w:szCs w:val="20"/>
          <w:lang w:val="en-US" w:eastAsia="zh-CN" w:bidi="ar"/>
        </w:rPr>
        <w:t>燃气管道</w:t>
      </w:r>
      <w:r>
        <w:rPr>
          <w:rFonts w:hint="eastAsia" w:ascii="宋体" w:hAnsi="宋体" w:cs="宋体"/>
          <w:bCs/>
          <w:color w:val="auto"/>
          <w:kern w:val="2"/>
          <w:sz w:val="21"/>
          <w:szCs w:val="20"/>
          <w:lang w:val="en-US" w:eastAsia="zh-CN" w:bidi="ar"/>
        </w:rPr>
        <w:t>，对其相邻空间进行可燃气体浓度进行监测</w:t>
      </w:r>
      <w:r>
        <w:rPr>
          <w:rFonts w:hint="eastAsia" w:ascii="宋体" w:hAnsi="宋体"/>
          <w:bCs/>
          <w:color w:val="auto"/>
          <w:lang w:val="en-US" w:eastAsia="zh-CN"/>
        </w:rPr>
        <w:t>，并</w:t>
      </w:r>
      <w:r>
        <w:rPr>
          <w:rFonts w:hint="eastAsia" w:ascii="宋体" w:hAnsi="宋体"/>
          <w:bCs/>
          <w:color w:val="auto"/>
          <w:lang w:eastAsia="zh-CN"/>
        </w:rPr>
        <w:t>符合以下要求</w:t>
      </w:r>
      <w:r>
        <w:rPr>
          <w:rFonts w:hint="eastAsia" w:ascii="宋体" w:hAnsi="宋体"/>
          <w:bCs/>
          <w:color w:val="auto"/>
          <w:lang w:val="en-US" w:eastAsia="zh-CN"/>
        </w:rPr>
        <w:t>：</w:t>
      </w:r>
    </w:p>
    <w:p w14:paraId="7B237DE4">
      <w:pPr>
        <w:pStyle w:val="98"/>
        <w:numPr>
          <w:ilvl w:val="0"/>
          <w:numId w:val="7"/>
        </w:numPr>
        <w:spacing w:beforeLines="0" w:afterLines="0"/>
        <w:ind w:firstLine="420" w:firstLineChars="200"/>
        <w:rPr>
          <w:rFonts w:hint="eastAsia" w:ascii="宋体" w:hAnsi="宋体" w:eastAsia="宋体"/>
          <w:bCs/>
          <w:color w:val="auto"/>
          <w:lang w:val="en-US" w:eastAsia="zh-CN"/>
        </w:rPr>
      </w:pPr>
      <w:r>
        <w:rPr>
          <w:rFonts w:hint="eastAsia" w:ascii="宋体" w:hAnsi="宋体" w:eastAsia="宋体"/>
          <w:bCs/>
          <w:color w:val="auto"/>
          <w:lang w:val="en-US" w:eastAsia="zh-CN"/>
        </w:rPr>
        <w:t>燃气管道相邻的雨水、污水地下管道、管沟、管道井</w:t>
      </w:r>
      <w:r>
        <w:rPr>
          <w:rFonts w:hint="eastAsia" w:ascii="宋体" w:hAnsi="宋体"/>
          <w:bCs/>
          <w:color w:val="auto"/>
          <w:lang w:val="en-US" w:eastAsia="zh-CN"/>
        </w:rPr>
        <w:t>应进行布点监测，</w:t>
      </w:r>
      <w:r>
        <w:rPr>
          <w:rFonts w:hint="eastAsia" w:ascii="宋体" w:hAnsi="宋体" w:eastAsia="宋体"/>
          <w:bCs/>
          <w:color w:val="auto"/>
          <w:lang w:val="en-US" w:eastAsia="zh-CN"/>
        </w:rPr>
        <w:t>电力、通信地下管道、管道井</w:t>
      </w:r>
      <w:r>
        <w:rPr>
          <w:rFonts w:hint="eastAsia" w:ascii="宋体" w:hAnsi="宋体"/>
          <w:bCs/>
          <w:color w:val="auto"/>
          <w:lang w:val="en-US" w:eastAsia="zh-CN"/>
        </w:rPr>
        <w:t>宜进行布点监测</w:t>
      </w:r>
      <w:r>
        <w:rPr>
          <w:rFonts w:hint="eastAsia" w:ascii="宋体" w:hAnsi="宋体" w:eastAsia="宋体"/>
          <w:bCs/>
          <w:color w:val="auto"/>
          <w:lang w:val="en-US" w:eastAsia="zh-CN"/>
        </w:rPr>
        <w:t>；</w:t>
      </w:r>
    </w:p>
    <w:p w14:paraId="29DCDFF0">
      <w:pPr>
        <w:pStyle w:val="98"/>
        <w:numPr>
          <w:ilvl w:val="0"/>
          <w:numId w:val="7"/>
        </w:numPr>
        <w:spacing w:beforeLines="0" w:afterLines="0"/>
        <w:ind w:firstLine="420" w:firstLineChars="200"/>
        <w:rPr>
          <w:rFonts w:hint="eastAsia" w:ascii="宋体" w:hAnsi="宋体" w:eastAsia="宋体"/>
          <w:bCs/>
          <w:color w:val="auto"/>
          <w:lang w:val="en-US" w:eastAsia="zh-CN"/>
        </w:rPr>
      </w:pPr>
      <w:r>
        <w:rPr>
          <w:rFonts w:hint="eastAsia" w:ascii="宋体" w:hAnsi="宋体" w:eastAsia="宋体"/>
          <w:bCs/>
          <w:color w:val="auto"/>
          <w:lang w:val="en-US" w:eastAsia="zh-CN"/>
        </w:rPr>
        <w:t>燃气管道相邻的地下建（构）筑物、地下密闭夹层等密闭、半密闭空间</w:t>
      </w:r>
      <w:r>
        <w:rPr>
          <w:rFonts w:hint="eastAsia" w:ascii="宋体" w:hAnsi="宋体"/>
          <w:bCs/>
          <w:color w:val="auto"/>
          <w:lang w:val="en-US" w:eastAsia="zh-CN"/>
        </w:rPr>
        <w:t>应进行布点监测</w:t>
      </w:r>
      <w:r>
        <w:rPr>
          <w:rFonts w:hint="eastAsia" w:ascii="宋体" w:hAnsi="宋体" w:eastAsia="宋体"/>
          <w:bCs/>
          <w:color w:val="auto"/>
          <w:lang w:val="en-US" w:eastAsia="zh-CN"/>
        </w:rPr>
        <w:t>。</w:t>
      </w:r>
    </w:p>
    <w:p w14:paraId="702ECDC2">
      <w:pPr>
        <w:pStyle w:val="98"/>
        <w:spacing w:beforeLines="0" w:afterLines="0"/>
        <w:ind w:firstLine="420" w:firstLineChars="200"/>
        <w:rPr>
          <w:rFonts w:hint="eastAsia" w:ascii="宋体" w:hAnsi="宋体"/>
          <w:bCs/>
          <w:color w:val="auto"/>
        </w:rPr>
      </w:pPr>
      <w:r>
        <w:rPr>
          <w:rFonts w:hint="eastAsia" w:ascii="宋体" w:hAnsi="宋体"/>
          <w:bCs/>
          <w:color w:val="auto"/>
        </w:rPr>
        <w:t>燃气</w:t>
      </w:r>
      <w:bookmarkStart w:id="71" w:name="OLE_LINK155"/>
      <w:bookmarkStart w:id="72" w:name="OLE_LINK156"/>
      <w:r>
        <w:rPr>
          <w:rFonts w:hint="eastAsia" w:ascii="宋体" w:hAnsi="宋体"/>
          <w:bCs/>
          <w:color w:val="auto"/>
          <w:lang w:val="en-US" w:eastAsia="zh-CN"/>
        </w:rPr>
        <w:t>监测</w:t>
      </w:r>
      <w:r>
        <w:rPr>
          <w:rFonts w:hint="eastAsia" w:ascii="宋体" w:hAnsi="宋体"/>
          <w:bCs/>
          <w:color w:val="auto"/>
        </w:rPr>
        <w:t>布点</w:t>
      </w:r>
      <w:r>
        <w:rPr>
          <w:rFonts w:hint="eastAsia" w:ascii="宋体" w:hAnsi="宋体"/>
          <w:bCs/>
          <w:color w:val="auto"/>
          <w:lang w:val="en-US" w:eastAsia="zh-CN"/>
        </w:rPr>
        <w:t>详细</w:t>
      </w:r>
      <w:r>
        <w:rPr>
          <w:rFonts w:hint="eastAsia" w:ascii="宋体" w:hAnsi="宋体"/>
          <w:bCs/>
          <w:color w:val="auto"/>
        </w:rPr>
        <w:t>要求见</w:t>
      </w:r>
      <w:r>
        <w:rPr>
          <w:rFonts w:hint="eastAsia" w:ascii="宋体" w:hAnsi="宋体"/>
          <w:bCs/>
          <w:color w:val="auto"/>
          <w:lang w:val="en-US" w:eastAsia="zh-CN"/>
        </w:rPr>
        <w:t>附录B.1</w:t>
      </w:r>
      <w:r>
        <w:rPr>
          <w:rFonts w:hint="eastAsia" w:ascii="宋体" w:hAnsi="宋体"/>
          <w:bCs/>
          <w:color w:val="auto"/>
        </w:rPr>
        <w:t>。</w:t>
      </w:r>
      <w:bookmarkEnd w:id="71"/>
      <w:bookmarkEnd w:id="72"/>
    </w:p>
    <w:bookmarkEnd w:id="70"/>
    <w:p w14:paraId="26912ECD">
      <w:pPr>
        <w:pStyle w:val="98"/>
        <w:spacing w:beforeLines="0" w:afterLines="0"/>
        <w:rPr>
          <w:rFonts w:ascii="宋体" w:hAnsi="宋体"/>
          <w:bCs/>
          <w:color w:val="auto"/>
        </w:rPr>
      </w:pPr>
      <w:r>
        <w:rPr>
          <w:rFonts w:hint="eastAsia" w:ascii="宋体" w:hAnsi="宋体"/>
          <w:bCs/>
          <w:color w:val="auto"/>
        </w:rPr>
        <w:t>6.2.</w:t>
      </w:r>
      <w:r>
        <w:rPr>
          <w:rFonts w:hint="eastAsia" w:ascii="宋体" w:hAnsi="宋体"/>
          <w:bCs/>
          <w:color w:val="auto"/>
          <w:lang w:val="en-US" w:eastAsia="zh-CN"/>
        </w:rPr>
        <w:t>3燃气</w:t>
      </w:r>
      <w:r>
        <w:rPr>
          <w:rFonts w:hint="eastAsia" w:ascii="宋体" w:hAnsi="宋体"/>
          <w:bCs/>
          <w:color w:val="auto"/>
        </w:rPr>
        <w:t>监测设备</w:t>
      </w:r>
      <w:r>
        <w:rPr>
          <w:rFonts w:hint="eastAsia" w:ascii="宋体" w:hAnsi="宋体"/>
          <w:bCs/>
          <w:color w:val="auto"/>
          <w:lang w:val="en-US" w:eastAsia="zh-CN"/>
        </w:rPr>
        <w:t>性能</w:t>
      </w:r>
      <w:r>
        <w:rPr>
          <w:rFonts w:hint="eastAsia" w:ascii="宋体" w:hAnsi="宋体"/>
          <w:bCs/>
          <w:color w:val="auto"/>
        </w:rPr>
        <w:t>应符合</w:t>
      </w:r>
      <w:r>
        <w:rPr>
          <w:rFonts w:hint="eastAsia" w:ascii="宋体" w:hAnsi="宋体"/>
          <w:bCs/>
          <w:color w:val="auto"/>
          <w:lang w:eastAsia="zh-CN"/>
        </w:rPr>
        <w:t>以下要求</w:t>
      </w:r>
      <w:r>
        <w:rPr>
          <w:rFonts w:hint="eastAsia" w:ascii="宋体" w:hAnsi="宋体"/>
          <w:bCs/>
          <w:color w:val="auto"/>
        </w:rPr>
        <w:t>：</w:t>
      </w:r>
    </w:p>
    <w:p w14:paraId="216B3DE0">
      <w:pPr>
        <w:pStyle w:val="98"/>
        <w:numPr>
          <w:ilvl w:val="0"/>
          <w:numId w:val="8"/>
        </w:numPr>
        <w:spacing w:beforeLines="0" w:afterLines="0"/>
        <w:ind w:firstLine="420" w:firstLineChars="200"/>
        <w:rPr>
          <w:rFonts w:hint="eastAsia" w:ascii="宋体" w:hAnsi="宋体"/>
          <w:bCs/>
          <w:color w:val="auto"/>
          <w:lang w:val="en-US" w:eastAsia="zh-CN"/>
        </w:rPr>
      </w:pPr>
      <w:r>
        <w:rPr>
          <w:rFonts w:hint="eastAsia" w:ascii="宋体" w:hAnsi="宋体"/>
          <w:bCs/>
          <w:color w:val="auto"/>
          <w:lang w:val="en-US" w:eastAsia="zh-CN"/>
        </w:rPr>
        <w:t>宜选用</w:t>
      </w:r>
      <w:r>
        <w:rPr>
          <w:rFonts w:hint="eastAsia" w:ascii="宋体" w:hAnsi="宋体" w:eastAsia="宋体" w:cs="宋体"/>
          <w:bCs/>
          <w:color w:val="auto"/>
          <w:sz w:val="21"/>
          <w:szCs w:val="20"/>
        </w:rPr>
        <w:t>具备边缘计算能力的智能型设备</w:t>
      </w:r>
      <w:r>
        <w:rPr>
          <w:rFonts w:hint="eastAsia" w:ascii="宋体" w:hAnsi="宋体"/>
          <w:bCs/>
          <w:color w:val="auto"/>
          <w:lang w:val="en-US" w:eastAsia="zh-CN"/>
        </w:rPr>
        <w:t>；</w:t>
      </w:r>
    </w:p>
    <w:p w14:paraId="4285A15E">
      <w:pPr>
        <w:pStyle w:val="98"/>
        <w:numPr>
          <w:ilvl w:val="0"/>
          <w:numId w:val="8"/>
        </w:numPr>
        <w:spacing w:beforeLines="0" w:afterLines="0"/>
        <w:ind w:firstLine="420" w:firstLineChars="200"/>
        <w:rPr>
          <w:rFonts w:hint="eastAsia" w:ascii="宋体" w:hAnsi="宋体"/>
          <w:bCs/>
          <w:color w:val="auto"/>
          <w:lang w:val="en-US" w:eastAsia="zh-CN"/>
        </w:rPr>
      </w:pPr>
      <w:r>
        <w:rPr>
          <w:rFonts w:hint="eastAsia" w:ascii="宋体" w:hAnsi="宋体"/>
          <w:bCs/>
          <w:color w:val="auto"/>
          <w:lang w:val="en-US" w:eastAsia="zh-CN"/>
        </w:rPr>
        <w:t>可燃气体浓度宜采用激光式泄漏监测设备，移动式激光巡检设备检测精度应不低于1ppm或5ppm×m，宜采用ppb级高精度巡检设备；</w:t>
      </w:r>
    </w:p>
    <w:p w14:paraId="1031A4E7">
      <w:pPr>
        <w:pStyle w:val="98"/>
        <w:numPr>
          <w:ilvl w:val="0"/>
          <w:numId w:val="8"/>
        </w:numPr>
        <w:spacing w:beforeLines="0" w:afterLines="0"/>
        <w:ind w:firstLine="420" w:firstLineChars="200"/>
        <w:rPr>
          <w:rFonts w:hint="eastAsia" w:ascii="宋体" w:hAnsi="宋体"/>
          <w:bCs/>
          <w:color w:val="auto"/>
        </w:rPr>
      </w:pPr>
      <w:r>
        <w:rPr>
          <w:rFonts w:hint="eastAsia" w:ascii="宋体" w:hAnsi="宋体" w:eastAsia="宋体" w:cs="宋体"/>
          <w:bCs/>
          <w:color w:val="auto"/>
          <w:sz w:val="21"/>
          <w:szCs w:val="20"/>
        </w:rPr>
        <w:t>地下阀井等受限空间宜采用小型紧凑结构</w:t>
      </w:r>
      <w:r>
        <w:rPr>
          <w:rFonts w:hint="eastAsia" w:ascii="宋体" w:hAnsi="宋体" w:cs="宋体"/>
          <w:bCs/>
          <w:color w:val="auto"/>
          <w:sz w:val="21"/>
          <w:szCs w:val="20"/>
          <w:lang w:val="en-US" w:eastAsia="zh-CN"/>
        </w:rPr>
        <w:t>设备</w:t>
      </w:r>
      <w:r>
        <w:rPr>
          <w:rFonts w:hint="eastAsia" w:ascii="宋体" w:hAnsi="宋体" w:eastAsia="宋体" w:cs="宋体"/>
          <w:bCs/>
          <w:color w:val="auto"/>
          <w:sz w:val="21"/>
          <w:szCs w:val="20"/>
        </w:rPr>
        <w:t>，不得妨碍阀门启闭、管道检修等运维作业</w:t>
      </w:r>
      <w:r>
        <w:rPr>
          <w:rFonts w:hint="eastAsia" w:ascii="宋体" w:hAnsi="宋体" w:cs="宋体"/>
          <w:bCs/>
          <w:color w:val="auto"/>
          <w:sz w:val="21"/>
          <w:szCs w:val="20"/>
          <w:lang w:eastAsia="zh-CN"/>
        </w:rPr>
        <w:t>；</w:t>
      </w:r>
    </w:p>
    <w:p w14:paraId="749A97E4">
      <w:pPr>
        <w:pStyle w:val="98"/>
        <w:numPr>
          <w:ilvl w:val="0"/>
          <w:numId w:val="8"/>
        </w:numPr>
        <w:spacing w:beforeLines="0" w:afterLines="0"/>
        <w:ind w:firstLine="420" w:firstLineChars="200"/>
        <w:rPr>
          <w:rFonts w:hint="eastAsia" w:ascii="宋体" w:hAnsi="宋体" w:eastAsia="宋体" w:cs="宋体"/>
          <w:bCs/>
          <w:color w:val="auto"/>
          <w:sz w:val="21"/>
          <w:szCs w:val="20"/>
        </w:rPr>
      </w:pPr>
      <w:r>
        <w:rPr>
          <w:rFonts w:hint="eastAsia" w:ascii="宋体" w:hAnsi="宋体" w:eastAsia="宋体" w:cs="宋体"/>
          <w:bCs/>
          <w:color w:val="auto"/>
          <w:sz w:val="21"/>
          <w:szCs w:val="20"/>
          <w:lang w:val="en-US" w:eastAsia="zh-CN"/>
        </w:rPr>
        <w:t>爆炸危险区内</w:t>
      </w:r>
      <w:r>
        <w:rPr>
          <w:rFonts w:hint="eastAsia" w:ascii="宋体" w:hAnsi="宋体" w:eastAsia="宋体" w:cs="宋体"/>
          <w:bCs/>
          <w:color w:val="auto"/>
          <w:sz w:val="21"/>
          <w:szCs w:val="20"/>
        </w:rPr>
        <w:t>安装的</w:t>
      </w:r>
      <w:r>
        <w:rPr>
          <w:rFonts w:hint="eastAsia" w:ascii="宋体" w:hAnsi="宋体" w:eastAsia="宋体" w:cs="宋体"/>
          <w:bCs/>
          <w:color w:val="auto"/>
          <w:sz w:val="21"/>
          <w:szCs w:val="20"/>
          <w:lang w:val="en-US" w:eastAsia="zh-CN"/>
        </w:rPr>
        <w:t>固定式</w:t>
      </w:r>
      <w:r>
        <w:rPr>
          <w:rFonts w:hint="eastAsia" w:ascii="宋体" w:hAnsi="宋体" w:eastAsia="宋体" w:cs="宋体"/>
          <w:bCs/>
          <w:color w:val="auto"/>
          <w:sz w:val="21"/>
          <w:szCs w:val="20"/>
        </w:rPr>
        <w:t>监测设备应</w:t>
      </w:r>
      <w:r>
        <w:rPr>
          <w:rFonts w:hint="eastAsia" w:ascii="宋体" w:hAnsi="宋体" w:eastAsia="宋体" w:cs="宋体"/>
          <w:bCs/>
          <w:color w:val="auto"/>
          <w:sz w:val="21"/>
          <w:szCs w:val="20"/>
          <w:lang w:val="en-US" w:eastAsia="zh-CN"/>
        </w:rPr>
        <w:t>满足防爆要求</w:t>
      </w:r>
      <w:r>
        <w:rPr>
          <w:rFonts w:hint="eastAsia" w:ascii="宋体" w:hAnsi="宋体" w:eastAsia="宋体" w:cs="宋体"/>
          <w:bCs/>
          <w:color w:val="auto"/>
          <w:sz w:val="21"/>
          <w:szCs w:val="20"/>
          <w:lang w:eastAsia="zh-CN"/>
        </w:rPr>
        <w:t>；</w:t>
      </w:r>
    </w:p>
    <w:p w14:paraId="42D2EC0C">
      <w:pPr>
        <w:pStyle w:val="98"/>
        <w:numPr>
          <w:ilvl w:val="0"/>
          <w:numId w:val="8"/>
        </w:numPr>
        <w:spacing w:beforeLines="0" w:afterLines="0"/>
        <w:ind w:firstLine="420" w:firstLineChars="200"/>
        <w:rPr>
          <w:rFonts w:ascii="宋体" w:hAnsi="宋体"/>
          <w:bCs/>
          <w:color w:val="auto"/>
        </w:rPr>
      </w:pPr>
      <w:r>
        <w:rPr>
          <w:rFonts w:hint="eastAsia" w:ascii="宋体" w:hAnsi="宋体"/>
          <w:bCs/>
          <w:color w:val="auto"/>
        </w:rPr>
        <w:t>设备</w:t>
      </w:r>
      <w:r>
        <w:rPr>
          <w:rFonts w:hint="default" w:ascii="宋体" w:hAnsi="宋体" w:eastAsia="宋体" w:cs="宋体"/>
          <w:bCs/>
          <w:color w:val="auto"/>
          <w:sz w:val="21"/>
          <w:szCs w:val="20"/>
          <w:lang w:val="en-US"/>
        </w:rPr>
        <w:t>宜集成定位模块，</w:t>
      </w:r>
      <w:r>
        <w:rPr>
          <w:rFonts w:hint="default" w:ascii="宋体" w:hAnsi="宋体"/>
          <w:bCs/>
          <w:color w:val="auto"/>
          <w:lang w:val="en-US"/>
        </w:rPr>
        <w:t>并</w:t>
      </w:r>
      <w:r>
        <w:rPr>
          <w:rFonts w:hint="eastAsia" w:ascii="宋体" w:hAnsi="宋体"/>
          <w:bCs/>
          <w:color w:val="auto"/>
        </w:rPr>
        <w:t>支持接入燃气企业</w:t>
      </w:r>
      <w:r>
        <w:rPr>
          <w:rFonts w:hint="eastAsia" w:ascii="宋体" w:hAnsi="宋体"/>
          <w:bCs/>
          <w:color w:val="auto"/>
          <w:lang w:eastAsia="zh-CN"/>
        </w:rPr>
        <w:t>、</w:t>
      </w:r>
      <w:r>
        <w:rPr>
          <w:rFonts w:hint="eastAsia" w:ascii="宋体" w:hAnsi="宋体"/>
          <w:bCs/>
          <w:color w:val="auto"/>
          <w:lang w:val="en-US" w:eastAsia="zh-CN"/>
        </w:rPr>
        <w:t>行业主管部门</w:t>
      </w:r>
      <w:r>
        <w:rPr>
          <w:rFonts w:hint="eastAsia" w:cs="宋体"/>
          <w:bCs/>
          <w:color w:val="auto"/>
          <w:sz w:val="21"/>
          <w:szCs w:val="20"/>
          <w:lang w:val="en-US" w:eastAsia="zh-CN"/>
        </w:rPr>
        <w:t>管理信息</w:t>
      </w:r>
      <w:r>
        <w:rPr>
          <w:rFonts w:ascii="宋体" w:hAnsi="宋体"/>
          <w:bCs/>
          <w:color w:val="auto"/>
        </w:rPr>
        <w:t>系统。</w:t>
      </w:r>
    </w:p>
    <w:p w14:paraId="56191A76">
      <w:pPr>
        <w:pStyle w:val="98"/>
        <w:spacing w:beforeLines="0" w:afterLines="0"/>
        <w:ind w:firstLine="420" w:firstLineChars="200"/>
        <w:rPr>
          <w:rFonts w:ascii="宋体" w:hAnsi="宋体"/>
          <w:bCs/>
          <w:color w:val="auto"/>
        </w:rPr>
      </w:pPr>
      <w:r>
        <w:rPr>
          <w:rFonts w:hint="eastAsia" w:ascii="宋体" w:hAnsi="宋体"/>
          <w:bCs/>
          <w:color w:val="auto"/>
          <w:lang w:val="en-US" w:eastAsia="zh-CN"/>
        </w:rPr>
        <w:t>燃气</w:t>
      </w:r>
      <w:r>
        <w:rPr>
          <w:rFonts w:hint="eastAsia" w:ascii="宋体" w:hAnsi="宋体"/>
          <w:bCs/>
          <w:color w:val="auto"/>
        </w:rPr>
        <w:t>监测设备</w:t>
      </w:r>
      <w:r>
        <w:rPr>
          <w:rFonts w:hint="eastAsia" w:ascii="宋体" w:hAnsi="宋体"/>
          <w:bCs/>
          <w:color w:val="auto"/>
          <w:lang w:val="en-US" w:eastAsia="zh-CN"/>
        </w:rPr>
        <w:t>详细性能</w:t>
      </w:r>
      <w:r>
        <w:rPr>
          <w:rFonts w:hint="eastAsia" w:ascii="宋体" w:hAnsi="宋体"/>
          <w:bCs/>
          <w:color w:val="auto"/>
        </w:rPr>
        <w:t>要求见附录</w:t>
      </w:r>
      <w:r>
        <w:rPr>
          <w:rFonts w:hint="eastAsia" w:ascii="宋体" w:hAnsi="宋体"/>
          <w:bCs/>
          <w:color w:val="auto"/>
          <w:lang w:val="en-US" w:eastAsia="zh-CN"/>
        </w:rPr>
        <w:t>C</w:t>
      </w:r>
      <w:r>
        <w:rPr>
          <w:rFonts w:hint="eastAsia" w:ascii="宋体" w:hAnsi="宋体"/>
          <w:bCs/>
          <w:color w:val="auto"/>
        </w:rPr>
        <w:t>.1。</w:t>
      </w:r>
    </w:p>
    <w:p w14:paraId="2A7DA683">
      <w:pPr>
        <w:pStyle w:val="108"/>
        <w:numPr>
          <w:ilvl w:val="1"/>
          <w:numId w:val="1"/>
        </w:numPr>
        <w:spacing w:beforeLines="50" w:afterLines="50"/>
      </w:pPr>
      <w:bookmarkStart w:id="73" w:name="_Toc9883"/>
      <w:r>
        <w:rPr>
          <w:rFonts w:hint="eastAsia"/>
        </w:rPr>
        <w:t>供水安全监测感知网</w:t>
      </w:r>
      <w:bookmarkEnd w:id="73"/>
    </w:p>
    <w:p w14:paraId="08189602">
      <w:pPr>
        <w:pStyle w:val="98"/>
        <w:spacing w:beforeLines="0" w:afterLines="0"/>
        <w:rPr>
          <w:rFonts w:hint="eastAsia" w:ascii="宋体" w:hAnsi="宋体" w:eastAsia="宋体"/>
          <w:bCs/>
          <w:color w:val="auto"/>
          <w:lang w:val="en-US" w:eastAsia="zh-CN"/>
        </w:rPr>
      </w:pPr>
      <w:bookmarkStart w:id="74" w:name="OLE_LINK72"/>
      <w:bookmarkStart w:id="75" w:name="OLE_LINK74"/>
      <w:r>
        <w:rPr>
          <w:rFonts w:hint="eastAsia" w:ascii="宋体" w:hAnsi="宋体"/>
          <w:bCs/>
          <w:color w:val="auto"/>
          <w:szCs w:val="21"/>
        </w:rPr>
        <w:t>6.3.1</w:t>
      </w:r>
      <w:r>
        <w:rPr>
          <w:rFonts w:hint="eastAsia" w:ascii="宋体" w:hAnsi="宋体"/>
          <w:bCs/>
          <w:color w:val="auto"/>
          <w:szCs w:val="21"/>
          <w:lang w:val="en-US" w:eastAsia="zh-CN"/>
        </w:rPr>
        <w:t>供水</w:t>
      </w:r>
      <w:r>
        <w:rPr>
          <w:rFonts w:hint="eastAsia" w:ascii="宋体" w:hAnsi="宋体"/>
          <w:bCs/>
          <w:color w:val="auto"/>
          <w:szCs w:val="21"/>
        </w:rPr>
        <w:t>监测对象</w:t>
      </w:r>
      <w:r>
        <w:rPr>
          <w:rFonts w:hint="eastAsia" w:ascii="宋体" w:hAnsi="宋体"/>
          <w:bCs/>
          <w:color w:val="auto"/>
          <w:lang w:val="en-US" w:eastAsia="zh-CN"/>
        </w:rPr>
        <w:t>及其主要</w:t>
      </w:r>
      <w:r>
        <w:rPr>
          <w:rFonts w:hint="eastAsia" w:ascii="宋体" w:hAnsi="宋体"/>
          <w:bCs/>
          <w:color w:val="auto"/>
        </w:rPr>
        <w:t>监测指标</w:t>
      </w:r>
      <w:r>
        <w:rPr>
          <w:rFonts w:hint="eastAsia" w:ascii="宋体" w:hAnsi="宋体"/>
          <w:bCs/>
          <w:color w:val="auto"/>
          <w:lang w:val="en-US" w:eastAsia="zh-CN"/>
        </w:rPr>
        <w:t>应符合以下要求</w:t>
      </w:r>
      <w:r>
        <w:rPr>
          <w:rFonts w:hint="eastAsia" w:ascii="宋体" w:hAnsi="宋体"/>
          <w:bCs/>
          <w:color w:val="auto"/>
          <w:lang w:eastAsia="zh-CN"/>
        </w:rPr>
        <w:t>：</w:t>
      </w:r>
    </w:p>
    <w:bookmarkEnd w:id="74"/>
    <w:bookmarkEnd w:id="75"/>
    <w:p w14:paraId="46A96B44">
      <w:pPr>
        <w:pStyle w:val="98"/>
        <w:numPr>
          <w:ilvl w:val="0"/>
          <w:numId w:val="9"/>
        </w:numPr>
        <w:spacing w:beforeLines="0" w:afterLines="0"/>
        <w:ind w:firstLine="420" w:firstLineChars="200"/>
        <w:rPr>
          <w:rFonts w:hint="eastAsia" w:ascii="宋体" w:hAnsi="宋体"/>
          <w:bCs/>
          <w:color w:val="auto"/>
          <w:lang w:eastAsia="zh-CN"/>
        </w:rPr>
      </w:pPr>
      <w:r>
        <w:rPr>
          <w:rFonts w:hint="eastAsia" w:ascii="宋体" w:hAnsi="宋体"/>
          <w:bCs/>
          <w:color w:val="auto"/>
          <w:lang w:val="en-US" w:eastAsia="zh-CN"/>
        </w:rPr>
        <w:t>水源地监测指标主要为</w:t>
      </w:r>
      <w:r>
        <w:rPr>
          <w:rFonts w:hint="eastAsia" w:ascii="宋体" w:hAnsi="宋体"/>
          <w:bCs/>
          <w:color w:val="auto"/>
        </w:rPr>
        <w:t>水质（</w:t>
      </w:r>
      <w:r>
        <w:rPr>
          <w:rFonts w:hint="eastAsia" w:ascii="宋体" w:hAnsi="宋体"/>
          <w:bCs/>
          <w:color w:val="auto"/>
          <w:lang w:val="en-US" w:eastAsia="zh-CN"/>
        </w:rPr>
        <w:t>水温、溶解氧、pH、浑浊度、电导率、高锰酸盐指数、氨氮</w:t>
      </w:r>
      <w:r>
        <w:rPr>
          <w:rFonts w:hint="eastAsia" w:ascii="宋体" w:hAnsi="宋体"/>
          <w:bCs/>
          <w:color w:val="auto"/>
        </w:rPr>
        <w:t>）、</w:t>
      </w:r>
      <w:r>
        <w:rPr>
          <w:rFonts w:hint="eastAsia" w:ascii="宋体" w:hAnsi="宋体"/>
          <w:bCs/>
          <w:color w:val="auto"/>
          <w:lang w:eastAsia="zh-CN"/>
        </w:rPr>
        <w:t>视频监控；</w:t>
      </w:r>
    </w:p>
    <w:p w14:paraId="47209867">
      <w:pPr>
        <w:pStyle w:val="98"/>
        <w:numPr>
          <w:ilvl w:val="0"/>
          <w:numId w:val="9"/>
        </w:numPr>
        <w:spacing w:beforeLines="0" w:afterLines="0"/>
        <w:ind w:firstLine="420" w:firstLineChars="200"/>
        <w:rPr>
          <w:rFonts w:hint="eastAsia" w:ascii="宋体" w:hAnsi="宋体"/>
          <w:bCs/>
          <w:color w:val="auto"/>
          <w:lang w:eastAsia="zh-CN"/>
        </w:rPr>
      </w:pPr>
      <w:r>
        <w:rPr>
          <w:rFonts w:hint="eastAsia" w:ascii="宋体" w:hAnsi="宋体"/>
          <w:bCs/>
          <w:color w:val="auto"/>
        </w:rPr>
        <w:t>水厂及泵站</w:t>
      </w:r>
      <w:r>
        <w:rPr>
          <w:rFonts w:hint="eastAsia" w:ascii="宋体" w:hAnsi="宋体"/>
          <w:bCs/>
          <w:color w:val="auto"/>
          <w:lang w:val="en-US" w:eastAsia="zh-CN"/>
        </w:rPr>
        <w:t>监测指标主要包括</w:t>
      </w:r>
      <w:r>
        <w:rPr>
          <w:rFonts w:hint="eastAsia" w:ascii="宋体" w:hAnsi="宋体"/>
          <w:bCs/>
          <w:color w:val="auto"/>
        </w:rPr>
        <w:t>水质（</w:t>
      </w:r>
      <w:r>
        <w:rPr>
          <w:rFonts w:hint="eastAsia" w:ascii="宋体" w:hAnsi="宋体"/>
          <w:bCs/>
          <w:color w:val="auto"/>
          <w:lang w:val="en-US" w:eastAsia="zh-CN"/>
        </w:rPr>
        <w:t>水温、溶解氧、</w:t>
      </w:r>
      <w:r>
        <w:rPr>
          <w:rFonts w:hint="eastAsia" w:ascii="宋体" w:hAnsi="宋体"/>
          <w:bCs/>
          <w:color w:val="auto"/>
        </w:rPr>
        <w:t>浑浊度</w:t>
      </w:r>
      <w:r>
        <w:rPr>
          <w:rFonts w:hint="eastAsia" w:ascii="宋体" w:hAnsi="宋体"/>
          <w:bCs/>
          <w:color w:val="auto"/>
          <w:lang w:val="en-US" w:eastAsia="zh-CN"/>
        </w:rPr>
        <w:t>、</w:t>
      </w:r>
      <w:r>
        <w:rPr>
          <w:rFonts w:hint="eastAsia" w:ascii="宋体" w:hAnsi="宋体"/>
          <w:bCs/>
          <w:color w:val="auto"/>
          <w:lang w:eastAsia="zh-CN"/>
        </w:rPr>
        <w:t>pH</w:t>
      </w:r>
      <w:r>
        <w:rPr>
          <w:rFonts w:hint="eastAsia" w:ascii="宋体" w:hAnsi="宋体"/>
          <w:bCs/>
          <w:color w:val="auto"/>
          <w:lang w:val="en-US" w:eastAsia="zh-CN"/>
        </w:rPr>
        <w:t>、余氯</w:t>
      </w:r>
      <w:r>
        <w:rPr>
          <w:rFonts w:hint="eastAsia" w:ascii="宋体" w:hAnsi="宋体"/>
          <w:bCs/>
          <w:color w:val="auto"/>
        </w:rPr>
        <w:t>）、流量、</w:t>
      </w:r>
      <w:r>
        <w:rPr>
          <w:rFonts w:hint="eastAsia" w:ascii="宋体" w:hAnsi="宋体"/>
          <w:bCs/>
          <w:color w:val="auto"/>
          <w:lang w:val="en-US" w:eastAsia="zh-CN"/>
        </w:rPr>
        <w:t>压力、</w:t>
      </w:r>
      <w:r>
        <w:rPr>
          <w:rFonts w:hint="eastAsia" w:ascii="宋体" w:hAnsi="宋体"/>
          <w:bCs/>
          <w:color w:val="auto"/>
        </w:rPr>
        <w:t>液位、</w:t>
      </w:r>
      <w:r>
        <w:rPr>
          <w:rFonts w:hint="eastAsia" w:ascii="宋体" w:hAnsi="宋体"/>
          <w:bCs/>
          <w:color w:val="auto"/>
          <w:lang w:eastAsia="zh-CN"/>
        </w:rPr>
        <w:t>视频监控；</w:t>
      </w:r>
    </w:p>
    <w:p w14:paraId="2302C019">
      <w:pPr>
        <w:pStyle w:val="98"/>
        <w:numPr>
          <w:ilvl w:val="0"/>
          <w:numId w:val="9"/>
        </w:numPr>
        <w:spacing w:beforeLines="0" w:afterLines="0"/>
        <w:ind w:firstLine="420" w:firstLineChars="200"/>
        <w:rPr>
          <w:rFonts w:hint="eastAsia" w:ascii="宋体" w:hAnsi="宋体"/>
          <w:bCs/>
          <w:color w:val="auto"/>
          <w:lang w:eastAsia="zh-CN"/>
        </w:rPr>
      </w:pPr>
      <w:r>
        <w:rPr>
          <w:rFonts w:hint="eastAsia" w:ascii="宋体" w:hAnsi="宋体"/>
          <w:bCs/>
          <w:color w:val="auto"/>
          <w:lang w:val="en-US" w:eastAsia="zh-CN"/>
        </w:rPr>
        <w:t>原水管道、</w:t>
      </w:r>
      <w:r>
        <w:rPr>
          <w:rFonts w:hint="eastAsia" w:ascii="宋体" w:hAnsi="宋体"/>
          <w:bCs/>
          <w:color w:val="auto"/>
        </w:rPr>
        <w:t>输配水管道</w:t>
      </w:r>
      <w:r>
        <w:rPr>
          <w:rFonts w:hint="eastAsia" w:ascii="宋体" w:hAnsi="宋体"/>
          <w:bCs/>
          <w:color w:val="auto"/>
          <w:lang w:val="en-US" w:eastAsia="zh-CN"/>
        </w:rPr>
        <w:t>监测指标主要包括</w:t>
      </w:r>
      <w:r>
        <w:rPr>
          <w:rFonts w:hint="eastAsia" w:ascii="宋体" w:hAnsi="宋体"/>
          <w:bCs/>
          <w:color w:val="auto"/>
        </w:rPr>
        <w:t>水质（浑浊度，余氯）、流量</w:t>
      </w:r>
      <w:r>
        <w:rPr>
          <w:rFonts w:hint="eastAsia" w:ascii="宋体" w:hAnsi="宋体"/>
          <w:bCs/>
          <w:color w:val="auto"/>
          <w:lang w:eastAsia="zh-CN"/>
        </w:rPr>
        <w:t>、</w:t>
      </w:r>
      <w:r>
        <w:rPr>
          <w:rFonts w:hint="eastAsia" w:ascii="宋体" w:hAnsi="宋体"/>
          <w:bCs/>
          <w:color w:val="auto"/>
        </w:rPr>
        <w:t>压力、</w:t>
      </w:r>
      <w:r>
        <w:rPr>
          <w:rFonts w:hint="eastAsia" w:ascii="宋体" w:hAnsi="宋体"/>
          <w:bCs/>
          <w:color w:val="auto"/>
          <w:lang w:eastAsia="zh-CN"/>
        </w:rPr>
        <w:t>漏水声波、视频监控；</w:t>
      </w:r>
    </w:p>
    <w:p w14:paraId="45E8D0D7">
      <w:pPr>
        <w:pStyle w:val="98"/>
        <w:numPr>
          <w:ilvl w:val="0"/>
          <w:numId w:val="9"/>
        </w:numPr>
        <w:spacing w:beforeLines="0" w:afterLines="0"/>
        <w:ind w:firstLine="420" w:firstLineChars="200"/>
        <w:rPr>
          <w:rFonts w:hint="eastAsia" w:ascii="宋体" w:hAnsi="宋体"/>
          <w:bCs/>
          <w:color w:val="auto"/>
          <w:lang w:eastAsia="zh-CN"/>
        </w:rPr>
      </w:pPr>
      <w:r>
        <w:rPr>
          <w:rFonts w:hint="eastAsia" w:ascii="宋体" w:hAnsi="宋体"/>
          <w:bCs/>
          <w:color w:val="auto"/>
        </w:rPr>
        <w:t>二次供水设施</w:t>
      </w:r>
      <w:r>
        <w:rPr>
          <w:rFonts w:hint="eastAsia" w:ascii="宋体" w:hAnsi="宋体"/>
          <w:bCs/>
          <w:color w:val="auto"/>
          <w:lang w:val="en-US" w:eastAsia="zh-CN"/>
        </w:rPr>
        <w:t>监测指标主要包括</w:t>
      </w:r>
      <w:r>
        <w:rPr>
          <w:rFonts w:hint="eastAsia" w:ascii="宋体" w:hAnsi="宋体"/>
          <w:bCs/>
          <w:color w:val="auto"/>
        </w:rPr>
        <w:t>水质（浑浊度，余氯）、流量、压力、液位</w:t>
      </w:r>
      <w:r>
        <w:rPr>
          <w:rFonts w:hint="eastAsia" w:ascii="宋体" w:hAnsi="宋体"/>
          <w:bCs/>
          <w:color w:val="auto"/>
          <w:lang w:eastAsia="zh-CN"/>
        </w:rPr>
        <w:t>、视频监控；</w:t>
      </w:r>
    </w:p>
    <w:p w14:paraId="3A45A004">
      <w:pPr>
        <w:pStyle w:val="98"/>
        <w:numPr>
          <w:ilvl w:val="0"/>
          <w:numId w:val="9"/>
        </w:numPr>
        <w:spacing w:beforeLines="0" w:afterLines="0"/>
        <w:ind w:firstLine="420" w:firstLineChars="200"/>
        <w:rPr>
          <w:rFonts w:hint="eastAsia" w:ascii="宋体" w:hAnsi="宋体"/>
          <w:bCs/>
          <w:color w:val="auto"/>
          <w:lang w:eastAsia="zh-CN"/>
        </w:rPr>
      </w:pPr>
      <w:r>
        <w:rPr>
          <w:rFonts w:hint="eastAsia" w:ascii="宋体" w:hAnsi="宋体"/>
          <w:bCs/>
          <w:color w:val="auto"/>
        </w:rPr>
        <w:t>消火栓</w:t>
      </w:r>
      <w:r>
        <w:rPr>
          <w:rFonts w:hint="eastAsia" w:ascii="宋体" w:hAnsi="宋体"/>
          <w:bCs/>
          <w:color w:val="auto"/>
          <w:lang w:eastAsia="zh-CN"/>
        </w:rPr>
        <w:t>、</w:t>
      </w:r>
      <w:r>
        <w:rPr>
          <w:rFonts w:hint="eastAsia" w:ascii="宋体" w:hAnsi="宋体"/>
          <w:bCs/>
          <w:color w:val="auto"/>
          <w:lang w:val="en-US" w:eastAsia="zh-CN"/>
        </w:rPr>
        <w:t>检查井</w:t>
      </w:r>
      <w:r>
        <w:rPr>
          <w:rFonts w:hint="eastAsia" w:ascii="宋体" w:hAnsi="宋体"/>
          <w:bCs/>
          <w:color w:val="auto"/>
        </w:rPr>
        <w:t>和阀门井盖</w:t>
      </w:r>
      <w:r>
        <w:rPr>
          <w:rFonts w:hint="eastAsia" w:ascii="宋体" w:hAnsi="宋体"/>
          <w:bCs/>
          <w:color w:val="auto"/>
          <w:lang w:val="en-US" w:eastAsia="zh-CN"/>
        </w:rPr>
        <w:t>监测指标主要包括</w:t>
      </w:r>
      <w:r>
        <w:rPr>
          <w:rFonts w:hint="eastAsia" w:ascii="宋体" w:hAnsi="宋体"/>
          <w:bCs/>
          <w:color w:val="auto"/>
        </w:rPr>
        <w:t>流量、压力、井盖监测</w:t>
      </w:r>
      <w:r>
        <w:rPr>
          <w:rFonts w:hint="eastAsia" w:ascii="宋体" w:hAnsi="宋体"/>
          <w:bCs/>
          <w:color w:val="auto"/>
          <w:lang w:eastAsia="zh-CN"/>
        </w:rPr>
        <w:t>；</w:t>
      </w:r>
    </w:p>
    <w:p w14:paraId="0B2DB868">
      <w:pPr>
        <w:pStyle w:val="98"/>
        <w:numPr>
          <w:ilvl w:val="0"/>
          <w:numId w:val="9"/>
        </w:numPr>
        <w:spacing w:beforeLines="0" w:afterLines="0"/>
        <w:ind w:firstLine="420" w:firstLineChars="200"/>
        <w:rPr>
          <w:rFonts w:hint="eastAsia" w:ascii="宋体" w:hAnsi="宋体"/>
          <w:bCs/>
          <w:color w:val="auto"/>
          <w:lang w:eastAsia="zh-CN"/>
        </w:rPr>
      </w:pPr>
      <w:r>
        <w:rPr>
          <w:rFonts w:hint="eastAsia" w:ascii="宋体" w:hAnsi="宋体"/>
          <w:bCs/>
          <w:color w:val="auto"/>
        </w:rPr>
        <w:t>重点供水用户</w:t>
      </w:r>
      <w:r>
        <w:rPr>
          <w:rFonts w:hint="eastAsia" w:ascii="宋体" w:hAnsi="宋体"/>
          <w:bCs/>
          <w:color w:val="auto"/>
          <w:lang w:val="en-US" w:eastAsia="zh-CN"/>
        </w:rPr>
        <w:t>监测指标主要包括</w:t>
      </w:r>
      <w:r>
        <w:rPr>
          <w:rFonts w:hint="eastAsia" w:ascii="宋体" w:hAnsi="宋体"/>
          <w:bCs/>
          <w:color w:val="auto"/>
        </w:rPr>
        <w:t>水质（浑浊度，</w:t>
      </w:r>
      <w:r>
        <w:rPr>
          <w:rFonts w:hint="eastAsia" w:ascii="宋体" w:hAnsi="宋体"/>
          <w:bCs/>
          <w:color w:val="auto"/>
          <w:lang w:val="en-US" w:eastAsia="zh-CN"/>
        </w:rPr>
        <w:t>余氯</w:t>
      </w:r>
      <w:r>
        <w:rPr>
          <w:rFonts w:hint="eastAsia" w:ascii="宋体" w:hAnsi="宋体"/>
          <w:bCs/>
          <w:color w:val="auto"/>
        </w:rPr>
        <w:t>）、流量、</w:t>
      </w:r>
      <w:r>
        <w:rPr>
          <w:rFonts w:hint="eastAsia" w:ascii="宋体" w:hAnsi="宋体"/>
          <w:bCs/>
          <w:color w:val="auto"/>
          <w:lang w:val="en-US" w:eastAsia="zh-CN"/>
        </w:rPr>
        <w:t>压力</w:t>
      </w:r>
      <w:r>
        <w:rPr>
          <w:rFonts w:hint="eastAsia" w:ascii="宋体" w:hAnsi="宋体"/>
          <w:bCs/>
          <w:color w:val="auto"/>
          <w:lang w:eastAsia="zh-CN"/>
        </w:rPr>
        <w:t>。</w:t>
      </w:r>
    </w:p>
    <w:p w14:paraId="73FBD499">
      <w:pPr>
        <w:pStyle w:val="98"/>
        <w:spacing w:beforeLines="0" w:afterLines="0"/>
        <w:rPr>
          <w:rFonts w:hint="eastAsia" w:ascii="宋体" w:hAnsi="宋体" w:eastAsia="宋体"/>
          <w:bCs/>
          <w:color w:val="auto"/>
          <w:szCs w:val="21"/>
          <w:lang w:eastAsia="zh-CN"/>
        </w:rPr>
      </w:pPr>
      <w:r>
        <w:rPr>
          <w:rFonts w:hint="eastAsia" w:ascii="宋体" w:hAnsi="宋体"/>
          <w:bCs/>
          <w:color w:val="auto"/>
          <w:szCs w:val="21"/>
        </w:rPr>
        <w:t>6.3.2</w:t>
      </w:r>
      <w:r>
        <w:rPr>
          <w:rFonts w:hint="eastAsia" w:ascii="宋体" w:hAnsi="宋体"/>
          <w:bCs/>
          <w:color w:val="auto"/>
          <w:szCs w:val="21"/>
          <w:lang w:val="en-US" w:eastAsia="zh-CN"/>
        </w:rPr>
        <w:t>供水</w:t>
      </w:r>
      <w:r>
        <w:rPr>
          <w:rFonts w:hint="eastAsia" w:ascii="宋体" w:hAnsi="宋体"/>
          <w:bCs/>
          <w:color w:val="auto"/>
          <w:szCs w:val="21"/>
        </w:rPr>
        <w:t>监测</w:t>
      </w:r>
      <w:r>
        <w:rPr>
          <w:rFonts w:hint="eastAsia" w:ascii="宋体" w:hAnsi="宋体"/>
          <w:bCs/>
          <w:color w:val="auto"/>
          <w:lang w:val="en-US" w:eastAsia="zh-CN"/>
        </w:rPr>
        <w:t>设备</w:t>
      </w:r>
      <w:r>
        <w:rPr>
          <w:rFonts w:hint="eastAsia" w:ascii="宋体" w:hAnsi="宋体"/>
          <w:bCs/>
          <w:color w:val="auto"/>
        </w:rPr>
        <w:t>布点</w:t>
      </w:r>
      <w:r>
        <w:rPr>
          <w:rFonts w:hint="eastAsia" w:ascii="宋体" w:hAnsi="宋体"/>
          <w:bCs/>
          <w:color w:val="auto"/>
          <w:lang w:val="en-US" w:eastAsia="zh-CN"/>
        </w:rPr>
        <w:t>要求</w:t>
      </w:r>
    </w:p>
    <w:p w14:paraId="734F5B8A">
      <w:pPr>
        <w:pStyle w:val="98"/>
        <w:spacing w:beforeLines="0" w:afterLines="0"/>
        <w:rPr>
          <w:rFonts w:hint="eastAsia" w:ascii="宋体" w:hAnsi="宋体"/>
          <w:bCs/>
          <w:color w:val="auto"/>
          <w:lang w:val="en-US" w:eastAsia="zh-CN"/>
        </w:rPr>
      </w:pPr>
      <w:r>
        <w:rPr>
          <w:rFonts w:hint="eastAsia" w:ascii="宋体" w:hAnsi="宋体"/>
          <w:bCs/>
          <w:color w:val="auto"/>
          <w:lang w:val="en-US" w:eastAsia="zh-CN"/>
        </w:rPr>
        <w:t>6.3.2.1水源地取水口应对</w:t>
      </w:r>
      <w:r>
        <w:rPr>
          <w:rFonts w:hint="eastAsia" w:ascii="宋体" w:hAnsi="宋体"/>
          <w:bCs/>
          <w:color w:val="auto"/>
        </w:rPr>
        <w:t>水质</w:t>
      </w:r>
      <w:r>
        <w:rPr>
          <w:rFonts w:hint="eastAsia" w:ascii="宋体" w:hAnsi="宋体"/>
          <w:bCs/>
          <w:color w:val="auto"/>
          <w:lang w:val="en-US" w:eastAsia="zh-CN"/>
        </w:rPr>
        <w:t>进行监测，宜对水位进行监测，宜</w:t>
      </w:r>
      <w:r>
        <w:rPr>
          <w:rFonts w:hint="eastAsia" w:ascii="宋体" w:hAnsi="宋体" w:cs="宋体"/>
          <w:bCs/>
          <w:color w:val="auto"/>
          <w:kern w:val="2"/>
          <w:sz w:val="21"/>
          <w:szCs w:val="20"/>
          <w:lang w:val="en-US" w:eastAsia="zh-CN" w:bidi="ar-SA"/>
        </w:rPr>
        <w:t>对周边环境进行视频监控，</w:t>
      </w:r>
      <w:r>
        <w:rPr>
          <w:rFonts w:hint="eastAsia" w:ascii="宋体" w:hAnsi="宋体"/>
          <w:bCs/>
          <w:color w:val="auto"/>
          <w:lang w:val="en-US" w:eastAsia="zh-CN"/>
        </w:rPr>
        <w:t>水源存在重金属污染风险时，应增设重金属指标监测。</w:t>
      </w:r>
    </w:p>
    <w:p w14:paraId="752E9EEA">
      <w:pPr>
        <w:pStyle w:val="98"/>
        <w:spacing w:beforeLines="0" w:afterLines="0"/>
        <w:rPr>
          <w:rFonts w:hint="eastAsia" w:ascii="宋体" w:hAnsi="宋体"/>
          <w:bCs/>
          <w:color w:val="auto"/>
          <w:lang w:val="en-US" w:eastAsia="zh-CN"/>
        </w:rPr>
      </w:pPr>
      <w:r>
        <w:rPr>
          <w:rFonts w:hint="eastAsia" w:ascii="宋体" w:hAnsi="宋体"/>
          <w:bCs/>
          <w:color w:val="auto"/>
          <w:lang w:val="en-US" w:eastAsia="zh-CN"/>
        </w:rPr>
        <w:t>6.3.2.2水厂及泵站监测布点应符合GB 55026、GB 50013、GB 50265、CJJ 58等标准要求，并结合工艺分区、设备配置、风险等级及运行管理需求布设监测点位。</w:t>
      </w:r>
    </w:p>
    <w:p w14:paraId="47BCAAE5">
      <w:pPr>
        <w:pStyle w:val="98"/>
        <w:spacing w:beforeLines="0" w:afterLines="0"/>
        <w:ind w:firstLine="0" w:firstLineChars="0"/>
        <w:rPr>
          <w:rFonts w:hint="eastAsia" w:ascii="宋体" w:hAnsi="宋体"/>
          <w:bCs/>
          <w:color w:val="auto"/>
          <w:lang w:val="en-US" w:eastAsia="zh-CN"/>
        </w:rPr>
      </w:pPr>
      <w:r>
        <w:rPr>
          <w:rFonts w:hint="eastAsia" w:ascii="宋体" w:hAnsi="宋体"/>
          <w:bCs/>
          <w:color w:val="auto"/>
          <w:lang w:val="en-US" w:eastAsia="zh-CN"/>
        </w:rPr>
        <w:t>6.3.2.3输配水</w:t>
      </w:r>
      <w:r>
        <w:rPr>
          <w:rFonts w:hint="eastAsia" w:ascii="宋体" w:hAnsi="宋体"/>
          <w:bCs/>
          <w:color w:val="auto"/>
        </w:rPr>
        <w:t>管道</w:t>
      </w:r>
      <w:r>
        <w:rPr>
          <w:rFonts w:hint="eastAsia" w:ascii="宋体" w:hAnsi="宋体"/>
          <w:bCs/>
          <w:color w:val="auto"/>
          <w:lang w:val="en-US" w:eastAsia="zh-CN"/>
        </w:rPr>
        <w:t>及阀井（室）</w:t>
      </w:r>
      <w:r>
        <w:rPr>
          <w:rFonts w:hint="eastAsia" w:ascii="宋体" w:hAnsi="宋体" w:cs="宋体"/>
          <w:bCs/>
          <w:color w:val="auto"/>
          <w:kern w:val="2"/>
          <w:sz w:val="21"/>
          <w:szCs w:val="20"/>
          <w:lang w:val="en-US" w:eastAsia="zh-CN" w:bidi="ar-SA"/>
        </w:rPr>
        <w:t>监测设备布点应</w:t>
      </w:r>
      <w:r>
        <w:rPr>
          <w:rFonts w:hint="eastAsia" w:ascii="宋体" w:hAnsi="宋体"/>
          <w:bCs/>
          <w:color w:val="auto"/>
          <w:lang w:val="en-US" w:eastAsia="zh-CN"/>
        </w:rPr>
        <w:t>符合以下要求：</w:t>
      </w:r>
    </w:p>
    <w:p w14:paraId="1575867B">
      <w:pPr>
        <w:pStyle w:val="98"/>
        <w:spacing w:beforeLines="0" w:afterLines="0"/>
        <w:ind w:firstLine="420" w:firstLineChars="200"/>
        <w:rPr>
          <w:rFonts w:hint="eastAsia" w:ascii="宋体" w:hAnsi="宋体"/>
          <w:bCs/>
          <w:color w:val="auto"/>
          <w:szCs w:val="21"/>
          <w:lang w:eastAsia="zh-CN"/>
        </w:rPr>
      </w:pPr>
      <w:r>
        <w:rPr>
          <w:rFonts w:hint="eastAsia" w:ascii="宋体" w:hAnsi="宋体"/>
          <w:bCs/>
          <w:color w:val="auto"/>
          <w:szCs w:val="21"/>
        </w:rPr>
        <w:t>a）核心输水管道</w:t>
      </w:r>
      <w:r>
        <w:rPr>
          <w:rFonts w:hint="eastAsia" w:ascii="宋体" w:hAnsi="宋体"/>
          <w:bCs/>
          <w:color w:val="auto"/>
          <w:szCs w:val="21"/>
          <w:lang w:eastAsia="zh-CN"/>
        </w:rPr>
        <w:t>（</w:t>
      </w:r>
      <w:r>
        <w:rPr>
          <w:rFonts w:hint="eastAsia" w:ascii="宋体" w:hAnsi="宋体"/>
          <w:bCs/>
          <w:color w:val="auto"/>
          <w:szCs w:val="21"/>
        </w:rPr>
        <w:t>水厂原水管道、清水出厂管道、向独立计量区域输水的管道</w:t>
      </w:r>
      <w:r>
        <w:rPr>
          <w:rFonts w:hint="eastAsia" w:ascii="宋体" w:hAnsi="宋体"/>
          <w:bCs/>
          <w:color w:val="auto"/>
          <w:szCs w:val="21"/>
          <w:lang w:eastAsia="zh-CN"/>
        </w:rPr>
        <w:t>）、</w:t>
      </w:r>
      <w:r>
        <w:rPr>
          <w:rFonts w:hint="eastAsia" w:ascii="宋体" w:hAnsi="宋体"/>
          <w:bCs/>
          <w:color w:val="auto"/>
          <w:szCs w:val="21"/>
        </w:rPr>
        <w:t>爆管漏失影响</w:t>
      </w:r>
      <w:r>
        <w:rPr>
          <w:rFonts w:hint="eastAsia" w:ascii="宋体" w:hAnsi="宋体"/>
          <w:bCs/>
          <w:color w:val="auto"/>
          <w:szCs w:val="21"/>
          <w:lang w:val="en-US" w:eastAsia="zh-CN"/>
        </w:rPr>
        <w:t>范围广</w:t>
      </w:r>
      <w:r>
        <w:rPr>
          <w:rFonts w:hint="eastAsia" w:ascii="宋体" w:hAnsi="宋体"/>
          <w:bCs/>
          <w:color w:val="auto"/>
          <w:szCs w:val="21"/>
        </w:rPr>
        <w:t>、后果严重的供水管道、</w:t>
      </w:r>
      <w:r>
        <w:rPr>
          <w:rFonts w:hint="eastAsia" w:ascii="宋体" w:hAnsi="宋体"/>
          <w:bCs/>
          <w:color w:val="auto"/>
          <w:szCs w:val="21"/>
          <w:lang w:val="en-US" w:eastAsia="zh-CN"/>
        </w:rPr>
        <w:t>毗邻</w:t>
      </w:r>
      <w:r>
        <w:rPr>
          <w:rFonts w:hint="eastAsia" w:ascii="宋体" w:hAnsi="宋体"/>
          <w:bCs/>
          <w:color w:val="auto"/>
          <w:szCs w:val="21"/>
        </w:rPr>
        <w:t>城市重点公共基础设施的供水管道</w:t>
      </w:r>
      <w:r>
        <w:rPr>
          <w:rFonts w:hint="eastAsia" w:ascii="宋体" w:hAnsi="宋体"/>
          <w:bCs/>
          <w:color w:val="auto"/>
          <w:szCs w:val="21"/>
          <w:lang w:eastAsia="zh-CN"/>
        </w:rPr>
        <w:t>，</w:t>
      </w:r>
      <w:r>
        <w:rPr>
          <w:rFonts w:hint="eastAsia" w:ascii="宋体" w:hAnsi="宋体"/>
          <w:bCs/>
          <w:color w:val="auto"/>
          <w:szCs w:val="21"/>
          <w:lang w:val="en-US" w:eastAsia="zh-CN"/>
        </w:rPr>
        <w:t>应对水质、流量及压力进行监测</w:t>
      </w:r>
      <w:r>
        <w:rPr>
          <w:rFonts w:hint="eastAsia" w:ascii="宋体" w:hAnsi="宋体"/>
          <w:bCs/>
          <w:color w:val="auto"/>
          <w:szCs w:val="21"/>
          <w:lang w:eastAsia="zh-CN"/>
        </w:rPr>
        <w:t>；</w:t>
      </w:r>
      <w:r>
        <w:rPr>
          <w:rFonts w:hint="eastAsia" w:ascii="宋体" w:hAnsi="宋体"/>
          <w:bCs/>
          <w:color w:val="auto"/>
          <w:szCs w:val="21"/>
        </w:rPr>
        <w:t>爆管风险极高段宜布设</w:t>
      </w:r>
      <w:r>
        <w:rPr>
          <w:rFonts w:hint="eastAsia" w:ascii="宋体" w:hAnsi="宋体"/>
          <w:bCs/>
          <w:color w:val="auto"/>
          <w:szCs w:val="21"/>
          <w:lang w:eastAsia="zh-CN"/>
        </w:rPr>
        <w:t>漏水声波</w:t>
      </w:r>
      <w:r>
        <w:rPr>
          <w:rFonts w:hint="eastAsia" w:ascii="宋体" w:hAnsi="宋体"/>
          <w:bCs/>
          <w:color w:val="auto"/>
          <w:szCs w:val="21"/>
        </w:rPr>
        <w:t>监测设备</w:t>
      </w:r>
      <w:r>
        <w:rPr>
          <w:rFonts w:hint="eastAsia" w:ascii="宋体" w:hAnsi="宋体"/>
          <w:bCs/>
          <w:color w:val="auto"/>
          <w:szCs w:val="21"/>
          <w:lang w:eastAsia="zh-CN"/>
        </w:rPr>
        <w:t>，</w:t>
      </w:r>
      <w:r>
        <w:rPr>
          <w:rFonts w:hint="eastAsia" w:ascii="宋体" w:hAnsi="宋体"/>
          <w:bCs/>
          <w:color w:val="auto"/>
          <w:szCs w:val="21"/>
        </w:rPr>
        <w:t>重点公共基础设施</w:t>
      </w:r>
      <w:r>
        <w:rPr>
          <w:rFonts w:hint="eastAsia" w:ascii="宋体" w:hAnsi="宋体"/>
          <w:bCs/>
          <w:color w:val="auto"/>
          <w:szCs w:val="21"/>
          <w:lang w:val="en-US" w:eastAsia="zh-CN"/>
        </w:rPr>
        <w:t>旁边的</w:t>
      </w:r>
      <w:r>
        <w:rPr>
          <w:rFonts w:hint="eastAsia" w:ascii="宋体" w:hAnsi="宋体"/>
          <w:bCs/>
          <w:color w:val="auto"/>
          <w:szCs w:val="21"/>
          <w:lang w:eastAsia="zh-CN"/>
        </w:rPr>
        <w:t>的</w:t>
      </w:r>
      <w:r>
        <w:rPr>
          <w:rFonts w:hint="eastAsia" w:ascii="宋体" w:hAnsi="宋体"/>
          <w:bCs/>
          <w:color w:val="auto"/>
          <w:szCs w:val="21"/>
        </w:rPr>
        <w:t>管道</w:t>
      </w:r>
      <w:r>
        <w:rPr>
          <w:rFonts w:hint="eastAsia" w:ascii="宋体" w:hAnsi="宋体"/>
          <w:bCs/>
          <w:color w:val="auto"/>
          <w:szCs w:val="21"/>
          <w:lang w:val="en-US" w:eastAsia="zh-CN"/>
        </w:rPr>
        <w:t>可对其周边环境进行</w:t>
      </w:r>
      <w:r>
        <w:rPr>
          <w:rFonts w:hint="eastAsia" w:ascii="宋体" w:hAnsi="宋体"/>
          <w:bCs/>
          <w:color w:val="auto"/>
          <w:szCs w:val="21"/>
          <w:lang w:eastAsia="zh-CN"/>
        </w:rPr>
        <w:t>视频监控。</w:t>
      </w:r>
    </w:p>
    <w:p w14:paraId="59529884">
      <w:pPr>
        <w:pStyle w:val="98"/>
        <w:spacing w:beforeLines="0" w:afterLines="0"/>
        <w:ind w:firstLine="420" w:firstLineChars="200"/>
        <w:rPr>
          <w:rFonts w:hint="eastAsia" w:ascii="宋体" w:hAnsi="宋体"/>
          <w:bCs/>
          <w:color w:val="auto"/>
          <w:szCs w:val="21"/>
        </w:rPr>
      </w:pPr>
      <w:r>
        <w:rPr>
          <w:rFonts w:hint="eastAsia" w:ascii="宋体" w:hAnsi="宋体"/>
          <w:bCs/>
          <w:color w:val="auto"/>
          <w:szCs w:val="21"/>
        </w:rPr>
        <w:t>b）薄弱管道</w:t>
      </w:r>
      <w:r>
        <w:rPr>
          <w:rFonts w:hint="eastAsia" w:ascii="宋体" w:hAnsi="宋体"/>
          <w:bCs/>
          <w:color w:val="auto"/>
          <w:szCs w:val="21"/>
          <w:lang w:eastAsia="zh-CN"/>
        </w:rPr>
        <w:t>：</w:t>
      </w:r>
      <w:r>
        <w:rPr>
          <w:rFonts w:hint="eastAsia" w:ascii="宋体" w:hAnsi="宋体"/>
          <w:bCs/>
          <w:color w:val="auto"/>
          <w:szCs w:val="21"/>
        </w:rPr>
        <w:t>流速偏快（超过 2 m/s）、管材</w:t>
      </w:r>
      <w:r>
        <w:rPr>
          <w:rFonts w:hint="eastAsia" w:ascii="宋体" w:hAnsi="宋体"/>
          <w:bCs/>
          <w:color w:val="auto"/>
          <w:szCs w:val="21"/>
          <w:lang w:val="en-US" w:eastAsia="zh-CN"/>
        </w:rPr>
        <w:t>老旧</w:t>
      </w:r>
      <w:r>
        <w:rPr>
          <w:rFonts w:hint="eastAsia" w:ascii="宋体" w:hAnsi="宋体"/>
          <w:bCs/>
          <w:color w:val="auto"/>
          <w:szCs w:val="21"/>
        </w:rPr>
        <w:t>、管龄较长（超过 20 年）的管道，以及周边地质（土质）条件差、承载力弱的管道等</w:t>
      </w:r>
      <w:r>
        <w:rPr>
          <w:rFonts w:hint="eastAsia" w:ascii="宋体" w:hAnsi="宋体"/>
          <w:bCs/>
          <w:color w:val="auto"/>
          <w:szCs w:val="21"/>
          <w:lang w:eastAsia="zh-CN"/>
        </w:rPr>
        <w:t>，</w:t>
      </w:r>
      <w:r>
        <w:rPr>
          <w:rFonts w:hint="eastAsia" w:ascii="宋体" w:hAnsi="宋体"/>
          <w:bCs/>
          <w:color w:val="auto"/>
          <w:szCs w:val="21"/>
          <w:lang w:val="en-US" w:eastAsia="zh-CN"/>
        </w:rPr>
        <w:t>应对压力、漏水声波进行监测</w:t>
      </w:r>
      <w:r>
        <w:rPr>
          <w:rFonts w:hint="eastAsia" w:ascii="宋体" w:hAnsi="宋体"/>
          <w:bCs/>
          <w:color w:val="auto"/>
          <w:szCs w:val="21"/>
        </w:rPr>
        <w:t>。</w:t>
      </w:r>
    </w:p>
    <w:p w14:paraId="14621D09">
      <w:pPr>
        <w:pStyle w:val="98"/>
        <w:spacing w:beforeLines="0" w:afterLines="0"/>
        <w:ind w:firstLine="420" w:firstLineChars="200"/>
        <w:rPr>
          <w:rFonts w:hint="eastAsia" w:ascii="宋体" w:hAnsi="宋体"/>
          <w:bCs/>
          <w:color w:val="auto"/>
          <w:szCs w:val="21"/>
        </w:rPr>
      </w:pPr>
      <w:r>
        <w:rPr>
          <w:rFonts w:hint="eastAsia" w:ascii="宋体" w:hAnsi="宋体"/>
          <w:bCs/>
          <w:color w:val="auto"/>
          <w:szCs w:val="21"/>
        </w:rPr>
        <w:t>c）重要管道</w:t>
      </w:r>
      <w:r>
        <w:rPr>
          <w:rFonts w:hint="eastAsia" w:ascii="宋体" w:hAnsi="宋体"/>
          <w:bCs/>
          <w:color w:val="auto"/>
          <w:szCs w:val="21"/>
          <w:lang w:eastAsia="zh-CN"/>
        </w:rPr>
        <w:t>：</w:t>
      </w:r>
      <w:r>
        <w:rPr>
          <w:rFonts w:hint="eastAsia" w:ascii="宋体" w:hAnsi="宋体"/>
          <w:bCs/>
          <w:color w:val="auto"/>
          <w:szCs w:val="21"/>
        </w:rPr>
        <w:t>穿（跨）越重要交通、核心商（服）圈的管道、大管段交叉处</w:t>
      </w:r>
      <w:r>
        <w:rPr>
          <w:rFonts w:hint="eastAsia" w:ascii="宋体" w:hAnsi="宋体"/>
          <w:bCs/>
          <w:color w:val="auto"/>
          <w:szCs w:val="21"/>
          <w:lang w:eastAsia="zh-CN"/>
        </w:rPr>
        <w:t>，</w:t>
      </w:r>
      <w:r>
        <w:rPr>
          <w:rFonts w:hint="eastAsia" w:ascii="宋体" w:hAnsi="宋体"/>
          <w:bCs/>
          <w:color w:val="auto"/>
          <w:szCs w:val="21"/>
          <w:lang w:val="en-US" w:eastAsia="zh-CN"/>
        </w:rPr>
        <w:t>应对流量、压力进行监测，宜对水质进行监测</w:t>
      </w:r>
      <w:r>
        <w:rPr>
          <w:rFonts w:hint="eastAsia" w:ascii="宋体" w:hAnsi="宋体"/>
          <w:bCs/>
          <w:color w:val="auto"/>
          <w:szCs w:val="21"/>
        </w:rPr>
        <w:t>。</w:t>
      </w:r>
    </w:p>
    <w:p w14:paraId="24317270">
      <w:pPr>
        <w:pStyle w:val="98"/>
        <w:spacing w:beforeLines="0" w:afterLines="0"/>
        <w:ind w:firstLine="420" w:firstLineChars="200"/>
        <w:rPr>
          <w:rFonts w:hint="eastAsia" w:ascii="宋体" w:hAnsi="宋体"/>
          <w:bCs/>
          <w:color w:val="auto"/>
          <w:szCs w:val="21"/>
        </w:rPr>
      </w:pPr>
      <w:r>
        <w:rPr>
          <w:rFonts w:hint="eastAsia" w:ascii="宋体" w:hAnsi="宋体"/>
          <w:bCs/>
          <w:color w:val="auto"/>
          <w:szCs w:val="21"/>
        </w:rPr>
        <w:t>d）供水水力最不利区域的管道</w:t>
      </w:r>
      <w:r>
        <w:rPr>
          <w:rFonts w:hint="eastAsia" w:ascii="宋体" w:hAnsi="宋体"/>
          <w:bCs/>
          <w:color w:val="auto"/>
          <w:szCs w:val="21"/>
          <w:lang w:eastAsia="zh-CN"/>
        </w:rPr>
        <w:t>：</w:t>
      </w:r>
      <w:r>
        <w:rPr>
          <w:rFonts w:hint="eastAsia" w:ascii="宋体" w:hAnsi="宋体"/>
          <w:bCs/>
          <w:color w:val="auto"/>
          <w:szCs w:val="21"/>
        </w:rPr>
        <w:t>管网末梢点、用水集中区、城市最高点处的管道、供水管网水力分界线以及供水生产调度水力模型校验点等</w:t>
      </w:r>
      <w:r>
        <w:rPr>
          <w:rFonts w:hint="eastAsia" w:ascii="宋体" w:hAnsi="宋体"/>
          <w:bCs/>
          <w:color w:val="auto"/>
          <w:szCs w:val="21"/>
          <w:lang w:eastAsia="zh-CN"/>
        </w:rPr>
        <w:t>，</w:t>
      </w:r>
      <w:r>
        <w:rPr>
          <w:rFonts w:hint="eastAsia" w:ascii="宋体" w:hAnsi="宋体"/>
          <w:bCs/>
          <w:color w:val="auto"/>
          <w:szCs w:val="21"/>
          <w:lang w:val="en-US" w:eastAsia="zh-CN"/>
        </w:rPr>
        <w:t>应对压力进行监测，管网</w:t>
      </w:r>
      <w:r>
        <w:rPr>
          <w:rFonts w:hint="eastAsia" w:ascii="宋体" w:hAnsi="宋体"/>
          <w:bCs/>
          <w:color w:val="auto"/>
          <w:szCs w:val="21"/>
        </w:rPr>
        <w:t>末梢点</w:t>
      </w:r>
      <w:r>
        <w:rPr>
          <w:rFonts w:hint="eastAsia" w:ascii="宋体" w:hAnsi="宋体"/>
          <w:bCs/>
          <w:color w:val="auto"/>
          <w:szCs w:val="21"/>
          <w:lang w:val="en-US" w:eastAsia="zh-CN"/>
        </w:rPr>
        <w:t>宜对</w:t>
      </w:r>
      <w:r>
        <w:rPr>
          <w:rFonts w:hint="eastAsia" w:ascii="宋体" w:hAnsi="宋体"/>
          <w:bCs/>
          <w:color w:val="auto"/>
          <w:szCs w:val="21"/>
        </w:rPr>
        <w:t>水质</w:t>
      </w:r>
      <w:r>
        <w:rPr>
          <w:rFonts w:hint="eastAsia" w:ascii="宋体" w:hAnsi="宋体"/>
          <w:bCs/>
          <w:color w:val="auto"/>
          <w:szCs w:val="21"/>
          <w:lang w:val="en-US" w:eastAsia="zh-CN"/>
        </w:rPr>
        <w:t>进行监测</w:t>
      </w:r>
      <w:r>
        <w:rPr>
          <w:rFonts w:hint="eastAsia" w:ascii="宋体" w:hAnsi="宋体"/>
          <w:bCs/>
          <w:color w:val="auto"/>
          <w:szCs w:val="21"/>
        </w:rPr>
        <w:t>。</w:t>
      </w:r>
    </w:p>
    <w:p w14:paraId="6D7F2C86">
      <w:pPr>
        <w:pStyle w:val="98"/>
        <w:spacing w:beforeLines="0" w:afterLines="0"/>
        <w:ind w:firstLine="420" w:firstLineChars="200"/>
        <w:rPr>
          <w:rFonts w:hint="eastAsia" w:ascii="宋体" w:hAnsi="宋体"/>
          <w:bCs/>
          <w:color w:val="auto"/>
          <w:szCs w:val="21"/>
        </w:rPr>
      </w:pPr>
      <w:r>
        <w:rPr>
          <w:rFonts w:hint="eastAsia" w:ascii="宋体" w:hAnsi="宋体"/>
          <w:bCs/>
          <w:color w:val="auto"/>
          <w:szCs w:val="21"/>
        </w:rPr>
        <w:t>e）重要施工场所管道</w:t>
      </w:r>
      <w:r>
        <w:rPr>
          <w:rFonts w:hint="eastAsia" w:ascii="宋体" w:hAnsi="宋体"/>
          <w:bCs/>
          <w:color w:val="auto"/>
          <w:szCs w:val="21"/>
          <w:lang w:eastAsia="zh-CN"/>
        </w:rPr>
        <w:t>：</w:t>
      </w:r>
      <w:r>
        <w:rPr>
          <w:rFonts w:hint="eastAsia" w:ascii="宋体" w:hAnsi="宋体"/>
          <w:bCs/>
          <w:color w:val="auto"/>
          <w:szCs w:val="21"/>
        </w:rPr>
        <w:t>月用水量超过5000m³的施工场所管道，以及施工作业对管道运行安全有较大影响的施工场所的输水管道</w:t>
      </w:r>
      <w:r>
        <w:rPr>
          <w:rFonts w:hint="eastAsia" w:ascii="宋体" w:hAnsi="宋体"/>
          <w:bCs/>
          <w:color w:val="auto"/>
          <w:szCs w:val="21"/>
          <w:lang w:eastAsia="zh-CN"/>
        </w:rPr>
        <w:t>，</w:t>
      </w:r>
      <w:r>
        <w:rPr>
          <w:rFonts w:hint="eastAsia" w:ascii="宋体" w:hAnsi="宋体"/>
          <w:bCs/>
          <w:color w:val="auto"/>
          <w:szCs w:val="21"/>
          <w:lang w:val="en-US" w:eastAsia="zh-CN"/>
        </w:rPr>
        <w:t>应对流量、压力进行监测</w:t>
      </w:r>
      <w:r>
        <w:rPr>
          <w:rFonts w:hint="eastAsia" w:ascii="宋体" w:hAnsi="宋体"/>
          <w:bCs/>
          <w:color w:val="auto"/>
          <w:szCs w:val="21"/>
        </w:rPr>
        <w:t>。</w:t>
      </w:r>
    </w:p>
    <w:p w14:paraId="392811AA">
      <w:pPr>
        <w:pStyle w:val="98"/>
        <w:spacing w:beforeLines="0" w:afterLines="0"/>
        <w:ind w:firstLine="420" w:firstLineChars="200"/>
        <w:rPr>
          <w:rFonts w:hint="eastAsia" w:ascii="宋体" w:hAnsi="宋体"/>
          <w:bCs/>
          <w:color w:val="auto"/>
          <w:szCs w:val="21"/>
        </w:rPr>
      </w:pPr>
      <w:r>
        <w:rPr>
          <w:rFonts w:hint="eastAsia" w:ascii="宋体" w:hAnsi="宋体"/>
          <w:bCs/>
          <w:color w:val="auto"/>
          <w:szCs w:val="21"/>
          <w:lang w:val="en-US" w:eastAsia="zh-CN"/>
        </w:rPr>
        <w:t>f</w:t>
      </w:r>
      <w:r>
        <w:rPr>
          <w:rFonts w:hint="eastAsia" w:ascii="宋体" w:hAnsi="宋体"/>
          <w:bCs/>
          <w:color w:val="auto"/>
          <w:szCs w:val="21"/>
        </w:rPr>
        <w:t>）重点供水用户</w:t>
      </w:r>
      <w:r>
        <w:rPr>
          <w:rFonts w:hint="eastAsia" w:ascii="宋体" w:hAnsi="宋体"/>
          <w:bCs/>
          <w:color w:val="auto"/>
          <w:szCs w:val="21"/>
          <w:lang w:val="en-US" w:eastAsia="zh-CN"/>
        </w:rPr>
        <w:t>的管道</w:t>
      </w:r>
      <w:r>
        <w:rPr>
          <w:rFonts w:hint="eastAsia" w:ascii="宋体" w:hAnsi="宋体"/>
          <w:bCs/>
          <w:color w:val="auto"/>
          <w:szCs w:val="21"/>
          <w:lang w:eastAsia="zh-CN"/>
        </w:rPr>
        <w:t>：</w:t>
      </w:r>
      <w:r>
        <w:rPr>
          <w:rFonts w:hint="eastAsia" w:ascii="宋体" w:hAnsi="宋体"/>
          <w:bCs/>
          <w:color w:val="auto"/>
          <w:szCs w:val="21"/>
          <w:lang w:val="en-US" w:eastAsia="zh-CN"/>
        </w:rPr>
        <w:t>应对流量、压力、水质（</w:t>
      </w:r>
      <w:r>
        <w:rPr>
          <w:rFonts w:hint="eastAsia" w:ascii="宋体" w:hAnsi="宋体"/>
          <w:bCs/>
          <w:color w:val="auto"/>
          <w:szCs w:val="21"/>
        </w:rPr>
        <w:t>浑浊度</w:t>
      </w:r>
      <w:r>
        <w:rPr>
          <w:rFonts w:hint="eastAsia" w:ascii="宋体" w:hAnsi="宋体"/>
          <w:bCs/>
          <w:color w:val="auto"/>
          <w:szCs w:val="21"/>
          <w:lang w:eastAsia="zh-CN"/>
        </w:rPr>
        <w:t>，</w:t>
      </w:r>
      <w:r>
        <w:rPr>
          <w:rFonts w:hint="eastAsia" w:ascii="宋体" w:hAnsi="宋体"/>
          <w:bCs/>
          <w:color w:val="auto"/>
          <w:szCs w:val="21"/>
          <w:lang w:val="en-US" w:eastAsia="zh-CN"/>
        </w:rPr>
        <w:t>余氯）进行监测。</w:t>
      </w:r>
    </w:p>
    <w:p w14:paraId="6B07C0B8">
      <w:pPr>
        <w:pStyle w:val="98"/>
        <w:spacing w:beforeLines="0" w:afterLines="0"/>
        <w:rPr>
          <w:rFonts w:hint="eastAsia" w:ascii="宋体" w:hAnsi="宋体"/>
          <w:bCs/>
          <w:color w:val="auto"/>
          <w:lang w:val="en-US" w:eastAsia="zh-CN"/>
        </w:rPr>
      </w:pPr>
      <w:r>
        <w:rPr>
          <w:rFonts w:hint="eastAsia" w:ascii="宋体" w:hAnsi="宋体"/>
          <w:bCs/>
          <w:color w:val="auto"/>
          <w:lang w:val="en-US" w:eastAsia="zh-CN"/>
        </w:rPr>
        <w:t>6.3.2.4重点防护目标的二次供水设施和发生过水质污染事件的二次供水设施，应对流量、压力、水质及液位进行监测，宜进行视频监控。</w:t>
      </w:r>
    </w:p>
    <w:p w14:paraId="68B6DCA6">
      <w:pPr>
        <w:pStyle w:val="98"/>
        <w:spacing w:beforeLines="0" w:afterLines="0"/>
        <w:rPr>
          <w:rFonts w:hint="eastAsia" w:ascii="宋体" w:hAnsi="宋体"/>
          <w:bCs/>
          <w:color w:val="auto"/>
          <w:lang w:val="en-US" w:eastAsia="zh-CN"/>
        </w:rPr>
      </w:pPr>
      <w:r>
        <w:rPr>
          <w:rFonts w:hint="eastAsia" w:ascii="宋体" w:hAnsi="宋体"/>
          <w:bCs/>
          <w:color w:val="auto"/>
          <w:lang w:val="en-US" w:eastAsia="zh-CN"/>
        </w:rPr>
        <w:t>6.3.2.5人员密集区域主干道路上的市政消火栓和阀门井盖等，应对压力、流量进行监测，宜对井盖进行监测。</w:t>
      </w:r>
    </w:p>
    <w:p w14:paraId="5DF1D5C2">
      <w:pPr>
        <w:pStyle w:val="98"/>
        <w:spacing w:beforeLines="0" w:afterLines="0"/>
        <w:ind w:firstLine="420" w:firstLineChars="200"/>
        <w:rPr>
          <w:rFonts w:hint="eastAsia" w:ascii="宋体" w:hAnsi="宋体"/>
          <w:bCs/>
          <w:color w:val="auto"/>
        </w:rPr>
      </w:pPr>
      <w:r>
        <w:rPr>
          <w:rFonts w:hint="eastAsia" w:ascii="宋体" w:hAnsi="宋体"/>
          <w:bCs/>
          <w:color w:val="auto"/>
          <w:lang w:val="en-US" w:eastAsia="zh-CN"/>
        </w:rPr>
        <w:t>供水监测</w:t>
      </w:r>
      <w:r>
        <w:rPr>
          <w:rFonts w:hint="eastAsia" w:ascii="宋体" w:hAnsi="宋体"/>
          <w:bCs/>
          <w:color w:val="auto"/>
        </w:rPr>
        <w:t>布点</w:t>
      </w:r>
      <w:r>
        <w:rPr>
          <w:rFonts w:hint="eastAsia" w:ascii="宋体" w:hAnsi="宋体"/>
          <w:bCs/>
          <w:color w:val="auto"/>
          <w:lang w:val="en-US" w:eastAsia="zh-CN"/>
        </w:rPr>
        <w:t>详细</w:t>
      </w:r>
      <w:r>
        <w:rPr>
          <w:rFonts w:hint="eastAsia" w:ascii="宋体" w:hAnsi="宋体"/>
          <w:bCs/>
          <w:color w:val="auto"/>
        </w:rPr>
        <w:t>要求见</w:t>
      </w:r>
      <w:r>
        <w:rPr>
          <w:rFonts w:hint="eastAsia" w:ascii="宋体" w:hAnsi="宋体"/>
          <w:bCs/>
          <w:color w:val="auto"/>
          <w:lang w:val="en-US" w:eastAsia="zh-CN"/>
        </w:rPr>
        <w:t>附录B.2</w:t>
      </w:r>
      <w:r>
        <w:rPr>
          <w:rFonts w:hint="eastAsia" w:ascii="宋体" w:hAnsi="宋体"/>
          <w:bCs/>
          <w:color w:val="auto"/>
        </w:rPr>
        <w:t>。</w:t>
      </w:r>
    </w:p>
    <w:p w14:paraId="5A145127">
      <w:pPr>
        <w:pStyle w:val="98"/>
        <w:spacing w:beforeLines="0" w:afterLines="0"/>
        <w:rPr>
          <w:rFonts w:hint="default" w:ascii="宋体" w:hAnsi="宋体" w:eastAsia="宋体"/>
          <w:bCs/>
          <w:color w:val="auto"/>
          <w:szCs w:val="21"/>
          <w:lang w:val="en-US" w:eastAsia="zh-CN"/>
        </w:rPr>
      </w:pPr>
      <w:r>
        <w:rPr>
          <w:rFonts w:hint="eastAsia" w:ascii="宋体" w:hAnsi="宋体"/>
          <w:bCs/>
          <w:color w:val="auto"/>
          <w:szCs w:val="21"/>
        </w:rPr>
        <w:t>6.3.3</w:t>
      </w:r>
      <w:r>
        <w:rPr>
          <w:rFonts w:hint="eastAsia" w:ascii="宋体" w:hAnsi="宋体"/>
          <w:bCs/>
          <w:color w:val="auto"/>
          <w:szCs w:val="21"/>
          <w:lang w:val="en-US" w:eastAsia="zh-CN"/>
        </w:rPr>
        <w:t>供水</w:t>
      </w:r>
      <w:r>
        <w:rPr>
          <w:rFonts w:hint="eastAsia" w:ascii="宋体" w:hAnsi="宋体"/>
          <w:bCs/>
          <w:color w:val="auto"/>
          <w:szCs w:val="21"/>
        </w:rPr>
        <w:t>监测</w:t>
      </w:r>
      <w:r>
        <w:rPr>
          <w:rFonts w:hint="eastAsia" w:ascii="宋体" w:hAnsi="宋体"/>
          <w:bCs/>
          <w:color w:val="auto"/>
          <w:szCs w:val="21"/>
          <w:lang w:val="en-US" w:eastAsia="zh-CN"/>
        </w:rPr>
        <w:t>设备性能应符合以下要求：</w:t>
      </w:r>
    </w:p>
    <w:p w14:paraId="50B8ED2C">
      <w:pPr>
        <w:pStyle w:val="98"/>
        <w:numPr>
          <w:ilvl w:val="0"/>
          <w:numId w:val="10"/>
        </w:numPr>
        <w:spacing w:beforeLines="0" w:afterLines="0"/>
        <w:ind w:firstLine="420" w:firstLineChars="200"/>
        <w:rPr>
          <w:rFonts w:hint="eastAsia" w:ascii="宋体" w:hAnsi="宋体"/>
          <w:bCs/>
          <w:color w:val="auto"/>
          <w:szCs w:val="21"/>
          <w:lang w:val="en-US" w:eastAsia="zh-CN"/>
        </w:rPr>
      </w:pPr>
      <w:r>
        <w:rPr>
          <w:rFonts w:hint="eastAsia" w:ascii="宋体" w:hAnsi="宋体"/>
          <w:bCs/>
          <w:color w:val="auto"/>
          <w:szCs w:val="21"/>
          <w:lang w:val="en-US" w:eastAsia="zh-CN"/>
        </w:rPr>
        <w:t>宜选用</w:t>
      </w:r>
      <w:r>
        <w:rPr>
          <w:rFonts w:hint="eastAsia" w:ascii="宋体" w:hAnsi="宋体" w:eastAsia="宋体" w:cs="宋体"/>
          <w:bCs/>
          <w:color w:val="auto"/>
          <w:sz w:val="21"/>
          <w:szCs w:val="21"/>
        </w:rPr>
        <w:t>具备边缘计算能力的智能型设备</w:t>
      </w:r>
      <w:r>
        <w:rPr>
          <w:rFonts w:hint="eastAsia" w:ascii="宋体" w:hAnsi="宋体"/>
          <w:bCs/>
          <w:color w:val="auto"/>
          <w:szCs w:val="21"/>
          <w:lang w:val="en-US" w:eastAsia="zh-CN"/>
        </w:rPr>
        <w:t>；</w:t>
      </w:r>
    </w:p>
    <w:p w14:paraId="462EE428">
      <w:pPr>
        <w:pStyle w:val="98"/>
        <w:numPr>
          <w:ilvl w:val="0"/>
          <w:numId w:val="10"/>
        </w:numPr>
        <w:spacing w:beforeLines="0" w:afterLines="0"/>
        <w:ind w:firstLine="420" w:firstLineChars="200"/>
        <w:rPr>
          <w:rFonts w:hint="eastAsia" w:ascii="宋体" w:hAnsi="宋体"/>
          <w:bCs/>
          <w:color w:val="auto"/>
          <w:szCs w:val="21"/>
          <w:lang w:val="en-US" w:eastAsia="zh-CN"/>
        </w:rPr>
      </w:pPr>
      <w:r>
        <w:rPr>
          <w:rFonts w:hint="eastAsia" w:ascii="宋体" w:hAnsi="宋体" w:eastAsia="宋体" w:cs="宋体"/>
          <w:bCs/>
          <w:i w:val="0"/>
          <w:iCs w:val="0"/>
          <w:caps w:val="0"/>
          <w:color w:val="auto"/>
          <w:spacing w:val="0"/>
          <w:sz w:val="21"/>
          <w:szCs w:val="21"/>
          <w:shd w:val="clear" w:fill="auto"/>
          <w:lang w:val="en-US" w:eastAsia="zh-CN"/>
        </w:rPr>
        <w:t>主干管网</w:t>
      </w:r>
      <w:r>
        <w:rPr>
          <w:rFonts w:hint="eastAsia" w:ascii="宋体" w:hAnsi="宋体" w:eastAsia="宋体" w:cs="宋体"/>
          <w:bCs/>
          <w:i w:val="0"/>
          <w:iCs w:val="0"/>
          <w:caps w:val="0"/>
          <w:color w:val="auto"/>
          <w:spacing w:val="0"/>
          <w:sz w:val="21"/>
          <w:szCs w:val="21"/>
          <w:shd w:val="clear" w:fill="auto"/>
        </w:rPr>
        <w:t>监测设备应满足不停水、不破管的非侵入式要求</w:t>
      </w:r>
      <w:r>
        <w:rPr>
          <w:rFonts w:hint="eastAsia" w:ascii="宋体" w:hAnsi="宋体" w:cs="宋体"/>
          <w:bCs/>
          <w:i w:val="0"/>
          <w:iCs w:val="0"/>
          <w:caps w:val="0"/>
          <w:color w:val="auto"/>
          <w:spacing w:val="0"/>
          <w:sz w:val="21"/>
          <w:szCs w:val="21"/>
          <w:shd w:val="clear"/>
          <w:lang w:eastAsia="zh-CN"/>
        </w:rPr>
        <w:t>。</w:t>
      </w:r>
    </w:p>
    <w:p w14:paraId="3AAF9B96">
      <w:pPr>
        <w:pStyle w:val="98"/>
        <w:numPr>
          <w:ilvl w:val="0"/>
          <w:numId w:val="10"/>
        </w:numPr>
        <w:spacing w:beforeLines="0" w:afterLines="0"/>
        <w:ind w:firstLine="420" w:firstLineChars="200"/>
        <w:rPr>
          <w:rFonts w:hint="eastAsia" w:ascii="宋体" w:hAnsi="宋体"/>
          <w:bCs/>
          <w:color w:val="auto"/>
          <w:szCs w:val="21"/>
          <w:lang w:val="en-US" w:eastAsia="zh-CN"/>
        </w:rPr>
      </w:pPr>
      <w:r>
        <w:rPr>
          <w:rFonts w:hint="eastAsia" w:ascii="宋体" w:hAnsi="宋体" w:eastAsia="宋体" w:cs="宋体"/>
          <w:bCs/>
          <w:color w:val="auto"/>
          <w:sz w:val="21"/>
          <w:szCs w:val="21"/>
        </w:rPr>
        <w:t>电磁流量计</w:t>
      </w:r>
      <w:r>
        <w:rPr>
          <w:rFonts w:hint="eastAsia" w:ascii="宋体" w:hAnsi="宋体" w:cs="宋体"/>
          <w:bCs/>
          <w:color w:val="auto"/>
          <w:sz w:val="21"/>
          <w:szCs w:val="21"/>
          <w:lang w:val="en-US" w:eastAsia="zh-CN"/>
        </w:rPr>
        <w:t>安装</w:t>
      </w:r>
      <w:r>
        <w:rPr>
          <w:rFonts w:hint="eastAsia" w:ascii="宋体" w:hAnsi="宋体" w:eastAsia="宋体" w:cs="宋体"/>
          <w:bCs/>
          <w:color w:val="auto"/>
          <w:sz w:val="21"/>
          <w:szCs w:val="21"/>
        </w:rPr>
        <w:t>选择充满流体的均匀管段，远离强电磁干扰源 (如变压器、电机)，避免安装在高温、潮湿或腐蚀性环境中；超声波流量计</w:t>
      </w:r>
      <w:r>
        <w:rPr>
          <w:rFonts w:hint="eastAsia" w:ascii="宋体" w:hAnsi="宋体" w:cs="宋体"/>
          <w:bCs/>
          <w:color w:val="auto"/>
          <w:sz w:val="21"/>
          <w:szCs w:val="21"/>
          <w:lang w:val="en-US" w:eastAsia="zh-CN"/>
        </w:rPr>
        <w:t>安装</w:t>
      </w:r>
      <w:r>
        <w:rPr>
          <w:rFonts w:hint="eastAsia" w:ascii="宋体" w:hAnsi="宋体" w:eastAsia="宋体" w:cs="宋体"/>
          <w:bCs/>
          <w:color w:val="auto"/>
          <w:sz w:val="21"/>
          <w:szCs w:val="21"/>
        </w:rPr>
        <w:t>选择充满流体的均匀管段，避免安装在管道最高点或有自由出口的竖直管道上。</w:t>
      </w:r>
    </w:p>
    <w:p w14:paraId="2C0A2EA4">
      <w:pPr>
        <w:pStyle w:val="98"/>
        <w:numPr>
          <w:ilvl w:val="0"/>
          <w:numId w:val="10"/>
        </w:numPr>
        <w:spacing w:beforeLines="0" w:afterLines="0"/>
        <w:ind w:firstLine="420" w:firstLineChars="200"/>
        <w:rPr>
          <w:rFonts w:hint="eastAsia" w:ascii="宋体" w:hAnsi="宋体"/>
          <w:bCs/>
          <w:color w:val="auto"/>
          <w:szCs w:val="21"/>
          <w:lang w:val="en-US" w:eastAsia="zh-CN"/>
        </w:rPr>
      </w:pPr>
      <w:r>
        <w:rPr>
          <w:rFonts w:hint="eastAsia" w:ascii="宋体" w:hAnsi="宋体"/>
          <w:bCs/>
          <w:color w:val="auto"/>
          <w:szCs w:val="21"/>
          <w:lang w:val="en-US" w:eastAsia="zh-CN"/>
        </w:rPr>
        <w:t>压力监测设备安装应</w:t>
      </w:r>
      <w:r>
        <w:rPr>
          <w:rFonts w:hint="eastAsia" w:ascii="宋体" w:hAnsi="宋体" w:eastAsia="宋体" w:cs="宋体"/>
          <w:bCs/>
          <w:color w:val="auto"/>
          <w:sz w:val="21"/>
          <w:szCs w:val="21"/>
        </w:rPr>
        <w:t>远离振动、高温、潮湿、强电磁场、腐蚀性气体等环境，防止仪表损坏或测量</w:t>
      </w:r>
      <w:r>
        <w:rPr>
          <w:rFonts w:hint="eastAsia" w:ascii="宋体" w:hAnsi="宋体" w:cs="宋体"/>
          <w:bCs/>
          <w:color w:val="auto"/>
          <w:sz w:val="21"/>
          <w:szCs w:val="21"/>
          <w:lang w:val="en-US" w:eastAsia="zh-CN"/>
        </w:rPr>
        <w:t>失真</w:t>
      </w:r>
      <w:r>
        <w:rPr>
          <w:rFonts w:hint="eastAsia" w:ascii="宋体" w:hAnsi="宋体" w:eastAsia="宋体" w:cs="宋体"/>
          <w:bCs/>
          <w:color w:val="auto"/>
          <w:sz w:val="21"/>
          <w:szCs w:val="21"/>
        </w:rPr>
        <w:t>。</w:t>
      </w:r>
    </w:p>
    <w:p w14:paraId="6A3D3EC0">
      <w:pPr>
        <w:pStyle w:val="98"/>
        <w:numPr>
          <w:ilvl w:val="0"/>
          <w:numId w:val="10"/>
        </w:numPr>
        <w:spacing w:beforeLines="0" w:afterLines="0"/>
        <w:ind w:firstLine="420" w:firstLineChars="200"/>
        <w:rPr>
          <w:rFonts w:ascii="宋体" w:hAnsi="宋体"/>
          <w:bCs/>
          <w:color w:val="auto"/>
        </w:rPr>
      </w:pPr>
      <w:r>
        <w:rPr>
          <w:rFonts w:hint="eastAsia" w:ascii="宋体" w:hAnsi="宋体"/>
          <w:bCs/>
          <w:color w:val="auto"/>
        </w:rPr>
        <w:t>设备</w:t>
      </w:r>
      <w:r>
        <w:rPr>
          <w:rFonts w:hint="default" w:ascii="宋体" w:hAnsi="宋体" w:eastAsia="宋体" w:cs="宋体"/>
          <w:bCs/>
          <w:color w:val="auto"/>
          <w:sz w:val="21"/>
          <w:szCs w:val="20"/>
          <w:lang w:val="en-US"/>
        </w:rPr>
        <w:t>宜集成定位模块，</w:t>
      </w:r>
      <w:r>
        <w:rPr>
          <w:rFonts w:hint="default" w:ascii="宋体" w:hAnsi="宋体"/>
          <w:bCs/>
          <w:color w:val="auto"/>
          <w:lang w:val="en-US"/>
        </w:rPr>
        <w:t>并</w:t>
      </w:r>
      <w:r>
        <w:rPr>
          <w:rFonts w:hint="eastAsia" w:ascii="宋体" w:hAnsi="宋体"/>
          <w:bCs/>
          <w:color w:val="auto"/>
        </w:rPr>
        <w:t>支持接入</w:t>
      </w:r>
      <w:r>
        <w:rPr>
          <w:rFonts w:hint="eastAsia" w:ascii="宋体" w:hAnsi="宋体"/>
          <w:bCs/>
          <w:color w:val="auto"/>
          <w:lang w:val="en-US" w:eastAsia="zh-CN"/>
        </w:rPr>
        <w:t>供水</w:t>
      </w:r>
      <w:r>
        <w:rPr>
          <w:rFonts w:hint="eastAsia" w:ascii="宋体" w:hAnsi="宋体"/>
          <w:bCs/>
          <w:color w:val="auto"/>
        </w:rPr>
        <w:t>企业</w:t>
      </w:r>
      <w:r>
        <w:rPr>
          <w:rFonts w:hint="eastAsia" w:ascii="宋体" w:hAnsi="宋体"/>
          <w:bCs/>
          <w:color w:val="auto"/>
          <w:lang w:eastAsia="zh-CN"/>
        </w:rPr>
        <w:t>、</w:t>
      </w:r>
      <w:r>
        <w:rPr>
          <w:rFonts w:hint="eastAsia" w:ascii="宋体" w:hAnsi="宋体"/>
          <w:bCs/>
          <w:color w:val="auto"/>
          <w:lang w:val="en-US" w:eastAsia="zh-CN"/>
        </w:rPr>
        <w:t>行业主管部门</w:t>
      </w:r>
      <w:r>
        <w:rPr>
          <w:rFonts w:hint="eastAsia" w:cs="宋体"/>
          <w:bCs/>
          <w:color w:val="auto"/>
          <w:sz w:val="21"/>
          <w:szCs w:val="20"/>
          <w:lang w:val="en-US" w:eastAsia="zh-CN"/>
        </w:rPr>
        <w:t>管理信息</w:t>
      </w:r>
      <w:r>
        <w:rPr>
          <w:rFonts w:ascii="宋体" w:hAnsi="宋体"/>
          <w:bCs/>
          <w:color w:val="auto"/>
        </w:rPr>
        <w:t>系统。</w:t>
      </w:r>
    </w:p>
    <w:p w14:paraId="6314D0C6">
      <w:pPr>
        <w:pStyle w:val="98"/>
        <w:spacing w:before="0" w:beforeLines="0" w:after="0" w:afterLines="0"/>
        <w:ind w:firstLine="420" w:firstLineChars="200"/>
        <w:rPr>
          <w:rFonts w:hint="eastAsia" w:ascii="宋体" w:hAnsi="宋体"/>
          <w:bCs/>
          <w:color w:val="auto"/>
          <w:szCs w:val="20"/>
        </w:rPr>
      </w:pPr>
      <w:r>
        <w:rPr>
          <w:rFonts w:hint="eastAsia" w:ascii="宋体" w:hAnsi="宋体"/>
          <w:bCs/>
          <w:color w:val="auto"/>
          <w:szCs w:val="20"/>
          <w:lang w:val="en-US" w:eastAsia="zh-CN"/>
        </w:rPr>
        <w:t>供水</w:t>
      </w:r>
      <w:r>
        <w:rPr>
          <w:rFonts w:hint="eastAsia" w:ascii="宋体" w:hAnsi="宋体"/>
          <w:bCs/>
          <w:color w:val="auto"/>
          <w:szCs w:val="20"/>
        </w:rPr>
        <w:t>监测</w:t>
      </w:r>
      <w:r>
        <w:rPr>
          <w:rFonts w:hint="eastAsia" w:ascii="宋体" w:hAnsi="宋体"/>
          <w:bCs/>
          <w:color w:val="auto"/>
          <w:szCs w:val="20"/>
          <w:lang w:val="en-US" w:eastAsia="zh-CN"/>
        </w:rPr>
        <w:t>设备详细性能</w:t>
      </w:r>
      <w:r>
        <w:rPr>
          <w:rFonts w:hint="eastAsia" w:ascii="宋体" w:hAnsi="宋体"/>
          <w:bCs/>
          <w:color w:val="auto"/>
          <w:szCs w:val="20"/>
        </w:rPr>
        <w:t>要求见附录</w:t>
      </w:r>
      <w:r>
        <w:rPr>
          <w:rFonts w:hint="eastAsia" w:ascii="宋体" w:hAnsi="宋体"/>
          <w:bCs/>
          <w:color w:val="auto"/>
          <w:szCs w:val="20"/>
          <w:lang w:val="en-US" w:eastAsia="zh-CN"/>
        </w:rPr>
        <w:t>C</w:t>
      </w:r>
      <w:r>
        <w:rPr>
          <w:rFonts w:hint="eastAsia" w:ascii="宋体" w:hAnsi="宋体"/>
          <w:bCs/>
          <w:color w:val="auto"/>
          <w:szCs w:val="20"/>
        </w:rPr>
        <w:t>.</w:t>
      </w:r>
      <w:r>
        <w:rPr>
          <w:rFonts w:hint="eastAsia" w:ascii="宋体" w:hAnsi="宋体"/>
          <w:bCs/>
          <w:color w:val="auto"/>
          <w:szCs w:val="20"/>
          <w:lang w:val="en-US" w:eastAsia="zh-CN"/>
        </w:rPr>
        <w:t>2</w:t>
      </w:r>
      <w:r>
        <w:rPr>
          <w:rFonts w:hint="eastAsia" w:ascii="宋体" w:hAnsi="宋体"/>
          <w:bCs/>
          <w:color w:val="auto"/>
          <w:szCs w:val="20"/>
        </w:rPr>
        <w:t>。</w:t>
      </w:r>
    </w:p>
    <w:p w14:paraId="7A05698A">
      <w:pPr>
        <w:pStyle w:val="108"/>
        <w:numPr>
          <w:ilvl w:val="1"/>
          <w:numId w:val="1"/>
        </w:numPr>
        <w:spacing w:beforeLines="50" w:afterLines="50"/>
      </w:pPr>
      <w:bookmarkStart w:id="76" w:name="_Toc9918"/>
      <w:r>
        <w:rPr>
          <w:rFonts w:hint="eastAsia"/>
        </w:rPr>
        <w:t>排水安全监测感知网</w:t>
      </w:r>
      <w:bookmarkEnd w:id="76"/>
    </w:p>
    <w:p w14:paraId="684A06E4">
      <w:pPr>
        <w:pStyle w:val="98"/>
        <w:spacing w:beforeLines="0" w:afterLines="0"/>
        <w:rPr>
          <w:rFonts w:ascii="宋体" w:hAnsi="宋体"/>
          <w:bCs/>
          <w:color w:val="auto"/>
        </w:rPr>
      </w:pPr>
      <w:bookmarkStart w:id="77" w:name="OLE_LINK190"/>
      <w:bookmarkStart w:id="78" w:name="OLE_LINK191"/>
      <w:r>
        <w:rPr>
          <w:rFonts w:hint="eastAsia" w:ascii="宋体" w:hAnsi="宋体"/>
          <w:bCs/>
          <w:color w:val="auto"/>
        </w:rPr>
        <w:t>6.4.1</w:t>
      </w:r>
      <w:r>
        <w:rPr>
          <w:rFonts w:hint="eastAsia" w:ascii="宋体" w:hAnsi="宋体"/>
          <w:bCs/>
          <w:color w:val="auto"/>
          <w:lang w:val="en-US" w:eastAsia="zh-CN"/>
        </w:rPr>
        <w:t>雨水</w:t>
      </w:r>
      <w:r>
        <w:rPr>
          <w:rFonts w:hint="eastAsia" w:ascii="宋体" w:hAnsi="宋体"/>
          <w:bCs/>
          <w:color w:val="auto"/>
        </w:rPr>
        <w:t>监测对象</w:t>
      </w:r>
      <w:r>
        <w:rPr>
          <w:rFonts w:hint="eastAsia" w:ascii="宋体" w:hAnsi="宋体"/>
          <w:bCs/>
          <w:color w:val="auto"/>
          <w:lang w:val="en-US" w:eastAsia="zh-CN"/>
        </w:rPr>
        <w:t>及其主要</w:t>
      </w:r>
      <w:r>
        <w:rPr>
          <w:rFonts w:hint="eastAsia" w:ascii="宋体" w:hAnsi="宋体"/>
          <w:bCs/>
          <w:color w:val="auto"/>
        </w:rPr>
        <w:t>监测指标</w:t>
      </w:r>
      <w:r>
        <w:rPr>
          <w:rFonts w:hint="eastAsia" w:ascii="宋体" w:hAnsi="宋体"/>
          <w:bCs/>
          <w:color w:val="auto"/>
          <w:lang w:val="en-US" w:eastAsia="zh-CN"/>
        </w:rPr>
        <w:t>应符合以下要求</w:t>
      </w:r>
      <w:r>
        <w:rPr>
          <w:rFonts w:hint="eastAsia" w:ascii="宋体" w:hAnsi="宋体"/>
          <w:bCs/>
          <w:color w:val="auto"/>
          <w:lang w:eastAsia="zh-CN"/>
        </w:rPr>
        <w:t>：</w:t>
      </w:r>
    </w:p>
    <w:p w14:paraId="22314C52">
      <w:pPr>
        <w:pStyle w:val="98"/>
        <w:numPr>
          <w:ilvl w:val="0"/>
          <w:numId w:val="11"/>
        </w:numPr>
        <w:spacing w:beforeLines="0" w:afterLines="0"/>
        <w:ind w:firstLine="420" w:firstLineChars="200"/>
        <w:rPr>
          <w:rFonts w:hint="default" w:ascii="宋体" w:hAnsi="宋体"/>
          <w:bCs/>
          <w:color w:val="auto"/>
          <w:lang w:val="en-US" w:eastAsia="zh-CN"/>
        </w:rPr>
      </w:pPr>
      <w:r>
        <w:rPr>
          <w:rFonts w:hint="eastAsia" w:ascii="宋体" w:hAnsi="宋体"/>
          <w:bCs/>
          <w:color w:val="auto"/>
        </w:rPr>
        <w:t>雨水管网及其附属设施</w:t>
      </w:r>
      <w:r>
        <w:rPr>
          <w:rFonts w:hint="eastAsia" w:ascii="宋体" w:hAnsi="宋体"/>
          <w:bCs/>
          <w:color w:val="auto"/>
          <w:lang w:val="en-US" w:eastAsia="zh-CN"/>
        </w:rPr>
        <w:t>监测指标主要包括液位、流量、可燃气体浓度、</w:t>
      </w:r>
      <w:r>
        <w:rPr>
          <w:rFonts w:hint="eastAsia" w:ascii="宋体" w:hAnsi="宋体"/>
          <w:bCs/>
          <w:color w:val="auto"/>
        </w:rPr>
        <w:t>井盖</w:t>
      </w:r>
      <w:r>
        <w:rPr>
          <w:rFonts w:hint="eastAsia" w:ascii="宋体" w:hAnsi="宋体"/>
          <w:bCs/>
          <w:color w:val="auto"/>
          <w:lang w:val="en-US" w:eastAsia="zh-CN"/>
        </w:rPr>
        <w:t>；</w:t>
      </w:r>
    </w:p>
    <w:p w14:paraId="47B1BC47">
      <w:pPr>
        <w:pStyle w:val="98"/>
        <w:numPr>
          <w:ilvl w:val="0"/>
          <w:numId w:val="11"/>
        </w:numPr>
        <w:spacing w:beforeLines="0" w:afterLines="0"/>
        <w:ind w:firstLine="420" w:firstLineChars="200"/>
        <w:rPr>
          <w:rFonts w:hint="default" w:ascii="宋体" w:hAnsi="宋体"/>
          <w:bCs/>
          <w:color w:val="auto"/>
          <w:lang w:val="en-US" w:eastAsia="zh-CN"/>
        </w:rPr>
      </w:pPr>
      <w:r>
        <w:rPr>
          <w:rFonts w:hint="eastAsia" w:ascii="宋体" w:hAnsi="宋体"/>
          <w:bCs/>
          <w:color w:val="auto"/>
        </w:rPr>
        <w:t>城市易涝点</w:t>
      </w:r>
      <w:r>
        <w:rPr>
          <w:rFonts w:hint="eastAsia" w:ascii="宋体" w:hAnsi="宋体"/>
          <w:bCs/>
          <w:color w:val="auto"/>
          <w:lang w:eastAsia="zh-CN"/>
        </w:rPr>
        <w:t>、</w:t>
      </w:r>
      <w:r>
        <w:rPr>
          <w:rFonts w:hint="eastAsia" w:ascii="宋体" w:hAnsi="宋体"/>
          <w:bCs/>
          <w:color w:val="auto"/>
        </w:rPr>
        <w:t>城市重要保障对象</w:t>
      </w:r>
      <w:r>
        <w:rPr>
          <w:rFonts w:hint="eastAsia" w:ascii="宋体" w:hAnsi="宋体"/>
          <w:bCs/>
          <w:color w:val="auto"/>
          <w:lang w:val="en-US" w:eastAsia="zh-CN"/>
        </w:rPr>
        <w:t>监测指标主要包括视频监控、液位、雨量；</w:t>
      </w:r>
    </w:p>
    <w:p w14:paraId="6E129D1D">
      <w:pPr>
        <w:pStyle w:val="98"/>
        <w:numPr>
          <w:ilvl w:val="0"/>
          <w:numId w:val="11"/>
        </w:numPr>
        <w:spacing w:beforeLines="0" w:afterLines="0"/>
        <w:ind w:firstLine="420" w:firstLineChars="200"/>
        <w:rPr>
          <w:rFonts w:hint="eastAsia" w:ascii="宋体" w:hAnsi="宋体"/>
          <w:bCs/>
          <w:color w:val="auto"/>
        </w:rPr>
      </w:pPr>
      <w:r>
        <w:rPr>
          <w:rFonts w:hint="eastAsia" w:ascii="宋体" w:hAnsi="宋体"/>
          <w:bCs/>
          <w:color w:val="auto"/>
        </w:rPr>
        <w:t>河道</w:t>
      </w:r>
      <w:r>
        <w:rPr>
          <w:rFonts w:hint="eastAsia" w:ascii="宋体" w:hAnsi="宋体"/>
          <w:bCs/>
          <w:color w:val="auto"/>
          <w:lang w:eastAsia="zh-CN"/>
        </w:rPr>
        <w:t>、</w:t>
      </w:r>
      <w:r>
        <w:rPr>
          <w:rFonts w:hint="eastAsia" w:ascii="宋体" w:hAnsi="宋体"/>
          <w:bCs/>
          <w:color w:val="auto"/>
        </w:rPr>
        <w:t>湖库</w:t>
      </w:r>
      <w:r>
        <w:rPr>
          <w:rFonts w:hint="eastAsia" w:ascii="宋体" w:hAnsi="宋体"/>
          <w:bCs/>
          <w:color w:val="auto"/>
          <w:lang w:eastAsia="zh-CN"/>
        </w:rPr>
        <w:t>、</w:t>
      </w:r>
      <w:r>
        <w:rPr>
          <w:rFonts w:hint="eastAsia" w:ascii="宋体" w:hAnsi="宋体"/>
          <w:bCs/>
          <w:color w:val="auto"/>
        </w:rPr>
        <w:t>调蓄设施等</w:t>
      </w:r>
      <w:r>
        <w:rPr>
          <w:rFonts w:hint="eastAsia" w:ascii="宋体" w:hAnsi="宋体"/>
          <w:bCs/>
          <w:color w:val="auto"/>
          <w:lang w:val="en-US" w:eastAsia="zh-CN"/>
        </w:rPr>
        <w:t>监测指标主要为水位</w:t>
      </w:r>
      <w:r>
        <w:rPr>
          <w:rFonts w:hint="eastAsia" w:ascii="宋体" w:hAnsi="宋体"/>
          <w:bCs/>
          <w:color w:val="auto"/>
        </w:rPr>
        <w:t>。</w:t>
      </w:r>
    </w:p>
    <w:p w14:paraId="6B46B90E">
      <w:pPr>
        <w:pStyle w:val="98"/>
        <w:spacing w:beforeLines="0" w:afterLines="0"/>
        <w:rPr>
          <w:rFonts w:ascii="宋体" w:hAnsi="宋体"/>
          <w:bCs/>
          <w:color w:val="auto"/>
        </w:rPr>
      </w:pPr>
      <w:r>
        <w:rPr>
          <w:rFonts w:hint="eastAsia" w:ascii="宋体" w:hAnsi="宋体"/>
          <w:bCs/>
          <w:color w:val="auto"/>
        </w:rPr>
        <w:t>6.4.</w:t>
      </w:r>
      <w:r>
        <w:rPr>
          <w:rFonts w:hint="eastAsia" w:ascii="宋体" w:hAnsi="宋体"/>
          <w:bCs/>
          <w:color w:val="auto"/>
          <w:lang w:val="en-US" w:eastAsia="zh-CN"/>
        </w:rPr>
        <w:t>2污水</w:t>
      </w:r>
      <w:r>
        <w:rPr>
          <w:rFonts w:hint="eastAsia" w:ascii="宋体" w:hAnsi="宋体"/>
          <w:bCs/>
          <w:color w:val="auto"/>
        </w:rPr>
        <w:t>监测对象</w:t>
      </w:r>
      <w:r>
        <w:rPr>
          <w:rFonts w:hint="eastAsia" w:ascii="宋体" w:hAnsi="宋体"/>
          <w:bCs/>
          <w:color w:val="auto"/>
          <w:lang w:val="en-US" w:eastAsia="zh-CN"/>
        </w:rPr>
        <w:t>及其主要</w:t>
      </w:r>
      <w:r>
        <w:rPr>
          <w:rFonts w:hint="eastAsia" w:ascii="宋体" w:hAnsi="宋体"/>
          <w:bCs/>
          <w:color w:val="auto"/>
        </w:rPr>
        <w:t>监测指标</w:t>
      </w:r>
      <w:r>
        <w:rPr>
          <w:rFonts w:hint="eastAsia" w:ascii="宋体" w:hAnsi="宋体"/>
          <w:bCs/>
          <w:color w:val="auto"/>
          <w:lang w:val="en-US" w:eastAsia="zh-CN"/>
        </w:rPr>
        <w:t>应符合以下要求</w:t>
      </w:r>
      <w:r>
        <w:rPr>
          <w:rFonts w:hint="eastAsia" w:ascii="宋体" w:hAnsi="宋体"/>
          <w:bCs/>
          <w:color w:val="auto"/>
          <w:lang w:eastAsia="zh-CN"/>
        </w:rPr>
        <w:t>：</w:t>
      </w:r>
    </w:p>
    <w:p w14:paraId="725D83C2">
      <w:pPr>
        <w:pStyle w:val="98"/>
        <w:numPr>
          <w:ilvl w:val="0"/>
          <w:numId w:val="12"/>
        </w:numPr>
        <w:spacing w:beforeLines="0" w:afterLines="0"/>
        <w:ind w:firstLine="420" w:firstLineChars="200"/>
        <w:rPr>
          <w:rFonts w:hint="eastAsia" w:ascii="宋体" w:hAnsi="宋体"/>
          <w:bCs/>
          <w:color w:val="auto"/>
          <w:lang w:eastAsia="zh-CN"/>
        </w:rPr>
      </w:pPr>
      <w:r>
        <w:rPr>
          <w:rFonts w:hint="eastAsia" w:ascii="宋体" w:hAnsi="宋体"/>
          <w:bCs/>
          <w:color w:val="auto"/>
        </w:rPr>
        <w:t>污水处理厂</w:t>
      </w:r>
      <w:r>
        <w:rPr>
          <w:rFonts w:hint="eastAsia" w:ascii="宋体" w:hAnsi="宋体"/>
          <w:bCs/>
          <w:color w:val="auto"/>
          <w:lang w:val="en-US" w:eastAsia="zh-CN"/>
        </w:rPr>
        <w:t>监测指标主要包括液位、流量、水质、视频监控；</w:t>
      </w:r>
    </w:p>
    <w:p w14:paraId="1ACFC3DA">
      <w:pPr>
        <w:pStyle w:val="98"/>
        <w:numPr>
          <w:ilvl w:val="0"/>
          <w:numId w:val="12"/>
        </w:numPr>
        <w:spacing w:beforeLines="0" w:afterLines="0"/>
        <w:ind w:firstLine="420" w:firstLineChars="200"/>
        <w:rPr>
          <w:rFonts w:hint="eastAsia" w:ascii="宋体" w:hAnsi="宋体"/>
          <w:bCs/>
          <w:color w:val="auto"/>
          <w:lang w:eastAsia="zh-CN"/>
        </w:rPr>
      </w:pPr>
      <w:r>
        <w:rPr>
          <w:rFonts w:hint="eastAsia" w:ascii="宋体" w:hAnsi="宋体"/>
          <w:bCs/>
          <w:color w:val="auto"/>
          <w:lang w:val="en-US" w:eastAsia="zh-CN"/>
        </w:rPr>
        <w:t>污水</w:t>
      </w:r>
      <w:r>
        <w:rPr>
          <w:rFonts w:hint="eastAsia" w:ascii="宋体" w:hAnsi="宋体"/>
          <w:bCs/>
          <w:color w:val="auto"/>
        </w:rPr>
        <w:t>管网及附属设施</w:t>
      </w:r>
      <w:r>
        <w:rPr>
          <w:rFonts w:hint="eastAsia" w:ascii="宋体" w:hAnsi="宋体"/>
          <w:bCs/>
          <w:color w:val="auto"/>
          <w:lang w:val="en-US" w:eastAsia="zh-CN"/>
        </w:rPr>
        <w:t>监测指标主要包括液位、流量、水质、可燃气体浓度、</w:t>
      </w:r>
      <w:r>
        <w:rPr>
          <w:rFonts w:hint="eastAsia" w:ascii="宋体" w:hAnsi="宋体"/>
          <w:bCs/>
          <w:color w:val="auto"/>
        </w:rPr>
        <w:t>井盖</w:t>
      </w:r>
      <w:r>
        <w:rPr>
          <w:rFonts w:hint="eastAsia" w:ascii="宋体" w:hAnsi="宋体"/>
          <w:bCs/>
          <w:color w:val="auto"/>
          <w:lang w:val="en-US" w:eastAsia="zh-CN"/>
        </w:rPr>
        <w:t>；</w:t>
      </w:r>
    </w:p>
    <w:p w14:paraId="139B1D3B">
      <w:pPr>
        <w:pStyle w:val="98"/>
        <w:numPr>
          <w:ilvl w:val="0"/>
          <w:numId w:val="12"/>
        </w:numPr>
        <w:spacing w:beforeLines="0" w:afterLines="0"/>
        <w:ind w:firstLine="420" w:firstLineChars="200"/>
        <w:rPr>
          <w:rFonts w:hint="eastAsia" w:ascii="宋体" w:hAnsi="宋体"/>
          <w:bCs/>
          <w:color w:val="auto"/>
        </w:rPr>
      </w:pPr>
      <w:r>
        <w:rPr>
          <w:rFonts w:hint="eastAsia" w:ascii="宋体" w:hAnsi="宋体"/>
          <w:bCs/>
          <w:color w:val="auto"/>
        </w:rPr>
        <w:t>重点排水户</w:t>
      </w:r>
      <w:r>
        <w:rPr>
          <w:rFonts w:hint="eastAsia" w:ascii="宋体" w:hAnsi="宋体"/>
          <w:bCs/>
          <w:color w:val="auto"/>
          <w:lang w:val="en-US" w:eastAsia="zh-CN"/>
        </w:rPr>
        <w:t>监测指标主要包括流量、水质</w:t>
      </w:r>
      <w:r>
        <w:rPr>
          <w:rFonts w:hint="eastAsia" w:ascii="宋体" w:hAnsi="宋体"/>
          <w:bCs/>
          <w:color w:val="auto"/>
        </w:rPr>
        <w:t>。</w:t>
      </w:r>
    </w:p>
    <w:p w14:paraId="5BBB2F73">
      <w:pPr>
        <w:pStyle w:val="98"/>
        <w:spacing w:beforeLines="0" w:afterLines="0"/>
        <w:rPr>
          <w:rFonts w:hint="eastAsia" w:ascii="宋体" w:hAnsi="宋体" w:eastAsia="宋体"/>
          <w:bCs/>
          <w:color w:val="auto"/>
          <w:lang w:val="en-US" w:eastAsia="zh-CN"/>
        </w:rPr>
      </w:pPr>
      <w:r>
        <w:rPr>
          <w:rFonts w:hint="eastAsia" w:ascii="宋体" w:hAnsi="宋体"/>
          <w:bCs/>
          <w:color w:val="auto"/>
        </w:rPr>
        <w:t>6.4.</w:t>
      </w:r>
      <w:r>
        <w:rPr>
          <w:rFonts w:hint="eastAsia" w:ascii="宋体" w:hAnsi="宋体"/>
          <w:bCs/>
          <w:color w:val="auto"/>
          <w:lang w:val="en-US" w:eastAsia="zh-CN"/>
        </w:rPr>
        <w:t>3雨水</w:t>
      </w:r>
      <w:r>
        <w:rPr>
          <w:rFonts w:hint="eastAsia" w:ascii="宋体" w:hAnsi="宋体"/>
          <w:bCs/>
          <w:color w:val="auto"/>
        </w:rPr>
        <w:t>监测</w:t>
      </w:r>
      <w:r>
        <w:rPr>
          <w:rFonts w:hint="eastAsia" w:ascii="宋体" w:hAnsi="宋体"/>
          <w:bCs/>
          <w:color w:val="auto"/>
          <w:lang w:val="en-US" w:eastAsia="zh-CN"/>
        </w:rPr>
        <w:t>设备布点应符合以下要求</w:t>
      </w:r>
      <w:r>
        <w:rPr>
          <w:rFonts w:hint="eastAsia" w:ascii="宋体" w:hAnsi="宋体"/>
          <w:bCs/>
          <w:color w:val="auto"/>
          <w:lang w:eastAsia="zh-CN"/>
        </w:rPr>
        <w:t>：</w:t>
      </w:r>
    </w:p>
    <w:p w14:paraId="7FCADF41">
      <w:pPr>
        <w:pStyle w:val="98"/>
        <w:spacing w:before="24" w:after="24"/>
        <w:ind w:firstLine="420" w:firstLineChars="200"/>
        <w:rPr>
          <w:rFonts w:hint="eastAsia" w:eastAsia="宋体"/>
          <w:bCs/>
          <w:color w:val="auto"/>
          <w:lang w:eastAsia="zh-CN"/>
        </w:rPr>
      </w:pPr>
      <w:r>
        <w:rPr>
          <w:rFonts w:hint="eastAsia"/>
          <w:bCs/>
          <w:color w:val="auto"/>
        </w:rPr>
        <w:t>a）</w:t>
      </w:r>
      <w:r>
        <w:rPr>
          <w:rFonts w:hint="eastAsia"/>
          <w:bCs/>
          <w:color w:val="auto"/>
          <w:lang w:val="en-US" w:eastAsia="zh-CN"/>
        </w:rPr>
        <w:t>城市易涝点、</w:t>
      </w:r>
      <w:r>
        <w:rPr>
          <w:rFonts w:hint="eastAsia"/>
          <w:bCs/>
          <w:color w:val="auto"/>
        </w:rPr>
        <w:t>二甲</w:t>
      </w:r>
      <w:r>
        <w:rPr>
          <w:rFonts w:hint="eastAsia"/>
          <w:bCs/>
          <w:color w:val="auto"/>
          <w:lang w:val="en-US" w:eastAsia="zh-CN"/>
        </w:rPr>
        <w:t>及</w:t>
      </w:r>
      <w:r>
        <w:rPr>
          <w:rFonts w:hint="eastAsia"/>
          <w:bCs/>
          <w:color w:val="auto"/>
        </w:rPr>
        <w:t>以上医院、国家储备粮库、火车站、110kV及以上供电设施、燃气设施、地下人防设施、地下供水供电设施、应急指挥中心、学校、地下商业综合体等重要保障对象的最低洼处</w:t>
      </w:r>
      <w:r>
        <w:rPr>
          <w:rFonts w:hint="eastAsia"/>
          <w:bCs/>
          <w:color w:val="auto"/>
          <w:lang w:eastAsia="zh-CN"/>
        </w:rPr>
        <w:t>，</w:t>
      </w:r>
      <w:r>
        <w:rPr>
          <w:rFonts w:hint="eastAsia"/>
          <w:bCs/>
          <w:color w:val="auto"/>
          <w:lang w:val="en-US" w:eastAsia="zh-CN"/>
        </w:rPr>
        <w:t>对周边环境进行视频监控，应对积水液位进行监测，宜对雨量进行监测。雨水监测设备</w:t>
      </w:r>
      <w:r>
        <w:rPr>
          <w:rFonts w:hint="eastAsia"/>
          <w:bCs/>
          <w:color w:val="auto"/>
        </w:rPr>
        <w:t>布设</w:t>
      </w:r>
      <w:r>
        <w:rPr>
          <w:rFonts w:hint="eastAsia"/>
          <w:bCs/>
          <w:color w:val="auto"/>
          <w:lang w:val="en-US" w:eastAsia="zh-CN"/>
        </w:rPr>
        <w:t>还应</w:t>
      </w:r>
      <w:r>
        <w:rPr>
          <w:rFonts w:hint="eastAsia"/>
          <w:bCs/>
          <w:color w:val="auto"/>
        </w:rPr>
        <w:t>符合GB/T</w:t>
      </w:r>
      <w:r>
        <w:rPr>
          <w:rFonts w:hint="eastAsia"/>
          <w:bCs/>
          <w:color w:val="auto"/>
          <w:lang w:val="en-US" w:eastAsia="zh-CN"/>
        </w:rPr>
        <w:t xml:space="preserve"> </w:t>
      </w:r>
      <w:r>
        <w:rPr>
          <w:rFonts w:hint="eastAsia"/>
          <w:bCs/>
          <w:color w:val="auto"/>
        </w:rPr>
        <w:t>39195等</w:t>
      </w:r>
      <w:r>
        <w:rPr>
          <w:rFonts w:hint="eastAsia"/>
          <w:bCs/>
          <w:color w:val="auto"/>
          <w:lang w:val="en-US" w:eastAsia="zh-CN"/>
        </w:rPr>
        <w:t>标准</w:t>
      </w:r>
      <w:r>
        <w:rPr>
          <w:rFonts w:hint="eastAsia"/>
          <w:bCs/>
          <w:color w:val="auto"/>
        </w:rPr>
        <w:t>要求</w:t>
      </w:r>
      <w:r>
        <w:rPr>
          <w:rFonts w:hint="eastAsia"/>
          <w:bCs/>
          <w:color w:val="auto"/>
          <w:lang w:eastAsia="zh-CN"/>
        </w:rPr>
        <w:t>；</w:t>
      </w:r>
    </w:p>
    <w:p w14:paraId="63777036">
      <w:pPr>
        <w:pStyle w:val="98"/>
        <w:spacing w:before="24" w:after="24"/>
        <w:ind w:firstLine="420" w:firstLineChars="200"/>
        <w:rPr>
          <w:bCs/>
          <w:color w:val="auto"/>
        </w:rPr>
      </w:pPr>
      <w:r>
        <w:rPr>
          <w:rFonts w:hint="eastAsia"/>
          <w:bCs/>
          <w:color w:val="auto"/>
          <w:lang w:val="en-US" w:eastAsia="zh-CN"/>
        </w:rPr>
        <w:t>b</w:t>
      </w:r>
      <w:r>
        <w:rPr>
          <w:rFonts w:hint="eastAsia"/>
          <w:bCs/>
          <w:color w:val="auto"/>
        </w:rPr>
        <w:t>）雨水主干管网、雨水泵站、雨水闸门、调蓄设施</w:t>
      </w:r>
      <w:r>
        <w:rPr>
          <w:rFonts w:hint="eastAsia"/>
          <w:bCs/>
          <w:color w:val="auto"/>
          <w:lang w:eastAsia="zh-CN"/>
        </w:rPr>
        <w:t>，</w:t>
      </w:r>
      <w:r>
        <w:rPr>
          <w:rFonts w:hint="eastAsia"/>
          <w:bCs/>
          <w:color w:val="auto"/>
          <w:lang w:val="en-US" w:eastAsia="zh-CN"/>
        </w:rPr>
        <w:t>应对</w:t>
      </w:r>
      <w:r>
        <w:rPr>
          <w:rFonts w:hint="eastAsia"/>
          <w:bCs/>
          <w:color w:val="auto"/>
        </w:rPr>
        <w:t>入口处</w:t>
      </w:r>
      <w:r>
        <w:rPr>
          <w:rFonts w:hint="eastAsia"/>
          <w:bCs/>
          <w:color w:val="auto"/>
          <w:lang w:val="en-US" w:eastAsia="zh-CN"/>
        </w:rPr>
        <w:t>进行</w:t>
      </w:r>
      <w:r>
        <w:rPr>
          <w:rFonts w:hint="eastAsia"/>
          <w:bCs/>
          <w:color w:val="auto"/>
        </w:rPr>
        <w:t>液位</w:t>
      </w:r>
      <w:r>
        <w:rPr>
          <w:rFonts w:hint="eastAsia"/>
          <w:bCs/>
          <w:color w:val="auto"/>
          <w:lang w:val="en-US" w:eastAsia="zh-CN"/>
        </w:rPr>
        <w:t>监测</w:t>
      </w:r>
      <w:r>
        <w:rPr>
          <w:rFonts w:hint="eastAsia"/>
          <w:bCs/>
          <w:color w:val="auto"/>
        </w:rPr>
        <w:t>，</w:t>
      </w:r>
      <w:r>
        <w:rPr>
          <w:rFonts w:hint="eastAsia"/>
          <w:bCs/>
          <w:color w:val="auto"/>
          <w:lang w:val="en-US" w:eastAsia="zh-CN"/>
        </w:rPr>
        <w:t>宜对</w:t>
      </w:r>
      <w:r>
        <w:rPr>
          <w:rFonts w:hint="eastAsia"/>
          <w:bCs/>
          <w:color w:val="auto"/>
        </w:rPr>
        <w:t>流量</w:t>
      </w:r>
      <w:r>
        <w:rPr>
          <w:rFonts w:hint="eastAsia"/>
          <w:bCs/>
          <w:color w:val="auto"/>
          <w:lang w:val="en-US" w:eastAsia="zh-CN"/>
        </w:rPr>
        <w:t>进行</w:t>
      </w:r>
      <w:r>
        <w:rPr>
          <w:rFonts w:hint="eastAsia"/>
          <w:bCs/>
          <w:color w:val="auto"/>
        </w:rPr>
        <w:t>监测，可燃气体浓度按需设置；</w:t>
      </w:r>
    </w:p>
    <w:p w14:paraId="1AA15431">
      <w:pPr>
        <w:pStyle w:val="98"/>
        <w:spacing w:before="24" w:after="24"/>
        <w:ind w:firstLine="420" w:firstLineChars="200"/>
        <w:rPr>
          <w:bCs/>
          <w:color w:val="auto"/>
        </w:rPr>
      </w:pPr>
      <w:r>
        <w:rPr>
          <w:rFonts w:hint="eastAsia"/>
          <w:bCs/>
          <w:color w:val="auto"/>
        </w:rPr>
        <w:t>c）河道、入河排口（出水口）</w:t>
      </w:r>
      <w:r>
        <w:rPr>
          <w:rFonts w:hint="eastAsia"/>
          <w:bCs/>
          <w:color w:val="auto"/>
          <w:lang w:eastAsia="zh-CN"/>
        </w:rPr>
        <w:t>，</w:t>
      </w:r>
      <w:r>
        <w:rPr>
          <w:rFonts w:hint="eastAsia"/>
          <w:bCs/>
          <w:color w:val="auto"/>
        </w:rPr>
        <w:t>在有顶托和倒灌风险时</w:t>
      </w:r>
      <w:r>
        <w:rPr>
          <w:rFonts w:hint="eastAsia"/>
          <w:bCs/>
          <w:color w:val="auto"/>
          <w:lang w:val="en-US" w:eastAsia="zh-CN"/>
        </w:rPr>
        <w:t>宜</w:t>
      </w:r>
      <w:r>
        <w:rPr>
          <w:rFonts w:hint="eastAsia"/>
          <w:bCs/>
          <w:color w:val="auto"/>
        </w:rPr>
        <w:t>设置</w:t>
      </w:r>
      <w:r>
        <w:rPr>
          <w:rFonts w:hint="eastAsia"/>
          <w:bCs/>
          <w:color w:val="auto"/>
          <w:lang w:val="en-US" w:eastAsia="zh-CN"/>
        </w:rPr>
        <w:t>水位监测设备</w:t>
      </w:r>
      <w:r>
        <w:rPr>
          <w:rFonts w:hint="eastAsia"/>
          <w:bCs/>
          <w:color w:val="auto"/>
        </w:rPr>
        <w:t>；</w:t>
      </w:r>
    </w:p>
    <w:p w14:paraId="62E3E005">
      <w:pPr>
        <w:pStyle w:val="98"/>
        <w:spacing w:before="24" w:after="24"/>
        <w:ind w:firstLine="420" w:firstLineChars="200"/>
        <w:rPr>
          <w:bCs/>
          <w:color w:val="auto"/>
        </w:rPr>
      </w:pPr>
      <w:r>
        <w:rPr>
          <w:rFonts w:hint="eastAsia"/>
          <w:bCs/>
          <w:color w:val="auto"/>
          <w:lang w:val="en-US" w:eastAsia="zh-CN"/>
        </w:rPr>
        <w:t>d</w:t>
      </w:r>
      <w:r>
        <w:rPr>
          <w:rFonts w:hint="eastAsia"/>
          <w:bCs/>
          <w:color w:val="auto"/>
        </w:rPr>
        <w:t>）外部作业影响区域的排水管线</w:t>
      </w:r>
      <w:r>
        <w:rPr>
          <w:rFonts w:hint="eastAsia"/>
          <w:bCs/>
          <w:color w:val="auto"/>
          <w:lang w:eastAsia="zh-CN"/>
        </w:rPr>
        <w:t>，</w:t>
      </w:r>
      <w:r>
        <w:rPr>
          <w:rFonts w:hint="eastAsia"/>
          <w:bCs/>
          <w:color w:val="auto"/>
          <w:lang w:val="en-US" w:eastAsia="zh-CN"/>
        </w:rPr>
        <w:t>宜对周边环境进行视频监控</w:t>
      </w:r>
      <w:r>
        <w:rPr>
          <w:rFonts w:hint="eastAsia"/>
          <w:bCs/>
          <w:color w:val="auto"/>
        </w:rPr>
        <w:t>；</w:t>
      </w:r>
    </w:p>
    <w:p w14:paraId="58C4ED98">
      <w:pPr>
        <w:pStyle w:val="98"/>
        <w:spacing w:before="24" w:after="24"/>
        <w:ind w:firstLine="420" w:firstLineChars="200"/>
        <w:rPr>
          <w:rFonts w:hint="eastAsia"/>
          <w:bCs/>
          <w:color w:val="auto"/>
        </w:rPr>
      </w:pPr>
      <w:r>
        <w:rPr>
          <w:rFonts w:hint="eastAsia"/>
          <w:bCs/>
          <w:color w:val="auto"/>
          <w:lang w:val="en-US" w:eastAsia="zh-CN"/>
        </w:rPr>
        <w:t>e</w:t>
      </w:r>
      <w:r>
        <w:rPr>
          <w:rFonts w:hint="eastAsia"/>
          <w:bCs/>
          <w:color w:val="auto"/>
        </w:rPr>
        <w:t>）暂时不具备改造条件的人员密集区域主干道路的排水主干管</w:t>
      </w:r>
      <w:r>
        <w:rPr>
          <w:rFonts w:hint="eastAsia"/>
          <w:bCs/>
          <w:color w:val="auto"/>
          <w:lang w:eastAsia="zh-CN"/>
        </w:rPr>
        <w:t>、</w:t>
      </w:r>
      <w:r>
        <w:rPr>
          <w:rFonts w:hint="eastAsia"/>
          <w:bCs/>
          <w:color w:val="auto"/>
        </w:rPr>
        <w:t>老旧及存在三四级缺陷的排水主干管</w:t>
      </w:r>
      <w:r>
        <w:rPr>
          <w:rFonts w:hint="eastAsia"/>
          <w:bCs/>
          <w:color w:val="auto"/>
          <w:lang w:eastAsia="zh-CN"/>
        </w:rPr>
        <w:t>，</w:t>
      </w:r>
      <w:r>
        <w:rPr>
          <w:rFonts w:hint="eastAsia"/>
          <w:bCs/>
          <w:color w:val="auto"/>
          <w:lang w:val="en-US" w:eastAsia="zh-CN"/>
        </w:rPr>
        <w:t>应对</w:t>
      </w:r>
      <w:r>
        <w:rPr>
          <w:rFonts w:hint="eastAsia"/>
          <w:bCs/>
          <w:color w:val="auto"/>
        </w:rPr>
        <w:t>入口处</w:t>
      </w:r>
      <w:r>
        <w:rPr>
          <w:rFonts w:hint="eastAsia"/>
          <w:bCs/>
          <w:color w:val="auto"/>
          <w:lang w:val="en-US" w:eastAsia="zh-CN"/>
        </w:rPr>
        <w:t>进行</w:t>
      </w:r>
      <w:r>
        <w:rPr>
          <w:rFonts w:hint="eastAsia"/>
          <w:bCs/>
          <w:color w:val="auto"/>
        </w:rPr>
        <w:t>液位</w:t>
      </w:r>
      <w:r>
        <w:rPr>
          <w:rFonts w:hint="eastAsia"/>
          <w:bCs/>
          <w:color w:val="auto"/>
          <w:lang w:val="en-US" w:eastAsia="zh-CN"/>
        </w:rPr>
        <w:t>监测</w:t>
      </w:r>
      <w:r>
        <w:rPr>
          <w:rFonts w:hint="eastAsia"/>
          <w:bCs/>
          <w:color w:val="auto"/>
        </w:rPr>
        <w:t>，</w:t>
      </w:r>
      <w:r>
        <w:rPr>
          <w:rFonts w:hint="eastAsia"/>
          <w:bCs/>
          <w:color w:val="auto"/>
          <w:lang w:val="en-US" w:eastAsia="zh-CN"/>
        </w:rPr>
        <w:t>宜对</w:t>
      </w:r>
      <w:r>
        <w:rPr>
          <w:rFonts w:hint="eastAsia"/>
          <w:bCs/>
          <w:color w:val="auto"/>
        </w:rPr>
        <w:t>流量</w:t>
      </w:r>
      <w:r>
        <w:rPr>
          <w:rFonts w:hint="eastAsia"/>
          <w:bCs/>
          <w:color w:val="auto"/>
          <w:lang w:val="en-US" w:eastAsia="zh-CN"/>
        </w:rPr>
        <w:t>进行</w:t>
      </w:r>
      <w:r>
        <w:rPr>
          <w:rFonts w:hint="eastAsia"/>
          <w:bCs/>
          <w:color w:val="auto"/>
        </w:rPr>
        <w:t>监测。</w:t>
      </w:r>
    </w:p>
    <w:p w14:paraId="0465CC78">
      <w:pPr>
        <w:pStyle w:val="98"/>
        <w:spacing w:before="24" w:after="24"/>
        <w:ind w:firstLine="420" w:firstLineChars="200"/>
        <w:rPr>
          <w:rFonts w:hint="eastAsia"/>
          <w:bCs/>
          <w:color w:val="auto"/>
          <w:lang w:val="en-US" w:eastAsia="zh-CN"/>
        </w:rPr>
      </w:pPr>
      <w:r>
        <w:rPr>
          <w:rFonts w:hint="eastAsia"/>
          <w:bCs/>
          <w:color w:val="auto"/>
          <w:lang w:val="en-US" w:eastAsia="zh-CN"/>
        </w:rPr>
        <w:t>雨水监测布点详细要求见表B.3.1。</w:t>
      </w:r>
    </w:p>
    <w:p w14:paraId="7AB8A44D">
      <w:pPr>
        <w:pStyle w:val="98"/>
        <w:spacing w:beforeLines="0" w:afterLines="0"/>
        <w:rPr>
          <w:rFonts w:hint="eastAsia" w:ascii="宋体" w:hAnsi="宋体" w:eastAsia="宋体"/>
          <w:bCs/>
          <w:color w:val="auto"/>
          <w:lang w:val="en-US" w:eastAsia="zh-CN"/>
        </w:rPr>
      </w:pPr>
      <w:r>
        <w:rPr>
          <w:rFonts w:hint="eastAsia" w:ascii="宋体" w:hAnsi="宋体"/>
          <w:bCs/>
          <w:color w:val="auto"/>
        </w:rPr>
        <w:t>6.4.</w:t>
      </w:r>
      <w:r>
        <w:rPr>
          <w:rFonts w:hint="eastAsia" w:ascii="宋体" w:hAnsi="宋体"/>
          <w:bCs/>
          <w:color w:val="auto"/>
          <w:lang w:val="en-US" w:eastAsia="zh-CN"/>
        </w:rPr>
        <w:t>4污水</w:t>
      </w:r>
      <w:r>
        <w:rPr>
          <w:rFonts w:hint="eastAsia" w:ascii="宋体" w:hAnsi="宋体"/>
          <w:bCs/>
          <w:color w:val="auto"/>
        </w:rPr>
        <w:t>监测</w:t>
      </w:r>
      <w:r>
        <w:rPr>
          <w:rFonts w:hint="eastAsia" w:ascii="宋体" w:hAnsi="宋体"/>
          <w:bCs/>
          <w:color w:val="auto"/>
          <w:lang w:val="en-US" w:eastAsia="zh-CN"/>
        </w:rPr>
        <w:t>设备布点应符合以下要求</w:t>
      </w:r>
      <w:r>
        <w:rPr>
          <w:rFonts w:hint="eastAsia" w:ascii="宋体" w:hAnsi="宋体"/>
          <w:bCs/>
          <w:color w:val="auto"/>
          <w:lang w:eastAsia="zh-CN"/>
        </w:rPr>
        <w:t>：</w:t>
      </w:r>
    </w:p>
    <w:p w14:paraId="0F9B0D5B">
      <w:pPr>
        <w:pStyle w:val="98"/>
        <w:spacing w:before="24" w:after="24"/>
        <w:ind w:firstLine="420" w:firstLineChars="200"/>
        <w:rPr>
          <w:rFonts w:hint="eastAsia"/>
          <w:bCs/>
          <w:color w:val="auto"/>
          <w:lang w:eastAsia="zh-CN"/>
        </w:rPr>
      </w:pPr>
      <w:r>
        <w:rPr>
          <w:rFonts w:hint="eastAsia"/>
          <w:bCs/>
          <w:color w:val="auto"/>
        </w:rPr>
        <w:t>a）</w:t>
      </w:r>
      <w:r>
        <w:rPr>
          <w:rFonts w:hint="eastAsia"/>
          <w:bCs/>
          <w:color w:val="auto"/>
          <w:lang w:val="en-US" w:eastAsia="zh-CN"/>
        </w:rPr>
        <w:t>污水监测设备</w:t>
      </w:r>
      <w:r>
        <w:rPr>
          <w:rFonts w:hint="eastAsia"/>
          <w:bCs/>
          <w:color w:val="auto"/>
        </w:rPr>
        <w:t>布</w:t>
      </w:r>
      <w:r>
        <w:rPr>
          <w:rFonts w:hint="eastAsia"/>
          <w:bCs/>
          <w:color w:val="auto"/>
          <w:lang w:val="en-US" w:eastAsia="zh-CN"/>
        </w:rPr>
        <w:t>点</w:t>
      </w:r>
      <w:r>
        <w:rPr>
          <w:rFonts w:hint="eastAsia"/>
          <w:bCs/>
          <w:color w:val="auto"/>
        </w:rPr>
        <w:t>应符合GB/T</w:t>
      </w:r>
      <w:r>
        <w:rPr>
          <w:rFonts w:hint="eastAsia"/>
          <w:bCs/>
          <w:color w:val="auto"/>
          <w:lang w:val="en-US" w:eastAsia="zh-CN"/>
        </w:rPr>
        <w:t xml:space="preserve"> </w:t>
      </w:r>
      <w:r>
        <w:rPr>
          <w:rFonts w:hint="eastAsia"/>
          <w:bCs/>
          <w:color w:val="auto"/>
        </w:rPr>
        <w:t>39195等</w:t>
      </w:r>
      <w:r>
        <w:rPr>
          <w:rFonts w:hint="eastAsia"/>
          <w:bCs/>
          <w:color w:val="auto"/>
          <w:lang w:val="en-US" w:eastAsia="zh-CN"/>
        </w:rPr>
        <w:t>标准</w:t>
      </w:r>
      <w:r>
        <w:rPr>
          <w:rFonts w:hint="eastAsia"/>
          <w:bCs/>
          <w:color w:val="auto"/>
        </w:rPr>
        <w:t>要求</w:t>
      </w:r>
      <w:r>
        <w:rPr>
          <w:rFonts w:hint="eastAsia"/>
          <w:bCs/>
          <w:color w:val="auto"/>
          <w:lang w:eastAsia="zh-CN"/>
        </w:rPr>
        <w:t>；</w:t>
      </w:r>
    </w:p>
    <w:p w14:paraId="684E0518">
      <w:pPr>
        <w:pStyle w:val="98"/>
        <w:spacing w:before="24" w:after="24"/>
        <w:ind w:firstLine="420" w:firstLineChars="200"/>
        <w:rPr>
          <w:bCs/>
          <w:color w:val="auto"/>
        </w:rPr>
      </w:pPr>
      <w:r>
        <w:rPr>
          <w:rFonts w:hint="eastAsia"/>
          <w:bCs/>
          <w:color w:val="auto"/>
          <w:lang w:val="en-US" w:eastAsia="zh-CN"/>
        </w:rPr>
        <w:t>b</w:t>
      </w:r>
      <w:r>
        <w:rPr>
          <w:rFonts w:hint="eastAsia"/>
          <w:bCs/>
          <w:color w:val="auto"/>
        </w:rPr>
        <w:t>）城市水体的干支流、上中下游，河道跨区县断面</w:t>
      </w:r>
      <w:r>
        <w:rPr>
          <w:rFonts w:hint="eastAsia"/>
          <w:bCs/>
          <w:color w:val="auto"/>
          <w:lang w:eastAsia="zh-CN"/>
        </w:rPr>
        <w:t>，</w:t>
      </w:r>
      <w:r>
        <w:rPr>
          <w:rFonts w:hint="eastAsia"/>
          <w:bCs/>
          <w:color w:val="auto"/>
          <w:lang w:val="en-US" w:eastAsia="zh-CN"/>
        </w:rPr>
        <w:t>宜进行视频监控，可对水质进行监测</w:t>
      </w:r>
      <w:r>
        <w:rPr>
          <w:rFonts w:hint="eastAsia"/>
          <w:bCs/>
          <w:color w:val="auto"/>
        </w:rPr>
        <w:t>；</w:t>
      </w:r>
    </w:p>
    <w:p w14:paraId="768D644F">
      <w:pPr>
        <w:pStyle w:val="98"/>
        <w:spacing w:before="24" w:after="24"/>
        <w:ind w:firstLine="420" w:firstLineChars="200"/>
        <w:rPr>
          <w:bCs/>
          <w:color w:val="auto"/>
        </w:rPr>
      </w:pPr>
      <w:r>
        <w:rPr>
          <w:rFonts w:hint="eastAsia"/>
          <w:bCs/>
          <w:color w:val="auto"/>
          <w:lang w:val="en-US" w:eastAsia="zh-CN"/>
        </w:rPr>
        <w:t>c</w:t>
      </w:r>
      <w:r>
        <w:rPr>
          <w:rFonts w:hint="eastAsia"/>
          <w:bCs/>
          <w:color w:val="auto"/>
        </w:rPr>
        <w:t>）入河排口、排口附近上游管网重要节点，污水泵站、截流设施、污水处理厂等截污控源设施</w:t>
      </w:r>
      <w:r>
        <w:rPr>
          <w:rFonts w:hint="eastAsia"/>
          <w:bCs/>
          <w:color w:val="auto"/>
          <w:lang w:eastAsia="zh-CN"/>
        </w:rPr>
        <w:t>，</w:t>
      </w:r>
      <w:r>
        <w:rPr>
          <w:rFonts w:hint="eastAsia"/>
          <w:bCs/>
          <w:color w:val="auto"/>
          <w:lang w:val="en-US" w:eastAsia="zh-CN"/>
        </w:rPr>
        <w:t>应设置液位监测，宜进行视频监控、流量、水质监测</w:t>
      </w:r>
      <w:r>
        <w:rPr>
          <w:rFonts w:hint="eastAsia"/>
          <w:bCs/>
          <w:color w:val="auto"/>
        </w:rPr>
        <w:t>；</w:t>
      </w:r>
    </w:p>
    <w:p w14:paraId="0F568007">
      <w:pPr>
        <w:pStyle w:val="98"/>
        <w:spacing w:before="24" w:after="24"/>
        <w:ind w:firstLine="420" w:firstLineChars="200"/>
        <w:rPr>
          <w:bCs/>
          <w:color w:val="auto"/>
        </w:rPr>
      </w:pPr>
      <w:r>
        <w:rPr>
          <w:rFonts w:hint="eastAsia"/>
          <w:bCs/>
          <w:color w:val="auto"/>
          <w:lang w:val="en-US" w:eastAsia="zh-CN"/>
        </w:rPr>
        <w:t>d</w:t>
      </w:r>
      <w:r>
        <w:rPr>
          <w:rFonts w:hint="eastAsia"/>
          <w:bCs/>
          <w:color w:val="auto"/>
        </w:rPr>
        <w:t>）易产生沼气积聚的污水井及其联通空间</w:t>
      </w:r>
      <w:r>
        <w:rPr>
          <w:rFonts w:hint="eastAsia"/>
          <w:bCs/>
          <w:color w:val="auto"/>
          <w:lang w:eastAsia="zh-CN"/>
        </w:rPr>
        <w:t>，</w:t>
      </w:r>
      <w:r>
        <w:rPr>
          <w:rFonts w:hint="eastAsia"/>
          <w:bCs/>
          <w:color w:val="auto"/>
          <w:lang w:val="en-US" w:eastAsia="zh-CN"/>
        </w:rPr>
        <w:t>应进行可燃气体浓度监测</w:t>
      </w:r>
      <w:r>
        <w:rPr>
          <w:rFonts w:hint="eastAsia"/>
          <w:bCs/>
          <w:color w:val="auto"/>
        </w:rPr>
        <w:t>；</w:t>
      </w:r>
    </w:p>
    <w:p w14:paraId="2E90FC33">
      <w:pPr>
        <w:pStyle w:val="98"/>
        <w:spacing w:before="24" w:after="24"/>
        <w:ind w:firstLine="420" w:firstLineChars="200"/>
        <w:rPr>
          <w:bCs/>
          <w:color w:val="auto"/>
        </w:rPr>
      </w:pPr>
      <w:r>
        <w:rPr>
          <w:rFonts w:hint="eastAsia"/>
          <w:bCs/>
          <w:color w:val="auto"/>
          <w:lang w:val="en-US" w:eastAsia="zh-CN"/>
        </w:rPr>
        <w:t>e</w:t>
      </w:r>
      <w:r>
        <w:rPr>
          <w:rFonts w:hint="eastAsia"/>
          <w:bCs/>
          <w:color w:val="auto"/>
        </w:rPr>
        <w:t>）人员密集区域主干管网</w:t>
      </w:r>
      <w:r>
        <w:rPr>
          <w:rFonts w:hint="eastAsia"/>
          <w:bCs/>
          <w:color w:val="auto"/>
          <w:lang w:eastAsia="zh-CN"/>
        </w:rPr>
        <w:t>、</w:t>
      </w:r>
      <w:r>
        <w:rPr>
          <w:rFonts w:hint="eastAsia"/>
          <w:bCs/>
          <w:color w:val="auto"/>
        </w:rPr>
        <w:t>老旧排水管线</w:t>
      </w:r>
      <w:r>
        <w:rPr>
          <w:rFonts w:hint="eastAsia"/>
          <w:bCs/>
          <w:color w:val="auto"/>
          <w:lang w:eastAsia="zh-CN"/>
        </w:rPr>
        <w:t>（</w:t>
      </w:r>
      <w:r>
        <w:rPr>
          <w:rFonts w:hint="eastAsia"/>
          <w:bCs/>
          <w:color w:val="auto"/>
        </w:rPr>
        <w:t>老旧、有三四级缺陷暂未整改的污水主干管，高水位运行、溢流风险较高的节点</w:t>
      </w:r>
      <w:r>
        <w:rPr>
          <w:rFonts w:hint="eastAsia"/>
          <w:bCs/>
          <w:color w:val="auto"/>
          <w:lang w:eastAsia="zh-CN"/>
        </w:rPr>
        <w:t>）、</w:t>
      </w:r>
      <w:r>
        <w:rPr>
          <w:rFonts w:hint="eastAsia"/>
          <w:bCs/>
          <w:color w:val="auto"/>
        </w:rPr>
        <w:t>外部作业影响区域的排水管线</w:t>
      </w:r>
      <w:r>
        <w:rPr>
          <w:rFonts w:hint="eastAsia"/>
          <w:bCs/>
          <w:color w:val="auto"/>
          <w:lang w:eastAsia="zh-CN"/>
        </w:rPr>
        <w:t>，</w:t>
      </w:r>
      <w:r>
        <w:rPr>
          <w:rFonts w:hint="eastAsia"/>
          <w:bCs/>
          <w:color w:val="auto"/>
          <w:lang w:val="en-US" w:eastAsia="zh-CN"/>
        </w:rPr>
        <w:t>应设置液位监测，宜对流量进行监测，可对水质进行监测</w:t>
      </w:r>
      <w:r>
        <w:rPr>
          <w:rFonts w:hint="eastAsia"/>
          <w:bCs/>
          <w:color w:val="auto"/>
        </w:rPr>
        <w:t>；</w:t>
      </w:r>
    </w:p>
    <w:p w14:paraId="64B5DF0B">
      <w:pPr>
        <w:pStyle w:val="98"/>
        <w:spacing w:before="24" w:after="24"/>
        <w:ind w:firstLine="420" w:firstLineChars="200"/>
        <w:rPr>
          <w:bCs/>
          <w:color w:val="auto"/>
        </w:rPr>
      </w:pPr>
      <w:r>
        <w:rPr>
          <w:rFonts w:hint="eastAsia"/>
          <w:bCs/>
          <w:color w:val="auto"/>
          <w:lang w:val="en-US" w:eastAsia="zh-CN"/>
        </w:rPr>
        <w:t>f</w:t>
      </w:r>
      <w:r>
        <w:rPr>
          <w:rFonts w:hint="eastAsia"/>
          <w:bCs/>
          <w:color w:val="auto"/>
        </w:rPr>
        <w:t>）排口来水路径清晰</w:t>
      </w:r>
      <w:r>
        <w:rPr>
          <w:rFonts w:hint="eastAsia"/>
          <w:bCs/>
          <w:color w:val="auto"/>
          <w:lang w:val="en-US" w:eastAsia="zh-CN"/>
        </w:rPr>
        <w:t>且</w:t>
      </w:r>
      <w:r>
        <w:rPr>
          <w:rFonts w:hint="eastAsia"/>
          <w:bCs/>
          <w:color w:val="auto"/>
        </w:rPr>
        <w:t>排水量大</w:t>
      </w:r>
      <w:r>
        <w:rPr>
          <w:rFonts w:hint="eastAsia"/>
          <w:bCs/>
          <w:color w:val="auto"/>
          <w:lang w:eastAsia="zh-CN"/>
        </w:rPr>
        <w:t>，</w:t>
      </w:r>
      <w:r>
        <w:rPr>
          <w:rFonts w:hint="eastAsia"/>
          <w:bCs/>
          <w:color w:val="auto"/>
          <w:lang w:val="en-US" w:eastAsia="zh-CN"/>
        </w:rPr>
        <w:t>同时</w:t>
      </w:r>
      <w:r>
        <w:rPr>
          <w:rFonts w:hint="eastAsia"/>
          <w:bCs/>
          <w:color w:val="auto"/>
        </w:rPr>
        <w:t>存在超标超限排放风险的排水户接入市政管网</w:t>
      </w:r>
      <w:r>
        <w:rPr>
          <w:rFonts w:hint="eastAsia"/>
          <w:bCs/>
          <w:color w:val="auto"/>
          <w:lang w:val="en-US" w:eastAsia="zh-CN"/>
        </w:rPr>
        <w:t>节点</w:t>
      </w:r>
      <w:r>
        <w:rPr>
          <w:rFonts w:hint="eastAsia"/>
          <w:bCs/>
          <w:color w:val="auto"/>
          <w:lang w:eastAsia="zh-CN"/>
        </w:rPr>
        <w:t>，</w:t>
      </w:r>
      <w:r>
        <w:rPr>
          <w:rFonts w:hint="eastAsia"/>
          <w:bCs/>
          <w:color w:val="auto"/>
          <w:lang w:val="en-US" w:eastAsia="zh-CN"/>
        </w:rPr>
        <w:t>宜对流量、水质进行监测</w:t>
      </w:r>
      <w:r>
        <w:rPr>
          <w:rFonts w:hint="eastAsia"/>
          <w:bCs/>
          <w:color w:val="auto"/>
        </w:rPr>
        <w:t>。</w:t>
      </w:r>
    </w:p>
    <w:p w14:paraId="74C36184">
      <w:pPr>
        <w:pStyle w:val="98"/>
        <w:spacing w:before="24" w:after="24"/>
        <w:ind w:firstLine="420" w:firstLineChars="200"/>
        <w:rPr>
          <w:rFonts w:hint="eastAsia"/>
          <w:bCs/>
          <w:color w:val="auto"/>
          <w:lang w:val="en-US" w:eastAsia="zh-CN"/>
        </w:rPr>
      </w:pPr>
      <w:r>
        <w:rPr>
          <w:rFonts w:hint="eastAsia"/>
          <w:bCs/>
          <w:color w:val="auto"/>
          <w:lang w:val="en-US" w:eastAsia="zh-CN"/>
        </w:rPr>
        <w:t>污水监测布点详细要求见表B.3.2。</w:t>
      </w:r>
    </w:p>
    <w:p w14:paraId="2D9CB3EC">
      <w:pPr>
        <w:pStyle w:val="98"/>
        <w:spacing w:beforeLines="0" w:afterLines="0"/>
        <w:rPr>
          <w:rFonts w:ascii="宋体" w:hAnsi="宋体"/>
          <w:bCs/>
          <w:color w:val="auto"/>
        </w:rPr>
      </w:pPr>
      <w:r>
        <w:rPr>
          <w:rFonts w:hint="eastAsia" w:ascii="宋体" w:hAnsi="宋体"/>
          <w:bCs/>
          <w:color w:val="auto"/>
        </w:rPr>
        <w:t>6.4.5</w:t>
      </w:r>
      <w:r>
        <w:rPr>
          <w:rFonts w:hint="eastAsia" w:ascii="宋体" w:hAnsi="宋体"/>
          <w:bCs/>
          <w:color w:val="auto"/>
          <w:lang w:val="en-US" w:eastAsia="zh-CN"/>
        </w:rPr>
        <w:t>排水</w:t>
      </w:r>
      <w:r>
        <w:rPr>
          <w:rFonts w:hint="eastAsia" w:ascii="宋体" w:hAnsi="宋体"/>
          <w:bCs/>
          <w:color w:val="auto"/>
        </w:rPr>
        <w:t>监测设备</w:t>
      </w:r>
      <w:r>
        <w:rPr>
          <w:rFonts w:hint="eastAsia" w:ascii="宋体" w:hAnsi="宋体"/>
          <w:bCs/>
          <w:color w:val="auto"/>
          <w:lang w:val="en-US" w:eastAsia="zh-CN"/>
        </w:rPr>
        <w:t>性能</w:t>
      </w:r>
      <w:r>
        <w:rPr>
          <w:rFonts w:hint="eastAsia" w:ascii="宋体" w:hAnsi="宋体"/>
          <w:bCs/>
          <w:color w:val="auto"/>
        </w:rPr>
        <w:t>应符合</w:t>
      </w:r>
      <w:r>
        <w:rPr>
          <w:rFonts w:hint="eastAsia" w:ascii="宋体" w:hAnsi="宋体"/>
          <w:bCs/>
          <w:color w:val="auto"/>
          <w:lang w:eastAsia="zh-CN"/>
        </w:rPr>
        <w:t>以下要求</w:t>
      </w:r>
      <w:r>
        <w:rPr>
          <w:rFonts w:hint="eastAsia" w:ascii="宋体" w:hAnsi="宋体"/>
          <w:bCs/>
          <w:color w:val="auto"/>
        </w:rPr>
        <w:t>：</w:t>
      </w:r>
    </w:p>
    <w:p w14:paraId="189C9AB2">
      <w:pPr>
        <w:pStyle w:val="98"/>
        <w:numPr>
          <w:ilvl w:val="0"/>
          <w:numId w:val="13"/>
        </w:numPr>
        <w:spacing w:before="24" w:beforeLines="-2147483648" w:after="24" w:afterLines="-2147483648"/>
        <w:ind w:firstLine="420" w:firstLineChars="200"/>
        <w:rPr>
          <w:rFonts w:hint="eastAsia" w:ascii="Times New Roman" w:hAnsi="Times New Roman" w:eastAsia="宋体" w:cs="宋体"/>
          <w:bCs/>
          <w:color w:val="auto"/>
          <w:sz w:val="21"/>
          <w:szCs w:val="21"/>
        </w:rPr>
      </w:pPr>
      <w:r>
        <w:rPr>
          <w:rFonts w:hint="eastAsia" w:ascii="Times New Roman" w:hAnsi="Times New Roman" w:eastAsia="宋体" w:cs="宋体"/>
          <w:bCs/>
          <w:color w:val="auto"/>
          <w:sz w:val="21"/>
          <w:szCs w:val="21"/>
        </w:rPr>
        <w:t>雨量监测设备适用于露天全天候</w:t>
      </w:r>
      <w:r>
        <w:rPr>
          <w:rFonts w:hint="eastAsia" w:cs="宋体"/>
          <w:bCs/>
          <w:color w:val="auto"/>
          <w:sz w:val="21"/>
          <w:szCs w:val="21"/>
          <w:lang w:val="en-US" w:eastAsia="zh-CN"/>
        </w:rPr>
        <w:t>工况</w:t>
      </w:r>
      <w:r>
        <w:rPr>
          <w:rFonts w:hint="eastAsia" w:ascii="Times New Roman" w:hAnsi="Times New Roman" w:eastAsia="宋体" w:cs="宋体"/>
          <w:bCs/>
          <w:color w:val="auto"/>
          <w:sz w:val="21"/>
          <w:szCs w:val="21"/>
        </w:rPr>
        <w:t>，具备防水、长效防腐性能，数据记录周期可灵活设置，可耐受极端暴雨短时冲击工况</w:t>
      </w:r>
      <w:r>
        <w:rPr>
          <w:rFonts w:hint="eastAsia" w:cs="宋体"/>
          <w:bCs/>
          <w:color w:val="auto"/>
          <w:sz w:val="21"/>
          <w:szCs w:val="21"/>
          <w:lang w:eastAsia="zh-CN"/>
        </w:rPr>
        <w:t>；</w:t>
      </w:r>
    </w:p>
    <w:p w14:paraId="5554CC75">
      <w:pPr>
        <w:pStyle w:val="98"/>
        <w:numPr>
          <w:ilvl w:val="0"/>
          <w:numId w:val="13"/>
        </w:numPr>
        <w:spacing w:before="24" w:beforeLines="-2147483648" w:after="24" w:afterLines="-2147483648"/>
        <w:ind w:firstLine="420" w:firstLineChars="200"/>
        <w:rPr>
          <w:rFonts w:hint="eastAsia" w:ascii="Times New Roman" w:hAnsi="Times New Roman" w:eastAsia="宋体" w:cs="宋体"/>
          <w:bCs/>
          <w:color w:val="auto"/>
          <w:sz w:val="21"/>
          <w:szCs w:val="21"/>
        </w:rPr>
      </w:pPr>
      <w:r>
        <w:rPr>
          <w:rFonts w:ascii="宋体" w:hAnsi="宋体" w:eastAsia="宋体" w:cs="宋体"/>
          <w:color w:val="auto"/>
          <w:sz w:val="21"/>
          <w:szCs w:val="21"/>
        </w:rPr>
        <w:t>液位和流</w:t>
      </w:r>
      <w:r>
        <w:rPr>
          <w:rFonts w:hint="eastAsia" w:ascii="宋体" w:hAnsi="宋体" w:eastAsia="宋体" w:cs="宋体"/>
          <w:color w:val="auto"/>
          <w:sz w:val="21"/>
          <w:szCs w:val="21"/>
          <w:lang w:val="en-US" w:eastAsia="zh-CN"/>
        </w:rPr>
        <w:t>量</w:t>
      </w:r>
      <w:r>
        <w:rPr>
          <w:rFonts w:ascii="宋体" w:hAnsi="宋体" w:eastAsia="宋体" w:cs="宋体"/>
          <w:color w:val="auto"/>
          <w:sz w:val="21"/>
          <w:szCs w:val="21"/>
        </w:rPr>
        <w:t>监测传感器应根据现场工况选择合适的传感器</w:t>
      </w:r>
      <w:r>
        <w:rPr>
          <w:rFonts w:hint="eastAsia" w:ascii="宋体" w:hAnsi="宋体" w:cs="宋体"/>
          <w:color w:val="auto"/>
          <w:sz w:val="21"/>
          <w:szCs w:val="21"/>
          <w:lang w:eastAsia="zh-CN"/>
        </w:rPr>
        <w:t>，</w:t>
      </w:r>
      <w:r>
        <w:rPr>
          <w:rFonts w:ascii="宋体" w:hAnsi="宋体" w:eastAsia="宋体" w:cs="宋体"/>
          <w:color w:val="auto"/>
          <w:sz w:val="21"/>
          <w:szCs w:val="21"/>
        </w:rPr>
        <w:t>宜使用抗污阻垢材料或者涂层，或传感器具有自清洁功能。</w:t>
      </w:r>
      <w:r>
        <w:rPr>
          <w:rFonts w:hint="eastAsia" w:ascii="宋体" w:hAnsi="宋体" w:eastAsia="宋体" w:cs="宋体"/>
          <w:color w:val="auto"/>
          <w:sz w:val="21"/>
          <w:szCs w:val="21"/>
        </w:rPr>
        <w:t>监测设备的使用环境应适应地下管网恶劣环境，并应适合浅流、非满流、满流、管道过载等各种工况条件；</w:t>
      </w:r>
    </w:p>
    <w:p w14:paraId="3D65269A">
      <w:pPr>
        <w:pStyle w:val="98"/>
        <w:numPr>
          <w:ilvl w:val="0"/>
          <w:numId w:val="13"/>
        </w:numPr>
        <w:spacing w:before="24" w:beforeLines="-2147483648" w:after="24" w:afterLines="-2147483648"/>
        <w:ind w:firstLine="420" w:firstLineChars="200"/>
        <w:rPr>
          <w:rFonts w:hint="eastAsia" w:ascii="Times New Roman" w:hAnsi="Times New Roman" w:eastAsia="宋体" w:cs="宋体"/>
          <w:bCs/>
          <w:color w:val="auto"/>
          <w:sz w:val="21"/>
          <w:szCs w:val="21"/>
        </w:rPr>
      </w:pPr>
      <w:r>
        <w:rPr>
          <w:rFonts w:ascii="宋体" w:hAnsi="宋体" w:eastAsia="宋体" w:cs="宋体"/>
          <w:color w:val="auto"/>
          <w:sz w:val="21"/>
          <w:szCs w:val="21"/>
        </w:rPr>
        <w:t>液位监测设备可通过组合使用</w:t>
      </w:r>
      <w:r>
        <w:rPr>
          <w:rFonts w:hint="eastAsia" w:ascii="宋体" w:hAnsi="宋体" w:cs="宋体"/>
          <w:color w:val="auto"/>
          <w:sz w:val="21"/>
          <w:szCs w:val="21"/>
          <w:highlight w:val="none"/>
          <w:lang w:val="en-US" w:eastAsia="zh-CN"/>
        </w:rPr>
        <w:t>多种类</w:t>
      </w:r>
      <w:r>
        <w:rPr>
          <w:rFonts w:ascii="宋体" w:hAnsi="宋体" w:eastAsia="宋体" w:cs="宋体"/>
          <w:color w:val="auto"/>
          <w:sz w:val="21"/>
          <w:szCs w:val="21"/>
          <w:highlight w:val="none"/>
        </w:rPr>
        <w:t>传感器</w:t>
      </w:r>
      <w:r>
        <w:rPr>
          <w:rFonts w:ascii="宋体" w:hAnsi="宋体" w:eastAsia="宋体" w:cs="宋体"/>
          <w:color w:val="auto"/>
          <w:sz w:val="21"/>
          <w:szCs w:val="21"/>
        </w:rPr>
        <w:t>避免出现测量盲区。</w:t>
      </w:r>
    </w:p>
    <w:p w14:paraId="6777D875">
      <w:pPr>
        <w:pStyle w:val="98"/>
        <w:numPr>
          <w:ilvl w:val="0"/>
          <w:numId w:val="13"/>
        </w:numPr>
        <w:spacing w:before="24" w:beforeLines="-2147483648" w:after="24" w:afterLines="-2147483648"/>
        <w:ind w:firstLine="420" w:firstLineChars="200"/>
        <w:rPr>
          <w:rFonts w:hint="eastAsia" w:ascii="Times New Roman" w:hAnsi="Times New Roman" w:eastAsia="宋体" w:cs="宋体"/>
          <w:bCs/>
          <w:color w:val="auto"/>
          <w:sz w:val="21"/>
          <w:szCs w:val="21"/>
        </w:rPr>
      </w:pPr>
      <w:r>
        <w:rPr>
          <w:rFonts w:ascii="宋体" w:hAnsi="宋体" w:eastAsia="宋体" w:cs="宋体"/>
          <w:color w:val="auto"/>
          <w:sz w:val="21"/>
          <w:szCs w:val="21"/>
        </w:rPr>
        <w:t>满管且流速管道宜采用电磁流量计，工况复杂的管道、渠道宜采用多普勒流量计</w:t>
      </w:r>
      <w:r>
        <w:rPr>
          <w:rFonts w:hint="eastAsia" w:ascii="宋体" w:hAnsi="宋体" w:cs="宋体"/>
          <w:color w:val="auto"/>
          <w:sz w:val="21"/>
          <w:szCs w:val="21"/>
          <w:lang w:eastAsia="zh-CN"/>
        </w:rPr>
        <w:t>，</w:t>
      </w:r>
      <w:r>
        <w:rPr>
          <w:rFonts w:hint="eastAsia" w:ascii="Times New Roman" w:hAnsi="Times New Roman" w:eastAsia="宋体" w:cs="宋体"/>
          <w:bCs/>
          <w:color w:val="auto"/>
          <w:sz w:val="21"/>
          <w:szCs w:val="21"/>
        </w:rPr>
        <w:t>流量监测设备支持双向水流检测，结构具备耐受井下复杂流体长期冲刷的性能</w:t>
      </w:r>
      <w:r>
        <w:rPr>
          <w:rFonts w:hint="eastAsia" w:cs="宋体"/>
          <w:bCs/>
          <w:color w:val="auto"/>
          <w:sz w:val="21"/>
          <w:szCs w:val="21"/>
          <w:lang w:eastAsia="zh-CN"/>
        </w:rPr>
        <w:t>；</w:t>
      </w:r>
    </w:p>
    <w:p w14:paraId="3F613152">
      <w:pPr>
        <w:pStyle w:val="98"/>
        <w:numPr>
          <w:ilvl w:val="0"/>
          <w:numId w:val="13"/>
        </w:numPr>
        <w:spacing w:before="24" w:beforeLines="-2147483648" w:after="24" w:afterLines="-2147483648"/>
        <w:ind w:firstLine="420" w:firstLineChars="200"/>
        <w:rPr>
          <w:rFonts w:hint="eastAsia" w:ascii="Times New Roman" w:hAnsi="Times New Roman" w:eastAsia="宋体" w:cs="宋体"/>
          <w:bCs/>
          <w:color w:val="auto"/>
          <w:sz w:val="21"/>
          <w:szCs w:val="21"/>
        </w:rPr>
      </w:pPr>
      <w:r>
        <w:rPr>
          <w:rFonts w:hint="eastAsia" w:ascii="Times New Roman" w:hAnsi="Times New Roman" w:eastAsia="宋体" w:cs="宋体"/>
          <w:bCs/>
          <w:color w:val="auto"/>
          <w:sz w:val="21"/>
          <w:szCs w:val="21"/>
        </w:rPr>
        <w:t>井下布设的监测设备宜采用小型紧凑结构，不得占用井内清淤、检修作业空间，设备拆装、现场校准操作适配井下狭小受限作业环境</w:t>
      </w:r>
      <w:r>
        <w:rPr>
          <w:rFonts w:hint="eastAsia" w:cs="宋体"/>
          <w:bCs/>
          <w:color w:val="auto"/>
          <w:sz w:val="21"/>
          <w:szCs w:val="21"/>
          <w:lang w:eastAsia="zh-CN"/>
        </w:rPr>
        <w:t>；</w:t>
      </w:r>
    </w:p>
    <w:p w14:paraId="365DA32C">
      <w:pPr>
        <w:pStyle w:val="98"/>
        <w:numPr>
          <w:ilvl w:val="0"/>
          <w:numId w:val="13"/>
        </w:numPr>
        <w:spacing w:before="24" w:beforeLines="-2147483648" w:after="24" w:afterLines="-2147483648"/>
        <w:ind w:firstLine="420" w:firstLineChars="200"/>
        <w:rPr>
          <w:rFonts w:hint="eastAsia" w:ascii="Times New Roman" w:hAnsi="Times New Roman" w:eastAsia="宋体" w:cs="宋体"/>
          <w:bCs/>
          <w:color w:val="auto"/>
          <w:sz w:val="21"/>
          <w:szCs w:val="21"/>
        </w:rPr>
      </w:pPr>
      <w:r>
        <w:rPr>
          <w:rFonts w:hint="eastAsia" w:ascii="Times New Roman" w:hAnsi="Times New Roman" w:eastAsia="宋体" w:cs="宋体"/>
          <w:bCs/>
          <w:color w:val="auto"/>
          <w:sz w:val="21"/>
          <w:szCs w:val="21"/>
        </w:rPr>
        <w:t>在检查井等存在爆炸风险的密闭空间内安装的监测设备应</w:t>
      </w:r>
      <w:r>
        <w:rPr>
          <w:rFonts w:hint="eastAsia"/>
          <w:bCs/>
          <w:color w:val="auto"/>
          <w:lang w:val="en-US" w:eastAsia="zh-CN"/>
        </w:rPr>
        <w:t>满足防爆要求</w:t>
      </w:r>
      <w:r>
        <w:rPr>
          <w:rFonts w:hint="eastAsia" w:cs="宋体"/>
          <w:bCs/>
          <w:color w:val="auto"/>
          <w:sz w:val="21"/>
          <w:szCs w:val="21"/>
          <w:lang w:eastAsia="zh-CN"/>
        </w:rPr>
        <w:t>；</w:t>
      </w:r>
    </w:p>
    <w:p w14:paraId="6C5F4A1F">
      <w:pPr>
        <w:pStyle w:val="98"/>
        <w:numPr>
          <w:ilvl w:val="0"/>
          <w:numId w:val="13"/>
        </w:numPr>
        <w:spacing w:before="24" w:beforeLines="-2147483648" w:after="24" w:afterLines="-2147483648"/>
        <w:ind w:firstLine="420" w:firstLineChars="200"/>
        <w:rPr>
          <w:rFonts w:hint="eastAsia" w:ascii="Times New Roman" w:hAnsi="Times New Roman" w:eastAsia="宋体" w:cs="宋体"/>
          <w:bCs/>
          <w:color w:val="auto"/>
          <w:sz w:val="21"/>
          <w:szCs w:val="21"/>
        </w:rPr>
      </w:pPr>
      <w:r>
        <w:rPr>
          <w:rFonts w:hint="eastAsia" w:ascii="Times New Roman" w:hAnsi="Times New Roman" w:eastAsia="宋体" w:cs="宋体"/>
          <w:bCs/>
          <w:color w:val="auto"/>
          <w:sz w:val="21"/>
          <w:szCs w:val="21"/>
        </w:rPr>
        <w:t>并支持接入</w:t>
      </w:r>
      <w:r>
        <w:rPr>
          <w:rFonts w:hint="eastAsia" w:cs="宋体"/>
          <w:bCs/>
          <w:color w:val="auto"/>
          <w:sz w:val="21"/>
          <w:szCs w:val="21"/>
          <w:lang w:val="en-US" w:eastAsia="zh-CN"/>
        </w:rPr>
        <w:t>排水运营管理单位</w:t>
      </w:r>
      <w:r>
        <w:rPr>
          <w:rFonts w:hint="eastAsia" w:ascii="宋体" w:hAnsi="宋体"/>
          <w:bCs/>
          <w:color w:val="auto"/>
          <w:lang w:eastAsia="zh-CN"/>
        </w:rPr>
        <w:t>、</w:t>
      </w:r>
      <w:r>
        <w:rPr>
          <w:rFonts w:hint="eastAsia" w:ascii="宋体" w:hAnsi="宋体"/>
          <w:bCs/>
          <w:color w:val="auto"/>
          <w:lang w:val="en-US" w:eastAsia="zh-CN"/>
        </w:rPr>
        <w:t>行业主管部门</w:t>
      </w:r>
      <w:r>
        <w:rPr>
          <w:rFonts w:hint="eastAsia" w:cs="宋体"/>
          <w:bCs/>
          <w:color w:val="auto"/>
          <w:sz w:val="21"/>
          <w:szCs w:val="21"/>
          <w:lang w:val="en-US" w:eastAsia="zh-CN"/>
        </w:rPr>
        <w:t>管理信息</w:t>
      </w:r>
      <w:r>
        <w:rPr>
          <w:rFonts w:hint="eastAsia" w:ascii="Times New Roman" w:hAnsi="Times New Roman" w:eastAsia="宋体" w:cs="宋体"/>
          <w:bCs/>
          <w:color w:val="auto"/>
          <w:sz w:val="21"/>
          <w:szCs w:val="21"/>
        </w:rPr>
        <w:t>系统。</w:t>
      </w:r>
    </w:p>
    <w:p w14:paraId="20DF123B">
      <w:pPr>
        <w:pStyle w:val="98"/>
        <w:numPr>
          <w:ilvl w:val="-1"/>
          <w:numId w:val="0"/>
        </w:numPr>
        <w:spacing w:before="0" w:beforeLines="0" w:after="0" w:afterLines="0"/>
        <w:ind w:firstLine="420" w:firstLineChars="200"/>
        <w:rPr>
          <w:rFonts w:hint="eastAsia" w:ascii="Times New Roman" w:hAnsi="Times New Roman" w:eastAsia="宋体" w:cs="宋体"/>
          <w:bCs/>
          <w:color w:val="auto"/>
          <w:sz w:val="21"/>
          <w:szCs w:val="20"/>
        </w:rPr>
      </w:pPr>
      <w:r>
        <w:rPr>
          <w:rFonts w:hint="eastAsia" w:ascii="宋体" w:hAnsi="宋体"/>
          <w:bCs/>
          <w:color w:val="auto"/>
          <w:szCs w:val="20"/>
          <w:lang w:val="en-US" w:eastAsia="zh-CN"/>
        </w:rPr>
        <w:t>排水</w:t>
      </w:r>
      <w:r>
        <w:rPr>
          <w:rFonts w:hint="eastAsia" w:ascii="宋体" w:hAnsi="宋体"/>
          <w:bCs/>
          <w:color w:val="auto"/>
          <w:szCs w:val="20"/>
        </w:rPr>
        <w:t>监测</w:t>
      </w:r>
      <w:r>
        <w:rPr>
          <w:rFonts w:hint="eastAsia" w:ascii="宋体" w:hAnsi="宋体"/>
          <w:bCs/>
          <w:color w:val="auto"/>
          <w:szCs w:val="20"/>
          <w:lang w:val="en-US" w:eastAsia="zh-CN"/>
        </w:rPr>
        <w:t>设备详细性能</w:t>
      </w:r>
      <w:r>
        <w:rPr>
          <w:rFonts w:hint="eastAsia" w:ascii="宋体" w:hAnsi="宋体"/>
          <w:bCs/>
          <w:color w:val="auto"/>
          <w:szCs w:val="20"/>
        </w:rPr>
        <w:t>要求见附录</w:t>
      </w:r>
      <w:r>
        <w:rPr>
          <w:rFonts w:hint="eastAsia" w:ascii="宋体" w:hAnsi="宋体"/>
          <w:bCs/>
          <w:color w:val="auto"/>
          <w:szCs w:val="20"/>
          <w:lang w:val="en-US" w:eastAsia="zh-CN"/>
        </w:rPr>
        <w:t>C</w:t>
      </w:r>
      <w:r>
        <w:rPr>
          <w:rFonts w:hint="eastAsia" w:ascii="宋体" w:hAnsi="宋体"/>
          <w:bCs/>
          <w:color w:val="auto"/>
          <w:szCs w:val="20"/>
        </w:rPr>
        <w:t>.</w:t>
      </w:r>
      <w:r>
        <w:rPr>
          <w:rFonts w:hint="eastAsia" w:ascii="宋体" w:hAnsi="宋体"/>
          <w:bCs/>
          <w:color w:val="auto"/>
          <w:szCs w:val="20"/>
          <w:lang w:val="en-US" w:eastAsia="zh-CN"/>
        </w:rPr>
        <w:t>3</w:t>
      </w:r>
      <w:r>
        <w:rPr>
          <w:rFonts w:hint="eastAsia" w:ascii="宋体" w:hAnsi="宋体"/>
          <w:bCs/>
          <w:color w:val="auto"/>
          <w:szCs w:val="20"/>
        </w:rPr>
        <w:t>。</w:t>
      </w:r>
    </w:p>
    <w:p w14:paraId="6F8F78AF">
      <w:pPr>
        <w:pStyle w:val="108"/>
        <w:numPr>
          <w:ilvl w:val="1"/>
          <w:numId w:val="1"/>
        </w:numPr>
        <w:spacing w:beforeLines="50" w:afterLines="50"/>
      </w:pPr>
      <w:bookmarkStart w:id="79" w:name="_Toc26211"/>
      <w:r>
        <w:rPr>
          <w:rFonts w:hint="eastAsia"/>
        </w:rPr>
        <w:t>热力安全监测感知网</w:t>
      </w:r>
      <w:bookmarkEnd w:id="79"/>
    </w:p>
    <w:p w14:paraId="13F18800">
      <w:pPr>
        <w:pStyle w:val="98"/>
        <w:spacing w:beforeLines="0" w:afterLines="0"/>
        <w:rPr>
          <w:rFonts w:ascii="宋体" w:hAnsi="宋体"/>
          <w:bCs/>
          <w:color w:val="auto"/>
        </w:rPr>
      </w:pPr>
      <w:r>
        <w:rPr>
          <w:rFonts w:hint="eastAsia" w:ascii="宋体" w:hAnsi="宋体"/>
          <w:bCs/>
          <w:color w:val="auto"/>
        </w:rPr>
        <w:t>6.5.1</w:t>
      </w:r>
      <w:r>
        <w:rPr>
          <w:rFonts w:hint="eastAsia" w:ascii="宋体" w:hAnsi="宋体"/>
          <w:bCs/>
          <w:color w:val="auto"/>
          <w:lang w:val="en-US" w:eastAsia="zh-CN"/>
        </w:rPr>
        <w:t>热力</w:t>
      </w:r>
      <w:r>
        <w:rPr>
          <w:rFonts w:hint="eastAsia" w:ascii="宋体" w:hAnsi="宋体"/>
          <w:bCs/>
          <w:color w:val="auto"/>
        </w:rPr>
        <w:t>监测对象</w:t>
      </w:r>
      <w:r>
        <w:rPr>
          <w:rFonts w:hint="eastAsia" w:ascii="宋体" w:hAnsi="宋体"/>
          <w:bCs/>
          <w:color w:val="auto"/>
          <w:lang w:val="en-US" w:eastAsia="zh-CN"/>
        </w:rPr>
        <w:t>及其主要</w:t>
      </w:r>
      <w:r>
        <w:rPr>
          <w:rFonts w:hint="eastAsia" w:ascii="宋体" w:hAnsi="宋体"/>
          <w:bCs/>
          <w:color w:val="auto"/>
        </w:rPr>
        <w:t>监测指标</w:t>
      </w:r>
      <w:r>
        <w:rPr>
          <w:rFonts w:hint="eastAsia" w:ascii="宋体" w:hAnsi="宋体"/>
          <w:bCs/>
          <w:color w:val="auto"/>
          <w:lang w:val="en-US" w:eastAsia="zh-CN"/>
        </w:rPr>
        <w:t>应符合以下要求</w:t>
      </w:r>
      <w:r>
        <w:rPr>
          <w:rFonts w:hint="eastAsia" w:ascii="宋体" w:hAnsi="宋体"/>
          <w:bCs/>
          <w:color w:val="auto"/>
          <w:lang w:eastAsia="zh-CN"/>
        </w:rPr>
        <w:t>：</w:t>
      </w:r>
    </w:p>
    <w:p w14:paraId="4D560F92">
      <w:pPr>
        <w:pStyle w:val="98"/>
        <w:numPr>
          <w:ilvl w:val="0"/>
          <w:numId w:val="14"/>
        </w:numPr>
        <w:spacing w:before="24" w:beforeLines="-2147483648" w:after="24" w:afterLines="-2147483648"/>
        <w:ind w:firstLine="420" w:firstLineChars="200"/>
        <w:rPr>
          <w:rFonts w:hint="eastAsia" w:ascii="Times New Roman" w:hAnsi="Times New Roman" w:eastAsia="宋体" w:cs="宋体"/>
          <w:bCs/>
          <w:color w:val="auto"/>
          <w:sz w:val="21"/>
          <w:szCs w:val="21"/>
        </w:rPr>
      </w:pPr>
      <w:r>
        <w:rPr>
          <w:rFonts w:hint="eastAsia" w:ascii="Times New Roman" w:hAnsi="Times New Roman" w:eastAsia="宋体" w:cs="宋体"/>
          <w:bCs/>
          <w:color w:val="auto"/>
          <w:sz w:val="21"/>
          <w:szCs w:val="21"/>
          <w:lang w:val="en-US" w:eastAsia="zh-CN"/>
        </w:rPr>
        <w:t>热力</w:t>
      </w:r>
      <w:r>
        <w:rPr>
          <w:rFonts w:hint="eastAsia" w:ascii="Times New Roman" w:hAnsi="Times New Roman" w:eastAsia="宋体" w:cs="宋体"/>
          <w:bCs/>
          <w:color w:val="auto"/>
          <w:sz w:val="21"/>
          <w:szCs w:val="21"/>
        </w:rPr>
        <w:t>厂站监测指标主要包括</w:t>
      </w:r>
      <w:r>
        <w:rPr>
          <w:rFonts w:hint="eastAsia" w:ascii="Times New Roman" w:hAnsi="Times New Roman" w:eastAsia="宋体" w:cs="宋体"/>
          <w:bCs/>
          <w:color w:val="auto"/>
          <w:sz w:val="21"/>
          <w:szCs w:val="21"/>
          <w:lang w:val="en-US" w:eastAsia="zh-CN"/>
        </w:rPr>
        <w:t>介质</w:t>
      </w:r>
      <w:r>
        <w:rPr>
          <w:rFonts w:hint="eastAsia" w:ascii="Times New Roman" w:hAnsi="Times New Roman" w:eastAsia="宋体" w:cs="宋体"/>
          <w:bCs/>
          <w:color w:val="auto"/>
          <w:sz w:val="21"/>
          <w:szCs w:val="21"/>
        </w:rPr>
        <w:t>压力、温度、流量、液位、</w:t>
      </w:r>
      <w:r>
        <w:rPr>
          <w:rFonts w:hint="eastAsia" w:ascii="Times New Roman" w:hAnsi="Times New Roman" w:eastAsia="宋体" w:cs="宋体"/>
          <w:bCs/>
          <w:color w:val="auto"/>
          <w:sz w:val="21"/>
          <w:szCs w:val="21"/>
          <w:lang w:eastAsia="zh-CN"/>
        </w:rPr>
        <w:t>视频监控</w:t>
      </w:r>
      <w:r>
        <w:rPr>
          <w:rFonts w:hint="eastAsia" w:ascii="Times New Roman" w:hAnsi="Times New Roman" w:eastAsia="宋体" w:cs="宋体"/>
          <w:bCs/>
          <w:color w:val="auto"/>
          <w:sz w:val="21"/>
          <w:szCs w:val="21"/>
        </w:rPr>
        <w:t>；</w:t>
      </w:r>
    </w:p>
    <w:p w14:paraId="7669287E">
      <w:pPr>
        <w:pStyle w:val="98"/>
        <w:numPr>
          <w:ilvl w:val="0"/>
          <w:numId w:val="14"/>
        </w:numPr>
        <w:spacing w:before="24" w:beforeLines="-2147483648" w:after="24" w:afterLines="-2147483648"/>
        <w:ind w:firstLine="420" w:firstLineChars="200"/>
        <w:rPr>
          <w:rFonts w:hint="eastAsia" w:ascii="Times New Roman" w:hAnsi="Times New Roman" w:eastAsia="宋体" w:cs="宋体"/>
          <w:bCs/>
          <w:color w:val="auto"/>
          <w:sz w:val="21"/>
          <w:szCs w:val="21"/>
        </w:rPr>
      </w:pPr>
      <w:r>
        <w:rPr>
          <w:rFonts w:hint="eastAsia" w:ascii="Times New Roman" w:hAnsi="Times New Roman" w:eastAsia="宋体" w:cs="宋体"/>
          <w:bCs/>
          <w:color w:val="auto"/>
          <w:sz w:val="21"/>
          <w:szCs w:val="21"/>
          <w:lang w:val="en-US" w:eastAsia="zh-CN"/>
        </w:rPr>
        <w:t>热力</w:t>
      </w:r>
      <w:r>
        <w:rPr>
          <w:rFonts w:hint="eastAsia" w:ascii="Times New Roman" w:hAnsi="Times New Roman" w:eastAsia="宋体" w:cs="宋体"/>
          <w:bCs/>
          <w:color w:val="auto"/>
          <w:sz w:val="21"/>
          <w:szCs w:val="21"/>
        </w:rPr>
        <w:t>管道监测指标主要包括压力、</w:t>
      </w:r>
      <w:r>
        <w:rPr>
          <w:rFonts w:hint="eastAsia" w:ascii="Times New Roman" w:hAnsi="Times New Roman" w:eastAsia="宋体" w:cs="宋体"/>
          <w:bCs/>
          <w:color w:val="auto"/>
          <w:sz w:val="21"/>
          <w:szCs w:val="21"/>
          <w:lang w:val="en-US" w:eastAsia="zh-CN"/>
        </w:rPr>
        <w:t>温度</w:t>
      </w:r>
      <w:r>
        <w:rPr>
          <w:rFonts w:hint="eastAsia" w:ascii="Times New Roman" w:hAnsi="Times New Roman" w:eastAsia="宋体" w:cs="宋体"/>
          <w:bCs/>
          <w:color w:val="auto"/>
          <w:sz w:val="21"/>
          <w:szCs w:val="21"/>
        </w:rPr>
        <w:t>、位移、振动、管道电位；</w:t>
      </w:r>
    </w:p>
    <w:p w14:paraId="4F99FD7D">
      <w:pPr>
        <w:pStyle w:val="98"/>
        <w:numPr>
          <w:ilvl w:val="0"/>
          <w:numId w:val="14"/>
        </w:numPr>
        <w:spacing w:before="24" w:beforeLines="-2147483648" w:after="24" w:afterLines="-2147483648"/>
        <w:ind w:firstLine="420" w:firstLineChars="200"/>
        <w:rPr>
          <w:rFonts w:hint="eastAsia" w:ascii="Times New Roman" w:hAnsi="Times New Roman" w:eastAsia="宋体" w:cs="宋体"/>
          <w:bCs/>
          <w:color w:val="auto"/>
          <w:sz w:val="21"/>
          <w:szCs w:val="21"/>
          <w:lang w:eastAsia="zh-CN"/>
        </w:rPr>
      </w:pPr>
      <w:r>
        <w:rPr>
          <w:rFonts w:hint="eastAsia" w:ascii="Times New Roman" w:hAnsi="Times New Roman" w:eastAsia="宋体" w:cs="宋体"/>
          <w:bCs/>
          <w:color w:val="auto"/>
          <w:sz w:val="21"/>
          <w:szCs w:val="21"/>
        </w:rPr>
        <w:t>阀井（室）监测指标主要包括</w:t>
      </w:r>
      <w:r>
        <w:rPr>
          <w:rFonts w:hint="eastAsia" w:ascii="Times New Roman" w:hAnsi="Times New Roman" w:eastAsia="宋体" w:cs="宋体"/>
          <w:bCs/>
          <w:color w:val="auto"/>
          <w:sz w:val="21"/>
          <w:szCs w:val="21"/>
          <w:lang w:val="en-US" w:eastAsia="zh-CN"/>
        </w:rPr>
        <w:t>温度、介质</w:t>
      </w:r>
      <w:r>
        <w:rPr>
          <w:rFonts w:hint="eastAsia" w:ascii="Times New Roman" w:hAnsi="Times New Roman" w:eastAsia="宋体" w:cs="宋体"/>
          <w:bCs/>
          <w:color w:val="auto"/>
          <w:sz w:val="21"/>
          <w:szCs w:val="21"/>
        </w:rPr>
        <w:t>压力、</w:t>
      </w:r>
      <w:r>
        <w:rPr>
          <w:rFonts w:hint="eastAsia" w:ascii="Times New Roman" w:hAnsi="Times New Roman" w:eastAsia="宋体" w:cs="宋体"/>
          <w:bCs/>
          <w:color w:val="auto"/>
          <w:sz w:val="21"/>
          <w:szCs w:val="21"/>
          <w:lang w:val="en-US" w:eastAsia="zh-CN"/>
        </w:rPr>
        <w:t>介质温度</w:t>
      </w:r>
      <w:r>
        <w:rPr>
          <w:rFonts w:hint="eastAsia" w:ascii="Times New Roman" w:hAnsi="Times New Roman" w:eastAsia="宋体" w:cs="宋体"/>
          <w:bCs/>
          <w:color w:val="auto"/>
          <w:sz w:val="21"/>
          <w:szCs w:val="21"/>
          <w:lang w:eastAsia="zh-CN"/>
        </w:rPr>
        <w:t>。</w:t>
      </w:r>
    </w:p>
    <w:p w14:paraId="6A1F045B">
      <w:pPr>
        <w:pStyle w:val="98"/>
        <w:spacing w:beforeLines="0" w:afterLines="0"/>
        <w:rPr>
          <w:rFonts w:ascii="宋体" w:hAnsi="宋体"/>
          <w:bCs/>
          <w:color w:val="auto"/>
        </w:rPr>
      </w:pPr>
      <w:r>
        <w:rPr>
          <w:rFonts w:hint="eastAsia" w:ascii="宋体" w:hAnsi="宋体"/>
          <w:bCs/>
          <w:color w:val="auto"/>
        </w:rPr>
        <w:t>6.5.</w:t>
      </w:r>
      <w:r>
        <w:rPr>
          <w:rFonts w:hint="eastAsia" w:ascii="宋体" w:hAnsi="宋体"/>
          <w:bCs/>
          <w:color w:val="auto"/>
          <w:lang w:val="en-US" w:eastAsia="zh-CN"/>
        </w:rPr>
        <w:t>2</w:t>
      </w:r>
      <w:r>
        <w:rPr>
          <w:rFonts w:hint="eastAsia" w:ascii="宋体" w:hAnsi="宋体"/>
          <w:bCs/>
          <w:color w:val="auto"/>
        </w:rPr>
        <w:t xml:space="preserve"> </w:t>
      </w:r>
      <w:r>
        <w:rPr>
          <w:rFonts w:hint="eastAsia" w:ascii="宋体" w:hAnsi="宋体"/>
          <w:bCs/>
          <w:color w:val="auto"/>
          <w:lang w:val="en-US" w:eastAsia="zh-CN"/>
        </w:rPr>
        <w:t>热力</w:t>
      </w:r>
      <w:r>
        <w:rPr>
          <w:rFonts w:hint="eastAsia" w:ascii="宋体" w:hAnsi="宋体"/>
          <w:bCs/>
          <w:color w:val="auto"/>
        </w:rPr>
        <w:t>监测</w:t>
      </w:r>
      <w:r>
        <w:rPr>
          <w:rFonts w:hint="eastAsia" w:ascii="宋体" w:hAnsi="宋体"/>
          <w:bCs/>
          <w:color w:val="auto"/>
          <w:lang w:val="en-US" w:eastAsia="zh-CN"/>
        </w:rPr>
        <w:t>设备</w:t>
      </w:r>
      <w:r>
        <w:rPr>
          <w:rFonts w:hint="eastAsia" w:ascii="宋体" w:hAnsi="宋体"/>
          <w:bCs/>
          <w:color w:val="auto"/>
        </w:rPr>
        <w:t>布点要求</w:t>
      </w:r>
    </w:p>
    <w:p w14:paraId="48D97D05">
      <w:pPr>
        <w:pStyle w:val="98"/>
        <w:spacing w:beforeLines="0" w:afterLines="0"/>
        <w:rPr>
          <w:rFonts w:hint="eastAsia" w:ascii="宋体" w:hAnsi="宋体"/>
          <w:bCs/>
          <w:color w:val="auto"/>
        </w:rPr>
      </w:pPr>
      <w:r>
        <w:rPr>
          <w:rFonts w:hint="eastAsia" w:ascii="宋体" w:hAnsi="宋体"/>
          <w:bCs/>
          <w:color w:val="auto"/>
        </w:rPr>
        <w:t>6.5.</w:t>
      </w:r>
      <w:r>
        <w:rPr>
          <w:rFonts w:hint="eastAsia" w:ascii="宋体" w:hAnsi="宋体"/>
          <w:bCs/>
          <w:color w:val="auto"/>
          <w:lang w:val="en-US" w:eastAsia="zh-CN"/>
        </w:rPr>
        <w:t>2</w:t>
      </w:r>
      <w:r>
        <w:rPr>
          <w:rFonts w:hint="eastAsia" w:ascii="宋体" w:hAnsi="宋体"/>
          <w:bCs/>
          <w:color w:val="auto"/>
        </w:rPr>
        <w:t>.1热力厂站监测布点要求应满足GB</w:t>
      </w:r>
      <w:r>
        <w:rPr>
          <w:rFonts w:hint="eastAsia" w:ascii="宋体" w:hAnsi="宋体"/>
          <w:bCs/>
          <w:color w:val="auto"/>
          <w:lang w:val="en-US" w:eastAsia="zh-CN"/>
        </w:rPr>
        <w:t xml:space="preserve"> </w:t>
      </w:r>
      <w:r>
        <w:rPr>
          <w:rFonts w:hint="eastAsia" w:ascii="宋体" w:hAnsi="宋体"/>
          <w:bCs/>
          <w:color w:val="auto"/>
        </w:rPr>
        <w:t>55010、GB</w:t>
      </w:r>
      <w:r>
        <w:rPr>
          <w:rFonts w:hint="eastAsia" w:ascii="宋体" w:hAnsi="宋体"/>
          <w:bCs/>
          <w:color w:val="auto"/>
          <w:lang w:val="en-US" w:eastAsia="zh-CN"/>
        </w:rPr>
        <w:t xml:space="preserve"> </w:t>
      </w:r>
      <w:r>
        <w:rPr>
          <w:rFonts w:hint="eastAsia" w:ascii="宋体" w:hAnsi="宋体"/>
          <w:bCs/>
          <w:color w:val="auto"/>
        </w:rPr>
        <w:t>50041、CJJ/T</w:t>
      </w:r>
      <w:r>
        <w:rPr>
          <w:rFonts w:hint="eastAsia" w:ascii="宋体" w:hAnsi="宋体"/>
          <w:bCs/>
          <w:color w:val="auto"/>
          <w:lang w:val="en-US" w:eastAsia="zh-CN"/>
        </w:rPr>
        <w:t xml:space="preserve"> </w:t>
      </w:r>
      <w:r>
        <w:rPr>
          <w:rFonts w:hint="eastAsia" w:ascii="宋体" w:hAnsi="宋体"/>
          <w:bCs/>
          <w:color w:val="auto"/>
        </w:rPr>
        <w:t>34、CJJ</w:t>
      </w:r>
      <w:r>
        <w:rPr>
          <w:rFonts w:hint="eastAsia" w:ascii="宋体" w:hAnsi="宋体"/>
          <w:bCs/>
          <w:color w:val="auto"/>
          <w:lang w:val="en-US" w:eastAsia="zh-CN"/>
        </w:rPr>
        <w:t xml:space="preserve"> </w:t>
      </w:r>
      <w:r>
        <w:rPr>
          <w:rFonts w:hint="eastAsia" w:ascii="宋体" w:hAnsi="宋体"/>
          <w:bCs/>
          <w:color w:val="auto"/>
        </w:rPr>
        <w:t>138等</w:t>
      </w:r>
      <w:r>
        <w:rPr>
          <w:rFonts w:hint="eastAsia" w:ascii="宋体" w:hAnsi="宋体"/>
          <w:bCs/>
          <w:color w:val="auto"/>
          <w:lang w:eastAsia="zh-CN"/>
        </w:rPr>
        <w:t>标准</w:t>
      </w:r>
      <w:r>
        <w:rPr>
          <w:rFonts w:hint="eastAsia" w:ascii="宋体" w:hAnsi="宋体"/>
          <w:bCs/>
          <w:color w:val="auto"/>
          <w:lang w:val="en-US" w:eastAsia="zh-CN"/>
        </w:rPr>
        <w:t>要求</w:t>
      </w:r>
      <w:r>
        <w:rPr>
          <w:rFonts w:hint="eastAsia" w:ascii="宋体" w:hAnsi="宋体"/>
          <w:bCs/>
          <w:color w:val="auto"/>
          <w:lang w:eastAsia="zh-CN"/>
        </w:rPr>
        <w:t>，</w:t>
      </w:r>
      <w:r>
        <w:rPr>
          <w:rFonts w:ascii="宋体" w:hAnsi="宋体"/>
          <w:bCs/>
          <w:color w:val="auto"/>
          <w:szCs w:val="21"/>
        </w:rPr>
        <w:t>并结合</w:t>
      </w:r>
      <w:r>
        <w:rPr>
          <w:rFonts w:hint="eastAsia" w:ascii="宋体" w:hAnsi="宋体"/>
          <w:bCs/>
          <w:color w:val="auto"/>
          <w:szCs w:val="21"/>
          <w:lang w:val="en-US" w:eastAsia="zh-CN"/>
        </w:rPr>
        <w:t>厂站功能</w:t>
      </w:r>
      <w:r>
        <w:rPr>
          <w:rFonts w:ascii="宋体" w:hAnsi="宋体"/>
          <w:bCs/>
          <w:color w:val="auto"/>
          <w:szCs w:val="21"/>
        </w:rPr>
        <w:t>分区、</w:t>
      </w:r>
      <w:r>
        <w:rPr>
          <w:rFonts w:hint="eastAsia" w:ascii="宋体" w:hAnsi="宋体"/>
          <w:bCs/>
          <w:color w:val="auto"/>
          <w:szCs w:val="21"/>
          <w:lang w:val="en-US" w:eastAsia="zh-CN"/>
        </w:rPr>
        <w:t>工艺介质特性、系统控制需求、设备安全管理需求</w:t>
      </w:r>
      <w:r>
        <w:rPr>
          <w:rFonts w:ascii="宋体" w:hAnsi="宋体"/>
          <w:bCs/>
          <w:color w:val="auto"/>
          <w:szCs w:val="21"/>
        </w:rPr>
        <w:t>、风险等级及运行管理需求布设监测点位</w:t>
      </w:r>
      <w:r>
        <w:rPr>
          <w:rFonts w:hint="eastAsia" w:ascii="宋体" w:hAnsi="宋体"/>
          <w:bCs/>
          <w:color w:val="auto"/>
          <w:szCs w:val="21"/>
        </w:rPr>
        <w:t>，相关</w:t>
      </w:r>
      <w:r>
        <w:rPr>
          <w:rFonts w:ascii="宋体" w:hAnsi="宋体"/>
          <w:bCs/>
          <w:color w:val="auto"/>
          <w:szCs w:val="21"/>
        </w:rPr>
        <w:t>监测数据应接入</w:t>
      </w:r>
      <w:r>
        <w:rPr>
          <w:rFonts w:hint="eastAsia" w:ascii="宋体" w:hAnsi="宋体"/>
          <w:bCs/>
          <w:color w:val="auto"/>
          <w:szCs w:val="21"/>
        </w:rPr>
        <w:t>城市生命线</w:t>
      </w:r>
      <w:r>
        <w:rPr>
          <w:rFonts w:hint="eastAsia" w:ascii="宋体" w:hAnsi="宋体"/>
          <w:bCs/>
          <w:color w:val="auto"/>
          <w:szCs w:val="21"/>
          <w:lang w:val="en-US" w:eastAsia="zh-CN"/>
        </w:rPr>
        <w:t>监测系统</w:t>
      </w:r>
      <w:r>
        <w:rPr>
          <w:rFonts w:hint="eastAsia" w:ascii="宋体" w:hAnsi="宋体"/>
          <w:bCs/>
          <w:color w:val="auto"/>
        </w:rPr>
        <w:t>。</w:t>
      </w:r>
    </w:p>
    <w:p w14:paraId="4F885F30">
      <w:pPr>
        <w:pStyle w:val="98"/>
        <w:spacing w:beforeLines="0" w:afterLines="0"/>
        <w:rPr>
          <w:rFonts w:hint="eastAsia" w:ascii="宋体" w:hAnsi="宋体"/>
          <w:bCs/>
          <w:color w:val="auto"/>
          <w:lang w:val="en-US" w:eastAsia="zh-CN"/>
        </w:rPr>
      </w:pPr>
      <w:r>
        <w:rPr>
          <w:rFonts w:hint="eastAsia" w:ascii="宋体" w:hAnsi="宋体"/>
          <w:bCs/>
          <w:color w:val="auto"/>
          <w:lang w:val="en-US" w:eastAsia="zh-CN"/>
        </w:rPr>
        <w:t>6.5.2.2热力</w:t>
      </w:r>
      <w:r>
        <w:rPr>
          <w:rFonts w:hint="eastAsia" w:ascii="宋体" w:hAnsi="宋体"/>
          <w:bCs/>
          <w:color w:val="auto"/>
        </w:rPr>
        <w:t>管道</w:t>
      </w:r>
      <w:r>
        <w:rPr>
          <w:rFonts w:hint="eastAsia" w:ascii="宋体" w:hAnsi="宋体"/>
          <w:bCs/>
          <w:color w:val="auto"/>
          <w:lang w:val="en-US" w:eastAsia="zh-CN"/>
        </w:rPr>
        <w:t>及阀井（室）</w:t>
      </w:r>
      <w:r>
        <w:rPr>
          <w:rFonts w:hint="eastAsia" w:ascii="宋体" w:hAnsi="宋体" w:cs="宋体"/>
          <w:bCs/>
          <w:color w:val="auto"/>
          <w:kern w:val="2"/>
          <w:sz w:val="21"/>
          <w:szCs w:val="20"/>
          <w:lang w:val="en-US" w:eastAsia="zh-CN" w:bidi="ar-SA"/>
        </w:rPr>
        <w:t>监测设备布点应</w:t>
      </w:r>
      <w:r>
        <w:rPr>
          <w:rFonts w:hint="eastAsia" w:ascii="宋体" w:hAnsi="宋体"/>
          <w:bCs/>
          <w:color w:val="auto"/>
          <w:lang w:val="en-US" w:eastAsia="zh-CN"/>
        </w:rPr>
        <w:t>符合以下要求：</w:t>
      </w:r>
    </w:p>
    <w:p w14:paraId="792EBA71">
      <w:pPr>
        <w:pStyle w:val="98"/>
        <w:numPr>
          <w:ilvl w:val="0"/>
          <w:numId w:val="15"/>
        </w:numPr>
        <w:spacing w:beforeLines="0" w:afterLines="0"/>
        <w:ind w:firstLine="420" w:firstLineChars="200"/>
        <w:rPr>
          <w:rFonts w:hint="eastAsia" w:ascii="宋体" w:hAnsi="宋体" w:cs="宋体"/>
          <w:bCs/>
          <w:color w:val="auto"/>
          <w:kern w:val="2"/>
          <w:sz w:val="21"/>
          <w:szCs w:val="20"/>
          <w:lang w:val="en-US" w:eastAsia="zh-CN" w:bidi="ar-SA"/>
        </w:rPr>
      </w:pPr>
      <w:r>
        <w:rPr>
          <w:rFonts w:hint="eastAsia" w:ascii="宋体" w:hAnsi="宋体"/>
          <w:bCs/>
          <w:color w:val="auto"/>
        </w:rPr>
        <w:t>对风险评估结果为较大及以上风险，</w:t>
      </w:r>
      <w:r>
        <w:rPr>
          <w:rFonts w:hint="eastAsia" w:ascii="宋体" w:hAnsi="宋体" w:eastAsia="宋体" w:cs="宋体"/>
          <w:bCs/>
          <w:color w:val="auto"/>
          <w:kern w:val="2"/>
          <w:sz w:val="21"/>
          <w:szCs w:val="20"/>
          <w:lang w:val="en-US" w:eastAsia="zh-CN" w:bidi="ar-SA"/>
        </w:rPr>
        <w:t>在采取维修、更新改造、</w:t>
      </w:r>
      <w:r>
        <w:rPr>
          <w:rFonts w:hint="eastAsia" w:ascii="宋体" w:hAnsi="宋体" w:cs="宋体"/>
          <w:bCs/>
          <w:color w:val="auto"/>
        </w:rPr>
        <w:t>加强管理</w:t>
      </w:r>
      <w:r>
        <w:rPr>
          <w:rFonts w:hint="eastAsia" w:ascii="宋体" w:hAnsi="宋体" w:eastAsia="宋体" w:cs="宋体"/>
          <w:bCs/>
          <w:color w:val="auto"/>
          <w:kern w:val="2"/>
          <w:sz w:val="21"/>
          <w:szCs w:val="20"/>
          <w:lang w:val="en-US" w:eastAsia="zh-CN" w:bidi="ar-SA"/>
        </w:rPr>
        <w:t>等治理措施后，风险等级仍无法有效降低的</w:t>
      </w:r>
      <w:r>
        <w:rPr>
          <w:rFonts w:hint="eastAsia" w:ascii="宋体" w:hAnsi="宋体" w:cs="宋体"/>
          <w:bCs/>
          <w:color w:val="auto"/>
          <w:kern w:val="2"/>
          <w:sz w:val="21"/>
          <w:szCs w:val="20"/>
          <w:lang w:val="en-US" w:eastAsia="zh-CN" w:bidi="ar-SA"/>
        </w:rPr>
        <w:t>热力</w:t>
      </w:r>
      <w:r>
        <w:rPr>
          <w:rFonts w:hint="eastAsia" w:ascii="宋体" w:hAnsi="宋体" w:eastAsia="宋体" w:cs="宋体"/>
          <w:bCs/>
          <w:color w:val="auto"/>
          <w:kern w:val="2"/>
          <w:sz w:val="21"/>
          <w:szCs w:val="20"/>
          <w:lang w:val="en-US" w:eastAsia="zh-CN" w:bidi="ar-SA"/>
        </w:rPr>
        <w:t>管道</w:t>
      </w:r>
      <w:r>
        <w:rPr>
          <w:rFonts w:hint="eastAsia" w:ascii="宋体" w:hAnsi="宋体" w:cs="宋体"/>
          <w:bCs/>
          <w:color w:val="auto"/>
          <w:kern w:val="2"/>
          <w:sz w:val="21"/>
          <w:szCs w:val="20"/>
          <w:lang w:val="en-US" w:eastAsia="zh-CN" w:bidi="ar-SA"/>
        </w:rPr>
        <w:t>，宜对其阀门井内温度进行监测，其阀门井内</w:t>
      </w:r>
      <w:r>
        <w:rPr>
          <w:rFonts w:hint="eastAsia" w:ascii="宋体" w:hAnsi="宋体" w:cs="宋体"/>
          <w:color w:val="auto"/>
          <w:kern w:val="2"/>
          <w:sz w:val="21"/>
          <w:szCs w:val="20"/>
          <w:lang w:val="en-US" w:eastAsia="zh-CN" w:bidi="ar-SA"/>
        </w:rPr>
        <w:t>应</w:t>
      </w:r>
      <w:r>
        <w:rPr>
          <w:rFonts w:hint="eastAsia" w:ascii="宋体" w:hAnsi="宋体" w:cs="宋体"/>
          <w:bCs/>
          <w:color w:val="auto"/>
          <w:kern w:val="2"/>
          <w:sz w:val="21"/>
          <w:szCs w:val="20"/>
          <w:lang w:val="en-US" w:eastAsia="zh-CN" w:bidi="ar-SA"/>
        </w:rPr>
        <w:t>进行输送介质压力监测；</w:t>
      </w:r>
    </w:p>
    <w:p w14:paraId="6A3A271E">
      <w:pPr>
        <w:pStyle w:val="98"/>
        <w:numPr>
          <w:ilvl w:val="0"/>
          <w:numId w:val="15"/>
        </w:numPr>
        <w:spacing w:beforeLines="0" w:afterLines="0"/>
        <w:ind w:firstLine="420" w:firstLineChars="200"/>
        <w:rPr>
          <w:rFonts w:hint="eastAsia" w:ascii="宋体" w:hAnsi="宋体" w:cs="宋体"/>
          <w:bCs/>
          <w:color w:val="auto"/>
          <w:kern w:val="2"/>
          <w:sz w:val="21"/>
          <w:szCs w:val="20"/>
          <w:lang w:val="en-US" w:eastAsia="zh-CN" w:bidi="ar-SA"/>
        </w:rPr>
      </w:pPr>
      <w:r>
        <w:rPr>
          <w:rFonts w:hint="eastAsia" w:ascii="宋体" w:hAnsi="宋体"/>
          <w:bCs/>
          <w:color w:val="auto"/>
        </w:rPr>
        <w:t>泄漏后可能导致人员伤亡、较大财产损失或严重社会影响的</w:t>
      </w:r>
      <w:r>
        <w:rPr>
          <w:rFonts w:hint="eastAsia" w:ascii="宋体" w:hAnsi="宋体"/>
          <w:bCs/>
          <w:color w:val="auto"/>
          <w:lang w:val="en-US" w:eastAsia="zh-CN"/>
        </w:rPr>
        <w:t>重点</w:t>
      </w:r>
      <w:r>
        <w:rPr>
          <w:rFonts w:hint="eastAsia" w:ascii="宋体" w:hAnsi="宋体"/>
          <w:bCs/>
          <w:color w:val="auto"/>
        </w:rPr>
        <w:t>区域</w:t>
      </w:r>
      <w:r>
        <w:rPr>
          <w:rFonts w:hint="eastAsia" w:ascii="宋体" w:hAnsi="宋体"/>
          <w:bCs/>
          <w:color w:val="auto"/>
          <w:lang w:val="en-US" w:eastAsia="zh-CN"/>
        </w:rPr>
        <w:t>管道</w:t>
      </w:r>
      <w:r>
        <w:rPr>
          <w:rFonts w:hint="eastAsia" w:ascii="宋体" w:hAnsi="宋体"/>
          <w:bCs/>
          <w:color w:val="auto"/>
        </w:rPr>
        <w:t>，</w:t>
      </w:r>
      <w:r>
        <w:rPr>
          <w:rFonts w:hint="eastAsia" w:ascii="宋体" w:hAnsi="宋体" w:cs="宋体"/>
          <w:bCs/>
          <w:color w:val="auto"/>
          <w:kern w:val="2"/>
          <w:sz w:val="21"/>
          <w:szCs w:val="20"/>
          <w:lang w:val="en-US" w:eastAsia="zh-CN" w:bidi="ar-SA"/>
        </w:rPr>
        <w:t>宜对其阀门井内温度进行监测，其阀门井内</w:t>
      </w:r>
      <w:r>
        <w:rPr>
          <w:rFonts w:hint="eastAsia" w:ascii="宋体" w:hAnsi="宋体" w:cs="宋体"/>
          <w:color w:val="auto"/>
          <w:kern w:val="2"/>
          <w:sz w:val="21"/>
          <w:szCs w:val="20"/>
          <w:lang w:val="en-US" w:eastAsia="zh-CN" w:bidi="ar-SA"/>
        </w:rPr>
        <w:t>应</w:t>
      </w:r>
      <w:r>
        <w:rPr>
          <w:rFonts w:hint="eastAsia" w:ascii="宋体" w:hAnsi="宋体" w:cs="宋体"/>
          <w:bCs/>
          <w:color w:val="auto"/>
          <w:kern w:val="2"/>
          <w:sz w:val="21"/>
          <w:szCs w:val="20"/>
          <w:lang w:val="en-US" w:eastAsia="zh-CN" w:bidi="ar-SA"/>
        </w:rPr>
        <w:t>进行输送介质压力监测；</w:t>
      </w:r>
    </w:p>
    <w:p w14:paraId="644D0A24">
      <w:pPr>
        <w:pStyle w:val="98"/>
        <w:numPr>
          <w:ilvl w:val="0"/>
          <w:numId w:val="15"/>
        </w:numPr>
        <w:spacing w:beforeLines="0" w:afterLines="0"/>
        <w:ind w:firstLine="420" w:firstLineChars="200"/>
        <w:rPr>
          <w:rFonts w:ascii="宋体" w:hAnsi="宋体"/>
          <w:bCs/>
          <w:color w:val="auto"/>
        </w:rPr>
      </w:pPr>
      <w:r>
        <w:rPr>
          <w:rFonts w:hint="eastAsia" w:ascii="宋体" w:hAnsi="宋体"/>
          <w:bCs/>
          <w:color w:val="auto"/>
          <w:lang w:val="en-US" w:eastAsia="zh-CN"/>
        </w:rPr>
        <w:t>直埋蒸汽管道、高温热水管道外护层表面应进行温度监测；</w:t>
      </w:r>
    </w:p>
    <w:p w14:paraId="13746D78">
      <w:pPr>
        <w:pStyle w:val="98"/>
        <w:numPr>
          <w:ilvl w:val="0"/>
          <w:numId w:val="15"/>
        </w:numPr>
        <w:spacing w:beforeLines="0" w:afterLines="0"/>
        <w:ind w:firstLine="420" w:firstLineChars="200"/>
        <w:rPr>
          <w:rFonts w:ascii="宋体" w:hAnsi="宋体"/>
          <w:bCs/>
          <w:color w:val="auto"/>
        </w:rPr>
      </w:pPr>
      <w:r>
        <w:rPr>
          <w:rFonts w:hint="eastAsia" w:ascii="宋体" w:hAnsi="宋体"/>
          <w:bCs/>
          <w:color w:val="auto"/>
        </w:rPr>
        <w:t>毗邻地铁、输电线路等杂散电流干扰区域的直埋蒸汽管道</w:t>
      </w:r>
      <w:r>
        <w:rPr>
          <w:rFonts w:hint="eastAsia" w:ascii="宋体" w:hAnsi="宋体"/>
          <w:bCs/>
          <w:color w:val="auto"/>
          <w:lang w:eastAsia="zh-CN"/>
        </w:rPr>
        <w:t>，</w:t>
      </w:r>
      <w:r>
        <w:rPr>
          <w:rFonts w:hint="eastAsia" w:ascii="宋体" w:hAnsi="宋体"/>
          <w:bCs/>
          <w:color w:val="auto"/>
          <w:lang w:val="en-US" w:eastAsia="zh-CN"/>
        </w:rPr>
        <w:t>其</w:t>
      </w:r>
      <w:r>
        <w:rPr>
          <w:rFonts w:hint="eastAsia" w:ascii="宋体" w:hAnsi="宋体"/>
          <w:bCs/>
          <w:color w:val="auto"/>
        </w:rPr>
        <w:t>外护管</w:t>
      </w:r>
      <w:r>
        <w:rPr>
          <w:rFonts w:hint="eastAsia" w:ascii="宋体" w:hAnsi="宋体"/>
          <w:bCs/>
          <w:color w:val="auto"/>
          <w:lang w:val="en-US" w:eastAsia="zh-CN"/>
        </w:rPr>
        <w:t>应进行管道电位监测；</w:t>
      </w:r>
    </w:p>
    <w:p w14:paraId="0F6B2BDE">
      <w:pPr>
        <w:pStyle w:val="98"/>
        <w:numPr>
          <w:ilvl w:val="0"/>
          <w:numId w:val="15"/>
        </w:numPr>
        <w:spacing w:beforeLines="0" w:afterLines="0"/>
        <w:ind w:firstLine="420" w:firstLineChars="200"/>
        <w:rPr>
          <w:rFonts w:hint="eastAsia" w:ascii="宋体" w:hAnsi="宋体"/>
          <w:bCs/>
          <w:color w:val="auto"/>
        </w:rPr>
      </w:pPr>
      <w:r>
        <w:rPr>
          <w:rFonts w:hint="eastAsia" w:ascii="宋体" w:hAnsi="宋体"/>
          <w:bCs/>
          <w:color w:val="auto"/>
        </w:rPr>
        <w:t>敷设于地表沉降高风险区、地质灾害高发区的管道，应对管道位移进行监测。</w:t>
      </w:r>
    </w:p>
    <w:p w14:paraId="4DB37658">
      <w:pPr>
        <w:pStyle w:val="98"/>
        <w:numPr>
          <w:ilvl w:val="0"/>
          <w:numId w:val="15"/>
        </w:numPr>
        <w:spacing w:beforeLines="0" w:afterLines="0"/>
        <w:ind w:firstLine="420" w:firstLineChars="200"/>
        <w:rPr>
          <w:rFonts w:hint="eastAsia" w:ascii="宋体" w:hAnsi="宋体"/>
          <w:bCs/>
          <w:color w:val="auto"/>
          <w:lang w:val="en-US" w:eastAsia="zh-CN"/>
        </w:rPr>
      </w:pPr>
      <w:r>
        <w:rPr>
          <w:rFonts w:hint="eastAsia" w:ascii="宋体" w:hAnsi="宋体"/>
          <w:bCs/>
          <w:color w:val="auto"/>
        </w:rPr>
        <w:t>第三方损坏风险较高的</w:t>
      </w:r>
      <w:r>
        <w:rPr>
          <w:rFonts w:hint="eastAsia" w:ascii="宋体" w:hAnsi="宋体"/>
          <w:bCs/>
          <w:color w:val="auto"/>
          <w:lang w:val="en-US" w:eastAsia="zh-CN"/>
        </w:rPr>
        <w:t>热力</w:t>
      </w:r>
      <w:r>
        <w:rPr>
          <w:rFonts w:hint="eastAsia" w:ascii="宋体" w:hAnsi="宋体"/>
          <w:bCs/>
          <w:color w:val="auto"/>
        </w:rPr>
        <w:t>管道，应对管道进行振动监测。</w:t>
      </w:r>
    </w:p>
    <w:p w14:paraId="20A2A471">
      <w:pPr>
        <w:pStyle w:val="98"/>
        <w:numPr>
          <w:ilvl w:val="-1"/>
          <w:numId w:val="0"/>
        </w:numPr>
        <w:spacing w:beforeLines="0" w:afterLines="0"/>
        <w:ind w:firstLine="420" w:firstLineChars="200"/>
        <w:rPr>
          <w:rFonts w:hint="eastAsia" w:ascii="宋体" w:hAnsi="宋体"/>
          <w:bCs/>
          <w:color w:val="auto"/>
          <w:lang w:val="en-US" w:eastAsia="zh-CN"/>
        </w:rPr>
      </w:pPr>
      <w:r>
        <w:rPr>
          <w:rFonts w:hint="eastAsia" w:ascii="宋体" w:hAnsi="宋体"/>
          <w:bCs/>
          <w:color w:val="auto"/>
          <w:lang w:val="en-US" w:eastAsia="zh-CN"/>
        </w:rPr>
        <w:t>热力监测</w:t>
      </w:r>
      <w:r>
        <w:rPr>
          <w:rFonts w:hint="eastAsia" w:ascii="宋体" w:hAnsi="宋体"/>
          <w:bCs/>
          <w:color w:val="auto"/>
        </w:rPr>
        <w:t>布点</w:t>
      </w:r>
      <w:r>
        <w:rPr>
          <w:rFonts w:hint="eastAsia" w:ascii="宋体" w:hAnsi="宋体"/>
          <w:bCs/>
          <w:color w:val="auto"/>
          <w:lang w:val="en-US" w:eastAsia="zh-CN"/>
        </w:rPr>
        <w:t>详细</w:t>
      </w:r>
      <w:r>
        <w:rPr>
          <w:rFonts w:hint="eastAsia" w:ascii="宋体" w:hAnsi="宋体"/>
          <w:bCs/>
          <w:color w:val="auto"/>
        </w:rPr>
        <w:t>要求见</w:t>
      </w:r>
      <w:r>
        <w:rPr>
          <w:rFonts w:hint="eastAsia" w:ascii="宋体" w:hAnsi="宋体"/>
          <w:bCs/>
          <w:color w:val="auto"/>
          <w:lang w:val="en-US" w:eastAsia="zh-CN"/>
        </w:rPr>
        <w:t>附录B.4</w:t>
      </w:r>
      <w:r>
        <w:rPr>
          <w:rFonts w:hint="eastAsia" w:ascii="宋体" w:hAnsi="宋体"/>
          <w:bCs/>
          <w:color w:val="auto"/>
        </w:rPr>
        <w:t>。</w:t>
      </w:r>
    </w:p>
    <w:p w14:paraId="50089218">
      <w:pPr>
        <w:pStyle w:val="98"/>
        <w:spacing w:beforeLines="0" w:afterLines="0"/>
        <w:ind w:firstLine="0" w:firstLineChars="0"/>
        <w:rPr>
          <w:rFonts w:ascii="宋体" w:hAnsi="宋体"/>
          <w:bCs/>
          <w:color w:val="auto"/>
        </w:rPr>
      </w:pPr>
      <w:r>
        <w:rPr>
          <w:rFonts w:hint="eastAsia" w:ascii="宋体" w:hAnsi="宋体"/>
          <w:bCs/>
          <w:color w:val="auto"/>
        </w:rPr>
        <w:t>6.5.</w:t>
      </w:r>
      <w:r>
        <w:rPr>
          <w:rFonts w:hint="eastAsia" w:ascii="宋体" w:hAnsi="宋体"/>
          <w:bCs/>
          <w:color w:val="auto"/>
          <w:lang w:val="en-US" w:eastAsia="zh-CN"/>
        </w:rPr>
        <w:t>3热力</w:t>
      </w:r>
      <w:r>
        <w:rPr>
          <w:rFonts w:hint="eastAsia" w:ascii="宋体" w:hAnsi="宋体"/>
          <w:bCs/>
          <w:color w:val="auto"/>
        </w:rPr>
        <w:t>监测设备</w:t>
      </w:r>
      <w:r>
        <w:rPr>
          <w:rFonts w:hint="eastAsia" w:ascii="宋体" w:hAnsi="宋体"/>
          <w:bCs/>
          <w:color w:val="auto"/>
          <w:lang w:val="en-US" w:eastAsia="zh-CN"/>
        </w:rPr>
        <w:t>性能</w:t>
      </w:r>
      <w:r>
        <w:rPr>
          <w:rFonts w:hint="eastAsia" w:ascii="宋体" w:hAnsi="宋体"/>
          <w:bCs/>
          <w:color w:val="auto"/>
        </w:rPr>
        <w:t>应符合</w:t>
      </w:r>
      <w:r>
        <w:rPr>
          <w:rFonts w:hint="eastAsia" w:ascii="宋体" w:hAnsi="宋体"/>
          <w:bCs/>
          <w:color w:val="auto"/>
          <w:lang w:eastAsia="zh-CN"/>
        </w:rPr>
        <w:t>以下要求</w:t>
      </w:r>
      <w:r>
        <w:rPr>
          <w:rFonts w:hint="eastAsia" w:ascii="宋体" w:hAnsi="宋体"/>
          <w:bCs/>
          <w:color w:val="auto"/>
        </w:rPr>
        <w:t>：</w:t>
      </w:r>
    </w:p>
    <w:p w14:paraId="259CBF67">
      <w:pPr>
        <w:pStyle w:val="98"/>
        <w:numPr>
          <w:ilvl w:val="0"/>
          <w:numId w:val="16"/>
        </w:numPr>
        <w:spacing w:beforeLines="0" w:afterLines="0"/>
        <w:ind w:firstLine="420" w:firstLineChars="200"/>
        <w:rPr>
          <w:rFonts w:hint="eastAsia" w:ascii="宋体" w:hAnsi="宋体" w:eastAsia="宋体" w:cs="宋体"/>
          <w:bCs/>
          <w:color w:val="auto"/>
          <w:sz w:val="21"/>
          <w:szCs w:val="20"/>
        </w:rPr>
      </w:pPr>
      <w:r>
        <w:rPr>
          <w:rFonts w:hint="eastAsia" w:ascii="宋体" w:hAnsi="宋体" w:eastAsia="宋体" w:cs="宋体"/>
          <w:bCs/>
          <w:color w:val="auto"/>
          <w:sz w:val="21"/>
          <w:szCs w:val="20"/>
        </w:rPr>
        <w:t>宜选用具备边缘计算能力的智能型设备</w:t>
      </w:r>
      <w:r>
        <w:rPr>
          <w:rFonts w:hint="eastAsia" w:ascii="宋体" w:hAnsi="宋体" w:cs="宋体"/>
          <w:bCs/>
          <w:color w:val="auto"/>
          <w:sz w:val="21"/>
          <w:szCs w:val="20"/>
          <w:lang w:eastAsia="zh-CN"/>
        </w:rPr>
        <w:t>。</w:t>
      </w:r>
    </w:p>
    <w:p w14:paraId="30EC7CFA">
      <w:pPr>
        <w:pStyle w:val="98"/>
        <w:numPr>
          <w:ilvl w:val="0"/>
          <w:numId w:val="16"/>
        </w:numPr>
        <w:spacing w:beforeLines="0" w:afterLines="0"/>
        <w:ind w:firstLine="420" w:firstLineChars="200"/>
        <w:rPr>
          <w:rFonts w:hint="eastAsia" w:ascii="宋体" w:hAnsi="宋体" w:eastAsia="宋体" w:cs="宋体"/>
          <w:bCs/>
          <w:color w:val="auto"/>
          <w:sz w:val="21"/>
          <w:szCs w:val="20"/>
        </w:rPr>
      </w:pPr>
      <w:r>
        <w:rPr>
          <w:rFonts w:hint="eastAsia" w:ascii="宋体" w:hAnsi="宋体" w:eastAsia="宋体" w:cs="宋体"/>
          <w:bCs/>
          <w:color w:val="auto"/>
          <w:sz w:val="21"/>
          <w:szCs w:val="20"/>
        </w:rPr>
        <w:t>直埋蒸汽、热水管道</w:t>
      </w:r>
      <w:r>
        <w:rPr>
          <w:rFonts w:hint="eastAsia" w:ascii="宋体" w:hAnsi="宋体" w:cs="宋体"/>
          <w:bCs/>
          <w:color w:val="auto"/>
          <w:sz w:val="21"/>
          <w:szCs w:val="20"/>
          <w:lang w:val="en-US" w:eastAsia="zh-CN"/>
        </w:rPr>
        <w:t>外护层表面</w:t>
      </w:r>
      <w:r>
        <w:rPr>
          <w:rFonts w:hint="eastAsia" w:ascii="宋体" w:hAnsi="宋体" w:eastAsia="宋体" w:cs="宋体"/>
          <w:bCs/>
          <w:color w:val="auto"/>
          <w:sz w:val="21"/>
          <w:szCs w:val="20"/>
        </w:rPr>
        <w:t>温度线型监测设备</w:t>
      </w:r>
      <w:r>
        <w:rPr>
          <w:rFonts w:hint="eastAsia" w:ascii="宋体" w:hAnsi="宋体" w:cs="宋体"/>
          <w:bCs/>
          <w:color w:val="auto"/>
          <w:sz w:val="21"/>
          <w:szCs w:val="20"/>
          <w:lang w:val="en-US" w:eastAsia="zh-CN"/>
        </w:rPr>
        <w:t>耐温性能不低于100℃</w:t>
      </w:r>
      <w:r>
        <w:rPr>
          <w:rFonts w:hint="eastAsia" w:ascii="宋体" w:hAnsi="宋体" w:eastAsia="宋体" w:cs="宋体"/>
          <w:bCs/>
          <w:color w:val="auto"/>
          <w:sz w:val="21"/>
          <w:szCs w:val="20"/>
        </w:rPr>
        <w:t>。</w:t>
      </w:r>
    </w:p>
    <w:p w14:paraId="596FA0EF">
      <w:pPr>
        <w:pStyle w:val="98"/>
        <w:numPr>
          <w:ilvl w:val="0"/>
          <w:numId w:val="16"/>
        </w:numPr>
        <w:spacing w:beforeLines="0" w:afterLines="0"/>
        <w:ind w:firstLine="420" w:firstLineChars="200"/>
        <w:rPr>
          <w:rFonts w:hint="eastAsia" w:ascii="宋体" w:hAnsi="宋体" w:eastAsia="宋体" w:cs="宋体"/>
          <w:bCs/>
          <w:color w:val="auto"/>
          <w:sz w:val="21"/>
          <w:szCs w:val="20"/>
        </w:rPr>
      </w:pPr>
      <w:r>
        <w:rPr>
          <w:rFonts w:hint="eastAsia" w:ascii="宋体" w:hAnsi="宋体" w:eastAsia="宋体" w:cs="宋体"/>
          <w:bCs/>
          <w:color w:val="auto"/>
          <w:sz w:val="21"/>
          <w:szCs w:val="20"/>
        </w:rPr>
        <w:t>阀井内</w:t>
      </w:r>
      <w:r>
        <w:rPr>
          <w:rFonts w:hint="eastAsia" w:ascii="宋体" w:hAnsi="宋体" w:cs="宋体"/>
          <w:bCs/>
          <w:color w:val="auto"/>
          <w:sz w:val="21"/>
          <w:szCs w:val="20"/>
          <w:lang w:val="en-US" w:eastAsia="zh-CN"/>
        </w:rPr>
        <w:t>压力、温度等</w:t>
      </w:r>
      <w:r>
        <w:rPr>
          <w:rFonts w:hint="eastAsia" w:ascii="宋体" w:hAnsi="宋体" w:eastAsia="宋体" w:cs="宋体"/>
          <w:bCs/>
          <w:color w:val="auto"/>
          <w:sz w:val="21"/>
          <w:szCs w:val="20"/>
        </w:rPr>
        <w:t>监测</w:t>
      </w:r>
      <w:r>
        <w:rPr>
          <w:rFonts w:hint="eastAsia" w:ascii="宋体" w:hAnsi="宋体" w:cs="宋体"/>
          <w:bCs/>
          <w:color w:val="auto"/>
          <w:sz w:val="21"/>
          <w:szCs w:val="20"/>
          <w:lang w:val="en-US" w:eastAsia="zh-CN"/>
        </w:rPr>
        <w:t>设备应具有防振、防水等功能，能在高温、潮湿环境长期运行。</w:t>
      </w:r>
    </w:p>
    <w:p w14:paraId="3BE42C20">
      <w:pPr>
        <w:pStyle w:val="98"/>
        <w:numPr>
          <w:ilvl w:val="0"/>
          <w:numId w:val="16"/>
        </w:numPr>
        <w:spacing w:beforeLines="0" w:afterLines="0"/>
        <w:ind w:firstLine="420" w:firstLineChars="200"/>
        <w:rPr>
          <w:rFonts w:hint="eastAsia" w:ascii="宋体" w:hAnsi="宋体" w:eastAsia="宋体" w:cs="宋体"/>
          <w:bCs/>
          <w:color w:val="auto"/>
          <w:sz w:val="21"/>
          <w:szCs w:val="20"/>
        </w:rPr>
      </w:pPr>
      <w:r>
        <w:rPr>
          <w:rFonts w:hint="eastAsia" w:ascii="宋体" w:hAnsi="宋体" w:eastAsia="宋体" w:cs="宋体"/>
          <w:bCs/>
          <w:color w:val="auto"/>
          <w:sz w:val="21"/>
          <w:szCs w:val="20"/>
        </w:rPr>
        <w:t>设备宜集成定位模块，并支持接入</w:t>
      </w:r>
      <w:r>
        <w:rPr>
          <w:rFonts w:hint="eastAsia" w:ascii="宋体" w:hAnsi="宋体" w:cs="宋体"/>
          <w:bCs/>
          <w:color w:val="auto"/>
          <w:sz w:val="21"/>
          <w:szCs w:val="20"/>
          <w:lang w:val="en-US" w:eastAsia="zh-CN"/>
        </w:rPr>
        <w:t>热力</w:t>
      </w:r>
      <w:r>
        <w:rPr>
          <w:rFonts w:hint="eastAsia" w:ascii="宋体" w:hAnsi="宋体" w:eastAsia="宋体" w:cs="宋体"/>
          <w:bCs/>
          <w:color w:val="auto"/>
          <w:sz w:val="21"/>
          <w:szCs w:val="20"/>
          <w:lang w:val="en-US" w:eastAsia="zh-CN"/>
        </w:rPr>
        <w:t>企业</w:t>
      </w:r>
      <w:r>
        <w:rPr>
          <w:rFonts w:hint="eastAsia" w:ascii="宋体" w:hAnsi="宋体"/>
          <w:bCs/>
          <w:color w:val="auto"/>
          <w:lang w:eastAsia="zh-CN"/>
        </w:rPr>
        <w:t>、</w:t>
      </w:r>
      <w:r>
        <w:rPr>
          <w:rFonts w:hint="eastAsia" w:ascii="宋体" w:hAnsi="宋体"/>
          <w:bCs/>
          <w:color w:val="auto"/>
          <w:lang w:val="en-US" w:eastAsia="zh-CN"/>
        </w:rPr>
        <w:t>行业主管部门</w:t>
      </w:r>
      <w:r>
        <w:rPr>
          <w:rFonts w:hint="eastAsia" w:ascii="宋体" w:hAnsi="宋体" w:eastAsia="宋体" w:cs="宋体"/>
          <w:bCs/>
          <w:color w:val="auto"/>
          <w:sz w:val="21"/>
          <w:szCs w:val="20"/>
          <w:lang w:val="en-US" w:eastAsia="zh-CN"/>
        </w:rPr>
        <w:t>管网信息</w:t>
      </w:r>
      <w:r>
        <w:rPr>
          <w:rFonts w:hint="eastAsia" w:ascii="宋体" w:hAnsi="宋体" w:eastAsia="宋体" w:cs="宋体"/>
          <w:bCs/>
          <w:color w:val="auto"/>
          <w:sz w:val="21"/>
          <w:szCs w:val="20"/>
        </w:rPr>
        <w:t>系统。</w:t>
      </w:r>
    </w:p>
    <w:p w14:paraId="0D6E2E86">
      <w:pPr>
        <w:pStyle w:val="98"/>
        <w:spacing w:beforeLines="0" w:afterLines="0"/>
        <w:ind w:firstLine="420" w:firstLineChars="200"/>
        <w:rPr>
          <w:rFonts w:ascii="宋体" w:hAnsi="宋体"/>
          <w:bCs/>
          <w:color w:val="auto"/>
        </w:rPr>
      </w:pPr>
      <w:r>
        <w:rPr>
          <w:rFonts w:hint="eastAsia" w:ascii="宋体" w:hAnsi="宋体"/>
          <w:bCs/>
          <w:color w:val="auto"/>
          <w:lang w:val="en-US" w:eastAsia="zh-CN"/>
        </w:rPr>
        <w:t>热力</w:t>
      </w:r>
      <w:r>
        <w:rPr>
          <w:rFonts w:hint="eastAsia" w:ascii="宋体" w:hAnsi="宋体"/>
          <w:bCs/>
          <w:color w:val="auto"/>
        </w:rPr>
        <w:t>监测设备</w:t>
      </w:r>
      <w:r>
        <w:rPr>
          <w:rFonts w:hint="eastAsia" w:ascii="宋体" w:hAnsi="宋体"/>
          <w:bCs/>
          <w:color w:val="auto"/>
          <w:lang w:val="en-US" w:eastAsia="zh-CN"/>
        </w:rPr>
        <w:t>详细性能</w:t>
      </w:r>
      <w:r>
        <w:rPr>
          <w:rFonts w:hint="eastAsia" w:ascii="宋体" w:hAnsi="宋体"/>
          <w:bCs/>
          <w:color w:val="auto"/>
        </w:rPr>
        <w:t>要求见附录</w:t>
      </w:r>
      <w:r>
        <w:rPr>
          <w:rFonts w:hint="eastAsia" w:ascii="宋体" w:hAnsi="宋体"/>
          <w:bCs/>
          <w:color w:val="auto"/>
          <w:lang w:val="en-US" w:eastAsia="zh-CN"/>
        </w:rPr>
        <w:t>C</w:t>
      </w:r>
      <w:r>
        <w:rPr>
          <w:rFonts w:hint="eastAsia" w:ascii="宋体" w:hAnsi="宋体"/>
          <w:bCs/>
          <w:color w:val="auto"/>
        </w:rPr>
        <w:t>.4。</w:t>
      </w:r>
    </w:p>
    <w:bookmarkEnd w:id="77"/>
    <w:bookmarkEnd w:id="78"/>
    <w:p w14:paraId="63903ED9">
      <w:pPr>
        <w:pStyle w:val="108"/>
        <w:numPr>
          <w:ilvl w:val="1"/>
          <w:numId w:val="1"/>
        </w:numPr>
        <w:spacing w:beforeLines="50" w:afterLines="50"/>
      </w:pPr>
      <w:bookmarkStart w:id="80" w:name="_Toc9338"/>
      <w:r>
        <w:rPr>
          <w:rFonts w:hint="eastAsia"/>
        </w:rPr>
        <w:t>桥梁安全监测感知网</w:t>
      </w:r>
      <w:bookmarkEnd w:id="80"/>
    </w:p>
    <w:p w14:paraId="12E4173D">
      <w:pPr>
        <w:pStyle w:val="98"/>
        <w:spacing w:beforeLines="0" w:afterLines="0"/>
        <w:rPr>
          <w:rFonts w:ascii="宋体" w:hAnsi="宋体"/>
          <w:bCs/>
          <w:color w:val="auto"/>
          <w:szCs w:val="21"/>
        </w:rPr>
      </w:pPr>
      <w:r>
        <w:rPr>
          <w:rFonts w:hint="eastAsia" w:ascii="宋体" w:hAnsi="宋体"/>
          <w:bCs/>
          <w:color w:val="auto"/>
          <w:szCs w:val="21"/>
        </w:rPr>
        <w:t>6.6.1</w:t>
      </w:r>
      <w:r>
        <w:rPr>
          <w:rFonts w:hint="eastAsia" w:ascii="宋体" w:hAnsi="宋体"/>
          <w:bCs/>
          <w:color w:val="auto"/>
          <w:szCs w:val="21"/>
          <w:lang w:val="en-US" w:eastAsia="zh-CN"/>
        </w:rPr>
        <w:t>桥梁</w:t>
      </w:r>
      <w:r>
        <w:rPr>
          <w:rFonts w:hint="eastAsia" w:ascii="宋体" w:hAnsi="宋体"/>
          <w:bCs/>
          <w:color w:val="auto"/>
          <w:szCs w:val="21"/>
        </w:rPr>
        <w:t>监测对象及其</w:t>
      </w:r>
      <w:r>
        <w:rPr>
          <w:rFonts w:hint="eastAsia" w:ascii="宋体" w:hAnsi="宋体"/>
          <w:bCs/>
          <w:color w:val="auto"/>
          <w:szCs w:val="21"/>
          <w:lang w:val="en-US" w:eastAsia="zh-CN"/>
        </w:rPr>
        <w:t>监测</w:t>
      </w:r>
      <w:r>
        <w:rPr>
          <w:rFonts w:hint="eastAsia" w:ascii="宋体" w:hAnsi="宋体"/>
          <w:bCs/>
          <w:color w:val="auto"/>
          <w:szCs w:val="21"/>
        </w:rPr>
        <w:t>指标</w:t>
      </w:r>
    </w:p>
    <w:p w14:paraId="55113E0A">
      <w:pPr>
        <w:pStyle w:val="98"/>
        <w:spacing w:beforeLines="0" w:afterLines="0"/>
        <w:rPr>
          <w:rFonts w:hint="eastAsia" w:ascii="宋体" w:hAnsi="宋体"/>
          <w:bCs/>
          <w:color w:val="auto"/>
          <w:szCs w:val="21"/>
        </w:rPr>
      </w:pPr>
      <w:r>
        <w:rPr>
          <w:rFonts w:hint="eastAsia" w:ascii="宋体" w:hAnsi="宋体"/>
          <w:bCs/>
          <w:color w:val="auto"/>
          <w:szCs w:val="21"/>
        </w:rPr>
        <w:t>6.6.1.1 符合下列条件之一的桥梁应进行安全监测：</w:t>
      </w:r>
    </w:p>
    <w:p w14:paraId="49E6105B">
      <w:pPr>
        <w:pStyle w:val="98"/>
        <w:autoSpaceDN w:val="0"/>
        <w:spacing w:beforeLines="0" w:afterLines="0"/>
        <w:ind w:firstLine="420" w:firstLineChars="200"/>
        <w:rPr>
          <w:rFonts w:hint="eastAsia" w:ascii="宋体" w:hAnsi="宋体"/>
          <w:bCs/>
          <w:color w:val="auto"/>
          <w:szCs w:val="21"/>
        </w:rPr>
      </w:pPr>
      <w:bookmarkStart w:id="81" w:name="_Hlk223373778"/>
      <w:r>
        <w:rPr>
          <w:rFonts w:hint="eastAsia" w:ascii="宋体" w:hAnsi="宋体"/>
          <w:bCs/>
          <w:color w:val="auto"/>
          <w:szCs w:val="21"/>
        </w:rPr>
        <w:t>a）特大桥、特殊结构、特别重要的新建桥梁</w:t>
      </w:r>
      <w:bookmarkEnd w:id="81"/>
      <w:r>
        <w:rPr>
          <w:rFonts w:hint="eastAsia" w:ascii="宋体" w:hAnsi="宋体"/>
          <w:bCs/>
          <w:color w:val="auto"/>
          <w:szCs w:val="21"/>
        </w:rPr>
        <w:t>。</w:t>
      </w:r>
    </w:p>
    <w:p w14:paraId="5CFAA36E">
      <w:pPr>
        <w:pStyle w:val="98"/>
        <w:autoSpaceDN w:val="0"/>
        <w:spacing w:beforeLines="0" w:afterLines="0"/>
        <w:ind w:firstLine="420" w:firstLineChars="200"/>
        <w:rPr>
          <w:rFonts w:hint="eastAsia" w:ascii="宋体" w:hAnsi="宋体"/>
          <w:bCs/>
          <w:color w:val="auto"/>
          <w:szCs w:val="21"/>
        </w:rPr>
      </w:pPr>
      <w:r>
        <w:rPr>
          <w:rFonts w:hint="eastAsia" w:ascii="宋体" w:hAnsi="宋体"/>
          <w:bCs/>
          <w:color w:val="auto"/>
          <w:szCs w:val="21"/>
        </w:rPr>
        <w:t>b）高风险运营的新建桥梁。</w:t>
      </w:r>
    </w:p>
    <w:p w14:paraId="0308792D">
      <w:pPr>
        <w:pStyle w:val="98"/>
        <w:autoSpaceDN w:val="0"/>
        <w:spacing w:beforeLines="0" w:afterLines="0"/>
        <w:ind w:firstLine="420" w:firstLineChars="200"/>
        <w:rPr>
          <w:rFonts w:hint="eastAsia" w:ascii="宋体" w:hAnsi="宋体"/>
          <w:bCs/>
          <w:color w:val="auto"/>
          <w:szCs w:val="21"/>
        </w:rPr>
      </w:pPr>
      <w:r>
        <w:rPr>
          <w:rFonts w:hint="eastAsia" w:ascii="宋体" w:hAnsi="宋体"/>
          <w:bCs/>
          <w:color w:val="auto"/>
          <w:szCs w:val="21"/>
        </w:rPr>
        <w:t>c）经风险评估应进行结构安全监测的既有桥梁。</w:t>
      </w:r>
    </w:p>
    <w:p w14:paraId="533110A1">
      <w:pPr>
        <w:pStyle w:val="98"/>
        <w:spacing w:beforeLines="0" w:afterLines="0"/>
        <w:rPr>
          <w:rFonts w:ascii="宋体" w:hAnsi="宋体"/>
          <w:bCs/>
          <w:color w:val="auto"/>
          <w:szCs w:val="21"/>
        </w:rPr>
      </w:pPr>
      <w:r>
        <w:rPr>
          <w:rFonts w:hint="eastAsia" w:ascii="宋体" w:hAnsi="宋体"/>
          <w:bCs/>
          <w:color w:val="auto"/>
          <w:szCs w:val="21"/>
        </w:rPr>
        <w:t xml:space="preserve">6.6.1.2 </w:t>
      </w:r>
      <w:r>
        <w:rPr>
          <w:rFonts w:hint="eastAsia" w:ascii="宋体" w:hAnsi="宋体"/>
          <w:bCs/>
          <w:color w:val="auto"/>
          <w:szCs w:val="21"/>
          <w:lang w:val="en-US" w:eastAsia="zh-CN"/>
        </w:rPr>
        <w:t>桥梁</w:t>
      </w:r>
      <w:r>
        <w:rPr>
          <w:rFonts w:hint="eastAsia" w:ascii="宋体" w:hAnsi="宋体"/>
          <w:bCs/>
          <w:color w:val="auto"/>
          <w:szCs w:val="21"/>
        </w:rPr>
        <w:t>监测指标分为</w:t>
      </w:r>
      <w:r>
        <w:rPr>
          <w:rFonts w:hint="eastAsia" w:ascii="宋体" w:hAnsi="宋体"/>
          <w:bCs/>
          <w:color w:val="auto"/>
          <w:szCs w:val="21"/>
          <w:lang w:eastAsia="zh-CN"/>
        </w:rPr>
        <w:t>周边环境</w:t>
      </w:r>
      <w:r>
        <w:rPr>
          <w:rFonts w:hint="eastAsia" w:ascii="宋体" w:hAnsi="宋体"/>
          <w:bCs/>
          <w:color w:val="auto"/>
          <w:szCs w:val="21"/>
        </w:rPr>
        <w:t>、外部作用、结构响应和结构变化</w:t>
      </w:r>
      <w:r>
        <w:rPr>
          <w:rFonts w:hint="eastAsia" w:ascii="宋体" w:hAnsi="宋体"/>
          <w:bCs/>
          <w:color w:val="auto"/>
          <w:szCs w:val="21"/>
          <w:lang w:val="en-US" w:eastAsia="zh-CN"/>
        </w:rPr>
        <w:t>四大类</w:t>
      </w:r>
      <w:r>
        <w:rPr>
          <w:rFonts w:hint="eastAsia" w:ascii="宋体" w:hAnsi="宋体"/>
          <w:bCs/>
          <w:color w:val="auto"/>
          <w:szCs w:val="21"/>
        </w:rPr>
        <w:t>。监测指标应基于桥梁的运行环境、构造特点、结构受力、技术状况以及养护管理的数据分析和风险评估等进行确定，并分为应选监测项、宜选监测项和可选监测项</w:t>
      </w:r>
      <w:r>
        <w:rPr>
          <w:rFonts w:hint="eastAsia" w:ascii="宋体" w:hAnsi="宋体"/>
          <w:bCs/>
          <w:color w:val="auto"/>
          <w:szCs w:val="21"/>
          <w:lang w:val="en-US" w:eastAsia="zh-CN"/>
        </w:rPr>
        <w:t>三类</w:t>
      </w:r>
      <w:r>
        <w:rPr>
          <w:rFonts w:hint="eastAsia" w:ascii="宋体" w:hAnsi="宋体"/>
          <w:bCs/>
          <w:color w:val="auto"/>
          <w:szCs w:val="21"/>
        </w:rPr>
        <w:t>。</w:t>
      </w:r>
    </w:p>
    <w:p w14:paraId="63E33F75">
      <w:pPr>
        <w:pStyle w:val="98"/>
        <w:spacing w:beforeLines="0" w:afterLines="0"/>
        <w:rPr>
          <w:rFonts w:hint="eastAsia" w:ascii="宋体" w:hAnsi="宋体" w:cs="Times New Roman"/>
          <w:color w:val="auto"/>
          <w:szCs w:val="21"/>
        </w:rPr>
      </w:pPr>
      <w:r>
        <w:rPr>
          <w:rFonts w:hint="eastAsia" w:ascii="宋体" w:hAnsi="宋体" w:cs="Times New Roman"/>
          <w:color w:val="auto"/>
          <w:szCs w:val="21"/>
        </w:rPr>
        <w:t>6.6.2</w:t>
      </w:r>
      <w:r>
        <w:rPr>
          <w:rFonts w:hint="eastAsia" w:ascii="宋体" w:hAnsi="宋体" w:cs="Times New Roman"/>
          <w:color w:val="auto"/>
          <w:szCs w:val="21"/>
          <w:lang w:val="en-US" w:eastAsia="zh-CN"/>
        </w:rPr>
        <w:t>桥梁</w:t>
      </w:r>
      <w:r>
        <w:rPr>
          <w:rFonts w:hint="eastAsia" w:ascii="宋体" w:hAnsi="宋体" w:cs="Times New Roman"/>
          <w:color w:val="auto"/>
          <w:szCs w:val="21"/>
        </w:rPr>
        <w:t>监测布点要求</w:t>
      </w:r>
    </w:p>
    <w:p w14:paraId="3AE2DAF5">
      <w:pPr>
        <w:pStyle w:val="98"/>
        <w:spacing w:before="24" w:after="24"/>
        <w:rPr>
          <w:rFonts w:hint="eastAsia" w:ascii="宋体" w:hAnsi="宋体"/>
          <w:bCs/>
          <w:color w:val="auto"/>
          <w:szCs w:val="21"/>
        </w:rPr>
      </w:pPr>
      <w:r>
        <w:rPr>
          <w:rFonts w:hint="eastAsia" w:ascii="宋体" w:hAnsi="宋体"/>
          <w:bCs/>
          <w:color w:val="auto"/>
          <w:szCs w:val="21"/>
        </w:rPr>
        <w:t>6.6.2.1桥梁监测布点应</w:t>
      </w:r>
      <w:r>
        <w:rPr>
          <w:rFonts w:hint="eastAsia" w:ascii="宋体" w:hAnsi="宋体"/>
          <w:bCs/>
          <w:color w:val="auto"/>
          <w:szCs w:val="21"/>
          <w:lang w:val="en-US" w:eastAsia="zh-CN"/>
        </w:rPr>
        <w:t>根据每座桥梁具体情况</w:t>
      </w:r>
      <w:r>
        <w:rPr>
          <w:rFonts w:hint="eastAsia" w:ascii="宋体" w:hAnsi="宋体"/>
          <w:bCs/>
          <w:color w:val="auto"/>
          <w:szCs w:val="21"/>
        </w:rPr>
        <w:t>，遵循代表性、实用性、经济性原则进行</w:t>
      </w:r>
      <w:r>
        <w:rPr>
          <w:rFonts w:hint="eastAsia" w:ascii="宋体" w:hAnsi="宋体"/>
          <w:bCs/>
          <w:color w:val="auto"/>
          <w:szCs w:val="21"/>
          <w:lang w:val="en-US" w:eastAsia="zh-CN"/>
        </w:rPr>
        <w:t>确定</w:t>
      </w:r>
      <w:r>
        <w:rPr>
          <w:rFonts w:hint="eastAsia" w:ascii="宋体" w:hAnsi="宋体"/>
          <w:bCs/>
          <w:color w:val="auto"/>
          <w:szCs w:val="21"/>
        </w:rPr>
        <w:t>。</w:t>
      </w:r>
    </w:p>
    <w:p w14:paraId="1094165C">
      <w:pPr>
        <w:pStyle w:val="98"/>
        <w:spacing w:beforeLines="0" w:afterLines="0"/>
        <w:rPr>
          <w:rFonts w:hint="eastAsia" w:ascii="宋体" w:hAnsi="宋体"/>
          <w:bCs/>
          <w:color w:val="auto"/>
          <w:szCs w:val="21"/>
        </w:rPr>
      </w:pPr>
      <w:r>
        <w:rPr>
          <w:rFonts w:hint="eastAsia" w:ascii="宋体" w:hAnsi="宋体"/>
          <w:bCs/>
          <w:color w:val="auto"/>
          <w:szCs w:val="21"/>
        </w:rPr>
        <w:t>6.6.2.2根据监测目标、规模和复杂程度不同分为标准化监测系统及轻量化监测系统</w:t>
      </w:r>
      <w:r>
        <w:rPr>
          <w:rFonts w:hint="eastAsia" w:ascii="宋体" w:hAnsi="宋体"/>
          <w:bCs/>
          <w:color w:val="auto"/>
          <w:szCs w:val="21"/>
          <w:lang w:val="en-US" w:eastAsia="zh-CN"/>
        </w:rPr>
        <w:t>两类</w:t>
      </w:r>
      <w:r>
        <w:rPr>
          <w:rFonts w:hint="eastAsia" w:ascii="宋体" w:hAnsi="宋体"/>
          <w:bCs/>
          <w:color w:val="auto"/>
          <w:szCs w:val="21"/>
        </w:rPr>
        <w:t>。</w:t>
      </w:r>
    </w:p>
    <w:p w14:paraId="1D554D48">
      <w:pPr>
        <w:pStyle w:val="98"/>
        <w:spacing w:beforeLines="0" w:afterLines="0"/>
        <w:rPr>
          <w:rFonts w:hint="eastAsia" w:ascii="宋体" w:hAnsi="宋体" w:eastAsia="宋体"/>
          <w:bCs/>
          <w:color w:val="auto"/>
          <w:szCs w:val="21"/>
          <w:lang w:eastAsia="zh-CN"/>
        </w:rPr>
      </w:pPr>
      <w:r>
        <w:rPr>
          <w:rFonts w:hint="eastAsia" w:ascii="宋体" w:hAnsi="宋体"/>
          <w:bCs/>
          <w:color w:val="auto"/>
          <w:szCs w:val="21"/>
        </w:rPr>
        <w:t>6.6.2.3桥梁监测级别，宜根据桥梁结构特点、跨径和技术状况，按下列原则确定</w:t>
      </w:r>
      <w:r>
        <w:rPr>
          <w:rFonts w:hint="eastAsia" w:ascii="宋体" w:hAnsi="宋体"/>
          <w:bCs/>
          <w:color w:val="auto"/>
          <w:szCs w:val="21"/>
          <w:lang w:eastAsia="zh-CN"/>
        </w:rPr>
        <w:t>：</w:t>
      </w:r>
    </w:p>
    <w:p w14:paraId="5A1233C2">
      <w:pPr>
        <w:pStyle w:val="98"/>
        <w:spacing w:beforeLines="0" w:afterLines="0"/>
        <w:ind w:firstLine="420" w:firstLineChars="200"/>
        <w:rPr>
          <w:rFonts w:hint="eastAsia" w:ascii="宋体" w:hAnsi="宋体"/>
          <w:bCs/>
          <w:color w:val="auto"/>
          <w:szCs w:val="21"/>
        </w:rPr>
      </w:pPr>
      <w:r>
        <w:rPr>
          <w:rFonts w:hint="eastAsia" w:ascii="宋体" w:hAnsi="宋体"/>
          <w:bCs/>
          <w:color w:val="auto"/>
          <w:szCs w:val="21"/>
        </w:rPr>
        <w:t>a）对于特大桥、特殊结构、特别重要的新建桥梁应开展标准化监测，处于高风险地质环境或高风险运营条件的新建桥梁应开展轻量化监测，有条件时宜采用标准化监测。</w:t>
      </w:r>
    </w:p>
    <w:p w14:paraId="7EC37DC5">
      <w:pPr>
        <w:pStyle w:val="98"/>
        <w:spacing w:beforeLines="0" w:afterLines="0"/>
        <w:ind w:firstLine="420" w:firstLineChars="200"/>
        <w:rPr>
          <w:rFonts w:hint="eastAsia" w:ascii="宋体" w:hAnsi="宋体"/>
          <w:color w:val="000000"/>
          <w:szCs w:val="21"/>
        </w:rPr>
      </w:pPr>
      <w:r>
        <w:rPr>
          <w:rFonts w:hint="eastAsia" w:ascii="宋体" w:hAnsi="宋体"/>
          <w:bCs/>
          <w:color w:val="auto"/>
          <w:szCs w:val="21"/>
        </w:rPr>
        <w:t>b）</w:t>
      </w:r>
      <w:r>
        <w:rPr>
          <w:rFonts w:hint="eastAsia" w:ascii="宋体" w:hAnsi="宋体"/>
          <w:color w:val="000000"/>
          <w:szCs w:val="21"/>
        </w:rPr>
        <w:t>风险评估等级为重大风险</w:t>
      </w:r>
      <w:r>
        <w:rPr>
          <w:rFonts w:hint="eastAsia" w:ascii="宋体" w:hAnsi="宋体"/>
          <w:bCs/>
          <w:color w:val="000000"/>
          <w:szCs w:val="21"/>
        </w:rPr>
        <w:t>的既有桥梁</w:t>
      </w:r>
      <w:r>
        <w:rPr>
          <w:rFonts w:hint="eastAsia" w:ascii="宋体" w:hAnsi="宋体"/>
          <w:color w:val="000000"/>
          <w:szCs w:val="21"/>
        </w:rPr>
        <w:t>，参考安全风险评估结果，确定桥梁主要风险源，应开展</w:t>
      </w:r>
      <w:r>
        <w:rPr>
          <w:rFonts w:hint="eastAsia" w:ascii="宋体" w:hAnsi="宋体"/>
          <w:bCs/>
          <w:color w:val="000000"/>
          <w:szCs w:val="21"/>
        </w:rPr>
        <w:t>标准化监测</w:t>
      </w:r>
      <w:r>
        <w:rPr>
          <w:rFonts w:hint="eastAsia" w:ascii="宋体" w:hAnsi="宋体"/>
          <w:color w:val="000000"/>
          <w:szCs w:val="21"/>
        </w:rPr>
        <w:t>。</w:t>
      </w:r>
    </w:p>
    <w:p w14:paraId="00A04BF1">
      <w:pPr>
        <w:pStyle w:val="98"/>
        <w:spacing w:beforeLines="0" w:afterLines="0"/>
        <w:ind w:firstLine="420" w:firstLineChars="200"/>
        <w:rPr>
          <w:rFonts w:hint="eastAsia" w:ascii="宋体" w:hAnsi="宋体"/>
          <w:color w:val="000000"/>
          <w:szCs w:val="21"/>
        </w:rPr>
      </w:pPr>
      <w:r>
        <w:rPr>
          <w:rFonts w:hint="eastAsia" w:ascii="宋体" w:hAnsi="宋体"/>
          <w:color w:val="000000"/>
          <w:szCs w:val="21"/>
        </w:rPr>
        <w:t>c）风险评估等级为较大风险</w:t>
      </w:r>
      <w:r>
        <w:rPr>
          <w:rFonts w:hint="eastAsia" w:ascii="宋体" w:hAnsi="宋体"/>
          <w:bCs/>
          <w:color w:val="000000"/>
          <w:szCs w:val="21"/>
        </w:rPr>
        <w:t>的既有桥梁</w:t>
      </w:r>
      <w:r>
        <w:rPr>
          <w:rFonts w:hint="eastAsia" w:ascii="宋体" w:hAnsi="宋体"/>
          <w:color w:val="000000"/>
          <w:szCs w:val="21"/>
        </w:rPr>
        <w:t>，参考安全风险评估结果，确定导致桥梁风险值高的主要风险源，应开展</w:t>
      </w:r>
      <w:r>
        <w:rPr>
          <w:rFonts w:hint="eastAsia" w:ascii="宋体" w:hAnsi="宋体"/>
          <w:bCs/>
          <w:color w:val="000000"/>
          <w:szCs w:val="21"/>
        </w:rPr>
        <w:t>轻量化监测</w:t>
      </w:r>
      <w:r>
        <w:rPr>
          <w:rFonts w:hint="eastAsia" w:ascii="宋体" w:hAnsi="宋体"/>
          <w:color w:val="000000"/>
          <w:szCs w:val="21"/>
        </w:rPr>
        <w:t>，有条件时宜采用</w:t>
      </w:r>
      <w:r>
        <w:rPr>
          <w:rFonts w:hint="eastAsia" w:ascii="宋体" w:hAnsi="宋体"/>
          <w:bCs/>
          <w:color w:val="000000"/>
          <w:szCs w:val="21"/>
        </w:rPr>
        <w:t>标准化监测</w:t>
      </w:r>
      <w:r>
        <w:rPr>
          <w:rFonts w:hint="eastAsia" w:ascii="宋体" w:hAnsi="宋体"/>
          <w:color w:val="000000"/>
          <w:szCs w:val="21"/>
        </w:rPr>
        <w:t>。</w:t>
      </w:r>
    </w:p>
    <w:p w14:paraId="4F0D2370">
      <w:pPr>
        <w:pStyle w:val="98"/>
        <w:spacing w:beforeLines="0" w:afterLines="0"/>
        <w:ind w:firstLine="420" w:firstLineChars="200"/>
        <w:rPr>
          <w:rFonts w:hint="eastAsia" w:ascii="宋体" w:hAnsi="宋体"/>
          <w:bCs/>
          <w:color w:val="auto"/>
          <w:szCs w:val="21"/>
        </w:rPr>
      </w:pPr>
      <w:r>
        <w:rPr>
          <w:rFonts w:hint="eastAsia" w:ascii="宋体" w:hAnsi="宋体"/>
          <w:bCs/>
          <w:color w:val="auto"/>
          <w:szCs w:val="21"/>
        </w:rPr>
        <w:t>d）风险评估等级为低风险</w:t>
      </w:r>
      <w:r>
        <w:rPr>
          <w:rFonts w:hint="eastAsia" w:ascii="宋体" w:hAnsi="宋体"/>
          <w:bCs/>
          <w:color w:val="000000"/>
          <w:szCs w:val="21"/>
        </w:rPr>
        <w:t>的既有桥梁</w:t>
      </w:r>
      <w:r>
        <w:rPr>
          <w:rFonts w:hint="eastAsia" w:ascii="宋体" w:hAnsi="宋体"/>
          <w:bCs/>
          <w:color w:val="auto"/>
          <w:szCs w:val="21"/>
        </w:rPr>
        <w:t>，应定期巡查维护，原则上无需开展智慧监测工作，若存在特殊情况，可开展轻量化监测。</w:t>
      </w:r>
    </w:p>
    <w:p w14:paraId="1C45F66E">
      <w:pPr>
        <w:pStyle w:val="98"/>
        <w:spacing w:beforeLines="0" w:afterLines="0"/>
        <w:ind w:firstLine="0" w:firstLineChars="0"/>
        <w:rPr>
          <w:rFonts w:hint="eastAsia" w:ascii="宋体" w:hAnsi="宋体"/>
          <w:bCs/>
          <w:color w:val="auto"/>
          <w:szCs w:val="21"/>
        </w:rPr>
      </w:pPr>
      <w:r>
        <w:rPr>
          <w:rFonts w:hint="eastAsia" w:ascii="宋体" w:hAnsi="宋体"/>
          <w:bCs/>
          <w:color w:val="auto"/>
          <w:szCs w:val="21"/>
        </w:rPr>
        <w:t>6.6.2.4新建桥梁的监测系统应与桥梁土建、机电工程同步设计、</w:t>
      </w:r>
      <w:r>
        <w:rPr>
          <w:rFonts w:hint="eastAsia" w:ascii="宋体" w:hAnsi="宋体"/>
          <w:bCs/>
          <w:color w:val="auto"/>
          <w:szCs w:val="21"/>
          <w:lang w:val="en-US" w:eastAsia="zh-CN"/>
        </w:rPr>
        <w:t>施工</w:t>
      </w:r>
      <w:r>
        <w:rPr>
          <w:rFonts w:hint="eastAsia" w:ascii="宋体" w:hAnsi="宋体"/>
          <w:bCs/>
          <w:color w:val="auto"/>
          <w:szCs w:val="21"/>
        </w:rPr>
        <w:t>、验收</w:t>
      </w:r>
      <w:r>
        <w:rPr>
          <w:rFonts w:hint="eastAsia" w:ascii="宋体" w:hAnsi="宋体"/>
          <w:bCs/>
          <w:color w:val="auto"/>
          <w:szCs w:val="21"/>
          <w:lang w:eastAsia="zh-CN"/>
        </w:rPr>
        <w:t>、</w:t>
      </w:r>
      <w:r>
        <w:rPr>
          <w:rFonts w:hint="eastAsia" w:ascii="宋体" w:hAnsi="宋体"/>
          <w:bCs/>
          <w:color w:val="auto"/>
          <w:szCs w:val="21"/>
          <w:lang w:val="en-US" w:eastAsia="zh-CN"/>
        </w:rPr>
        <w:t>投入使用</w:t>
      </w:r>
      <w:r>
        <w:rPr>
          <w:rFonts w:hint="eastAsia" w:ascii="宋体" w:hAnsi="宋体"/>
          <w:bCs/>
          <w:color w:val="auto"/>
          <w:szCs w:val="21"/>
        </w:rPr>
        <w:t>，既有桥梁的监测系统应结合养护管理需求独立设计、</w:t>
      </w:r>
      <w:r>
        <w:rPr>
          <w:rFonts w:hint="eastAsia" w:ascii="宋体" w:hAnsi="宋体"/>
          <w:bCs/>
          <w:color w:val="auto"/>
          <w:szCs w:val="21"/>
          <w:lang w:val="en-US" w:eastAsia="zh-CN"/>
        </w:rPr>
        <w:t>施工</w:t>
      </w:r>
      <w:r>
        <w:rPr>
          <w:rFonts w:hint="eastAsia" w:ascii="宋体" w:hAnsi="宋体"/>
          <w:bCs/>
          <w:color w:val="auto"/>
          <w:szCs w:val="21"/>
        </w:rPr>
        <w:t>、验收</w:t>
      </w:r>
      <w:r>
        <w:rPr>
          <w:rFonts w:hint="eastAsia" w:ascii="宋体" w:hAnsi="宋体"/>
          <w:bCs/>
          <w:color w:val="auto"/>
          <w:szCs w:val="21"/>
          <w:lang w:eastAsia="zh-CN"/>
        </w:rPr>
        <w:t>、</w:t>
      </w:r>
      <w:r>
        <w:rPr>
          <w:rFonts w:hint="eastAsia" w:ascii="宋体" w:hAnsi="宋体"/>
          <w:bCs/>
          <w:color w:val="auto"/>
          <w:szCs w:val="21"/>
          <w:lang w:val="en-US" w:eastAsia="zh-CN"/>
        </w:rPr>
        <w:t>投入使用</w:t>
      </w:r>
      <w:r>
        <w:rPr>
          <w:rFonts w:hint="eastAsia" w:ascii="宋体" w:hAnsi="宋体"/>
          <w:bCs/>
          <w:color w:val="auto"/>
          <w:szCs w:val="21"/>
        </w:rPr>
        <w:t>。</w:t>
      </w:r>
    </w:p>
    <w:p w14:paraId="044A4501">
      <w:pPr>
        <w:pStyle w:val="98"/>
        <w:spacing w:beforeLines="0" w:afterLines="0"/>
        <w:rPr>
          <w:rFonts w:hint="eastAsia" w:ascii="宋体" w:hAnsi="宋体" w:cs="Times New Roman"/>
          <w:color w:val="auto"/>
          <w:szCs w:val="21"/>
        </w:rPr>
      </w:pPr>
      <w:r>
        <w:rPr>
          <w:rFonts w:hint="eastAsia" w:ascii="宋体" w:hAnsi="宋体" w:cs="Times New Roman"/>
          <w:color w:val="auto"/>
          <w:szCs w:val="21"/>
        </w:rPr>
        <w:t>6.6.2.5</w:t>
      </w:r>
      <w:r>
        <w:rPr>
          <w:rFonts w:hint="eastAsia" w:ascii="宋体" w:hAnsi="宋体" w:cs="Times New Roman"/>
          <w:color w:val="auto"/>
          <w:szCs w:val="21"/>
          <w:lang w:val="en-US" w:eastAsia="zh-CN"/>
        </w:rPr>
        <w:t>监</w:t>
      </w:r>
      <w:r>
        <w:rPr>
          <w:rFonts w:hint="eastAsia" w:ascii="宋体" w:hAnsi="宋体" w:cs="Times New Roman"/>
          <w:color w:val="auto"/>
          <w:szCs w:val="21"/>
        </w:rPr>
        <w:t>测点布设应基于桥梁设计资料、施工监控资料、竣（交）工资料、历次检查报告和养护维修资料以及有限元计算分析成果、实地调查分析成果等进行确定，并应</w:t>
      </w:r>
      <w:r>
        <w:rPr>
          <w:rFonts w:hint="eastAsia" w:ascii="宋体" w:hAnsi="宋体" w:cs="Times New Roman"/>
          <w:color w:val="auto"/>
          <w:szCs w:val="21"/>
          <w:lang w:eastAsia="zh-CN"/>
        </w:rPr>
        <w:t>符合以下要求</w:t>
      </w:r>
      <w:r>
        <w:rPr>
          <w:rFonts w:hint="eastAsia" w:ascii="宋体" w:hAnsi="宋体" w:cs="Times New Roman"/>
          <w:color w:val="auto"/>
          <w:szCs w:val="21"/>
        </w:rPr>
        <w:t>：</w:t>
      </w:r>
    </w:p>
    <w:p w14:paraId="15371BD9">
      <w:pPr>
        <w:pStyle w:val="98"/>
        <w:numPr>
          <w:ilvl w:val="0"/>
          <w:numId w:val="17"/>
        </w:numPr>
        <w:autoSpaceDN w:val="0"/>
        <w:spacing w:beforeLines="0" w:afterLines="0"/>
        <w:rPr>
          <w:rFonts w:hint="eastAsia" w:ascii="宋体" w:hAnsi="宋体" w:cs="Times New Roman"/>
          <w:color w:val="auto"/>
          <w:szCs w:val="21"/>
        </w:rPr>
      </w:pPr>
      <w:r>
        <w:rPr>
          <w:rFonts w:hint="eastAsia" w:ascii="宋体" w:hAnsi="宋体" w:cs="Times New Roman"/>
          <w:color w:val="auto"/>
          <w:szCs w:val="21"/>
          <w:lang w:val="en-US" w:eastAsia="zh-CN"/>
        </w:rPr>
        <w:t>监</w:t>
      </w:r>
      <w:r>
        <w:rPr>
          <w:rFonts w:hint="eastAsia" w:ascii="宋体" w:hAnsi="宋体" w:cs="Times New Roman"/>
          <w:color w:val="auto"/>
          <w:szCs w:val="21"/>
        </w:rPr>
        <w:t>测点布设应满足数据分析和应用的需求；</w:t>
      </w:r>
    </w:p>
    <w:p w14:paraId="5707A31D">
      <w:pPr>
        <w:pStyle w:val="98"/>
        <w:numPr>
          <w:ilvl w:val="0"/>
          <w:numId w:val="17"/>
        </w:numPr>
        <w:autoSpaceDN w:val="0"/>
        <w:spacing w:beforeLines="0" w:afterLines="0"/>
        <w:rPr>
          <w:rFonts w:hint="eastAsia" w:ascii="宋体" w:hAnsi="宋体" w:cs="Times New Roman"/>
          <w:color w:val="auto"/>
          <w:szCs w:val="21"/>
        </w:rPr>
      </w:pPr>
      <w:r>
        <w:rPr>
          <w:rFonts w:hint="eastAsia" w:ascii="宋体" w:hAnsi="宋体" w:cs="Times New Roman"/>
          <w:color w:val="auto"/>
          <w:szCs w:val="21"/>
          <w:lang w:val="en-US" w:eastAsia="zh-CN"/>
        </w:rPr>
        <w:t>监</w:t>
      </w:r>
      <w:r>
        <w:rPr>
          <w:rFonts w:hint="eastAsia" w:ascii="宋体" w:hAnsi="宋体" w:cs="Times New Roman"/>
          <w:color w:val="auto"/>
          <w:szCs w:val="21"/>
        </w:rPr>
        <w:t>测点布设应合理优化，提升经济性；</w:t>
      </w:r>
    </w:p>
    <w:p w14:paraId="068A648E">
      <w:pPr>
        <w:pStyle w:val="98"/>
        <w:numPr>
          <w:ilvl w:val="0"/>
          <w:numId w:val="17"/>
        </w:numPr>
        <w:autoSpaceDN w:val="0"/>
        <w:spacing w:beforeLines="0" w:afterLines="0"/>
        <w:rPr>
          <w:rFonts w:hint="eastAsia" w:ascii="宋体" w:hAnsi="宋体" w:cs="Times New Roman"/>
          <w:color w:val="auto"/>
          <w:szCs w:val="21"/>
        </w:rPr>
      </w:pPr>
      <w:r>
        <w:rPr>
          <w:rFonts w:hint="eastAsia" w:ascii="宋体" w:hAnsi="宋体" w:cs="Times New Roman"/>
          <w:color w:val="auto"/>
          <w:szCs w:val="21"/>
          <w:lang w:val="en-US" w:eastAsia="zh-CN"/>
        </w:rPr>
        <w:t>监</w:t>
      </w:r>
      <w:r>
        <w:rPr>
          <w:rFonts w:hint="eastAsia" w:ascii="宋体" w:hAnsi="宋体" w:cs="Times New Roman"/>
          <w:color w:val="auto"/>
          <w:szCs w:val="21"/>
        </w:rPr>
        <w:t>测点布设宜优化信号传输的距离，提高信噪比和数据质量；</w:t>
      </w:r>
    </w:p>
    <w:p w14:paraId="0B6661D8">
      <w:pPr>
        <w:pStyle w:val="98"/>
        <w:numPr>
          <w:ilvl w:val="0"/>
          <w:numId w:val="17"/>
        </w:numPr>
        <w:autoSpaceDN w:val="0"/>
        <w:spacing w:beforeLines="0" w:afterLines="0"/>
        <w:rPr>
          <w:rFonts w:hint="eastAsia" w:ascii="宋体" w:hAnsi="宋体" w:cs="Times New Roman"/>
          <w:color w:val="auto"/>
          <w:szCs w:val="21"/>
        </w:rPr>
      </w:pPr>
      <w:r>
        <w:rPr>
          <w:rFonts w:hint="eastAsia" w:ascii="宋体" w:hAnsi="宋体" w:cs="Times New Roman"/>
          <w:color w:val="auto"/>
          <w:szCs w:val="21"/>
          <w:lang w:val="en-US" w:eastAsia="zh-CN"/>
        </w:rPr>
        <w:t>监</w:t>
      </w:r>
      <w:r>
        <w:rPr>
          <w:rFonts w:hint="eastAsia" w:ascii="宋体" w:hAnsi="宋体" w:cs="Times New Roman"/>
          <w:color w:val="auto"/>
          <w:szCs w:val="21"/>
        </w:rPr>
        <w:t>测点布设的位置及安装方式应合理选择，宜可更换，且不应损害桥梁结构的安全耐久性。</w:t>
      </w:r>
    </w:p>
    <w:p w14:paraId="6C0FD4A7">
      <w:pPr>
        <w:pStyle w:val="98"/>
        <w:numPr>
          <w:ilvl w:val="0"/>
          <w:numId w:val="17"/>
        </w:numPr>
        <w:autoSpaceDN w:val="0"/>
        <w:spacing w:beforeLines="0" w:afterLines="0"/>
        <w:rPr>
          <w:rFonts w:hint="eastAsia" w:ascii="宋体" w:hAnsi="宋体" w:cs="Times New Roman"/>
          <w:color w:val="auto"/>
          <w:szCs w:val="21"/>
        </w:rPr>
      </w:pPr>
      <w:r>
        <w:rPr>
          <w:rFonts w:hint="eastAsia" w:ascii="宋体" w:hAnsi="宋体" w:cs="Times New Roman"/>
          <w:color w:val="auto"/>
          <w:szCs w:val="21"/>
        </w:rPr>
        <w:t>对于不可更换的监测点，</w:t>
      </w:r>
      <w:r>
        <w:rPr>
          <w:rFonts w:hint="eastAsia" w:ascii="宋体" w:hAnsi="宋体" w:cs="Times New Roman"/>
          <w:color w:val="auto"/>
          <w:szCs w:val="21"/>
          <w:lang w:val="en-US" w:eastAsia="zh-CN"/>
        </w:rPr>
        <w:t>监</w:t>
      </w:r>
      <w:r>
        <w:rPr>
          <w:rFonts w:hint="eastAsia" w:ascii="宋体" w:hAnsi="宋体" w:cs="Times New Roman"/>
          <w:color w:val="auto"/>
          <w:szCs w:val="21"/>
        </w:rPr>
        <w:t>测点布设宜考虑数量冗余，满足系统稳定可靠和升级改造的需要。</w:t>
      </w:r>
    </w:p>
    <w:p w14:paraId="6028A4F8">
      <w:pPr>
        <w:pStyle w:val="98"/>
        <w:spacing w:beforeLines="0" w:afterLines="0"/>
        <w:rPr>
          <w:rFonts w:hint="eastAsia" w:ascii="宋体" w:hAnsi="宋体" w:cs="Times New Roman"/>
          <w:color w:val="auto"/>
          <w:szCs w:val="21"/>
        </w:rPr>
      </w:pPr>
      <w:r>
        <w:rPr>
          <w:rFonts w:hint="eastAsia" w:ascii="宋体" w:hAnsi="宋体" w:cs="Times New Roman"/>
          <w:color w:val="auto"/>
          <w:szCs w:val="21"/>
        </w:rPr>
        <w:t>6.6.2.6结构响应和结构变化监测的</w:t>
      </w:r>
      <w:r>
        <w:rPr>
          <w:rFonts w:hint="eastAsia" w:ascii="宋体" w:hAnsi="宋体" w:cs="Times New Roman"/>
          <w:color w:val="auto"/>
          <w:szCs w:val="21"/>
          <w:lang w:val="en-US" w:eastAsia="zh-CN"/>
        </w:rPr>
        <w:t>监</w:t>
      </w:r>
      <w:r>
        <w:rPr>
          <w:rFonts w:hint="eastAsia" w:ascii="宋体" w:hAnsi="宋体" w:cs="Times New Roman"/>
          <w:color w:val="auto"/>
          <w:szCs w:val="21"/>
        </w:rPr>
        <w:t>测点应布置在受力</w:t>
      </w:r>
      <w:r>
        <w:rPr>
          <w:rFonts w:hint="eastAsia" w:ascii="宋体" w:hAnsi="宋体" w:cs="Times New Roman"/>
          <w:color w:val="auto"/>
          <w:szCs w:val="21"/>
          <w:lang w:val="en-US" w:eastAsia="zh-CN"/>
        </w:rPr>
        <w:t>集中</w:t>
      </w:r>
      <w:r>
        <w:rPr>
          <w:rFonts w:hint="eastAsia" w:ascii="宋体" w:hAnsi="宋体" w:cs="Times New Roman"/>
          <w:color w:val="auto"/>
          <w:szCs w:val="21"/>
        </w:rPr>
        <w:t>、变形较大、易损、影响主体构件安全耐久性和结构整体安全的位置、已存在病害和损伤的位置。对性能退化、损伤严重的桥梁构件，应针对性加强监测点布设。</w:t>
      </w:r>
    </w:p>
    <w:p w14:paraId="47F7FF5C">
      <w:pPr>
        <w:pStyle w:val="98"/>
        <w:spacing w:beforeLines="0" w:afterLines="0"/>
        <w:rPr>
          <w:rFonts w:hint="eastAsia" w:ascii="宋体" w:hAnsi="宋体" w:cs="Times New Roman"/>
          <w:color w:val="auto"/>
          <w:szCs w:val="21"/>
        </w:rPr>
      </w:pPr>
      <w:r>
        <w:rPr>
          <w:rFonts w:hint="eastAsia" w:ascii="宋体" w:hAnsi="宋体" w:cs="Times New Roman"/>
          <w:color w:val="auto"/>
          <w:szCs w:val="21"/>
        </w:rPr>
        <w:t>6.6.2.7构建标准化监测系统时，监测内容选取应分别符合</w:t>
      </w:r>
      <w:bookmarkStart w:id="82" w:name="OLE_LINK30"/>
      <w:r>
        <w:rPr>
          <w:rFonts w:hint="eastAsia" w:ascii="宋体" w:hAnsi="宋体" w:cs="Times New Roman"/>
          <w:color w:val="auto"/>
          <w:szCs w:val="21"/>
        </w:rPr>
        <w:t>附表B.5.1至附表B.5.6</w:t>
      </w:r>
      <w:bookmarkEnd w:id="82"/>
      <w:r>
        <w:rPr>
          <w:rFonts w:hint="eastAsia" w:ascii="宋体" w:hAnsi="宋体" w:cs="Times New Roman"/>
          <w:color w:val="auto"/>
          <w:szCs w:val="21"/>
        </w:rPr>
        <w:t>的要求，可根据特定需求选择监测内容。构建轻量化监测系统时，可根据桥梁安全风险评估结果、监测应用目标、特定需求等有针</w:t>
      </w:r>
      <w:r>
        <w:rPr>
          <w:rFonts w:hint="eastAsia" w:ascii="宋体" w:hAnsi="宋体" w:cs="Times New Roman"/>
          <w:color w:val="auto"/>
          <w:szCs w:val="21"/>
          <w:lang w:eastAsia="zh-CN"/>
        </w:rPr>
        <w:t>对性</w:t>
      </w:r>
      <w:r>
        <w:rPr>
          <w:rFonts w:hint="eastAsia" w:ascii="宋体" w:hAnsi="宋体" w:cs="Times New Roman"/>
          <w:color w:val="auto"/>
          <w:szCs w:val="21"/>
        </w:rPr>
        <w:t>地调整选用附表B.5.1至附表B.5.6规定的监测内容。</w:t>
      </w:r>
    </w:p>
    <w:p w14:paraId="236C4E44">
      <w:pPr>
        <w:pStyle w:val="98"/>
        <w:spacing w:beforeLines="0" w:afterLines="0"/>
        <w:rPr>
          <w:rFonts w:hint="eastAsia" w:ascii="宋体" w:hAnsi="宋体" w:cs="Times New Roman"/>
          <w:color w:val="auto"/>
          <w:szCs w:val="21"/>
        </w:rPr>
      </w:pPr>
      <w:r>
        <w:rPr>
          <w:rFonts w:hint="eastAsia" w:ascii="宋体" w:hAnsi="宋体" w:cs="Times New Roman"/>
          <w:color w:val="auto"/>
          <w:szCs w:val="21"/>
        </w:rPr>
        <w:t>6.6.2.8被监测桥梁由相同结构类型的多孔跨组成时，宜选择技术状况较差、运行环境恶劣及存在立体交叉等</w:t>
      </w:r>
      <w:r>
        <w:rPr>
          <w:rFonts w:hint="eastAsia" w:ascii="宋体" w:hAnsi="宋体" w:cs="Times New Roman"/>
          <w:color w:val="auto"/>
          <w:szCs w:val="21"/>
          <w:lang w:eastAsia="zh-CN"/>
        </w:rPr>
        <w:t>具有</w:t>
      </w:r>
      <w:r>
        <w:rPr>
          <w:rFonts w:hint="eastAsia" w:ascii="宋体" w:hAnsi="宋体" w:cs="Times New Roman"/>
          <w:color w:val="auto"/>
          <w:szCs w:val="21"/>
        </w:rPr>
        <w:t>代表性的桥联（跨）实施监测。</w:t>
      </w:r>
    </w:p>
    <w:p w14:paraId="6B32484D">
      <w:pPr>
        <w:pStyle w:val="98"/>
        <w:spacing w:beforeLines="0" w:afterLines="0"/>
        <w:rPr>
          <w:rFonts w:hint="eastAsia" w:ascii="宋体" w:hAnsi="宋体" w:cs="Times New Roman"/>
          <w:color w:val="auto"/>
          <w:szCs w:val="21"/>
        </w:rPr>
      </w:pPr>
      <w:r>
        <w:rPr>
          <w:rFonts w:hint="eastAsia" w:ascii="宋体" w:hAnsi="宋体" w:cs="Times New Roman"/>
          <w:color w:val="auto"/>
          <w:szCs w:val="21"/>
        </w:rPr>
        <w:t>6.6.2.9加固维修或经提级改造的桥梁，宜进行结构性能跟踪监测，监测内容应包含应变、变形、裂缝以及动力特性等。</w:t>
      </w:r>
    </w:p>
    <w:p w14:paraId="7A2B9CFD">
      <w:pPr>
        <w:pStyle w:val="98"/>
        <w:spacing w:beforeLines="0" w:afterLines="0"/>
        <w:rPr>
          <w:rFonts w:hint="eastAsia" w:ascii="宋体" w:hAnsi="宋体" w:cs="Times New Roman"/>
          <w:color w:val="auto"/>
          <w:szCs w:val="21"/>
        </w:rPr>
      </w:pPr>
      <w:r>
        <w:rPr>
          <w:rFonts w:hint="eastAsia" w:ascii="宋体" w:hAnsi="宋体" w:cs="Times New Roman"/>
          <w:color w:val="auto"/>
          <w:szCs w:val="21"/>
        </w:rPr>
        <w:t>6.6.2.10对于受限制性施工作业影响或地铁下穿的桥梁，应将桥墩（台）沉降指标</w:t>
      </w:r>
      <w:r>
        <w:rPr>
          <w:rFonts w:hint="eastAsia" w:ascii="宋体" w:hAnsi="宋体" w:cs="Times New Roman"/>
          <w:color w:val="auto"/>
          <w:szCs w:val="21"/>
          <w:lang w:val="en-US" w:eastAsia="zh-CN"/>
        </w:rPr>
        <w:t>列为</w:t>
      </w:r>
      <w:r>
        <w:rPr>
          <w:rFonts w:hint="eastAsia" w:ascii="宋体" w:hAnsi="宋体" w:cs="Times New Roman"/>
          <w:color w:val="auto"/>
          <w:szCs w:val="21"/>
        </w:rPr>
        <w:t>为必选监测项；对于存在漫水、封洞风险的桥梁，应将水位</w:t>
      </w:r>
      <w:r>
        <w:rPr>
          <w:rFonts w:hint="eastAsia" w:ascii="宋体" w:hAnsi="宋体" w:cs="Times New Roman"/>
          <w:color w:val="auto"/>
          <w:szCs w:val="21"/>
          <w:lang w:eastAsia="zh-CN"/>
        </w:rPr>
        <w:t>、</w:t>
      </w:r>
      <w:r>
        <w:rPr>
          <w:rFonts w:hint="eastAsia" w:ascii="宋体" w:hAnsi="宋体" w:cs="Times New Roman"/>
          <w:color w:val="auto"/>
          <w:szCs w:val="21"/>
        </w:rPr>
        <w:t>流速指标</w:t>
      </w:r>
      <w:r>
        <w:rPr>
          <w:rFonts w:hint="eastAsia" w:ascii="宋体" w:hAnsi="宋体" w:cs="Times New Roman"/>
          <w:color w:val="auto"/>
          <w:szCs w:val="21"/>
          <w:lang w:val="en-US" w:eastAsia="zh-CN"/>
        </w:rPr>
        <w:t>列为</w:t>
      </w:r>
      <w:r>
        <w:rPr>
          <w:rFonts w:hint="eastAsia" w:ascii="宋体" w:hAnsi="宋体" w:cs="Times New Roman"/>
          <w:color w:val="auto"/>
          <w:szCs w:val="21"/>
        </w:rPr>
        <w:t>为必选监测项；对于被车、船撞击风险高的桥梁，应将船舶撞击</w:t>
      </w:r>
      <w:r>
        <w:rPr>
          <w:rFonts w:hint="eastAsia" w:ascii="宋体" w:hAnsi="宋体" w:cs="Times New Roman"/>
          <w:color w:val="auto"/>
          <w:szCs w:val="21"/>
          <w:lang w:eastAsia="zh-CN"/>
        </w:rPr>
        <w:t>、</w:t>
      </w:r>
      <w:r>
        <w:rPr>
          <w:rFonts w:hint="eastAsia" w:ascii="宋体" w:hAnsi="宋体" w:cs="Times New Roman"/>
          <w:color w:val="auto"/>
          <w:szCs w:val="21"/>
        </w:rPr>
        <w:t>车辆撞击指标</w:t>
      </w:r>
      <w:r>
        <w:rPr>
          <w:rFonts w:hint="eastAsia" w:ascii="宋体" w:hAnsi="宋体" w:cs="Times New Roman"/>
          <w:color w:val="auto"/>
          <w:szCs w:val="21"/>
          <w:lang w:val="en-US" w:eastAsia="zh-CN"/>
        </w:rPr>
        <w:t>列为</w:t>
      </w:r>
      <w:r>
        <w:rPr>
          <w:rFonts w:hint="eastAsia" w:ascii="宋体" w:hAnsi="宋体" w:cs="Times New Roman"/>
          <w:color w:val="auto"/>
          <w:szCs w:val="21"/>
        </w:rPr>
        <w:t>为必选监测项。对于桥址抗震设防烈度为Ⅶ度及以上的桥梁，应将承台顶或桥墩底部加速度</w:t>
      </w:r>
      <w:r>
        <w:rPr>
          <w:rFonts w:hint="eastAsia" w:ascii="宋体" w:hAnsi="宋体" w:cs="Times New Roman"/>
          <w:color w:val="auto"/>
          <w:szCs w:val="21"/>
          <w:lang w:eastAsia="zh-CN"/>
        </w:rPr>
        <w:t>、</w:t>
      </w:r>
      <w:r>
        <w:rPr>
          <w:rFonts w:hint="eastAsia" w:ascii="宋体" w:hAnsi="宋体" w:cs="Times New Roman"/>
          <w:color w:val="auto"/>
          <w:szCs w:val="21"/>
        </w:rPr>
        <w:t>主梁横向位移</w:t>
      </w:r>
      <w:r>
        <w:rPr>
          <w:rFonts w:hint="eastAsia" w:ascii="宋体" w:hAnsi="宋体" w:cs="Times New Roman"/>
          <w:color w:val="auto"/>
          <w:szCs w:val="21"/>
          <w:lang w:eastAsia="zh-CN"/>
        </w:rPr>
        <w:t>、</w:t>
      </w:r>
      <w:r>
        <w:rPr>
          <w:rFonts w:hint="eastAsia" w:ascii="宋体" w:hAnsi="宋体" w:cs="Times New Roman"/>
          <w:color w:val="auto"/>
          <w:szCs w:val="21"/>
        </w:rPr>
        <w:t>墩顶倾斜</w:t>
      </w:r>
      <w:r>
        <w:rPr>
          <w:rFonts w:hint="eastAsia" w:ascii="宋体" w:hAnsi="宋体" w:cs="Times New Roman"/>
          <w:color w:val="auto"/>
          <w:szCs w:val="21"/>
          <w:lang w:eastAsia="zh-CN"/>
        </w:rPr>
        <w:t>、</w:t>
      </w:r>
      <w:r>
        <w:rPr>
          <w:rFonts w:hint="eastAsia" w:ascii="宋体" w:hAnsi="宋体" w:cs="Times New Roman"/>
          <w:color w:val="auto"/>
          <w:szCs w:val="21"/>
        </w:rPr>
        <w:t>桥台倾斜指标</w:t>
      </w:r>
      <w:r>
        <w:rPr>
          <w:rFonts w:hint="eastAsia" w:ascii="宋体" w:hAnsi="宋体" w:cs="Times New Roman"/>
          <w:color w:val="auto"/>
          <w:szCs w:val="21"/>
          <w:lang w:val="en-US" w:eastAsia="zh-CN"/>
        </w:rPr>
        <w:t>列为</w:t>
      </w:r>
      <w:r>
        <w:rPr>
          <w:rFonts w:hint="eastAsia" w:ascii="宋体" w:hAnsi="宋体" w:cs="Times New Roman"/>
          <w:color w:val="auto"/>
          <w:szCs w:val="21"/>
        </w:rPr>
        <w:t>为必选监测项。</w:t>
      </w:r>
    </w:p>
    <w:p w14:paraId="71753C4A">
      <w:pPr>
        <w:pStyle w:val="98"/>
        <w:spacing w:beforeLines="0" w:afterLines="0"/>
        <w:rPr>
          <w:rFonts w:hint="eastAsia" w:ascii="宋体" w:hAnsi="宋体" w:cs="Times New Roman"/>
          <w:color w:val="auto"/>
          <w:szCs w:val="21"/>
        </w:rPr>
      </w:pPr>
      <w:r>
        <w:rPr>
          <w:rFonts w:hint="eastAsia" w:ascii="宋体" w:hAnsi="宋体" w:cs="Times New Roman"/>
          <w:color w:val="auto"/>
          <w:szCs w:val="21"/>
        </w:rPr>
        <w:t>6.6.2.11存在倾覆风险的桥梁应基于有限元计算分析结果进行抗倾覆稳定性监测。</w:t>
      </w:r>
    </w:p>
    <w:p w14:paraId="02B3492F">
      <w:pPr>
        <w:pStyle w:val="98"/>
        <w:spacing w:beforeLines="0" w:afterLines="0"/>
        <w:rPr>
          <w:rFonts w:hint="eastAsia" w:ascii="宋体" w:hAnsi="宋体" w:cs="Times New Roman"/>
          <w:color w:val="auto"/>
          <w:szCs w:val="21"/>
        </w:rPr>
      </w:pPr>
      <w:r>
        <w:rPr>
          <w:rFonts w:hint="eastAsia" w:ascii="宋体" w:hAnsi="宋体" w:cs="Times New Roman"/>
          <w:color w:val="auto"/>
          <w:szCs w:val="21"/>
        </w:rPr>
        <w:t>6.6.2.12梁体出现纵向或横向异常位移的桥梁宜进行梁体空间变位监测，监测内容宜包括梁体纵向位移、横向位移、支座竖向脱空和桥墩倾角。</w:t>
      </w:r>
    </w:p>
    <w:p w14:paraId="24F3D088">
      <w:pPr>
        <w:pStyle w:val="98"/>
        <w:spacing w:beforeLines="0" w:afterLines="0"/>
        <w:rPr>
          <w:rFonts w:hint="eastAsia" w:ascii="宋体" w:hAnsi="宋体" w:eastAsia="宋体"/>
          <w:bCs/>
          <w:color w:val="auto"/>
          <w:lang w:val="en-US" w:eastAsia="zh-CN"/>
        </w:rPr>
      </w:pPr>
      <w:r>
        <w:rPr>
          <w:rFonts w:ascii="宋体" w:hAnsi="宋体"/>
          <w:bCs/>
          <w:color w:val="auto"/>
        </w:rPr>
        <w:t>6.</w:t>
      </w:r>
      <w:r>
        <w:rPr>
          <w:rFonts w:hint="eastAsia" w:ascii="宋体" w:hAnsi="宋体"/>
          <w:bCs/>
          <w:color w:val="auto"/>
        </w:rPr>
        <w:t>6</w:t>
      </w:r>
      <w:r>
        <w:rPr>
          <w:rFonts w:ascii="宋体" w:hAnsi="宋体"/>
          <w:bCs/>
          <w:color w:val="auto"/>
        </w:rPr>
        <w:t>.</w:t>
      </w:r>
      <w:r>
        <w:rPr>
          <w:rFonts w:hint="eastAsia" w:ascii="宋体" w:hAnsi="宋体"/>
          <w:bCs/>
          <w:color w:val="auto"/>
        </w:rPr>
        <w:t>3</w:t>
      </w:r>
      <w:r>
        <w:rPr>
          <w:rFonts w:hint="eastAsia" w:ascii="宋体" w:hAnsi="宋体"/>
          <w:bCs/>
          <w:color w:val="auto"/>
          <w:lang w:val="en-US" w:eastAsia="zh-CN"/>
        </w:rPr>
        <w:t>桥梁</w:t>
      </w:r>
      <w:r>
        <w:rPr>
          <w:rFonts w:hint="eastAsia" w:ascii="宋体" w:hAnsi="宋体"/>
          <w:bCs/>
          <w:color w:val="auto"/>
        </w:rPr>
        <w:t>监测设备</w:t>
      </w:r>
      <w:r>
        <w:rPr>
          <w:rFonts w:hint="eastAsia" w:ascii="宋体" w:hAnsi="宋体"/>
          <w:bCs/>
          <w:color w:val="auto"/>
          <w:lang w:val="en-US" w:eastAsia="zh-CN"/>
        </w:rPr>
        <w:t>性能要求</w:t>
      </w:r>
    </w:p>
    <w:p w14:paraId="63D413CB">
      <w:pPr>
        <w:pStyle w:val="98"/>
        <w:numPr>
          <w:ilvl w:val="0"/>
          <w:numId w:val="0"/>
        </w:numPr>
        <w:autoSpaceDN w:val="0"/>
        <w:spacing w:beforeLines="0" w:afterLines="0"/>
        <w:ind w:left="0"/>
        <w:rPr>
          <w:rFonts w:hint="eastAsia" w:ascii="宋体" w:hAnsi="宋体" w:cs="Times New Roman"/>
          <w:color w:val="auto"/>
          <w:szCs w:val="21"/>
          <w:highlight w:val="none"/>
        </w:rPr>
      </w:pPr>
      <w:r>
        <w:rPr>
          <w:rFonts w:hint="eastAsia" w:ascii="宋体" w:hAnsi="宋体" w:cs="Times New Roman"/>
          <w:color w:val="auto"/>
          <w:szCs w:val="21"/>
          <w:highlight w:val="none"/>
        </w:rPr>
        <w:t>6.6.3.1监测设备选型应明确传感器的类型、数量、安装位置和方向，宜可更换。对不可更换的感知源设备，宜做冗余布设。对关键部件或关键构件监测内容，可布设校核设备。</w:t>
      </w:r>
    </w:p>
    <w:p w14:paraId="7CBBD807">
      <w:pPr>
        <w:pStyle w:val="98"/>
        <w:autoSpaceDN w:val="0"/>
        <w:spacing w:beforeLines="0" w:afterLines="0"/>
        <w:rPr>
          <w:rFonts w:ascii="宋体" w:hAnsi="宋体" w:cs="Times New Roman"/>
          <w:color w:val="auto"/>
          <w:szCs w:val="21"/>
          <w:highlight w:val="none"/>
        </w:rPr>
      </w:pPr>
      <w:r>
        <w:rPr>
          <w:rFonts w:hint="eastAsia" w:ascii="宋体" w:hAnsi="宋体" w:cs="Times New Roman"/>
          <w:color w:val="auto"/>
          <w:szCs w:val="21"/>
          <w:highlight w:val="none"/>
        </w:rPr>
        <w:t>6.6.3.2监测设备选型应满足监测量程、分辨力、精度、灵敏度、长期稳定性、环境适应性等要求。</w:t>
      </w:r>
    </w:p>
    <w:p w14:paraId="244243E1">
      <w:pPr>
        <w:pStyle w:val="98"/>
        <w:numPr>
          <w:ilvl w:val="0"/>
          <w:numId w:val="0"/>
        </w:numPr>
        <w:autoSpaceDN w:val="0"/>
        <w:spacing w:beforeLines="0" w:afterLines="0"/>
        <w:ind w:left="0"/>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rPr>
        <w:t>6.6.3.3 周边环境类监测设备</w:t>
      </w:r>
      <w:r>
        <w:rPr>
          <w:rFonts w:hint="eastAsia" w:ascii="宋体" w:hAnsi="宋体" w:cs="Times New Roman"/>
          <w:color w:val="auto"/>
          <w:szCs w:val="21"/>
          <w:highlight w:val="none"/>
          <w:lang w:val="en-US" w:eastAsia="zh-CN"/>
        </w:rPr>
        <w:t>应符合以下要求：</w:t>
      </w:r>
    </w:p>
    <w:p w14:paraId="5BB45E43">
      <w:pPr>
        <w:pStyle w:val="98"/>
        <w:numPr>
          <w:ilvl w:val="0"/>
          <w:numId w:val="18"/>
        </w:numPr>
        <w:autoSpaceDN w:val="0"/>
        <w:spacing w:beforeLines="0" w:afterLines="0"/>
        <w:rPr>
          <w:rFonts w:ascii="宋体" w:hAnsi="宋体" w:cs="Times New Roman"/>
          <w:color w:val="auto"/>
          <w:szCs w:val="21"/>
          <w:highlight w:val="none"/>
        </w:rPr>
      </w:pPr>
      <w:bookmarkStart w:id="83" w:name="OLE_LINK41"/>
      <w:r>
        <w:rPr>
          <w:rFonts w:hint="eastAsia" w:ascii="宋体" w:hAnsi="宋体" w:cs="Times New Roman"/>
          <w:color w:val="auto"/>
          <w:szCs w:val="21"/>
          <w:highlight w:val="none"/>
        </w:rPr>
        <w:t>环境温度监测可</w:t>
      </w:r>
      <w:bookmarkStart w:id="84" w:name="OLE_LINK15"/>
      <w:r>
        <w:rPr>
          <w:rFonts w:hint="eastAsia" w:ascii="宋体" w:hAnsi="宋体" w:cs="Times New Roman"/>
          <w:color w:val="auto"/>
          <w:szCs w:val="21"/>
          <w:highlight w:val="none"/>
        </w:rPr>
        <w:t>采</w:t>
      </w:r>
      <w:bookmarkEnd w:id="84"/>
      <w:r>
        <w:rPr>
          <w:rFonts w:hint="eastAsia" w:ascii="宋体" w:hAnsi="宋体" w:cs="Times New Roman"/>
          <w:color w:val="auto"/>
          <w:szCs w:val="21"/>
          <w:highlight w:val="none"/>
        </w:rPr>
        <w:t>用热电偶、热电阻、光纤温度传感器；</w:t>
      </w:r>
    </w:p>
    <w:bookmarkEnd w:id="83"/>
    <w:p w14:paraId="0B10E722">
      <w:pPr>
        <w:pStyle w:val="98"/>
        <w:numPr>
          <w:ilvl w:val="0"/>
          <w:numId w:val="18"/>
        </w:numPr>
        <w:autoSpaceDN w:val="0"/>
        <w:spacing w:beforeLines="0" w:afterLines="0"/>
        <w:rPr>
          <w:rFonts w:ascii="宋体" w:hAnsi="宋体" w:cs="Times New Roman"/>
          <w:color w:val="auto"/>
          <w:szCs w:val="21"/>
          <w:highlight w:val="none"/>
        </w:rPr>
      </w:pPr>
      <w:r>
        <w:rPr>
          <w:rFonts w:hint="eastAsia" w:ascii="宋体" w:hAnsi="宋体" w:cs="Times New Roman"/>
          <w:color w:val="auto"/>
          <w:szCs w:val="21"/>
          <w:highlight w:val="none"/>
        </w:rPr>
        <w:t>环境湿度监测可采用氯化锂湿度计、电阻电容湿度计和电解湿度计；</w:t>
      </w:r>
    </w:p>
    <w:p w14:paraId="56DB9FCD">
      <w:pPr>
        <w:pStyle w:val="98"/>
        <w:numPr>
          <w:ilvl w:val="0"/>
          <w:numId w:val="18"/>
        </w:numPr>
        <w:autoSpaceDN w:val="0"/>
        <w:spacing w:beforeLines="0" w:afterLines="0"/>
        <w:rPr>
          <w:rFonts w:ascii="宋体" w:hAnsi="宋体" w:cs="Times New Roman"/>
          <w:color w:val="auto"/>
          <w:szCs w:val="21"/>
          <w:highlight w:val="none"/>
        </w:rPr>
      </w:pPr>
      <w:r>
        <w:rPr>
          <w:rFonts w:hint="eastAsia" w:ascii="宋体" w:hAnsi="宋体" w:cs="Times New Roman"/>
          <w:color w:val="auto"/>
          <w:szCs w:val="21"/>
          <w:highlight w:val="none"/>
        </w:rPr>
        <w:t>雨量监测可采用电容雨量传感器、红外散射式雨量传感器、翻斗式雨量传感器；</w:t>
      </w:r>
    </w:p>
    <w:p w14:paraId="75D53977">
      <w:pPr>
        <w:pStyle w:val="98"/>
        <w:numPr>
          <w:ilvl w:val="0"/>
          <w:numId w:val="18"/>
        </w:numPr>
        <w:autoSpaceDN w:val="0"/>
        <w:spacing w:beforeLines="0" w:afterLines="0"/>
        <w:rPr>
          <w:rFonts w:ascii="宋体" w:hAnsi="宋体" w:cs="Times New Roman"/>
          <w:color w:val="auto"/>
          <w:szCs w:val="21"/>
          <w:highlight w:val="none"/>
        </w:rPr>
      </w:pPr>
      <w:r>
        <w:rPr>
          <w:rFonts w:hint="eastAsia" w:ascii="宋体" w:hAnsi="宋体" w:cs="Times New Roman"/>
          <w:color w:val="auto"/>
          <w:szCs w:val="21"/>
          <w:highlight w:val="none"/>
        </w:rPr>
        <w:t>结冰监测可采用超声波测试法、视频监</w:t>
      </w:r>
      <w:r>
        <w:rPr>
          <w:rFonts w:hint="eastAsia" w:ascii="宋体" w:hAnsi="宋体" w:cs="Times New Roman"/>
          <w:color w:val="auto"/>
          <w:szCs w:val="21"/>
          <w:highlight w:val="none"/>
          <w:lang w:val="en-US" w:eastAsia="zh-CN"/>
        </w:rPr>
        <w:t>控</w:t>
      </w:r>
      <w:r>
        <w:rPr>
          <w:rFonts w:hint="eastAsia" w:ascii="宋体" w:hAnsi="宋体" w:cs="Times New Roman"/>
          <w:color w:val="auto"/>
          <w:szCs w:val="21"/>
          <w:highlight w:val="none"/>
        </w:rPr>
        <w:t>法。</w:t>
      </w:r>
    </w:p>
    <w:p w14:paraId="3EB0BA8C">
      <w:pPr>
        <w:pStyle w:val="98"/>
        <w:numPr>
          <w:ilvl w:val="0"/>
          <w:numId w:val="0"/>
        </w:numPr>
        <w:autoSpaceDN w:val="0"/>
        <w:spacing w:beforeLines="0" w:afterLines="0"/>
        <w:ind w:left="0"/>
        <w:rPr>
          <w:rFonts w:hint="eastAsia" w:ascii="宋体" w:hAnsi="宋体" w:cs="Times New Roman"/>
          <w:color w:val="auto"/>
          <w:szCs w:val="21"/>
          <w:highlight w:val="none"/>
        </w:rPr>
      </w:pPr>
      <w:r>
        <w:rPr>
          <w:rFonts w:hint="eastAsia" w:ascii="宋体" w:hAnsi="宋体" w:cs="Times New Roman"/>
          <w:color w:val="auto"/>
          <w:szCs w:val="21"/>
          <w:highlight w:val="none"/>
        </w:rPr>
        <w:t>6.6.3.4 外部作用类监测设备</w:t>
      </w:r>
      <w:r>
        <w:rPr>
          <w:rFonts w:hint="eastAsia" w:ascii="宋体" w:hAnsi="宋体" w:cs="Times New Roman"/>
          <w:color w:val="auto"/>
          <w:szCs w:val="21"/>
          <w:highlight w:val="none"/>
          <w:lang w:val="en-US" w:eastAsia="zh-CN"/>
        </w:rPr>
        <w:t>应符合以下要求：</w:t>
      </w:r>
    </w:p>
    <w:p w14:paraId="6BCAB90B">
      <w:pPr>
        <w:pStyle w:val="98"/>
        <w:numPr>
          <w:ilvl w:val="0"/>
          <w:numId w:val="19"/>
        </w:numPr>
        <w:autoSpaceDN w:val="0"/>
        <w:spacing w:beforeLines="0" w:afterLines="0"/>
        <w:rPr>
          <w:rFonts w:ascii="宋体" w:hAnsi="宋体" w:cs="Times New Roman"/>
          <w:color w:val="auto"/>
          <w:szCs w:val="21"/>
          <w:highlight w:val="none"/>
        </w:rPr>
      </w:pPr>
      <w:r>
        <w:rPr>
          <w:rFonts w:hint="eastAsia" w:ascii="宋体" w:hAnsi="宋体" w:cs="Times New Roman"/>
          <w:color w:val="auto"/>
          <w:szCs w:val="21"/>
          <w:highlight w:val="none"/>
        </w:rPr>
        <w:t>车辆荷载监测可采用动态称重系统；</w:t>
      </w:r>
    </w:p>
    <w:p w14:paraId="2B31CACB">
      <w:pPr>
        <w:pStyle w:val="98"/>
        <w:numPr>
          <w:ilvl w:val="0"/>
          <w:numId w:val="19"/>
        </w:numPr>
        <w:autoSpaceDN w:val="0"/>
        <w:spacing w:beforeLines="0" w:afterLines="0"/>
        <w:rPr>
          <w:rFonts w:ascii="宋体" w:hAnsi="宋体" w:cs="Times New Roman"/>
          <w:color w:val="auto"/>
          <w:szCs w:val="21"/>
          <w:highlight w:val="none"/>
        </w:rPr>
      </w:pPr>
      <w:r>
        <w:rPr>
          <w:rFonts w:hint="eastAsia" w:ascii="宋体" w:hAnsi="宋体" w:cs="Times New Roman"/>
          <w:color w:val="auto"/>
          <w:szCs w:val="21"/>
          <w:highlight w:val="none"/>
        </w:rPr>
        <w:t>桥面风速风向监测</w:t>
      </w:r>
      <w:r>
        <w:rPr>
          <w:rFonts w:ascii="宋体" w:hAnsi="宋体" w:cs="Times New Roman"/>
          <w:color w:val="auto"/>
          <w:szCs w:val="21"/>
          <w:highlight w:val="none"/>
        </w:rPr>
        <w:t>可采用超声波风速度仪或机械式风速仪</w:t>
      </w:r>
      <w:r>
        <w:rPr>
          <w:rFonts w:hint="eastAsia" w:ascii="宋体" w:hAnsi="宋体" w:cs="Times New Roman"/>
          <w:color w:val="auto"/>
          <w:szCs w:val="21"/>
          <w:highlight w:val="none"/>
        </w:rPr>
        <w:t>；</w:t>
      </w:r>
    </w:p>
    <w:p w14:paraId="40BB0511">
      <w:pPr>
        <w:pStyle w:val="98"/>
        <w:numPr>
          <w:ilvl w:val="0"/>
          <w:numId w:val="19"/>
        </w:numPr>
        <w:autoSpaceDN w:val="0"/>
        <w:spacing w:beforeLines="0" w:afterLines="0"/>
        <w:rPr>
          <w:rFonts w:ascii="宋体" w:hAnsi="宋体" w:cs="Times New Roman"/>
          <w:color w:val="auto"/>
          <w:szCs w:val="21"/>
          <w:highlight w:val="none"/>
        </w:rPr>
      </w:pPr>
      <w:r>
        <w:rPr>
          <w:rFonts w:ascii="宋体" w:hAnsi="宋体" w:cs="Times New Roman"/>
          <w:color w:val="auto"/>
          <w:szCs w:val="21"/>
          <w:highlight w:val="none"/>
        </w:rPr>
        <w:t>风压监测</w:t>
      </w:r>
      <w:r>
        <w:rPr>
          <w:rFonts w:hint="eastAsia" w:ascii="宋体" w:hAnsi="宋体" w:cs="Times New Roman"/>
          <w:color w:val="auto"/>
          <w:szCs w:val="21"/>
          <w:highlight w:val="none"/>
        </w:rPr>
        <w:t>可</w:t>
      </w:r>
      <w:r>
        <w:rPr>
          <w:rFonts w:ascii="宋体" w:hAnsi="宋体" w:cs="Times New Roman"/>
          <w:color w:val="auto"/>
          <w:szCs w:val="21"/>
          <w:highlight w:val="none"/>
        </w:rPr>
        <w:t>选用陶瓷型或扩散硅型微压差传感器。</w:t>
      </w:r>
    </w:p>
    <w:p w14:paraId="0FC543E9">
      <w:pPr>
        <w:pStyle w:val="98"/>
        <w:numPr>
          <w:ilvl w:val="0"/>
          <w:numId w:val="19"/>
        </w:numPr>
        <w:autoSpaceDN w:val="0"/>
        <w:spacing w:beforeLines="0" w:afterLines="0"/>
        <w:rPr>
          <w:rFonts w:ascii="宋体" w:hAnsi="宋体" w:cs="Times New Roman"/>
          <w:color w:val="auto"/>
          <w:szCs w:val="21"/>
          <w:highlight w:val="none"/>
        </w:rPr>
      </w:pPr>
      <w:r>
        <w:rPr>
          <w:rFonts w:hint="eastAsia" w:ascii="宋体" w:hAnsi="宋体" w:cs="Times New Roman"/>
          <w:color w:val="auto"/>
          <w:szCs w:val="21"/>
          <w:highlight w:val="none"/>
        </w:rPr>
        <w:t>结构温度监测可采用热电偶、热电阻、光纤温度传感器或</w:t>
      </w:r>
      <w:r>
        <w:rPr>
          <w:rFonts w:ascii="宋体" w:hAnsi="宋体" w:cs="Times New Roman"/>
          <w:color w:val="auto"/>
          <w:szCs w:val="21"/>
          <w:highlight w:val="none"/>
        </w:rPr>
        <w:t>集成有温度传感器、可同时进行构件温度监测的应力传感器</w:t>
      </w:r>
      <w:r>
        <w:rPr>
          <w:rFonts w:hint="eastAsia" w:ascii="宋体" w:hAnsi="宋体" w:cs="Times New Roman"/>
          <w:color w:val="auto"/>
          <w:szCs w:val="21"/>
          <w:highlight w:val="none"/>
        </w:rPr>
        <w:t>。</w:t>
      </w:r>
    </w:p>
    <w:p w14:paraId="50C7C5CE">
      <w:pPr>
        <w:pStyle w:val="98"/>
        <w:numPr>
          <w:ilvl w:val="0"/>
          <w:numId w:val="19"/>
        </w:numPr>
        <w:autoSpaceDN w:val="0"/>
        <w:spacing w:beforeLines="0" w:afterLines="0"/>
        <w:rPr>
          <w:rFonts w:ascii="宋体" w:hAnsi="宋体" w:cs="Times New Roman"/>
          <w:color w:val="auto"/>
          <w:szCs w:val="21"/>
          <w:highlight w:val="none"/>
        </w:rPr>
      </w:pPr>
      <w:r>
        <w:rPr>
          <w:rFonts w:hint="eastAsia" w:ascii="宋体" w:hAnsi="宋体" w:cs="Times New Roman"/>
          <w:color w:val="auto"/>
          <w:szCs w:val="21"/>
          <w:highlight w:val="none"/>
        </w:rPr>
        <w:t>地震动监测可采用力平衡式加速度传感器；</w:t>
      </w:r>
    </w:p>
    <w:p w14:paraId="1880A588">
      <w:pPr>
        <w:pStyle w:val="98"/>
        <w:numPr>
          <w:ilvl w:val="0"/>
          <w:numId w:val="19"/>
        </w:numPr>
        <w:autoSpaceDN w:val="0"/>
        <w:spacing w:beforeLines="0" w:afterLines="0"/>
        <w:rPr>
          <w:rFonts w:ascii="宋体" w:hAnsi="宋体" w:cs="Times New Roman"/>
          <w:color w:val="auto"/>
          <w:szCs w:val="21"/>
          <w:highlight w:val="none"/>
        </w:rPr>
      </w:pPr>
      <w:r>
        <w:rPr>
          <w:rFonts w:hint="eastAsia" w:ascii="宋体" w:hAnsi="宋体" w:cs="Times New Roman"/>
          <w:color w:val="auto"/>
          <w:szCs w:val="21"/>
          <w:highlight w:val="none"/>
        </w:rPr>
        <w:t>船舶撞击监测可分为主被动防撞系统和撞击响应监测。主动防撞系统可采用扫描激光雷达或热成像视频技术。撞击响应监测可采用加速度传感器，宜与地震动监测协同</w:t>
      </w:r>
    </w:p>
    <w:p w14:paraId="42FB8BE7">
      <w:pPr>
        <w:pStyle w:val="98"/>
        <w:numPr>
          <w:ilvl w:val="0"/>
          <w:numId w:val="0"/>
        </w:numPr>
        <w:autoSpaceDN w:val="0"/>
        <w:spacing w:beforeLines="0" w:afterLines="0"/>
        <w:ind w:left="0"/>
        <w:rPr>
          <w:rFonts w:hint="eastAsia" w:ascii="宋体" w:hAnsi="宋体" w:cs="Times New Roman"/>
          <w:color w:val="auto"/>
          <w:szCs w:val="21"/>
          <w:highlight w:val="none"/>
        </w:rPr>
      </w:pPr>
      <w:r>
        <w:rPr>
          <w:rFonts w:hint="eastAsia" w:ascii="宋体" w:hAnsi="宋体" w:cs="Times New Roman"/>
          <w:color w:val="auto"/>
          <w:szCs w:val="21"/>
          <w:highlight w:val="none"/>
        </w:rPr>
        <w:t>6.6.3.5 结构响应类监测设备</w:t>
      </w:r>
      <w:r>
        <w:rPr>
          <w:rFonts w:hint="eastAsia" w:ascii="宋体" w:hAnsi="宋体" w:cs="Times New Roman"/>
          <w:color w:val="auto"/>
          <w:szCs w:val="21"/>
          <w:highlight w:val="none"/>
          <w:lang w:val="en-US" w:eastAsia="zh-CN"/>
        </w:rPr>
        <w:t>应符合以下要求：</w:t>
      </w:r>
    </w:p>
    <w:p w14:paraId="7EEC4F56">
      <w:pPr>
        <w:pStyle w:val="98"/>
        <w:numPr>
          <w:ilvl w:val="0"/>
          <w:numId w:val="20"/>
        </w:numPr>
        <w:autoSpaceDN w:val="0"/>
        <w:spacing w:beforeLines="0" w:afterLines="0"/>
        <w:ind w:left="525"/>
        <w:rPr>
          <w:rFonts w:ascii="宋体" w:hAnsi="宋体" w:cs="Times New Roman"/>
          <w:color w:val="auto"/>
          <w:szCs w:val="21"/>
          <w:highlight w:val="none"/>
        </w:rPr>
      </w:pPr>
      <w:r>
        <w:rPr>
          <w:rFonts w:ascii="宋体" w:hAnsi="宋体" w:cs="Times New Roman"/>
          <w:color w:val="auto"/>
          <w:szCs w:val="21"/>
          <w:highlight w:val="none"/>
        </w:rPr>
        <w:t>位移监测宜根据所监测的桥梁部位的位移量和位移速率选择适宜的传感器</w:t>
      </w:r>
      <w:r>
        <w:rPr>
          <w:rFonts w:hint="eastAsia" w:ascii="宋体" w:hAnsi="宋体" w:cs="Times New Roman"/>
          <w:color w:val="auto"/>
          <w:szCs w:val="21"/>
          <w:highlight w:val="none"/>
        </w:rPr>
        <w:t>。</w:t>
      </w:r>
      <w:r>
        <w:rPr>
          <w:rFonts w:ascii="宋体" w:hAnsi="宋体" w:cs="Times New Roman"/>
          <w:color w:val="auto"/>
          <w:szCs w:val="21"/>
          <w:highlight w:val="none"/>
        </w:rPr>
        <w:t>梁端位移可采用拉杆式位移计、拉绳式位移计或激光位移计</w:t>
      </w:r>
      <w:r>
        <w:rPr>
          <w:rFonts w:hint="eastAsia" w:ascii="宋体" w:hAnsi="宋体" w:cs="Times New Roman"/>
          <w:color w:val="auto"/>
          <w:szCs w:val="21"/>
          <w:highlight w:val="none"/>
        </w:rPr>
        <w:t>；主梁挠度可采用连通管法、</w:t>
      </w:r>
      <w:bookmarkStart w:id="85" w:name="OLE_LINK23"/>
      <w:r>
        <w:rPr>
          <w:rFonts w:hint="eastAsia" w:ascii="宋体" w:hAnsi="宋体" w:cs="Times New Roman"/>
          <w:color w:val="auto"/>
          <w:szCs w:val="21"/>
          <w:highlight w:val="none"/>
        </w:rPr>
        <w:t>光电图像法</w:t>
      </w:r>
      <w:bookmarkEnd w:id="85"/>
      <w:r>
        <w:rPr>
          <w:rFonts w:hint="eastAsia" w:ascii="宋体" w:hAnsi="宋体" w:cs="Times New Roman"/>
          <w:color w:val="auto"/>
          <w:szCs w:val="21"/>
          <w:highlight w:val="none"/>
        </w:rPr>
        <w:t>、雷达法、GNSS、光学相机法。</w:t>
      </w:r>
    </w:p>
    <w:p w14:paraId="0C8E6F17">
      <w:pPr>
        <w:pStyle w:val="98"/>
        <w:numPr>
          <w:ilvl w:val="0"/>
          <w:numId w:val="20"/>
        </w:numPr>
        <w:autoSpaceDN w:val="0"/>
        <w:spacing w:beforeLines="0" w:afterLines="0"/>
        <w:rPr>
          <w:rFonts w:ascii="宋体" w:hAnsi="宋体" w:cs="Times New Roman"/>
          <w:color w:val="auto"/>
          <w:szCs w:val="21"/>
          <w:highlight w:val="none"/>
        </w:rPr>
      </w:pPr>
      <w:r>
        <w:rPr>
          <w:rFonts w:hint="eastAsia" w:ascii="宋体" w:hAnsi="宋体" w:cs="Times New Roman"/>
          <w:color w:val="auto"/>
          <w:szCs w:val="21"/>
          <w:highlight w:val="none"/>
        </w:rPr>
        <w:t>桥梁倾斜角度监测可采用倾角传感器。</w:t>
      </w:r>
    </w:p>
    <w:p w14:paraId="10B030A9">
      <w:pPr>
        <w:pStyle w:val="98"/>
        <w:numPr>
          <w:ilvl w:val="0"/>
          <w:numId w:val="20"/>
        </w:numPr>
        <w:autoSpaceDN w:val="0"/>
        <w:spacing w:beforeLines="0" w:afterLines="0"/>
        <w:rPr>
          <w:rFonts w:ascii="宋体" w:hAnsi="宋体" w:cs="Times New Roman"/>
          <w:color w:val="auto"/>
          <w:szCs w:val="21"/>
          <w:highlight w:val="none"/>
        </w:rPr>
      </w:pPr>
      <w:r>
        <w:rPr>
          <w:rFonts w:ascii="宋体" w:hAnsi="宋体" w:cs="Times New Roman"/>
          <w:color w:val="auto"/>
          <w:szCs w:val="21"/>
          <w:highlight w:val="none"/>
        </w:rPr>
        <w:t>应变监测可分为动应变和静应变监测。静应变监测可采用电阻应变传感器</w:t>
      </w:r>
      <w:r>
        <w:rPr>
          <w:rFonts w:hint="eastAsia" w:ascii="宋体" w:hAnsi="宋体" w:cs="Times New Roman"/>
          <w:color w:val="auto"/>
          <w:szCs w:val="21"/>
          <w:highlight w:val="none"/>
        </w:rPr>
        <w:t>、</w:t>
      </w:r>
      <w:r>
        <w:rPr>
          <w:rFonts w:ascii="宋体" w:hAnsi="宋体" w:cs="Times New Roman"/>
          <w:color w:val="auto"/>
          <w:szCs w:val="21"/>
          <w:highlight w:val="none"/>
        </w:rPr>
        <w:t>振弦式应变传感器</w:t>
      </w:r>
      <w:r>
        <w:rPr>
          <w:rFonts w:hint="eastAsia" w:ascii="宋体" w:hAnsi="宋体" w:cs="Times New Roman"/>
          <w:color w:val="auto"/>
          <w:szCs w:val="21"/>
          <w:highlight w:val="none"/>
        </w:rPr>
        <w:t>、</w:t>
      </w:r>
      <w:bookmarkStart w:id="86" w:name="OLE_LINK28"/>
      <w:r>
        <w:rPr>
          <w:rFonts w:ascii="宋体" w:hAnsi="宋体" w:cs="Times New Roman"/>
          <w:color w:val="auto"/>
          <w:szCs w:val="21"/>
          <w:highlight w:val="none"/>
        </w:rPr>
        <w:t>光纤</w:t>
      </w:r>
      <w:r>
        <w:rPr>
          <w:rFonts w:hint="eastAsia" w:ascii="宋体" w:hAnsi="宋体" w:cs="Times New Roman"/>
          <w:color w:val="auto"/>
          <w:szCs w:val="21"/>
          <w:highlight w:val="none"/>
        </w:rPr>
        <w:t>光栅点式</w:t>
      </w:r>
      <w:r>
        <w:rPr>
          <w:rFonts w:ascii="宋体" w:hAnsi="宋体" w:cs="Times New Roman"/>
          <w:color w:val="auto"/>
          <w:szCs w:val="21"/>
          <w:highlight w:val="none"/>
        </w:rPr>
        <w:t>应变传感器或</w:t>
      </w:r>
      <w:r>
        <w:rPr>
          <w:rFonts w:hint="eastAsia" w:ascii="宋体" w:hAnsi="宋体" w:cs="Times New Roman"/>
          <w:color w:val="auto"/>
          <w:szCs w:val="21"/>
          <w:highlight w:val="none"/>
        </w:rPr>
        <w:t>光</w:t>
      </w:r>
      <w:r>
        <w:rPr>
          <w:rFonts w:ascii="宋体" w:hAnsi="宋体" w:cs="Times New Roman"/>
          <w:color w:val="auto"/>
          <w:szCs w:val="21"/>
          <w:highlight w:val="none"/>
        </w:rPr>
        <w:t>纤</w:t>
      </w:r>
      <w:r>
        <w:rPr>
          <w:rFonts w:hint="eastAsia" w:ascii="宋体" w:hAnsi="宋体" w:cs="Times New Roman"/>
          <w:color w:val="auto"/>
          <w:szCs w:val="21"/>
          <w:highlight w:val="none"/>
        </w:rPr>
        <w:t>光栅阵列式</w:t>
      </w:r>
      <w:r>
        <w:rPr>
          <w:rFonts w:ascii="宋体" w:hAnsi="宋体" w:cs="Times New Roman"/>
          <w:color w:val="auto"/>
          <w:szCs w:val="21"/>
          <w:highlight w:val="none"/>
        </w:rPr>
        <w:t>应变传感器</w:t>
      </w:r>
      <w:bookmarkEnd w:id="86"/>
      <w:r>
        <w:rPr>
          <w:rFonts w:hint="eastAsia" w:ascii="宋体" w:hAnsi="宋体" w:cs="Times New Roman"/>
          <w:color w:val="auto"/>
          <w:szCs w:val="21"/>
          <w:highlight w:val="none"/>
        </w:rPr>
        <w:t>；</w:t>
      </w:r>
      <w:r>
        <w:rPr>
          <w:rFonts w:ascii="宋体" w:hAnsi="宋体" w:cs="Times New Roman"/>
          <w:color w:val="auto"/>
          <w:szCs w:val="21"/>
          <w:highlight w:val="none"/>
        </w:rPr>
        <w:t>动应变监测可采用电阻应变传感器</w:t>
      </w:r>
      <w:r>
        <w:rPr>
          <w:rFonts w:hint="eastAsia" w:ascii="宋体" w:hAnsi="宋体" w:cs="Times New Roman"/>
          <w:color w:val="auto"/>
          <w:szCs w:val="21"/>
          <w:highlight w:val="none"/>
        </w:rPr>
        <w:t>、</w:t>
      </w:r>
      <w:r>
        <w:rPr>
          <w:rFonts w:ascii="宋体" w:hAnsi="宋体" w:cs="Times New Roman"/>
          <w:color w:val="auto"/>
          <w:szCs w:val="21"/>
          <w:highlight w:val="none"/>
        </w:rPr>
        <w:t>光纤</w:t>
      </w:r>
      <w:r>
        <w:rPr>
          <w:rFonts w:hint="eastAsia" w:ascii="宋体" w:hAnsi="宋体" w:cs="Times New Roman"/>
          <w:color w:val="auto"/>
          <w:szCs w:val="21"/>
          <w:highlight w:val="none"/>
        </w:rPr>
        <w:t>光栅点式</w:t>
      </w:r>
      <w:r>
        <w:rPr>
          <w:rFonts w:ascii="宋体" w:hAnsi="宋体" w:cs="Times New Roman"/>
          <w:color w:val="auto"/>
          <w:szCs w:val="21"/>
          <w:highlight w:val="none"/>
        </w:rPr>
        <w:t>应变传感器或</w:t>
      </w:r>
      <w:r>
        <w:rPr>
          <w:rFonts w:hint="eastAsia" w:ascii="宋体" w:hAnsi="宋体" w:cs="Times New Roman"/>
          <w:color w:val="auto"/>
          <w:szCs w:val="21"/>
          <w:highlight w:val="none"/>
        </w:rPr>
        <w:t>光</w:t>
      </w:r>
      <w:r>
        <w:rPr>
          <w:rFonts w:ascii="宋体" w:hAnsi="宋体" w:cs="Times New Roman"/>
          <w:color w:val="auto"/>
          <w:szCs w:val="21"/>
          <w:highlight w:val="none"/>
        </w:rPr>
        <w:t>纤</w:t>
      </w:r>
      <w:r>
        <w:rPr>
          <w:rFonts w:hint="eastAsia" w:ascii="宋体" w:hAnsi="宋体" w:cs="Times New Roman"/>
          <w:color w:val="auto"/>
          <w:szCs w:val="21"/>
          <w:highlight w:val="none"/>
        </w:rPr>
        <w:t>光栅阵列式</w:t>
      </w:r>
      <w:r>
        <w:rPr>
          <w:rFonts w:ascii="宋体" w:hAnsi="宋体" w:cs="Times New Roman"/>
          <w:color w:val="auto"/>
          <w:szCs w:val="21"/>
          <w:highlight w:val="none"/>
        </w:rPr>
        <w:t>应变传感器</w:t>
      </w:r>
      <w:r>
        <w:rPr>
          <w:rFonts w:hint="eastAsia" w:ascii="宋体" w:hAnsi="宋体" w:cs="Times New Roman"/>
          <w:color w:val="auto"/>
          <w:szCs w:val="21"/>
          <w:highlight w:val="none"/>
        </w:rPr>
        <w:t>。</w:t>
      </w:r>
    </w:p>
    <w:p w14:paraId="736FD895">
      <w:pPr>
        <w:pStyle w:val="98"/>
        <w:numPr>
          <w:ilvl w:val="0"/>
          <w:numId w:val="20"/>
        </w:numPr>
        <w:autoSpaceDN w:val="0"/>
        <w:spacing w:beforeLines="0" w:afterLines="0"/>
        <w:rPr>
          <w:rFonts w:ascii="宋体" w:hAnsi="宋体" w:cs="Times New Roman"/>
          <w:color w:val="auto"/>
          <w:szCs w:val="21"/>
          <w:highlight w:val="none"/>
        </w:rPr>
      </w:pPr>
      <w:r>
        <w:rPr>
          <w:rFonts w:hint="eastAsia" w:ascii="宋体" w:hAnsi="宋体" w:cs="Times New Roman"/>
          <w:color w:val="auto"/>
          <w:szCs w:val="21"/>
          <w:highlight w:val="none"/>
        </w:rPr>
        <w:t>振动监测可采用力平衡式加速度传感器。</w:t>
      </w:r>
    </w:p>
    <w:p w14:paraId="266F9909">
      <w:pPr>
        <w:pStyle w:val="98"/>
        <w:numPr>
          <w:ilvl w:val="0"/>
          <w:numId w:val="20"/>
        </w:numPr>
        <w:autoSpaceDN w:val="0"/>
        <w:spacing w:beforeLines="0" w:afterLines="0"/>
        <w:rPr>
          <w:rFonts w:ascii="宋体" w:hAnsi="宋体" w:cs="Times New Roman"/>
          <w:color w:val="auto"/>
          <w:szCs w:val="21"/>
          <w:highlight w:val="none"/>
        </w:rPr>
      </w:pPr>
      <w:r>
        <w:rPr>
          <w:rFonts w:ascii="宋体" w:hAnsi="宋体" w:cs="Times New Roman"/>
          <w:color w:val="auto"/>
          <w:szCs w:val="21"/>
          <w:highlight w:val="none"/>
        </w:rPr>
        <w:t>拉索索力监测可采用加速度传感器（频率法）、力传感器</w:t>
      </w:r>
      <w:r>
        <w:rPr>
          <w:rFonts w:hint="eastAsia" w:ascii="宋体" w:hAnsi="宋体" w:cs="Times New Roman"/>
          <w:color w:val="auto"/>
          <w:szCs w:val="21"/>
          <w:highlight w:val="none"/>
        </w:rPr>
        <w:t>或</w:t>
      </w:r>
      <w:r>
        <w:rPr>
          <w:rFonts w:ascii="宋体" w:hAnsi="宋体" w:cs="Times New Roman"/>
          <w:color w:val="auto"/>
          <w:szCs w:val="21"/>
          <w:highlight w:val="none"/>
        </w:rPr>
        <w:t>磁通量传感器</w:t>
      </w:r>
      <w:r>
        <w:rPr>
          <w:rFonts w:hint="eastAsia" w:ascii="宋体" w:hAnsi="宋体" w:cs="Times New Roman"/>
          <w:color w:val="auto"/>
          <w:szCs w:val="21"/>
          <w:highlight w:val="none"/>
        </w:rPr>
        <w:t>。</w:t>
      </w:r>
    </w:p>
    <w:p w14:paraId="6C17F1DA">
      <w:pPr>
        <w:pStyle w:val="98"/>
        <w:numPr>
          <w:ilvl w:val="0"/>
          <w:numId w:val="20"/>
        </w:numPr>
        <w:autoSpaceDN w:val="0"/>
        <w:spacing w:beforeLines="0" w:afterLines="0"/>
        <w:rPr>
          <w:rFonts w:ascii="宋体" w:hAnsi="宋体" w:cs="Times New Roman"/>
          <w:color w:val="auto"/>
          <w:szCs w:val="21"/>
          <w:highlight w:val="none"/>
        </w:rPr>
      </w:pPr>
      <w:r>
        <w:rPr>
          <w:rFonts w:ascii="宋体" w:hAnsi="宋体" w:cs="Times New Roman"/>
          <w:color w:val="auto"/>
          <w:szCs w:val="21"/>
          <w:highlight w:val="none"/>
        </w:rPr>
        <w:t>支座反力监测</w:t>
      </w:r>
      <w:r>
        <w:rPr>
          <w:rFonts w:hint="eastAsia" w:ascii="宋体" w:hAnsi="宋体" w:cs="Times New Roman"/>
          <w:color w:val="auto"/>
          <w:szCs w:val="21"/>
          <w:highlight w:val="none"/>
        </w:rPr>
        <w:t>可</w:t>
      </w:r>
      <w:r>
        <w:rPr>
          <w:rFonts w:ascii="宋体" w:hAnsi="宋体" w:cs="Times New Roman"/>
          <w:color w:val="auto"/>
          <w:szCs w:val="21"/>
          <w:highlight w:val="none"/>
        </w:rPr>
        <w:t>选用压力板传感器</w:t>
      </w:r>
      <w:r>
        <w:rPr>
          <w:rFonts w:hint="eastAsia" w:ascii="宋体" w:hAnsi="宋体" w:cs="Times New Roman"/>
          <w:color w:val="auto"/>
          <w:szCs w:val="21"/>
          <w:highlight w:val="none"/>
        </w:rPr>
        <w:t>。</w:t>
      </w:r>
    </w:p>
    <w:p w14:paraId="1FA73569">
      <w:pPr>
        <w:pStyle w:val="98"/>
        <w:autoSpaceDN w:val="0"/>
        <w:spacing w:beforeLines="0" w:afterLines="0"/>
        <w:rPr>
          <w:rFonts w:ascii="宋体" w:hAnsi="宋体" w:cs="Times New Roman"/>
          <w:color w:val="auto"/>
          <w:szCs w:val="21"/>
          <w:highlight w:val="none"/>
        </w:rPr>
      </w:pPr>
      <w:bookmarkStart w:id="87" w:name="OLE_LINK33"/>
      <w:r>
        <w:rPr>
          <w:rFonts w:hint="eastAsia" w:ascii="宋体" w:hAnsi="宋体" w:cs="Times New Roman"/>
          <w:color w:val="auto"/>
          <w:szCs w:val="21"/>
          <w:highlight w:val="none"/>
        </w:rPr>
        <w:t>6.6.3.</w:t>
      </w:r>
      <w:r>
        <w:rPr>
          <w:rFonts w:hint="eastAsia" w:ascii="宋体" w:hAnsi="宋体" w:cs="Times New Roman"/>
          <w:color w:val="auto"/>
          <w:szCs w:val="21"/>
          <w:highlight w:val="none"/>
          <w:lang w:val="en-US" w:eastAsia="zh-CN"/>
        </w:rPr>
        <w:t>6</w:t>
      </w:r>
      <w:r>
        <w:rPr>
          <w:rFonts w:hint="eastAsia" w:ascii="宋体" w:hAnsi="宋体" w:cs="Times New Roman"/>
          <w:color w:val="auto"/>
          <w:szCs w:val="21"/>
          <w:highlight w:val="none"/>
        </w:rPr>
        <w:t xml:space="preserve"> </w:t>
      </w:r>
      <w:bookmarkEnd w:id="87"/>
      <w:r>
        <w:rPr>
          <w:rFonts w:hint="eastAsia" w:ascii="宋体" w:hAnsi="宋体" w:cs="Times New Roman"/>
          <w:color w:val="auto"/>
          <w:szCs w:val="21"/>
          <w:highlight w:val="none"/>
        </w:rPr>
        <w:t>结构变化类监测设备</w:t>
      </w:r>
      <w:r>
        <w:rPr>
          <w:rFonts w:hint="eastAsia" w:ascii="宋体" w:hAnsi="宋体" w:cs="Times New Roman"/>
          <w:color w:val="auto"/>
          <w:szCs w:val="21"/>
          <w:highlight w:val="none"/>
          <w:lang w:val="en-US" w:eastAsia="zh-CN"/>
        </w:rPr>
        <w:t>应符合以下要求：</w:t>
      </w:r>
    </w:p>
    <w:p w14:paraId="11408EE1">
      <w:pPr>
        <w:pStyle w:val="98"/>
        <w:numPr>
          <w:ilvl w:val="0"/>
          <w:numId w:val="21"/>
        </w:numPr>
        <w:autoSpaceDN w:val="0"/>
        <w:spacing w:beforeLines="0" w:afterLines="0"/>
        <w:ind w:left="525"/>
        <w:rPr>
          <w:rFonts w:ascii="宋体" w:hAnsi="宋体" w:cs="Times New Roman"/>
          <w:color w:val="auto"/>
          <w:szCs w:val="21"/>
          <w:highlight w:val="none"/>
        </w:rPr>
      </w:pPr>
      <w:r>
        <w:rPr>
          <w:rFonts w:ascii="宋体" w:hAnsi="宋体" w:cs="Times New Roman"/>
          <w:color w:val="auto"/>
          <w:szCs w:val="21"/>
          <w:highlight w:val="none"/>
        </w:rPr>
        <w:t>裂缝监测可采用振弦式传感器、光纤传感器、线性可变差动变压器和视频图像监测技术</w:t>
      </w:r>
      <w:bookmarkStart w:id="88" w:name="OLE_LINK40"/>
      <w:r>
        <w:rPr>
          <w:rFonts w:hint="eastAsia" w:ascii="宋体" w:hAnsi="宋体" w:cs="Times New Roman"/>
          <w:color w:val="auto"/>
          <w:szCs w:val="21"/>
          <w:highlight w:val="none"/>
        </w:rPr>
        <w:t>；</w:t>
      </w:r>
      <w:bookmarkEnd w:id="88"/>
    </w:p>
    <w:p w14:paraId="00136FFB">
      <w:pPr>
        <w:pStyle w:val="98"/>
        <w:numPr>
          <w:ilvl w:val="0"/>
          <w:numId w:val="21"/>
        </w:numPr>
        <w:autoSpaceDN w:val="0"/>
        <w:spacing w:beforeLines="0" w:afterLines="0"/>
        <w:rPr>
          <w:rFonts w:ascii="宋体" w:hAnsi="宋体" w:cs="Times New Roman"/>
          <w:color w:val="auto"/>
          <w:szCs w:val="21"/>
          <w:highlight w:val="none"/>
        </w:rPr>
      </w:pPr>
      <w:r>
        <w:rPr>
          <w:rFonts w:ascii="宋体" w:hAnsi="宋体" w:cs="Times New Roman"/>
          <w:color w:val="auto"/>
          <w:szCs w:val="21"/>
          <w:highlight w:val="none"/>
        </w:rPr>
        <w:t>混凝土结构腐蚀监测可采用电化学方法，宜沿混凝土保护层深度安装多电极腐蚀传感器，监测混凝土保护层腐蚀侵蚀速率、深度，判断钢筋工作状态</w:t>
      </w:r>
      <w:r>
        <w:rPr>
          <w:rFonts w:hint="eastAsia" w:ascii="宋体" w:hAnsi="宋体" w:cs="Times New Roman"/>
          <w:color w:val="auto"/>
          <w:szCs w:val="21"/>
          <w:highlight w:val="none"/>
        </w:rPr>
        <w:t>；</w:t>
      </w:r>
    </w:p>
    <w:p w14:paraId="6410E068">
      <w:pPr>
        <w:pStyle w:val="98"/>
        <w:numPr>
          <w:ilvl w:val="0"/>
          <w:numId w:val="21"/>
        </w:numPr>
        <w:autoSpaceDN w:val="0"/>
        <w:spacing w:beforeLines="0" w:afterLines="0"/>
        <w:rPr>
          <w:rFonts w:ascii="宋体" w:hAnsi="宋体" w:cs="Times New Roman"/>
          <w:color w:val="auto"/>
          <w:szCs w:val="21"/>
          <w:highlight w:val="none"/>
        </w:rPr>
      </w:pPr>
      <w:r>
        <w:rPr>
          <w:rFonts w:ascii="宋体" w:hAnsi="宋体" w:cs="Times New Roman"/>
          <w:color w:val="auto"/>
          <w:szCs w:val="21"/>
          <w:highlight w:val="none"/>
        </w:rPr>
        <w:t>缆索断丝监测宜采用声发射传感器</w:t>
      </w:r>
      <w:r>
        <w:rPr>
          <w:rFonts w:hint="eastAsia" w:ascii="宋体" w:hAnsi="宋体" w:cs="Times New Roman"/>
          <w:color w:val="auto"/>
          <w:szCs w:val="21"/>
          <w:highlight w:val="none"/>
        </w:rPr>
        <w:t>；</w:t>
      </w:r>
    </w:p>
    <w:p w14:paraId="6B2C7813">
      <w:pPr>
        <w:pStyle w:val="98"/>
        <w:numPr>
          <w:ilvl w:val="0"/>
          <w:numId w:val="21"/>
        </w:numPr>
        <w:autoSpaceDN w:val="0"/>
        <w:spacing w:beforeLines="0" w:afterLines="0"/>
        <w:ind w:left="525"/>
        <w:rPr>
          <w:rFonts w:hint="eastAsia" w:ascii="宋体" w:hAnsi="宋体" w:cs="Times New Roman"/>
          <w:color w:val="auto"/>
          <w:szCs w:val="21"/>
          <w:highlight w:val="none"/>
        </w:rPr>
      </w:pPr>
      <w:r>
        <w:rPr>
          <w:rFonts w:ascii="宋体" w:hAnsi="宋体" w:cs="Times New Roman"/>
          <w:color w:val="auto"/>
          <w:szCs w:val="21"/>
          <w:highlight w:val="none"/>
        </w:rPr>
        <w:t>基础冲刷深度监测宜选用声纳传感器</w:t>
      </w:r>
      <w:r>
        <w:rPr>
          <w:rFonts w:hint="eastAsia" w:ascii="宋体" w:hAnsi="宋体" w:cs="Times New Roman"/>
          <w:color w:val="auto"/>
          <w:szCs w:val="21"/>
          <w:highlight w:val="none"/>
        </w:rPr>
        <w:t>。</w:t>
      </w:r>
    </w:p>
    <w:p w14:paraId="4419884F">
      <w:pPr>
        <w:pStyle w:val="98"/>
        <w:autoSpaceDN w:val="0"/>
        <w:spacing w:beforeLines="0" w:afterLines="0"/>
        <w:rPr>
          <w:rFonts w:hint="eastAsia" w:ascii="宋体" w:hAnsi="宋体" w:cs="Times New Roman"/>
          <w:color w:val="auto"/>
          <w:szCs w:val="21"/>
          <w:highlight w:val="none"/>
        </w:rPr>
      </w:pPr>
      <w:r>
        <w:rPr>
          <w:rFonts w:hint="eastAsia" w:ascii="宋体" w:hAnsi="宋体" w:cs="Times New Roman"/>
          <w:color w:val="auto"/>
          <w:szCs w:val="21"/>
          <w:highlight w:val="none"/>
          <w:lang w:val="en-US" w:eastAsia="zh-CN"/>
        </w:rPr>
        <w:t>6.6.3.7</w:t>
      </w:r>
      <w:r>
        <w:rPr>
          <w:rFonts w:hint="eastAsia" w:ascii="宋体" w:hAnsi="宋体" w:cs="Times New Roman"/>
          <w:color w:val="auto"/>
          <w:szCs w:val="21"/>
          <w:highlight w:val="none"/>
        </w:rPr>
        <w:t>设备宜集成定位模块，并支持接入</w:t>
      </w:r>
      <w:r>
        <w:rPr>
          <w:rFonts w:hint="eastAsia" w:ascii="宋体" w:hAnsi="宋体" w:cs="Times New Roman"/>
          <w:color w:val="auto"/>
          <w:szCs w:val="21"/>
          <w:highlight w:val="none"/>
          <w:lang w:val="en-US" w:eastAsia="zh-CN"/>
        </w:rPr>
        <w:t>桥梁管养单位</w:t>
      </w:r>
      <w:r>
        <w:rPr>
          <w:rFonts w:hint="eastAsia" w:ascii="宋体" w:hAnsi="宋体" w:cs="Times New Roman"/>
          <w:color w:val="auto"/>
          <w:szCs w:val="21"/>
          <w:highlight w:val="none"/>
          <w:lang w:eastAsia="zh-CN"/>
        </w:rPr>
        <w:t>、</w:t>
      </w:r>
      <w:r>
        <w:rPr>
          <w:rFonts w:hint="eastAsia" w:ascii="宋体" w:hAnsi="宋体" w:cs="Times New Roman"/>
          <w:color w:val="auto"/>
          <w:szCs w:val="21"/>
          <w:highlight w:val="none"/>
          <w:lang w:val="en-US" w:eastAsia="zh-CN"/>
        </w:rPr>
        <w:t>行业主管部门安全管理信息</w:t>
      </w:r>
      <w:r>
        <w:rPr>
          <w:rFonts w:hint="eastAsia" w:ascii="宋体" w:hAnsi="宋体" w:cs="Times New Roman"/>
          <w:color w:val="auto"/>
          <w:szCs w:val="21"/>
          <w:highlight w:val="none"/>
        </w:rPr>
        <w:t>系统。</w:t>
      </w:r>
    </w:p>
    <w:p w14:paraId="74A17120">
      <w:pPr>
        <w:pStyle w:val="98"/>
        <w:numPr>
          <w:ilvl w:val="-1"/>
          <w:numId w:val="0"/>
        </w:numPr>
        <w:autoSpaceDN/>
        <w:spacing w:beforeLines="0" w:afterLines="0"/>
        <w:ind w:left="0" w:firstLine="420" w:firstLineChars="200"/>
        <w:rPr>
          <w:rFonts w:hint="eastAsia" w:ascii="宋体" w:hAnsi="宋体" w:cs="Times New Roman"/>
          <w:color w:val="auto"/>
          <w:szCs w:val="21"/>
        </w:rPr>
      </w:pPr>
      <w:r>
        <w:rPr>
          <w:rFonts w:hint="eastAsia" w:ascii="宋体" w:hAnsi="宋体"/>
          <w:bCs/>
          <w:color w:val="auto"/>
          <w:lang w:val="en-US" w:eastAsia="zh-CN"/>
        </w:rPr>
        <w:t>桥梁</w:t>
      </w:r>
      <w:r>
        <w:rPr>
          <w:rFonts w:hint="eastAsia" w:ascii="宋体" w:hAnsi="宋体"/>
          <w:bCs/>
          <w:color w:val="auto"/>
        </w:rPr>
        <w:t>监测设备</w:t>
      </w:r>
      <w:r>
        <w:rPr>
          <w:rFonts w:hint="eastAsia" w:ascii="宋体" w:hAnsi="宋体"/>
          <w:bCs/>
          <w:color w:val="auto"/>
          <w:lang w:val="en-US" w:eastAsia="zh-CN"/>
        </w:rPr>
        <w:t>详细性能</w:t>
      </w:r>
      <w:r>
        <w:rPr>
          <w:rFonts w:hint="eastAsia" w:ascii="宋体" w:hAnsi="宋体"/>
          <w:bCs/>
          <w:color w:val="auto"/>
        </w:rPr>
        <w:t>要求见附录</w:t>
      </w:r>
      <w:r>
        <w:rPr>
          <w:rFonts w:hint="eastAsia" w:ascii="宋体" w:hAnsi="宋体"/>
          <w:bCs/>
          <w:color w:val="auto"/>
          <w:lang w:val="en-US" w:eastAsia="zh-CN"/>
        </w:rPr>
        <w:t>C</w:t>
      </w:r>
      <w:r>
        <w:rPr>
          <w:rFonts w:hint="eastAsia" w:ascii="宋体" w:hAnsi="宋体"/>
          <w:bCs/>
          <w:color w:val="auto"/>
        </w:rPr>
        <w:t>.</w:t>
      </w:r>
      <w:r>
        <w:rPr>
          <w:rFonts w:hint="eastAsia" w:ascii="宋体" w:hAnsi="宋体"/>
          <w:bCs/>
          <w:color w:val="auto"/>
          <w:lang w:val="en-US" w:eastAsia="zh-CN"/>
        </w:rPr>
        <w:t>5</w:t>
      </w:r>
      <w:r>
        <w:rPr>
          <w:rFonts w:hint="eastAsia" w:ascii="宋体" w:hAnsi="宋体"/>
          <w:bCs/>
          <w:color w:val="auto"/>
        </w:rPr>
        <w:t>。</w:t>
      </w:r>
    </w:p>
    <w:p w14:paraId="7F194E82">
      <w:pPr>
        <w:pStyle w:val="108"/>
        <w:numPr>
          <w:ilvl w:val="1"/>
          <w:numId w:val="1"/>
        </w:numPr>
        <w:spacing w:beforeLines="50" w:afterLines="50"/>
      </w:pPr>
      <w:bookmarkStart w:id="89" w:name="_Toc31631"/>
      <w:r>
        <w:rPr>
          <w:rFonts w:hint="eastAsia"/>
        </w:rPr>
        <w:t>隧道安全监测感知网</w:t>
      </w:r>
      <w:bookmarkEnd w:id="89"/>
    </w:p>
    <w:p w14:paraId="58A88210">
      <w:pPr>
        <w:pStyle w:val="98"/>
        <w:spacing w:beforeLines="0" w:afterLines="0"/>
        <w:rPr>
          <w:rFonts w:hint="default" w:ascii="宋体" w:hAnsi="宋体" w:eastAsia="宋体"/>
          <w:bCs/>
          <w:color w:val="auto"/>
          <w:lang w:val="en-US" w:eastAsia="zh-CN"/>
        </w:rPr>
      </w:pPr>
      <w:r>
        <w:rPr>
          <w:rFonts w:hint="eastAsia" w:ascii="宋体" w:hAnsi="宋体"/>
          <w:bCs/>
          <w:color w:val="auto"/>
        </w:rPr>
        <w:t xml:space="preserve">6.7.1 </w:t>
      </w:r>
      <w:r>
        <w:rPr>
          <w:rFonts w:hint="eastAsia" w:ascii="宋体" w:hAnsi="宋体"/>
          <w:bCs/>
          <w:color w:val="auto"/>
          <w:lang w:val="en-US" w:eastAsia="zh-CN"/>
        </w:rPr>
        <w:t>隧道</w:t>
      </w:r>
      <w:r>
        <w:rPr>
          <w:rFonts w:hint="eastAsia" w:ascii="宋体" w:hAnsi="宋体"/>
          <w:bCs/>
          <w:color w:val="auto"/>
        </w:rPr>
        <w:t>监测对象</w:t>
      </w:r>
      <w:r>
        <w:rPr>
          <w:rFonts w:hint="eastAsia" w:ascii="宋体" w:hAnsi="宋体"/>
          <w:bCs/>
          <w:color w:val="auto"/>
          <w:lang w:val="en-US" w:eastAsia="zh-CN"/>
        </w:rPr>
        <w:t>及其监测指标</w:t>
      </w:r>
    </w:p>
    <w:p w14:paraId="7B23910F">
      <w:pPr>
        <w:pStyle w:val="98"/>
        <w:spacing w:beforeLines="0" w:afterLines="0"/>
        <w:rPr>
          <w:rFonts w:ascii="宋体" w:hAnsi="宋体"/>
          <w:bCs/>
          <w:color w:val="auto"/>
        </w:rPr>
      </w:pPr>
      <w:r>
        <w:rPr>
          <w:rFonts w:hint="eastAsia" w:ascii="宋体" w:hAnsi="宋体"/>
          <w:bCs/>
          <w:color w:val="auto"/>
        </w:rPr>
        <w:t>6.7.1.1城市隧道安全监测宜根据风险评估结果</w:t>
      </w:r>
      <w:r>
        <w:rPr>
          <w:rFonts w:hint="eastAsia" w:ascii="宋体" w:hAnsi="宋体"/>
          <w:bCs/>
          <w:color w:val="auto"/>
          <w:lang w:eastAsia="zh-CN"/>
        </w:rPr>
        <w:t>、</w:t>
      </w:r>
      <w:r>
        <w:rPr>
          <w:rFonts w:hint="eastAsia" w:ascii="宋体" w:hAnsi="宋体"/>
          <w:bCs/>
          <w:color w:val="auto"/>
        </w:rPr>
        <w:t>隧道规模</w:t>
      </w:r>
      <w:r>
        <w:rPr>
          <w:rFonts w:hint="eastAsia" w:ascii="宋体" w:hAnsi="宋体"/>
          <w:bCs/>
          <w:color w:val="auto"/>
          <w:lang w:val="en-US" w:eastAsia="zh-CN"/>
        </w:rPr>
        <w:t>和</w:t>
      </w:r>
      <w:r>
        <w:rPr>
          <w:rFonts w:hint="eastAsia" w:ascii="宋体" w:hAnsi="宋体"/>
          <w:bCs/>
          <w:color w:val="auto"/>
        </w:rPr>
        <w:t>结构形式选择监测</w:t>
      </w:r>
      <w:r>
        <w:rPr>
          <w:rFonts w:hint="eastAsia" w:ascii="宋体" w:hAnsi="宋体"/>
          <w:bCs/>
          <w:color w:val="auto"/>
          <w:lang w:val="en-US" w:eastAsia="zh-CN"/>
        </w:rPr>
        <w:t>对象及系统</w:t>
      </w:r>
      <w:r>
        <w:rPr>
          <w:rFonts w:hint="eastAsia" w:ascii="宋体" w:hAnsi="宋体"/>
          <w:bCs/>
          <w:color w:val="auto"/>
        </w:rPr>
        <w:t>。</w:t>
      </w:r>
    </w:p>
    <w:p w14:paraId="4F120B14">
      <w:pPr>
        <w:pStyle w:val="98"/>
        <w:spacing w:beforeLines="0" w:afterLines="0"/>
        <w:rPr>
          <w:rFonts w:ascii="宋体" w:hAnsi="宋体"/>
          <w:bCs/>
          <w:color w:val="auto"/>
        </w:rPr>
      </w:pPr>
      <w:r>
        <w:rPr>
          <w:rFonts w:hint="eastAsia" w:ascii="宋体" w:hAnsi="宋体"/>
          <w:bCs/>
          <w:color w:val="auto"/>
        </w:rPr>
        <w:t>6.7.1.2</w:t>
      </w:r>
      <w:r>
        <w:rPr>
          <w:rFonts w:ascii="宋体" w:hAnsi="宋体"/>
          <w:bCs/>
          <w:color w:val="auto"/>
        </w:rPr>
        <w:t>城市隧道监测系统根据监测目标、规模和复杂程度不同，</w:t>
      </w:r>
      <w:r>
        <w:rPr>
          <w:rFonts w:hint="eastAsia" w:ascii="宋体" w:hAnsi="宋体"/>
          <w:bCs/>
          <w:color w:val="auto"/>
        </w:rPr>
        <w:t>宜</w:t>
      </w:r>
      <w:r>
        <w:rPr>
          <w:rFonts w:ascii="宋体" w:hAnsi="宋体"/>
          <w:bCs/>
          <w:color w:val="auto"/>
        </w:rPr>
        <w:t>分为综合集成监测系统、特定目标监测系统和应急监测系统。</w:t>
      </w:r>
    </w:p>
    <w:p w14:paraId="7E323811">
      <w:pPr>
        <w:pStyle w:val="98"/>
        <w:spacing w:beforeLines="0" w:afterLines="0"/>
        <w:rPr>
          <w:rFonts w:ascii="宋体" w:hAnsi="宋体"/>
          <w:bCs/>
          <w:color w:val="auto"/>
        </w:rPr>
      </w:pPr>
      <w:r>
        <w:rPr>
          <w:rFonts w:hint="eastAsia" w:ascii="宋体" w:hAnsi="宋体"/>
          <w:bCs/>
          <w:color w:val="auto"/>
        </w:rPr>
        <w:t>6.7.1.3建设期城市隧道监测</w:t>
      </w:r>
      <w:r>
        <w:rPr>
          <w:rFonts w:hint="eastAsia" w:ascii="宋体" w:hAnsi="宋体"/>
          <w:bCs/>
          <w:color w:val="auto"/>
          <w:lang w:val="en-US" w:eastAsia="zh-CN"/>
        </w:rPr>
        <w:t>对象及系统可按以下要求确定</w:t>
      </w:r>
      <w:r>
        <w:rPr>
          <w:rFonts w:hint="eastAsia" w:ascii="宋体" w:hAnsi="宋体"/>
          <w:bCs/>
          <w:color w:val="auto"/>
        </w:rPr>
        <w:t>：</w:t>
      </w:r>
    </w:p>
    <w:p w14:paraId="1BB6DDE5">
      <w:pPr>
        <w:pStyle w:val="98"/>
        <w:spacing w:before="24" w:after="24"/>
        <w:ind w:firstLine="420" w:firstLineChars="200"/>
        <w:rPr>
          <w:bCs/>
          <w:color w:val="auto"/>
        </w:rPr>
      </w:pPr>
      <w:r>
        <w:rPr>
          <w:rFonts w:hint="eastAsia"/>
          <w:bCs/>
          <w:color w:val="auto"/>
        </w:rPr>
        <w:t>a）</w:t>
      </w:r>
      <w:r>
        <w:rPr>
          <w:bCs/>
          <w:color w:val="auto"/>
        </w:rPr>
        <w:t>长度大于1000m</w:t>
      </w:r>
      <w:r>
        <w:rPr>
          <w:rFonts w:hint="eastAsia"/>
          <w:bCs/>
          <w:color w:val="auto"/>
        </w:rPr>
        <w:t>或单孔跨度</w:t>
      </w:r>
      <w:r>
        <w:rPr>
          <w:bCs/>
          <w:color w:val="auto"/>
        </w:rPr>
        <w:t>大于18m</w:t>
      </w:r>
      <w:r>
        <w:rPr>
          <w:rFonts w:hint="eastAsia"/>
          <w:color w:val="auto"/>
        </w:rPr>
        <w:t>的隧道，应构建</w:t>
      </w:r>
      <w:r>
        <w:rPr>
          <w:bCs/>
          <w:color w:val="auto"/>
        </w:rPr>
        <w:t>综合集成监测系统</w:t>
      </w:r>
      <w:r>
        <w:rPr>
          <w:rFonts w:hint="eastAsia"/>
          <w:color w:val="auto"/>
        </w:rPr>
        <w:t>；</w:t>
      </w:r>
    </w:p>
    <w:p w14:paraId="68AC46C8">
      <w:pPr>
        <w:pStyle w:val="98"/>
        <w:spacing w:before="24" w:after="24"/>
        <w:ind w:firstLine="420" w:firstLineChars="200"/>
        <w:rPr>
          <w:color w:val="auto"/>
        </w:rPr>
      </w:pPr>
      <w:r>
        <w:rPr>
          <w:rFonts w:hint="eastAsia"/>
          <w:color w:val="auto"/>
        </w:rPr>
        <w:t>b）</w:t>
      </w:r>
      <w:r>
        <w:rPr>
          <w:color w:val="auto"/>
        </w:rPr>
        <w:t>毗邻地下综合管廊、铁路、地铁、燃气管道等有一定安全风险的隧道，</w:t>
      </w:r>
      <w:r>
        <w:rPr>
          <w:rFonts w:hint="eastAsia"/>
          <w:color w:val="auto"/>
        </w:rPr>
        <w:t>应构建</w:t>
      </w:r>
      <w:r>
        <w:rPr>
          <w:color w:val="auto"/>
        </w:rPr>
        <w:t>特定目标监测系统；</w:t>
      </w:r>
    </w:p>
    <w:p w14:paraId="3C9B9578">
      <w:pPr>
        <w:pStyle w:val="98"/>
        <w:spacing w:before="24" w:after="24"/>
        <w:ind w:firstLine="420" w:firstLineChars="200"/>
        <w:rPr>
          <w:bCs/>
          <w:color w:val="auto"/>
        </w:rPr>
      </w:pPr>
      <w:r>
        <w:rPr>
          <w:rFonts w:hint="eastAsia"/>
          <w:bCs/>
          <w:color w:val="auto"/>
        </w:rPr>
        <w:t>c）</w:t>
      </w:r>
      <w:r>
        <w:rPr>
          <w:color w:val="auto"/>
        </w:rPr>
        <w:t>采用新技术、新材料、新工艺、</w:t>
      </w:r>
      <w:r>
        <w:rPr>
          <w:rFonts w:hint="eastAsia"/>
          <w:color w:val="auto"/>
        </w:rPr>
        <w:t>新设备</w:t>
      </w:r>
      <w:r>
        <w:rPr>
          <w:color w:val="auto"/>
        </w:rPr>
        <w:t>建设的</w:t>
      </w:r>
      <w:r>
        <w:rPr>
          <w:rFonts w:hint="eastAsia"/>
          <w:color w:val="auto"/>
        </w:rPr>
        <w:t>隧道，宜构建</w:t>
      </w:r>
      <w:r>
        <w:rPr>
          <w:bCs/>
          <w:color w:val="auto"/>
        </w:rPr>
        <w:t>特定目标监测系统；</w:t>
      </w:r>
    </w:p>
    <w:p w14:paraId="2CCEE734">
      <w:pPr>
        <w:pStyle w:val="98"/>
        <w:spacing w:before="24" w:after="24"/>
        <w:ind w:firstLine="420" w:firstLineChars="200"/>
        <w:rPr>
          <w:bCs/>
          <w:color w:val="auto"/>
        </w:rPr>
      </w:pPr>
      <w:r>
        <w:rPr>
          <w:rFonts w:hint="eastAsia"/>
          <w:bCs/>
          <w:color w:val="auto"/>
        </w:rPr>
        <w:t>d）</w:t>
      </w:r>
      <w:r>
        <w:rPr>
          <w:color w:val="auto"/>
        </w:rPr>
        <w:t>有特殊社会文化价值或有特定科研需求的</w:t>
      </w:r>
      <w:r>
        <w:rPr>
          <w:rFonts w:hint="eastAsia"/>
          <w:color w:val="auto"/>
        </w:rPr>
        <w:t>隧道，宜构建</w:t>
      </w:r>
      <w:r>
        <w:rPr>
          <w:bCs/>
          <w:color w:val="auto"/>
        </w:rPr>
        <w:t>特定目标监测系统；</w:t>
      </w:r>
    </w:p>
    <w:p w14:paraId="3B86B4BE">
      <w:pPr>
        <w:pStyle w:val="98"/>
        <w:spacing w:before="24" w:after="24"/>
        <w:ind w:firstLine="420" w:firstLineChars="200"/>
        <w:rPr>
          <w:bCs/>
          <w:color w:val="auto"/>
        </w:rPr>
      </w:pPr>
      <w:r>
        <w:rPr>
          <w:rFonts w:hint="eastAsia"/>
          <w:bCs/>
          <w:color w:val="auto"/>
        </w:rPr>
        <w:t>e）</w:t>
      </w:r>
      <w:r>
        <w:rPr>
          <w:color w:val="auto"/>
        </w:rPr>
        <w:t>需要对结构随时间因素变化进行研究的</w:t>
      </w:r>
      <w:r>
        <w:rPr>
          <w:rFonts w:hint="eastAsia"/>
          <w:color w:val="auto"/>
        </w:rPr>
        <w:t>隧道</w:t>
      </w:r>
      <w:r>
        <w:rPr>
          <w:color w:val="auto"/>
        </w:rPr>
        <w:t>，</w:t>
      </w:r>
      <w:r>
        <w:rPr>
          <w:rFonts w:hint="eastAsia"/>
          <w:color w:val="auto"/>
        </w:rPr>
        <w:t>宜构建</w:t>
      </w:r>
      <w:r>
        <w:rPr>
          <w:bCs/>
          <w:color w:val="auto"/>
        </w:rPr>
        <w:t>特定目标监测系统；</w:t>
      </w:r>
    </w:p>
    <w:p w14:paraId="7E96A260">
      <w:pPr>
        <w:pStyle w:val="98"/>
        <w:spacing w:before="24" w:after="24"/>
        <w:ind w:firstLine="420" w:firstLineChars="200"/>
        <w:rPr>
          <w:color w:val="auto"/>
        </w:rPr>
      </w:pPr>
      <w:r>
        <w:rPr>
          <w:rFonts w:hint="eastAsia"/>
          <w:bCs/>
          <w:color w:val="auto"/>
        </w:rPr>
        <w:t>f）</w:t>
      </w:r>
      <w:r>
        <w:rPr>
          <w:color w:val="auto"/>
        </w:rPr>
        <w:t>设计或有关文件中明确的其他监测情形，按其要求构建监测系统。</w:t>
      </w:r>
    </w:p>
    <w:p w14:paraId="0A9B4D81">
      <w:pPr>
        <w:pStyle w:val="98"/>
        <w:spacing w:beforeLines="0" w:afterLines="0"/>
        <w:rPr>
          <w:rFonts w:ascii="宋体" w:hAnsi="宋体"/>
          <w:bCs/>
          <w:color w:val="auto"/>
        </w:rPr>
      </w:pPr>
      <w:r>
        <w:rPr>
          <w:rFonts w:hint="eastAsia" w:ascii="宋体" w:hAnsi="宋体"/>
          <w:bCs/>
          <w:color w:val="auto"/>
        </w:rPr>
        <w:t>6.7.1.4运营</w:t>
      </w:r>
      <w:r>
        <w:rPr>
          <w:rFonts w:ascii="宋体" w:hAnsi="宋体"/>
          <w:bCs/>
          <w:color w:val="auto"/>
        </w:rPr>
        <w:t>期城市</w:t>
      </w:r>
      <w:r>
        <w:rPr>
          <w:rFonts w:hint="eastAsia" w:ascii="宋体" w:hAnsi="宋体"/>
          <w:bCs/>
          <w:color w:val="auto"/>
        </w:rPr>
        <w:t>隧道</w:t>
      </w:r>
      <w:r>
        <w:rPr>
          <w:rFonts w:hint="eastAsia" w:ascii="宋体" w:hAnsi="宋体"/>
          <w:bCs/>
          <w:color w:val="auto"/>
          <w:lang w:val="en-US" w:eastAsia="zh-CN"/>
        </w:rPr>
        <w:t>监测</w:t>
      </w:r>
      <w:r>
        <w:rPr>
          <w:rFonts w:hint="eastAsia" w:ascii="宋体" w:hAnsi="宋体"/>
          <w:bCs/>
          <w:color w:val="auto"/>
          <w:highlight w:val="none"/>
          <w:lang w:val="en-US" w:eastAsia="zh-CN"/>
        </w:rPr>
        <w:t>对象及系统可按以下要求确定</w:t>
      </w:r>
      <w:r>
        <w:rPr>
          <w:rFonts w:ascii="宋体" w:hAnsi="宋体"/>
          <w:bCs/>
          <w:color w:val="auto"/>
        </w:rPr>
        <w:t>：</w:t>
      </w:r>
    </w:p>
    <w:p w14:paraId="514F96C9">
      <w:pPr>
        <w:pStyle w:val="98"/>
        <w:spacing w:before="24" w:after="24"/>
        <w:ind w:firstLine="420" w:firstLineChars="200"/>
        <w:rPr>
          <w:color w:val="auto"/>
        </w:rPr>
      </w:pPr>
      <w:r>
        <w:rPr>
          <w:rFonts w:hint="eastAsia"/>
          <w:color w:val="auto"/>
        </w:rPr>
        <w:t>a）风险评估等级为Ⅰ级、Ⅱ级的隧道，应构建</w:t>
      </w:r>
      <w:r>
        <w:rPr>
          <w:color w:val="auto"/>
        </w:rPr>
        <w:t>综合集成监测系统</w:t>
      </w:r>
      <w:r>
        <w:rPr>
          <w:rFonts w:hint="eastAsia"/>
          <w:color w:val="auto"/>
        </w:rPr>
        <w:t>；</w:t>
      </w:r>
    </w:p>
    <w:p w14:paraId="23618E44">
      <w:pPr>
        <w:pStyle w:val="98"/>
        <w:spacing w:before="24" w:after="24"/>
        <w:ind w:firstLine="420" w:firstLineChars="200"/>
        <w:rPr>
          <w:color w:val="auto"/>
        </w:rPr>
      </w:pPr>
      <w:r>
        <w:rPr>
          <w:rFonts w:hint="eastAsia"/>
          <w:color w:val="auto"/>
        </w:rPr>
        <w:t>b）隧道总体技术状况评定等级为D级</w:t>
      </w:r>
      <w:r>
        <w:rPr>
          <w:color w:val="auto"/>
        </w:rPr>
        <w:t>、</w:t>
      </w:r>
      <w:r>
        <w:rPr>
          <w:rFonts w:hint="eastAsia"/>
          <w:color w:val="auto"/>
        </w:rPr>
        <w:t>E级，</w:t>
      </w:r>
      <w:r>
        <w:rPr>
          <w:color w:val="auto"/>
        </w:rPr>
        <w:t>经维修处理后继续运营的隧道，</w:t>
      </w:r>
      <w:r>
        <w:rPr>
          <w:rFonts w:hint="eastAsia"/>
          <w:color w:val="auto"/>
        </w:rPr>
        <w:t>应构建</w:t>
      </w:r>
      <w:r>
        <w:rPr>
          <w:color w:val="auto"/>
        </w:rPr>
        <w:t>综合集成监测系统</w:t>
      </w:r>
      <w:r>
        <w:rPr>
          <w:rFonts w:hint="eastAsia"/>
          <w:color w:val="auto"/>
        </w:rPr>
        <w:t>；</w:t>
      </w:r>
    </w:p>
    <w:p w14:paraId="46633155">
      <w:pPr>
        <w:pStyle w:val="98"/>
        <w:spacing w:before="24" w:after="24"/>
        <w:ind w:firstLine="420" w:firstLineChars="200"/>
        <w:rPr>
          <w:color w:val="auto"/>
        </w:rPr>
      </w:pPr>
      <w:r>
        <w:rPr>
          <w:rFonts w:hint="eastAsia"/>
          <w:color w:val="auto"/>
        </w:rPr>
        <w:t>c）隧道总体技术状况评定等级</w:t>
      </w:r>
      <w:r>
        <w:rPr>
          <w:color w:val="auto"/>
        </w:rPr>
        <w:t>为</w:t>
      </w:r>
      <w:r>
        <w:rPr>
          <w:rFonts w:hint="eastAsia"/>
          <w:color w:val="auto"/>
        </w:rPr>
        <w:t>C级</w:t>
      </w:r>
      <w:r>
        <w:rPr>
          <w:color w:val="auto"/>
        </w:rPr>
        <w:t>的隧道，</w:t>
      </w:r>
      <w:r>
        <w:rPr>
          <w:rFonts w:hint="eastAsia"/>
          <w:color w:val="auto"/>
        </w:rPr>
        <w:t>宜构建</w:t>
      </w:r>
      <w:r>
        <w:rPr>
          <w:bCs/>
          <w:color w:val="auto"/>
        </w:rPr>
        <w:t>特定目标监测系统；</w:t>
      </w:r>
    </w:p>
    <w:p w14:paraId="5D7D9B5E">
      <w:pPr>
        <w:pStyle w:val="98"/>
        <w:spacing w:before="24" w:after="24"/>
        <w:ind w:firstLine="420" w:firstLineChars="200"/>
        <w:rPr>
          <w:color w:val="auto"/>
        </w:rPr>
      </w:pPr>
      <w:r>
        <w:rPr>
          <w:rFonts w:hint="eastAsia"/>
          <w:color w:val="auto"/>
        </w:rPr>
        <w:t>d）</w:t>
      </w:r>
      <w:r>
        <w:rPr>
          <w:color w:val="auto"/>
        </w:rPr>
        <w:t>长度大于1000m</w:t>
      </w:r>
      <w:r>
        <w:rPr>
          <w:rFonts w:hint="eastAsia"/>
          <w:color w:val="auto"/>
        </w:rPr>
        <w:t>或单孔跨度</w:t>
      </w:r>
      <w:r>
        <w:rPr>
          <w:color w:val="auto"/>
        </w:rPr>
        <w:t>大于18m</w:t>
      </w:r>
      <w:r>
        <w:rPr>
          <w:rFonts w:hint="eastAsia"/>
          <w:color w:val="auto"/>
        </w:rPr>
        <w:t>的隧道，应构建</w:t>
      </w:r>
      <w:r>
        <w:rPr>
          <w:color w:val="auto"/>
        </w:rPr>
        <w:t>综合集成监测系统</w:t>
      </w:r>
      <w:r>
        <w:rPr>
          <w:rFonts w:hint="eastAsia"/>
          <w:color w:val="auto"/>
        </w:rPr>
        <w:t>；</w:t>
      </w:r>
    </w:p>
    <w:p w14:paraId="546899F5">
      <w:pPr>
        <w:pStyle w:val="98"/>
        <w:spacing w:before="24" w:after="24"/>
        <w:ind w:firstLine="420" w:firstLineChars="200"/>
        <w:rPr>
          <w:color w:val="auto"/>
        </w:rPr>
      </w:pPr>
      <w:r>
        <w:rPr>
          <w:rFonts w:hint="eastAsia"/>
          <w:color w:val="auto"/>
        </w:rPr>
        <w:t>e）</w:t>
      </w:r>
      <w:r>
        <w:rPr>
          <w:rFonts w:hint="eastAsia"/>
          <w:bCs/>
          <w:color w:val="auto"/>
        </w:rPr>
        <w:t>属于</w:t>
      </w:r>
      <w:r>
        <w:rPr>
          <w:rFonts w:hint="eastAsia"/>
          <w:color w:val="auto"/>
        </w:rPr>
        <w:t>Ⅰ</w:t>
      </w:r>
      <w:r>
        <w:rPr>
          <w:bCs/>
          <w:color w:val="auto"/>
        </w:rPr>
        <w:t>等养护的隧道，</w:t>
      </w:r>
      <w:r>
        <w:rPr>
          <w:rFonts w:hint="eastAsia"/>
          <w:bCs/>
          <w:color w:val="auto"/>
        </w:rPr>
        <w:t>包括Ⅰ类养护的城市隧道和位于城市快速路、主干路、繁华地区及游览地区Ⅱ、Ⅲ类养护的城市隧道，</w:t>
      </w:r>
      <w:r>
        <w:rPr>
          <w:rFonts w:hint="eastAsia"/>
          <w:color w:val="auto"/>
        </w:rPr>
        <w:t>应构建</w:t>
      </w:r>
      <w:r>
        <w:rPr>
          <w:bCs/>
          <w:color w:val="auto"/>
        </w:rPr>
        <w:t>综合集成监测系统</w:t>
      </w:r>
      <w:r>
        <w:rPr>
          <w:rFonts w:hint="eastAsia"/>
          <w:color w:val="auto"/>
        </w:rPr>
        <w:t>；</w:t>
      </w:r>
    </w:p>
    <w:p w14:paraId="2F81289E">
      <w:pPr>
        <w:pStyle w:val="98"/>
        <w:spacing w:before="24" w:after="24"/>
        <w:ind w:firstLine="420" w:firstLineChars="200"/>
        <w:rPr>
          <w:color w:val="auto"/>
        </w:rPr>
      </w:pPr>
      <w:r>
        <w:rPr>
          <w:rFonts w:hint="eastAsia"/>
          <w:color w:val="auto"/>
        </w:rPr>
        <w:t>f）</w:t>
      </w:r>
      <w:r>
        <w:rPr>
          <w:rFonts w:hint="eastAsia"/>
          <w:bCs/>
          <w:color w:val="auto"/>
        </w:rPr>
        <w:t>属于Ⅱ</w:t>
      </w:r>
      <w:r>
        <w:rPr>
          <w:bCs/>
          <w:color w:val="auto"/>
        </w:rPr>
        <w:t>等养护的隧道，</w:t>
      </w:r>
      <w:r>
        <w:rPr>
          <w:rFonts w:hint="eastAsia"/>
          <w:bCs/>
          <w:color w:val="auto"/>
        </w:rPr>
        <w:t>指除</w:t>
      </w:r>
      <w:r>
        <w:rPr>
          <w:rFonts w:hint="eastAsia"/>
          <w:color w:val="auto"/>
        </w:rPr>
        <w:t>Ⅰ</w:t>
      </w:r>
      <w:r>
        <w:rPr>
          <w:bCs/>
          <w:color w:val="auto"/>
        </w:rPr>
        <w:t>等养护</w:t>
      </w:r>
      <w:r>
        <w:rPr>
          <w:rFonts w:hint="eastAsia"/>
          <w:bCs/>
          <w:color w:val="auto"/>
        </w:rPr>
        <w:t>以外</w:t>
      </w:r>
      <w:r>
        <w:rPr>
          <w:bCs/>
          <w:color w:val="auto"/>
        </w:rPr>
        <w:t>的</w:t>
      </w:r>
      <w:r>
        <w:rPr>
          <w:rFonts w:hint="eastAsia"/>
          <w:bCs/>
          <w:color w:val="auto"/>
        </w:rPr>
        <w:t>其他城市</w:t>
      </w:r>
      <w:r>
        <w:rPr>
          <w:bCs/>
          <w:color w:val="auto"/>
        </w:rPr>
        <w:t>隧道，</w:t>
      </w:r>
      <w:r>
        <w:rPr>
          <w:rFonts w:hint="eastAsia"/>
          <w:color w:val="auto"/>
        </w:rPr>
        <w:t>宜构建</w:t>
      </w:r>
      <w:r>
        <w:rPr>
          <w:bCs/>
          <w:color w:val="auto"/>
        </w:rPr>
        <w:t>特定目标监测系统；</w:t>
      </w:r>
    </w:p>
    <w:p w14:paraId="0F6B3751">
      <w:pPr>
        <w:pStyle w:val="98"/>
        <w:spacing w:before="24" w:after="24"/>
        <w:ind w:firstLine="420" w:firstLineChars="200"/>
        <w:rPr>
          <w:color w:val="auto"/>
        </w:rPr>
      </w:pPr>
      <w:r>
        <w:rPr>
          <w:rFonts w:hint="eastAsia"/>
          <w:color w:val="auto"/>
        </w:rPr>
        <w:t>g）</w:t>
      </w:r>
      <w:r>
        <w:rPr>
          <w:color w:val="auto"/>
        </w:rPr>
        <w:t>位于城市交通要道、交通</w:t>
      </w:r>
      <w:r>
        <w:rPr>
          <w:rFonts w:hint="eastAsia"/>
          <w:color w:val="auto"/>
        </w:rPr>
        <w:t>流量大</w:t>
      </w:r>
      <w:r>
        <w:rPr>
          <w:color w:val="auto"/>
        </w:rPr>
        <w:t>、经常通行危化品车辆、重载车辆的隧道，</w:t>
      </w:r>
      <w:r>
        <w:rPr>
          <w:rFonts w:hint="eastAsia"/>
          <w:color w:val="auto"/>
        </w:rPr>
        <w:t>应构建</w:t>
      </w:r>
      <w:r>
        <w:rPr>
          <w:color w:val="auto"/>
        </w:rPr>
        <w:t>特定目标监测系统；</w:t>
      </w:r>
    </w:p>
    <w:p w14:paraId="184D420A">
      <w:pPr>
        <w:pStyle w:val="98"/>
        <w:spacing w:before="24" w:after="24"/>
        <w:ind w:firstLine="420" w:firstLineChars="200"/>
        <w:rPr>
          <w:color w:val="auto"/>
        </w:rPr>
      </w:pPr>
      <w:r>
        <w:rPr>
          <w:rFonts w:hint="eastAsia"/>
          <w:color w:val="auto"/>
        </w:rPr>
        <w:t>h）服役</w:t>
      </w:r>
      <w:r>
        <w:rPr>
          <w:color w:val="auto"/>
        </w:rPr>
        <w:t>年限</w:t>
      </w:r>
      <w:r>
        <w:rPr>
          <w:rFonts w:hint="eastAsia"/>
          <w:color w:val="auto"/>
        </w:rPr>
        <w:t>超过</w:t>
      </w:r>
      <w:r>
        <w:rPr>
          <w:color w:val="auto"/>
        </w:rPr>
        <w:t>30年</w:t>
      </w:r>
      <w:r>
        <w:rPr>
          <w:rFonts w:hint="eastAsia"/>
          <w:color w:val="auto"/>
        </w:rPr>
        <w:t>且存在明显病害的隧道</w:t>
      </w:r>
      <w:r>
        <w:rPr>
          <w:color w:val="auto"/>
        </w:rPr>
        <w:t>，</w:t>
      </w:r>
      <w:r>
        <w:rPr>
          <w:rFonts w:hint="eastAsia"/>
          <w:color w:val="auto"/>
        </w:rPr>
        <w:t>应构建</w:t>
      </w:r>
      <w:r>
        <w:rPr>
          <w:color w:val="auto"/>
        </w:rPr>
        <w:t>特定目标监测系统；</w:t>
      </w:r>
    </w:p>
    <w:p w14:paraId="442A3AFE">
      <w:pPr>
        <w:pStyle w:val="98"/>
        <w:spacing w:before="24" w:after="24"/>
        <w:ind w:firstLine="420" w:firstLineChars="200"/>
        <w:rPr>
          <w:color w:val="auto"/>
        </w:rPr>
      </w:pPr>
      <w:r>
        <w:rPr>
          <w:rFonts w:hint="eastAsia"/>
          <w:color w:val="auto"/>
        </w:rPr>
        <w:t>i）</w:t>
      </w:r>
      <w:r>
        <w:rPr>
          <w:bCs/>
          <w:color w:val="auto"/>
        </w:rPr>
        <w:t>施工质量不佳或存疑的隧道</w:t>
      </w:r>
      <w:r>
        <w:rPr>
          <w:color w:val="auto"/>
        </w:rPr>
        <w:t>，</w:t>
      </w:r>
      <w:r>
        <w:rPr>
          <w:rFonts w:hint="eastAsia"/>
          <w:color w:val="auto"/>
        </w:rPr>
        <w:t>应构建</w:t>
      </w:r>
      <w:r>
        <w:rPr>
          <w:color w:val="auto"/>
        </w:rPr>
        <w:t>特定目标监测系统；</w:t>
      </w:r>
    </w:p>
    <w:p w14:paraId="157BCF7F">
      <w:pPr>
        <w:pStyle w:val="98"/>
        <w:spacing w:before="24" w:after="24"/>
        <w:ind w:firstLine="420" w:firstLineChars="200"/>
        <w:rPr>
          <w:color w:val="auto"/>
        </w:rPr>
      </w:pPr>
      <w:r>
        <w:rPr>
          <w:rFonts w:hint="eastAsia"/>
          <w:color w:val="auto"/>
        </w:rPr>
        <w:t>j）</w:t>
      </w:r>
      <w:r>
        <w:rPr>
          <w:color w:val="auto"/>
        </w:rPr>
        <w:t>毗邻地下综合管廊、铁路、地铁、燃气管道等有一定安全风险的隧道，</w:t>
      </w:r>
      <w:r>
        <w:rPr>
          <w:rFonts w:hint="eastAsia"/>
          <w:color w:val="auto"/>
        </w:rPr>
        <w:t>应构建</w:t>
      </w:r>
      <w:r>
        <w:rPr>
          <w:color w:val="auto"/>
        </w:rPr>
        <w:t>特定目标监测系统；</w:t>
      </w:r>
    </w:p>
    <w:p w14:paraId="7515322B">
      <w:pPr>
        <w:pStyle w:val="98"/>
        <w:spacing w:before="24" w:after="24"/>
        <w:ind w:firstLine="420" w:firstLineChars="200"/>
        <w:rPr>
          <w:color w:val="auto"/>
        </w:rPr>
      </w:pPr>
      <w:r>
        <w:rPr>
          <w:rFonts w:hint="eastAsia"/>
          <w:color w:val="auto"/>
        </w:rPr>
        <w:t>k）</w:t>
      </w:r>
      <w:r>
        <w:rPr>
          <w:color w:val="auto"/>
        </w:rPr>
        <w:t>历史上出现过事故的隧道，</w:t>
      </w:r>
      <w:r>
        <w:rPr>
          <w:rFonts w:hint="eastAsia"/>
          <w:color w:val="auto"/>
        </w:rPr>
        <w:t>应构建</w:t>
      </w:r>
      <w:r>
        <w:rPr>
          <w:color w:val="auto"/>
        </w:rPr>
        <w:t>特定目标监测系统；</w:t>
      </w:r>
    </w:p>
    <w:p w14:paraId="63CBF4F2">
      <w:pPr>
        <w:pStyle w:val="98"/>
        <w:spacing w:before="24" w:after="24"/>
        <w:ind w:firstLine="420" w:firstLineChars="200"/>
        <w:rPr>
          <w:color w:val="auto"/>
        </w:rPr>
      </w:pPr>
      <w:r>
        <w:rPr>
          <w:rFonts w:hint="eastAsia"/>
          <w:color w:val="auto"/>
        </w:rPr>
        <w:t>l）</w:t>
      </w:r>
      <w:r>
        <w:rPr>
          <w:color w:val="auto"/>
        </w:rPr>
        <w:t>有特殊社会文化价值或有特定科研需求的</w:t>
      </w:r>
      <w:r>
        <w:rPr>
          <w:rFonts w:hint="eastAsia"/>
          <w:color w:val="auto"/>
        </w:rPr>
        <w:t>隧道，宜构建</w:t>
      </w:r>
      <w:r>
        <w:rPr>
          <w:bCs/>
          <w:color w:val="auto"/>
        </w:rPr>
        <w:t>特定目标监测系统；</w:t>
      </w:r>
    </w:p>
    <w:p w14:paraId="2B38D19A">
      <w:pPr>
        <w:pStyle w:val="98"/>
        <w:spacing w:before="24" w:after="24"/>
        <w:ind w:firstLine="420" w:firstLineChars="200"/>
        <w:rPr>
          <w:color w:val="auto"/>
        </w:rPr>
      </w:pPr>
      <w:r>
        <w:rPr>
          <w:rFonts w:hint="eastAsia"/>
          <w:color w:val="auto"/>
        </w:rPr>
        <w:t>m）</w:t>
      </w:r>
      <w:r>
        <w:rPr>
          <w:color w:val="auto"/>
        </w:rPr>
        <w:t>在城市</w:t>
      </w:r>
      <w:r>
        <w:rPr>
          <w:rFonts w:hint="eastAsia"/>
          <w:color w:val="auto"/>
        </w:rPr>
        <w:t>隧道</w:t>
      </w:r>
      <w:r>
        <w:rPr>
          <w:color w:val="auto"/>
        </w:rPr>
        <w:t>安全保护区域内从事限制性施工作业时，</w:t>
      </w:r>
      <w:r>
        <w:rPr>
          <w:rFonts w:hint="eastAsia"/>
          <w:color w:val="auto"/>
        </w:rPr>
        <w:t>应构建</w:t>
      </w:r>
      <w:r>
        <w:rPr>
          <w:bCs/>
          <w:color w:val="auto"/>
        </w:rPr>
        <w:t>应急监测系统；</w:t>
      </w:r>
    </w:p>
    <w:p w14:paraId="39743AA1">
      <w:pPr>
        <w:pStyle w:val="98"/>
        <w:spacing w:before="24" w:after="24"/>
        <w:ind w:firstLine="420" w:firstLineChars="200"/>
        <w:rPr>
          <w:bCs/>
          <w:color w:val="auto"/>
        </w:rPr>
      </w:pPr>
      <w:r>
        <w:rPr>
          <w:rFonts w:hint="eastAsia"/>
          <w:color w:val="auto"/>
        </w:rPr>
        <w:t>n）</w:t>
      </w:r>
      <w:r>
        <w:rPr>
          <w:color w:val="auto"/>
        </w:rPr>
        <w:t>需要对结构随时间因素变化进行研究的</w:t>
      </w:r>
      <w:r>
        <w:rPr>
          <w:rFonts w:hint="eastAsia"/>
          <w:color w:val="auto"/>
        </w:rPr>
        <w:t>隧道</w:t>
      </w:r>
      <w:r>
        <w:rPr>
          <w:color w:val="auto"/>
        </w:rPr>
        <w:t>，</w:t>
      </w:r>
      <w:r>
        <w:rPr>
          <w:rFonts w:hint="eastAsia"/>
          <w:color w:val="auto"/>
        </w:rPr>
        <w:t>宜构建</w:t>
      </w:r>
      <w:r>
        <w:rPr>
          <w:bCs/>
          <w:color w:val="auto"/>
        </w:rPr>
        <w:t>特定目标监测系统；</w:t>
      </w:r>
    </w:p>
    <w:p w14:paraId="448715BD">
      <w:pPr>
        <w:pStyle w:val="98"/>
        <w:spacing w:before="24" w:after="24"/>
        <w:ind w:firstLine="420" w:firstLineChars="200"/>
        <w:rPr>
          <w:color w:val="auto"/>
        </w:rPr>
      </w:pPr>
      <w:r>
        <w:rPr>
          <w:rFonts w:hint="eastAsia"/>
          <w:color w:val="auto"/>
        </w:rPr>
        <w:t>o）</w:t>
      </w:r>
      <w:r>
        <w:rPr>
          <w:color w:val="auto"/>
        </w:rPr>
        <w:t>其他经</w:t>
      </w:r>
      <w:r>
        <w:rPr>
          <w:rFonts w:hint="eastAsia"/>
          <w:color w:val="auto"/>
        </w:rPr>
        <w:t>隧道</w:t>
      </w:r>
      <w:r>
        <w:rPr>
          <w:color w:val="auto"/>
        </w:rPr>
        <w:t>安全风险分析或专家论证需要进行监测的</w:t>
      </w:r>
      <w:r>
        <w:rPr>
          <w:rFonts w:hint="eastAsia"/>
          <w:color w:val="auto"/>
        </w:rPr>
        <w:t>隧道</w:t>
      </w:r>
      <w:r>
        <w:rPr>
          <w:color w:val="auto"/>
        </w:rPr>
        <w:t>，按其结果构建监测系统。</w:t>
      </w:r>
    </w:p>
    <w:p w14:paraId="70B55F10">
      <w:pPr>
        <w:pStyle w:val="98"/>
        <w:spacing w:beforeLines="0" w:afterLines="0"/>
        <w:rPr>
          <w:rFonts w:hint="eastAsia" w:ascii="宋体" w:hAnsi="宋体"/>
          <w:bCs/>
          <w:color w:val="auto"/>
        </w:rPr>
      </w:pPr>
      <w:r>
        <w:rPr>
          <w:rFonts w:hint="eastAsia" w:ascii="宋体" w:hAnsi="宋体"/>
          <w:bCs/>
          <w:color w:val="auto"/>
          <w:lang w:val="en-US" w:eastAsia="zh-CN"/>
        </w:rPr>
        <w:t>6.7.1.5</w:t>
      </w:r>
      <w:r>
        <w:rPr>
          <w:rFonts w:hint="eastAsia" w:ascii="宋体" w:hAnsi="宋体"/>
          <w:bCs/>
          <w:color w:val="auto"/>
        </w:rPr>
        <w:t>新建</w:t>
      </w:r>
      <w:r>
        <w:rPr>
          <w:rFonts w:hint="eastAsia" w:ascii="宋体" w:hAnsi="宋体"/>
          <w:bCs/>
          <w:color w:val="auto"/>
          <w:lang w:val="en-US" w:eastAsia="zh-CN"/>
        </w:rPr>
        <w:t>隧道</w:t>
      </w:r>
      <w:r>
        <w:rPr>
          <w:rFonts w:hint="eastAsia" w:ascii="宋体" w:hAnsi="宋体"/>
          <w:bCs/>
          <w:color w:val="auto"/>
        </w:rPr>
        <w:t>监测系统应与</w:t>
      </w:r>
      <w:r>
        <w:rPr>
          <w:rFonts w:hint="eastAsia" w:ascii="宋体" w:hAnsi="宋体"/>
          <w:bCs/>
          <w:color w:val="auto"/>
          <w:lang w:val="en-US" w:eastAsia="zh-CN"/>
        </w:rPr>
        <w:t>隧道</w:t>
      </w:r>
      <w:r>
        <w:rPr>
          <w:rFonts w:hint="eastAsia" w:ascii="宋体" w:hAnsi="宋体"/>
          <w:bCs/>
          <w:color w:val="auto"/>
        </w:rPr>
        <w:t>土建、机电工程同步设计、</w:t>
      </w:r>
      <w:r>
        <w:rPr>
          <w:rFonts w:hint="eastAsia" w:ascii="宋体" w:hAnsi="宋体"/>
          <w:bCs/>
          <w:color w:val="auto"/>
          <w:lang w:val="en-US" w:eastAsia="zh-CN"/>
        </w:rPr>
        <w:t>施工</w:t>
      </w:r>
      <w:r>
        <w:rPr>
          <w:rFonts w:hint="eastAsia" w:ascii="宋体" w:hAnsi="宋体"/>
          <w:bCs/>
          <w:color w:val="auto"/>
        </w:rPr>
        <w:t>、验收</w:t>
      </w:r>
      <w:r>
        <w:rPr>
          <w:rFonts w:hint="eastAsia" w:ascii="宋体" w:hAnsi="宋体"/>
          <w:bCs/>
          <w:color w:val="auto"/>
          <w:lang w:eastAsia="zh-CN"/>
        </w:rPr>
        <w:t>、</w:t>
      </w:r>
      <w:r>
        <w:rPr>
          <w:rFonts w:hint="eastAsia" w:ascii="宋体" w:hAnsi="宋体"/>
          <w:bCs/>
          <w:color w:val="auto"/>
          <w:lang w:val="en-US" w:eastAsia="zh-CN"/>
        </w:rPr>
        <w:t>投入使用</w:t>
      </w:r>
      <w:r>
        <w:rPr>
          <w:rFonts w:hint="eastAsia" w:ascii="宋体" w:hAnsi="宋体"/>
          <w:bCs/>
          <w:color w:val="auto"/>
        </w:rPr>
        <w:t>，既有</w:t>
      </w:r>
      <w:r>
        <w:rPr>
          <w:rFonts w:hint="eastAsia" w:ascii="宋体" w:hAnsi="宋体"/>
          <w:bCs/>
          <w:color w:val="auto"/>
          <w:lang w:val="en-US" w:eastAsia="zh-CN"/>
        </w:rPr>
        <w:t>隧道</w:t>
      </w:r>
      <w:r>
        <w:rPr>
          <w:rFonts w:hint="eastAsia" w:ascii="宋体" w:hAnsi="宋体"/>
          <w:bCs/>
          <w:color w:val="auto"/>
        </w:rPr>
        <w:t>监测系统应结合养护管理需求独立设计、</w:t>
      </w:r>
      <w:r>
        <w:rPr>
          <w:rFonts w:hint="eastAsia" w:ascii="宋体" w:hAnsi="宋体"/>
          <w:bCs/>
          <w:color w:val="auto"/>
          <w:lang w:val="en-US" w:eastAsia="zh-CN"/>
        </w:rPr>
        <w:t>施工</w:t>
      </w:r>
      <w:r>
        <w:rPr>
          <w:rFonts w:hint="eastAsia" w:ascii="宋体" w:hAnsi="宋体"/>
          <w:bCs/>
          <w:color w:val="auto"/>
        </w:rPr>
        <w:t>、验收</w:t>
      </w:r>
      <w:r>
        <w:rPr>
          <w:rFonts w:hint="eastAsia" w:ascii="宋体" w:hAnsi="宋体"/>
          <w:bCs/>
          <w:color w:val="auto"/>
          <w:lang w:eastAsia="zh-CN"/>
        </w:rPr>
        <w:t>、</w:t>
      </w:r>
      <w:r>
        <w:rPr>
          <w:rFonts w:hint="eastAsia" w:ascii="宋体" w:hAnsi="宋体"/>
          <w:bCs/>
          <w:color w:val="auto"/>
          <w:lang w:val="en-US" w:eastAsia="zh-CN"/>
        </w:rPr>
        <w:t>投入使用</w:t>
      </w:r>
      <w:r>
        <w:rPr>
          <w:rFonts w:hint="eastAsia" w:ascii="宋体" w:hAnsi="宋体"/>
          <w:bCs/>
          <w:color w:val="auto"/>
        </w:rPr>
        <w:t>。</w:t>
      </w:r>
    </w:p>
    <w:p w14:paraId="699FF6A5">
      <w:pPr>
        <w:pStyle w:val="98"/>
        <w:spacing w:beforeLines="0" w:afterLines="0"/>
        <w:rPr>
          <w:rFonts w:hint="eastAsia" w:ascii="宋体" w:hAnsi="宋体"/>
          <w:bCs/>
          <w:color w:val="auto"/>
          <w:lang w:val="en-US" w:eastAsia="zh-CN"/>
        </w:rPr>
      </w:pPr>
      <w:r>
        <w:rPr>
          <w:rFonts w:hint="eastAsia" w:ascii="宋体" w:hAnsi="宋体"/>
          <w:bCs/>
          <w:color w:val="auto"/>
        </w:rPr>
        <w:t>6.7.</w:t>
      </w:r>
      <w:r>
        <w:rPr>
          <w:rFonts w:hint="eastAsia" w:ascii="宋体" w:hAnsi="宋体"/>
          <w:bCs/>
          <w:color w:val="auto"/>
          <w:lang w:val="en-US" w:eastAsia="zh-CN"/>
        </w:rPr>
        <w:t>1</w:t>
      </w:r>
      <w:r>
        <w:rPr>
          <w:rFonts w:hint="eastAsia" w:ascii="宋体" w:hAnsi="宋体"/>
          <w:bCs/>
          <w:color w:val="auto"/>
        </w:rPr>
        <w:t>.</w:t>
      </w:r>
      <w:r>
        <w:rPr>
          <w:rFonts w:hint="eastAsia" w:ascii="宋体" w:hAnsi="宋体"/>
          <w:bCs/>
          <w:color w:val="auto"/>
          <w:lang w:val="en-US" w:eastAsia="zh-CN"/>
        </w:rPr>
        <w:t>6城市隧道监测指标分为荷载与环境、结构整体响应和结构局部响应。</w:t>
      </w:r>
    </w:p>
    <w:p w14:paraId="31797158">
      <w:pPr>
        <w:pStyle w:val="98"/>
        <w:spacing w:beforeLines="0" w:afterLines="0"/>
        <w:rPr>
          <w:rFonts w:hint="eastAsia" w:ascii="宋体" w:hAnsi="宋体"/>
          <w:bCs/>
          <w:color w:val="auto"/>
          <w:lang w:val="en-US" w:eastAsia="zh-CN"/>
        </w:rPr>
      </w:pPr>
      <w:r>
        <w:rPr>
          <w:rFonts w:hint="eastAsia" w:ascii="宋体" w:hAnsi="宋体"/>
          <w:bCs/>
          <w:color w:val="auto"/>
          <w:lang w:val="en-US" w:eastAsia="zh-CN"/>
        </w:rPr>
        <w:t>6.7.1.7监测指标应基于隧道的运行环境、构造特点、结构受力、技术状况以及养护管理的数据分析和风险评估等进行确定，并分为必选监测项、宜选监测项和可选监测项。</w:t>
      </w:r>
    </w:p>
    <w:p w14:paraId="40A3FFF5">
      <w:pPr>
        <w:pStyle w:val="98"/>
        <w:spacing w:beforeLines="0" w:afterLines="0"/>
        <w:rPr>
          <w:rFonts w:ascii="宋体" w:hAnsi="宋体"/>
          <w:bCs/>
          <w:color w:val="auto"/>
        </w:rPr>
      </w:pPr>
      <w:r>
        <w:rPr>
          <w:rFonts w:hint="eastAsia" w:ascii="宋体" w:hAnsi="宋体"/>
          <w:bCs/>
          <w:color w:val="auto"/>
        </w:rPr>
        <w:t>6.7.</w:t>
      </w:r>
      <w:r>
        <w:rPr>
          <w:rFonts w:hint="eastAsia" w:ascii="宋体" w:hAnsi="宋体"/>
          <w:bCs/>
          <w:color w:val="auto"/>
          <w:lang w:val="en-US" w:eastAsia="zh-CN"/>
        </w:rPr>
        <w:t>2</w:t>
      </w:r>
      <w:r>
        <w:rPr>
          <w:rFonts w:hint="eastAsia" w:ascii="宋体" w:hAnsi="宋体"/>
          <w:bCs/>
          <w:color w:val="auto"/>
        </w:rPr>
        <w:t xml:space="preserve"> </w:t>
      </w:r>
      <w:r>
        <w:rPr>
          <w:rFonts w:hint="eastAsia" w:ascii="宋体" w:hAnsi="宋体"/>
          <w:bCs/>
          <w:color w:val="auto"/>
          <w:lang w:val="en-US" w:eastAsia="zh-CN"/>
        </w:rPr>
        <w:t>隧道</w:t>
      </w:r>
      <w:r>
        <w:rPr>
          <w:rFonts w:hint="eastAsia" w:ascii="宋体" w:hAnsi="宋体"/>
          <w:bCs/>
          <w:color w:val="auto"/>
        </w:rPr>
        <w:t>监测布点要求</w:t>
      </w:r>
    </w:p>
    <w:p w14:paraId="094434B4">
      <w:pPr>
        <w:pStyle w:val="98"/>
        <w:spacing w:beforeLines="0" w:afterLines="0"/>
        <w:rPr>
          <w:rFonts w:hint="eastAsia" w:ascii="宋体" w:hAnsi="宋体"/>
          <w:bCs/>
          <w:color w:val="auto"/>
          <w:lang w:val="en-US" w:eastAsia="zh-CN"/>
        </w:rPr>
      </w:pPr>
      <w:r>
        <w:rPr>
          <w:rFonts w:hint="eastAsia" w:ascii="宋体" w:hAnsi="宋体"/>
          <w:bCs/>
          <w:color w:val="auto"/>
          <w:lang w:val="en-US" w:eastAsia="zh-CN"/>
        </w:rPr>
        <w:t>6.7.2.1城市隧道监测布点宜按照每座隧道基本情况，遵循代表性、实用性、经济性选择原则，结合风险评估结果，进行监测点位布设，并应符合以下要求：</w:t>
      </w:r>
    </w:p>
    <w:p w14:paraId="2038073E">
      <w:pPr>
        <w:pStyle w:val="98"/>
        <w:spacing w:before="24" w:after="24"/>
        <w:ind w:firstLine="420" w:firstLineChars="200"/>
        <w:rPr>
          <w:rFonts w:hint="eastAsia"/>
          <w:color w:val="auto"/>
        </w:rPr>
      </w:pPr>
      <w:r>
        <w:rPr>
          <w:rFonts w:hint="eastAsia"/>
          <w:color w:val="auto"/>
          <w:lang w:val="en-US" w:eastAsia="zh-CN"/>
        </w:rPr>
        <w:t>a</w:t>
      </w:r>
      <w:r>
        <w:rPr>
          <w:rFonts w:hint="eastAsia"/>
          <w:color w:val="auto"/>
        </w:rPr>
        <w:t>）荷载与环境监测内容和测点选择应考虑荷载与地质、水文等自然环境作用的特点确定。</w:t>
      </w:r>
    </w:p>
    <w:p w14:paraId="5256254E">
      <w:pPr>
        <w:pStyle w:val="98"/>
        <w:spacing w:before="24" w:after="24"/>
        <w:ind w:firstLine="420" w:firstLineChars="200"/>
        <w:rPr>
          <w:rFonts w:hint="eastAsia"/>
          <w:color w:val="auto"/>
        </w:rPr>
      </w:pPr>
      <w:r>
        <w:rPr>
          <w:rFonts w:hint="eastAsia"/>
          <w:color w:val="auto"/>
          <w:lang w:val="en-US" w:eastAsia="zh-CN"/>
        </w:rPr>
        <w:t>b</w:t>
      </w:r>
      <w:r>
        <w:rPr>
          <w:rFonts w:hint="eastAsia"/>
          <w:color w:val="auto"/>
        </w:rPr>
        <w:t>）结构整体响应监测内容和测点选择应根据结构振动和变形的特点、模态参数识别及安全评估的要求确定。</w:t>
      </w:r>
    </w:p>
    <w:p w14:paraId="25DC6F1E">
      <w:pPr>
        <w:pStyle w:val="98"/>
        <w:spacing w:before="24" w:after="24"/>
        <w:ind w:firstLine="420" w:firstLineChars="200"/>
        <w:rPr>
          <w:rFonts w:hint="eastAsia"/>
          <w:color w:val="auto"/>
        </w:rPr>
      </w:pPr>
      <w:r>
        <w:rPr>
          <w:rFonts w:hint="eastAsia"/>
          <w:color w:val="auto"/>
          <w:lang w:val="en-US" w:eastAsia="zh-CN"/>
        </w:rPr>
        <w:t>c</w:t>
      </w:r>
      <w:r>
        <w:rPr>
          <w:rFonts w:hint="eastAsia"/>
          <w:color w:val="auto"/>
        </w:rPr>
        <w:t>）结构局部响应监测内容和测点选择应根据结构计算分析和易损性分析结果确定。</w:t>
      </w:r>
    </w:p>
    <w:p w14:paraId="28BF8B14">
      <w:pPr>
        <w:pStyle w:val="98"/>
        <w:spacing w:before="24" w:after="24"/>
        <w:ind w:firstLine="420" w:firstLineChars="200"/>
        <w:rPr>
          <w:rFonts w:hint="eastAsia"/>
          <w:color w:val="auto"/>
        </w:rPr>
      </w:pPr>
      <w:r>
        <w:rPr>
          <w:rFonts w:hint="eastAsia"/>
          <w:color w:val="auto"/>
          <w:lang w:val="en-US" w:eastAsia="zh-CN"/>
        </w:rPr>
        <w:t>d</w:t>
      </w:r>
      <w:r>
        <w:rPr>
          <w:rFonts w:hint="eastAsia"/>
          <w:color w:val="auto"/>
        </w:rPr>
        <w:t>）隧道积水监测宜在隧道进出口处、存在积水风险位置布设液位监测、</w:t>
      </w:r>
      <w:r>
        <w:rPr>
          <w:rFonts w:hint="eastAsia"/>
          <w:color w:val="auto"/>
          <w:lang w:eastAsia="zh-CN"/>
        </w:rPr>
        <w:t>视频监控</w:t>
      </w:r>
      <w:r>
        <w:rPr>
          <w:rFonts w:hint="eastAsia"/>
          <w:color w:val="auto"/>
        </w:rPr>
        <w:t>设备。</w:t>
      </w:r>
    </w:p>
    <w:p w14:paraId="6305F170">
      <w:pPr>
        <w:pStyle w:val="98"/>
        <w:spacing w:before="24" w:after="24"/>
        <w:ind w:firstLine="420" w:firstLineChars="200"/>
        <w:rPr>
          <w:rFonts w:hint="eastAsia"/>
          <w:color w:val="auto"/>
        </w:rPr>
      </w:pPr>
      <w:r>
        <w:rPr>
          <w:rFonts w:hint="eastAsia"/>
          <w:color w:val="auto"/>
          <w:lang w:val="en-US" w:eastAsia="zh-CN"/>
        </w:rPr>
        <w:t>e</w:t>
      </w:r>
      <w:r>
        <w:rPr>
          <w:rFonts w:hint="eastAsia"/>
          <w:color w:val="auto"/>
        </w:rPr>
        <w:t>）针对长、特长隧道宜进行车流量监测，在隧道内外部署车流</w:t>
      </w:r>
      <w:r>
        <w:rPr>
          <w:rFonts w:hint="eastAsia"/>
          <w:color w:val="auto"/>
          <w:lang w:eastAsia="zh-CN"/>
        </w:rPr>
        <w:t>监测设备</w:t>
      </w:r>
      <w:r>
        <w:rPr>
          <w:rFonts w:hint="eastAsia"/>
          <w:color w:val="auto"/>
        </w:rPr>
        <w:t>，对实时进出车辆进行车流统计、车速统计以及交通流特征参数分析，辅助管理部门了解隧道的实时运行状态。</w:t>
      </w:r>
    </w:p>
    <w:p w14:paraId="29427097">
      <w:pPr>
        <w:pStyle w:val="98"/>
        <w:spacing w:beforeLines="0" w:afterLines="0"/>
        <w:rPr>
          <w:rFonts w:ascii="宋体" w:hAnsi="宋体"/>
          <w:bCs/>
          <w:color w:val="auto"/>
        </w:rPr>
      </w:pPr>
      <w:r>
        <w:rPr>
          <w:rFonts w:hint="eastAsia" w:ascii="宋体" w:hAnsi="宋体"/>
          <w:bCs/>
          <w:color w:val="auto"/>
        </w:rPr>
        <w:t>6.7.</w:t>
      </w:r>
      <w:r>
        <w:rPr>
          <w:rFonts w:hint="eastAsia" w:ascii="宋体" w:hAnsi="宋体"/>
          <w:bCs/>
          <w:color w:val="auto"/>
          <w:lang w:val="en-US" w:eastAsia="zh-CN"/>
        </w:rPr>
        <w:t>2</w:t>
      </w:r>
      <w:r>
        <w:rPr>
          <w:rFonts w:hint="eastAsia" w:ascii="宋体" w:hAnsi="宋体"/>
          <w:bCs/>
          <w:color w:val="auto"/>
        </w:rPr>
        <w:t>.</w:t>
      </w:r>
      <w:r>
        <w:rPr>
          <w:rFonts w:hint="eastAsia" w:ascii="宋体" w:hAnsi="宋体"/>
          <w:bCs/>
          <w:color w:val="auto"/>
          <w:lang w:val="en-US" w:eastAsia="zh-CN"/>
        </w:rPr>
        <w:t>2</w:t>
      </w:r>
      <w:r>
        <w:rPr>
          <w:rFonts w:ascii="宋体" w:hAnsi="宋体"/>
          <w:bCs/>
          <w:color w:val="auto"/>
        </w:rPr>
        <w:t>城市</w:t>
      </w:r>
      <w:r>
        <w:rPr>
          <w:rFonts w:hint="eastAsia" w:ascii="宋体" w:hAnsi="宋体"/>
          <w:bCs/>
          <w:color w:val="auto"/>
          <w:lang w:val="en-US" w:eastAsia="zh-CN"/>
        </w:rPr>
        <w:t>隧道监测点布设应充</w:t>
      </w:r>
      <w:r>
        <w:rPr>
          <w:rFonts w:ascii="宋体" w:hAnsi="宋体"/>
          <w:bCs/>
          <w:color w:val="auto"/>
        </w:rPr>
        <w:t>分考虑地域气候、地质条件、</w:t>
      </w:r>
      <w:r>
        <w:rPr>
          <w:rFonts w:hint="eastAsia" w:ascii="宋体" w:hAnsi="宋体"/>
          <w:bCs/>
          <w:color w:val="auto"/>
        </w:rPr>
        <w:t>结构特点、病害特征、运营风险</w:t>
      </w:r>
      <w:r>
        <w:rPr>
          <w:rFonts w:ascii="宋体" w:hAnsi="宋体"/>
          <w:bCs/>
          <w:color w:val="auto"/>
        </w:rPr>
        <w:t>和技术状况等因素综合确定；监测方法应合理易行，符合对病害特征、结构受力和变形分析的要求，且不应影响结构正常受力和使用。</w:t>
      </w:r>
    </w:p>
    <w:p w14:paraId="45C0A07A">
      <w:pPr>
        <w:pStyle w:val="98"/>
        <w:spacing w:beforeLines="0" w:afterLines="0"/>
        <w:rPr>
          <w:rFonts w:ascii="宋体" w:hAnsi="宋体"/>
          <w:bCs/>
          <w:color w:val="auto"/>
        </w:rPr>
      </w:pPr>
      <w:r>
        <w:rPr>
          <w:rFonts w:hint="eastAsia" w:ascii="宋体" w:hAnsi="宋体"/>
          <w:bCs/>
          <w:color w:val="auto"/>
        </w:rPr>
        <w:t>6.7.</w:t>
      </w:r>
      <w:r>
        <w:rPr>
          <w:rFonts w:hint="eastAsia" w:ascii="宋体" w:hAnsi="宋体"/>
          <w:bCs/>
          <w:color w:val="auto"/>
          <w:lang w:val="en-US" w:eastAsia="zh-CN"/>
        </w:rPr>
        <w:t>2</w:t>
      </w:r>
      <w:r>
        <w:rPr>
          <w:rFonts w:hint="eastAsia" w:ascii="宋体" w:hAnsi="宋体"/>
          <w:bCs/>
          <w:color w:val="auto"/>
        </w:rPr>
        <w:t>.</w:t>
      </w:r>
      <w:r>
        <w:rPr>
          <w:rFonts w:hint="eastAsia" w:ascii="宋体" w:hAnsi="宋体"/>
          <w:bCs/>
          <w:color w:val="auto"/>
          <w:lang w:val="en-US" w:eastAsia="zh-CN"/>
        </w:rPr>
        <w:t>3</w:t>
      </w:r>
      <w:r>
        <w:rPr>
          <w:rFonts w:ascii="宋体" w:hAnsi="宋体"/>
          <w:bCs/>
          <w:color w:val="auto"/>
        </w:rPr>
        <w:t>城市隧道监测点布设应符合</w:t>
      </w:r>
      <w:r>
        <w:rPr>
          <w:rFonts w:hint="eastAsia" w:ascii="宋体" w:hAnsi="宋体"/>
          <w:bCs/>
          <w:color w:val="auto"/>
          <w:lang w:eastAsia="zh-CN"/>
        </w:rPr>
        <w:t>以下要求</w:t>
      </w:r>
      <w:r>
        <w:rPr>
          <w:rFonts w:ascii="宋体" w:hAnsi="宋体"/>
          <w:bCs/>
          <w:color w:val="auto"/>
        </w:rPr>
        <w:t>：</w:t>
      </w:r>
    </w:p>
    <w:p w14:paraId="7680B2DF">
      <w:pPr>
        <w:pStyle w:val="98"/>
        <w:spacing w:before="24" w:after="24"/>
        <w:ind w:firstLine="420" w:firstLineChars="200"/>
        <w:rPr>
          <w:color w:val="auto"/>
        </w:rPr>
      </w:pPr>
      <w:r>
        <w:rPr>
          <w:rFonts w:hint="eastAsia"/>
          <w:color w:val="auto"/>
        </w:rPr>
        <w:t>a）</w:t>
      </w:r>
      <w:r>
        <w:rPr>
          <w:color w:val="auto"/>
        </w:rPr>
        <w:t>应明确传感器的类型、数量，安装位置和</w:t>
      </w:r>
      <w:r>
        <w:rPr>
          <w:rFonts w:hint="eastAsia"/>
          <w:color w:val="auto"/>
        </w:rPr>
        <w:t>方向</w:t>
      </w:r>
      <w:r>
        <w:rPr>
          <w:rFonts w:hint="eastAsia"/>
          <w:color w:val="auto"/>
          <w:lang w:eastAsia="zh-CN"/>
        </w:rPr>
        <w:t>，</w:t>
      </w:r>
      <w:r>
        <w:rPr>
          <w:rFonts w:hint="eastAsia"/>
          <w:color w:val="auto"/>
        </w:rPr>
        <w:t>对关键</w:t>
      </w:r>
      <w:r>
        <w:rPr>
          <w:rFonts w:hint="eastAsia"/>
          <w:color w:val="auto"/>
          <w:lang w:val="en-US" w:eastAsia="zh-CN"/>
        </w:rPr>
        <w:t>部位</w:t>
      </w:r>
      <w:r>
        <w:rPr>
          <w:rFonts w:hint="eastAsia"/>
          <w:color w:val="auto"/>
        </w:rPr>
        <w:t>可布设校核设备；</w:t>
      </w:r>
    </w:p>
    <w:p w14:paraId="6D562737">
      <w:pPr>
        <w:pStyle w:val="98"/>
        <w:spacing w:before="24" w:after="24"/>
        <w:ind w:firstLine="420" w:firstLineChars="200"/>
        <w:rPr>
          <w:color w:val="auto"/>
        </w:rPr>
      </w:pPr>
      <w:r>
        <w:rPr>
          <w:rFonts w:hint="eastAsia"/>
          <w:color w:val="auto"/>
        </w:rPr>
        <w:t>b）</w:t>
      </w:r>
      <w:r>
        <w:rPr>
          <w:color w:val="auto"/>
        </w:rPr>
        <w:t>同一监测范围内不同监测项目的测点，宜布置在同一断面；</w:t>
      </w:r>
    </w:p>
    <w:p w14:paraId="2CBF0B2D">
      <w:pPr>
        <w:pStyle w:val="98"/>
        <w:spacing w:before="24" w:after="24"/>
        <w:ind w:firstLine="420" w:firstLineChars="200"/>
        <w:rPr>
          <w:color w:val="auto"/>
        </w:rPr>
      </w:pPr>
      <w:r>
        <w:rPr>
          <w:rFonts w:hint="eastAsia"/>
          <w:color w:val="auto"/>
        </w:rPr>
        <w:t>c）</w:t>
      </w:r>
      <w:r>
        <w:rPr>
          <w:color w:val="auto"/>
        </w:rPr>
        <w:t>同一监测断面，受力、变形测点宜对称布置；</w:t>
      </w:r>
    </w:p>
    <w:p w14:paraId="4A1146BC">
      <w:pPr>
        <w:pStyle w:val="98"/>
        <w:spacing w:before="24" w:after="24"/>
        <w:ind w:firstLine="420" w:firstLineChars="200"/>
        <w:rPr>
          <w:color w:val="auto"/>
        </w:rPr>
      </w:pPr>
      <w:r>
        <w:rPr>
          <w:rFonts w:hint="eastAsia"/>
          <w:color w:val="auto"/>
        </w:rPr>
        <w:t>d）</w:t>
      </w:r>
      <w:r>
        <w:rPr>
          <w:color w:val="auto"/>
        </w:rPr>
        <w:t>易损坏测点应加设保护装置；</w:t>
      </w:r>
    </w:p>
    <w:p w14:paraId="4E75889B">
      <w:pPr>
        <w:pStyle w:val="98"/>
        <w:spacing w:before="24" w:after="24"/>
        <w:ind w:firstLine="420" w:firstLineChars="200"/>
        <w:rPr>
          <w:color w:val="auto"/>
        </w:rPr>
      </w:pPr>
      <w:r>
        <w:rPr>
          <w:rFonts w:hint="eastAsia"/>
          <w:color w:val="auto"/>
        </w:rPr>
        <w:t>e）</w:t>
      </w:r>
      <w:r>
        <w:rPr>
          <w:color w:val="auto"/>
        </w:rPr>
        <w:t>测点应布设牢固、标识清楚；</w:t>
      </w:r>
    </w:p>
    <w:p w14:paraId="19E9A6C3">
      <w:pPr>
        <w:pStyle w:val="98"/>
        <w:spacing w:before="24" w:after="24"/>
        <w:ind w:firstLine="420" w:firstLineChars="200"/>
        <w:rPr>
          <w:color w:val="auto"/>
        </w:rPr>
      </w:pPr>
      <w:r>
        <w:rPr>
          <w:rFonts w:hint="eastAsia"/>
          <w:color w:val="auto"/>
        </w:rPr>
        <w:t>f）</w:t>
      </w:r>
      <w:r>
        <w:rPr>
          <w:color w:val="auto"/>
        </w:rPr>
        <w:t>布点位置宜便于维护；对于无法维护的测点，宜做冗余设计。</w:t>
      </w:r>
    </w:p>
    <w:p w14:paraId="3506FA3C">
      <w:pPr>
        <w:pStyle w:val="98"/>
        <w:spacing w:beforeLines="0" w:afterLines="0"/>
        <w:rPr>
          <w:rFonts w:ascii="宋体" w:hAnsi="宋体"/>
          <w:bCs/>
          <w:color w:val="auto"/>
        </w:rPr>
      </w:pPr>
      <w:r>
        <w:rPr>
          <w:rFonts w:hint="eastAsia" w:ascii="宋体" w:hAnsi="宋体"/>
          <w:bCs/>
          <w:color w:val="auto"/>
        </w:rPr>
        <w:t>6.7.</w:t>
      </w:r>
      <w:r>
        <w:rPr>
          <w:rFonts w:hint="eastAsia" w:ascii="宋体" w:hAnsi="宋体"/>
          <w:bCs/>
          <w:color w:val="auto"/>
          <w:lang w:val="en-US" w:eastAsia="zh-CN"/>
        </w:rPr>
        <w:t>2</w:t>
      </w:r>
      <w:r>
        <w:rPr>
          <w:rFonts w:hint="eastAsia" w:ascii="宋体" w:hAnsi="宋体"/>
          <w:bCs/>
          <w:color w:val="auto"/>
        </w:rPr>
        <w:t>.</w:t>
      </w:r>
      <w:r>
        <w:rPr>
          <w:rFonts w:hint="eastAsia" w:ascii="宋体" w:hAnsi="宋体"/>
          <w:bCs/>
          <w:color w:val="auto"/>
          <w:lang w:val="en-US" w:eastAsia="zh-CN"/>
        </w:rPr>
        <w:t>4</w:t>
      </w:r>
      <w:r>
        <w:rPr>
          <w:rFonts w:hint="eastAsia" w:ascii="宋体" w:hAnsi="宋体"/>
          <w:bCs/>
          <w:color w:val="auto"/>
        </w:rPr>
        <w:t>城市隧道监测点</w:t>
      </w:r>
      <w:r>
        <w:rPr>
          <w:rFonts w:hint="eastAsia" w:ascii="宋体" w:hAnsi="宋体"/>
          <w:bCs/>
          <w:color w:val="auto"/>
          <w:lang w:val="en-US" w:eastAsia="zh-CN"/>
        </w:rPr>
        <w:t>数量</w:t>
      </w:r>
      <w:r>
        <w:rPr>
          <w:rFonts w:hint="eastAsia" w:ascii="宋体" w:hAnsi="宋体"/>
          <w:bCs/>
          <w:color w:val="auto"/>
        </w:rPr>
        <w:t>宜按</w:t>
      </w:r>
      <w:r>
        <w:rPr>
          <w:rFonts w:hint="eastAsia" w:ascii="宋体" w:hAnsi="宋体"/>
          <w:bCs/>
          <w:color w:val="auto"/>
          <w:lang w:eastAsia="zh-CN"/>
        </w:rPr>
        <w:t>以下要求</w:t>
      </w:r>
      <w:r>
        <w:rPr>
          <w:rFonts w:hint="eastAsia" w:ascii="宋体" w:hAnsi="宋体"/>
          <w:bCs/>
          <w:color w:val="auto"/>
        </w:rPr>
        <w:t>确定：</w:t>
      </w:r>
    </w:p>
    <w:p w14:paraId="134E7B02">
      <w:pPr>
        <w:pStyle w:val="98"/>
        <w:spacing w:before="24" w:after="24"/>
        <w:ind w:firstLine="420" w:firstLineChars="200"/>
        <w:rPr>
          <w:color w:val="auto"/>
        </w:rPr>
      </w:pPr>
      <w:r>
        <w:rPr>
          <w:rFonts w:hint="eastAsia"/>
          <w:color w:val="auto"/>
        </w:rPr>
        <w:t>a）隧道洞口段</w:t>
      </w:r>
      <w:r>
        <w:rPr>
          <w:rFonts w:hint="eastAsia"/>
          <w:color w:val="auto"/>
          <w:lang w:eastAsia="zh-CN"/>
        </w:rPr>
        <w:t>视频监控</w:t>
      </w:r>
      <w:r>
        <w:rPr>
          <w:rFonts w:hint="eastAsia"/>
          <w:color w:val="auto"/>
        </w:rPr>
        <w:t>进出口监测点应各</w:t>
      </w:r>
      <w:r>
        <w:rPr>
          <w:rFonts w:hint="eastAsia"/>
          <w:color w:val="auto"/>
          <w:lang w:eastAsia="zh-CN"/>
        </w:rPr>
        <w:t>不低于</w:t>
      </w:r>
      <w:r>
        <w:rPr>
          <w:rFonts w:hint="eastAsia"/>
          <w:color w:val="auto"/>
        </w:rPr>
        <w:t>1个，洞身段监测点宜按100～200m间距布设且</w:t>
      </w:r>
      <w:r>
        <w:rPr>
          <w:rFonts w:hint="eastAsia"/>
          <w:color w:val="auto"/>
          <w:lang w:eastAsia="zh-CN"/>
        </w:rPr>
        <w:t>不低于</w:t>
      </w:r>
      <w:r>
        <w:rPr>
          <w:rFonts w:hint="eastAsia"/>
          <w:color w:val="auto"/>
        </w:rPr>
        <w:t>1个监测点；</w:t>
      </w:r>
    </w:p>
    <w:p w14:paraId="69633B38">
      <w:pPr>
        <w:pStyle w:val="98"/>
        <w:spacing w:before="24" w:after="24"/>
        <w:ind w:firstLine="420" w:firstLineChars="200"/>
        <w:rPr>
          <w:color w:val="auto"/>
        </w:rPr>
      </w:pPr>
      <w:r>
        <w:rPr>
          <w:rFonts w:hint="eastAsia"/>
          <w:color w:val="auto"/>
        </w:rPr>
        <w:t>b）</w:t>
      </w:r>
      <w:r>
        <w:rPr>
          <w:color w:val="auto"/>
        </w:rPr>
        <w:t>隧道洞门水平位移、竖向位移和倾斜度，宜在洞门立面不同高程处布设监测断面，监测断面</w:t>
      </w:r>
      <w:r>
        <w:rPr>
          <w:rFonts w:hint="eastAsia"/>
          <w:color w:val="auto"/>
          <w:lang w:eastAsia="zh-CN"/>
        </w:rPr>
        <w:t>不低于</w:t>
      </w:r>
      <w:r>
        <w:rPr>
          <w:color w:val="auto"/>
        </w:rPr>
        <w:t>2个，每个监测断面布设</w:t>
      </w:r>
      <w:r>
        <w:rPr>
          <w:rFonts w:hint="eastAsia"/>
          <w:color w:val="auto"/>
          <w:lang w:eastAsia="zh-CN"/>
        </w:rPr>
        <w:t>不低于</w:t>
      </w:r>
      <w:r>
        <w:rPr>
          <w:color w:val="auto"/>
        </w:rPr>
        <w:t>2</w:t>
      </w:r>
      <w:r>
        <w:rPr>
          <w:rFonts w:hint="eastAsia"/>
          <w:color w:val="auto"/>
        </w:rPr>
        <w:t>～</w:t>
      </w:r>
      <w:r>
        <w:rPr>
          <w:color w:val="auto"/>
        </w:rPr>
        <w:t>3个监测点；</w:t>
      </w:r>
    </w:p>
    <w:p w14:paraId="54505E1E">
      <w:pPr>
        <w:pStyle w:val="98"/>
        <w:spacing w:before="24" w:after="24"/>
        <w:ind w:firstLine="420" w:firstLineChars="200"/>
        <w:rPr>
          <w:color w:val="auto"/>
        </w:rPr>
      </w:pPr>
      <w:r>
        <w:rPr>
          <w:rFonts w:hint="eastAsia"/>
          <w:color w:val="auto"/>
        </w:rPr>
        <w:t>c）</w:t>
      </w:r>
      <w:r>
        <w:rPr>
          <w:color w:val="auto"/>
        </w:rPr>
        <w:t>洞口边仰坡地表水平位移、竖向位移，监测断面</w:t>
      </w:r>
      <w:r>
        <w:rPr>
          <w:rFonts w:hint="eastAsia"/>
          <w:color w:val="auto"/>
          <w:lang w:eastAsia="zh-CN"/>
        </w:rPr>
        <w:t>不低于</w:t>
      </w:r>
      <w:r>
        <w:rPr>
          <w:color w:val="auto"/>
        </w:rPr>
        <w:t>3个，每</w:t>
      </w:r>
      <w:r>
        <w:rPr>
          <w:rFonts w:hint="eastAsia"/>
          <w:color w:val="auto"/>
        </w:rPr>
        <w:t>个断面</w:t>
      </w:r>
      <w:r>
        <w:rPr>
          <w:rFonts w:hint="eastAsia"/>
          <w:color w:val="auto"/>
          <w:lang w:eastAsia="zh-CN"/>
        </w:rPr>
        <w:t>不低于</w:t>
      </w:r>
      <w:r>
        <w:rPr>
          <w:color w:val="auto"/>
        </w:rPr>
        <w:t>5个监测点，仰坡中心监测点应布设在隧道轴线正上方地表位置，监测点间距由中心监测点至距离中心监测点最远点由密至疏布置，间距2～5m；</w:t>
      </w:r>
    </w:p>
    <w:p w14:paraId="3FC6E976">
      <w:pPr>
        <w:pStyle w:val="98"/>
        <w:spacing w:before="24" w:after="24"/>
        <w:ind w:firstLine="420" w:firstLineChars="200"/>
        <w:rPr>
          <w:color w:val="auto"/>
        </w:rPr>
      </w:pPr>
      <w:r>
        <w:rPr>
          <w:rFonts w:hint="eastAsia"/>
          <w:color w:val="auto"/>
        </w:rPr>
        <w:t>d）</w:t>
      </w:r>
      <w:r>
        <w:rPr>
          <w:color w:val="auto"/>
        </w:rPr>
        <w:t>隧道洞身段结构</w:t>
      </w:r>
      <w:r>
        <w:rPr>
          <w:rFonts w:hint="eastAsia"/>
          <w:color w:val="auto"/>
        </w:rPr>
        <w:t>监测点宜布设在顶部、边墙、墙脚处，两侧边墙或墙脚处对称布设，监测</w:t>
      </w:r>
      <w:r>
        <w:rPr>
          <w:color w:val="auto"/>
        </w:rPr>
        <w:t>断面数量宜</w:t>
      </w:r>
      <w:r>
        <w:rPr>
          <w:rFonts w:hint="eastAsia"/>
          <w:color w:val="auto"/>
          <w:lang w:eastAsia="zh-CN"/>
        </w:rPr>
        <w:t>不低于</w:t>
      </w:r>
      <w:r>
        <w:rPr>
          <w:color w:val="auto"/>
        </w:rPr>
        <w:t>3个，布设间距</w:t>
      </w:r>
      <w:r>
        <w:rPr>
          <w:rFonts w:hint="eastAsia"/>
          <w:color w:val="auto"/>
        </w:rPr>
        <w:t>宜</w:t>
      </w:r>
      <w:r>
        <w:rPr>
          <w:color w:val="auto"/>
        </w:rPr>
        <w:t>为10</w:t>
      </w:r>
      <w:r>
        <w:rPr>
          <w:rFonts w:hint="eastAsia"/>
          <w:color w:val="auto"/>
        </w:rPr>
        <w:t>～</w:t>
      </w:r>
      <w:r>
        <w:rPr>
          <w:color w:val="auto"/>
        </w:rPr>
        <w:t>100m，每个监测断面应</w:t>
      </w:r>
      <w:r>
        <w:rPr>
          <w:rFonts w:hint="eastAsia"/>
          <w:color w:val="auto"/>
          <w:lang w:eastAsia="zh-CN"/>
        </w:rPr>
        <w:t>不低于</w:t>
      </w:r>
      <w:r>
        <w:rPr>
          <w:color w:val="auto"/>
        </w:rPr>
        <w:t>3个监测点、3条测线；</w:t>
      </w:r>
    </w:p>
    <w:p w14:paraId="46CFD963">
      <w:pPr>
        <w:pStyle w:val="98"/>
        <w:spacing w:before="24" w:after="24"/>
        <w:ind w:firstLine="420" w:firstLineChars="200"/>
        <w:rPr>
          <w:color w:val="auto"/>
        </w:rPr>
      </w:pPr>
      <w:r>
        <w:rPr>
          <w:rFonts w:hint="eastAsia"/>
          <w:bCs/>
          <w:color w:val="auto"/>
        </w:rPr>
        <w:t>e）地层水平位移、竖向位移监测点应钻孔埋设，测孔布设在隧道外侧2</w:t>
      </w:r>
      <w:r>
        <w:rPr>
          <w:color w:val="auto"/>
        </w:rPr>
        <w:t>～5m</w:t>
      </w:r>
      <w:r>
        <w:rPr>
          <w:rFonts w:hint="eastAsia"/>
          <w:color w:val="auto"/>
        </w:rPr>
        <w:t>处，每测孔</w:t>
      </w:r>
      <w:r>
        <w:rPr>
          <w:rFonts w:hint="eastAsia"/>
          <w:color w:val="auto"/>
          <w:lang w:eastAsia="zh-CN"/>
        </w:rPr>
        <w:t>不低于</w:t>
      </w:r>
      <w:r>
        <w:rPr>
          <w:rFonts w:hint="eastAsia"/>
          <w:color w:val="auto"/>
        </w:rPr>
        <w:t>5个监测点，监测点竖向间距不大于2m；</w:t>
      </w:r>
    </w:p>
    <w:p w14:paraId="36D168F3">
      <w:pPr>
        <w:pStyle w:val="98"/>
        <w:spacing w:before="24" w:after="24"/>
        <w:ind w:firstLine="420" w:firstLineChars="200"/>
        <w:rPr>
          <w:color w:val="auto"/>
        </w:rPr>
      </w:pPr>
      <w:r>
        <w:rPr>
          <w:rFonts w:hint="eastAsia"/>
          <w:bCs/>
          <w:color w:val="auto"/>
        </w:rPr>
        <w:t>f）隧道环境监测在隧道内布设</w:t>
      </w:r>
      <w:r>
        <w:rPr>
          <w:rFonts w:hint="eastAsia"/>
          <w:bCs/>
          <w:color w:val="auto"/>
          <w:lang w:eastAsia="zh-CN"/>
        </w:rPr>
        <w:t>不低于</w:t>
      </w:r>
      <w:r>
        <w:rPr>
          <w:rFonts w:hint="eastAsia"/>
          <w:bCs/>
          <w:color w:val="auto"/>
        </w:rPr>
        <w:t>1个监测点，并</w:t>
      </w:r>
      <w:r>
        <w:rPr>
          <w:color w:val="auto"/>
        </w:rPr>
        <w:t>符合隧道运营安全状态要求。</w:t>
      </w:r>
    </w:p>
    <w:p w14:paraId="46D3C657">
      <w:pPr>
        <w:pStyle w:val="98"/>
        <w:spacing w:beforeLines="0" w:afterLines="0"/>
        <w:ind w:firstLine="420" w:firstLineChars="200"/>
        <w:rPr>
          <w:color w:val="auto"/>
        </w:rPr>
      </w:pPr>
      <w:r>
        <w:rPr>
          <w:rFonts w:hint="eastAsia" w:ascii="宋体" w:hAnsi="宋体"/>
          <w:bCs/>
          <w:color w:val="auto"/>
          <w:lang w:val="en-US" w:eastAsia="zh-CN"/>
        </w:rPr>
        <w:t>隧道</w:t>
      </w:r>
      <w:r>
        <w:rPr>
          <w:rFonts w:hint="eastAsia" w:ascii="宋体" w:hAnsi="宋体"/>
          <w:bCs/>
          <w:color w:val="auto"/>
        </w:rPr>
        <w:t>监测</w:t>
      </w:r>
      <w:r>
        <w:rPr>
          <w:rFonts w:hint="eastAsia" w:ascii="宋体" w:hAnsi="宋体"/>
          <w:bCs/>
          <w:color w:val="auto"/>
          <w:lang w:val="en-US" w:eastAsia="zh-CN"/>
        </w:rPr>
        <w:t>布点详细</w:t>
      </w:r>
      <w:r>
        <w:rPr>
          <w:rFonts w:hint="eastAsia" w:ascii="宋体" w:hAnsi="宋体"/>
          <w:bCs/>
          <w:color w:val="auto"/>
        </w:rPr>
        <w:t>要求见附录</w:t>
      </w:r>
      <w:r>
        <w:rPr>
          <w:rFonts w:hint="eastAsia" w:ascii="宋体" w:hAnsi="宋体"/>
          <w:bCs/>
          <w:color w:val="auto"/>
          <w:lang w:val="en-US" w:eastAsia="zh-CN"/>
        </w:rPr>
        <w:t>B</w:t>
      </w:r>
      <w:r>
        <w:rPr>
          <w:rFonts w:hint="eastAsia" w:ascii="宋体" w:hAnsi="宋体"/>
          <w:bCs/>
          <w:color w:val="auto"/>
        </w:rPr>
        <w:t>.</w:t>
      </w:r>
      <w:r>
        <w:rPr>
          <w:rFonts w:hint="eastAsia" w:ascii="宋体" w:hAnsi="宋体"/>
          <w:bCs/>
          <w:color w:val="auto"/>
          <w:lang w:val="en-US" w:eastAsia="zh-CN"/>
        </w:rPr>
        <w:t>6</w:t>
      </w:r>
      <w:r>
        <w:rPr>
          <w:rFonts w:hint="eastAsia" w:ascii="宋体" w:hAnsi="宋体"/>
          <w:bCs/>
          <w:color w:val="auto"/>
        </w:rPr>
        <w:t>。</w:t>
      </w:r>
    </w:p>
    <w:p w14:paraId="3B7ECE03">
      <w:pPr>
        <w:pStyle w:val="98"/>
        <w:spacing w:beforeLines="0" w:afterLines="0"/>
        <w:rPr>
          <w:rFonts w:ascii="宋体" w:hAnsi="宋体"/>
          <w:bCs/>
          <w:color w:val="auto"/>
        </w:rPr>
      </w:pPr>
      <w:r>
        <w:rPr>
          <w:rFonts w:hint="eastAsia" w:ascii="宋体" w:hAnsi="宋体"/>
          <w:bCs/>
          <w:color w:val="auto"/>
        </w:rPr>
        <w:t>6.7.</w:t>
      </w:r>
      <w:r>
        <w:rPr>
          <w:rFonts w:hint="eastAsia" w:ascii="宋体" w:hAnsi="宋体"/>
          <w:bCs/>
          <w:color w:val="auto"/>
          <w:lang w:val="en-US" w:eastAsia="zh-CN"/>
        </w:rPr>
        <w:t>3</w:t>
      </w:r>
      <w:r>
        <w:rPr>
          <w:rFonts w:hint="eastAsia" w:ascii="宋体" w:hAnsi="宋体"/>
          <w:bCs/>
          <w:color w:val="auto"/>
        </w:rPr>
        <w:t xml:space="preserve"> </w:t>
      </w:r>
      <w:r>
        <w:rPr>
          <w:rFonts w:hint="eastAsia" w:ascii="宋体" w:hAnsi="宋体"/>
          <w:bCs/>
          <w:color w:val="auto"/>
          <w:lang w:val="en-US" w:eastAsia="zh-CN"/>
        </w:rPr>
        <w:t>隧道</w:t>
      </w:r>
      <w:r>
        <w:rPr>
          <w:rFonts w:hint="eastAsia" w:ascii="宋体" w:hAnsi="宋体"/>
          <w:bCs/>
          <w:color w:val="auto"/>
        </w:rPr>
        <w:t>监测设备</w:t>
      </w:r>
      <w:r>
        <w:rPr>
          <w:rFonts w:hint="eastAsia" w:ascii="宋体" w:hAnsi="宋体"/>
          <w:bCs/>
          <w:color w:val="auto"/>
          <w:lang w:val="en-US" w:eastAsia="zh-CN"/>
        </w:rPr>
        <w:t>性能</w:t>
      </w:r>
      <w:r>
        <w:rPr>
          <w:rFonts w:hint="eastAsia" w:ascii="宋体" w:hAnsi="宋体"/>
          <w:bCs/>
          <w:color w:val="auto"/>
        </w:rPr>
        <w:t>应符合</w:t>
      </w:r>
      <w:r>
        <w:rPr>
          <w:rFonts w:hint="eastAsia" w:ascii="宋体" w:hAnsi="宋体"/>
          <w:bCs/>
          <w:color w:val="auto"/>
          <w:lang w:eastAsia="zh-CN"/>
        </w:rPr>
        <w:t>以下要求</w:t>
      </w:r>
      <w:r>
        <w:rPr>
          <w:rFonts w:hint="eastAsia" w:ascii="宋体" w:hAnsi="宋体"/>
          <w:bCs/>
          <w:color w:val="auto"/>
        </w:rPr>
        <w:t>：</w:t>
      </w:r>
    </w:p>
    <w:p w14:paraId="597CCD03">
      <w:pPr>
        <w:pStyle w:val="98"/>
        <w:spacing w:before="24" w:after="24"/>
        <w:ind w:firstLine="420" w:firstLineChars="200"/>
        <w:rPr>
          <w:bCs/>
          <w:color w:val="auto"/>
        </w:rPr>
      </w:pPr>
      <w:r>
        <w:rPr>
          <w:rFonts w:hint="eastAsia"/>
          <w:bCs/>
          <w:color w:val="auto"/>
          <w:lang w:val="en-US" w:eastAsia="zh-CN"/>
        </w:rPr>
        <w:t>a</w:t>
      </w:r>
      <w:r>
        <w:rPr>
          <w:rFonts w:hint="eastAsia"/>
          <w:bCs/>
          <w:color w:val="auto"/>
        </w:rPr>
        <w:t>）宜选用稳定、可靠、先进的传感监测设备。</w:t>
      </w:r>
    </w:p>
    <w:p w14:paraId="30646EFD">
      <w:pPr>
        <w:pStyle w:val="98"/>
        <w:spacing w:before="24" w:after="24"/>
        <w:ind w:firstLine="420" w:firstLineChars="200"/>
        <w:rPr>
          <w:rFonts w:hint="eastAsia"/>
          <w:bCs/>
          <w:color w:val="auto"/>
          <w:lang w:val="en-US" w:eastAsia="zh-CN"/>
        </w:rPr>
      </w:pPr>
      <w:r>
        <w:rPr>
          <w:rFonts w:hint="eastAsia"/>
          <w:bCs/>
          <w:color w:val="auto"/>
          <w:lang w:val="en-US" w:eastAsia="zh-CN"/>
        </w:rPr>
        <w:t>b）应满足监测量程、分辨力、精度、灵敏度、长期稳定性、环境适应性等要求。</w:t>
      </w:r>
    </w:p>
    <w:p w14:paraId="1198AE75">
      <w:pPr>
        <w:pStyle w:val="98"/>
        <w:spacing w:before="24" w:after="24"/>
        <w:ind w:firstLine="420" w:firstLineChars="200"/>
        <w:rPr>
          <w:rFonts w:hint="eastAsia"/>
          <w:bCs/>
          <w:color w:val="auto"/>
          <w:lang w:val="en-US" w:eastAsia="zh-CN"/>
        </w:rPr>
      </w:pPr>
      <w:r>
        <w:rPr>
          <w:rFonts w:hint="eastAsia"/>
          <w:bCs/>
          <w:color w:val="auto"/>
          <w:lang w:val="en-US" w:eastAsia="zh-CN"/>
        </w:rPr>
        <w:t>c) 支持接入隧道</w:t>
      </w:r>
      <w:r>
        <w:rPr>
          <w:rFonts w:hint="eastAsia" w:ascii="宋体" w:hAnsi="宋体" w:cs="Times New Roman"/>
          <w:color w:val="auto"/>
          <w:szCs w:val="21"/>
          <w:highlight w:val="none"/>
          <w:lang w:val="en-US" w:eastAsia="zh-CN"/>
        </w:rPr>
        <w:t>管养单位</w:t>
      </w:r>
      <w:r>
        <w:rPr>
          <w:rFonts w:hint="eastAsia"/>
          <w:bCs/>
          <w:color w:val="auto"/>
          <w:lang w:val="en-US" w:eastAsia="zh-CN"/>
        </w:rPr>
        <w:t>、行业主管部门安全管理信息系统。</w:t>
      </w:r>
    </w:p>
    <w:p w14:paraId="69DB6180">
      <w:pPr>
        <w:pStyle w:val="98"/>
        <w:spacing w:beforeLines="0" w:afterLines="0"/>
        <w:ind w:firstLine="420" w:firstLineChars="200"/>
        <w:rPr>
          <w:rFonts w:ascii="宋体" w:hAnsi="宋体"/>
          <w:bCs/>
          <w:color w:val="auto"/>
        </w:rPr>
      </w:pPr>
      <w:r>
        <w:rPr>
          <w:rFonts w:hint="eastAsia" w:ascii="宋体" w:hAnsi="宋体"/>
          <w:bCs/>
          <w:color w:val="auto"/>
          <w:lang w:val="en-US" w:eastAsia="zh-CN"/>
        </w:rPr>
        <w:t>隧道</w:t>
      </w:r>
      <w:r>
        <w:rPr>
          <w:rFonts w:hint="eastAsia" w:ascii="宋体" w:hAnsi="宋体"/>
          <w:bCs/>
          <w:color w:val="auto"/>
        </w:rPr>
        <w:t>监测设备</w:t>
      </w:r>
      <w:r>
        <w:rPr>
          <w:rFonts w:hint="eastAsia" w:ascii="宋体" w:hAnsi="宋体"/>
          <w:bCs/>
          <w:color w:val="auto"/>
          <w:lang w:val="en-US" w:eastAsia="zh-CN"/>
        </w:rPr>
        <w:t>详细性能</w:t>
      </w:r>
      <w:r>
        <w:rPr>
          <w:rFonts w:hint="eastAsia" w:ascii="宋体" w:hAnsi="宋体"/>
          <w:bCs/>
          <w:color w:val="auto"/>
        </w:rPr>
        <w:t>要求见附录</w:t>
      </w:r>
      <w:r>
        <w:rPr>
          <w:rFonts w:hint="eastAsia" w:ascii="宋体" w:hAnsi="宋体"/>
          <w:bCs/>
          <w:color w:val="auto"/>
          <w:lang w:val="en-US" w:eastAsia="zh-CN"/>
        </w:rPr>
        <w:t>C</w:t>
      </w:r>
      <w:r>
        <w:rPr>
          <w:rFonts w:hint="eastAsia" w:ascii="宋体" w:hAnsi="宋体"/>
          <w:bCs/>
          <w:color w:val="auto"/>
        </w:rPr>
        <w:t>.</w:t>
      </w:r>
      <w:r>
        <w:rPr>
          <w:rFonts w:hint="eastAsia" w:ascii="宋体" w:hAnsi="宋体"/>
          <w:bCs/>
          <w:color w:val="auto"/>
          <w:lang w:val="en-US" w:eastAsia="zh-CN"/>
        </w:rPr>
        <w:t>6</w:t>
      </w:r>
      <w:r>
        <w:rPr>
          <w:rFonts w:hint="eastAsia" w:ascii="宋体" w:hAnsi="宋体"/>
          <w:bCs/>
          <w:color w:val="auto"/>
        </w:rPr>
        <w:t>。</w:t>
      </w:r>
    </w:p>
    <w:p w14:paraId="57A8AC7D">
      <w:pPr>
        <w:pStyle w:val="111"/>
        <w:pageBreakBefore w:val="0"/>
        <w:numPr>
          <w:ilvl w:val="0"/>
          <w:numId w:val="1"/>
        </w:numPr>
        <w:spacing w:beforeLines="100" w:afterLines="100"/>
        <w:ind w:left="0" w:firstLine="0"/>
        <w:rPr>
          <w:sz w:val="21"/>
          <w:szCs w:val="21"/>
        </w:rPr>
      </w:pPr>
      <w:bookmarkStart w:id="90" w:name="OLE_LINK1"/>
      <w:bookmarkStart w:id="91" w:name="_Toc26865"/>
      <w:bookmarkStart w:id="92" w:name="OLE_LINK11"/>
      <w:r>
        <w:rPr>
          <w:rFonts w:hint="eastAsia"/>
          <w:sz w:val="21"/>
          <w:szCs w:val="21"/>
        </w:rPr>
        <w:t>工程数据库建设</w:t>
      </w:r>
      <w:bookmarkEnd w:id="90"/>
      <w:bookmarkEnd w:id="91"/>
    </w:p>
    <w:p w14:paraId="3070C2D7">
      <w:pPr>
        <w:pStyle w:val="108"/>
        <w:numPr>
          <w:ilvl w:val="1"/>
          <w:numId w:val="1"/>
        </w:numPr>
        <w:spacing w:beforeLines="50" w:afterLines="50"/>
      </w:pPr>
      <w:bookmarkStart w:id="93" w:name="_Toc5333"/>
      <w:bookmarkStart w:id="94" w:name="OLE_LINK148"/>
      <w:bookmarkStart w:id="95" w:name="OLE_LINK31"/>
      <w:bookmarkStart w:id="96" w:name="OLE_LINK35"/>
      <w:bookmarkStart w:id="97" w:name="OLE_LINK149"/>
      <w:r>
        <w:rPr>
          <w:rFonts w:hint="eastAsia"/>
          <w:lang w:eastAsia="zh-CN"/>
        </w:rPr>
        <w:t>一般要求</w:t>
      </w:r>
      <w:bookmarkEnd w:id="93"/>
    </w:p>
    <w:p w14:paraId="49B5F3A0">
      <w:pPr>
        <w:pStyle w:val="98"/>
        <w:spacing w:beforeLines="0" w:afterLines="0"/>
        <w:rPr>
          <w:rFonts w:ascii="宋体" w:hAnsi="宋体"/>
          <w:bCs/>
          <w:color w:val="auto"/>
        </w:rPr>
      </w:pPr>
      <w:r>
        <w:rPr>
          <w:rFonts w:hint="eastAsia" w:ascii="宋体" w:hAnsi="宋体"/>
          <w:bCs/>
          <w:color w:val="auto"/>
        </w:rPr>
        <w:t>7.1.1工程数据库应全面覆盖</w:t>
      </w:r>
      <w:r>
        <w:rPr>
          <w:rFonts w:hint="eastAsia" w:ascii="宋体" w:hAnsi="宋体"/>
          <w:bCs/>
          <w:color w:val="auto"/>
          <w:lang w:eastAsia="zh-CN"/>
        </w:rPr>
        <w:t>城市生命线</w:t>
      </w:r>
      <w:r>
        <w:rPr>
          <w:rFonts w:hint="eastAsia" w:ascii="宋体" w:hAnsi="宋体"/>
          <w:bCs/>
          <w:color w:val="auto"/>
        </w:rPr>
        <w:t>全生命周期内的各项数据，包含城市基础设施数据、国土空间地理数据、城市基础设施模型数据、社会资源数据、风险评估数据、</w:t>
      </w:r>
      <w:r>
        <w:rPr>
          <w:rFonts w:hint="default" w:ascii="宋体" w:hAnsi="宋体"/>
          <w:bCs/>
          <w:color w:val="auto"/>
          <w:lang w:val="en-US"/>
        </w:rPr>
        <w:t>物联感知</w:t>
      </w:r>
      <w:r>
        <w:rPr>
          <w:rFonts w:hint="eastAsia" w:ascii="宋体" w:hAnsi="宋体"/>
          <w:bCs/>
          <w:color w:val="auto"/>
        </w:rPr>
        <w:t>数据、监测</w:t>
      </w:r>
      <w:r>
        <w:rPr>
          <w:rFonts w:hint="eastAsia" w:ascii="宋体" w:hAnsi="宋体"/>
          <w:bCs/>
          <w:color w:val="auto"/>
          <w:lang w:eastAsia="zh-CN"/>
        </w:rPr>
        <w:t>报警预警</w:t>
      </w:r>
      <w:r>
        <w:rPr>
          <w:rFonts w:hint="eastAsia" w:ascii="宋体" w:hAnsi="宋体"/>
          <w:bCs/>
          <w:color w:val="auto"/>
        </w:rPr>
        <w:t>数据等。</w:t>
      </w:r>
    </w:p>
    <w:p w14:paraId="5C1107E6">
      <w:pPr>
        <w:pStyle w:val="98"/>
        <w:spacing w:beforeLines="0" w:afterLines="0"/>
        <w:rPr>
          <w:rFonts w:ascii="宋体" w:hAnsi="宋体"/>
          <w:bCs/>
          <w:color w:val="auto"/>
        </w:rPr>
      </w:pPr>
      <w:r>
        <w:rPr>
          <w:rFonts w:hint="eastAsia" w:ascii="宋体" w:hAnsi="宋体"/>
          <w:bCs/>
          <w:color w:val="auto"/>
        </w:rPr>
        <w:t>7.1.2城市基础设施数据中地下管线数据</w:t>
      </w:r>
      <w:r>
        <w:rPr>
          <w:rFonts w:hint="eastAsia" w:ascii="宋体" w:hAnsi="宋体"/>
          <w:bCs/>
          <w:color w:val="auto"/>
          <w:lang w:val="en-US" w:eastAsia="zh-CN"/>
        </w:rPr>
        <w:t>为</w:t>
      </w:r>
      <w:r>
        <w:rPr>
          <w:rFonts w:hint="eastAsia" w:ascii="宋体" w:hAnsi="宋体"/>
          <w:bCs/>
          <w:color w:val="auto"/>
        </w:rPr>
        <w:t>近两年内有效数据。</w:t>
      </w:r>
    </w:p>
    <w:p w14:paraId="2BE5FF74">
      <w:pPr>
        <w:pStyle w:val="98"/>
        <w:spacing w:beforeLines="0" w:afterLines="0"/>
        <w:rPr>
          <w:rFonts w:ascii="宋体" w:hAnsi="宋体"/>
          <w:bCs/>
          <w:color w:val="auto"/>
        </w:rPr>
      </w:pPr>
      <w:r>
        <w:rPr>
          <w:rFonts w:hint="eastAsia" w:ascii="宋体" w:hAnsi="宋体"/>
          <w:bCs/>
          <w:color w:val="auto"/>
        </w:rPr>
        <w:t>7.1.3国土空间地理数据</w:t>
      </w:r>
      <w:r>
        <w:rPr>
          <w:rFonts w:hint="eastAsia" w:ascii="宋体" w:hAnsi="宋体"/>
          <w:bCs/>
          <w:color w:val="auto"/>
          <w:lang w:val="en-US" w:eastAsia="zh-CN"/>
        </w:rPr>
        <w:t>为</w:t>
      </w:r>
      <w:r>
        <w:rPr>
          <w:rFonts w:hint="eastAsia" w:ascii="宋体" w:hAnsi="宋体"/>
          <w:bCs/>
          <w:color w:val="auto"/>
        </w:rPr>
        <w:t>近三年内有效数据，坐标系统采用2000国家大地坐标系，高程基准采用1985国家高程基准。</w:t>
      </w:r>
    </w:p>
    <w:p w14:paraId="581F6096">
      <w:pPr>
        <w:pStyle w:val="98"/>
        <w:spacing w:beforeLines="0" w:afterLines="0"/>
        <w:rPr>
          <w:rFonts w:hint="eastAsia" w:ascii="宋体" w:hAnsi="宋体"/>
          <w:bCs/>
          <w:color w:val="auto"/>
        </w:rPr>
      </w:pPr>
      <w:r>
        <w:rPr>
          <w:rFonts w:hint="eastAsia" w:ascii="宋体" w:hAnsi="宋体"/>
          <w:bCs/>
          <w:color w:val="auto"/>
        </w:rPr>
        <w:t>7.1.4城市基础设施数据中地下管线数据、国土空间地理数据应在满足安全保密要求的前提下获取和使用。</w:t>
      </w:r>
    </w:p>
    <w:p w14:paraId="2AA2BB14">
      <w:pPr>
        <w:pStyle w:val="98"/>
        <w:spacing w:beforeLines="0" w:afterLines="0"/>
        <w:rPr>
          <w:rFonts w:hint="default" w:ascii="宋体" w:hAnsi="宋体" w:eastAsia="宋体"/>
          <w:bCs/>
          <w:color w:val="auto"/>
          <w:lang w:val="en-US" w:eastAsia="zh-CN"/>
        </w:rPr>
      </w:pPr>
      <w:r>
        <w:rPr>
          <w:rFonts w:hint="eastAsia" w:ascii="宋体" w:hAnsi="宋体"/>
          <w:bCs/>
          <w:color w:val="auto"/>
        </w:rPr>
        <w:t>7.1.</w:t>
      </w:r>
      <w:r>
        <w:rPr>
          <w:rFonts w:hint="eastAsia" w:ascii="宋体" w:hAnsi="宋体"/>
          <w:bCs/>
          <w:color w:val="auto"/>
          <w:lang w:val="en-US" w:eastAsia="zh-CN"/>
        </w:rPr>
        <w:t>5</w:t>
      </w:r>
      <w:r>
        <w:rPr>
          <w:rFonts w:hint="eastAsia" w:ascii="宋体" w:hAnsi="宋体"/>
          <w:bCs/>
          <w:color w:val="auto"/>
        </w:rPr>
        <w:t>工程数据</w:t>
      </w:r>
      <w:r>
        <w:rPr>
          <w:rFonts w:hint="eastAsia" w:ascii="宋体" w:hAnsi="宋体"/>
          <w:bCs/>
          <w:color w:val="auto"/>
          <w:lang w:val="en-US" w:eastAsia="zh-CN"/>
        </w:rPr>
        <w:t>中的定位数据应使用北斗定位系统获取。</w:t>
      </w:r>
    </w:p>
    <w:p w14:paraId="6114E96A">
      <w:pPr>
        <w:pStyle w:val="108"/>
        <w:numPr>
          <w:ilvl w:val="1"/>
          <w:numId w:val="1"/>
        </w:numPr>
        <w:spacing w:beforeLines="50" w:afterLines="50"/>
      </w:pPr>
      <w:bookmarkStart w:id="98" w:name="_Toc4415"/>
      <w:bookmarkStart w:id="99" w:name="_Toc232281749"/>
      <w:r>
        <w:rPr>
          <w:rFonts w:hint="eastAsia"/>
        </w:rPr>
        <w:t>城市基础设施数据</w:t>
      </w:r>
      <w:bookmarkEnd w:id="98"/>
      <w:bookmarkEnd w:id="99"/>
    </w:p>
    <w:p w14:paraId="27E54339">
      <w:pPr>
        <w:pStyle w:val="98"/>
        <w:spacing w:beforeLines="0" w:afterLines="0"/>
        <w:rPr>
          <w:rFonts w:ascii="宋体" w:hAnsi="宋体"/>
          <w:bCs/>
          <w:color w:val="auto"/>
        </w:rPr>
      </w:pPr>
      <w:r>
        <w:rPr>
          <w:rFonts w:hint="eastAsia" w:ascii="宋体" w:hAnsi="宋体"/>
          <w:bCs/>
          <w:color w:val="auto"/>
        </w:rPr>
        <w:t>7.2.1城市基础设施</w:t>
      </w:r>
      <w:r>
        <w:rPr>
          <w:rFonts w:hint="eastAsia" w:ascii="宋体" w:hAnsi="宋体"/>
          <w:bCs/>
          <w:color w:val="auto"/>
          <w:lang w:val="en-US" w:eastAsia="zh-CN"/>
        </w:rPr>
        <w:t>数据</w:t>
      </w:r>
      <w:r>
        <w:rPr>
          <w:rFonts w:hint="eastAsia" w:ascii="宋体" w:hAnsi="宋体"/>
          <w:bCs/>
          <w:color w:val="auto"/>
        </w:rPr>
        <w:t>应包括燃气、供水、排水（污水、雨水）、热力、桥梁、隧道等基础数据。</w:t>
      </w:r>
    </w:p>
    <w:p w14:paraId="7207445E">
      <w:pPr>
        <w:pStyle w:val="98"/>
        <w:spacing w:beforeLines="0" w:afterLines="0"/>
        <w:rPr>
          <w:rFonts w:ascii="宋体" w:hAnsi="宋体"/>
          <w:bCs/>
          <w:color w:val="auto"/>
        </w:rPr>
      </w:pPr>
      <w:r>
        <w:rPr>
          <w:rFonts w:hint="eastAsia" w:ascii="宋体" w:hAnsi="宋体"/>
          <w:bCs/>
          <w:color w:val="auto"/>
        </w:rPr>
        <w:t>7.2.2燃气数据应包括燃气管线</w:t>
      </w:r>
      <w:r>
        <w:rPr>
          <w:rFonts w:hint="eastAsia" w:ascii="宋体" w:hAnsi="宋体"/>
          <w:bCs/>
          <w:color w:val="auto"/>
          <w:lang w:val="en-US" w:eastAsia="zh-CN"/>
        </w:rPr>
        <w:t>数据</w:t>
      </w:r>
      <w:r>
        <w:rPr>
          <w:rFonts w:hint="eastAsia" w:ascii="宋体" w:hAnsi="宋体"/>
          <w:bCs/>
          <w:color w:val="auto"/>
        </w:rPr>
        <w:t>、燃气管点数据、相邻管线及管点（包含供水、排水、热力、通信、电力）数据、燃气厂站信息、燃气阀井（室）信息、调压设施信息、用气场所信息、安全检查数据、巡检巡查数据、第三方施工数据、隐患整治数据、老旧管网改造数据、维修台账数据</w:t>
      </w:r>
      <w:r>
        <w:rPr>
          <w:rFonts w:hint="eastAsia" w:ascii="宋体" w:hAnsi="宋体"/>
          <w:bCs/>
          <w:color w:val="auto"/>
          <w:lang w:val="en-US" w:eastAsia="zh-CN"/>
        </w:rPr>
        <w:t>等</w:t>
      </w:r>
      <w:r>
        <w:rPr>
          <w:rFonts w:hint="eastAsia" w:ascii="宋体" w:hAnsi="宋体"/>
          <w:bCs/>
          <w:color w:val="auto"/>
        </w:rPr>
        <w:t>。</w:t>
      </w:r>
      <w:r>
        <w:rPr>
          <w:rFonts w:ascii="宋体" w:hAnsi="宋体"/>
          <w:bCs/>
          <w:color w:val="auto"/>
        </w:rPr>
        <w:t xml:space="preserve"> </w:t>
      </w:r>
    </w:p>
    <w:p w14:paraId="0FF276DD">
      <w:pPr>
        <w:pStyle w:val="98"/>
        <w:spacing w:beforeLines="0" w:afterLines="0"/>
        <w:rPr>
          <w:rFonts w:ascii="宋体" w:hAnsi="宋体"/>
          <w:bCs/>
          <w:color w:val="auto"/>
        </w:rPr>
      </w:pPr>
      <w:r>
        <w:rPr>
          <w:rFonts w:hint="eastAsia" w:ascii="宋体" w:hAnsi="宋体"/>
          <w:bCs/>
          <w:color w:val="auto"/>
        </w:rPr>
        <w:t>7.2.3供水数据应包括供水管线数据、供水管点数据、水源地信息、水厂信息、泵站（房）信息、二次供水设施信息、</w:t>
      </w:r>
      <w:r>
        <w:rPr>
          <w:rFonts w:hint="eastAsia" w:ascii="宋体" w:hAnsi="宋体"/>
          <w:bCs/>
          <w:color w:val="auto"/>
          <w:lang w:val="en-US" w:eastAsia="zh-CN"/>
        </w:rPr>
        <w:t>重点</w:t>
      </w:r>
      <w:r>
        <w:rPr>
          <w:rFonts w:hint="eastAsia" w:ascii="宋体" w:hAnsi="宋体"/>
          <w:bCs/>
          <w:color w:val="auto"/>
        </w:rPr>
        <w:t>供水服务用户信息数据、消火栓</w:t>
      </w:r>
      <w:r>
        <w:rPr>
          <w:rFonts w:hint="eastAsia" w:ascii="宋体" w:hAnsi="宋体"/>
          <w:bCs/>
          <w:color w:val="auto"/>
          <w:lang w:val="en-US" w:eastAsia="zh-CN"/>
        </w:rPr>
        <w:t>信息</w:t>
      </w:r>
      <w:r>
        <w:rPr>
          <w:rFonts w:hint="eastAsia" w:ascii="宋体" w:hAnsi="宋体"/>
          <w:bCs/>
          <w:color w:val="auto"/>
        </w:rPr>
        <w:t>、检查井信息、阀门井盖信息、巡检巡查数据、第三方施工数据、隐患整治数据、老旧管网改造数据、维修台账数据</w:t>
      </w:r>
      <w:r>
        <w:rPr>
          <w:rFonts w:hint="eastAsia" w:ascii="宋体" w:hAnsi="宋体"/>
          <w:bCs/>
          <w:color w:val="auto"/>
          <w:lang w:val="en-US" w:eastAsia="zh-CN"/>
        </w:rPr>
        <w:t>等</w:t>
      </w:r>
      <w:r>
        <w:rPr>
          <w:rFonts w:hint="eastAsia" w:ascii="宋体" w:hAnsi="宋体"/>
          <w:bCs/>
          <w:color w:val="auto"/>
        </w:rPr>
        <w:t>。</w:t>
      </w:r>
    </w:p>
    <w:p w14:paraId="06525E6D">
      <w:pPr>
        <w:pStyle w:val="98"/>
        <w:spacing w:beforeLines="0" w:afterLines="0"/>
        <w:rPr>
          <w:rFonts w:hint="eastAsia" w:ascii="宋体" w:hAnsi="宋体"/>
          <w:bCs/>
          <w:color w:val="auto"/>
        </w:rPr>
      </w:pPr>
      <w:r>
        <w:rPr>
          <w:rFonts w:hint="eastAsia" w:ascii="宋体" w:hAnsi="宋体"/>
          <w:bCs/>
          <w:color w:val="auto"/>
        </w:rPr>
        <w:t>7.2.4雨水数据应包括雨水管线数据、雨水管点数据、雨水泵站信息、调蓄设施信息、雨水闸门信息、湖库信息、入河排口信息、河道信息、城市易涝点信息、巡检巡查数据、养护数据、第三方施工数据、隐患整治数据、老旧管网改造数据、维修台账等。</w:t>
      </w:r>
    </w:p>
    <w:p w14:paraId="5BA3FF03">
      <w:pPr>
        <w:pStyle w:val="98"/>
        <w:spacing w:beforeLines="0" w:afterLines="0"/>
        <w:rPr>
          <w:rFonts w:ascii="宋体" w:hAnsi="宋体"/>
          <w:bCs/>
          <w:color w:val="auto"/>
        </w:rPr>
      </w:pPr>
      <w:r>
        <w:rPr>
          <w:rFonts w:hint="eastAsia" w:ascii="宋体" w:hAnsi="宋体"/>
          <w:bCs/>
          <w:color w:val="auto"/>
        </w:rPr>
        <w:t>7.2.5污水数据应包括污水管线（含合流制）数据、污水管点数据、污水处理厂信息、污水泵站信息、截留设施信息、重点排水户信息、入河排口信息、巡检巡查数据、养护数据、第三方施工数据、隐患整治数据、老旧管网改造数据、维修台账数据等。</w:t>
      </w:r>
    </w:p>
    <w:p w14:paraId="4E3B1B2B">
      <w:pPr>
        <w:pStyle w:val="98"/>
        <w:spacing w:beforeLines="0" w:afterLines="0"/>
        <w:rPr>
          <w:rFonts w:ascii="宋体" w:hAnsi="宋体"/>
          <w:bCs/>
          <w:color w:val="auto"/>
        </w:rPr>
      </w:pPr>
      <w:r>
        <w:rPr>
          <w:rFonts w:hint="eastAsia" w:ascii="宋体" w:hAnsi="宋体"/>
          <w:bCs/>
          <w:color w:val="auto"/>
        </w:rPr>
        <w:t>7.2.6热力数据应包括热力管线数据、热力管点数据、热源厂信息、热换站信息、阀井（室）信息、巡检巡查数据、第三方施工数据、隐患整治数据、老旧管网改造数据、维修台账数据</w:t>
      </w:r>
      <w:r>
        <w:rPr>
          <w:rFonts w:hint="eastAsia" w:ascii="宋体" w:hAnsi="宋体"/>
          <w:bCs/>
          <w:color w:val="auto"/>
          <w:lang w:val="en-US" w:eastAsia="zh-CN"/>
        </w:rPr>
        <w:t>等</w:t>
      </w:r>
      <w:r>
        <w:rPr>
          <w:rFonts w:hint="eastAsia" w:ascii="宋体" w:hAnsi="宋体"/>
          <w:bCs/>
          <w:color w:val="auto"/>
        </w:rPr>
        <w:t>。</w:t>
      </w:r>
    </w:p>
    <w:p w14:paraId="3A12F32C">
      <w:pPr>
        <w:pStyle w:val="98"/>
        <w:spacing w:beforeLines="0" w:afterLines="0"/>
        <w:rPr>
          <w:rFonts w:ascii="宋体" w:hAnsi="宋体"/>
          <w:bCs/>
          <w:color w:val="auto"/>
        </w:rPr>
      </w:pPr>
      <w:r>
        <w:rPr>
          <w:rFonts w:hint="eastAsia" w:ascii="宋体" w:hAnsi="宋体"/>
          <w:bCs/>
          <w:color w:val="auto"/>
        </w:rPr>
        <w:t>7.2.7桥梁数据应包括桥梁基本信息、联信息、跨信息、墩信息、检测报告、检查记录信息、桥梁竣工图纸和计算书、桥梁状况指数信息（BCI）、巡检巡查数据、第三方施工数据、隐患整治数据、病害检查</w:t>
      </w:r>
      <w:r>
        <w:rPr>
          <w:rFonts w:hint="eastAsia" w:ascii="宋体" w:hAnsi="宋体"/>
          <w:bCs/>
          <w:color w:val="auto"/>
          <w:lang w:val="en-US" w:eastAsia="zh-CN"/>
        </w:rPr>
        <w:t>数据</w:t>
      </w:r>
      <w:r>
        <w:rPr>
          <w:rFonts w:hint="eastAsia" w:ascii="宋体" w:hAnsi="宋体"/>
          <w:bCs/>
          <w:color w:val="auto"/>
        </w:rPr>
        <w:t>、维修养护信息以及交通量调查信息</w:t>
      </w:r>
      <w:r>
        <w:rPr>
          <w:rFonts w:hint="eastAsia" w:ascii="宋体" w:hAnsi="宋体"/>
          <w:bCs/>
          <w:color w:val="auto"/>
          <w:lang w:val="en-US" w:eastAsia="zh-CN"/>
        </w:rPr>
        <w:t>等</w:t>
      </w:r>
      <w:r>
        <w:rPr>
          <w:rFonts w:hint="eastAsia" w:ascii="宋体" w:hAnsi="宋体"/>
          <w:bCs/>
          <w:color w:val="auto"/>
        </w:rPr>
        <w:t>。</w:t>
      </w:r>
    </w:p>
    <w:p w14:paraId="3DDBC59D">
      <w:pPr>
        <w:pStyle w:val="98"/>
        <w:spacing w:beforeLines="0" w:afterLines="0"/>
        <w:rPr>
          <w:rFonts w:ascii="宋体" w:hAnsi="宋体"/>
          <w:bCs/>
          <w:color w:val="auto"/>
        </w:rPr>
      </w:pPr>
      <w:r>
        <w:rPr>
          <w:rFonts w:hint="eastAsia" w:ascii="宋体" w:hAnsi="宋体"/>
          <w:bCs/>
          <w:color w:val="auto"/>
        </w:rPr>
        <w:t>7.2.8隧道数据应包括隧道基本信息、检测报告、检查记录信息、隧道竣工图纸和计算书、巡检巡查数据、第三方施工数据、隐患整治数据、病害检查</w:t>
      </w:r>
      <w:r>
        <w:rPr>
          <w:rFonts w:hint="eastAsia" w:ascii="宋体" w:hAnsi="宋体"/>
          <w:bCs/>
          <w:color w:val="auto"/>
          <w:lang w:val="en-US" w:eastAsia="zh-CN"/>
        </w:rPr>
        <w:t>数据</w:t>
      </w:r>
      <w:r>
        <w:rPr>
          <w:rFonts w:hint="eastAsia" w:ascii="宋体" w:hAnsi="宋体"/>
          <w:bCs/>
          <w:color w:val="auto"/>
        </w:rPr>
        <w:t>、维修养护信息以及交通量调查信息</w:t>
      </w:r>
      <w:r>
        <w:rPr>
          <w:rFonts w:hint="eastAsia" w:ascii="宋体" w:hAnsi="宋体"/>
          <w:bCs/>
          <w:color w:val="auto"/>
          <w:lang w:val="en-US" w:eastAsia="zh-CN"/>
        </w:rPr>
        <w:t>等</w:t>
      </w:r>
      <w:r>
        <w:rPr>
          <w:rFonts w:hint="eastAsia" w:ascii="宋体" w:hAnsi="宋体"/>
          <w:bCs/>
          <w:color w:val="auto"/>
        </w:rPr>
        <w:t>。</w:t>
      </w:r>
    </w:p>
    <w:p w14:paraId="5F06829F">
      <w:pPr>
        <w:pStyle w:val="108"/>
        <w:numPr>
          <w:ilvl w:val="1"/>
          <w:numId w:val="1"/>
        </w:numPr>
        <w:spacing w:beforeLines="50" w:afterLines="50"/>
      </w:pPr>
      <w:bookmarkStart w:id="100" w:name="_Toc232281750"/>
      <w:bookmarkStart w:id="101" w:name="_Toc18228"/>
      <w:r>
        <w:rPr>
          <w:rFonts w:hint="eastAsia"/>
        </w:rPr>
        <w:t>国土空间地理数据</w:t>
      </w:r>
      <w:bookmarkEnd w:id="100"/>
      <w:bookmarkEnd w:id="101"/>
    </w:p>
    <w:p w14:paraId="1F16FDD4">
      <w:pPr>
        <w:pStyle w:val="98"/>
        <w:spacing w:beforeLines="0" w:afterLines="0"/>
        <w:rPr>
          <w:rFonts w:ascii="宋体" w:hAnsi="宋体"/>
          <w:bCs/>
          <w:color w:val="auto"/>
        </w:rPr>
      </w:pPr>
      <w:r>
        <w:rPr>
          <w:rFonts w:hint="eastAsia" w:ascii="宋体" w:hAnsi="宋体"/>
          <w:bCs/>
          <w:color w:val="auto"/>
        </w:rPr>
        <w:t>7.3.1国土空间地理数据应包括数字正射影像图（</w:t>
      </w:r>
      <w:r>
        <w:rPr>
          <w:rFonts w:ascii="宋体" w:hAnsi="宋体"/>
          <w:bCs/>
          <w:color w:val="auto"/>
        </w:rPr>
        <w:t>DOM</w:t>
      </w:r>
      <w:r>
        <w:rPr>
          <w:rFonts w:hint="eastAsia" w:ascii="宋体" w:hAnsi="宋体"/>
          <w:bCs/>
          <w:color w:val="auto"/>
        </w:rPr>
        <w:t>）数据、数据高程模型数据（</w:t>
      </w:r>
      <w:r>
        <w:rPr>
          <w:rFonts w:ascii="宋体" w:hAnsi="宋体"/>
          <w:bCs/>
          <w:color w:val="auto"/>
        </w:rPr>
        <w:t>DEM</w:t>
      </w:r>
      <w:r>
        <w:rPr>
          <w:rFonts w:hint="eastAsia" w:ascii="宋体" w:hAnsi="宋体"/>
          <w:bCs/>
          <w:color w:val="auto"/>
        </w:rPr>
        <w:t>）数据和数字线划</w:t>
      </w:r>
      <w:r>
        <w:rPr>
          <w:rFonts w:hint="eastAsia" w:ascii="宋体" w:hAnsi="宋体"/>
          <w:bCs/>
          <w:color w:val="auto"/>
          <w:lang w:val="en-US" w:eastAsia="zh-CN"/>
        </w:rPr>
        <w:t>地图</w:t>
      </w:r>
      <w:r>
        <w:rPr>
          <w:rFonts w:hint="eastAsia" w:ascii="宋体" w:hAnsi="宋体"/>
          <w:bCs/>
          <w:color w:val="auto"/>
        </w:rPr>
        <w:t>（</w:t>
      </w:r>
      <w:r>
        <w:rPr>
          <w:rFonts w:ascii="宋体" w:hAnsi="宋体"/>
          <w:bCs/>
          <w:color w:val="auto"/>
        </w:rPr>
        <w:t>DLG</w:t>
      </w:r>
      <w:r>
        <w:rPr>
          <w:rFonts w:hint="eastAsia" w:ascii="宋体" w:hAnsi="宋体"/>
          <w:bCs/>
          <w:color w:val="auto"/>
        </w:rPr>
        <w:t>）数据。</w:t>
      </w:r>
      <w:r>
        <w:rPr>
          <w:rFonts w:ascii="宋体" w:hAnsi="宋体"/>
          <w:bCs/>
          <w:color w:val="auto"/>
        </w:rPr>
        <w:t xml:space="preserve"> </w:t>
      </w:r>
    </w:p>
    <w:p w14:paraId="12F6CD2C">
      <w:pPr>
        <w:pStyle w:val="98"/>
        <w:spacing w:beforeLines="0" w:afterLines="0"/>
        <w:rPr>
          <w:rFonts w:ascii="宋体" w:hAnsi="宋体"/>
          <w:bCs/>
          <w:color w:val="auto"/>
        </w:rPr>
      </w:pPr>
      <w:r>
        <w:rPr>
          <w:rFonts w:hint="eastAsia" w:ascii="宋体" w:hAnsi="宋体"/>
          <w:bCs/>
          <w:color w:val="auto"/>
        </w:rPr>
        <w:t>7.3.2数字正射影像图（DOM）数据分辨率应优于1m。</w:t>
      </w:r>
    </w:p>
    <w:p w14:paraId="333920FF">
      <w:pPr>
        <w:pStyle w:val="98"/>
        <w:spacing w:beforeLines="0" w:afterLines="0"/>
        <w:rPr>
          <w:rFonts w:ascii="宋体" w:hAnsi="宋体"/>
          <w:bCs/>
          <w:color w:val="auto"/>
        </w:rPr>
      </w:pPr>
      <w:r>
        <w:rPr>
          <w:rFonts w:hint="eastAsia" w:ascii="宋体" w:hAnsi="宋体"/>
          <w:bCs/>
          <w:color w:val="auto"/>
        </w:rPr>
        <w:t>7.3.3数据高程模型数据（</w:t>
      </w:r>
      <w:r>
        <w:rPr>
          <w:rFonts w:ascii="宋体" w:hAnsi="宋体"/>
          <w:bCs/>
          <w:color w:val="auto"/>
        </w:rPr>
        <w:t>DEM</w:t>
      </w:r>
      <w:r>
        <w:rPr>
          <w:rFonts w:hint="eastAsia" w:ascii="宋体" w:hAnsi="宋体"/>
          <w:bCs/>
          <w:color w:val="auto"/>
        </w:rPr>
        <w:t>）中格网精度应优于1m×1m。高程中误差应为平地不大于0.5m，高山地不大于5m。</w:t>
      </w:r>
    </w:p>
    <w:p w14:paraId="3983A871">
      <w:pPr>
        <w:pStyle w:val="98"/>
        <w:spacing w:beforeLines="0" w:afterLines="0"/>
        <w:rPr>
          <w:rFonts w:ascii="宋体" w:hAnsi="宋体"/>
          <w:bCs/>
          <w:color w:val="auto"/>
        </w:rPr>
      </w:pPr>
      <w:r>
        <w:rPr>
          <w:rFonts w:hint="eastAsia" w:ascii="宋体" w:hAnsi="宋体"/>
          <w:bCs/>
          <w:color w:val="auto"/>
        </w:rPr>
        <w:t>7.3.4数字线划</w:t>
      </w:r>
      <w:r>
        <w:rPr>
          <w:rFonts w:hint="eastAsia" w:ascii="宋体" w:hAnsi="宋体"/>
          <w:bCs/>
          <w:color w:val="auto"/>
          <w:lang w:val="en-US" w:eastAsia="zh-CN"/>
        </w:rPr>
        <w:t>地图</w:t>
      </w:r>
      <w:r>
        <w:rPr>
          <w:rFonts w:hint="eastAsia" w:ascii="宋体" w:hAnsi="宋体"/>
          <w:bCs/>
          <w:color w:val="auto"/>
        </w:rPr>
        <w:t>（DLG）数据比例尺应为</w:t>
      </w:r>
      <w:r>
        <w:rPr>
          <w:rFonts w:ascii="宋体" w:hAnsi="宋体"/>
          <w:bCs/>
          <w:color w:val="auto"/>
        </w:rPr>
        <w:t>1</w:t>
      </w:r>
      <w:r>
        <w:rPr>
          <w:rFonts w:hint="eastAsia" w:ascii="宋体" w:hAnsi="宋体"/>
          <w:bCs/>
          <w:color w:val="auto"/>
        </w:rPr>
        <w:t>:</w:t>
      </w:r>
      <w:r>
        <w:rPr>
          <w:rFonts w:ascii="宋体" w:hAnsi="宋体"/>
          <w:bCs/>
          <w:color w:val="auto"/>
        </w:rPr>
        <w:t>500-1:10000</w:t>
      </w:r>
      <w:r>
        <w:rPr>
          <w:rFonts w:hint="eastAsia" w:ascii="宋体" w:hAnsi="宋体"/>
          <w:bCs/>
          <w:color w:val="auto"/>
        </w:rPr>
        <w:t>，包括社会单元信息数据，道路信息数据，建筑物、公园、绿地、河流、湖泊、水库数据；地形地貌、植被数据，轨道交通数据，土地利用信息数据。</w:t>
      </w:r>
    </w:p>
    <w:p w14:paraId="73C28126">
      <w:pPr>
        <w:pStyle w:val="108"/>
        <w:numPr>
          <w:ilvl w:val="1"/>
          <w:numId w:val="1"/>
        </w:numPr>
        <w:spacing w:beforeLines="50" w:afterLines="50"/>
      </w:pPr>
      <w:bookmarkStart w:id="102" w:name="_Toc24936"/>
      <w:bookmarkStart w:id="103" w:name="_Toc232281751"/>
      <w:r>
        <w:rPr>
          <w:rFonts w:hint="eastAsia"/>
        </w:rPr>
        <w:t>城市基础设施模型数据</w:t>
      </w:r>
      <w:bookmarkEnd w:id="102"/>
      <w:bookmarkEnd w:id="103"/>
    </w:p>
    <w:p w14:paraId="3DD96F36">
      <w:pPr>
        <w:pStyle w:val="98"/>
        <w:spacing w:beforeLines="0" w:afterLines="0"/>
        <w:rPr>
          <w:rFonts w:ascii="宋体" w:hAnsi="宋体"/>
          <w:bCs/>
          <w:color w:val="auto"/>
        </w:rPr>
      </w:pPr>
      <w:r>
        <w:rPr>
          <w:rFonts w:hint="eastAsia" w:ascii="宋体" w:hAnsi="宋体"/>
          <w:bCs/>
          <w:color w:val="auto"/>
        </w:rPr>
        <w:t>7.4.1城市基础设施模型数据应包括地下管线三维模型、交通设施三维模型，宜包括地上建（构）筑物三维模型、地形三维模型。</w:t>
      </w:r>
      <w:r>
        <w:rPr>
          <w:rFonts w:ascii="宋体" w:hAnsi="宋体"/>
          <w:bCs/>
          <w:color w:val="auto"/>
        </w:rPr>
        <w:t xml:space="preserve"> </w:t>
      </w:r>
    </w:p>
    <w:p w14:paraId="3CFF9A07">
      <w:pPr>
        <w:pStyle w:val="98"/>
        <w:spacing w:beforeLines="0" w:afterLines="0"/>
        <w:rPr>
          <w:rFonts w:ascii="宋体" w:hAnsi="宋体"/>
          <w:bCs/>
          <w:color w:val="auto"/>
        </w:rPr>
      </w:pPr>
      <w:r>
        <w:rPr>
          <w:rFonts w:hint="eastAsia" w:ascii="宋体" w:hAnsi="宋体"/>
          <w:bCs/>
          <w:color w:val="auto"/>
        </w:rPr>
        <w:t>7.4.2地下管线三维模型应包括燃气管网、供水管网、排水管网、热力管网三维模型，宜包括通信管网、电力管网三维模型数据。</w:t>
      </w:r>
    </w:p>
    <w:p w14:paraId="7E1BB468">
      <w:pPr>
        <w:spacing w:beforeLines="0" w:afterLines="0"/>
        <w:ind w:firstLine="560"/>
        <w:jc w:val="left"/>
        <w:rPr>
          <w:rFonts w:ascii="宋体" w:hAnsi="宋体"/>
          <w:bCs/>
        </w:rPr>
      </w:pPr>
      <w:r>
        <w:rPr>
          <w:rFonts w:hint="eastAsia" w:ascii="宋体" w:hAnsi="宋体"/>
          <w:bCs/>
        </w:rPr>
        <w:t>a）燃气管网三维模型应包括市政燃气管网、阀门井、</w:t>
      </w:r>
      <w:r>
        <w:rPr>
          <w:rFonts w:hint="eastAsia" w:ascii="宋体" w:hAnsi="宋体"/>
          <w:bCs/>
          <w:lang w:val="en-US" w:eastAsia="zh-CN"/>
        </w:rPr>
        <w:t>阀门、</w:t>
      </w:r>
      <w:r>
        <w:rPr>
          <w:rFonts w:hint="eastAsia" w:ascii="宋体" w:hAnsi="宋体"/>
          <w:bCs/>
        </w:rPr>
        <w:t>阴极保护桩</w:t>
      </w:r>
      <w:r>
        <w:rPr>
          <w:rFonts w:hint="eastAsia" w:ascii="宋体" w:hAnsi="宋体"/>
          <w:bCs/>
          <w:lang w:eastAsia="zh-CN"/>
        </w:rPr>
        <w:t>、</w:t>
      </w:r>
      <w:r>
        <w:rPr>
          <w:rFonts w:hint="eastAsia" w:ascii="宋体" w:hAnsi="宋体"/>
          <w:bCs/>
          <w:lang w:val="en-US" w:eastAsia="zh-CN"/>
        </w:rPr>
        <w:t>监测设备</w:t>
      </w:r>
      <w:r>
        <w:rPr>
          <w:rFonts w:hint="eastAsia" w:ascii="宋体" w:hAnsi="宋体"/>
          <w:bCs/>
        </w:rPr>
        <w:t>模型。</w:t>
      </w:r>
    </w:p>
    <w:p w14:paraId="756C1521">
      <w:pPr>
        <w:spacing w:beforeLines="0" w:afterLines="0"/>
        <w:ind w:firstLine="560"/>
        <w:rPr>
          <w:rFonts w:ascii="宋体" w:hAnsi="宋体"/>
          <w:bCs/>
        </w:rPr>
      </w:pPr>
      <w:r>
        <w:rPr>
          <w:rFonts w:hint="eastAsia" w:ascii="宋体" w:hAnsi="宋体"/>
          <w:bCs/>
        </w:rPr>
        <w:t>b）供水管网三维模型应包括市政供水管网、阀门井、</w:t>
      </w:r>
      <w:r>
        <w:rPr>
          <w:rFonts w:hint="eastAsia" w:ascii="宋体" w:hAnsi="宋体"/>
          <w:bCs/>
          <w:lang w:val="en-US" w:eastAsia="zh-CN"/>
        </w:rPr>
        <w:t>阀门、监测设备</w:t>
      </w:r>
      <w:r>
        <w:rPr>
          <w:rFonts w:hint="eastAsia" w:ascii="宋体" w:hAnsi="宋体"/>
          <w:bCs/>
        </w:rPr>
        <w:t>模型。</w:t>
      </w:r>
    </w:p>
    <w:p w14:paraId="45449E24">
      <w:pPr>
        <w:spacing w:beforeLines="0" w:afterLines="0"/>
        <w:ind w:firstLine="560"/>
        <w:rPr>
          <w:rFonts w:ascii="宋体" w:hAnsi="宋体"/>
          <w:bCs/>
        </w:rPr>
      </w:pPr>
      <w:r>
        <w:rPr>
          <w:rFonts w:hint="eastAsia" w:ascii="宋体" w:hAnsi="宋体"/>
          <w:bCs/>
        </w:rPr>
        <w:t>c）排水管网三维模型应包括市政污水、市政雨水、市政雨污合流管网、污水井、</w:t>
      </w:r>
      <w:r>
        <w:rPr>
          <w:rFonts w:hint="eastAsia" w:ascii="宋体" w:hAnsi="宋体"/>
          <w:bCs/>
          <w:lang w:val="en-US" w:eastAsia="zh-CN"/>
        </w:rPr>
        <w:t>雨</w:t>
      </w:r>
      <w:r>
        <w:rPr>
          <w:rFonts w:hint="eastAsia" w:ascii="宋体" w:hAnsi="宋体"/>
          <w:bCs/>
        </w:rPr>
        <w:t>水井、阀门、泵站、</w:t>
      </w:r>
      <w:r>
        <w:rPr>
          <w:rFonts w:hint="eastAsia" w:ascii="宋体" w:hAnsi="宋体"/>
          <w:bCs/>
          <w:lang w:val="en-US" w:eastAsia="zh-CN"/>
        </w:rPr>
        <w:t>监测设备</w:t>
      </w:r>
      <w:r>
        <w:rPr>
          <w:rFonts w:hint="eastAsia" w:ascii="宋体" w:hAnsi="宋体"/>
          <w:bCs/>
        </w:rPr>
        <w:t>模型。</w:t>
      </w:r>
    </w:p>
    <w:p w14:paraId="5750A82A">
      <w:pPr>
        <w:spacing w:beforeLines="0" w:afterLines="0"/>
        <w:ind w:firstLine="560"/>
        <w:jc w:val="left"/>
        <w:rPr>
          <w:rFonts w:ascii="宋体" w:hAnsi="宋体"/>
          <w:bCs/>
        </w:rPr>
      </w:pPr>
      <w:r>
        <w:rPr>
          <w:rFonts w:hint="eastAsia" w:ascii="宋体" w:hAnsi="宋体"/>
          <w:bCs/>
        </w:rPr>
        <w:t>d）热力管网三维模型应包括市政</w:t>
      </w:r>
      <w:r>
        <w:rPr>
          <w:rFonts w:hint="eastAsia" w:ascii="宋体" w:hAnsi="宋体"/>
          <w:bCs/>
          <w:lang w:val="en-US" w:eastAsia="zh-CN"/>
        </w:rPr>
        <w:t>热力</w:t>
      </w:r>
      <w:r>
        <w:rPr>
          <w:rFonts w:hint="eastAsia" w:ascii="宋体" w:hAnsi="宋体"/>
          <w:bCs/>
        </w:rPr>
        <w:t>管网、阀门井、阀门、疏水箱、排潮孔、</w:t>
      </w:r>
      <w:r>
        <w:rPr>
          <w:rFonts w:hint="eastAsia" w:ascii="宋体" w:hAnsi="宋体"/>
          <w:bCs/>
          <w:lang w:val="en-US" w:eastAsia="zh-CN"/>
        </w:rPr>
        <w:t>监测设备</w:t>
      </w:r>
      <w:r>
        <w:rPr>
          <w:rFonts w:hint="eastAsia" w:ascii="宋体" w:hAnsi="宋体"/>
          <w:bCs/>
        </w:rPr>
        <w:t>模型。</w:t>
      </w:r>
    </w:p>
    <w:p w14:paraId="16E0D931">
      <w:pPr>
        <w:spacing w:beforeLines="0" w:afterLines="0"/>
        <w:ind w:firstLine="560"/>
        <w:rPr>
          <w:rFonts w:ascii="宋体" w:hAnsi="宋体"/>
          <w:bCs/>
        </w:rPr>
      </w:pPr>
      <w:r>
        <w:rPr>
          <w:rFonts w:hint="eastAsia" w:ascii="宋体" w:hAnsi="宋体"/>
          <w:bCs/>
        </w:rPr>
        <w:t>e）通信管网三维模型宜包括市政通信管网</w:t>
      </w:r>
      <w:r>
        <w:rPr>
          <w:rFonts w:hint="eastAsia" w:ascii="宋体" w:hAnsi="宋体"/>
          <w:bCs/>
          <w:lang w:eastAsia="zh-CN"/>
        </w:rPr>
        <w:t>、</w:t>
      </w:r>
      <w:r>
        <w:rPr>
          <w:rFonts w:hint="eastAsia" w:ascii="宋体" w:hAnsi="宋体"/>
          <w:bCs/>
          <w:lang w:val="en-US" w:eastAsia="zh-CN"/>
        </w:rPr>
        <w:t>检查井、通信柜</w:t>
      </w:r>
      <w:r>
        <w:rPr>
          <w:rFonts w:hint="eastAsia" w:ascii="宋体" w:hAnsi="宋体"/>
          <w:bCs/>
        </w:rPr>
        <w:t>模型。</w:t>
      </w:r>
    </w:p>
    <w:p w14:paraId="5BC19BAF">
      <w:pPr>
        <w:spacing w:beforeLines="0" w:afterLines="0"/>
        <w:ind w:firstLine="560"/>
        <w:rPr>
          <w:rFonts w:ascii="宋体" w:hAnsi="宋体"/>
          <w:bCs/>
        </w:rPr>
      </w:pPr>
      <w:r>
        <w:rPr>
          <w:rFonts w:hint="eastAsia" w:ascii="宋体" w:hAnsi="宋体"/>
          <w:bCs/>
        </w:rPr>
        <w:t>f）电力管网三维模型宜包括市政供电管网、</w:t>
      </w:r>
      <w:r>
        <w:rPr>
          <w:rFonts w:hint="eastAsia" w:ascii="宋体" w:hAnsi="宋体"/>
          <w:bCs/>
          <w:lang w:val="en-US" w:eastAsia="zh-CN"/>
        </w:rPr>
        <w:t>检查井、环网柜、箱变、</w:t>
      </w:r>
      <w:r>
        <w:rPr>
          <w:rFonts w:hint="eastAsia" w:ascii="宋体" w:hAnsi="宋体"/>
          <w:bCs/>
        </w:rPr>
        <w:t>路灯模型。</w:t>
      </w:r>
    </w:p>
    <w:p w14:paraId="679808C4">
      <w:pPr>
        <w:pStyle w:val="98"/>
        <w:spacing w:beforeLines="0" w:afterLines="0"/>
        <w:rPr>
          <w:rFonts w:ascii="宋体" w:hAnsi="宋体"/>
          <w:bCs/>
          <w:color w:val="auto"/>
        </w:rPr>
      </w:pPr>
      <w:r>
        <w:rPr>
          <w:rFonts w:hint="eastAsia" w:ascii="宋体" w:hAnsi="宋体"/>
          <w:bCs/>
          <w:color w:val="auto"/>
        </w:rPr>
        <w:t>7.4.3交通设施三维模型应包括桥梁、隧道三维模型数据，宜包括道路三维模型数据。</w:t>
      </w:r>
    </w:p>
    <w:p w14:paraId="171A43B9">
      <w:pPr>
        <w:spacing w:beforeLines="0" w:afterLines="0"/>
        <w:ind w:firstLine="560"/>
        <w:rPr>
          <w:rFonts w:ascii="宋体" w:hAnsi="宋体"/>
          <w:bCs/>
        </w:rPr>
      </w:pPr>
      <w:r>
        <w:rPr>
          <w:rFonts w:hint="eastAsia" w:ascii="宋体" w:hAnsi="宋体"/>
          <w:bCs/>
        </w:rPr>
        <w:t>a）桥梁三维模型应包括桥梁主体以及监测设备模型。</w:t>
      </w:r>
    </w:p>
    <w:p w14:paraId="420EDA48">
      <w:pPr>
        <w:spacing w:beforeLines="0" w:afterLines="0"/>
        <w:ind w:firstLine="560"/>
        <w:rPr>
          <w:rFonts w:ascii="宋体" w:hAnsi="宋体"/>
          <w:bCs/>
        </w:rPr>
      </w:pPr>
      <w:r>
        <w:rPr>
          <w:rFonts w:hint="eastAsia" w:ascii="宋体" w:hAnsi="宋体"/>
          <w:bCs/>
        </w:rPr>
        <w:t>b）隧道三维模型应包括隧道主体以及监测设备模型。</w:t>
      </w:r>
    </w:p>
    <w:p w14:paraId="6FD7361C">
      <w:pPr>
        <w:spacing w:beforeLines="0" w:afterLines="0"/>
        <w:ind w:firstLine="560"/>
        <w:rPr>
          <w:rFonts w:ascii="宋体" w:hAnsi="宋体"/>
          <w:bCs/>
        </w:rPr>
      </w:pPr>
      <w:r>
        <w:rPr>
          <w:rFonts w:hint="eastAsia" w:ascii="宋体" w:hAnsi="宋体"/>
          <w:bCs/>
        </w:rPr>
        <w:t>c）道路三维模型宜包括道路及道路附属设施模型。</w:t>
      </w:r>
    </w:p>
    <w:p w14:paraId="78B37561">
      <w:pPr>
        <w:pStyle w:val="98"/>
        <w:spacing w:beforeLines="0" w:afterLines="0"/>
        <w:rPr>
          <w:rFonts w:ascii="宋体" w:hAnsi="宋体"/>
          <w:bCs/>
          <w:color w:val="auto"/>
        </w:rPr>
      </w:pPr>
      <w:r>
        <w:rPr>
          <w:rFonts w:hint="eastAsia" w:ascii="宋体" w:hAnsi="宋体"/>
          <w:bCs/>
          <w:color w:val="auto"/>
        </w:rPr>
        <w:t>7.4.4.地上建（构）筑物三维模型宜包括地上危险源及重点防护目标建筑物三维模型、普通</w:t>
      </w:r>
      <w:r>
        <w:rPr>
          <w:rFonts w:hint="eastAsia" w:ascii="宋体" w:hAnsi="宋体"/>
          <w:bCs/>
          <w:color w:val="auto"/>
          <w:lang w:val="en-US" w:eastAsia="zh-CN"/>
        </w:rPr>
        <w:t>建</w:t>
      </w:r>
      <w:r>
        <w:rPr>
          <w:rFonts w:hint="eastAsia" w:ascii="宋体" w:hAnsi="宋体"/>
          <w:bCs/>
          <w:color w:val="auto"/>
        </w:rPr>
        <w:t>构筑物三维模型、其他要素类三维模型。</w:t>
      </w:r>
    </w:p>
    <w:p w14:paraId="2467DB3B">
      <w:pPr>
        <w:spacing w:beforeLines="0" w:afterLines="0"/>
        <w:ind w:firstLine="560"/>
        <w:rPr>
          <w:rFonts w:ascii="宋体" w:hAnsi="宋体"/>
          <w:bCs/>
        </w:rPr>
      </w:pPr>
      <w:r>
        <w:rPr>
          <w:rFonts w:ascii="宋体" w:hAnsi="宋体"/>
          <w:bCs/>
        </w:rPr>
        <w:t>a</w:t>
      </w:r>
      <w:r>
        <w:rPr>
          <w:rFonts w:hint="eastAsia" w:ascii="宋体" w:hAnsi="宋体"/>
          <w:bCs/>
        </w:rPr>
        <w:t>）地上危险源及重点防护目标建筑物三维模型宜包括重大危险源和重点防护目标模型。</w:t>
      </w:r>
    </w:p>
    <w:p w14:paraId="63113C79">
      <w:pPr>
        <w:spacing w:beforeLines="0" w:afterLines="0"/>
        <w:ind w:firstLine="560"/>
        <w:rPr>
          <w:rFonts w:ascii="宋体" w:hAnsi="宋体"/>
          <w:bCs/>
        </w:rPr>
      </w:pPr>
      <w:r>
        <w:rPr>
          <w:rFonts w:hint="eastAsia" w:ascii="宋体" w:hAnsi="宋体"/>
          <w:bCs/>
        </w:rPr>
        <w:t>b）普通</w:t>
      </w:r>
      <w:r>
        <w:rPr>
          <w:rFonts w:hint="eastAsia" w:ascii="宋体" w:hAnsi="宋体"/>
          <w:bCs/>
          <w:lang w:val="en-US" w:eastAsia="zh-CN"/>
        </w:rPr>
        <w:t>建</w:t>
      </w:r>
      <w:r>
        <w:rPr>
          <w:rFonts w:hint="eastAsia" w:ascii="宋体" w:hAnsi="宋体"/>
          <w:bCs/>
        </w:rPr>
        <w:t>构筑物三维模型宜包括民房、小区建筑、普通住宅模型。</w:t>
      </w:r>
    </w:p>
    <w:p w14:paraId="300D1B8D">
      <w:pPr>
        <w:spacing w:beforeLines="0" w:afterLines="0"/>
        <w:ind w:firstLine="560"/>
        <w:rPr>
          <w:rFonts w:ascii="宋体" w:hAnsi="宋体"/>
          <w:bCs/>
        </w:rPr>
      </w:pPr>
      <w:r>
        <w:rPr>
          <w:rFonts w:hint="eastAsia" w:ascii="宋体" w:hAnsi="宋体"/>
          <w:bCs/>
        </w:rPr>
        <w:t>c）其他要素模型宜包括地面要素、水系要素、植被要素、设施要素模型。</w:t>
      </w:r>
    </w:p>
    <w:p w14:paraId="05C57C2D">
      <w:pPr>
        <w:pStyle w:val="98"/>
        <w:spacing w:beforeLines="0" w:afterLines="0"/>
        <w:rPr>
          <w:rFonts w:ascii="宋体" w:hAnsi="宋体"/>
          <w:bCs/>
          <w:color w:val="auto"/>
        </w:rPr>
      </w:pPr>
      <w:r>
        <w:rPr>
          <w:rFonts w:ascii="宋体" w:hAnsi="宋体"/>
          <w:bCs/>
          <w:color w:val="auto"/>
        </w:rPr>
        <w:t>7.4.</w:t>
      </w:r>
      <w:r>
        <w:rPr>
          <w:rFonts w:hint="eastAsia" w:ascii="宋体" w:hAnsi="宋体"/>
          <w:bCs/>
          <w:color w:val="auto"/>
        </w:rPr>
        <w:t>5地形三维模型宜包括地形起伏特征。</w:t>
      </w:r>
    </w:p>
    <w:p w14:paraId="1001E624">
      <w:pPr>
        <w:pStyle w:val="98"/>
        <w:spacing w:beforeLines="0" w:afterLines="0"/>
        <w:rPr>
          <w:rFonts w:ascii="宋体" w:hAnsi="宋体"/>
          <w:bCs/>
          <w:color w:val="auto"/>
        </w:rPr>
      </w:pPr>
      <w:r>
        <w:rPr>
          <w:rFonts w:hint="eastAsia" w:ascii="宋体" w:hAnsi="宋体"/>
          <w:bCs/>
          <w:color w:val="auto"/>
        </w:rPr>
        <w:t>7.4.6城市基础设施模型数据格式、</w:t>
      </w:r>
      <w:r>
        <w:rPr>
          <w:rFonts w:hint="eastAsia" w:ascii="宋体" w:hAnsi="宋体"/>
          <w:bCs/>
          <w:color w:val="auto"/>
          <w:lang w:eastAsia="zh-CN"/>
        </w:rPr>
        <w:t>标准</w:t>
      </w:r>
      <w:r>
        <w:rPr>
          <w:rFonts w:hint="eastAsia" w:ascii="宋体" w:hAnsi="宋体"/>
          <w:bCs/>
          <w:color w:val="auto"/>
        </w:rPr>
        <w:t>等要求应同时满足国家、行业和湖北省三维模型数据标准。</w:t>
      </w:r>
    </w:p>
    <w:p w14:paraId="6BE96190">
      <w:pPr>
        <w:pStyle w:val="108"/>
        <w:numPr>
          <w:ilvl w:val="1"/>
          <w:numId w:val="1"/>
        </w:numPr>
        <w:spacing w:beforeLines="50" w:afterLines="50"/>
      </w:pPr>
      <w:bookmarkStart w:id="104" w:name="_Toc232281752"/>
      <w:bookmarkStart w:id="105" w:name="_Toc25981"/>
      <w:r>
        <w:rPr>
          <w:rFonts w:hint="eastAsia"/>
        </w:rPr>
        <w:t>社会资源数据</w:t>
      </w:r>
      <w:bookmarkEnd w:id="104"/>
      <w:bookmarkEnd w:id="105"/>
    </w:p>
    <w:p w14:paraId="19A4150A">
      <w:pPr>
        <w:pStyle w:val="98"/>
        <w:spacing w:beforeLines="0" w:afterLines="0"/>
        <w:rPr>
          <w:rFonts w:ascii="宋体" w:hAnsi="宋体"/>
          <w:bCs/>
          <w:color w:val="auto"/>
        </w:rPr>
      </w:pPr>
      <w:r>
        <w:rPr>
          <w:rFonts w:hint="eastAsia" w:ascii="宋体" w:hAnsi="宋体"/>
          <w:bCs/>
          <w:color w:val="auto"/>
        </w:rPr>
        <w:t>7.5</w:t>
      </w:r>
      <w:r>
        <w:rPr>
          <w:rFonts w:ascii="宋体" w:hAnsi="宋体"/>
          <w:bCs/>
          <w:color w:val="auto"/>
        </w:rPr>
        <w:t>.1</w:t>
      </w:r>
      <w:r>
        <w:rPr>
          <w:rFonts w:hint="eastAsia" w:ascii="宋体" w:hAnsi="宋体"/>
          <w:bCs/>
          <w:color w:val="auto"/>
        </w:rPr>
        <w:t>社会资源数据应包括重点防护目标、重大危险源、应急资源信息等。</w:t>
      </w:r>
      <w:r>
        <w:rPr>
          <w:rFonts w:ascii="宋体" w:hAnsi="宋体"/>
          <w:bCs/>
          <w:color w:val="auto"/>
        </w:rPr>
        <w:t xml:space="preserve"> </w:t>
      </w:r>
    </w:p>
    <w:p w14:paraId="3046D377">
      <w:pPr>
        <w:pStyle w:val="98"/>
        <w:spacing w:beforeLines="0" w:afterLines="0"/>
        <w:rPr>
          <w:rFonts w:ascii="宋体" w:hAnsi="宋体"/>
          <w:bCs/>
          <w:color w:val="auto"/>
        </w:rPr>
      </w:pPr>
      <w:r>
        <w:rPr>
          <w:rFonts w:hint="eastAsia" w:ascii="宋体" w:hAnsi="宋体"/>
          <w:bCs/>
          <w:color w:val="auto"/>
        </w:rPr>
        <w:t>7.5</w:t>
      </w:r>
      <w:r>
        <w:rPr>
          <w:rFonts w:ascii="宋体" w:hAnsi="宋体"/>
          <w:bCs/>
          <w:color w:val="auto"/>
        </w:rPr>
        <w:t>.2</w:t>
      </w:r>
      <w:r>
        <w:rPr>
          <w:rFonts w:hint="eastAsia" w:ascii="宋体" w:hAnsi="宋体"/>
          <w:bCs/>
          <w:color w:val="auto"/>
        </w:rPr>
        <w:t>重点防护目标应包括政府机关、学校、医院、车站等场所。</w:t>
      </w:r>
    </w:p>
    <w:p w14:paraId="7DFD36EA">
      <w:pPr>
        <w:pStyle w:val="98"/>
        <w:spacing w:beforeLines="0" w:afterLines="0"/>
        <w:rPr>
          <w:rFonts w:ascii="宋体" w:hAnsi="宋体"/>
          <w:bCs/>
          <w:color w:val="auto"/>
        </w:rPr>
      </w:pPr>
      <w:r>
        <w:rPr>
          <w:rFonts w:hint="eastAsia" w:ascii="宋体" w:hAnsi="宋体"/>
          <w:bCs/>
          <w:color w:val="auto"/>
        </w:rPr>
        <w:t>7.5</w:t>
      </w:r>
      <w:r>
        <w:rPr>
          <w:rFonts w:ascii="宋体" w:hAnsi="宋体"/>
          <w:bCs/>
          <w:color w:val="auto"/>
        </w:rPr>
        <w:t>.3</w:t>
      </w:r>
      <w:r>
        <w:rPr>
          <w:rFonts w:hint="eastAsia" w:ascii="宋体" w:hAnsi="宋体"/>
          <w:bCs/>
          <w:color w:val="auto"/>
        </w:rPr>
        <w:t>重大危险源应包括加油站、加气站、放射源、锅炉站、饭店、危险化学品工程等物理场所。</w:t>
      </w:r>
    </w:p>
    <w:p w14:paraId="3C879B9C">
      <w:pPr>
        <w:pStyle w:val="98"/>
        <w:spacing w:beforeLines="0" w:afterLines="0"/>
        <w:rPr>
          <w:rFonts w:ascii="宋体" w:hAnsi="宋体"/>
          <w:bCs/>
          <w:color w:val="auto"/>
        </w:rPr>
      </w:pPr>
      <w:r>
        <w:rPr>
          <w:rFonts w:hint="eastAsia" w:ascii="宋体" w:hAnsi="宋体"/>
          <w:bCs/>
          <w:color w:val="auto"/>
        </w:rPr>
        <w:t>7.5</w:t>
      </w:r>
      <w:r>
        <w:rPr>
          <w:rFonts w:ascii="宋体" w:hAnsi="宋体"/>
          <w:bCs/>
          <w:color w:val="auto"/>
        </w:rPr>
        <w:t>.4</w:t>
      </w:r>
      <w:r>
        <w:rPr>
          <w:rFonts w:hint="eastAsia" w:ascii="宋体" w:hAnsi="宋体"/>
          <w:bCs/>
          <w:color w:val="auto"/>
        </w:rPr>
        <w:t>应急资源信息数据应包括应急救援队伍、应急物资储备库、应急物资、应急专家、应急避难场所、应急预案、应急知识库等数据。</w:t>
      </w:r>
    </w:p>
    <w:p w14:paraId="0808CAA8">
      <w:pPr>
        <w:pStyle w:val="108"/>
        <w:numPr>
          <w:ilvl w:val="1"/>
          <w:numId w:val="1"/>
        </w:numPr>
        <w:spacing w:beforeLines="50" w:afterLines="50"/>
      </w:pPr>
      <w:bookmarkStart w:id="106" w:name="_Toc232281753"/>
      <w:bookmarkStart w:id="107" w:name="_Toc3163"/>
      <w:r>
        <w:rPr>
          <w:rFonts w:hint="eastAsia"/>
        </w:rPr>
        <w:t>风险评估数据</w:t>
      </w:r>
      <w:bookmarkEnd w:id="106"/>
      <w:bookmarkEnd w:id="107"/>
    </w:p>
    <w:p w14:paraId="55CEA785">
      <w:pPr>
        <w:pStyle w:val="98"/>
        <w:spacing w:beforeLines="0" w:afterLines="0"/>
        <w:rPr>
          <w:rFonts w:ascii="宋体" w:hAnsi="宋体"/>
          <w:bCs/>
          <w:color w:val="auto"/>
        </w:rPr>
      </w:pPr>
      <w:r>
        <w:rPr>
          <w:rFonts w:hint="eastAsia" w:ascii="宋体" w:hAnsi="宋体"/>
          <w:bCs/>
          <w:color w:val="auto"/>
        </w:rPr>
        <w:t>7.6</w:t>
      </w:r>
      <w:r>
        <w:rPr>
          <w:rFonts w:ascii="宋体" w:hAnsi="宋体"/>
          <w:bCs/>
          <w:color w:val="auto"/>
        </w:rPr>
        <w:t>.1</w:t>
      </w:r>
      <w:r>
        <w:rPr>
          <w:rFonts w:hint="eastAsia" w:ascii="宋体" w:hAnsi="宋体"/>
          <w:bCs/>
          <w:color w:val="auto"/>
        </w:rPr>
        <w:t>风险评估数据应包括风险清单、风险分布四色图、</w:t>
      </w:r>
      <w:r>
        <w:rPr>
          <w:rFonts w:hint="eastAsia" w:ascii="宋体" w:hAnsi="宋体"/>
          <w:bCs/>
          <w:color w:val="auto"/>
          <w:highlight w:val="none"/>
        </w:rPr>
        <w:t>三高区域分布图</w:t>
      </w:r>
      <w:r>
        <w:rPr>
          <w:rFonts w:hint="eastAsia" w:ascii="宋体" w:hAnsi="宋体"/>
          <w:bCs/>
          <w:color w:val="auto"/>
        </w:rPr>
        <w:t>等。</w:t>
      </w:r>
      <w:r>
        <w:rPr>
          <w:rFonts w:ascii="宋体" w:hAnsi="宋体"/>
          <w:bCs/>
          <w:color w:val="auto"/>
        </w:rPr>
        <w:t xml:space="preserve"> </w:t>
      </w:r>
    </w:p>
    <w:p w14:paraId="614A63FD">
      <w:pPr>
        <w:pStyle w:val="98"/>
        <w:spacing w:beforeLines="0" w:afterLines="0"/>
        <w:rPr>
          <w:rFonts w:ascii="宋体" w:hAnsi="宋体"/>
          <w:bCs/>
          <w:color w:val="auto"/>
        </w:rPr>
      </w:pPr>
      <w:r>
        <w:rPr>
          <w:rFonts w:hint="eastAsia" w:ascii="宋体" w:hAnsi="宋体"/>
          <w:bCs/>
          <w:color w:val="auto"/>
        </w:rPr>
        <w:t>7.6</w:t>
      </w:r>
      <w:r>
        <w:rPr>
          <w:rFonts w:ascii="宋体" w:hAnsi="宋体"/>
          <w:bCs/>
          <w:color w:val="auto"/>
        </w:rPr>
        <w:t>.2</w:t>
      </w:r>
      <w:r>
        <w:rPr>
          <w:rFonts w:hint="eastAsia" w:ascii="宋体" w:hAnsi="宋体"/>
          <w:bCs/>
          <w:color w:val="auto"/>
        </w:rPr>
        <w:t>风险</w:t>
      </w:r>
      <w:r>
        <w:rPr>
          <w:rFonts w:hint="eastAsia" w:ascii="宋体" w:hAnsi="宋体"/>
          <w:bCs/>
          <w:color w:val="auto"/>
          <w:lang w:val="en-US" w:eastAsia="zh-CN"/>
        </w:rPr>
        <w:t>评估数据</w:t>
      </w:r>
      <w:r>
        <w:rPr>
          <w:rFonts w:hint="eastAsia" w:ascii="宋体" w:hAnsi="宋体"/>
          <w:bCs/>
          <w:color w:val="auto"/>
        </w:rPr>
        <w:t>应满足5.6规定。</w:t>
      </w:r>
    </w:p>
    <w:p w14:paraId="086F8518">
      <w:pPr>
        <w:pStyle w:val="108"/>
        <w:numPr>
          <w:ilvl w:val="1"/>
          <w:numId w:val="1"/>
        </w:numPr>
        <w:spacing w:beforeLines="50" w:afterLines="50"/>
      </w:pPr>
      <w:bookmarkStart w:id="108" w:name="_Toc232281754"/>
      <w:bookmarkStart w:id="109" w:name="_Toc15579"/>
      <w:r>
        <w:rPr>
          <w:rFonts w:hint="eastAsia"/>
        </w:rPr>
        <w:t>物联感知数据</w:t>
      </w:r>
      <w:bookmarkEnd w:id="108"/>
      <w:bookmarkEnd w:id="109"/>
    </w:p>
    <w:p w14:paraId="1418CB9D">
      <w:pPr>
        <w:pStyle w:val="98"/>
        <w:spacing w:beforeLines="0" w:afterLines="0"/>
        <w:rPr>
          <w:rFonts w:ascii="宋体" w:hAnsi="宋体"/>
          <w:bCs/>
          <w:color w:val="auto"/>
        </w:rPr>
      </w:pPr>
      <w:r>
        <w:rPr>
          <w:rFonts w:hint="eastAsia" w:ascii="宋体" w:hAnsi="宋体"/>
          <w:bCs/>
          <w:color w:val="auto"/>
        </w:rPr>
        <w:t>7.7</w:t>
      </w:r>
      <w:r>
        <w:rPr>
          <w:rFonts w:ascii="宋体" w:hAnsi="宋体"/>
          <w:bCs/>
          <w:color w:val="auto"/>
        </w:rPr>
        <w:t>.1</w:t>
      </w:r>
      <w:r>
        <w:rPr>
          <w:rFonts w:hint="eastAsia" w:ascii="宋体" w:hAnsi="宋体"/>
          <w:bCs/>
          <w:color w:val="auto"/>
        </w:rPr>
        <w:t>物联感知数据应包括燃气、供水、排水（雨水、污水）、热力、桥梁、隧道等监测对象的</w:t>
      </w:r>
      <w:r>
        <w:rPr>
          <w:rFonts w:hint="eastAsia" w:ascii="宋体" w:hAnsi="宋体"/>
          <w:bCs/>
          <w:color w:val="auto"/>
          <w:lang w:val="en-US" w:eastAsia="zh-CN"/>
        </w:rPr>
        <w:t>监测</w:t>
      </w:r>
      <w:r>
        <w:rPr>
          <w:rFonts w:hint="eastAsia" w:ascii="宋体" w:hAnsi="宋体"/>
          <w:bCs/>
          <w:color w:val="auto"/>
        </w:rPr>
        <w:t>数据和外部接入数据。</w:t>
      </w:r>
      <w:r>
        <w:rPr>
          <w:rFonts w:ascii="宋体" w:hAnsi="宋体"/>
          <w:bCs/>
          <w:color w:val="auto"/>
        </w:rPr>
        <w:t xml:space="preserve"> </w:t>
      </w:r>
    </w:p>
    <w:p w14:paraId="4CF85C95">
      <w:pPr>
        <w:pStyle w:val="98"/>
        <w:spacing w:beforeLines="0" w:afterLines="0"/>
        <w:rPr>
          <w:rFonts w:ascii="宋体" w:hAnsi="宋体"/>
          <w:bCs/>
          <w:color w:val="auto"/>
        </w:rPr>
      </w:pPr>
      <w:r>
        <w:rPr>
          <w:rFonts w:hint="eastAsia" w:ascii="宋体" w:hAnsi="宋体"/>
          <w:bCs/>
          <w:color w:val="auto"/>
        </w:rPr>
        <w:t>7.7</w:t>
      </w:r>
      <w:r>
        <w:rPr>
          <w:rFonts w:ascii="宋体" w:hAnsi="宋体"/>
          <w:bCs/>
          <w:color w:val="auto"/>
        </w:rPr>
        <w:t>.</w:t>
      </w:r>
      <w:r>
        <w:rPr>
          <w:rFonts w:hint="eastAsia" w:ascii="宋体" w:hAnsi="宋体"/>
          <w:bCs/>
          <w:color w:val="auto"/>
          <w:lang w:val="en-US" w:eastAsia="zh-CN"/>
        </w:rPr>
        <w:t>2</w:t>
      </w:r>
      <w:r>
        <w:rPr>
          <w:rFonts w:hint="eastAsia" w:ascii="宋体" w:hAnsi="宋体"/>
          <w:bCs/>
          <w:color w:val="auto"/>
        </w:rPr>
        <w:t>外部接入数据宜包括气象数据、水利数据、环保数据、公安数据、自然灾害数据、交通数据等。</w:t>
      </w:r>
    </w:p>
    <w:p w14:paraId="209267F1">
      <w:pPr>
        <w:spacing w:beforeLines="0" w:afterLines="0"/>
        <w:ind w:firstLine="560"/>
        <w:jc w:val="left"/>
        <w:rPr>
          <w:rFonts w:ascii="宋体" w:hAnsi="宋体"/>
          <w:bCs/>
        </w:rPr>
      </w:pPr>
      <w:r>
        <w:rPr>
          <w:rFonts w:hint="eastAsia" w:ascii="宋体" w:hAnsi="宋体"/>
          <w:bCs/>
        </w:rPr>
        <w:t>a）气象数据宜包括气温、降水、风速、风向、湿度以及极端气候等要素数据。</w:t>
      </w:r>
    </w:p>
    <w:p w14:paraId="756A4E18">
      <w:pPr>
        <w:spacing w:beforeLines="0" w:afterLines="0"/>
        <w:ind w:firstLine="560"/>
        <w:jc w:val="left"/>
        <w:rPr>
          <w:rFonts w:ascii="宋体" w:hAnsi="宋体"/>
          <w:bCs/>
        </w:rPr>
      </w:pPr>
      <w:r>
        <w:rPr>
          <w:rFonts w:hint="eastAsia" w:ascii="宋体" w:hAnsi="宋体"/>
          <w:bCs/>
        </w:rPr>
        <w:t>b）水利数据宜包括与</w:t>
      </w:r>
      <w:r>
        <w:rPr>
          <w:rFonts w:hint="eastAsia" w:ascii="宋体" w:hAnsi="宋体"/>
          <w:bCs/>
          <w:lang w:eastAsia="zh-CN"/>
        </w:rPr>
        <w:t>城市生命线</w:t>
      </w:r>
      <w:r>
        <w:rPr>
          <w:rFonts w:hint="eastAsia" w:ascii="宋体" w:hAnsi="宋体"/>
          <w:bCs/>
        </w:rPr>
        <w:t>相关的江河湖泊流量、流速、水位等监测数据。</w:t>
      </w:r>
    </w:p>
    <w:p w14:paraId="0506234E">
      <w:pPr>
        <w:spacing w:beforeLines="0" w:afterLines="0"/>
        <w:ind w:firstLine="560"/>
        <w:jc w:val="left"/>
        <w:rPr>
          <w:rFonts w:ascii="宋体" w:hAnsi="宋体"/>
          <w:bCs/>
        </w:rPr>
      </w:pPr>
      <w:r>
        <w:rPr>
          <w:rFonts w:hint="eastAsia" w:ascii="宋体" w:hAnsi="宋体"/>
          <w:bCs/>
        </w:rPr>
        <w:t>c）环保数据宜包括污水处理厂出水水质、出水流量等监测数据。</w:t>
      </w:r>
    </w:p>
    <w:p w14:paraId="0D54A7A4">
      <w:pPr>
        <w:spacing w:beforeLines="0" w:afterLines="0"/>
        <w:ind w:firstLine="560"/>
        <w:jc w:val="left"/>
        <w:rPr>
          <w:rFonts w:ascii="宋体" w:hAnsi="宋体"/>
          <w:bCs/>
        </w:rPr>
      </w:pPr>
      <w:r>
        <w:rPr>
          <w:rFonts w:hint="eastAsia" w:ascii="宋体" w:hAnsi="宋体"/>
          <w:bCs/>
        </w:rPr>
        <w:t>d）公安数据宜包括公安天网</w:t>
      </w:r>
      <w:r>
        <w:rPr>
          <w:rFonts w:hint="eastAsia" w:ascii="宋体" w:hAnsi="宋体"/>
          <w:bCs/>
          <w:lang w:eastAsia="zh-CN"/>
        </w:rPr>
        <w:t>视频监控</w:t>
      </w:r>
      <w:r>
        <w:rPr>
          <w:rFonts w:hint="eastAsia" w:ascii="宋体" w:hAnsi="宋体"/>
          <w:bCs/>
        </w:rPr>
        <w:t>数据、政法雪亮工程</w:t>
      </w:r>
      <w:r>
        <w:rPr>
          <w:rFonts w:hint="eastAsia" w:ascii="宋体" w:hAnsi="宋体"/>
          <w:bCs/>
          <w:lang w:eastAsia="zh-CN"/>
        </w:rPr>
        <w:t>视频监控</w:t>
      </w:r>
      <w:r>
        <w:rPr>
          <w:rFonts w:hint="eastAsia" w:ascii="宋体" w:hAnsi="宋体"/>
          <w:bCs/>
        </w:rPr>
        <w:t>数据等。</w:t>
      </w:r>
    </w:p>
    <w:p w14:paraId="205BA22F">
      <w:pPr>
        <w:spacing w:beforeLines="0" w:afterLines="0"/>
        <w:ind w:firstLine="560"/>
        <w:jc w:val="left"/>
        <w:rPr>
          <w:rFonts w:ascii="宋体" w:hAnsi="宋体"/>
          <w:bCs/>
        </w:rPr>
      </w:pPr>
      <w:r>
        <w:rPr>
          <w:rFonts w:hint="eastAsia" w:ascii="宋体" w:hAnsi="宋体"/>
          <w:bCs/>
        </w:rPr>
        <w:t>e）自然灾害数据宜包括影响</w:t>
      </w:r>
      <w:r>
        <w:rPr>
          <w:rFonts w:hint="eastAsia" w:ascii="宋体" w:hAnsi="宋体"/>
          <w:bCs/>
          <w:lang w:eastAsia="zh-CN"/>
        </w:rPr>
        <w:t>城市生命线</w:t>
      </w:r>
      <w:r>
        <w:rPr>
          <w:rFonts w:hint="eastAsia" w:ascii="宋体" w:hAnsi="宋体"/>
          <w:bCs/>
        </w:rPr>
        <w:t>安全的地震、洪涝、泥石流、滑坡、火灾等自然灾害实时数据。</w:t>
      </w:r>
    </w:p>
    <w:p w14:paraId="03BE66F8">
      <w:pPr>
        <w:spacing w:beforeLines="0" w:afterLines="0"/>
        <w:ind w:firstLine="560"/>
        <w:jc w:val="left"/>
        <w:rPr>
          <w:rFonts w:ascii="宋体" w:hAnsi="宋体"/>
          <w:bCs/>
        </w:rPr>
      </w:pPr>
      <w:r>
        <w:rPr>
          <w:rFonts w:hint="eastAsia" w:ascii="宋体" w:hAnsi="宋体"/>
          <w:bCs/>
        </w:rPr>
        <w:t>f）交通数据宜包括交通流量及超载超限等数据。</w:t>
      </w:r>
    </w:p>
    <w:p w14:paraId="295CF008">
      <w:pPr>
        <w:pStyle w:val="108"/>
        <w:numPr>
          <w:ilvl w:val="1"/>
          <w:numId w:val="1"/>
        </w:numPr>
        <w:spacing w:beforeLines="50" w:afterLines="50"/>
      </w:pPr>
      <w:bookmarkStart w:id="110" w:name="_Toc232281755"/>
      <w:bookmarkStart w:id="111" w:name="_Toc16575"/>
      <w:r>
        <w:rPr>
          <w:rFonts w:hint="eastAsia"/>
        </w:rPr>
        <w:t>监测</w:t>
      </w:r>
      <w:r>
        <w:rPr>
          <w:rFonts w:hint="eastAsia"/>
          <w:lang w:eastAsia="zh-CN"/>
        </w:rPr>
        <w:t>报警预警</w:t>
      </w:r>
      <w:r>
        <w:rPr>
          <w:rFonts w:hint="eastAsia"/>
        </w:rPr>
        <w:t>数据</w:t>
      </w:r>
      <w:bookmarkEnd w:id="110"/>
      <w:bookmarkEnd w:id="111"/>
    </w:p>
    <w:p w14:paraId="616ACE89">
      <w:pPr>
        <w:pStyle w:val="98"/>
        <w:spacing w:beforeLines="0" w:afterLines="0"/>
        <w:rPr>
          <w:bCs/>
          <w:color w:val="auto"/>
        </w:rPr>
      </w:pPr>
      <w:r>
        <w:rPr>
          <w:rFonts w:hint="eastAsia"/>
          <w:bCs/>
          <w:color w:val="auto"/>
        </w:rPr>
        <w:t>7.8</w:t>
      </w:r>
      <w:r>
        <w:rPr>
          <w:bCs/>
          <w:color w:val="auto"/>
        </w:rPr>
        <w:t>.1</w:t>
      </w:r>
      <w:r>
        <w:rPr>
          <w:rFonts w:hint="eastAsia"/>
          <w:bCs/>
          <w:color w:val="auto"/>
        </w:rPr>
        <w:t>监测</w:t>
      </w:r>
      <w:r>
        <w:rPr>
          <w:rFonts w:hint="eastAsia"/>
          <w:bCs/>
          <w:color w:val="auto"/>
          <w:lang w:eastAsia="zh-CN"/>
        </w:rPr>
        <w:t>报警预警</w:t>
      </w:r>
      <w:r>
        <w:rPr>
          <w:rFonts w:hint="eastAsia"/>
          <w:bCs/>
          <w:color w:val="auto"/>
        </w:rPr>
        <w:t>数据应包括监测报警数据和监测预警数据。</w:t>
      </w:r>
      <w:r>
        <w:rPr>
          <w:bCs/>
          <w:color w:val="auto"/>
        </w:rPr>
        <w:t xml:space="preserve"> </w:t>
      </w:r>
    </w:p>
    <w:p w14:paraId="655D86FC">
      <w:pPr>
        <w:pStyle w:val="98"/>
        <w:spacing w:beforeLines="0" w:afterLines="0"/>
      </w:pPr>
      <w:r>
        <w:rPr>
          <w:rFonts w:hint="eastAsia"/>
          <w:bCs/>
          <w:color w:val="auto"/>
        </w:rPr>
        <w:t>7.8</w:t>
      </w:r>
      <w:r>
        <w:rPr>
          <w:bCs/>
          <w:color w:val="auto"/>
        </w:rPr>
        <w:t>.</w:t>
      </w:r>
      <w:r>
        <w:rPr>
          <w:rFonts w:hint="eastAsia"/>
          <w:bCs/>
          <w:color w:val="auto"/>
        </w:rPr>
        <w:t>2监测报警数据应包括燃气、供水、排水、热力、桥梁、隧道等</w:t>
      </w:r>
      <w:r>
        <w:rPr>
          <w:rFonts w:hint="eastAsia"/>
          <w:bCs/>
          <w:color w:val="auto"/>
          <w:lang w:eastAsia="zh-CN"/>
        </w:rPr>
        <w:t>城市生命线</w:t>
      </w:r>
      <w:r>
        <w:rPr>
          <w:rFonts w:hint="eastAsia"/>
          <w:bCs/>
          <w:color w:val="auto"/>
        </w:rPr>
        <w:t>突发事件报警信息、报警处置信息等数据。</w:t>
      </w:r>
    </w:p>
    <w:p w14:paraId="7F6734F2">
      <w:pPr>
        <w:pStyle w:val="98"/>
        <w:spacing w:beforeLines="0" w:afterLines="0"/>
      </w:pPr>
      <w:r>
        <w:rPr>
          <w:bCs/>
          <w:color w:val="auto"/>
        </w:rPr>
        <w:t>7.8.</w:t>
      </w:r>
      <w:r>
        <w:rPr>
          <w:rFonts w:hint="eastAsia"/>
          <w:bCs/>
          <w:color w:val="auto"/>
        </w:rPr>
        <w:t>3监测预警数据应包括可能发生、即将发生或正在发生的风险事件信息、分析预警信息等数据。</w:t>
      </w:r>
      <w:r>
        <w:rPr>
          <w:bCs/>
          <w:color w:val="auto"/>
        </w:rPr>
        <w:t xml:space="preserve"> </w:t>
      </w:r>
    </w:p>
    <w:bookmarkEnd w:id="94"/>
    <w:bookmarkEnd w:id="95"/>
    <w:bookmarkEnd w:id="96"/>
    <w:bookmarkEnd w:id="97"/>
    <w:p w14:paraId="4F6665B6">
      <w:pPr>
        <w:pStyle w:val="111"/>
        <w:pageBreakBefore w:val="0"/>
        <w:numPr>
          <w:ilvl w:val="0"/>
          <w:numId w:val="1"/>
        </w:numPr>
        <w:spacing w:beforeLines="100" w:afterLines="100"/>
        <w:ind w:left="0" w:firstLine="0"/>
        <w:rPr>
          <w:sz w:val="21"/>
          <w:szCs w:val="21"/>
        </w:rPr>
      </w:pPr>
      <w:bookmarkStart w:id="112" w:name="_Toc9946"/>
      <w:r>
        <w:rPr>
          <w:rFonts w:hint="eastAsia"/>
          <w:sz w:val="21"/>
          <w:szCs w:val="21"/>
        </w:rPr>
        <w:t>监</w:t>
      </w:r>
      <w:r>
        <w:rPr>
          <w:rFonts w:hint="eastAsia"/>
          <w:sz w:val="21"/>
          <w:szCs w:val="21"/>
          <w:lang w:val="en-US" w:eastAsia="zh-CN"/>
        </w:rPr>
        <w:t>测</w:t>
      </w:r>
      <w:r>
        <w:rPr>
          <w:rFonts w:hint="eastAsia"/>
          <w:sz w:val="21"/>
          <w:szCs w:val="21"/>
        </w:rPr>
        <w:t>系统建设</w:t>
      </w:r>
      <w:bookmarkEnd w:id="112"/>
    </w:p>
    <w:p w14:paraId="53F5D161">
      <w:pPr>
        <w:pStyle w:val="108"/>
        <w:numPr>
          <w:ilvl w:val="1"/>
          <w:numId w:val="1"/>
        </w:numPr>
        <w:spacing w:beforeLines="50" w:afterLines="50"/>
      </w:pPr>
      <w:bookmarkStart w:id="113" w:name="_Toc18794"/>
      <w:r>
        <w:rPr>
          <w:rFonts w:hint="eastAsia"/>
          <w:lang w:eastAsia="zh-CN"/>
        </w:rPr>
        <w:t>一般要求</w:t>
      </w:r>
      <w:bookmarkEnd w:id="113"/>
    </w:p>
    <w:p w14:paraId="045D419F">
      <w:pPr>
        <w:spacing w:beforeLines="0" w:afterLines="0"/>
        <w:outlineLvl w:val="2"/>
        <w:rPr>
          <w:rFonts w:hint="eastAsia" w:ascii="宋体" w:hAnsi="宋体"/>
          <w:lang w:val="en-US" w:eastAsia="zh-CN"/>
        </w:rPr>
      </w:pPr>
      <w:r>
        <w:rPr>
          <w:rFonts w:hint="eastAsia" w:ascii="宋体" w:hAnsi="宋体"/>
          <w:lang w:val="en-US" w:eastAsia="zh-CN"/>
        </w:rPr>
        <w:t>8.1.1监测系统应与智慧城市、城市大脑、城市运行管理服务平台、城市数字公共基础设施基础平台、城市地下市政基础设施综合管理信息平台及行业专项系统等做好架构适配、接口对接、能力复用和体系衔接，实现跨平台、跨行业数据互联互通与共享复用。</w:t>
      </w:r>
    </w:p>
    <w:p w14:paraId="4FD14313">
      <w:pPr>
        <w:spacing w:beforeLines="0" w:afterLines="0"/>
        <w:outlineLvl w:val="2"/>
        <w:rPr>
          <w:rFonts w:hint="eastAsia" w:ascii="宋体" w:hAnsi="宋体"/>
        </w:rPr>
      </w:pPr>
      <w:r>
        <w:rPr>
          <w:rFonts w:hint="eastAsia" w:ascii="宋体" w:hAnsi="宋体"/>
          <w:lang w:val="en-US" w:eastAsia="zh-CN"/>
        </w:rPr>
        <w:t>8.1.2监测系统应具备完善的事故风险安全预警功能，可根据事故潜在影响范围与危害程度，实施分级预警、分级推送、分级应急响应管理</w:t>
      </w:r>
      <w:r>
        <w:rPr>
          <w:rFonts w:hint="eastAsia" w:ascii="宋体" w:hAnsi="宋体"/>
        </w:rPr>
        <w:t>。</w:t>
      </w:r>
    </w:p>
    <w:p w14:paraId="220DA536">
      <w:pPr>
        <w:spacing w:beforeLines="0" w:afterLines="0"/>
        <w:outlineLvl w:val="2"/>
        <w:rPr>
          <w:rFonts w:ascii="宋体" w:hAnsi="宋体"/>
        </w:rPr>
      </w:pPr>
      <w:r>
        <w:rPr>
          <w:rFonts w:hint="eastAsia" w:ascii="宋体" w:hAnsi="宋体"/>
        </w:rPr>
        <w:t>8.1.</w:t>
      </w:r>
      <w:r>
        <w:rPr>
          <w:rFonts w:hint="eastAsia" w:ascii="宋体" w:hAnsi="宋体"/>
          <w:lang w:val="en-US" w:eastAsia="zh-CN"/>
        </w:rPr>
        <w:t>3</w:t>
      </w:r>
      <w:r>
        <w:rPr>
          <w:rFonts w:hint="eastAsia" w:ascii="宋体" w:hAnsi="宋体"/>
        </w:rPr>
        <w:t xml:space="preserve"> </w:t>
      </w:r>
      <w:r>
        <w:rPr>
          <w:rFonts w:hint="eastAsia" w:ascii="宋体" w:hAnsi="宋体"/>
          <w:lang w:eastAsia="zh-CN"/>
        </w:rPr>
        <w:t>监测系统</w:t>
      </w:r>
      <w:r>
        <w:rPr>
          <w:rFonts w:hint="eastAsia" w:ascii="宋体" w:hAnsi="宋体"/>
        </w:rPr>
        <w:t>宜包括综合安全应用及专项场景应用。专项</w:t>
      </w:r>
      <w:r>
        <w:rPr>
          <w:rFonts w:hint="eastAsia" w:ascii="宋体" w:hAnsi="宋体"/>
          <w:lang w:val="en-US" w:eastAsia="zh-CN"/>
        </w:rPr>
        <w:t>场景应用</w:t>
      </w:r>
      <w:r>
        <w:rPr>
          <w:rFonts w:hint="eastAsia" w:ascii="宋体" w:hAnsi="宋体"/>
        </w:rPr>
        <w:t>包括燃气、供水、排水、热力、桥梁、隧道、第三方施工七个板块，</w:t>
      </w:r>
      <w:r>
        <w:rPr>
          <w:rFonts w:hint="eastAsia" w:ascii="宋体" w:hAnsi="宋体"/>
          <w:lang w:val="en-US" w:eastAsia="zh-CN"/>
        </w:rPr>
        <w:t>也</w:t>
      </w:r>
      <w:r>
        <w:rPr>
          <w:rFonts w:hint="eastAsia" w:ascii="宋体" w:hAnsi="宋体"/>
        </w:rPr>
        <w:t>可结合需求开展其他特色场景建设。</w:t>
      </w:r>
    </w:p>
    <w:p w14:paraId="7955282D">
      <w:pPr>
        <w:spacing w:beforeLines="0" w:afterLines="0"/>
        <w:outlineLvl w:val="2"/>
        <w:rPr>
          <w:rFonts w:hint="eastAsia" w:ascii="宋体" w:hAnsi="宋体"/>
          <w:lang w:val="en-US" w:eastAsia="zh-CN"/>
        </w:rPr>
      </w:pPr>
      <w:r>
        <w:rPr>
          <w:rFonts w:hint="eastAsia" w:ascii="宋体" w:hAnsi="宋体"/>
        </w:rPr>
        <w:t>8.1.</w:t>
      </w:r>
      <w:r>
        <w:rPr>
          <w:rFonts w:hint="eastAsia" w:ascii="宋体" w:hAnsi="宋体"/>
          <w:lang w:val="en-US" w:eastAsia="zh-CN"/>
        </w:rPr>
        <w:t>4</w:t>
      </w:r>
      <w:r>
        <w:rPr>
          <w:rFonts w:hint="eastAsia" w:ascii="宋体" w:hAnsi="宋体"/>
        </w:rPr>
        <w:t xml:space="preserve"> </w:t>
      </w:r>
      <w:r>
        <w:rPr>
          <w:rFonts w:hint="eastAsia" w:ascii="宋体" w:hAnsi="宋体"/>
          <w:lang w:eastAsia="zh-CN"/>
        </w:rPr>
        <w:t>监测系统</w:t>
      </w:r>
      <w:r>
        <w:rPr>
          <w:rFonts w:hint="eastAsia" w:ascii="宋体" w:hAnsi="宋体"/>
        </w:rPr>
        <w:t>整体架构</w:t>
      </w:r>
      <w:r>
        <w:rPr>
          <w:rFonts w:hint="eastAsia" w:ascii="宋体" w:hAnsi="宋体"/>
          <w:lang w:val="en-US" w:eastAsia="zh-CN"/>
        </w:rPr>
        <w:t>示意图见附录D。</w:t>
      </w:r>
    </w:p>
    <w:p w14:paraId="3ED640D4">
      <w:pPr>
        <w:pStyle w:val="108"/>
        <w:numPr>
          <w:ilvl w:val="1"/>
          <w:numId w:val="1"/>
        </w:numPr>
        <w:spacing w:beforeLines="50" w:afterLines="50"/>
      </w:pPr>
      <w:bookmarkStart w:id="114" w:name="_Toc9349"/>
      <w:r>
        <w:rPr>
          <w:rFonts w:hint="eastAsia"/>
        </w:rPr>
        <w:t>综合安全应用</w:t>
      </w:r>
      <w:r>
        <w:rPr>
          <w:rFonts w:hint="eastAsia"/>
          <w:lang w:val="en-US" w:eastAsia="zh-CN"/>
        </w:rPr>
        <w:t>系统</w:t>
      </w:r>
      <w:bookmarkEnd w:id="114"/>
    </w:p>
    <w:p w14:paraId="2A8EB1E1">
      <w:pPr>
        <w:spacing w:beforeLines="0" w:afterLines="0"/>
        <w:outlineLvl w:val="2"/>
        <w:rPr>
          <w:rFonts w:ascii="宋体" w:hAnsi="宋体"/>
        </w:rPr>
      </w:pPr>
      <w:r>
        <w:rPr>
          <w:rFonts w:hint="eastAsia" w:ascii="宋体" w:hAnsi="宋体"/>
        </w:rPr>
        <w:t>8.2.</w:t>
      </w:r>
      <w:r>
        <w:rPr>
          <w:rFonts w:hint="eastAsia" w:ascii="宋体" w:hAnsi="宋体"/>
          <w:lang w:val="en-US" w:eastAsia="zh-CN"/>
        </w:rPr>
        <w:t>1</w:t>
      </w:r>
      <w:r>
        <w:rPr>
          <w:rFonts w:hint="eastAsia" w:ascii="宋体" w:hAnsi="宋体"/>
        </w:rPr>
        <w:t xml:space="preserve"> 实现城市生命线设施运行、风险隐患、预警处置等信息的汇集展示与应用。应包括基础信息、风险评估、运行监测、报警/预警处置分析等模块，宜包括督办处置模块，并支持数据的空间地图可视化，具备基础的空间地图展示与交互能力。</w:t>
      </w:r>
    </w:p>
    <w:p w14:paraId="4A1FF549">
      <w:pPr>
        <w:spacing w:beforeLines="0" w:afterLines="0"/>
        <w:outlineLvl w:val="2"/>
        <w:rPr>
          <w:rFonts w:ascii="宋体" w:hAnsi="宋体"/>
        </w:rPr>
      </w:pPr>
      <w:r>
        <w:rPr>
          <w:rFonts w:hint="eastAsia" w:ascii="宋体" w:hAnsi="宋体"/>
        </w:rPr>
        <w:t>8.2.</w:t>
      </w:r>
      <w:r>
        <w:rPr>
          <w:rFonts w:hint="eastAsia" w:ascii="宋体" w:hAnsi="宋体"/>
          <w:lang w:val="en-US" w:eastAsia="zh-CN"/>
        </w:rPr>
        <w:t>2</w:t>
      </w:r>
      <w:r>
        <w:rPr>
          <w:rFonts w:hint="eastAsia" w:ascii="宋体" w:hAnsi="宋体"/>
        </w:rPr>
        <w:t>宜具备统一工作台，实现待办管理、报警预警展示与快速处置、消息中心、系统公告、帮助文档、我的应用等功能，构建各类待办事项一站式工作界面。</w:t>
      </w:r>
    </w:p>
    <w:p w14:paraId="2F4471D2">
      <w:pPr>
        <w:spacing w:beforeLines="0" w:afterLines="0"/>
        <w:outlineLvl w:val="2"/>
        <w:rPr>
          <w:rFonts w:ascii="宋体" w:hAnsi="宋体"/>
        </w:rPr>
      </w:pPr>
      <w:r>
        <w:rPr>
          <w:rFonts w:hint="eastAsia" w:ascii="宋体" w:hAnsi="宋体"/>
        </w:rPr>
        <w:t>8.2.</w:t>
      </w:r>
      <w:r>
        <w:rPr>
          <w:rFonts w:hint="eastAsia" w:ascii="宋体" w:hAnsi="宋体"/>
          <w:lang w:val="en-US" w:eastAsia="zh-CN"/>
        </w:rPr>
        <w:t>3宜具备</w:t>
      </w:r>
      <w:r>
        <w:rPr>
          <w:rFonts w:hint="eastAsia" w:ascii="宋体" w:hAnsi="宋体"/>
        </w:rPr>
        <w:t>统一预警联动处置平台</w:t>
      </w:r>
      <w:r>
        <w:rPr>
          <w:rFonts w:hint="eastAsia" w:ascii="宋体" w:hAnsi="宋体"/>
          <w:lang w:eastAsia="zh-CN"/>
        </w:rPr>
        <w:t>，</w:t>
      </w:r>
      <w:r>
        <w:rPr>
          <w:rFonts w:hint="eastAsia" w:ascii="宋体" w:hAnsi="宋体"/>
        </w:rPr>
        <w:t>规范</w:t>
      </w:r>
      <w:r>
        <w:rPr>
          <w:rFonts w:hint="eastAsia" w:ascii="宋体" w:hAnsi="宋体"/>
          <w:lang w:eastAsia="zh-CN"/>
        </w:rPr>
        <w:t>城市生命线</w:t>
      </w:r>
      <w:r>
        <w:rPr>
          <w:rFonts w:hint="eastAsia" w:ascii="宋体" w:hAnsi="宋体"/>
        </w:rPr>
        <w:t>各行业预警处置机制和处置流程，</w:t>
      </w:r>
      <w:r>
        <w:rPr>
          <w:rFonts w:hint="eastAsia" w:ascii="宋体" w:hAnsi="宋体"/>
          <w:lang w:val="en-US" w:eastAsia="zh-CN"/>
        </w:rPr>
        <w:t>包括</w:t>
      </w:r>
      <w:r>
        <w:rPr>
          <w:rFonts w:hint="eastAsia" w:ascii="宋体" w:hAnsi="宋体"/>
        </w:rPr>
        <w:t>报警总览、预警总览、报警管理、预警管理、配置管理等功能。</w:t>
      </w:r>
    </w:p>
    <w:p w14:paraId="72B398A0">
      <w:pPr>
        <w:pStyle w:val="108"/>
        <w:numPr>
          <w:ilvl w:val="1"/>
          <w:numId w:val="1"/>
        </w:numPr>
        <w:spacing w:beforeLines="50" w:afterLines="50"/>
      </w:pPr>
      <w:bookmarkStart w:id="115" w:name="_Toc18050"/>
      <w:r>
        <w:rPr>
          <w:rFonts w:hint="eastAsia"/>
        </w:rPr>
        <w:t>专项</w:t>
      </w:r>
      <w:r>
        <w:rPr>
          <w:rFonts w:hint="default"/>
          <w:lang w:val="en-US"/>
        </w:rPr>
        <w:t>安全</w:t>
      </w:r>
      <w:r>
        <w:rPr>
          <w:rFonts w:hint="eastAsia"/>
          <w:lang w:val="en-US" w:eastAsia="zh-CN"/>
        </w:rPr>
        <w:t>场景</w:t>
      </w:r>
      <w:r>
        <w:rPr>
          <w:rFonts w:hint="eastAsia"/>
        </w:rPr>
        <w:t>应用</w:t>
      </w:r>
      <w:r>
        <w:rPr>
          <w:rFonts w:hint="eastAsia"/>
          <w:lang w:val="en-US" w:eastAsia="zh-CN"/>
        </w:rPr>
        <w:t>系统</w:t>
      </w:r>
      <w:bookmarkEnd w:id="115"/>
    </w:p>
    <w:p w14:paraId="4228FDF0">
      <w:pPr>
        <w:spacing w:beforeLines="50" w:afterLines="50"/>
        <w:outlineLvl w:val="2"/>
        <w:rPr>
          <w:rFonts w:ascii="宋体" w:hAnsi="宋体"/>
          <w:b/>
          <w:szCs w:val="24"/>
        </w:rPr>
      </w:pPr>
      <w:r>
        <w:rPr>
          <w:rFonts w:hint="eastAsia" w:ascii="宋体" w:hAnsi="宋体"/>
          <w:b/>
          <w:szCs w:val="24"/>
        </w:rPr>
        <w:t>8.3.1燃气安全专项应用系统</w:t>
      </w:r>
    </w:p>
    <w:p w14:paraId="45F57FFA">
      <w:pPr>
        <w:spacing w:beforeLines="0" w:afterLines="0"/>
        <w:rPr>
          <w:rFonts w:ascii="宋体" w:hAnsi="宋体"/>
          <w:szCs w:val="21"/>
        </w:rPr>
      </w:pPr>
      <w:r>
        <w:rPr>
          <w:rFonts w:hint="eastAsia" w:ascii="宋体" w:hAnsi="宋体"/>
          <w:szCs w:val="21"/>
        </w:rPr>
        <w:t>8.3.1.1系统</w:t>
      </w:r>
      <w:r>
        <w:rPr>
          <w:rFonts w:hint="eastAsia" w:ascii="宋体" w:hAnsi="宋体"/>
          <w:szCs w:val="21"/>
          <w:lang w:val="en-US" w:eastAsia="zh-CN"/>
        </w:rPr>
        <w:t>功能</w:t>
      </w:r>
      <w:r>
        <w:rPr>
          <w:rFonts w:hint="eastAsia" w:ascii="宋体" w:hAnsi="宋体"/>
          <w:szCs w:val="21"/>
          <w:lang w:eastAsia="zh-CN"/>
        </w:rPr>
        <w:t>。</w:t>
      </w:r>
      <w:r>
        <w:rPr>
          <w:rFonts w:hint="eastAsia" w:ascii="宋体" w:hAnsi="宋体"/>
          <w:szCs w:val="21"/>
        </w:rPr>
        <w:t>应通过整合燃气基础设施、风险、隐患、动态监测与报警等数据，实现</w:t>
      </w:r>
      <w:r>
        <w:rPr>
          <w:rFonts w:hint="eastAsia" w:ascii="宋体" w:hAnsi="宋体"/>
          <w:szCs w:val="21"/>
          <w:lang w:val="en-US" w:eastAsia="zh-CN"/>
        </w:rPr>
        <w:t>城市天然气输配系统、液化石油气供应</w:t>
      </w:r>
      <w:r>
        <w:rPr>
          <w:rFonts w:hint="default" w:ascii="宋体" w:hAnsi="宋体"/>
          <w:szCs w:val="21"/>
          <w:lang w:val="en-US" w:eastAsia="zh-CN"/>
        </w:rPr>
        <w:t>瓶装气</w:t>
      </w:r>
      <w:r>
        <w:rPr>
          <w:rFonts w:hint="eastAsia" w:ascii="宋体" w:hAnsi="宋体"/>
          <w:szCs w:val="21"/>
          <w:lang w:val="en-US" w:eastAsia="zh-CN"/>
        </w:rPr>
        <w:t>系统</w:t>
      </w:r>
      <w:r>
        <w:rPr>
          <w:rFonts w:hint="eastAsia" w:ascii="宋体" w:hAnsi="宋体"/>
          <w:szCs w:val="21"/>
        </w:rPr>
        <w:t>的常态化监测、报警、预警处置、风险评估、隐患闭环整改以及全流程规范化运营。系统应包括基础数据管理、风险评估、监测预警联动处置、巡检与隐患</w:t>
      </w:r>
      <w:r>
        <w:rPr>
          <w:rFonts w:hint="eastAsia" w:ascii="宋体" w:hAnsi="宋体"/>
          <w:szCs w:val="21"/>
          <w:lang w:val="en-US" w:eastAsia="zh-CN"/>
        </w:rPr>
        <w:t>管控</w:t>
      </w:r>
      <w:r>
        <w:rPr>
          <w:rFonts w:hint="eastAsia" w:ascii="宋体" w:hAnsi="宋体"/>
          <w:szCs w:val="21"/>
        </w:rPr>
        <w:t>、</w:t>
      </w:r>
      <w:r>
        <w:rPr>
          <w:rFonts w:hint="eastAsia" w:ascii="宋体" w:hAnsi="宋体"/>
          <w:szCs w:val="21"/>
          <w:highlight w:val="none"/>
          <w:lang w:eastAsia="zh-CN"/>
        </w:rPr>
        <w:t>监测运营管理</w:t>
      </w:r>
      <w:r>
        <w:rPr>
          <w:rFonts w:hint="eastAsia" w:ascii="宋体" w:hAnsi="宋体"/>
          <w:szCs w:val="21"/>
        </w:rPr>
        <w:t>、瓶装气安全</w:t>
      </w:r>
      <w:r>
        <w:rPr>
          <w:rFonts w:hint="eastAsia" w:ascii="宋体" w:hAnsi="宋体"/>
          <w:szCs w:val="21"/>
          <w:lang w:eastAsia="zh-CN"/>
        </w:rPr>
        <w:t>监测</w:t>
      </w:r>
      <w:r>
        <w:rPr>
          <w:rFonts w:hint="eastAsia" w:ascii="宋体" w:hAnsi="宋体"/>
          <w:szCs w:val="21"/>
        </w:rPr>
        <w:t>等核心功能，宜加入燃气泄漏研判分析、燃气辅助决策支持等算法模型应用。</w:t>
      </w:r>
    </w:p>
    <w:p w14:paraId="5C0132E2">
      <w:pPr>
        <w:spacing w:beforeLines="0" w:afterLines="0"/>
        <w:rPr>
          <w:rFonts w:ascii="宋体" w:hAnsi="宋体"/>
          <w:szCs w:val="21"/>
        </w:rPr>
      </w:pPr>
      <w:r>
        <w:rPr>
          <w:rFonts w:hint="eastAsia" w:ascii="宋体" w:hAnsi="宋体"/>
          <w:szCs w:val="21"/>
        </w:rPr>
        <w:t>8.3.1.2基础数据管理。</w:t>
      </w:r>
      <w:bookmarkStart w:id="116" w:name="OLE_LINK212"/>
      <w:bookmarkStart w:id="117" w:name="OLE_LINK213"/>
      <w:r>
        <w:rPr>
          <w:rFonts w:hint="eastAsia" w:ascii="宋体" w:hAnsi="宋体"/>
          <w:bCs/>
        </w:rPr>
        <w:t>数据</w:t>
      </w:r>
      <w:bookmarkEnd w:id="116"/>
      <w:bookmarkEnd w:id="117"/>
      <w:r>
        <w:rPr>
          <w:rFonts w:hint="eastAsia" w:ascii="宋体" w:hAnsi="宋体"/>
          <w:bCs/>
          <w:lang w:val="en-US" w:eastAsia="zh-CN"/>
        </w:rPr>
        <w:t>范围见7.2.2</w:t>
      </w:r>
      <w:r>
        <w:rPr>
          <w:rFonts w:hint="eastAsia" w:ascii="宋体" w:hAnsi="宋体"/>
          <w:szCs w:val="21"/>
        </w:rPr>
        <w:t>。</w:t>
      </w:r>
    </w:p>
    <w:p w14:paraId="7FCB5551">
      <w:pPr>
        <w:spacing w:beforeLines="0" w:afterLines="0"/>
        <w:rPr>
          <w:rFonts w:ascii="宋体" w:hAnsi="宋体"/>
          <w:szCs w:val="21"/>
        </w:rPr>
      </w:pPr>
      <w:r>
        <w:rPr>
          <w:rFonts w:hint="eastAsia" w:ascii="宋体" w:hAnsi="宋体"/>
          <w:szCs w:val="21"/>
        </w:rPr>
        <w:t>8.3.1.3风险评估</w:t>
      </w:r>
      <w:bookmarkStart w:id="118" w:name="OLE_LINK215"/>
      <w:bookmarkStart w:id="119" w:name="OLE_LINK216"/>
      <w:r>
        <w:rPr>
          <w:rFonts w:hint="eastAsia" w:ascii="宋体" w:hAnsi="宋体"/>
          <w:szCs w:val="21"/>
        </w:rPr>
        <w:t>。应实现第三方风险评估成果、</w:t>
      </w:r>
      <w:r>
        <w:rPr>
          <w:rFonts w:hint="eastAsia" w:ascii="宋体" w:hAnsi="宋体"/>
          <w:szCs w:val="21"/>
          <w:lang w:eastAsia="zh-CN"/>
        </w:rPr>
        <w:t>风险分布四色图</w:t>
      </w:r>
      <w:r>
        <w:rPr>
          <w:rFonts w:hint="eastAsia" w:ascii="宋体" w:hAnsi="宋体"/>
          <w:szCs w:val="21"/>
        </w:rPr>
        <w:t>管理展示；宜集成风险评估算法模型，实现对风险结果的周期性动态评估</w:t>
      </w:r>
      <w:bookmarkEnd w:id="118"/>
      <w:bookmarkEnd w:id="119"/>
      <w:r>
        <w:rPr>
          <w:rFonts w:hint="eastAsia" w:ascii="宋体" w:hAnsi="宋体"/>
          <w:szCs w:val="21"/>
        </w:rPr>
        <w:t>。</w:t>
      </w:r>
    </w:p>
    <w:p w14:paraId="4A519B1E">
      <w:pPr>
        <w:spacing w:beforeLines="0" w:afterLines="0"/>
        <w:rPr>
          <w:rFonts w:ascii="宋体" w:hAnsi="宋体"/>
          <w:szCs w:val="21"/>
        </w:rPr>
      </w:pPr>
      <w:r>
        <w:rPr>
          <w:rFonts w:hint="eastAsia" w:ascii="宋体" w:hAnsi="宋体"/>
          <w:szCs w:val="21"/>
        </w:rPr>
        <w:t>8.3.1.4监测预警联动处置。应实现燃气全场景运行数据实时采集、报警与现场处置留痕；应建立预警研判分析，确定预警等级，启动对应处置流程，实现安全事件闭环管理。</w:t>
      </w:r>
    </w:p>
    <w:p w14:paraId="2E1927E3">
      <w:pPr>
        <w:spacing w:beforeLines="0" w:afterLines="0"/>
        <w:rPr>
          <w:rFonts w:ascii="宋体" w:hAnsi="宋体"/>
          <w:szCs w:val="21"/>
        </w:rPr>
      </w:pPr>
      <w:r>
        <w:rPr>
          <w:rFonts w:hint="eastAsia" w:ascii="宋体" w:hAnsi="宋体"/>
          <w:szCs w:val="21"/>
        </w:rPr>
        <w:t>8.3.1.5巡检与隐患闭环管理。应实现企业设施日常巡检、</w:t>
      </w:r>
      <w:r>
        <w:rPr>
          <w:rFonts w:hint="eastAsia" w:ascii="宋体" w:hAnsi="宋体"/>
          <w:szCs w:val="21"/>
          <w:lang w:eastAsia="zh-CN"/>
        </w:rPr>
        <w:t>行业主管部门</w:t>
      </w:r>
      <w:r>
        <w:rPr>
          <w:rFonts w:hint="eastAsia" w:ascii="宋体" w:hAnsi="宋体"/>
          <w:szCs w:val="21"/>
        </w:rPr>
        <w:t>专项督查的全流程标准化管控，覆盖巡检任务派发、现场排查、隐患上报、整改处置、复核销号全链条管理。</w:t>
      </w:r>
    </w:p>
    <w:p w14:paraId="4CEE64E3">
      <w:pPr>
        <w:spacing w:beforeLines="0" w:afterLines="0"/>
        <w:rPr>
          <w:rFonts w:ascii="宋体" w:hAnsi="宋体"/>
          <w:szCs w:val="21"/>
        </w:rPr>
      </w:pPr>
      <w:r>
        <w:rPr>
          <w:rFonts w:hint="eastAsia" w:ascii="宋体" w:hAnsi="宋体"/>
          <w:szCs w:val="21"/>
        </w:rPr>
        <w:t>8.3.1.6</w:t>
      </w:r>
      <w:r>
        <w:rPr>
          <w:rFonts w:hint="eastAsia" w:ascii="宋体" w:hAnsi="宋体"/>
          <w:szCs w:val="21"/>
          <w:lang w:eastAsia="zh-CN"/>
        </w:rPr>
        <w:t>监测</w:t>
      </w:r>
      <w:r>
        <w:rPr>
          <w:rFonts w:hint="eastAsia" w:ascii="宋体" w:hAnsi="宋体"/>
          <w:szCs w:val="21"/>
        </w:rPr>
        <w:t>运营管理。应实现燃气生命线</w:t>
      </w:r>
      <w:r>
        <w:rPr>
          <w:rFonts w:hint="eastAsia" w:ascii="宋体" w:hAnsi="宋体"/>
          <w:szCs w:val="21"/>
          <w:lang w:eastAsia="zh-CN"/>
        </w:rPr>
        <w:t>监测</w:t>
      </w:r>
      <w:r>
        <w:rPr>
          <w:rFonts w:hint="eastAsia" w:ascii="宋体" w:hAnsi="宋体"/>
          <w:szCs w:val="21"/>
        </w:rPr>
        <w:t>的值班值守、人员考勤、值班日志等日常运营全流程管理；应配套跨部门协同调度功能，保障</w:t>
      </w:r>
      <w:r>
        <w:rPr>
          <w:rFonts w:hint="eastAsia" w:ascii="宋体" w:hAnsi="宋体"/>
          <w:szCs w:val="21"/>
          <w:lang w:eastAsia="zh-CN"/>
        </w:rPr>
        <w:t>监测</w:t>
      </w:r>
      <w:r>
        <w:rPr>
          <w:rFonts w:hint="eastAsia" w:ascii="宋体" w:hAnsi="宋体"/>
          <w:szCs w:val="21"/>
          <w:lang w:val="en-US" w:eastAsia="zh-CN"/>
        </w:rPr>
        <w:t>系统</w:t>
      </w:r>
      <w:r>
        <w:rPr>
          <w:rFonts w:hint="eastAsia" w:ascii="宋体" w:hAnsi="宋体"/>
          <w:szCs w:val="21"/>
        </w:rPr>
        <w:t>常态化、规范化稳定运转。</w:t>
      </w:r>
    </w:p>
    <w:p w14:paraId="5FC0C9D8">
      <w:pPr>
        <w:spacing w:beforeLines="0" w:afterLines="0"/>
        <w:rPr>
          <w:rFonts w:ascii="宋体" w:hAnsi="宋体"/>
          <w:szCs w:val="21"/>
        </w:rPr>
      </w:pPr>
      <w:r>
        <w:rPr>
          <w:rFonts w:hint="eastAsia" w:ascii="宋体" w:hAnsi="宋体"/>
          <w:szCs w:val="21"/>
        </w:rPr>
        <w:t>8.3.1.7智能模型分析。</w:t>
      </w:r>
      <w:r>
        <w:rPr>
          <w:rFonts w:hint="eastAsia" w:ascii="宋体" w:hAnsi="宋体"/>
          <w:szCs w:val="21"/>
          <w:lang w:val="en-US" w:eastAsia="zh-CN"/>
        </w:rPr>
        <w:t>通过建立</w:t>
      </w:r>
      <w:r>
        <w:rPr>
          <w:rFonts w:hint="eastAsia" w:ascii="宋体" w:hAnsi="宋体"/>
          <w:szCs w:val="21"/>
        </w:rPr>
        <w:t>泄漏溯源分析、可燃气体扩散分析、爆炸预警分析等</w:t>
      </w:r>
      <w:r>
        <w:rPr>
          <w:rFonts w:hint="eastAsia" w:ascii="宋体" w:hAnsi="宋体"/>
          <w:lang w:val="en-US" w:eastAsia="zh-CN"/>
        </w:rPr>
        <w:t>智能分析</w:t>
      </w:r>
      <w:r>
        <w:rPr>
          <w:rFonts w:hint="eastAsia" w:ascii="宋体" w:hAnsi="宋体"/>
        </w:rPr>
        <w:t>模型</w:t>
      </w:r>
      <w:r>
        <w:rPr>
          <w:rFonts w:hint="eastAsia" w:ascii="宋体" w:hAnsi="宋体"/>
          <w:szCs w:val="21"/>
        </w:rPr>
        <w:t>，为燃气</w:t>
      </w:r>
      <w:r>
        <w:rPr>
          <w:rFonts w:hint="eastAsia" w:ascii="宋体" w:hAnsi="宋体"/>
          <w:szCs w:val="21"/>
          <w:lang w:val="en-US" w:eastAsia="zh-CN"/>
        </w:rPr>
        <w:t>行业</w:t>
      </w:r>
      <w:r>
        <w:rPr>
          <w:rFonts w:hint="eastAsia" w:ascii="宋体" w:hAnsi="宋体"/>
          <w:szCs w:val="21"/>
        </w:rPr>
        <w:t>全链条监管提供智能化辅助决策支持</w:t>
      </w:r>
      <w:r>
        <w:rPr>
          <w:rFonts w:hint="eastAsia" w:ascii="宋体" w:hAnsi="宋体"/>
          <w:szCs w:val="21"/>
          <w:lang w:eastAsia="zh-CN"/>
        </w:rPr>
        <w:t>，</w:t>
      </w:r>
      <w:r>
        <w:rPr>
          <w:rFonts w:hint="eastAsia" w:ascii="宋体" w:hAnsi="宋体"/>
        </w:rPr>
        <w:t>确保</w:t>
      </w:r>
      <w:r>
        <w:rPr>
          <w:rFonts w:hint="eastAsia" w:ascii="宋体" w:hAnsi="宋体"/>
          <w:lang w:val="en-US" w:eastAsia="zh-CN"/>
        </w:rPr>
        <w:t>燃气行业</w:t>
      </w:r>
      <w:r>
        <w:rPr>
          <w:rFonts w:hint="eastAsia" w:ascii="宋体" w:hAnsi="宋体"/>
          <w:lang w:eastAsia="zh-CN"/>
        </w:rPr>
        <w:t>长期稳定运行</w:t>
      </w:r>
      <w:r>
        <w:rPr>
          <w:rFonts w:hint="eastAsia" w:ascii="宋体" w:hAnsi="宋体"/>
          <w:szCs w:val="21"/>
        </w:rPr>
        <w:t>。</w:t>
      </w:r>
    </w:p>
    <w:p w14:paraId="4787B292">
      <w:pPr>
        <w:spacing w:beforeLines="0" w:afterLines="0"/>
        <w:rPr>
          <w:rFonts w:ascii="宋体" w:hAnsi="宋体"/>
          <w:szCs w:val="21"/>
        </w:rPr>
      </w:pPr>
      <w:r>
        <w:rPr>
          <w:rFonts w:hint="eastAsia" w:ascii="宋体" w:hAnsi="宋体"/>
          <w:szCs w:val="21"/>
        </w:rPr>
        <w:t>8.3.1.8</w:t>
      </w:r>
      <w:r>
        <w:rPr>
          <w:rFonts w:hint="default" w:ascii="宋体" w:hAnsi="宋体"/>
          <w:szCs w:val="21"/>
          <w:lang w:val="en-US"/>
        </w:rPr>
        <w:t>瓶装气</w:t>
      </w:r>
      <w:r>
        <w:rPr>
          <w:rFonts w:hint="eastAsia" w:ascii="宋体" w:hAnsi="宋体"/>
          <w:szCs w:val="21"/>
        </w:rPr>
        <w:t>安全</w:t>
      </w:r>
      <w:r>
        <w:rPr>
          <w:rFonts w:hint="eastAsia" w:ascii="宋体" w:hAnsi="宋体"/>
          <w:szCs w:val="21"/>
          <w:lang w:val="en-US" w:eastAsia="zh-CN"/>
        </w:rPr>
        <w:t>监测</w:t>
      </w:r>
      <w:r>
        <w:rPr>
          <w:rFonts w:hint="eastAsia" w:ascii="宋体" w:hAnsi="宋体"/>
          <w:szCs w:val="21"/>
        </w:rPr>
        <w:t>。应通过整合气瓶全生命周期、储配站、供应站点、用户、从业人员、风险隐患、监测报警等全链条数据，实现</w:t>
      </w:r>
      <w:r>
        <w:rPr>
          <w:rFonts w:hint="default" w:ascii="宋体" w:hAnsi="宋体"/>
          <w:szCs w:val="21"/>
          <w:lang w:val="en-US"/>
        </w:rPr>
        <w:t>瓶装气</w:t>
      </w:r>
      <w:r>
        <w:rPr>
          <w:rFonts w:hint="eastAsia" w:ascii="宋体" w:hAnsi="宋体"/>
          <w:szCs w:val="21"/>
        </w:rPr>
        <w:t>行业全流程溯源管控、常态化监测预警、风险分级评估、隐患闭环整改以及全流程规范化运营。</w:t>
      </w:r>
    </w:p>
    <w:p w14:paraId="1E614ED1">
      <w:pPr>
        <w:spacing w:beforeLines="0" w:afterLines="0"/>
        <w:outlineLvl w:val="2"/>
        <w:rPr>
          <w:rFonts w:ascii="宋体" w:hAnsi="宋体"/>
          <w:b/>
          <w:szCs w:val="24"/>
        </w:rPr>
      </w:pPr>
      <w:r>
        <w:rPr>
          <w:rFonts w:hint="eastAsia" w:ascii="宋体" w:hAnsi="宋体"/>
          <w:b/>
          <w:szCs w:val="24"/>
        </w:rPr>
        <w:t>8.3.2供水安全专项应用系统</w:t>
      </w:r>
    </w:p>
    <w:p w14:paraId="79D22FF3">
      <w:pPr>
        <w:spacing w:beforeLines="0" w:afterLines="0"/>
        <w:outlineLvl w:val="2"/>
        <w:rPr>
          <w:rFonts w:ascii="宋体" w:hAnsi="宋体"/>
          <w:szCs w:val="24"/>
        </w:rPr>
      </w:pPr>
      <w:r>
        <w:rPr>
          <w:rFonts w:hint="eastAsia" w:ascii="宋体" w:hAnsi="宋体"/>
          <w:szCs w:val="24"/>
        </w:rPr>
        <w:t>8.3.2.1</w:t>
      </w:r>
      <w:r>
        <w:rPr>
          <w:rFonts w:hint="eastAsia" w:ascii="宋体" w:hAnsi="宋体"/>
          <w:szCs w:val="21"/>
        </w:rPr>
        <w:t>系统</w:t>
      </w:r>
      <w:r>
        <w:rPr>
          <w:rFonts w:hint="eastAsia" w:ascii="宋体" w:hAnsi="宋体"/>
          <w:szCs w:val="21"/>
          <w:lang w:val="en-US" w:eastAsia="zh-CN"/>
        </w:rPr>
        <w:t>功能</w:t>
      </w:r>
      <w:r>
        <w:rPr>
          <w:rFonts w:hint="eastAsia" w:ascii="宋体" w:hAnsi="宋体"/>
          <w:szCs w:val="21"/>
          <w:lang w:eastAsia="zh-CN"/>
        </w:rPr>
        <w:t>。</w:t>
      </w:r>
      <w:r>
        <w:rPr>
          <w:rFonts w:hint="eastAsia" w:ascii="宋体" w:hAnsi="宋体"/>
          <w:szCs w:val="24"/>
        </w:rPr>
        <w:t>应基于管网运行压力、流量及</w:t>
      </w:r>
      <w:r>
        <w:rPr>
          <w:rFonts w:hint="eastAsia" w:ascii="宋体" w:hAnsi="宋体"/>
          <w:szCs w:val="24"/>
          <w:lang w:eastAsia="zh-CN"/>
        </w:rPr>
        <w:t>漏水声波</w:t>
      </w:r>
      <w:r>
        <w:rPr>
          <w:rFonts w:hint="eastAsia" w:ascii="宋体" w:hAnsi="宋体"/>
          <w:szCs w:val="24"/>
        </w:rPr>
        <w:t>信息，运用管网水力学模型和供水管网风险评估模型，实现对</w:t>
      </w:r>
      <w:r>
        <w:rPr>
          <w:rFonts w:hint="eastAsia" w:ascii="宋体" w:hAnsi="宋体"/>
          <w:szCs w:val="24"/>
          <w:lang w:val="en-US" w:eastAsia="zh-CN"/>
        </w:rPr>
        <w:t>城市</w:t>
      </w:r>
      <w:r>
        <w:rPr>
          <w:rFonts w:hint="eastAsia" w:ascii="宋体" w:hAnsi="宋体"/>
          <w:szCs w:val="24"/>
        </w:rPr>
        <w:t>供水</w:t>
      </w:r>
      <w:r>
        <w:rPr>
          <w:rFonts w:hint="eastAsia" w:ascii="宋体" w:hAnsi="宋体"/>
          <w:szCs w:val="24"/>
          <w:lang w:val="en-US" w:eastAsia="zh-CN"/>
        </w:rPr>
        <w:t>系统</w:t>
      </w:r>
      <w:r>
        <w:rPr>
          <w:rFonts w:hint="eastAsia" w:ascii="宋体" w:hAnsi="宋体"/>
          <w:szCs w:val="24"/>
        </w:rPr>
        <w:t>的风险评估和预测预警分析。系统应包括基础数据管理、风险评估、监测预警联动处置、巡检与隐患闭环管理、</w:t>
      </w:r>
      <w:r>
        <w:rPr>
          <w:rFonts w:hint="eastAsia" w:ascii="宋体" w:hAnsi="宋体"/>
          <w:szCs w:val="24"/>
          <w:highlight w:val="none"/>
          <w:lang w:eastAsia="zh-CN"/>
        </w:rPr>
        <w:t>监测</w:t>
      </w:r>
      <w:r>
        <w:rPr>
          <w:rFonts w:hint="eastAsia" w:ascii="宋体" w:hAnsi="宋体"/>
          <w:szCs w:val="24"/>
          <w:highlight w:val="none"/>
        </w:rPr>
        <w:t>运营管理</w:t>
      </w:r>
      <w:r>
        <w:rPr>
          <w:rFonts w:hint="eastAsia" w:ascii="宋体" w:hAnsi="宋体"/>
          <w:szCs w:val="24"/>
        </w:rPr>
        <w:t>等功能，宜加入爆管识别分析、大面积停水预测分析等算法模型应用。</w:t>
      </w:r>
    </w:p>
    <w:p w14:paraId="3DC3995B">
      <w:pPr>
        <w:spacing w:beforeLines="0" w:afterLines="0"/>
        <w:rPr>
          <w:rFonts w:ascii="宋体" w:hAnsi="宋体"/>
        </w:rPr>
      </w:pPr>
      <w:r>
        <w:rPr>
          <w:rFonts w:hint="eastAsia" w:ascii="宋体" w:hAnsi="宋体"/>
        </w:rPr>
        <w:t>8.3.2.2基础数据管理。数据</w:t>
      </w:r>
      <w:r>
        <w:rPr>
          <w:rFonts w:hint="eastAsia" w:ascii="宋体" w:hAnsi="宋体"/>
          <w:bCs/>
          <w:lang w:val="en-US" w:eastAsia="zh-CN"/>
        </w:rPr>
        <w:t>范围见7.2.3</w:t>
      </w:r>
      <w:r>
        <w:rPr>
          <w:rFonts w:hint="eastAsia" w:ascii="宋体" w:hAnsi="宋体"/>
        </w:rPr>
        <w:t>。</w:t>
      </w:r>
    </w:p>
    <w:p w14:paraId="1605C6CC">
      <w:pPr>
        <w:spacing w:beforeLines="0" w:afterLines="0"/>
        <w:rPr>
          <w:rFonts w:ascii="宋体" w:hAnsi="宋体"/>
        </w:rPr>
      </w:pPr>
      <w:r>
        <w:rPr>
          <w:rFonts w:hint="eastAsia" w:ascii="宋体" w:hAnsi="宋体"/>
        </w:rPr>
        <w:t>8.3.2.3风险评估。应实现第三方风险评估成果、</w:t>
      </w:r>
      <w:r>
        <w:rPr>
          <w:rFonts w:hint="eastAsia" w:ascii="宋体" w:hAnsi="宋体"/>
          <w:lang w:eastAsia="zh-CN"/>
        </w:rPr>
        <w:t>风险分布四色图</w:t>
      </w:r>
      <w:r>
        <w:rPr>
          <w:rFonts w:hint="eastAsia" w:ascii="宋体" w:hAnsi="宋体"/>
        </w:rPr>
        <w:t>管理展示；宜集成风险评估算法模型</w:t>
      </w:r>
      <w:r>
        <w:rPr>
          <w:rFonts w:hint="eastAsia" w:ascii="宋体" w:hAnsi="宋体"/>
          <w:lang w:eastAsia="zh-CN"/>
        </w:rPr>
        <w:t>，</w:t>
      </w:r>
      <w:r>
        <w:rPr>
          <w:rFonts w:hint="eastAsia" w:ascii="宋体" w:hAnsi="宋体"/>
        </w:rPr>
        <w:t>实现对风险结果的周期性动态评估。</w:t>
      </w:r>
    </w:p>
    <w:p w14:paraId="1AA66E84">
      <w:pPr>
        <w:spacing w:beforeLines="0" w:afterLines="0"/>
        <w:rPr>
          <w:rFonts w:ascii="宋体" w:hAnsi="宋体"/>
        </w:rPr>
      </w:pPr>
      <w:r>
        <w:rPr>
          <w:rFonts w:hint="eastAsia" w:ascii="宋体" w:hAnsi="宋体"/>
        </w:rPr>
        <w:t>8.3.2.4监测预警联动处置。应实现供水系统运行数据实时采集、</w:t>
      </w:r>
      <w:r>
        <w:rPr>
          <w:rFonts w:hint="eastAsia" w:ascii="宋体" w:hAnsi="宋体"/>
          <w:highlight w:val="none"/>
          <w:lang w:eastAsia="zh-CN"/>
        </w:rPr>
        <w:t>报警</w:t>
      </w:r>
      <w:r>
        <w:rPr>
          <w:rFonts w:hint="eastAsia" w:ascii="宋体" w:hAnsi="宋体"/>
        </w:rPr>
        <w:t>与事件处置全流程留痕管理，实现供水系统运行状态的常态化监测与智能分级预警。</w:t>
      </w:r>
    </w:p>
    <w:p w14:paraId="2F6B889E">
      <w:pPr>
        <w:spacing w:beforeLines="0" w:afterLines="0"/>
        <w:rPr>
          <w:rFonts w:ascii="宋体" w:hAnsi="宋体"/>
        </w:rPr>
      </w:pPr>
      <w:r>
        <w:rPr>
          <w:rFonts w:hint="eastAsia" w:ascii="宋体" w:hAnsi="宋体"/>
        </w:rPr>
        <w:t>8.3.2.5隐患闭环管理。应实现设施日常巡检、</w:t>
      </w:r>
      <w:r>
        <w:rPr>
          <w:rFonts w:hint="eastAsia" w:ascii="宋体" w:hAnsi="宋体"/>
          <w:lang w:eastAsia="zh-CN"/>
        </w:rPr>
        <w:t>行业主管部门</w:t>
      </w:r>
      <w:r>
        <w:rPr>
          <w:rFonts w:hint="eastAsia" w:ascii="宋体" w:hAnsi="宋体"/>
        </w:rPr>
        <w:t>专项督查的全流程标准化管控，覆盖巡检任务派发、现场排查、隐患上报、整改处置、复核销号全链条管理。</w:t>
      </w:r>
    </w:p>
    <w:p w14:paraId="53A3CF43">
      <w:pPr>
        <w:spacing w:beforeLines="0" w:afterLines="0"/>
        <w:rPr>
          <w:rFonts w:ascii="宋体" w:hAnsi="宋体"/>
        </w:rPr>
      </w:pPr>
      <w:r>
        <w:rPr>
          <w:rFonts w:hint="eastAsia" w:ascii="宋体" w:hAnsi="宋体"/>
        </w:rPr>
        <w:t>8.3.2.6</w:t>
      </w:r>
      <w:r>
        <w:rPr>
          <w:rFonts w:hint="eastAsia" w:ascii="宋体" w:hAnsi="宋体"/>
          <w:lang w:eastAsia="zh-CN"/>
        </w:rPr>
        <w:t>监测运营管理</w:t>
      </w:r>
      <w:r>
        <w:rPr>
          <w:rFonts w:hint="eastAsia" w:ascii="宋体" w:hAnsi="宋体"/>
        </w:rPr>
        <w:t>。应实现供水</w:t>
      </w:r>
      <w:r>
        <w:rPr>
          <w:rFonts w:hint="eastAsia" w:ascii="宋体" w:hAnsi="宋体"/>
          <w:lang w:val="en-US" w:eastAsia="zh-CN"/>
        </w:rPr>
        <w:t>监测</w:t>
      </w:r>
      <w:r>
        <w:rPr>
          <w:rFonts w:hint="eastAsia" w:ascii="宋体" w:hAnsi="宋体"/>
        </w:rPr>
        <w:t>的值班值守、人员考勤、值班日志等日常运营全流程管理；应配套跨部门协同调度功能，保障</w:t>
      </w:r>
      <w:r>
        <w:rPr>
          <w:rFonts w:hint="eastAsia" w:ascii="宋体" w:hAnsi="宋体"/>
          <w:lang w:val="en-US" w:eastAsia="zh-CN"/>
        </w:rPr>
        <w:t>监测系统</w:t>
      </w:r>
      <w:r>
        <w:rPr>
          <w:rFonts w:hint="eastAsia" w:ascii="宋体" w:hAnsi="宋体"/>
        </w:rPr>
        <w:t>常态化、规范化稳定运转。</w:t>
      </w:r>
    </w:p>
    <w:p w14:paraId="3BC67581">
      <w:pPr>
        <w:spacing w:beforeLines="0" w:afterLines="0"/>
        <w:rPr>
          <w:rFonts w:ascii="宋体" w:hAnsi="宋体"/>
        </w:rPr>
      </w:pPr>
      <w:r>
        <w:rPr>
          <w:rFonts w:hint="eastAsia" w:ascii="宋体" w:hAnsi="宋体"/>
        </w:rPr>
        <w:t>8.3.2.7智能模型分析。</w:t>
      </w:r>
      <w:r>
        <w:rPr>
          <w:rFonts w:hint="eastAsia" w:ascii="宋体" w:hAnsi="宋体"/>
          <w:szCs w:val="21"/>
          <w:lang w:val="en-US" w:eastAsia="zh-CN"/>
        </w:rPr>
        <w:t>通过</w:t>
      </w:r>
      <w:r>
        <w:rPr>
          <w:rFonts w:hint="eastAsia" w:ascii="宋体" w:hAnsi="宋体"/>
          <w:lang w:val="en-US" w:eastAsia="zh-CN"/>
        </w:rPr>
        <w:t>建立</w:t>
      </w:r>
      <w:r>
        <w:rPr>
          <w:rFonts w:hint="eastAsia" w:ascii="宋体" w:hAnsi="宋体"/>
        </w:rPr>
        <w:t>爆管识别分析、大面积停水预测分析等</w:t>
      </w:r>
      <w:r>
        <w:rPr>
          <w:rFonts w:hint="eastAsia" w:ascii="宋体" w:hAnsi="宋体"/>
          <w:lang w:val="en-US" w:eastAsia="zh-CN"/>
        </w:rPr>
        <w:t>智能分析</w:t>
      </w:r>
      <w:r>
        <w:rPr>
          <w:rFonts w:hint="eastAsia" w:ascii="宋体" w:hAnsi="宋体"/>
        </w:rPr>
        <w:t>模型，确保供水系统</w:t>
      </w:r>
      <w:r>
        <w:rPr>
          <w:rFonts w:hint="eastAsia" w:ascii="宋体" w:hAnsi="宋体"/>
          <w:lang w:eastAsia="zh-CN"/>
        </w:rPr>
        <w:t>长期稳定运行</w:t>
      </w:r>
      <w:r>
        <w:rPr>
          <w:rFonts w:hint="eastAsia" w:ascii="宋体" w:hAnsi="宋体"/>
        </w:rPr>
        <w:t>。</w:t>
      </w:r>
    </w:p>
    <w:p w14:paraId="235E9CDE">
      <w:pPr>
        <w:spacing w:beforeLines="50" w:afterLines="50"/>
        <w:outlineLvl w:val="2"/>
        <w:rPr>
          <w:rFonts w:ascii="宋体" w:hAnsi="宋体"/>
          <w:b/>
          <w:szCs w:val="24"/>
        </w:rPr>
      </w:pPr>
      <w:r>
        <w:rPr>
          <w:rFonts w:hint="eastAsia" w:ascii="宋体" w:hAnsi="宋体"/>
          <w:b/>
          <w:szCs w:val="24"/>
        </w:rPr>
        <w:t>8.3.3排水安全专项应用系统</w:t>
      </w:r>
    </w:p>
    <w:p w14:paraId="12DB33CA">
      <w:pPr>
        <w:spacing w:beforeLines="0" w:afterLines="0"/>
        <w:outlineLvl w:val="2"/>
        <w:rPr>
          <w:rFonts w:ascii="宋体" w:hAnsi="宋体"/>
        </w:rPr>
      </w:pPr>
      <w:r>
        <w:rPr>
          <w:rFonts w:hint="eastAsia" w:ascii="宋体" w:hAnsi="宋体"/>
          <w:szCs w:val="24"/>
        </w:rPr>
        <w:t>8.3.3.1</w:t>
      </w:r>
      <w:r>
        <w:rPr>
          <w:rFonts w:hint="eastAsia" w:ascii="宋体" w:hAnsi="宋体"/>
          <w:szCs w:val="21"/>
        </w:rPr>
        <w:t>系统</w:t>
      </w:r>
      <w:r>
        <w:rPr>
          <w:rFonts w:hint="eastAsia" w:ascii="宋体" w:hAnsi="宋体"/>
          <w:szCs w:val="21"/>
          <w:lang w:val="en-US" w:eastAsia="zh-CN"/>
        </w:rPr>
        <w:t>功能</w:t>
      </w:r>
      <w:r>
        <w:rPr>
          <w:rFonts w:hint="eastAsia" w:ascii="宋体" w:hAnsi="宋体"/>
          <w:szCs w:val="21"/>
          <w:lang w:eastAsia="zh-CN"/>
        </w:rPr>
        <w:t>。</w:t>
      </w:r>
      <w:r>
        <w:rPr>
          <w:rFonts w:hint="eastAsia" w:ascii="宋体" w:hAnsi="宋体"/>
          <w:szCs w:val="24"/>
        </w:rPr>
        <w:t>应汇聚城市排水管网实时运行数据和城市排水系统基础数据，综合分析城市排水系统安全运行态势。</w:t>
      </w:r>
      <w:r>
        <w:rPr>
          <w:rFonts w:hint="eastAsia" w:ascii="宋体" w:hAnsi="宋体"/>
        </w:rPr>
        <w:t>系统应包括基础数据管理、风险评估、监测预警联动处置、巡检与隐患闭环管理、</w:t>
      </w:r>
      <w:r>
        <w:rPr>
          <w:rFonts w:hint="eastAsia" w:ascii="宋体" w:hAnsi="宋体"/>
          <w:lang w:eastAsia="zh-CN"/>
        </w:rPr>
        <w:t>监测运营管理</w:t>
      </w:r>
      <w:r>
        <w:rPr>
          <w:rFonts w:hint="eastAsia" w:ascii="宋体" w:hAnsi="宋体"/>
        </w:rPr>
        <w:t>核心功能，宜加入内涝预测预警、管网病害诊断、污染溯源等算法模型应用。</w:t>
      </w:r>
    </w:p>
    <w:p w14:paraId="4E79F5C6">
      <w:pPr>
        <w:spacing w:beforeLines="0" w:afterLines="0"/>
        <w:rPr>
          <w:rFonts w:ascii="宋体" w:hAnsi="宋体"/>
        </w:rPr>
      </w:pPr>
      <w:r>
        <w:rPr>
          <w:rFonts w:hint="eastAsia" w:ascii="宋体" w:hAnsi="宋体"/>
        </w:rPr>
        <w:t>8.3.3.2基础数据管理。数据</w:t>
      </w:r>
      <w:r>
        <w:rPr>
          <w:rFonts w:hint="eastAsia" w:ascii="宋体" w:hAnsi="宋体"/>
          <w:bCs/>
          <w:lang w:val="en-US" w:eastAsia="zh-CN"/>
        </w:rPr>
        <w:t>范围见7.2.4、7.2.5</w:t>
      </w:r>
      <w:r>
        <w:rPr>
          <w:rFonts w:hint="eastAsia" w:ascii="宋体" w:hAnsi="宋体"/>
        </w:rPr>
        <w:t>。</w:t>
      </w:r>
    </w:p>
    <w:p w14:paraId="7D07224D">
      <w:pPr>
        <w:spacing w:beforeLines="0" w:afterLines="0"/>
        <w:rPr>
          <w:rFonts w:ascii="宋体" w:hAnsi="宋体"/>
          <w:b/>
          <w:szCs w:val="24"/>
        </w:rPr>
      </w:pPr>
      <w:r>
        <w:rPr>
          <w:rFonts w:hint="eastAsia" w:ascii="宋体" w:hAnsi="宋体"/>
        </w:rPr>
        <w:t>8.3.3.3风险评估。应实现第三方风险评估成果、</w:t>
      </w:r>
      <w:r>
        <w:rPr>
          <w:rFonts w:hint="eastAsia" w:ascii="宋体" w:hAnsi="宋体"/>
          <w:lang w:eastAsia="zh-CN"/>
        </w:rPr>
        <w:t>风险分布四色图</w:t>
      </w:r>
      <w:r>
        <w:rPr>
          <w:rFonts w:hint="eastAsia" w:ascii="宋体" w:hAnsi="宋体"/>
        </w:rPr>
        <w:t>管理展示；宜集成风险评估算法模型</w:t>
      </w:r>
      <w:r>
        <w:rPr>
          <w:rFonts w:hint="eastAsia" w:ascii="宋体" w:hAnsi="宋体"/>
          <w:lang w:eastAsia="zh-CN"/>
        </w:rPr>
        <w:t>，</w:t>
      </w:r>
      <w:r>
        <w:rPr>
          <w:rFonts w:hint="eastAsia" w:ascii="宋体" w:hAnsi="宋体"/>
        </w:rPr>
        <w:t>实现对风险结果的周期性动态评估。</w:t>
      </w:r>
    </w:p>
    <w:p w14:paraId="3E0CE4D4">
      <w:pPr>
        <w:spacing w:beforeLines="0" w:afterLines="0"/>
        <w:rPr>
          <w:rFonts w:ascii="宋体" w:hAnsi="宋体"/>
        </w:rPr>
      </w:pPr>
      <w:r>
        <w:rPr>
          <w:rFonts w:hint="eastAsia" w:ascii="宋体" w:hAnsi="宋体"/>
        </w:rPr>
        <w:t>8.3.3.4监测预警联动处置。应实现排水系统运行数据实时采集、</w:t>
      </w:r>
      <w:r>
        <w:rPr>
          <w:rFonts w:hint="eastAsia" w:ascii="宋体" w:hAnsi="宋体"/>
          <w:lang w:eastAsia="zh-CN"/>
        </w:rPr>
        <w:t>报警</w:t>
      </w:r>
      <w:r>
        <w:rPr>
          <w:rFonts w:hint="eastAsia" w:ascii="宋体" w:hAnsi="宋体"/>
        </w:rPr>
        <w:t>与事件处置全流程留痕管理，实现排水系统运行状态的常态化监测与智能分级预警。</w:t>
      </w:r>
    </w:p>
    <w:p w14:paraId="3184AB38">
      <w:pPr>
        <w:spacing w:beforeLines="0" w:afterLines="0"/>
        <w:rPr>
          <w:rFonts w:ascii="宋体" w:hAnsi="宋体"/>
        </w:rPr>
      </w:pPr>
      <w:r>
        <w:rPr>
          <w:rFonts w:hint="eastAsia" w:ascii="宋体" w:hAnsi="宋体"/>
        </w:rPr>
        <w:t>8.3.3.5隐患闭环管理。应实现设施日常巡检、</w:t>
      </w:r>
      <w:r>
        <w:rPr>
          <w:rFonts w:hint="eastAsia" w:ascii="宋体" w:hAnsi="宋体"/>
          <w:lang w:eastAsia="zh-CN"/>
        </w:rPr>
        <w:t>行业主管部门</w:t>
      </w:r>
      <w:r>
        <w:rPr>
          <w:rFonts w:hint="eastAsia" w:ascii="宋体" w:hAnsi="宋体"/>
        </w:rPr>
        <w:t>专项督查的全流程标准化管控，覆盖巡检任务派发、现场排查、隐患上报、整改处置、复核销号全链条管理。</w:t>
      </w:r>
    </w:p>
    <w:p w14:paraId="38FAAA09">
      <w:pPr>
        <w:spacing w:beforeLines="0" w:afterLines="0"/>
        <w:rPr>
          <w:rFonts w:ascii="宋体" w:hAnsi="宋体"/>
        </w:rPr>
      </w:pPr>
      <w:r>
        <w:rPr>
          <w:rFonts w:hint="eastAsia" w:ascii="宋体" w:hAnsi="宋体"/>
        </w:rPr>
        <w:t>8.3.3.6</w:t>
      </w:r>
      <w:r>
        <w:rPr>
          <w:rFonts w:hint="eastAsia" w:ascii="宋体" w:hAnsi="宋体"/>
          <w:lang w:eastAsia="zh-CN"/>
        </w:rPr>
        <w:t>监测运营管理</w:t>
      </w:r>
      <w:r>
        <w:rPr>
          <w:rFonts w:hint="eastAsia" w:ascii="宋体" w:hAnsi="宋体"/>
        </w:rPr>
        <w:t>。应实现排水</w:t>
      </w:r>
      <w:r>
        <w:rPr>
          <w:rFonts w:hint="eastAsia" w:ascii="宋体" w:hAnsi="宋体"/>
          <w:lang w:eastAsia="zh-CN"/>
        </w:rPr>
        <w:t>监测</w:t>
      </w:r>
      <w:r>
        <w:rPr>
          <w:rFonts w:hint="eastAsia" w:ascii="宋体" w:hAnsi="宋体"/>
        </w:rPr>
        <w:t>的值班值守、人员考勤、值班日志等日常运营全流程管理；应配套跨部门协同调度功能，保障</w:t>
      </w:r>
      <w:r>
        <w:rPr>
          <w:rFonts w:hint="eastAsia" w:ascii="宋体" w:hAnsi="宋体"/>
          <w:lang w:eastAsia="zh-CN"/>
        </w:rPr>
        <w:t>监测系统</w:t>
      </w:r>
      <w:r>
        <w:rPr>
          <w:rFonts w:hint="eastAsia" w:ascii="宋体" w:hAnsi="宋体"/>
        </w:rPr>
        <w:t>常态化、规范化稳定运转。</w:t>
      </w:r>
    </w:p>
    <w:p w14:paraId="39B42A7F">
      <w:pPr>
        <w:spacing w:beforeLines="0" w:afterLines="0"/>
        <w:rPr>
          <w:rFonts w:ascii="宋体" w:hAnsi="宋体"/>
        </w:rPr>
      </w:pPr>
      <w:r>
        <w:rPr>
          <w:rFonts w:hint="eastAsia" w:ascii="宋体" w:hAnsi="宋体"/>
        </w:rPr>
        <w:t>8.3.3.7智能模型分析。</w:t>
      </w:r>
      <w:r>
        <w:rPr>
          <w:rFonts w:hint="eastAsia" w:ascii="宋体" w:hAnsi="宋体"/>
          <w:szCs w:val="21"/>
          <w:lang w:val="en-US" w:eastAsia="zh-CN"/>
        </w:rPr>
        <w:t>通过建立</w:t>
      </w:r>
      <w:r>
        <w:rPr>
          <w:rFonts w:hint="eastAsia" w:ascii="宋体" w:hAnsi="宋体"/>
        </w:rPr>
        <w:t>内涝预测预警、管网病害诊断、污染溯源等</w:t>
      </w:r>
      <w:r>
        <w:rPr>
          <w:rFonts w:hint="eastAsia" w:ascii="宋体" w:hAnsi="宋体"/>
          <w:lang w:val="en-US" w:eastAsia="zh-CN"/>
        </w:rPr>
        <w:t>智能分析</w:t>
      </w:r>
      <w:r>
        <w:rPr>
          <w:rFonts w:hint="eastAsia" w:ascii="宋体" w:hAnsi="宋体"/>
        </w:rPr>
        <w:t>模型，提高城市排水防涝水平</w:t>
      </w:r>
      <w:r>
        <w:rPr>
          <w:rFonts w:hint="eastAsia" w:ascii="宋体" w:hAnsi="宋体"/>
          <w:lang w:eastAsia="zh-CN"/>
        </w:rPr>
        <w:t>，</w:t>
      </w:r>
      <w:r>
        <w:rPr>
          <w:rFonts w:hint="eastAsia" w:ascii="宋体" w:hAnsi="宋体"/>
        </w:rPr>
        <w:t>确保排水系统</w:t>
      </w:r>
      <w:r>
        <w:rPr>
          <w:rFonts w:hint="eastAsia" w:ascii="宋体" w:hAnsi="宋体"/>
          <w:lang w:eastAsia="zh-CN"/>
        </w:rPr>
        <w:t>长期稳定运行</w:t>
      </w:r>
      <w:r>
        <w:rPr>
          <w:rFonts w:hint="eastAsia" w:ascii="宋体" w:hAnsi="宋体"/>
        </w:rPr>
        <w:t>。</w:t>
      </w:r>
    </w:p>
    <w:p w14:paraId="1BC44CCE">
      <w:pPr>
        <w:spacing w:beforeLines="50" w:afterLines="50"/>
        <w:outlineLvl w:val="2"/>
        <w:rPr>
          <w:rFonts w:ascii="宋体" w:hAnsi="宋体"/>
          <w:b/>
          <w:szCs w:val="24"/>
        </w:rPr>
      </w:pPr>
      <w:r>
        <w:rPr>
          <w:rFonts w:hint="eastAsia" w:ascii="宋体" w:hAnsi="宋体"/>
          <w:b/>
          <w:szCs w:val="24"/>
        </w:rPr>
        <w:t>8.3.4热力安全专项应用系统</w:t>
      </w:r>
    </w:p>
    <w:p w14:paraId="575A62EE">
      <w:pPr>
        <w:spacing w:beforeLines="0" w:afterLines="0"/>
        <w:rPr>
          <w:rFonts w:ascii="宋体" w:hAnsi="宋体"/>
        </w:rPr>
      </w:pPr>
      <w:r>
        <w:rPr>
          <w:rFonts w:hint="eastAsia" w:ascii="宋体" w:hAnsi="宋体"/>
        </w:rPr>
        <w:t>8.3.4.1</w:t>
      </w:r>
      <w:r>
        <w:rPr>
          <w:rFonts w:hint="eastAsia" w:ascii="宋体" w:hAnsi="宋体"/>
          <w:szCs w:val="21"/>
        </w:rPr>
        <w:t>系统</w:t>
      </w:r>
      <w:r>
        <w:rPr>
          <w:rFonts w:hint="eastAsia" w:ascii="宋体" w:hAnsi="宋体"/>
          <w:szCs w:val="21"/>
          <w:lang w:val="en-US" w:eastAsia="zh-CN"/>
        </w:rPr>
        <w:t>功能</w:t>
      </w:r>
      <w:r>
        <w:rPr>
          <w:rFonts w:hint="eastAsia" w:ascii="宋体" w:hAnsi="宋体"/>
          <w:szCs w:val="21"/>
          <w:lang w:eastAsia="zh-CN"/>
        </w:rPr>
        <w:t>。</w:t>
      </w:r>
      <w:r>
        <w:rPr>
          <w:rFonts w:hint="eastAsia" w:ascii="宋体" w:hAnsi="宋体"/>
        </w:rPr>
        <w:t>应通过整合热力基础设施、风险、隐患、动态监测与报警等数据，实现供热</w:t>
      </w:r>
      <w:r>
        <w:rPr>
          <w:rFonts w:hint="eastAsia" w:ascii="宋体" w:hAnsi="宋体"/>
          <w:lang w:val="en-US" w:eastAsia="zh-CN"/>
        </w:rPr>
        <w:t>系统</w:t>
      </w:r>
      <w:r>
        <w:rPr>
          <w:rFonts w:hint="eastAsia" w:ascii="宋体" w:hAnsi="宋体"/>
        </w:rPr>
        <w:t>的常态化监测报警、预警处置、风险动态评估以及隐患闭环整改、运营。应包括基础数据管理、风险评估、巡检</w:t>
      </w:r>
      <w:r>
        <w:rPr>
          <w:rFonts w:hint="eastAsia" w:ascii="宋体" w:hAnsi="宋体"/>
          <w:lang w:eastAsia="zh-CN"/>
        </w:rPr>
        <w:t>隐患管控</w:t>
      </w:r>
      <w:r>
        <w:rPr>
          <w:rFonts w:hint="eastAsia" w:ascii="宋体" w:hAnsi="宋体"/>
        </w:rPr>
        <w:t>、监测预警联动处置功能，宜加入管网泄漏溯源分析、爆管分析等算法模型应用。</w:t>
      </w:r>
    </w:p>
    <w:p w14:paraId="0424A14B">
      <w:pPr>
        <w:spacing w:beforeLines="0" w:afterLines="0"/>
        <w:rPr>
          <w:rFonts w:ascii="宋体" w:hAnsi="宋体"/>
        </w:rPr>
      </w:pPr>
      <w:r>
        <w:rPr>
          <w:rFonts w:hint="eastAsia" w:ascii="宋体" w:hAnsi="宋体"/>
        </w:rPr>
        <w:t>8.3.4.2基础数据管理。数据</w:t>
      </w:r>
      <w:r>
        <w:rPr>
          <w:rFonts w:hint="eastAsia" w:ascii="宋体" w:hAnsi="宋体"/>
          <w:bCs/>
          <w:lang w:val="en-US" w:eastAsia="zh-CN"/>
        </w:rPr>
        <w:t>范围见7.2.6</w:t>
      </w:r>
      <w:r>
        <w:rPr>
          <w:rFonts w:hint="eastAsia" w:ascii="宋体" w:hAnsi="宋体"/>
        </w:rPr>
        <w:t>。</w:t>
      </w:r>
    </w:p>
    <w:p w14:paraId="668CFF50">
      <w:pPr>
        <w:spacing w:beforeLines="0" w:afterLines="0"/>
        <w:rPr>
          <w:rFonts w:ascii="宋体" w:hAnsi="宋体"/>
        </w:rPr>
      </w:pPr>
      <w:r>
        <w:rPr>
          <w:rFonts w:hint="eastAsia" w:ascii="宋体" w:hAnsi="宋体"/>
        </w:rPr>
        <w:t>8.3.4.3风险评估。应实现第三方风险评估成果、</w:t>
      </w:r>
      <w:r>
        <w:rPr>
          <w:rFonts w:hint="eastAsia" w:ascii="宋体" w:hAnsi="宋体"/>
          <w:lang w:eastAsia="zh-CN"/>
        </w:rPr>
        <w:t>风险分布四色图</w:t>
      </w:r>
      <w:r>
        <w:rPr>
          <w:rFonts w:hint="eastAsia" w:ascii="宋体" w:hAnsi="宋体"/>
        </w:rPr>
        <w:t>管理展示；宜集成风险评估算法模型</w:t>
      </w:r>
      <w:r>
        <w:rPr>
          <w:rFonts w:hint="eastAsia" w:ascii="宋体" w:hAnsi="宋体"/>
          <w:lang w:eastAsia="zh-CN"/>
        </w:rPr>
        <w:t>，</w:t>
      </w:r>
      <w:r>
        <w:rPr>
          <w:rFonts w:hint="eastAsia" w:ascii="宋体" w:hAnsi="宋体"/>
        </w:rPr>
        <w:t>实现对风险结果的周期性动态评估。</w:t>
      </w:r>
    </w:p>
    <w:p w14:paraId="0CC998B9">
      <w:pPr>
        <w:spacing w:beforeLines="0" w:afterLines="0"/>
        <w:rPr>
          <w:rFonts w:ascii="宋体" w:hAnsi="宋体"/>
        </w:rPr>
      </w:pPr>
      <w:r>
        <w:rPr>
          <w:rFonts w:hint="eastAsia" w:ascii="宋体" w:hAnsi="宋体"/>
        </w:rPr>
        <w:t>8.3.4.4监测预警联动处置。应实现供热系统运行数据实时采集、</w:t>
      </w:r>
      <w:r>
        <w:rPr>
          <w:rFonts w:hint="eastAsia" w:ascii="宋体" w:hAnsi="宋体"/>
          <w:lang w:eastAsia="zh-CN"/>
        </w:rPr>
        <w:t>报警</w:t>
      </w:r>
      <w:r>
        <w:rPr>
          <w:rFonts w:hint="eastAsia" w:ascii="宋体" w:hAnsi="宋体"/>
        </w:rPr>
        <w:t>与事件处置全流程留痕管理，实现供热系统运行状态的常态化监测与智能分级预警。</w:t>
      </w:r>
    </w:p>
    <w:p w14:paraId="6B918334">
      <w:pPr>
        <w:spacing w:beforeLines="0" w:afterLines="0"/>
        <w:rPr>
          <w:rFonts w:ascii="宋体" w:hAnsi="宋体"/>
        </w:rPr>
      </w:pPr>
      <w:r>
        <w:rPr>
          <w:rFonts w:hint="eastAsia" w:ascii="宋体" w:hAnsi="宋体"/>
        </w:rPr>
        <w:t>8.3.4.5隐患闭环管理。应实现设施日常巡检、</w:t>
      </w:r>
      <w:r>
        <w:rPr>
          <w:rFonts w:hint="eastAsia" w:ascii="宋体" w:hAnsi="宋体"/>
          <w:lang w:eastAsia="zh-CN"/>
        </w:rPr>
        <w:t>行业主管部门</w:t>
      </w:r>
      <w:r>
        <w:rPr>
          <w:rFonts w:hint="eastAsia" w:ascii="宋体" w:hAnsi="宋体"/>
        </w:rPr>
        <w:t>专项督查的全流程标准化管控，覆盖巡检任务派发、现场排查、隐患上报、整改处置、复核销号全链条管理。</w:t>
      </w:r>
    </w:p>
    <w:p w14:paraId="7A561584">
      <w:pPr>
        <w:spacing w:beforeLines="0" w:afterLines="0"/>
        <w:rPr>
          <w:rFonts w:ascii="宋体" w:hAnsi="宋体"/>
        </w:rPr>
      </w:pPr>
      <w:r>
        <w:rPr>
          <w:rFonts w:hint="eastAsia" w:ascii="宋体" w:hAnsi="宋体"/>
        </w:rPr>
        <w:t>8.3.4.6</w:t>
      </w:r>
      <w:r>
        <w:rPr>
          <w:rFonts w:hint="eastAsia" w:ascii="宋体" w:hAnsi="宋体"/>
          <w:lang w:eastAsia="zh-CN"/>
        </w:rPr>
        <w:t>监测运营管理</w:t>
      </w:r>
      <w:r>
        <w:rPr>
          <w:rFonts w:hint="eastAsia" w:ascii="宋体" w:hAnsi="宋体"/>
        </w:rPr>
        <w:t>。应实现供热</w:t>
      </w:r>
      <w:r>
        <w:rPr>
          <w:rFonts w:hint="eastAsia" w:ascii="宋体" w:hAnsi="宋体"/>
          <w:lang w:eastAsia="zh-CN"/>
        </w:rPr>
        <w:t>监测</w:t>
      </w:r>
      <w:r>
        <w:rPr>
          <w:rFonts w:hint="eastAsia" w:ascii="宋体" w:hAnsi="宋体"/>
        </w:rPr>
        <w:t>的值班值守、人员考勤、值班日志等日常运营全流程管理；应配套跨部门协同调度功能，保障</w:t>
      </w:r>
      <w:r>
        <w:rPr>
          <w:rFonts w:hint="eastAsia" w:ascii="宋体" w:hAnsi="宋体"/>
          <w:lang w:eastAsia="zh-CN"/>
        </w:rPr>
        <w:t>监测系统</w:t>
      </w:r>
      <w:r>
        <w:rPr>
          <w:rFonts w:hint="eastAsia" w:ascii="宋体" w:hAnsi="宋体"/>
        </w:rPr>
        <w:t>常态化、规范化稳定运转。</w:t>
      </w:r>
    </w:p>
    <w:p w14:paraId="06994DD5">
      <w:pPr>
        <w:spacing w:beforeLines="0" w:afterLines="0"/>
        <w:rPr>
          <w:rFonts w:ascii="宋体" w:hAnsi="宋体"/>
        </w:rPr>
      </w:pPr>
      <w:r>
        <w:rPr>
          <w:rFonts w:hint="eastAsia" w:ascii="宋体" w:hAnsi="宋体"/>
        </w:rPr>
        <w:t>8.3.4.7智能模型分析。</w:t>
      </w:r>
      <w:r>
        <w:rPr>
          <w:rFonts w:hint="eastAsia" w:ascii="宋体" w:hAnsi="宋体"/>
          <w:szCs w:val="21"/>
          <w:lang w:val="en-US" w:eastAsia="zh-CN"/>
        </w:rPr>
        <w:t>通过建立</w:t>
      </w:r>
      <w:r>
        <w:rPr>
          <w:rFonts w:hint="eastAsia" w:ascii="宋体" w:hAnsi="宋体"/>
          <w:szCs w:val="21"/>
        </w:rPr>
        <w:t>泄漏溯源分析、</w:t>
      </w:r>
      <w:r>
        <w:rPr>
          <w:rFonts w:hint="eastAsia" w:ascii="宋体" w:hAnsi="宋体"/>
        </w:rPr>
        <w:t>爆管分析等</w:t>
      </w:r>
      <w:r>
        <w:rPr>
          <w:rFonts w:hint="eastAsia" w:ascii="宋体" w:hAnsi="宋体"/>
          <w:lang w:val="en-US" w:eastAsia="zh-CN"/>
        </w:rPr>
        <w:t>智能分析</w:t>
      </w:r>
      <w:r>
        <w:rPr>
          <w:rFonts w:hint="eastAsia" w:ascii="宋体" w:hAnsi="宋体"/>
        </w:rPr>
        <w:t>模型，提高城市供热安全水平</w:t>
      </w:r>
      <w:r>
        <w:rPr>
          <w:rFonts w:hint="eastAsia" w:ascii="宋体" w:hAnsi="宋体"/>
          <w:lang w:eastAsia="zh-CN"/>
        </w:rPr>
        <w:t>，</w:t>
      </w:r>
      <w:r>
        <w:rPr>
          <w:rFonts w:hint="eastAsia" w:ascii="宋体" w:hAnsi="宋体"/>
        </w:rPr>
        <w:t>确保供热系统</w:t>
      </w:r>
      <w:r>
        <w:rPr>
          <w:rFonts w:hint="eastAsia" w:ascii="宋体" w:hAnsi="宋体"/>
          <w:lang w:eastAsia="zh-CN"/>
        </w:rPr>
        <w:t>长期稳定运行</w:t>
      </w:r>
      <w:r>
        <w:rPr>
          <w:rFonts w:hint="eastAsia" w:ascii="宋体" w:hAnsi="宋体"/>
        </w:rPr>
        <w:t>。</w:t>
      </w:r>
    </w:p>
    <w:p w14:paraId="4B23FB1E">
      <w:pPr>
        <w:spacing w:beforeLines="50" w:afterLines="50"/>
        <w:outlineLvl w:val="2"/>
        <w:rPr>
          <w:rFonts w:ascii="宋体" w:hAnsi="宋体"/>
          <w:b/>
          <w:szCs w:val="24"/>
        </w:rPr>
      </w:pPr>
      <w:r>
        <w:rPr>
          <w:rFonts w:hint="eastAsia" w:ascii="宋体" w:hAnsi="宋体"/>
          <w:b/>
          <w:szCs w:val="24"/>
        </w:rPr>
        <w:t>8.3.5桥梁安全专项应用系统</w:t>
      </w:r>
    </w:p>
    <w:p w14:paraId="161439B0">
      <w:pPr>
        <w:spacing w:beforeLines="0" w:afterLines="0"/>
        <w:outlineLvl w:val="2"/>
        <w:rPr>
          <w:rFonts w:ascii="宋体" w:hAnsi="宋体" w:cs="宋体"/>
        </w:rPr>
      </w:pPr>
      <w:r>
        <w:rPr>
          <w:rFonts w:hint="eastAsia" w:ascii="宋体" w:hAnsi="宋体" w:cs="宋体"/>
        </w:rPr>
        <w:t>8.3.5.1</w:t>
      </w:r>
      <w:r>
        <w:rPr>
          <w:rFonts w:hint="eastAsia" w:ascii="宋体" w:hAnsi="宋体"/>
          <w:szCs w:val="21"/>
        </w:rPr>
        <w:t>系统</w:t>
      </w:r>
      <w:r>
        <w:rPr>
          <w:rFonts w:hint="eastAsia" w:ascii="宋体" w:hAnsi="宋体"/>
          <w:szCs w:val="21"/>
          <w:lang w:val="en-US" w:eastAsia="zh-CN"/>
        </w:rPr>
        <w:t>功能</w:t>
      </w:r>
      <w:r>
        <w:rPr>
          <w:rFonts w:hint="eastAsia" w:ascii="宋体" w:hAnsi="宋体"/>
          <w:szCs w:val="21"/>
          <w:lang w:eastAsia="zh-CN"/>
        </w:rPr>
        <w:t>。</w:t>
      </w:r>
      <w:r>
        <w:rPr>
          <w:rFonts w:hint="eastAsia" w:ascii="宋体" w:hAnsi="宋体" w:cs="宋体"/>
        </w:rPr>
        <w:t>应通过整合桥梁基础设施、风险、病害、动态监测与报警等数据，实现桥梁结构安全的常态化监测报警、预警处置、风险动态评估以及病害闭环整改、运营。应包括基础数据管理、风险评估、巡检病害管理、监测预警联动处置功能，宜加入桥梁安全智能评分、管养建议等算法模型应用。</w:t>
      </w:r>
    </w:p>
    <w:p w14:paraId="248EE319">
      <w:pPr>
        <w:spacing w:beforeLines="0" w:afterLines="0"/>
        <w:rPr>
          <w:rFonts w:ascii="宋体" w:hAnsi="宋体"/>
        </w:rPr>
      </w:pPr>
      <w:r>
        <w:rPr>
          <w:rFonts w:hint="eastAsia" w:ascii="宋体" w:hAnsi="宋体"/>
        </w:rPr>
        <w:t>8.3.5.2基础数据管理。数据</w:t>
      </w:r>
      <w:r>
        <w:rPr>
          <w:rFonts w:hint="eastAsia" w:ascii="宋体" w:hAnsi="宋体"/>
          <w:bCs/>
          <w:lang w:val="en-US" w:eastAsia="zh-CN"/>
        </w:rPr>
        <w:t>范围见7.2.7</w:t>
      </w:r>
      <w:r>
        <w:rPr>
          <w:rFonts w:hint="eastAsia" w:ascii="宋体" w:hAnsi="宋体"/>
        </w:rPr>
        <w:t>。</w:t>
      </w:r>
    </w:p>
    <w:p w14:paraId="79D13D9D">
      <w:pPr>
        <w:spacing w:beforeLines="0" w:afterLines="0"/>
        <w:rPr>
          <w:rFonts w:ascii="宋体" w:hAnsi="宋体"/>
        </w:rPr>
      </w:pPr>
      <w:r>
        <w:rPr>
          <w:rFonts w:hint="eastAsia" w:ascii="宋体" w:hAnsi="宋体"/>
        </w:rPr>
        <w:t>8.3.5.3风险评估。应实现第三方风险评估成果、</w:t>
      </w:r>
      <w:r>
        <w:rPr>
          <w:rFonts w:hint="eastAsia" w:ascii="宋体" w:hAnsi="宋体"/>
          <w:lang w:eastAsia="zh-CN"/>
        </w:rPr>
        <w:t>风险分布四色图</w:t>
      </w:r>
      <w:r>
        <w:rPr>
          <w:rFonts w:hint="eastAsia" w:ascii="宋体" w:hAnsi="宋体"/>
        </w:rPr>
        <w:t>管理展示；宜集成风险评估算法模型</w:t>
      </w:r>
      <w:r>
        <w:rPr>
          <w:rFonts w:hint="eastAsia" w:ascii="宋体" w:hAnsi="宋体"/>
          <w:lang w:eastAsia="zh-CN"/>
        </w:rPr>
        <w:t>，</w:t>
      </w:r>
      <w:r>
        <w:rPr>
          <w:rFonts w:hint="eastAsia" w:ascii="宋体" w:hAnsi="宋体"/>
        </w:rPr>
        <w:t>实现对桥梁风险结果的周期性动态评估。</w:t>
      </w:r>
    </w:p>
    <w:p w14:paraId="4551A02E">
      <w:pPr>
        <w:widowControl/>
        <w:spacing w:beforeLines="0" w:afterLines="0"/>
        <w:jc w:val="left"/>
        <w:rPr>
          <w:rFonts w:ascii="宋体" w:hAnsi="宋体"/>
        </w:rPr>
      </w:pPr>
      <w:r>
        <w:rPr>
          <w:rFonts w:hint="eastAsia" w:ascii="宋体" w:hAnsi="宋体"/>
        </w:rPr>
        <w:t>8.3.5.4监测预警联动处置。应实现桥梁结构安全监测设备、</w:t>
      </w:r>
      <w:r>
        <w:rPr>
          <w:rFonts w:hint="eastAsia" w:ascii="宋体" w:hAnsi="宋体"/>
          <w:lang w:eastAsia="zh-CN"/>
        </w:rPr>
        <w:t>视频监控</w:t>
      </w:r>
      <w:r>
        <w:rPr>
          <w:rFonts w:hint="eastAsia" w:ascii="宋体" w:hAnsi="宋体"/>
        </w:rPr>
        <w:t>等实时数据采集、</w:t>
      </w:r>
      <w:r>
        <w:rPr>
          <w:rFonts w:hint="eastAsia" w:ascii="宋体" w:hAnsi="宋体"/>
          <w:lang w:eastAsia="zh-CN"/>
        </w:rPr>
        <w:t>报警</w:t>
      </w:r>
      <w:r>
        <w:rPr>
          <w:rFonts w:hint="eastAsia" w:ascii="宋体" w:hAnsi="宋体"/>
        </w:rPr>
        <w:t>与事件全流程留痕管理，实现桥梁全场景运行状态的常态化监测与智能分级预警。利用系统监测数据预处理、监测数据分析技术（趋势分析、关联分析等），实现对桥梁结构响应数据的实时分析，及时发现桥梁异常。</w:t>
      </w:r>
    </w:p>
    <w:p w14:paraId="416A60AA">
      <w:pPr>
        <w:spacing w:beforeLines="0" w:afterLines="0"/>
        <w:rPr>
          <w:rFonts w:ascii="宋体" w:hAnsi="宋体"/>
        </w:rPr>
      </w:pPr>
      <w:r>
        <w:rPr>
          <w:rFonts w:hint="eastAsia" w:ascii="宋体" w:hAnsi="宋体"/>
        </w:rPr>
        <w:t>8.3.5.5病害闭环管理。应实现桥梁管养单位对桥梁日常巡检、定期监测、特殊性监测；监督单位专项安全检查的全流程标准化管控，覆盖巡检任务派发、现场排查、病害上报、整改处置、复查销项全链条管理。</w:t>
      </w:r>
    </w:p>
    <w:p w14:paraId="0117FD18">
      <w:pPr>
        <w:spacing w:beforeLines="0" w:afterLines="0"/>
        <w:rPr>
          <w:rFonts w:ascii="宋体" w:hAnsi="宋体"/>
        </w:rPr>
      </w:pPr>
      <w:r>
        <w:rPr>
          <w:rFonts w:hint="eastAsia" w:ascii="宋体" w:hAnsi="宋体"/>
        </w:rPr>
        <w:t>8.3.5.6</w:t>
      </w:r>
      <w:r>
        <w:rPr>
          <w:rFonts w:hint="eastAsia" w:ascii="宋体" w:hAnsi="宋体"/>
          <w:lang w:eastAsia="zh-CN"/>
        </w:rPr>
        <w:t>监测运营管理</w:t>
      </w:r>
      <w:r>
        <w:rPr>
          <w:rFonts w:hint="eastAsia" w:ascii="宋体" w:hAnsi="宋体"/>
        </w:rPr>
        <w:t>。应实现桥梁</w:t>
      </w:r>
      <w:r>
        <w:rPr>
          <w:rFonts w:hint="eastAsia" w:ascii="宋体" w:hAnsi="宋体"/>
          <w:lang w:eastAsia="zh-CN"/>
        </w:rPr>
        <w:t>监测</w:t>
      </w:r>
      <w:r>
        <w:rPr>
          <w:rFonts w:hint="eastAsia" w:ascii="宋体" w:hAnsi="宋体"/>
        </w:rPr>
        <w:t>的值班值守、人员考勤、值班日志等日常运营全流程管理；应配套跨部门协同调度功能，保障</w:t>
      </w:r>
      <w:r>
        <w:rPr>
          <w:rFonts w:hint="eastAsia" w:ascii="宋体" w:hAnsi="宋体"/>
          <w:lang w:eastAsia="zh-CN"/>
        </w:rPr>
        <w:t>监测系统</w:t>
      </w:r>
      <w:r>
        <w:rPr>
          <w:rFonts w:hint="eastAsia" w:ascii="宋体" w:hAnsi="宋体"/>
        </w:rPr>
        <w:t>常态化、规范化稳定运转。</w:t>
      </w:r>
    </w:p>
    <w:p w14:paraId="38658EE6">
      <w:pPr>
        <w:spacing w:beforeLines="0" w:afterLines="0"/>
        <w:rPr>
          <w:rFonts w:ascii="宋体" w:hAnsi="宋体"/>
        </w:rPr>
      </w:pPr>
      <w:r>
        <w:rPr>
          <w:rFonts w:hint="eastAsia" w:ascii="宋体" w:hAnsi="宋体"/>
        </w:rPr>
        <w:t>8.3.5.7智能模型分析。</w:t>
      </w:r>
      <w:r>
        <w:rPr>
          <w:rFonts w:hint="eastAsia" w:ascii="宋体" w:hAnsi="宋体"/>
          <w:lang w:val="en-US" w:eastAsia="zh-CN"/>
        </w:rPr>
        <w:t>通过建立</w:t>
      </w:r>
      <w:r>
        <w:rPr>
          <w:rFonts w:hint="eastAsia" w:ascii="宋体" w:hAnsi="宋体"/>
        </w:rPr>
        <w:t>基于桥梁基础情况、设备监测数据、日常巡检、技术评定等数据的</w:t>
      </w:r>
      <w:r>
        <w:rPr>
          <w:rFonts w:hint="eastAsia" w:ascii="宋体" w:hAnsi="宋体"/>
          <w:lang w:val="en-US" w:eastAsia="zh-CN"/>
        </w:rPr>
        <w:t>智能分析</w:t>
      </w:r>
      <w:r>
        <w:rPr>
          <w:rFonts w:hint="eastAsia" w:ascii="宋体" w:hAnsi="宋体"/>
        </w:rPr>
        <w:t>模型</w:t>
      </w:r>
      <w:r>
        <w:rPr>
          <w:rFonts w:hint="eastAsia" w:ascii="宋体" w:hAnsi="宋体"/>
          <w:lang w:eastAsia="zh-CN"/>
        </w:rPr>
        <w:t>，</w:t>
      </w:r>
      <w:r>
        <w:rPr>
          <w:rFonts w:hint="eastAsia" w:ascii="宋体" w:hAnsi="宋体"/>
        </w:rPr>
        <w:t>实现对桥梁安全的动态评分及管养建议的分析推荐</w:t>
      </w:r>
      <w:r>
        <w:rPr>
          <w:rFonts w:hint="eastAsia" w:ascii="宋体" w:hAnsi="宋体"/>
          <w:lang w:eastAsia="zh-CN"/>
        </w:rPr>
        <w:t>，</w:t>
      </w:r>
      <w:r>
        <w:rPr>
          <w:rFonts w:hint="eastAsia" w:ascii="宋体" w:hAnsi="宋体"/>
        </w:rPr>
        <w:t>确保</w:t>
      </w:r>
      <w:r>
        <w:rPr>
          <w:rFonts w:hint="eastAsia" w:ascii="宋体" w:hAnsi="宋体"/>
          <w:lang w:val="en-US" w:eastAsia="zh-CN"/>
        </w:rPr>
        <w:t>桥梁</w:t>
      </w:r>
      <w:r>
        <w:rPr>
          <w:rFonts w:hint="eastAsia" w:ascii="宋体" w:hAnsi="宋体"/>
        </w:rPr>
        <w:t>长期</w:t>
      </w:r>
      <w:r>
        <w:rPr>
          <w:rFonts w:hint="eastAsia" w:ascii="宋体" w:hAnsi="宋体"/>
          <w:lang w:val="en-US" w:eastAsia="zh-CN"/>
        </w:rPr>
        <w:t>安全</w:t>
      </w:r>
      <w:r>
        <w:rPr>
          <w:rFonts w:hint="eastAsia" w:ascii="宋体" w:hAnsi="宋体"/>
        </w:rPr>
        <w:t>运行。</w:t>
      </w:r>
    </w:p>
    <w:p w14:paraId="465F4138">
      <w:pPr>
        <w:spacing w:beforeLines="50" w:afterLines="50"/>
        <w:outlineLvl w:val="2"/>
        <w:rPr>
          <w:rFonts w:ascii="宋体" w:hAnsi="宋体"/>
          <w:b/>
          <w:szCs w:val="24"/>
        </w:rPr>
      </w:pPr>
      <w:r>
        <w:rPr>
          <w:rFonts w:hint="eastAsia" w:ascii="宋体" w:hAnsi="宋体"/>
          <w:b/>
          <w:szCs w:val="24"/>
        </w:rPr>
        <w:t>8.3.6隧道安全专项应用系统</w:t>
      </w:r>
    </w:p>
    <w:p w14:paraId="51FE6140">
      <w:pPr>
        <w:spacing w:beforeLines="0" w:afterLines="0"/>
        <w:outlineLvl w:val="2"/>
        <w:rPr>
          <w:rFonts w:ascii="宋体" w:hAnsi="宋体" w:cs="宋体"/>
        </w:rPr>
      </w:pPr>
      <w:r>
        <w:rPr>
          <w:rFonts w:hint="eastAsia" w:ascii="宋体" w:hAnsi="宋体" w:cs="宋体"/>
        </w:rPr>
        <w:t>8.3.6.1</w:t>
      </w:r>
      <w:r>
        <w:rPr>
          <w:rFonts w:hint="eastAsia" w:ascii="宋体" w:hAnsi="宋体"/>
          <w:szCs w:val="21"/>
        </w:rPr>
        <w:t>系统</w:t>
      </w:r>
      <w:r>
        <w:rPr>
          <w:rFonts w:hint="eastAsia" w:ascii="宋体" w:hAnsi="宋体"/>
          <w:szCs w:val="21"/>
          <w:lang w:val="en-US" w:eastAsia="zh-CN"/>
        </w:rPr>
        <w:t>功能</w:t>
      </w:r>
      <w:r>
        <w:rPr>
          <w:rFonts w:hint="eastAsia" w:ascii="宋体" w:hAnsi="宋体"/>
          <w:szCs w:val="21"/>
          <w:lang w:eastAsia="zh-CN"/>
        </w:rPr>
        <w:t>。</w:t>
      </w:r>
      <w:r>
        <w:rPr>
          <w:rFonts w:hint="eastAsia" w:ascii="宋体" w:hAnsi="宋体" w:cs="宋体"/>
        </w:rPr>
        <w:t>应通过整合隧道基础设施、风险、病害、动态监测与报警等数据，实现隧道结构安全的常态化监测报警、预警处置、风险动态评估以及病害闭环整改、运营。应包括基础数据管理、风险评估、巡检病害管理、监测预警联动处置功能，宜加入隧道安全智能评分、管养建议等算法模型应用。</w:t>
      </w:r>
    </w:p>
    <w:p w14:paraId="71E971DE">
      <w:pPr>
        <w:spacing w:beforeLines="0" w:afterLines="0"/>
        <w:rPr>
          <w:rFonts w:ascii="宋体" w:hAnsi="宋体"/>
        </w:rPr>
      </w:pPr>
      <w:r>
        <w:rPr>
          <w:rFonts w:hint="eastAsia" w:ascii="宋体" w:hAnsi="宋体"/>
        </w:rPr>
        <w:t>8.3.6.2基础数据管理</w:t>
      </w:r>
      <w:r>
        <w:rPr>
          <w:rFonts w:hint="eastAsia" w:ascii="宋体" w:hAnsi="宋体"/>
          <w:lang w:eastAsia="zh-CN"/>
        </w:rPr>
        <w:t>。</w:t>
      </w:r>
      <w:r>
        <w:rPr>
          <w:rFonts w:hint="eastAsia" w:ascii="宋体" w:hAnsi="宋体"/>
        </w:rPr>
        <w:t>数据</w:t>
      </w:r>
      <w:r>
        <w:rPr>
          <w:rFonts w:hint="eastAsia" w:ascii="宋体" w:hAnsi="宋体"/>
          <w:bCs/>
          <w:lang w:val="en-US" w:eastAsia="zh-CN"/>
        </w:rPr>
        <w:t>所属对象范围见7.2.8</w:t>
      </w:r>
      <w:r>
        <w:rPr>
          <w:rFonts w:hint="eastAsia" w:ascii="宋体" w:hAnsi="宋体"/>
        </w:rPr>
        <w:t>。</w:t>
      </w:r>
    </w:p>
    <w:p w14:paraId="324DAC2A">
      <w:pPr>
        <w:spacing w:beforeLines="0" w:afterLines="0"/>
        <w:rPr>
          <w:rFonts w:ascii="宋体" w:hAnsi="宋体"/>
        </w:rPr>
      </w:pPr>
      <w:r>
        <w:rPr>
          <w:rFonts w:hint="eastAsia" w:ascii="宋体" w:hAnsi="宋体"/>
        </w:rPr>
        <w:t>8.3.6.3风险评估</w:t>
      </w:r>
      <w:r>
        <w:rPr>
          <w:rFonts w:hint="eastAsia" w:ascii="宋体" w:hAnsi="宋体"/>
          <w:lang w:eastAsia="zh-CN"/>
        </w:rPr>
        <w:t>。</w:t>
      </w:r>
      <w:r>
        <w:rPr>
          <w:rFonts w:hint="eastAsia" w:ascii="宋体" w:hAnsi="宋体"/>
        </w:rPr>
        <w:t>应实现第三方风险评估成果、</w:t>
      </w:r>
      <w:r>
        <w:rPr>
          <w:rFonts w:hint="eastAsia" w:ascii="宋体" w:hAnsi="宋体"/>
          <w:lang w:eastAsia="zh-CN"/>
        </w:rPr>
        <w:t>风险分布四色图</w:t>
      </w:r>
      <w:r>
        <w:rPr>
          <w:rFonts w:hint="eastAsia" w:ascii="宋体" w:hAnsi="宋体"/>
        </w:rPr>
        <w:t>管理展示；宜集成风险评估算法模型</w:t>
      </w:r>
      <w:r>
        <w:rPr>
          <w:rFonts w:hint="eastAsia" w:ascii="宋体" w:hAnsi="宋体"/>
          <w:lang w:eastAsia="zh-CN"/>
        </w:rPr>
        <w:t>，</w:t>
      </w:r>
      <w:r>
        <w:rPr>
          <w:rFonts w:hint="eastAsia" w:ascii="宋体" w:hAnsi="宋体"/>
        </w:rPr>
        <w:t>实现对隧道风险结果的周期性动态评估。</w:t>
      </w:r>
    </w:p>
    <w:p w14:paraId="289AF702">
      <w:pPr>
        <w:spacing w:beforeLines="0" w:afterLines="0"/>
        <w:rPr>
          <w:rFonts w:ascii="宋体" w:hAnsi="宋体"/>
        </w:rPr>
      </w:pPr>
      <w:r>
        <w:rPr>
          <w:rFonts w:hint="eastAsia" w:ascii="宋体" w:hAnsi="宋体"/>
        </w:rPr>
        <w:t>8.3.6.4监测预警联动处置</w:t>
      </w:r>
      <w:r>
        <w:rPr>
          <w:rFonts w:hint="eastAsia" w:ascii="宋体" w:hAnsi="宋体"/>
          <w:lang w:eastAsia="zh-CN"/>
        </w:rPr>
        <w:t>。</w:t>
      </w:r>
      <w:r>
        <w:rPr>
          <w:rFonts w:hint="eastAsia" w:ascii="宋体" w:hAnsi="宋体"/>
        </w:rPr>
        <w:t>应实现隧道结构安全监测设备、</w:t>
      </w:r>
      <w:r>
        <w:rPr>
          <w:rFonts w:hint="eastAsia" w:ascii="宋体" w:hAnsi="宋体"/>
          <w:lang w:eastAsia="zh-CN"/>
        </w:rPr>
        <w:t>视频监控</w:t>
      </w:r>
      <w:r>
        <w:rPr>
          <w:rFonts w:hint="eastAsia" w:ascii="宋体" w:hAnsi="宋体"/>
        </w:rPr>
        <w:t>等实时数据采集、</w:t>
      </w:r>
      <w:r>
        <w:rPr>
          <w:rFonts w:hint="eastAsia" w:ascii="宋体" w:hAnsi="宋体"/>
          <w:lang w:eastAsia="zh-CN"/>
        </w:rPr>
        <w:t>报警</w:t>
      </w:r>
      <w:r>
        <w:rPr>
          <w:rFonts w:hint="eastAsia" w:ascii="宋体" w:hAnsi="宋体"/>
        </w:rPr>
        <w:t>与事件全流程留痕管理，实现隧道全场景运行状态的常态化监测与智能分级预警。利用系统监测数据预处理、监测数据分析技术等，实现对隧道梁结构响应数据实时分析，及时发现隧道异常。</w:t>
      </w:r>
    </w:p>
    <w:p w14:paraId="1E0A37D4">
      <w:pPr>
        <w:widowControl/>
        <w:spacing w:beforeLines="0" w:afterLines="0"/>
        <w:jc w:val="left"/>
        <w:rPr>
          <w:rFonts w:ascii="宋体" w:hAnsi="宋体"/>
        </w:rPr>
      </w:pPr>
      <w:r>
        <w:rPr>
          <w:rFonts w:hint="eastAsia" w:ascii="宋体" w:hAnsi="宋体"/>
        </w:rPr>
        <w:t>8.3.6.5病害闭环管理</w:t>
      </w:r>
      <w:r>
        <w:rPr>
          <w:rFonts w:hint="eastAsia" w:ascii="宋体" w:hAnsi="宋体"/>
          <w:lang w:eastAsia="zh-CN"/>
        </w:rPr>
        <w:t>。</w:t>
      </w:r>
      <w:r>
        <w:rPr>
          <w:rFonts w:hint="eastAsia" w:ascii="宋体" w:hAnsi="宋体"/>
        </w:rPr>
        <w:t>应实现隧道管养单位对隧道日常巡检、定期监测、特殊性监测；监督单位专项安全检查的全流程标准化管控，覆盖巡检任务派发、现场排查、病害上报、整改处置、复查销项全链条管理。</w:t>
      </w:r>
    </w:p>
    <w:p w14:paraId="486CEE28">
      <w:pPr>
        <w:spacing w:beforeLines="0" w:afterLines="0"/>
        <w:rPr>
          <w:rFonts w:ascii="宋体" w:hAnsi="宋体"/>
        </w:rPr>
      </w:pPr>
      <w:r>
        <w:rPr>
          <w:rFonts w:hint="eastAsia" w:ascii="宋体" w:hAnsi="宋体"/>
        </w:rPr>
        <w:t>8.3.6.6</w:t>
      </w:r>
      <w:r>
        <w:rPr>
          <w:rFonts w:hint="eastAsia" w:ascii="宋体" w:hAnsi="宋体"/>
          <w:lang w:eastAsia="zh-CN"/>
        </w:rPr>
        <w:t>监测运营管理。</w:t>
      </w:r>
      <w:r>
        <w:rPr>
          <w:rFonts w:hint="eastAsia" w:ascii="宋体" w:hAnsi="宋体"/>
        </w:rPr>
        <w:t>应实现隧道</w:t>
      </w:r>
      <w:r>
        <w:rPr>
          <w:rFonts w:hint="eastAsia" w:ascii="宋体" w:hAnsi="宋体"/>
          <w:lang w:eastAsia="zh-CN"/>
        </w:rPr>
        <w:t>监测</w:t>
      </w:r>
      <w:r>
        <w:rPr>
          <w:rFonts w:hint="eastAsia" w:ascii="宋体" w:hAnsi="宋体"/>
        </w:rPr>
        <w:t>的值班值守、人员考勤、值班日志等日常运营全流程管理；应配套跨部门协同调度功能，保障</w:t>
      </w:r>
      <w:r>
        <w:rPr>
          <w:rFonts w:hint="eastAsia" w:ascii="宋体" w:hAnsi="宋体"/>
          <w:lang w:eastAsia="zh-CN"/>
        </w:rPr>
        <w:t>监测系统</w:t>
      </w:r>
      <w:r>
        <w:rPr>
          <w:rFonts w:hint="eastAsia" w:ascii="宋体" w:hAnsi="宋体"/>
        </w:rPr>
        <w:t>常态化、规范化稳定运转。</w:t>
      </w:r>
    </w:p>
    <w:p w14:paraId="7F32C3C8">
      <w:pPr>
        <w:spacing w:beforeLines="0" w:afterLines="0"/>
        <w:rPr>
          <w:rFonts w:ascii="宋体" w:hAnsi="宋体"/>
        </w:rPr>
      </w:pPr>
      <w:r>
        <w:rPr>
          <w:rFonts w:hint="eastAsia" w:ascii="宋体" w:hAnsi="宋体"/>
        </w:rPr>
        <w:t>8.3.6.7智能模型分析。宜</w:t>
      </w:r>
      <w:r>
        <w:rPr>
          <w:rFonts w:hint="eastAsia" w:ascii="宋体" w:hAnsi="宋体"/>
          <w:lang w:val="en-US" w:eastAsia="zh-CN"/>
        </w:rPr>
        <w:t>建立</w:t>
      </w:r>
      <w:r>
        <w:rPr>
          <w:rFonts w:hint="eastAsia" w:ascii="宋体" w:hAnsi="宋体"/>
        </w:rPr>
        <w:t>基于隧道基础情况、设备监测数据、日常巡检、技术评定等数据的</w:t>
      </w:r>
      <w:r>
        <w:rPr>
          <w:rFonts w:hint="eastAsia" w:ascii="宋体" w:hAnsi="宋体"/>
          <w:lang w:val="en-US" w:eastAsia="zh-CN"/>
        </w:rPr>
        <w:t>智能分析</w:t>
      </w:r>
      <w:r>
        <w:rPr>
          <w:rFonts w:hint="eastAsia" w:ascii="宋体" w:hAnsi="宋体"/>
        </w:rPr>
        <w:t>模型</w:t>
      </w:r>
      <w:r>
        <w:rPr>
          <w:rFonts w:hint="eastAsia" w:ascii="宋体" w:hAnsi="宋体"/>
          <w:lang w:eastAsia="zh-CN"/>
        </w:rPr>
        <w:t>，</w:t>
      </w:r>
      <w:r>
        <w:rPr>
          <w:rFonts w:hint="eastAsia" w:ascii="宋体" w:hAnsi="宋体"/>
        </w:rPr>
        <w:t>实现对隧道安全的动态评分及管养建议的分析推荐</w:t>
      </w:r>
      <w:r>
        <w:rPr>
          <w:rFonts w:hint="eastAsia" w:ascii="宋体" w:hAnsi="宋体"/>
          <w:lang w:eastAsia="zh-CN"/>
        </w:rPr>
        <w:t>，</w:t>
      </w:r>
      <w:r>
        <w:rPr>
          <w:rFonts w:hint="eastAsia" w:ascii="宋体" w:hAnsi="宋体"/>
        </w:rPr>
        <w:t>确保</w:t>
      </w:r>
      <w:r>
        <w:rPr>
          <w:rFonts w:hint="eastAsia" w:ascii="宋体" w:hAnsi="宋体"/>
          <w:lang w:val="en-US" w:eastAsia="zh-CN"/>
        </w:rPr>
        <w:t>隧道</w:t>
      </w:r>
      <w:r>
        <w:rPr>
          <w:rFonts w:hint="eastAsia" w:ascii="宋体" w:hAnsi="宋体"/>
        </w:rPr>
        <w:t>长期</w:t>
      </w:r>
      <w:r>
        <w:rPr>
          <w:rFonts w:hint="eastAsia" w:ascii="宋体" w:hAnsi="宋体"/>
          <w:lang w:val="en-US" w:eastAsia="zh-CN"/>
        </w:rPr>
        <w:t>安全</w:t>
      </w:r>
      <w:r>
        <w:rPr>
          <w:rFonts w:hint="eastAsia" w:ascii="宋体" w:hAnsi="宋体"/>
        </w:rPr>
        <w:t>运行。</w:t>
      </w:r>
    </w:p>
    <w:p w14:paraId="7AF4BA75">
      <w:pPr>
        <w:spacing w:beforeLines="50" w:afterLines="50"/>
        <w:outlineLvl w:val="2"/>
        <w:rPr>
          <w:rFonts w:hint="eastAsia" w:ascii="宋体" w:hAnsi="宋体" w:eastAsia="宋体"/>
          <w:b/>
          <w:szCs w:val="24"/>
          <w:lang w:val="en-US" w:eastAsia="zh-CN"/>
        </w:rPr>
      </w:pPr>
      <w:r>
        <w:rPr>
          <w:rFonts w:hint="eastAsia" w:ascii="宋体" w:hAnsi="宋体"/>
          <w:b/>
          <w:szCs w:val="24"/>
        </w:rPr>
        <w:t>8.3.7第三方施工管控应用</w:t>
      </w:r>
      <w:r>
        <w:rPr>
          <w:rFonts w:hint="eastAsia" w:ascii="宋体" w:hAnsi="宋体"/>
          <w:b/>
          <w:szCs w:val="24"/>
          <w:lang w:val="en-US" w:eastAsia="zh-CN"/>
        </w:rPr>
        <w:t>系统</w:t>
      </w:r>
    </w:p>
    <w:p w14:paraId="69C03429">
      <w:pPr>
        <w:spacing w:beforeLines="0" w:afterLines="0"/>
        <w:outlineLvl w:val="2"/>
        <w:rPr>
          <w:rFonts w:ascii="宋体" w:hAnsi="宋体" w:cs="宋体"/>
          <w:szCs w:val="21"/>
        </w:rPr>
      </w:pPr>
      <w:r>
        <w:rPr>
          <w:rFonts w:hint="eastAsia" w:ascii="宋体" w:hAnsi="宋体" w:cs="宋体"/>
          <w:szCs w:val="21"/>
        </w:rPr>
        <w:t>8.3.7.1</w:t>
      </w:r>
      <w:r>
        <w:rPr>
          <w:rFonts w:hint="eastAsia" w:ascii="宋体" w:hAnsi="宋体"/>
          <w:szCs w:val="21"/>
        </w:rPr>
        <w:t>系统</w:t>
      </w:r>
      <w:r>
        <w:rPr>
          <w:rFonts w:hint="eastAsia" w:ascii="宋体" w:hAnsi="宋体"/>
          <w:szCs w:val="21"/>
          <w:lang w:val="en-US" w:eastAsia="zh-CN"/>
        </w:rPr>
        <w:t>功能</w:t>
      </w:r>
      <w:r>
        <w:rPr>
          <w:rFonts w:hint="eastAsia" w:ascii="宋体" w:hAnsi="宋体"/>
          <w:szCs w:val="21"/>
          <w:lang w:eastAsia="zh-CN"/>
        </w:rPr>
        <w:t>。</w:t>
      </w:r>
      <w:r>
        <w:rPr>
          <w:rFonts w:hint="eastAsia" w:ascii="宋体" w:hAnsi="宋体" w:cs="宋体"/>
          <w:szCs w:val="21"/>
        </w:rPr>
        <w:t>应汇聚</w:t>
      </w:r>
      <w:r>
        <w:rPr>
          <w:rFonts w:hint="eastAsia" w:ascii="宋体" w:hAnsi="宋体" w:cs="宋体"/>
          <w:szCs w:val="21"/>
          <w:lang w:eastAsia="zh-CN"/>
        </w:rPr>
        <w:t>建设工程规划许可、</w:t>
      </w:r>
      <w:r>
        <w:rPr>
          <w:rFonts w:hint="eastAsia" w:ascii="宋体" w:hAnsi="宋体" w:cs="宋体"/>
          <w:szCs w:val="21"/>
          <w:lang w:val="en-US" w:eastAsia="zh-CN"/>
        </w:rPr>
        <w:t>建筑工程</w:t>
      </w:r>
      <w:r>
        <w:rPr>
          <w:rFonts w:hint="eastAsia" w:ascii="宋体" w:hAnsi="宋体" w:cs="宋体"/>
          <w:szCs w:val="21"/>
        </w:rPr>
        <w:t>施工许可</w:t>
      </w:r>
      <w:r>
        <w:rPr>
          <w:rFonts w:hint="eastAsia" w:ascii="宋体" w:hAnsi="宋体" w:cs="宋体"/>
          <w:szCs w:val="21"/>
          <w:lang w:eastAsia="zh-CN"/>
        </w:rPr>
        <w:t>、</w:t>
      </w:r>
      <w:r>
        <w:rPr>
          <w:rFonts w:hint="eastAsia" w:ascii="宋体" w:hAnsi="宋体" w:cs="宋体"/>
          <w:szCs w:val="21"/>
        </w:rPr>
        <w:t>挖掘</w:t>
      </w:r>
      <w:r>
        <w:rPr>
          <w:rFonts w:hint="eastAsia" w:ascii="宋体" w:hAnsi="宋体" w:cs="宋体"/>
          <w:szCs w:val="21"/>
          <w:lang w:val="en-US" w:eastAsia="zh-CN"/>
        </w:rPr>
        <w:t>城市</w:t>
      </w:r>
      <w:r>
        <w:rPr>
          <w:rFonts w:hint="eastAsia" w:ascii="宋体" w:hAnsi="宋体" w:cs="宋体"/>
          <w:szCs w:val="21"/>
        </w:rPr>
        <w:t>道路许可以及涉及道路挖掘的地下管线应急抢修等信息，对接管线</w:t>
      </w:r>
      <w:r>
        <w:rPr>
          <w:rFonts w:hint="eastAsia" w:ascii="宋体" w:hAnsi="宋体" w:cs="宋体"/>
          <w:szCs w:val="21"/>
          <w:lang w:eastAsia="zh-CN"/>
        </w:rPr>
        <w:t>权属（管养）单位</w:t>
      </w:r>
      <w:r>
        <w:rPr>
          <w:rFonts w:hint="eastAsia" w:ascii="宋体" w:hAnsi="宋体" w:cs="宋体"/>
          <w:szCs w:val="21"/>
        </w:rPr>
        <w:t>掌握的第三方施工信息和交底信息，建立第三方施工一张图，将地下管线控制范围内施工的在建工程用一张图展现</w:t>
      </w:r>
      <w:r>
        <w:rPr>
          <w:rFonts w:ascii="宋体" w:hAnsi="宋体" w:cs="宋体"/>
          <w:szCs w:val="21"/>
        </w:rPr>
        <w:t>。</w:t>
      </w:r>
      <w:r>
        <w:rPr>
          <w:rFonts w:hint="eastAsia" w:ascii="宋体" w:hAnsi="宋体" w:cs="宋体"/>
          <w:szCs w:val="21"/>
        </w:rPr>
        <w:t>系统应包括基础数据管理、监测预警联动处置、巡检与隐患闭环管理、</w:t>
      </w:r>
      <w:r>
        <w:rPr>
          <w:rFonts w:hint="eastAsia" w:ascii="宋体" w:hAnsi="宋体" w:cs="宋体"/>
          <w:szCs w:val="21"/>
          <w:lang w:eastAsia="zh-CN"/>
        </w:rPr>
        <w:t>监测运营管理</w:t>
      </w:r>
      <w:r>
        <w:rPr>
          <w:rFonts w:hint="eastAsia" w:ascii="宋体" w:hAnsi="宋体" w:cs="宋体"/>
          <w:szCs w:val="21"/>
        </w:rPr>
        <w:t>等核心功能，宜加入第三方施工项目的风险评估、违法黑名单管理等功能应用。</w:t>
      </w:r>
    </w:p>
    <w:p w14:paraId="0195F91B">
      <w:pPr>
        <w:spacing w:beforeLines="0" w:afterLines="0"/>
        <w:rPr>
          <w:rFonts w:ascii="宋体" w:hAnsi="宋体"/>
          <w:szCs w:val="21"/>
        </w:rPr>
      </w:pPr>
      <w:r>
        <w:rPr>
          <w:rFonts w:hint="eastAsia" w:ascii="宋体" w:hAnsi="宋体"/>
          <w:szCs w:val="21"/>
        </w:rPr>
        <w:t>8.3.7.2基础数据管理。应实现施工项目、建设单位、施工单位、施工范围可视化等数据管理，宜增加</w:t>
      </w:r>
      <w:r>
        <w:rPr>
          <w:rFonts w:hint="eastAsia" w:ascii="宋体" w:hAnsi="宋体"/>
          <w:szCs w:val="21"/>
          <w:lang w:eastAsia="zh-CN"/>
        </w:rPr>
        <w:t>权属（管养）单位</w:t>
      </w:r>
      <w:r>
        <w:rPr>
          <w:rFonts w:hint="eastAsia" w:ascii="宋体" w:hAnsi="宋体"/>
          <w:szCs w:val="21"/>
        </w:rPr>
        <w:t>对接逾期督办功能。</w:t>
      </w:r>
    </w:p>
    <w:p w14:paraId="7CC78EB1">
      <w:pPr>
        <w:spacing w:beforeLines="0" w:afterLines="0"/>
        <w:rPr>
          <w:rFonts w:ascii="宋体" w:hAnsi="宋体"/>
          <w:szCs w:val="21"/>
        </w:rPr>
      </w:pPr>
      <w:r>
        <w:rPr>
          <w:rFonts w:hint="eastAsia" w:ascii="宋体" w:hAnsi="宋体" w:cs="宋体"/>
          <w:szCs w:val="21"/>
        </w:rPr>
        <w:t>8.3.7.3风险评估。宜</w:t>
      </w:r>
      <w:r>
        <w:rPr>
          <w:rFonts w:hint="eastAsia" w:ascii="宋体" w:hAnsi="宋体"/>
          <w:szCs w:val="21"/>
        </w:rPr>
        <w:t>实现第三方风险评估成果、</w:t>
      </w:r>
      <w:r>
        <w:rPr>
          <w:rFonts w:hint="eastAsia" w:ascii="宋体" w:hAnsi="宋体"/>
          <w:szCs w:val="21"/>
          <w:lang w:eastAsia="zh-CN"/>
        </w:rPr>
        <w:t>风险分布四色图</w:t>
      </w:r>
      <w:r>
        <w:rPr>
          <w:rFonts w:hint="eastAsia" w:ascii="宋体" w:hAnsi="宋体"/>
          <w:szCs w:val="21"/>
        </w:rPr>
        <w:t>管理展示；宜集成风险评估算法模型</w:t>
      </w:r>
      <w:r>
        <w:rPr>
          <w:rFonts w:hint="eastAsia" w:ascii="宋体" w:hAnsi="宋体"/>
          <w:szCs w:val="21"/>
          <w:lang w:eastAsia="zh-CN"/>
        </w:rPr>
        <w:t>，</w:t>
      </w:r>
      <w:r>
        <w:rPr>
          <w:rFonts w:hint="eastAsia" w:ascii="宋体" w:hAnsi="宋体"/>
          <w:szCs w:val="21"/>
        </w:rPr>
        <w:t>实现对风险结果的周期性动态评估。</w:t>
      </w:r>
    </w:p>
    <w:p w14:paraId="75F86122">
      <w:pPr>
        <w:spacing w:beforeLines="0" w:afterLines="0"/>
        <w:rPr>
          <w:rFonts w:ascii="宋体" w:hAnsi="宋体"/>
          <w:szCs w:val="21"/>
        </w:rPr>
      </w:pPr>
      <w:r>
        <w:rPr>
          <w:rFonts w:hint="eastAsia" w:ascii="宋体" w:hAnsi="宋体"/>
          <w:szCs w:val="21"/>
        </w:rPr>
        <w:t>8.3.7.4监测预警联动处置。应实现第三方施工现场全场景运行数据实时采集、报警与现场处置留痕；应建立预警研判分析，确定预警等级，启动对应处置流程，实现安全事件闭环管理。</w:t>
      </w:r>
    </w:p>
    <w:p w14:paraId="7492FBEE">
      <w:pPr>
        <w:spacing w:beforeLines="0" w:afterLines="0"/>
        <w:rPr>
          <w:rFonts w:ascii="宋体" w:hAnsi="宋体" w:cs="宋体"/>
          <w:color w:val="0F1115"/>
          <w:szCs w:val="21"/>
          <w:shd w:val="clear" w:color="auto" w:fill="FFFFFF"/>
        </w:rPr>
      </w:pPr>
      <w:r>
        <w:rPr>
          <w:rFonts w:hint="eastAsia" w:ascii="宋体" w:hAnsi="宋体"/>
          <w:szCs w:val="21"/>
        </w:rPr>
        <w:t>8.3.7.5隐患闭环管理。应</w:t>
      </w:r>
      <w:r>
        <w:rPr>
          <w:rFonts w:hint="eastAsia" w:ascii="宋体" w:hAnsi="宋体" w:cs="宋体"/>
          <w:color w:val="0F1115"/>
          <w:szCs w:val="21"/>
          <w:shd w:val="clear" w:color="auto" w:fill="FFFFFF"/>
        </w:rPr>
        <w:t>实现隐患从发现到消隐的闭环管理，杜绝地下管线</w:t>
      </w:r>
      <w:r>
        <w:rPr>
          <w:rFonts w:hint="eastAsia" w:ascii="宋体" w:hAnsi="宋体" w:cs="宋体"/>
          <w:color w:val="0F1115"/>
          <w:szCs w:val="21"/>
          <w:shd w:val="clear" w:color="auto" w:fill="FFFFFF"/>
          <w:lang w:eastAsia="zh-CN"/>
        </w:rPr>
        <w:t>损坏</w:t>
      </w:r>
      <w:r>
        <w:rPr>
          <w:rFonts w:hint="eastAsia" w:ascii="宋体" w:hAnsi="宋体" w:cs="宋体"/>
          <w:color w:val="0F1115"/>
          <w:szCs w:val="21"/>
          <w:shd w:val="clear" w:color="auto" w:fill="FFFFFF"/>
        </w:rPr>
        <w:t>事故，功能涵盖隐患的上报、隐患整改指派、现场整改反馈、</w:t>
      </w:r>
      <w:r>
        <w:rPr>
          <w:rFonts w:hint="eastAsia" w:ascii="宋体" w:hAnsi="宋体" w:cs="宋体"/>
          <w:color w:val="0F1115"/>
          <w:szCs w:val="21"/>
          <w:shd w:val="clear" w:color="auto" w:fill="FFFFFF"/>
          <w:lang w:eastAsia="zh-CN"/>
        </w:rPr>
        <w:t>行业主管部门</w:t>
      </w:r>
      <w:r>
        <w:rPr>
          <w:rFonts w:hint="eastAsia" w:ascii="宋体" w:hAnsi="宋体" w:cs="宋体"/>
          <w:color w:val="0F1115"/>
          <w:szCs w:val="21"/>
          <w:shd w:val="clear" w:color="auto" w:fill="FFFFFF"/>
        </w:rPr>
        <w:t>的复核验收等关键功能。</w:t>
      </w:r>
    </w:p>
    <w:p w14:paraId="7B4C732C">
      <w:pPr>
        <w:spacing w:beforeLines="0" w:afterLines="0"/>
        <w:rPr>
          <w:rFonts w:ascii="宋体" w:hAnsi="宋体"/>
          <w:szCs w:val="21"/>
        </w:rPr>
      </w:pPr>
      <w:r>
        <w:rPr>
          <w:rFonts w:hint="eastAsia" w:ascii="宋体" w:hAnsi="宋体" w:cs="宋体"/>
          <w:color w:val="0F1115"/>
          <w:szCs w:val="21"/>
          <w:shd w:val="clear" w:color="auto" w:fill="FFFFFF"/>
        </w:rPr>
        <w:t>8.3.7.6</w:t>
      </w:r>
      <w:r>
        <w:rPr>
          <w:rFonts w:hint="eastAsia" w:ascii="宋体" w:hAnsi="宋体" w:cs="宋体"/>
          <w:color w:val="0F1115"/>
          <w:szCs w:val="21"/>
          <w:shd w:val="clear" w:color="auto" w:fill="FFFFFF"/>
          <w:lang w:eastAsia="zh-CN"/>
        </w:rPr>
        <w:t>监测运营管理</w:t>
      </w:r>
      <w:r>
        <w:rPr>
          <w:rFonts w:hint="eastAsia" w:ascii="宋体" w:hAnsi="宋体" w:cs="宋体"/>
          <w:color w:val="0F1115"/>
          <w:szCs w:val="21"/>
          <w:shd w:val="clear" w:color="auto" w:fill="FFFFFF"/>
        </w:rPr>
        <w:t>。</w:t>
      </w:r>
      <w:r>
        <w:rPr>
          <w:rFonts w:hint="eastAsia" w:ascii="宋体" w:hAnsi="宋体"/>
          <w:szCs w:val="21"/>
        </w:rPr>
        <w:t>应实现</w:t>
      </w:r>
      <w:r>
        <w:rPr>
          <w:rFonts w:hint="eastAsia" w:ascii="宋体" w:hAnsi="宋体"/>
          <w:szCs w:val="21"/>
          <w:lang w:val="en-US" w:eastAsia="zh-CN"/>
        </w:rPr>
        <w:t>第三方施工</w:t>
      </w:r>
      <w:r>
        <w:rPr>
          <w:rFonts w:hint="eastAsia" w:ascii="宋体" w:hAnsi="宋体"/>
          <w:szCs w:val="21"/>
          <w:lang w:eastAsia="zh-CN"/>
        </w:rPr>
        <w:t>监测</w:t>
      </w:r>
      <w:r>
        <w:rPr>
          <w:rFonts w:hint="eastAsia" w:ascii="宋体" w:hAnsi="宋体"/>
          <w:szCs w:val="21"/>
        </w:rPr>
        <w:t>的值班值守、人员考勤、值班日志等日常运营全流程管理；应配套跨部门协同调度功能，保障</w:t>
      </w:r>
      <w:r>
        <w:rPr>
          <w:rFonts w:hint="eastAsia" w:ascii="宋体" w:hAnsi="宋体"/>
          <w:szCs w:val="21"/>
          <w:lang w:eastAsia="zh-CN"/>
        </w:rPr>
        <w:t>监测系统</w:t>
      </w:r>
      <w:r>
        <w:rPr>
          <w:rFonts w:hint="eastAsia" w:ascii="宋体" w:hAnsi="宋体"/>
          <w:szCs w:val="21"/>
        </w:rPr>
        <w:t>常态化、规范化稳定运转。</w:t>
      </w:r>
    </w:p>
    <w:p w14:paraId="3C13BA6C">
      <w:pPr>
        <w:spacing w:beforeLines="0" w:afterLines="0"/>
        <w:rPr>
          <w:rFonts w:ascii="宋体" w:hAnsi="宋体"/>
          <w:szCs w:val="21"/>
        </w:rPr>
      </w:pPr>
      <w:r>
        <w:rPr>
          <w:rFonts w:hint="eastAsia" w:ascii="宋体" w:hAnsi="宋体"/>
          <w:szCs w:val="21"/>
        </w:rPr>
        <w:t>8.3.7.7违法黑名单。宜实现第三方施工项目中</w:t>
      </w:r>
      <w:r>
        <w:rPr>
          <w:rFonts w:ascii="宋体" w:hAnsi="宋体" w:cs="Open Sans"/>
          <w:color w:val="0F1115"/>
          <w:szCs w:val="21"/>
          <w:shd w:val="clear" w:color="auto" w:fill="FFFFFF"/>
        </w:rPr>
        <w:t>对</w:t>
      </w:r>
      <w:r>
        <w:rPr>
          <w:rFonts w:hint="eastAsia" w:ascii="宋体" w:hAnsi="宋体" w:cs="宋体"/>
          <w:color w:val="0F1115"/>
          <w:szCs w:val="21"/>
          <w:shd w:val="clear" w:color="auto" w:fill="FFFFFF"/>
        </w:rPr>
        <w:t>违规施工行为进行记录、执法、查处，形成惩戒档案</w:t>
      </w:r>
      <w:r>
        <w:rPr>
          <w:rFonts w:hint="eastAsia" w:ascii="宋体" w:hAnsi="宋体"/>
          <w:szCs w:val="21"/>
        </w:rPr>
        <w:t>。</w:t>
      </w:r>
    </w:p>
    <w:p w14:paraId="4BEE04F3">
      <w:pPr>
        <w:pStyle w:val="111"/>
        <w:pageBreakBefore w:val="0"/>
        <w:numPr>
          <w:ilvl w:val="0"/>
          <w:numId w:val="1"/>
        </w:numPr>
        <w:spacing w:beforeLines="100" w:afterLines="100"/>
        <w:ind w:left="0" w:firstLine="0"/>
        <w:rPr>
          <w:sz w:val="21"/>
          <w:szCs w:val="21"/>
        </w:rPr>
      </w:pPr>
      <w:bookmarkStart w:id="120" w:name="_Toc5007"/>
      <w:r>
        <w:rPr>
          <w:rFonts w:hint="eastAsia"/>
          <w:sz w:val="21"/>
          <w:szCs w:val="21"/>
        </w:rPr>
        <w:t>基础支撑系统建设</w:t>
      </w:r>
      <w:bookmarkEnd w:id="120"/>
    </w:p>
    <w:p w14:paraId="3CEE312D">
      <w:pPr>
        <w:pStyle w:val="108"/>
        <w:numPr>
          <w:ilvl w:val="1"/>
          <w:numId w:val="1"/>
        </w:numPr>
        <w:spacing w:beforeLines="50" w:afterLines="50"/>
      </w:pPr>
      <w:bookmarkStart w:id="121" w:name="_Toc27785"/>
      <w:r>
        <w:rPr>
          <w:rFonts w:hint="eastAsia"/>
          <w:lang w:eastAsia="zh-CN"/>
        </w:rPr>
        <w:t>一般要求</w:t>
      </w:r>
      <w:bookmarkEnd w:id="121"/>
    </w:p>
    <w:p w14:paraId="188E0AAE">
      <w:pPr>
        <w:pStyle w:val="98"/>
        <w:spacing w:beforeLines="0" w:afterLines="0"/>
        <w:rPr>
          <w:rFonts w:ascii="宋体" w:hAnsi="宋体"/>
          <w:bCs/>
          <w:color w:val="auto"/>
        </w:rPr>
      </w:pPr>
      <w:r>
        <w:rPr>
          <w:rFonts w:hint="eastAsia" w:ascii="宋体" w:hAnsi="宋体"/>
          <w:bCs/>
          <w:color w:val="auto"/>
        </w:rPr>
        <w:t>9.</w:t>
      </w:r>
      <w:r>
        <w:rPr>
          <w:rFonts w:ascii="宋体" w:hAnsi="宋体"/>
          <w:bCs/>
          <w:color w:val="auto"/>
        </w:rPr>
        <w:t>1</w:t>
      </w:r>
      <w:r>
        <w:rPr>
          <w:rFonts w:hint="eastAsia" w:ascii="宋体" w:hAnsi="宋体"/>
          <w:bCs/>
          <w:color w:val="auto"/>
        </w:rPr>
        <w:t>.1基础支撑系统应</w:t>
      </w:r>
      <w:r>
        <w:rPr>
          <w:rFonts w:hint="eastAsia" w:ascii="宋体" w:hAnsi="宋体"/>
          <w:bCs/>
          <w:color w:val="auto"/>
          <w:lang w:val="en-US" w:eastAsia="zh-CN"/>
        </w:rPr>
        <w:t>遵循</w:t>
      </w:r>
      <w:r>
        <w:rPr>
          <w:rFonts w:hint="eastAsia" w:ascii="宋体" w:hAnsi="宋体"/>
          <w:bCs/>
          <w:color w:val="auto"/>
        </w:rPr>
        <w:t>集约高效、共建共享、因地制宜、适度超前</w:t>
      </w:r>
      <w:r>
        <w:rPr>
          <w:rFonts w:hint="eastAsia" w:ascii="宋体" w:hAnsi="宋体"/>
          <w:bCs/>
          <w:color w:val="auto"/>
          <w:lang w:eastAsia="zh-CN"/>
        </w:rPr>
        <w:t>的</w:t>
      </w:r>
      <w:r>
        <w:rPr>
          <w:rFonts w:hint="eastAsia" w:ascii="宋体" w:hAnsi="宋体"/>
          <w:bCs/>
          <w:color w:val="auto"/>
        </w:rPr>
        <w:t>原则，充分</w:t>
      </w:r>
      <w:r>
        <w:rPr>
          <w:rFonts w:hint="default" w:ascii="宋体" w:hAnsi="宋体"/>
          <w:bCs/>
          <w:color w:val="auto"/>
          <w:lang w:val="en-US" w:eastAsia="zh-CN"/>
        </w:rPr>
        <w:t>复用</w:t>
      </w:r>
      <w:r>
        <w:rPr>
          <w:rFonts w:hint="eastAsia" w:ascii="宋体" w:hAnsi="宋体"/>
          <w:bCs/>
          <w:color w:val="auto"/>
        </w:rPr>
        <w:t>智慧城市、城市大脑、城市运行管理服务平台、城市数字公共基础设施基础平台（CIM平台）、</w:t>
      </w:r>
      <w:bookmarkStart w:id="122" w:name="OLE_LINK65"/>
      <w:bookmarkStart w:id="123" w:name="OLE_LINK67"/>
      <w:r>
        <w:rPr>
          <w:rFonts w:hint="eastAsia" w:ascii="宋体" w:hAnsi="宋体"/>
          <w:color w:val="auto"/>
        </w:rPr>
        <w:t>城市地下市政基础设施综合管理信息平台</w:t>
      </w:r>
      <w:bookmarkEnd w:id="122"/>
      <w:bookmarkEnd w:id="123"/>
      <w:r>
        <w:rPr>
          <w:rFonts w:hint="eastAsia" w:ascii="宋体" w:hAnsi="宋体"/>
          <w:bCs/>
          <w:color w:val="auto"/>
        </w:rPr>
        <w:t>等已</w:t>
      </w:r>
      <w:r>
        <w:rPr>
          <w:rFonts w:hint="default" w:ascii="宋体" w:hAnsi="宋体"/>
          <w:bCs/>
          <w:color w:val="auto"/>
          <w:lang w:val="en-US"/>
        </w:rPr>
        <w:t>形成</w:t>
      </w:r>
      <w:r>
        <w:rPr>
          <w:rFonts w:hint="eastAsia" w:ascii="宋体" w:hAnsi="宋体"/>
          <w:bCs/>
          <w:color w:val="auto"/>
        </w:rPr>
        <w:t>的支撑体系基础。</w:t>
      </w:r>
    </w:p>
    <w:p w14:paraId="7C6309A2">
      <w:pPr>
        <w:pStyle w:val="98"/>
        <w:spacing w:beforeLines="0" w:afterLines="0"/>
        <w:rPr>
          <w:rFonts w:ascii="宋体" w:hAnsi="宋体"/>
          <w:bCs/>
          <w:color w:val="auto"/>
        </w:rPr>
      </w:pPr>
      <w:r>
        <w:rPr>
          <w:rFonts w:hint="eastAsia" w:ascii="宋体" w:hAnsi="宋体"/>
          <w:bCs/>
          <w:color w:val="auto"/>
        </w:rPr>
        <w:t>9.1.2基础支撑系统应包括技术支撑底座、基础运行环境、数据采集、传输与存储、数据接口服务。</w:t>
      </w:r>
    </w:p>
    <w:p w14:paraId="5266A47E">
      <w:pPr>
        <w:pStyle w:val="98"/>
        <w:spacing w:beforeLines="0" w:afterLines="0"/>
        <w:rPr>
          <w:rFonts w:ascii="宋体" w:hAnsi="宋体"/>
          <w:bCs/>
          <w:color w:val="auto"/>
        </w:rPr>
      </w:pPr>
      <w:r>
        <w:rPr>
          <w:rFonts w:hint="eastAsia" w:ascii="宋体" w:hAnsi="宋体"/>
          <w:bCs/>
          <w:color w:val="auto"/>
        </w:rPr>
        <w:t>9.1.3基础支撑系统应满足</w:t>
      </w:r>
      <w:r>
        <w:rPr>
          <w:rFonts w:hint="eastAsia" w:ascii="宋体" w:hAnsi="宋体"/>
          <w:bCs/>
          <w:color w:val="auto"/>
          <w:lang w:eastAsia="zh-CN"/>
        </w:rPr>
        <w:t>城市生命线监测系统</w:t>
      </w:r>
      <w:r>
        <w:rPr>
          <w:rFonts w:hint="eastAsia" w:ascii="宋体" w:hAnsi="宋体"/>
          <w:bCs/>
          <w:color w:val="auto"/>
        </w:rPr>
        <w:t>所需的系统性能要求。</w:t>
      </w:r>
    </w:p>
    <w:p w14:paraId="1DD62FDF">
      <w:pPr>
        <w:pStyle w:val="98"/>
        <w:spacing w:beforeLines="0" w:afterLines="0"/>
        <w:rPr>
          <w:rFonts w:ascii="宋体" w:hAnsi="宋体"/>
          <w:bCs/>
          <w:color w:val="auto"/>
        </w:rPr>
      </w:pPr>
      <w:r>
        <w:rPr>
          <w:rFonts w:hint="eastAsia" w:ascii="宋体" w:hAnsi="宋体"/>
          <w:bCs/>
          <w:color w:val="auto"/>
        </w:rPr>
        <w:t>9.1.4基础支撑系统应符合国产信创要求。</w:t>
      </w:r>
    </w:p>
    <w:p w14:paraId="6A99CC27">
      <w:pPr>
        <w:pStyle w:val="108"/>
        <w:numPr>
          <w:ilvl w:val="1"/>
          <w:numId w:val="1"/>
        </w:numPr>
        <w:spacing w:beforeLines="50" w:afterLines="50"/>
      </w:pPr>
      <w:bookmarkStart w:id="124" w:name="_Toc232281763"/>
      <w:bookmarkStart w:id="125" w:name="_Toc21925"/>
      <w:r>
        <w:rPr>
          <w:rFonts w:hint="eastAsia"/>
        </w:rPr>
        <w:t>技术支撑底座</w:t>
      </w:r>
      <w:bookmarkEnd w:id="124"/>
      <w:bookmarkEnd w:id="125"/>
    </w:p>
    <w:p w14:paraId="1DAE4CE6">
      <w:pPr>
        <w:pStyle w:val="98"/>
        <w:spacing w:beforeLines="0" w:afterLines="0"/>
        <w:rPr>
          <w:rFonts w:ascii="宋体" w:hAnsi="宋体"/>
          <w:bCs/>
          <w:color w:val="auto"/>
        </w:rPr>
      </w:pPr>
      <w:r>
        <w:rPr>
          <w:rFonts w:hint="eastAsia" w:ascii="宋体" w:hAnsi="宋体"/>
          <w:bCs/>
          <w:color w:val="auto"/>
        </w:rPr>
        <w:t>9.2.1技术支撑底座应包括三维应用支撑平台、物联网平台、大数据平台、公共安全模型</w:t>
      </w:r>
      <w:r>
        <w:rPr>
          <w:rFonts w:hint="eastAsia" w:ascii="宋体" w:hAnsi="宋体"/>
          <w:bCs/>
          <w:color w:val="auto"/>
          <w:lang w:val="en-US" w:eastAsia="zh-CN"/>
        </w:rPr>
        <w:t>等</w:t>
      </w:r>
      <w:r>
        <w:rPr>
          <w:rFonts w:hint="eastAsia" w:ascii="宋体" w:hAnsi="宋体"/>
          <w:bCs/>
          <w:color w:val="auto"/>
        </w:rPr>
        <w:t>。</w:t>
      </w:r>
    </w:p>
    <w:p w14:paraId="5C66A70B">
      <w:pPr>
        <w:pStyle w:val="98"/>
        <w:spacing w:beforeLines="0" w:afterLines="0"/>
        <w:rPr>
          <w:rFonts w:ascii="宋体" w:hAnsi="宋体"/>
          <w:bCs/>
          <w:color w:val="auto"/>
        </w:rPr>
      </w:pPr>
      <w:r>
        <w:rPr>
          <w:rFonts w:hint="eastAsia" w:ascii="宋体" w:hAnsi="宋体"/>
          <w:bCs/>
          <w:color w:val="auto"/>
        </w:rPr>
        <w:t>9.2.2三维应用支撑平台应提供多源异构数据融合、数据服务化、功能服务化和应用服务化、二三维可视化等能力。</w:t>
      </w:r>
    </w:p>
    <w:p w14:paraId="316DEA79">
      <w:pPr>
        <w:pStyle w:val="98"/>
        <w:spacing w:beforeLines="0" w:afterLines="0"/>
        <w:rPr>
          <w:rFonts w:ascii="宋体" w:hAnsi="宋体"/>
          <w:bCs/>
          <w:color w:val="auto"/>
        </w:rPr>
      </w:pPr>
      <w:r>
        <w:rPr>
          <w:rFonts w:hint="eastAsia" w:ascii="宋体" w:hAnsi="宋体"/>
          <w:bCs/>
          <w:color w:val="auto"/>
        </w:rPr>
        <w:t>9.2.3三维应用支撑平台应满足数据聚合、服务发布、服务共享、场景构建、</w:t>
      </w:r>
      <w:r>
        <w:rPr>
          <w:rFonts w:hint="eastAsia" w:ascii="宋体" w:hAnsi="宋体"/>
          <w:bCs/>
          <w:color w:val="auto"/>
          <w:lang w:eastAsia="zh-CN"/>
        </w:rPr>
        <w:t>三维渲染</w:t>
      </w:r>
      <w:r>
        <w:rPr>
          <w:rFonts w:hint="eastAsia" w:ascii="宋体" w:hAnsi="宋体"/>
          <w:bCs/>
          <w:color w:val="auto"/>
        </w:rPr>
        <w:t>等建设需求，支持构建统一管理的城市底图数字基座和打造城市安全业务应用城市底板。</w:t>
      </w:r>
    </w:p>
    <w:p w14:paraId="1785599B">
      <w:pPr>
        <w:pStyle w:val="98"/>
        <w:spacing w:beforeLines="0" w:afterLines="0"/>
        <w:rPr>
          <w:rFonts w:ascii="宋体" w:hAnsi="宋体"/>
          <w:bCs/>
          <w:color w:val="auto"/>
        </w:rPr>
      </w:pPr>
      <w:r>
        <w:rPr>
          <w:rFonts w:hint="eastAsia" w:ascii="宋体" w:hAnsi="宋体"/>
          <w:bCs/>
          <w:color w:val="auto"/>
        </w:rPr>
        <w:t>9.2.4</w:t>
      </w:r>
      <w:r>
        <w:rPr>
          <w:rFonts w:ascii="宋体" w:hAnsi="宋体"/>
          <w:bCs/>
          <w:color w:val="auto"/>
        </w:rPr>
        <w:t>物联网平台</w:t>
      </w:r>
      <w:r>
        <w:rPr>
          <w:rFonts w:hint="eastAsia" w:ascii="宋体" w:hAnsi="宋体"/>
          <w:bCs/>
          <w:color w:val="auto"/>
        </w:rPr>
        <w:t>应提供各类传感器设备的集成管理、数据安全通信和消息订阅等能力。</w:t>
      </w:r>
    </w:p>
    <w:p w14:paraId="09AF2E50">
      <w:pPr>
        <w:pStyle w:val="98"/>
        <w:spacing w:beforeLines="0" w:afterLines="0"/>
        <w:rPr>
          <w:rFonts w:ascii="宋体" w:hAnsi="宋体"/>
          <w:bCs/>
          <w:color w:val="auto"/>
        </w:rPr>
      </w:pPr>
      <w:r>
        <w:rPr>
          <w:rFonts w:hint="eastAsia" w:ascii="宋体" w:hAnsi="宋体"/>
          <w:bCs/>
          <w:color w:val="auto"/>
        </w:rPr>
        <w:t>9.2.5物联网平台应具备</w:t>
      </w:r>
      <w:r>
        <w:rPr>
          <w:rFonts w:hint="eastAsia" w:ascii="宋体" w:hAnsi="宋体"/>
          <w:bCs/>
          <w:color w:val="auto"/>
          <w:lang w:eastAsia="zh-CN"/>
        </w:rPr>
        <w:t>城市生命线安全工程</w:t>
      </w:r>
      <w:r>
        <w:rPr>
          <w:rFonts w:ascii="宋体" w:hAnsi="宋体"/>
          <w:bCs/>
          <w:color w:val="auto"/>
        </w:rPr>
        <w:t>海量、多种协议的传感监测设备统一管理</w:t>
      </w:r>
      <w:r>
        <w:rPr>
          <w:rFonts w:hint="eastAsia" w:ascii="宋体" w:hAnsi="宋体"/>
          <w:bCs/>
          <w:color w:val="auto"/>
        </w:rPr>
        <w:t>和</w:t>
      </w:r>
      <w:r>
        <w:rPr>
          <w:rFonts w:ascii="宋体" w:hAnsi="宋体"/>
          <w:bCs/>
          <w:color w:val="auto"/>
        </w:rPr>
        <w:t>采集设备监测数据上云</w:t>
      </w:r>
      <w:r>
        <w:rPr>
          <w:rFonts w:hint="eastAsia" w:ascii="宋体" w:hAnsi="宋体"/>
          <w:bCs/>
          <w:color w:val="auto"/>
        </w:rPr>
        <w:t>服务能力。</w:t>
      </w:r>
    </w:p>
    <w:p w14:paraId="3DD1DD1E">
      <w:pPr>
        <w:pStyle w:val="98"/>
        <w:spacing w:beforeLines="0" w:afterLines="0"/>
        <w:rPr>
          <w:rFonts w:ascii="宋体" w:hAnsi="宋体"/>
          <w:bCs/>
          <w:color w:val="auto"/>
        </w:rPr>
      </w:pPr>
      <w:r>
        <w:rPr>
          <w:rFonts w:hint="eastAsia" w:ascii="宋体" w:hAnsi="宋体"/>
          <w:bCs/>
          <w:color w:val="auto"/>
        </w:rPr>
        <w:t>9.2.6</w:t>
      </w:r>
      <w:r>
        <w:rPr>
          <w:rFonts w:ascii="宋体" w:hAnsi="宋体"/>
          <w:bCs/>
          <w:color w:val="auto"/>
        </w:rPr>
        <w:t>大数据平台</w:t>
      </w:r>
      <w:r>
        <w:rPr>
          <w:rFonts w:hint="eastAsia" w:ascii="宋体" w:hAnsi="宋体"/>
          <w:bCs/>
          <w:color w:val="auto"/>
        </w:rPr>
        <w:t>应为省、市、县的</w:t>
      </w:r>
      <w:r>
        <w:rPr>
          <w:rFonts w:hint="eastAsia" w:ascii="宋体" w:hAnsi="宋体"/>
          <w:bCs/>
          <w:color w:val="auto"/>
          <w:lang w:eastAsia="zh-CN"/>
        </w:rPr>
        <w:t>城市生命线监测系统</w:t>
      </w:r>
      <w:r>
        <w:rPr>
          <w:rFonts w:hint="eastAsia" w:ascii="宋体" w:hAnsi="宋体"/>
          <w:bCs/>
          <w:color w:val="auto"/>
        </w:rPr>
        <w:t>的预警、研判、分析提供大数据的计算与存储、清洗与治理、分析与共享等能力。</w:t>
      </w:r>
    </w:p>
    <w:p w14:paraId="6828E2AB">
      <w:pPr>
        <w:pStyle w:val="98"/>
        <w:spacing w:beforeLines="0" w:afterLines="0"/>
        <w:rPr>
          <w:rFonts w:ascii="宋体" w:hAnsi="宋体"/>
          <w:bCs/>
          <w:color w:val="auto"/>
        </w:rPr>
      </w:pPr>
      <w:r>
        <w:rPr>
          <w:rFonts w:hint="eastAsia" w:ascii="宋体" w:hAnsi="宋体"/>
          <w:bCs/>
          <w:color w:val="auto"/>
        </w:rPr>
        <w:t>9.2.7大数据平台性能上应满足</w:t>
      </w:r>
      <w:r>
        <w:rPr>
          <w:rFonts w:hint="eastAsia" w:ascii="宋体" w:hAnsi="宋体"/>
          <w:bCs/>
          <w:color w:val="auto"/>
          <w:lang w:eastAsia="zh-CN"/>
        </w:rPr>
        <w:t>城市生命线</w:t>
      </w:r>
      <w:r>
        <w:rPr>
          <w:rFonts w:hint="eastAsia" w:ascii="宋体" w:hAnsi="宋体"/>
          <w:bCs/>
          <w:color w:val="auto"/>
        </w:rPr>
        <w:t>安全</w:t>
      </w:r>
      <w:r>
        <w:rPr>
          <w:rFonts w:hint="default" w:ascii="宋体" w:hAnsi="宋体"/>
          <w:bCs/>
          <w:color w:val="auto"/>
          <w:lang w:val="en-US"/>
        </w:rPr>
        <w:t>运行</w:t>
      </w:r>
      <w:r>
        <w:rPr>
          <w:rFonts w:hint="eastAsia" w:ascii="宋体" w:hAnsi="宋体"/>
          <w:bCs/>
          <w:color w:val="auto"/>
        </w:rPr>
        <w:t>监测、预警、研判、分析所需的低延迟高并发极端场景下的秒级数据服务。</w:t>
      </w:r>
    </w:p>
    <w:p w14:paraId="199C5E6A">
      <w:pPr>
        <w:pStyle w:val="98"/>
        <w:spacing w:beforeLines="0" w:afterLines="0"/>
        <w:rPr>
          <w:rFonts w:ascii="宋体" w:hAnsi="宋体"/>
          <w:bCs/>
          <w:color w:val="auto"/>
        </w:rPr>
      </w:pPr>
      <w:r>
        <w:rPr>
          <w:rFonts w:hint="eastAsia" w:ascii="宋体" w:hAnsi="宋体"/>
          <w:bCs/>
          <w:color w:val="auto"/>
        </w:rPr>
        <w:t>9.2.8大数据平台应具备完善的数据应用保障能力，实现主备平台实时同步，秒级数据高可用。</w:t>
      </w:r>
    </w:p>
    <w:p w14:paraId="5761DF23">
      <w:pPr>
        <w:pStyle w:val="98"/>
        <w:spacing w:beforeLines="0" w:afterLines="0"/>
        <w:rPr>
          <w:rFonts w:ascii="宋体" w:hAnsi="宋体"/>
          <w:bCs/>
          <w:color w:val="auto"/>
        </w:rPr>
      </w:pPr>
      <w:r>
        <w:rPr>
          <w:rFonts w:hint="eastAsia" w:ascii="宋体" w:hAnsi="宋体"/>
          <w:bCs/>
          <w:color w:val="auto"/>
        </w:rPr>
        <w:t>9.2.9公共安全模型应对模型接入、授权、使用、评估全生命周期进行管理。</w:t>
      </w:r>
    </w:p>
    <w:p w14:paraId="5E86E029">
      <w:pPr>
        <w:pStyle w:val="98"/>
        <w:spacing w:beforeLines="0" w:afterLines="0"/>
        <w:rPr>
          <w:rFonts w:ascii="宋体" w:hAnsi="宋体"/>
          <w:bCs/>
          <w:color w:val="auto"/>
        </w:rPr>
      </w:pPr>
      <w:r>
        <w:rPr>
          <w:rFonts w:hint="eastAsia" w:ascii="宋体" w:hAnsi="宋体"/>
          <w:bCs/>
          <w:color w:val="auto"/>
        </w:rPr>
        <w:t>9.2.10公共安全模型应具备模型仓库管理、开发管理、计算引擎、沙箱调试、验证分析、部署上线、训练计算等功能。</w:t>
      </w:r>
    </w:p>
    <w:p w14:paraId="23C9C116">
      <w:pPr>
        <w:pStyle w:val="108"/>
        <w:numPr>
          <w:ilvl w:val="1"/>
          <w:numId w:val="1"/>
        </w:numPr>
        <w:spacing w:beforeLines="50" w:afterLines="50"/>
      </w:pPr>
      <w:bookmarkStart w:id="126" w:name="_Toc232281764"/>
      <w:bookmarkStart w:id="127" w:name="_Toc24807"/>
      <w:r>
        <w:rPr>
          <w:rFonts w:hint="eastAsia"/>
        </w:rPr>
        <w:t>基础运行环境</w:t>
      </w:r>
      <w:bookmarkEnd w:id="126"/>
      <w:bookmarkEnd w:id="127"/>
    </w:p>
    <w:p w14:paraId="432B44CB">
      <w:pPr>
        <w:pStyle w:val="98"/>
        <w:spacing w:beforeLines="0" w:afterLines="0"/>
        <w:rPr>
          <w:rFonts w:ascii="宋体" w:hAnsi="宋体"/>
          <w:bCs/>
          <w:color w:val="auto"/>
        </w:rPr>
      </w:pPr>
      <w:r>
        <w:rPr>
          <w:rFonts w:ascii="宋体" w:hAnsi="宋体"/>
          <w:bCs/>
          <w:color w:val="auto"/>
        </w:rPr>
        <w:t>9.</w:t>
      </w:r>
      <w:r>
        <w:rPr>
          <w:rFonts w:hint="eastAsia" w:ascii="宋体" w:hAnsi="宋体"/>
          <w:bCs/>
          <w:color w:val="auto"/>
        </w:rPr>
        <w:t>3</w:t>
      </w:r>
      <w:r>
        <w:rPr>
          <w:rFonts w:ascii="宋体" w:hAnsi="宋体"/>
          <w:bCs/>
          <w:color w:val="auto"/>
        </w:rPr>
        <w:t>.1</w:t>
      </w:r>
      <w:r>
        <w:rPr>
          <w:rFonts w:hint="eastAsia" w:ascii="宋体" w:hAnsi="宋体"/>
          <w:bCs/>
          <w:color w:val="auto"/>
        </w:rPr>
        <w:t>基础运行环境应包括基础软件环境、算力存储环境和网络安全环境。</w:t>
      </w:r>
    </w:p>
    <w:p w14:paraId="1266954D">
      <w:pPr>
        <w:pStyle w:val="98"/>
        <w:spacing w:beforeLines="0" w:afterLines="0"/>
        <w:rPr>
          <w:rFonts w:ascii="宋体" w:hAnsi="宋体"/>
          <w:bCs/>
          <w:color w:val="auto"/>
        </w:rPr>
      </w:pPr>
      <w:r>
        <w:rPr>
          <w:rFonts w:hint="eastAsia" w:ascii="宋体" w:hAnsi="宋体"/>
          <w:bCs/>
          <w:color w:val="auto"/>
        </w:rPr>
        <w:t>9.3.2基础软件环境应包括操作系统、数据库管理系统、中间件、防病毒软件和密码保护软件。</w:t>
      </w:r>
    </w:p>
    <w:p w14:paraId="5B8F09E1">
      <w:pPr>
        <w:pStyle w:val="98"/>
        <w:spacing w:beforeLines="0" w:afterLines="0"/>
        <w:rPr>
          <w:rFonts w:ascii="宋体" w:hAnsi="宋体"/>
          <w:bCs/>
          <w:color w:val="auto"/>
        </w:rPr>
      </w:pPr>
      <w:r>
        <w:rPr>
          <w:rFonts w:hint="eastAsia" w:ascii="宋体" w:hAnsi="宋体"/>
          <w:bCs/>
          <w:color w:val="auto"/>
        </w:rPr>
        <w:t>9.3.3算力存储环境应包括服务器资源、存储资源、备份资源。</w:t>
      </w:r>
    </w:p>
    <w:p w14:paraId="225592EF">
      <w:pPr>
        <w:pStyle w:val="98"/>
        <w:spacing w:beforeLines="0" w:afterLines="0"/>
        <w:rPr>
          <w:rFonts w:ascii="宋体" w:hAnsi="宋体"/>
          <w:bCs/>
          <w:color w:val="auto"/>
        </w:rPr>
      </w:pPr>
      <w:r>
        <w:rPr>
          <w:rFonts w:hint="eastAsia" w:ascii="宋体" w:hAnsi="宋体"/>
          <w:bCs/>
          <w:color w:val="auto"/>
        </w:rPr>
        <w:t>9.3.4算力存储环境应优先考虑依托政务云平台进行建设。</w:t>
      </w:r>
    </w:p>
    <w:p w14:paraId="58F98EA8">
      <w:pPr>
        <w:pStyle w:val="98"/>
        <w:spacing w:beforeLines="0" w:afterLines="0"/>
        <w:rPr>
          <w:rFonts w:ascii="宋体" w:hAnsi="宋体"/>
          <w:bCs/>
          <w:color w:val="auto"/>
        </w:rPr>
      </w:pPr>
      <w:r>
        <w:rPr>
          <w:rFonts w:hint="eastAsia" w:ascii="宋体" w:hAnsi="宋体"/>
          <w:bCs/>
          <w:color w:val="auto"/>
        </w:rPr>
        <w:t>9.3.5应充分利用已有信息化基础资源，按照业务需求，适度增加必要的硬件资源设备。</w:t>
      </w:r>
    </w:p>
    <w:p w14:paraId="17A6D88D">
      <w:pPr>
        <w:pStyle w:val="98"/>
        <w:spacing w:beforeLines="0" w:afterLines="0"/>
        <w:rPr>
          <w:rFonts w:ascii="宋体" w:hAnsi="宋体"/>
          <w:bCs/>
          <w:color w:val="auto"/>
        </w:rPr>
      </w:pPr>
      <w:r>
        <w:rPr>
          <w:rFonts w:hint="eastAsia" w:ascii="宋体" w:hAnsi="宋体"/>
          <w:bCs/>
          <w:color w:val="auto"/>
        </w:rPr>
        <w:t>9.3.6网络安全环境应包括网络链路以及配套的网络设备、安全设备和密码保护设备。</w:t>
      </w:r>
    </w:p>
    <w:p w14:paraId="7D4655B4">
      <w:pPr>
        <w:pStyle w:val="98"/>
        <w:spacing w:beforeLines="0" w:afterLines="0"/>
        <w:rPr>
          <w:rFonts w:ascii="宋体" w:hAnsi="宋体"/>
          <w:bCs/>
          <w:color w:val="auto"/>
        </w:rPr>
      </w:pPr>
      <w:r>
        <w:rPr>
          <w:rFonts w:hint="eastAsia" w:ascii="宋体" w:hAnsi="宋体"/>
          <w:bCs/>
          <w:color w:val="auto"/>
        </w:rPr>
        <w:t>9.3.7根据应用</w:t>
      </w:r>
      <w:r>
        <w:rPr>
          <w:rFonts w:hint="eastAsia" w:ascii="宋体" w:hAnsi="宋体"/>
          <w:bCs/>
          <w:color w:val="auto"/>
          <w:lang w:val="en-US" w:eastAsia="zh-CN"/>
        </w:rPr>
        <w:t>需求</w:t>
      </w:r>
      <w:r>
        <w:rPr>
          <w:rFonts w:hint="eastAsia" w:ascii="宋体" w:hAnsi="宋体"/>
          <w:bCs/>
          <w:color w:val="auto"/>
        </w:rPr>
        <w:t>建设电子政务外网、互联网、VPN虚拟专网、物联专网、局域网、无线物联网等</w:t>
      </w:r>
      <w:r>
        <w:rPr>
          <w:rFonts w:hint="eastAsia" w:ascii="宋体" w:hAnsi="宋体"/>
          <w:bCs/>
          <w:color w:val="auto"/>
          <w:lang w:val="en-US" w:eastAsia="zh-CN"/>
        </w:rPr>
        <w:t>网络</w:t>
      </w:r>
      <w:r>
        <w:rPr>
          <w:rFonts w:hint="eastAsia" w:ascii="宋体" w:hAnsi="宋体"/>
          <w:bCs/>
          <w:color w:val="auto"/>
        </w:rPr>
        <w:t>链路。</w:t>
      </w:r>
    </w:p>
    <w:p w14:paraId="57C5F527">
      <w:pPr>
        <w:pStyle w:val="98"/>
        <w:spacing w:beforeLines="0" w:afterLines="0"/>
        <w:rPr>
          <w:rFonts w:ascii="宋体" w:hAnsi="宋体"/>
          <w:bCs/>
          <w:color w:val="auto"/>
        </w:rPr>
      </w:pPr>
      <w:r>
        <w:rPr>
          <w:rFonts w:hint="eastAsia" w:ascii="宋体" w:hAnsi="宋体"/>
          <w:bCs/>
          <w:color w:val="auto"/>
        </w:rPr>
        <w:t>9.3.8网络安全环境应符合</w:t>
      </w:r>
      <w:r>
        <w:rPr>
          <w:rFonts w:hint="default" w:ascii="宋体" w:hAnsi="宋体"/>
          <w:bCs/>
          <w:color w:val="auto"/>
          <w:lang w:val="en-US" w:eastAsia="zh-CN"/>
        </w:rPr>
        <w:t>GB/T 22239</w:t>
      </w:r>
      <w:r>
        <w:rPr>
          <w:rFonts w:hint="eastAsia" w:ascii="宋体" w:hAnsi="宋体"/>
          <w:bCs/>
          <w:color w:val="auto"/>
        </w:rPr>
        <w:t>信息安全等级保护和国产密码应用相关要求。</w:t>
      </w:r>
    </w:p>
    <w:p w14:paraId="60BA4C02">
      <w:pPr>
        <w:pStyle w:val="108"/>
        <w:numPr>
          <w:ilvl w:val="1"/>
          <w:numId w:val="1"/>
        </w:numPr>
        <w:spacing w:beforeLines="50" w:afterLines="50"/>
      </w:pPr>
      <w:bookmarkStart w:id="128" w:name="_Toc232281765"/>
      <w:bookmarkStart w:id="129" w:name="_Toc17234"/>
      <w:r>
        <w:rPr>
          <w:rFonts w:hint="eastAsia"/>
        </w:rPr>
        <w:t>数据采集、传输与存储</w:t>
      </w:r>
      <w:bookmarkEnd w:id="128"/>
      <w:bookmarkEnd w:id="129"/>
    </w:p>
    <w:p w14:paraId="46EEEE9A">
      <w:pPr>
        <w:pStyle w:val="98"/>
        <w:spacing w:beforeLines="0" w:afterLines="0"/>
        <w:rPr>
          <w:rFonts w:ascii="宋体" w:hAnsi="宋体"/>
          <w:bCs/>
          <w:color w:val="auto"/>
        </w:rPr>
      </w:pPr>
      <w:r>
        <w:rPr>
          <w:rFonts w:hint="eastAsia" w:ascii="宋体" w:hAnsi="宋体"/>
          <w:bCs/>
          <w:color w:val="auto"/>
        </w:rPr>
        <w:t>9.4.1</w:t>
      </w:r>
      <w:r>
        <w:rPr>
          <w:rFonts w:hint="eastAsia" w:ascii="宋体" w:hAnsi="宋体"/>
          <w:bCs/>
          <w:color w:val="auto"/>
          <w:lang w:val="en-US" w:eastAsia="zh-CN"/>
        </w:rPr>
        <w:t>监测</w:t>
      </w:r>
      <w:r>
        <w:rPr>
          <w:rFonts w:hint="eastAsia" w:ascii="宋体" w:hAnsi="宋体"/>
          <w:bCs/>
          <w:color w:val="auto"/>
        </w:rPr>
        <w:t>数据采集、传输与存储应符合国家信息安全管理要求，通过加密通信、身份认证等方式提高监测数据的安全性。</w:t>
      </w:r>
    </w:p>
    <w:p w14:paraId="5E7DC3A1">
      <w:pPr>
        <w:pStyle w:val="98"/>
        <w:spacing w:beforeLines="0" w:afterLines="0"/>
        <w:rPr>
          <w:rFonts w:ascii="宋体" w:hAnsi="宋体"/>
          <w:bCs/>
          <w:color w:val="auto"/>
        </w:rPr>
      </w:pPr>
      <w:r>
        <w:rPr>
          <w:rFonts w:hint="eastAsia" w:ascii="宋体" w:hAnsi="宋体"/>
          <w:bCs/>
          <w:color w:val="auto"/>
        </w:rPr>
        <w:t>9.4.2在线监测设备应具备数据安全防护功能，确保采集数据不被篡改、泄漏或丢失。</w:t>
      </w:r>
    </w:p>
    <w:p w14:paraId="34D931DC">
      <w:pPr>
        <w:pStyle w:val="98"/>
        <w:spacing w:beforeLines="0" w:afterLines="0"/>
        <w:rPr>
          <w:rFonts w:ascii="宋体" w:hAnsi="宋体"/>
          <w:bCs/>
          <w:color w:val="auto"/>
        </w:rPr>
      </w:pPr>
      <w:r>
        <w:rPr>
          <w:rFonts w:hint="eastAsia" w:ascii="宋体" w:hAnsi="宋体"/>
          <w:bCs/>
          <w:color w:val="auto"/>
        </w:rPr>
        <w:t>9.4.3监测数据传输应遵循一致、完整、可靠和安全的原则，采用可靠的数据加密方式，满足省、市、县级</w:t>
      </w:r>
      <w:r>
        <w:rPr>
          <w:rFonts w:hint="eastAsia" w:ascii="宋体" w:hAnsi="宋体"/>
          <w:bCs/>
          <w:color w:val="auto"/>
          <w:lang w:eastAsia="zh-CN"/>
        </w:rPr>
        <w:t>城市生命线</w:t>
      </w:r>
      <w:r>
        <w:rPr>
          <w:rFonts w:hint="eastAsia" w:ascii="宋体" w:hAnsi="宋体"/>
          <w:bCs/>
          <w:color w:val="auto"/>
        </w:rPr>
        <w:t>相关行业信息化系统对接要求。</w:t>
      </w:r>
    </w:p>
    <w:p w14:paraId="33865A73">
      <w:pPr>
        <w:pStyle w:val="98"/>
        <w:spacing w:beforeLines="0" w:afterLines="0"/>
        <w:rPr>
          <w:rFonts w:ascii="宋体" w:hAnsi="宋体"/>
          <w:bCs/>
          <w:color w:val="auto"/>
        </w:rPr>
      </w:pPr>
      <w:r>
        <w:rPr>
          <w:rFonts w:hint="eastAsia" w:ascii="宋体" w:hAnsi="宋体"/>
          <w:bCs/>
          <w:color w:val="auto"/>
        </w:rPr>
        <w:t>9.4.4应根据</w:t>
      </w:r>
      <w:r>
        <w:rPr>
          <w:rFonts w:hint="eastAsia" w:ascii="宋体" w:hAnsi="宋体"/>
          <w:bCs/>
          <w:color w:val="auto"/>
          <w:lang w:eastAsia="zh-CN"/>
        </w:rPr>
        <w:t>监测设备</w:t>
      </w:r>
      <w:r>
        <w:rPr>
          <w:rFonts w:hint="eastAsia" w:ascii="宋体" w:hAnsi="宋体"/>
          <w:bCs/>
          <w:color w:val="auto"/>
        </w:rPr>
        <w:t>的点位数量、采集频率、数据量、数据敏感性，合理选用宽带网络、数据专线、4G/5G无线传输网络、NB-I</w:t>
      </w:r>
      <w:r>
        <w:rPr>
          <w:rFonts w:hint="eastAsia" w:ascii="宋体" w:hAnsi="宋体"/>
          <w:bCs/>
          <w:color w:val="auto"/>
          <w:lang w:val="en-US" w:eastAsia="zh-CN"/>
        </w:rPr>
        <w:t>o</w:t>
      </w:r>
      <w:r>
        <w:rPr>
          <w:rFonts w:hint="eastAsia" w:ascii="宋体" w:hAnsi="宋体"/>
          <w:bCs/>
          <w:color w:val="auto"/>
        </w:rPr>
        <w:t>T网络进行数据传输。</w:t>
      </w:r>
    </w:p>
    <w:p w14:paraId="0FBBD244">
      <w:pPr>
        <w:pStyle w:val="98"/>
        <w:spacing w:beforeLines="0" w:afterLines="0"/>
        <w:rPr>
          <w:rFonts w:ascii="宋体" w:hAnsi="宋体"/>
          <w:bCs/>
          <w:color w:val="auto"/>
        </w:rPr>
      </w:pPr>
      <w:r>
        <w:rPr>
          <w:rFonts w:hint="eastAsia" w:ascii="宋体" w:hAnsi="宋体"/>
          <w:bCs/>
          <w:color w:val="auto"/>
        </w:rPr>
        <w:t>9.4.5选用4G/5G无线传输网络、NB-I</w:t>
      </w:r>
      <w:r>
        <w:rPr>
          <w:rFonts w:hint="eastAsia" w:ascii="宋体" w:hAnsi="宋体"/>
          <w:bCs/>
          <w:color w:val="auto"/>
          <w:lang w:val="en-US" w:eastAsia="zh-CN"/>
        </w:rPr>
        <w:t>o</w:t>
      </w:r>
      <w:r>
        <w:rPr>
          <w:rFonts w:hint="eastAsia" w:ascii="宋体" w:hAnsi="宋体"/>
          <w:bCs/>
          <w:color w:val="auto"/>
        </w:rPr>
        <w:t>T网络时宜打造4G/5G专网、NB-I</w:t>
      </w:r>
      <w:r>
        <w:rPr>
          <w:rFonts w:hint="eastAsia" w:ascii="宋体" w:hAnsi="宋体"/>
          <w:bCs/>
          <w:color w:val="auto"/>
          <w:lang w:val="en-US" w:eastAsia="zh-CN"/>
        </w:rPr>
        <w:t>o</w:t>
      </w:r>
      <w:r>
        <w:rPr>
          <w:rFonts w:hint="eastAsia" w:ascii="宋体" w:hAnsi="宋体"/>
          <w:bCs/>
          <w:color w:val="auto"/>
        </w:rPr>
        <w:t>T专网，建立与公网隔离的无线网络传输通道，同时应采用定向流量访问，传输相关数据至政务云平台。</w:t>
      </w:r>
    </w:p>
    <w:p w14:paraId="159192B1">
      <w:pPr>
        <w:pStyle w:val="98"/>
        <w:spacing w:beforeLines="0" w:afterLines="0"/>
        <w:rPr>
          <w:rFonts w:ascii="宋体" w:hAnsi="宋体"/>
          <w:bCs/>
          <w:color w:val="auto"/>
        </w:rPr>
      </w:pPr>
      <w:r>
        <w:rPr>
          <w:rFonts w:hint="eastAsia" w:ascii="宋体" w:hAnsi="宋体"/>
          <w:bCs/>
          <w:color w:val="auto"/>
        </w:rPr>
        <w:t>9.4.6</w:t>
      </w:r>
      <w:r>
        <w:rPr>
          <w:rFonts w:hint="eastAsia" w:ascii="宋体" w:hAnsi="宋体"/>
          <w:bCs/>
          <w:color w:val="auto"/>
          <w:lang w:val="en-US" w:eastAsia="zh-CN"/>
        </w:rPr>
        <w:t>数据</w:t>
      </w:r>
      <w:r>
        <w:rPr>
          <w:rFonts w:hint="eastAsia" w:ascii="宋体" w:hAnsi="宋体"/>
          <w:bCs/>
          <w:color w:val="auto"/>
        </w:rPr>
        <w:t>传输应具备数据校验、本地缓存、断电续传、容错处理等能力，支持多种物联网传输协议。</w:t>
      </w:r>
    </w:p>
    <w:p w14:paraId="5A4C41A1">
      <w:pPr>
        <w:pStyle w:val="98"/>
        <w:spacing w:beforeLines="0" w:afterLines="0"/>
        <w:rPr>
          <w:rFonts w:ascii="宋体" w:hAnsi="宋体"/>
          <w:bCs/>
          <w:color w:val="auto"/>
        </w:rPr>
      </w:pPr>
      <w:r>
        <w:rPr>
          <w:rFonts w:hint="eastAsia" w:ascii="宋体" w:hAnsi="宋体"/>
          <w:bCs/>
          <w:color w:val="auto"/>
        </w:rPr>
        <w:t>9.4.7各</w:t>
      </w:r>
      <w:r>
        <w:rPr>
          <w:rFonts w:hint="eastAsia" w:ascii="宋体" w:hAnsi="宋体"/>
          <w:bCs/>
          <w:color w:val="auto"/>
          <w:lang w:eastAsia="zh-CN"/>
        </w:rPr>
        <w:t>行业主管部门</w:t>
      </w:r>
      <w:r>
        <w:rPr>
          <w:rFonts w:hint="eastAsia" w:ascii="宋体" w:hAnsi="宋体"/>
          <w:bCs/>
          <w:color w:val="auto"/>
        </w:rPr>
        <w:t>与</w:t>
      </w:r>
      <w:r>
        <w:rPr>
          <w:rFonts w:hint="eastAsia" w:ascii="宋体" w:hAnsi="宋体"/>
          <w:bCs/>
          <w:color w:val="auto"/>
          <w:lang w:eastAsia="zh-CN"/>
        </w:rPr>
        <w:t>城市生命线监测系统</w:t>
      </w:r>
      <w:r>
        <w:rPr>
          <w:rFonts w:hint="eastAsia" w:ascii="宋体" w:hAnsi="宋体"/>
          <w:bCs/>
          <w:color w:val="auto"/>
        </w:rPr>
        <w:t>之间的信息交换与共享，应优先考虑在政务云平台内部实现。</w:t>
      </w:r>
    </w:p>
    <w:p w14:paraId="186E5295">
      <w:pPr>
        <w:pStyle w:val="98"/>
        <w:spacing w:beforeLines="0" w:afterLines="0"/>
        <w:rPr>
          <w:rFonts w:ascii="宋体" w:hAnsi="宋体"/>
          <w:bCs/>
          <w:color w:val="auto"/>
        </w:rPr>
      </w:pPr>
      <w:r>
        <w:rPr>
          <w:rFonts w:hint="eastAsia" w:ascii="宋体" w:hAnsi="宋体"/>
          <w:bCs/>
          <w:color w:val="auto"/>
        </w:rPr>
        <w:t>9.4.8</w:t>
      </w:r>
      <w:r>
        <w:rPr>
          <w:rFonts w:hint="eastAsia" w:ascii="宋体" w:hAnsi="宋体"/>
          <w:bCs/>
          <w:color w:val="auto"/>
          <w:lang w:eastAsia="zh-CN"/>
        </w:rPr>
        <w:t>权属（管养）单位</w:t>
      </w:r>
      <w:r>
        <w:rPr>
          <w:rFonts w:hint="eastAsia" w:ascii="宋体" w:hAnsi="宋体"/>
          <w:bCs/>
          <w:color w:val="auto"/>
        </w:rPr>
        <w:t>与</w:t>
      </w:r>
      <w:r>
        <w:rPr>
          <w:rFonts w:hint="eastAsia" w:ascii="宋体" w:hAnsi="宋体"/>
          <w:bCs/>
          <w:color w:val="auto"/>
          <w:lang w:val="en-US" w:eastAsia="zh-CN"/>
        </w:rPr>
        <w:t>本级</w:t>
      </w:r>
      <w:r>
        <w:rPr>
          <w:rFonts w:hint="eastAsia" w:ascii="宋体" w:hAnsi="宋体"/>
          <w:bCs/>
          <w:color w:val="auto"/>
          <w:lang w:eastAsia="zh-CN"/>
        </w:rPr>
        <w:t>城市生命线监测系统</w:t>
      </w:r>
      <w:r>
        <w:rPr>
          <w:rFonts w:hint="eastAsia" w:ascii="宋体" w:hAnsi="宋体"/>
          <w:bCs/>
          <w:color w:val="auto"/>
        </w:rPr>
        <w:t>之间的信息交换与共享，应采用20Mbps以上的传输宽带</w:t>
      </w:r>
      <w:r>
        <w:rPr>
          <w:rFonts w:hint="eastAsia" w:ascii="宋体" w:hAnsi="宋体"/>
          <w:bCs/>
          <w:color w:val="auto"/>
          <w:lang w:eastAsia="zh-CN"/>
        </w:rPr>
        <w:t>，</w:t>
      </w:r>
      <w:r>
        <w:rPr>
          <w:rFonts w:hint="eastAsia" w:ascii="宋体" w:hAnsi="宋体"/>
          <w:bCs/>
          <w:color w:val="auto"/>
        </w:rPr>
        <w:t>实现政务云平台与</w:t>
      </w:r>
      <w:r>
        <w:rPr>
          <w:rFonts w:hint="eastAsia" w:ascii="宋体" w:hAnsi="宋体"/>
          <w:bCs/>
          <w:color w:val="auto"/>
          <w:lang w:eastAsia="zh-CN"/>
        </w:rPr>
        <w:t>权属（管养）单位</w:t>
      </w:r>
      <w:r>
        <w:rPr>
          <w:rFonts w:hint="eastAsia" w:ascii="宋体" w:hAnsi="宋体"/>
          <w:bCs/>
          <w:color w:val="auto"/>
        </w:rPr>
        <w:t>信息化系统部署地点之间的网络传输，同时宜使用数据专线方式。</w:t>
      </w:r>
    </w:p>
    <w:p w14:paraId="3D435386">
      <w:pPr>
        <w:pStyle w:val="98"/>
        <w:spacing w:beforeLines="0" w:afterLines="0"/>
        <w:rPr>
          <w:rFonts w:ascii="宋体" w:hAnsi="宋体"/>
          <w:bCs/>
          <w:color w:val="auto"/>
        </w:rPr>
      </w:pPr>
      <w:r>
        <w:rPr>
          <w:rFonts w:hint="eastAsia" w:ascii="宋体" w:hAnsi="宋体"/>
          <w:bCs/>
          <w:color w:val="auto"/>
        </w:rPr>
        <w:t>9.4.9数据存储格式、处理方式应统一，保证数据在存储过程中的完整性。</w:t>
      </w:r>
    </w:p>
    <w:p w14:paraId="39763503">
      <w:pPr>
        <w:pStyle w:val="98"/>
        <w:spacing w:beforeLines="0" w:afterLines="0"/>
        <w:rPr>
          <w:rFonts w:ascii="宋体" w:hAnsi="宋体"/>
          <w:bCs/>
        </w:rPr>
      </w:pPr>
      <w:r>
        <w:rPr>
          <w:rFonts w:hint="eastAsia" w:ascii="宋体" w:hAnsi="宋体"/>
          <w:bCs/>
          <w:color w:val="auto"/>
        </w:rPr>
        <w:t>9.4.10数据存储设备应具备异常</w:t>
      </w:r>
      <w:r>
        <w:rPr>
          <w:rFonts w:hint="eastAsia" w:ascii="宋体" w:hAnsi="宋体"/>
          <w:bCs/>
          <w:color w:val="auto"/>
          <w:lang w:eastAsia="zh-CN"/>
        </w:rPr>
        <w:t>报警预警</w:t>
      </w:r>
      <w:r>
        <w:rPr>
          <w:rFonts w:hint="eastAsia" w:ascii="宋体" w:hAnsi="宋体"/>
          <w:bCs/>
          <w:color w:val="auto"/>
        </w:rPr>
        <w:t>功能，出现异常状态应及时修复。</w:t>
      </w:r>
    </w:p>
    <w:p w14:paraId="6D8B16DC">
      <w:pPr>
        <w:pStyle w:val="108"/>
        <w:numPr>
          <w:ilvl w:val="1"/>
          <w:numId w:val="1"/>
        </w:numPr>
        <w:spacing w:beforeLines="50" w:afterLines="50"/>
      </w:pPr>
      <w:bookmarkStart w:id="130" w:name="_Toc232281766"/>
      <w:bookmarkStart w:id="131" w:name="_Toc18352"/>
      <w:r>
        <w:rPr>
          <w:rFonts w:hint="eastAsia"/>
        </w:rPr>
        <w:t>数据接口服务</w:t>
      </w:r>
      <w:bookmarkEnd w:id="130"/>
      <w:bookmarkEnd w:id="131"/>
    </w:p>
    <w:p w14:paraId="516057B7">
      <w:pPr>
        <w:pStyle w:val="98"/>
        <w:spacing w:beforeLines="0" w:afterLines="0"/>
        <w:rPr>
          <w:rFonts w:ascii="宋体" w:hAnsi="宋体"/>
          <w:bCs/>
          <w:color w:val="auto"/>
        </w:rPr>
      </w:pPr>
      <w:r>
        <w:rPr>
          <w:rFonts w:hint="eastAsia" w:ascii="宋体" w:hAnsi="宋体"/>
          <w:bCs/>
          <w:color w:val="auto"/>
        </w:rPr>
        <w:t>9.5.1数据接口应提供数据共享接口、WEB应用接口、移动APP接口、微信小程序接口等类型接口，以满足实时数据接收、系统集成</w:t>
      </w:r>
      <w:r>
        <w:rPr>
          <w:rFonts w:hint="eastAsia" w:ascii="宋体" w:hAnsi="宋体"/>
          <w:bCs/>
          <w:color w:val="auto"/>
          <w:lang w:eastAsia="zh-CN"/>
        </w:rPr>
        <w:t>、</w:t>
      </w:r>
      <w:r>
        <w:rPr>
          <w:rFonts w:hint="eastAsia" w:ascii="宋体" w:hAnsi="宋体"/>
          <w:bCs/>
          <w:color w:val="auto"/>
          <w:lang w:val="en-US" w:eastAsia="zh-CN"/>
        </w:rPr>
        <w:t>数据共享</w:t>
      </w:r>
      <w:r>
        <w:rPr>
          <w:rFonts w:hint="eastAsia" w:ascii="宋体" w:hAnsi="宋体"/>
          <w:bCs/>
          <w:color w:val="auto"/>
        </w:rPr>
        <w:t>需求。</w:t>
      </w:r>
    </w:p>
    <w:p w14:paraId="01F99890">
      <w:pPr>
        <w:pStyle w:val="98"/>
        <w:spacing w:beforeLines="0" w:afterLines="0"/>
        <w:rPr>
          <w:rFonts w:ascii="宋体" w:hAnsi="宋体"/>
          <w:bCs/>
          <w:color w:val="auto"/>
        </w:rPr>
      </w:pPr>
      <w:r>
        <w:rPr>
          <w:rFonts w:hint="eastAsia" w:ascii="宋体" w:hAnsi="宋体"/>
          <w:bCs/>
          <w:color w:val="auto"/>
        </w:rPr>
        <w:t>9.5.2地理信息</w:t>
      </w:r>
      <w:r>
        <w:rPr>
          <w:rFonts w:hint="eastAsia" w:ascii="宋体" w:hAnsi="宋体"/>
          <w:bCs/>
          <w:color w:val="auto"/>
          <w:lang w:val="en-US" w:eastAsia="zh-CN"/>
        </w:rPr>
        <w:t>数据</w:t>
      </w:r>
      <w:r>
        <w:rPr>
          <w:rFonts w:hint="eastAsia" w:ascii="宋体" w:hAnsi="宋体"/>
          <w:bCs/>
          <w:color w:val="auto"/>
        </w:rPr>
        <w:t>及</w:t>
      </w:r>
      <w:r>
        <w:rPr>
          <w:rFonts w:hint="eastAsia" w:ascii="宋体" w:hAnsi="宋体"/>
          <w:bCs/>
          <w:color w:val="auto"/>
          <w:lang w:val="en-US" w:eastAsia="zh-CN"/>
        </w:rPr>
        <w:t>高精度</w:t>
      </w:r>
      <w:r>
        <w:rPr>
          <w:rFonts w:hint="eastAsia" w:ascii="宋体" w:hAnsi="宋体"/>
          <w:bCs/>
          <w:color w:val="auto"/>
        </w:rPr>
        <w:t>三维模型数据</w:t>
      </w:r>
      <w:r>
        <w:rPr>
          <w:rFonts w:hint="eastAsia" w:ascii="宋体" w:hAnsi="宋体"/>
          <w:bCs/>
          <w:color w:val="auto"/>
          <w:lang w:val="en-US" w:eastAsia="zh-CN"/>
        </w:rPr>
        <w:t>等涉密数据应</w:t>
      </w:r>
      <w:r>
        <w:rPr>
          <w:rFonts w:hint="eastAsia" w:ascii="宋体" w:hAnsi="宋体"/>
          <w:bCs/>
          <w:color w:val="auto"/>
        </w:rPr>
        <w:t>采用</w:t>
      </w:r>
      <w:r>
        <w:rPr>
          <w:rFonts w:hint="eastAsia" w:ascii="宋体" w:hAnsi="宋体"/>
          <w:bCs/>
          <w:color w:val="auto"/>
          <w:lang w:val="en-US" w:eastAsia="zh-CN"/>
        </w:rPr>
        <w:t>脱敏处理后进行调用</w:t>
      </w:r>
      <w:r>
        <w:rPr>
          <w:rFonts w:hint="eastAsia" w:ascii="宋体" w:hAnsi="宋体"/>
          <w:bCs/>
          <w:color w:val="auto"/>
        </w:rPr>
        <w:t>。</w:t>
      </w:r>
    </w:p>
    <w:p w14:paraId="3B8B89E2">
      <w:pPr>
        <w:pStyle w:val="98"/>
        <w:spacing w:beforeLines="0" w:afterLines="0"/>
        <w:rPr>
          <w:rFonts w:ascii="宋体" w:hAnsi="宋体"/>
          <w:bCs/>
          <w:color w:val="auto"/>
        </w:rPr>
      </w:pPr>
      <w:r>
        <w:rPr>
          <w:rFonts w:hint="eastAsia" w:ascii="宋体" w:hAnsi="宋体"/>
          <w:bCs/>
          <w:color w:val="auto"/>
        </w:rPr>
        <w:t>9.5.3</w:t>
      </w:r>
      <w:r>
        <w:rPr>
          <w:rFonts w:hint="eastAsia" w:ascii="宋体" w:hAnsi="宋体"/>
          <w:bCs/>
          <w:color w:val="auto"/>
          <w:lang w:eastAsia="zh-CN"/>
        </w:rPr>
        <w:t>监测系统</w:t>
      </w:r>
      <w:r>
        <w:rPr>
          <w:rFonts w:hint="eastAsia" w:ascii="宋体" w:hAnsi="宋体"/>
          <w:bCs/>
          <w:color w:val="auto"/>
        </w:rPr>
        <w:t>应提供</w:t>
      </w:r>
      <w:r>
        <w:rPr>
          <w:rFonts w:hint="eastAsia" w:ascii="宋体" w:hAnsi="宋体"/>
          <w:bCs/>
          <w:color w:val="auto"/>
          <w:lang w:val="en-US" w:eastAsia="zh-CN"/>
        </w:rPr>
        <w:t>可</w:t>
      </w:r>
      <w:r>
        <w:rPr>
          <w:rFonts w:hint="eastAsia" w:ascii="宋体" w:hAnsi="宋体"/>
          <w:bCs/>
          <w:color w:val="auto"/>
        </w:rPr>
        <w:t>与各</w:t>
      </w:r>
      <w:r>
        <w:rPr>
          <w:rFonts w:hint="eastAsia" w:ascii="宋体" w:hAnsi="宋体"/>
          <w:bCs/>
          <w:color w:val="auto"/>
          <w:lang w:eastAsia="zh-CN"/>
        </w:rPr>
        <w:t>行业主管部门</w:t>
      </w:r>
      <w:r>
        <w:rPr>
          <w:rFonts w:hint="eastAsia" w:ascii="宋体" w:hAnsi="宋体"/>
          <w:bCs/>
          <w:color w:val="auto"/>
        </w:rPr>
        <w:t>、</w:t>
      </w:r>
      <w:r>
        <w:rPr>
          <w:rFonts w:hint="eastAsia" w:ascii="宋体" w:hAnsi="宋体"/>
          <w:bCs/>
          <w:color w:val="auto"/>
          <w:lang w:eastAsia="zh-CN"/>
        </w:rPr>
        <w:t>权属（管养）单位</w:t>
      </w:r>
      <w:r>
        <w:rPr>
          <w:rFonts w:hint="eastAsia" w:ascii="宋体" w:hAnsi="宋体"/>
          <w:bCs/>
          <w:color w:val="auto"/>
        </w:rPr>
        <w:t>和政务云中心端的数据备份接口。</w:t>
      </w:r>
    </w:p>
    <w:p w14:paraId="0E3BDDF7">
      <w:pPr>
        <w:pStyle w:val="108"/>
        <w:numPr>
          <w:ilvl w:val="1"/>
          <w:numId w:val="1"/>
        </w:numPr>
        <w:spacing w:beforeLines="50" w:afterLines="50"/>
      </w:pPr>
      <w:bookmarkStart w:id="132" w:name="_Toc20263"/>
      <w:bookmarkStart w:id="133" w:name="_Toc232281767"/>
      <w:r>
        <w:rPr>
          <w:rFonts w:hint="eastAsia"/>
        </w:rPr>
        <w:t>系统性能要求</w:t>
      </w:r>
      <w:bookmarkEnd w:id="132"/>
      <w:bookmarkEnd w:id="133"/>
    </w:p>
    <w:p w14:paraId="62513209">
      <w:pPr>
        <w:pStyle w:val="98"/>
        <w:spacing w:beforeLines="0" w:afterLines="0"/>
        <w:rPr>
          <w:rFonts w:ascii="宋体" w:hAnsi="宋体"/>
          <w:bCs/>
          <w:color w:val="auto"/>
        </w:rPr>
      </w:pPr>
      <w:r>
        <w:rPr>
          <w:rFonts w:hint="eastAsia" w:ascii="宋体" w:hAnsi="宋体"/>
          <w:bCs/>
          <w:color w:val="auto"/>
        </w:rPr>
        <w:t>9.6.1</w:t>
      </w:r>
      <w:r>
        <w:rPr>
          <w:rFonts w:hint="eastAsia" w:ascii="宋体" w:hAnsi="宋体"/>
          <w:bCs/>
          <w:color w:val="auto"/>
          <w:lang w:eastAsia="zh-CN"/>
        </w:rPr>
        <w:t>监测</w:t>
      </w:r>
      <w:r>
        <w:rPr>
          <w:rFonts w:hint="eastAsia" w:ascii="宋体" w:hAnsi="宋体"/>
          <w:bCs/>
          <w:color w:val="auto"/>
        </w:rPr>
        <w:t>系统可靠性应</w:t>
      </w:r>
      <w:r>
        <w:rPr>
          <w:rFonts w:hint="eastAsia" w:ascii="宋体" w:hAnsi="宋体"/>
          <w:bCs/>
          <w:color w:val="auto"/>
          <w:lang w:val="en-US" w:eastAsia="zh-CN"/>
        </w:rPr>
        <w:t>不低于</w:t>
      </w:r>
      <w:r>
        <w:rPr>
          <w:rFonts w:hint="eastAsia" w:ascii="宋体" w:hAnsi="宋体"/>
          <w:bCs/>
          <w:color w:val="auto"/>
        </w:rPr>
        <w:t>99.9%。</w:t>
      </w:r>
    </w:p>
    <w:p w14:paraId="3B660AB3">
      <w:pPr>
        <w:pStyle w:val="98"/>
        <w:spacing w:beforeLines="0" w:afterLines="0"/>
        <w:rPr>
          <w:rFonts w:ascii="宋体" w:hAnsi="宋体"/>
          <w:bCs/>
          <w:color w:val="auto"/>
        </w:rPr>
      </w:pPr>
      <w:r>
        <w:rPr>
          <w:rFonts w:hint="eastAsia" w:ascii="宋体" w:hAnsi="宋体"/>
          <w:bCs/>
          <w:color w:val="auto"/>
        </w:rPr>
        <w:t>9.6.2</w:t>
      </w:r>
      <w:r>
        <w:rPr>
          <w:rFonts w:hint="eastAsia" w:ascii="宋体" w:hAnsi="宋体"/>
          <w:bCs/>
          <w:color w:val="auto"/>
          <w:lang w:eastAsia="zh-CN"/>
        </w:rPr>
        <w:t>监测系统</w:t>
      </w:r>
      <w:r>
        <w:rPr>
          <w:rFonts w:hint="eastAsia" w:ascii="宋体" w:hAnsi="宋体"/>
          <w:bCs/>
          <w:color w:val="auto"/>
        </w:rPr>
        <w:t>应确保7</w:t>
      </w:r>
      <w:r>
        <w:rPr>
          <w:rFonts w:hint="eastAsia" w:ascii="宋体" w:hAnsi="宋体"/>
          <w:bCs/>
          <w:color w:val="auto"/>
          <w:lang w:val="en-US" w:eastAsia="zh-CN"/>
        </w:rPr>
        <w:t>d</w:t>
      </w:r>
      <w:r>
        <w:rPr>
          <w:rFonts w:hint="eastAsia" w:ascii="宋体" w:hAnsi="宋体"/>
          <w:bCs/>
          <w:color w:val="auto"/>
          <w:lang w:eastAsia="zh-CN"/>
        </w:rPr>
        <w:t>×</w:t>
      </w:r>
      <w:r>
        <w:rPr>
          <w:rFonts w:hint="eastAsia" w:ascii="宋体" w:hAnsi="宋体"/>
          <w:bCs/>
          <w:color w:val="auto"/>
        </w:rPr>
        <w:t>24</w:t>
      </w:r>
      <w:r>
        <w:rPr>
          <w:rFonts w:hint="eastAsia" w:ascii="宋体" w:hAnsi="宋体"/>
          <w:bCs/>
          <w:color w:val="auto"/>
          <w:lang w:val="en-US" w:eastAsia="zh-CN"/>
        </w:rPr>
        <w:t>h</w:t>
      </w:r>
      <w:r>
        <w:rPr>
          <w:rFonts w:hint="eastAsia" w:ascii="宋体" w:hAnsi="宋体"/>
          <w:bCs/>
          <w:color w:val="auto"/>
        </w:rPr>
        <w:t>连续稳定运行。</w:t>
      </w:r>
    </w:p>
    <w:p w14:paraId="562547EF">
      <w:pPr>
        <w:pStyle w:val="98"/>
        <w:spacing w:beforeLines="0" w:afterLines="0"/>
        <w:rPr>
          <w:rFonts w:ascii="宋体" w:hAnsi="宋体"/>
          <w:bCs/>
          <w:color w:val="auto"/>
        </w:rPr>
      </w:pPr>
      <w:r>
        <w:rPr>
          <w:rFonts w:hint="eastAsia" w:ascii="宋体" w:hAnsi="宋体"/>
          <w:bCs/>
          <w:color w:val="auto"/>
        </w:rPr>
        <w:t>9.6.3</w:t>
      </w:r>
      <w:r>
        <w:rPr>
          <w:rFonts w:hint="eastAsia" w:ascii="宋体" w:hAnsi="宋体"/>
          <w:bCs/>
          <w:color w:val="auto"/>
          <w:lang w:eastAsia="zh-CN"/>
        </w:rPr>
        <w:t>监测系统</w:t>
      </w:r>
      <w:r>
        <w:rPr>
          <w:rFonts w:hint="eastAsia" w:ascii="宋体" w:hAnsi="宋体"/>
          <w:bCs/>
          <w:color w:val="auto"/>
        </w:rPr>
        <w:t>最大并发用户数应不低于全部使用用户数的30%。</w:t>
      </w:r>
    </w:p>
    <w:p w14:paraId="697538B2">
      <w:pPr>
        <w:pStyle w:val="98"/>
        <w:spacing w:beforeLines="0" w:afterLines="0"/>
        <w:rPr>
          <w:rFonts w:ascii="宋体" w:hAnsi="宋体"/>
          <w:bCs/>
          <w:color w:val="auto"/>
        </w:rPr>
      </w:pPr>
      <w:r>
        <w:rPr>
          <w:rFonts w:hint="eastAsia" w:ascii="宋体" w:hAnsi="宋体"/>
          <w:bCs/>
          <w:color w:val="auto"/>
        </w:rPr>
        <w:t>9.6.4</w:t>
      </w:r>
      <w:r>
        <w:rPr>
          <w:rFonts w:hint="eastAsia" w:ascii="宋体" w:hAnsi="宋体"/>
          <w:bCs/>
          <w:color w:val="auto"/>
          <w:lang w:eastAsia="zh-CN"/>
        </w:rPr>
        <w:t>监测系统</w:t>
      </w:r>
      <w:r>
        <w:rPr>
          <w:rFonts w:hint="eastAsia" w:ascii="宋体" w:hAnsi="宋体"/>
          <w:bCs/>
          <w:color w:val="auto"/>
        </w:rPr>
        <w:t>应用网页平均响应时间应不大于3</w:t>
      </w:r>
      <w:r>
        <w:rPr>
          <w:rFonts w:hint="eastAsia" w:ascii="宋体" w:hAnsi="宋体"/>
          <w:bCs/>
          <w:color w:val="auto"/>
          <w:lang w:eastAsia="zh-CN"/>
        </w:rPr>
        <w:t>S</w:t>
      </w:r>
      <w:r>
        <w:rPr>
          <w:rFonts w:hint="eastAsia" w:ascii="宋体" w:hAnsi="宋体"/>
          <w:bCs/>
          <w:color w:val="auto"/>
        </w:rPr>
        <w:t>，峰值不大于10</w:t>
      </w:r>
      <w:r>
        <w:rPr>
          <w:rFonts w:hint="eastAsia" w:ascii="宋体" w:hAnsi="宋体"/>
          <w:bCs/>
          <w:color w:val="auto"/>
          <w:lang w:eastAsia="zh-CN"/>
        </w:rPr>
        <w:t>S</w:t>
      </w:r>
      <w:r>
        <w:rPr>
          <w:rFonts w:hint="eastAsia" w:ascii="宋体" w:hAnsi="宋体"/>
          <w:bCs/>
          <w:color w:val="auto"/>
        </w:rPr>
        <w:t>。</w:t>
      </w:r>
    </w:p>
    <w:p w14:paraId="60288A9A">
      <w:pPr>
        <w:pStyle w:val="98"/>
        <w:spacing w:beforeLines="0" w:afterLines="0"/>
        <w:rPr>
          <w:rFonts w:ascii="宋体" w:hAnsi="宋体"/>
          <w:bCs/>
          <w:color w:val="auto"/>
        </w:rPr>
      </w:pPr>
      <w:r>
        <w:rPr>
          <w:rFonts w:hint="eastAsia" w:ascii="宋体" w:hAnsi="宋体"/>
          <w:bCs/>
          <w:color w:val="auto"/>
        </w:rPr>
        <w:t>9.6.5</w:t>
      </w:r>
      <w:r>
        <w:rPr>
          <w:rFonts w:hint="eastAsia" w:ascii="宋体" w:hAnsi="宋体"/>
          <w:bCs/>
          <w:color w:val="auto"/>
          <w:lang w:eastAsia="zh-CN"/>
        </w:rPr>
        <w:t>监测系统</w:t>
      </w:r>
      <w:r>
        <w:rPr>
          <w:rFonts w:hint="eastAsia" w:ascii="宋体" w:hAnsi="宋体"/>
          <w:bCs/>
          <w:color w:val="auto"/>
        </w:rPr>
        <w:t>简单事务查询平均响应时间应不大于3</w:t>
      </w:r>
      <w:r>
        <w:rPr>
          <w:rFonts w:hint="eastAsia" w:ascii="宋体" w:hAnsi="宋体"/>
          <w:bCs/>
          <w:color w:val="auto"/>
          <w:lang w:eastAsia="zh-CN"/>
        </w:rPr>
        <w:t>S</w:t>
      </w:r>
      <w:r>
        <w:rPr>
          <w:rFonts w:hint="eastAsia" w:ascii="宋体" w:hAnsi="宋体"/>
          <w:bCs/>
          <w:color w:val="auto"/>
        </w:rPr>
        <w:t>，复杂事务查询平均响应时间应不大于15</w:t>
      </w:r>
      <w:r>
        <w:rPr>
          <w:rFonts w:hint="eastAsia" w:ascii="宋体" w:hAnsi="宋体"/>
          <w:bCs/>
          <w:color w:val="auto"/>
          <w:lang w:eastAsia="zh-CN"/>
        </w:rPr>
        <w:t>S</w:t>
      </w:r>
      <w:r>
        <w:rPr>
          <w:rFonts w:hint="eastAsia" w:ascii="宋体" w:hAnsi="宋体"/>
          <w:bCs/>
          <w:color w:val="auto"/>
        </w:rPr>
        <w:t>。</w:t>
      </w:r>
    </w:p>
    <w:p w14:paraId="2552673E">
      <w:pPr>
        <w:pStyle w:val="98"/>
        <w:spacing w:beforeLines="0" w:afterLines="0"/>
        <w:rPr>
          <w:rFonts w:ascii="宋体" w:hAnsi="宋体"/>
          <w:bCs/>
          <w:color w:val="auto"/>
        </w:rPr>
      </w:pPr>
      <w:r>
        <w:rPr>
          <w:rFonts w:hint="eastAsia" w:ascii="宋体" w:hAnsi="宋体"/>
          <w:bCs/>
          <w:color w:val="auto"/>
        </w:rPr>
        <w:t>9.6.6</w:t>
      </w:r>
      <w:r>
        <w:rPr>
          <w:rFonts w:hint="eastAsia" w:ascii="宋体" w:hAnsi="宋体"/>
          <w:bCs/>
          <w:color w:val="auto"/>
          <w:lang w:eastAsia="zh-CN"/>
        </w:rPr>
        <w:t>监测系统</w:t>
      </w:r>
      <w:r>
        <w:rPr>
          <w:rFonts w:hint="eastAsia" w:ascii="宋体" w:hAnsi="宋体"/>
          <w:bCs/>
          <w:color w:val="auto"/>
        </w:rPr>
        <w:t>应具备异构系统和大数据平台的信息交换能力。</w:t>
      </w:r>
    </w:p>
    <w:p w14:paraId="5BC709AB">
      <w:pPr>
        <w:pStyle w:val="111"/>
        <w:pageBreakBefore w:val="0"/>
        <w:numPr>
          <w:ilvl w:val="0"/>
          <w:numId w:val="1"/>
        </w:numPr>
        <w:spacing w:beforeLines="100" w:afterLines="100"/>
        <w:ind w:left="0" w:firstLine="0"/>
        <w:rPr>
          <w:sz w:val="21"/>
          <w:szCs w:val="21"/>
        </w:rPr>
      </w:pPr>
      <w:bookmarkStart w:id="134" w:name="_Toc29884"/>
      <w:r>
        <w:rPr>
          <w:rFonts w:hint="eastAsia"/>
          <w:sz w:val="21"/>
          <w:szCs w:val="21"/>
        </w:rPr>
        <w:t>监测中心建设</w:t>
      </w:r>
      <w:bookmarkEnd w:id="134"/>
      <w:r>
        <w:rPr>
          <w:rFonts w:hint="eastAsia"/>
          <w:sz w:val="21"/>
          <w:szCs w:val="21"/>
        </w:rPr>
        <w:t xml:space="preserve"> </w:t>
      </w:r>
    </w:p>
    <w:p w14:paraId="6077371B">
      <w:pPr>
        <w:pStyle w:val="108"/>
        <w:numPr>
          <w:ilvl w:val="1"/>
          <w:numId w:val="1"/>
        </w:numPr>
        <w:spacing w:beforeLines="50" w:afterLines="50"/>
      </w:pPr>
      <w:bookmarkStart w:id="135" w:name="_Toc8964"/>
      <w:r>
        <w:rPr>
          <w:rFonts w:hint="eastAsia"/>
          <w:lang w:eastAsia="zh-CN"/>
        </w:rPr>
        <w:t>一般要求</w:t>
      </w:r>
      <w:bookmarkEnd w:id="135"/>
    </w:p>
    <w:p w14:paraId="4F35B000">
      <w:pPr>
        <w:keepNext w:val="0"/>
        <w:keepLines w:val="0"/>
        <w:widowControl/>
        <w:suppressLineNumbers w:val="0"/>
        <w:jc w:val="left"/>
        <w:rPr>
          <w:rFonts w:ascii="宋体" w:hAnsi="宋体"/>
          <w:bCs/>
          <w:color w:val="auto"/>
        </w:rPr>
      </w:pPr>
      <w:r>
        <w:rPr>
          <w:rFonts w:hint="eastAsia" w:ascii="宋体" w:hAnsi="宋体" w:eastAsia="宋体" w:cs="宋体"/>
          <w:bCs/>
          <w:color w:val="auto"/>
          <w:kern w:val="2"/>
          <w:sz w:val="21"/>
          <w:lang w:val="en-US" w:eastAsia="zh-CN" w:bidi="ar-SA"/>
        </w:rPr>
        <w:t>10.1.1城市生命线</w:t>
      </w:r>
      <w:r>
        <w:rPr>
          <w:rFonts w:hint="eastAsia" w:ascii="宋体" w:hAnsi="宋体"/>
          <w:bCs/>
          <w:color w:val="auto"/>
        </w:rPr>
        <w:t>监测中心按照省级、市级、县级三个层级进行建设，其中县级可共用市级监测中心开展市县一体化</w:t>
      </w:r>
      <w:r>
        <w:rPr>
          <w:rFonts w:hint="eastAsia" w:ascii="宋体" w:hAnsi="宋体"/>
          <w:bCs/>
          <w:color w:val="auto"/>
          <w:lang w:eastAsia="zh-CN"/>
        </w:rPr>
        <w:t>城市生命线安全工程</w:t>
      </w:r>
      <w:r>
        <w:rPr>
          <w:rFonts w:hint="eastAsia" w:ascii="宋体" w:hAnsi="宋体"/>
          <w:bCs/>
          <w:color w:val="auto"/>
        </w:rPr>
        <w:t>的运行维护工作，也可根据需求建设本级监测中心。</w:t>
      </w:r>
    </w:p>
    <w:p w14:paraId="5F262316">
      <w:pPr>
        <w:pStyle w:val="98"/>
        <w:spacing w:beforeLines="0" w:afterLines="0"/>
        <w:rPr>
          <w:rFonts w:ascii="宋体" w:hAnsi="宋体"/>
          <w:bCs/>
          <w:color w:val="auto"/>
        </w:rPr>
      </w:pPr>
      <w:r>
        <w:rPr>
          <w:rFonts w:hint="eastAsia" w:ascii="宋体" w:hAnsi="宋体"/>
          <w:bCs/>
          <w:color w:val="auto"/>
        </w:rPr>
        <w:t>10.1.</w:t>
      </w:r>
      <w:r>
        <w:rPr>
          <w:rFonts w:hint="eastAsia" w:ascii="宋体" w:hAnsi="宋体"/>
          <w:bCs/>
          <w:color w:val="auto"/>
          <w:lang w:val="en-US" w:eastAsia="zh-CN"/>
        </w:rPr>
        <w:t>2</w:t>
      </w:r>
      <w:r>
        <w:rPr>
          <w:rFonts w:hint="eastAsia" w:ascii="宋体" w:hAnsi="宋体"/>
          <w:bCs/>
          <w:color w:val="auto"/>
        </w:rPr>
        <w:t>监测中心应具备与</w:t>
      </w:r>
      <w:r>
        <w:rPr>
          <w:rFonts w:hint="eastAsia" w:ascii="宋体" w:hAnsi="宋体"/>
          <w:bCs/>
          <w:color w:val="auto"/>
          <w:lang w:val="en-US" w:eastAsia="zh-CN"/>
        </w:rPr>
        <w:t>运营管理</w:t>
      </w:r>
      <w:r>
        <w:rPr>
          <w:rFonts w:hint="eastAsia" w:ascii="宋体" w:hAnsi="宋体"/>
          <w:bCs/>
          <w:color w:val="auto"/>
        </w:rPr>
        <w:t>规模和防范风险相适应的物理场所和人员配备。</w:t>
      </w:r>
    </w:p>
    <w:p w14:paraId="252F0827">
      <w:pPr>
        <w:pStyle w:val="98"/>
        <w:spacing w:beforeLines="0" w:afterLines="0"/>
        <w:rPr>
          <w:rFonts w:hint="eastAsia" w:ascii="宋体" w:hAnsi="宋体"/>
          <w:bCs/>
          <w:color w:val="auto"/>
        </w:rPr>
      </w:pPr>
      <w:r>
        <w:rPr>
          <w:rFonts w:hint="eastAsia" w:ascii="宋体" w:hAnsi="宋体"/>
          <w:bCs/>
          <w:color w:val="auto"/>
        </w:rPr>
        <w:t>10.1.</w:t>
      </w:r>
      <w:r>
        <w:rPr>
          <w:rFonts w:hint="eastAsia" w:ascii="宋体" w:hAnsi="宋体"/>
          <w:bCs/>
          <w:color w:val="auto"/>
          <w:lang w:val="en-US" w:eastAsia="zh-CN"/>
        </w:rPr>
        <w:t>3</w:t>
      </w:r>
      <w:r>
        <w:rPr>
          <w:rFonts w:hint="eastAsia" w:ascii="宋体" w:hAnsi="宋体"/>
          <w:bCs/>
          <w:color w:val="auto"/>
        </w:rPr>
        <w:t>监测中心选址应满足防涝</w:t>
      </w:r>
      <w:r>
        <w:rPr>
          <w:rFonts w:hint="eastAsia" w:ascii="宋体" w:hAnsi="宋体"/>
          <w:bCs/>
          <w:color w:val="auto"/>
          <w:lang w:val="en-US" w:eastAsia="zh-CN"/>
        </w:rPr>
        <w:t>、</w:t>
      </w:r>
      <w:r>
        <w:rPr>
          <w:rFonts w:hint="eastAsia" w:ascii="宋体" w:hAnsi="宋体"/>
          <w:bCs/>
          <w:color w:val="auto"/>
        </w:rPr>
        <w:t>防震</w:t>
      </w:r>
      <w:r>
        <w:rPr>
          <w:rFonts w:hint="eastAsia" w:ascii="宋体" w:hAnsi="宋体"/>
          <w:bCs/>
          <w:color w:val="auto"/>
          <w:lang w:val="en-US" w:eastAsia="zh-CN"/>
        </w:rPr>
        <w:t>和消防等</w:t>
      </w:r>
      <w:r>
        <w:rPr>
          <w:rFonts w:hint="eastAsia" w:ascii="宋体" w:hAnsi="宋体"/>
          <w:bCs/>
          <w:color w:val="auto"/>
        </w:rPr>
        <w:t>要求，且不应有电磁场干扰。</w:t>
      </w:r>
    </w:p>
    <w:p w14:paraId="6D3040CC">
      <w:pPr>
        <w:pStyle w:val="108"/>
        <w:numPr>
          <w:ilvl w:val="1"/>
          <w:numId w:val="1"/>
        </w:numPr>
        <w:spacing w:beforeLines="50" w:afterLines="50"/>
      </w:pPr>
      <w:bookmarkStart w:id="136" w:name="_Toc579"/>
      <w:r>
        <w:rPr>
          <w:rFonts w:hint="eastAsia"/>
        </w:rPr>
        <w:t>运营场所要求</w:t>
      </w:r>
      <w:bookmarkEnd w:id="136"/>
    </w:p>
    <w:p w14:paraId="1DA1C11A">
      <w:pPr>
        <w:pStyle w:val="98"/>
        <w:spacing w:beforeLines="0" w:afterLines="0"/>
        <w:rPr>
          <w:rFonts w:ascii="宋体" w:hAnsi="宋体"/>
          <w:bCs/>
          <w:color w:val="auto"/>
        </w:rPr>
      </w:pPr>
      <w:r>
        <w:rPr>
          <w:rFonts w:hint="eastAsia" w:ascii="宋体" w:hAnsi="宋体"/>
          <w:bCs/>
          <w:color w:val="auto"/>
        </w:rPr>
        <w:t>10.2.1监测中心</w:t>
      </w:r>
      <w:r>
        <w:rPr>
          <w:rFonts w:hint="eastAsia" w:ascii="宋体" w:hAnsi="宋体"/>
          <w:bCs/>
          <w:color w:val="auto"/>
          <w:lang w:val="en-US" w:eastAsia="zh-CN"/>
        </w:rPr>
        <w:t>运营</w:t>
      </w:r>
      <w:r>
        <w:rPr>
          <w:rFonts w:hint="eastAsia" w:ascii="宋体" w:hAnsi="宋体"/>
          <w:bCs/>
          <w:color w:val="auto"/>
        </w:rPr>
        <w:t>场所应具备开展风险感知、监测报警、研判预警和联动处置等工作条件。</w:t>
      </w:r>
    </w:p>
    <w:p w14:paraId="51821B4C">
      <w:pPr>
        <w:pStyle w:val="98"/>
        <w:spacing w:beforeLines="0" w:afterLines="0"/>
        <w:rPr>
          <w:rFonts w:ascii="宋体" w:hAnsi="宋体"/>
          <w:bCs/>
          <w:color w:val="auto"/>
        </w:rPr>
      </w:pPr>
      <w:r>
        <w:rPr>
          <w:rFonts w:hint="eastAsia" w:ascii="宋体" w:hAnsi="宋体"/>
          <w:bCs/>
          <w:color w:val="auto"/>
        </w:rPr>
        <w:t>10.2.2监测中心包括综合展示区、值班区、数据分析区、会商研判区、应急决策区、运行保障区等功能区</w:t>
      </w:r>
      <w:r>
        <w:rPr>
          <w:rFonts w:hint="eastAsia" w:ascii="宋体" w:hAnsi="宋体"/>
          <w:bCs/>
          <w:color w:val="auto"/>
          <w:lang w:eastAsia="zh-CN"/>
        </w:rPr>
        <w:t>，</w:t>
      </w:r>
      <w:r>
        <w:rPr>
          <w:rFonts w:hint="eastAsia" w:ascii="宋体" w:hAnsi="宋体"/>
          <w:bCs/>
          <w:color w:val="auto"/>
        </w:rPr>
        <w:t>应</w:t>
      </w:r>
      <w:r>
        <w:rPr>
          <w:rFonts w:hint="eastAsia" w:ascii="宋体" w:hAnsi="宋体"/>
          <w:bCs/>
          <w:color w:val="auto"/>
          <w:lang w:eastAsia="zh-CN"/>
        </w:rPr>
        <w:t>符合以下要求</w:t>
      </w:r>
      <w:r>
        <w:rPr>
          <w:rFonts w:hint="eastAsia" w:ascii="宋体" w:hAnsi="宋体"/>
          <w:bCs/>
          <w:color w:val="auto"/>
        </w:rPr>
        <w:t>：</w:t>
      </w:r>
    </w:p>
    <w:p w14:paraId="187C7BF6">
      <w:pPr>
        <w:spacing w:beforeLines="0" w:afterLines="0"/>
        <w:ind w:firstLine="560"/>
        <w:rPr>
          <w:rFonts w:ascii="宋体" w:hAnsi="宋体"/>
          <w:bCs/>
        </w:rPr>
      </w:pPr>
      <w:r>
        <w:rPr>
          <w:rFonts w:hint="eastAsia" w:ascii="宋体" w:hAnsi="宋体"/>
          <w:bCs/>
          <w:lang w:val="en-US" w:eastAsia="zh-CN"/>
        </w:rPr>
        <w:t>a</w:t>
      </w:r>
      <w:r>
        <w:rPr>
          <w:rFonts w:hint="eastAsia" w:ascii="宋体" w:hAnsi="宋体"/>
          <w:bCs/>
        </w:rPr>
        <w:t>）综合展示区主要承担监测中心数据展示和跟踪处置等功能；</w:t>
      </w:r>
    </w:p>
    <w:p w14:paraId="1010B8BC">
      <w:pPr>
        <w:spacing w:beforeLines="0" w:afterLines="0"/>
        <w:ind w:firstLine="560"/>
        <w:rPr>
          <w:rFonts w:ascii="宋体" w:hAnsi="宋体"/>
          <w:bCs/>
        </w:rPr>
      </w:pPr>
      <w:r>
        <w:rPr>
          <w:rFonts w:hint="eastAsia" w:ascii="宋体" w:hAnsi="宋体"/>
          <w:bCs/>
          <w:lang w:val="en-US" w:eastAsia="zh-CN"/>
        </w:rPr>
        <w:t>b</w:t>
      </w:r>
      <w:r>
        <w:rPr>
          <w:rFonts w:hint="eastAsia" w:ascii="宋体" w:hAnsi="宋体"/>
          <w:bCs/>
        </w:rPr>
        <w:t>）值班区承担监测中心的设备控制和各应用系统调用等功能；</w:t>
      </w:r>
    </w:p>
    <w:p w14:paraId="2AE1A7D4">
      <w:pPr>
        <w:spacing w:beforeLines="0" w:afterLines="0"/>
        <w:ind w:firstLine="560"/>
        <w:rPr>
          <w:rFonts w:ascii="宋体" w:hAnsi="宋体"/>
          <w:bCs/>
        </w:rPr>
      </w:pPr>
      <w:r>
        <w:rPr>
          <w:rFonts w:hint="eastAsia" w:ascii="宋体" w:hAnsi="宋体"/>
          <w:bCs/>
          <w:lang w:val="en-US" w:eastAsia="zh-CN"/>
        </w:rPr>
        <w:t>c</w:t>
      </w:r>
      <w:r>
        <w:rPr>
          <w:rFonts w:hint="eastAsia" w:ascii="宋体" w:hAnsi="宋体"/>
          <w:bCs/>
        </w:rPr>
        <w:t>）监测区承担运行监测和报警处置功能；</w:t>
      </w:r>
    </w:p>
    <w:p w14:paraId="5548A1EF">
      <w:pPr>
        <w:spacing w:beforeLines="0" w:afterLines="0"/>
        <w:ind w:firstLine="560"/>
        <w:rPr>
          <w:rFonts w:ascii="宋体" w:hAnsi="宋体"/>
          <w:bCs/>
        </w:rPr>
      </w:pPr>
      <w:r>
        <w:rPr>
          <w:rFonts w:hint="eastAsia" w:ascii="宋体" w:hAnsi="宋体"/>
          <w:bCs/>
          <w:lang w:val="en-US" w:eastAsia="zh-CN"/>
        </w:rPr>
        <w:t>d</w:t>
      </w:r>
      <w:r>
        <w:rPr>
          <w:rFonts w:hint="eastAsia" w:ascii="宋体" w:hAnsi="宋体"/>
          <w:bCs/>
        </w:rPr>
        <w:t>）会商研判区承担各类突发风险事件的专家研讨分析功能；</w:t>
      </w:r>
    </w:p>
    <w:p w14:paraId="2EBF0A00">
      <w:pPr>
        <w:spacing w:beforeLines="0" w:afterLines="0"/>
        <w:ind w:firstLine="560"/>
        <w:rPr>
          <w:rFonts w:ascii="宋体" w:hAnsi="宋体"/>
          <w:bCs/>
        </w:rPr>
      </w:pPr>
      <w:r>
        <w:rPr>
          <w:rFonts w:hint="eastAsia" w:ascii="宋体" w:hAnsi="宋体"/>
          <w:bCs/>
          <w:lang w:val="en-US" w:eastAsia="zh-CN"/>
        </w:rPr>
        <w:t>e</w:t>
      </w:r>
      <w:r>
        <w:rPr>
          <w:rFonts w:hint="eastAsia" w:ascii="宋体" w:hAnsi="宋体"/>
          <w:bCs/>
        </w:rPr>
        <w:t>）应急决策区承担主要领导对各类突发事件的决策、指挥等功能；</w:t>
      </w:r>
    </w:p>
    <w:p w14:paraId="11DE2C0C">
      <w:pPr>
        <w:spacing w:beforeLines="0" w:afterLines="0"/>
        <w:ind w:firstLine="560"/>
        <w:rPr>
          <w:rFonts w:ascii="宋体" w:hAnsi="宋体"/>
          <w:bCs/>
        </w:rPr>
      </w:pPr>
      <w:r>
        <w:rPr>
          <w:rFonts w:hint="eastAsia" w:ascii="宋体" w:hAnsi="宋体"/>
          <w:bCs/>
          <w:lang w:val="en-US" w:eastAsia="zh-CN"/>
        </w:rPr>
        <w:t>f</w:t>
      </w:r>
      <w:r>
        <w:rPr>
          <w:rFonts w:hint="eastAsia" w:ascii="宋体" w:hAnsi="宋体"/>
          <w:bCs/>
        </w:rPr>
        <w:t>）运行保障区包括机房、设备运行监控室和库房等场所，保障监测系统正常平稳运行。</w:t>
      </w:r>
    </w:p>
    <w:p w14:paraId="54A1011E">
      <w:pPr>
        <w:pStyle w:val="98"/>
        <w:spacing w:beforeLines="0" w:afterLines="0"/>
        <w:rPr>
          <w:rFonts w:ascii="宋体" w:hAnsi="宋体"/>
          <w:bCs/>
          <w:color w:val="auto"/>
        </w:rPr>
      </w:pPr>
      <w:r>
        <w:rPr>
          <w:rFonts w:hint="eastAsia" w:ascii="宋体" w:hAnsi="宋体"/>
          <w:bCs/>
          <w:color w:val="auto"/>
        </w:rPr>
        <w:t>10.2.3监测中心长期固定工作位置测量的噪声值应小于55dB。</w:t>
      </w:r>
    </w:p>
    <w:p w14:paraId="2FCCBD6D">
      <w:pPr>
        <w:pStyle w:val="98"/>
        <w:spacing w:beforeLines="0" w:afterLines="0"/>
        <w:rPr>
          <w:rFonts w:ascii="宋体" w:hAnsi="宋体"/>
          <w:bCs/>
          <w:color w:val="auto"/>
        </w:rPr>
      </w:pPr>
      <w:r>
        <w:rPr>
          <w:rFonts w:hint="eastAsia" w:ascii="宋体" w:hAnsi="宋体"/>
          <w:bCs/>
          <w:color w:val="auto"/>
        </w:rPr>
        <w:t>10.2.4监测中心不宜另设独立机房，</w:t>
      </w:r>
      <w:r>
        <w:rPr>
          <w:rFonts w:hint="eastAsia" w:ascii="宋体" w:hAnsi="宋体"/>
          <w:bCs/>
          <w:color w:val="auto"/>
          <w:lang w:eastAsia="zh-CN"/>
        </w:rPr>
        <w:t>监测系统</w:t>
      </w:r>
      <w:r>
        <w:rPr>
          <w:rFonts w:hint="eastAsia" w:ascii="宋体" w:hAnsi="宋体"/>
          <w:bCs/>
          <w:color w:val="auto"/>
        </w:rPr>
        <w:t>数据处理及存储宜与当地政务服务云合并设置。</w:t>
      </w:r>
    </w:p>
    <w:p w14:paraId="55D180F9">
      <w:pPr>
        <w:pStyle w:val="98"/>
        <w:spacing w:beforeLines="0" w:afterLines="0"/>
        <w:rPr>
          <w:rFonts w:ascii="宋体" w:hAnsi="宋体"/>
          <w:bCs/>
          <w:color w:val="auto"/>
        </w:rPr>
      </w:pPr>
      <w:r>
        <w:rPr>
          <w:rFonts w:hint="eastAsia" w:ascii="宋体" w:hAnsi="宋体"/>
          <w:bCs/>
          <w:color w:val="auto"/>
        </w:rPr>
        <w:t>10.2.5监测中心配套设施应</w:t>
      </w:r>
      <w:r>
        <w:rPr>
          <w:rFonts w:hint="eastAsia" w:ascii="宋体" w:hAnsi="宋体"/>
          <w:bCs/>
          <w:color w:val="auto"/>
          <w:lang w:val="en-US" w:eastAsia="zh-CN"/>
        </w:rPr>
        <w:t>功能完善，宜</w:t>
      </w:r>
      <w:r>
        <w:rPr>
          <w:rFonts w:hint="eastAsia" w:ascii="宋体" w:hAnsi="宋体"/>
          <w:bCs/>
          <w:color w:val="auto"/>
        </w:rPr>
        <w:t>包括通信设施、显示设施、音视频设施、计算机及网络设施、供电设施、安全防护设施等。</w:t>
      </w:r>
    </w:p>
    <w:p w14:paraId="16072799">
      <w:pPr>
        <w:pStyle w:val="108"/>
        <w:numPr>
          <w:ilvl w:val="1"/>
          <w:numId w:val="1"/>
        </w:numPr>
        <w:spacing w:beforeLines="50" w:afterLines="50"/>
      </w:pPr>
      <w:bookmarkStart w:id="137" w:name="_Toc4272"/>
      <w:r>
        <w:rPr>
          <w:rFonts w:hint="eastAsia"/>
        </w:rPr>
        <w:t>人员配备要求</w:t>
      </w:r>
      <w:bookmarkEnd w:id="137"/>
    </w:p>
    <w:p w14:paraId="3361F9C9">
      <w:pPr>
        <w:pStyle w:val="98"/>
        <w:spacing w:beforeLines="0" w:afterLines="0"/>
        <w:rPr>
          <w:rFonts w:ascii="宋体" w:hAnsi="宋体"/>
          <w:bCs/>
          <w:color w:val="auto"/>
        </w:rPr>
      </w:pPr>
      <w:r>
        <w:rPr>
          <w:rFonts w:hint="eastAsia" w:ascii="宋体" w:hAnsi="宋体"/>
          <w:bCs/>
          <w:color w:val="auto"/>
        </w:rPr>
        <w:t>10.3.1</w:t>
      </w:r>
      <w:r>
        <w:rPr>
          <w:rFonts w:hint="eastAsia" w:ascii="宋体" w:hAnsi="宋体"/>
          <w:bCs/>
          <w:color w:val="auto"/>
          <w:lang w:val="en-US" w:eastAsia="zh-CN"/>
        </w:rPr>
        <w:t>各级监测中心</w:t>
      </w:r>
      <w:r>
        <w:rPr>
          <w:rFonts w:hint="eastAsia" w:ascii="宋体" w:hAnsi="宋体"/>
          <w:bCs/>
          <w:color w:val="auto"/>
        </w:rPr>
        <w:t>应根据</w:t>
      </w:r>
      <w:r>
        <w:rPr>
          <w:rFonts w:hint="eastAsia" w:ascii="宋体" w:hAnsi="宋体"/>
          <w:bCs/>
          <w:color w:val="auto"/>
          <w:lang w:eastAsia="zh-CN"/>
        </w:rPr>
        <w:t>城市生命线安全工程</w:t>
      </w:r>
      <w:r>
        <w:rPr>
          <w:rFonts w:hint="eastAsia" w:ascii="宋体" w:hAnsi="宋体"/>
          <w:bCs/>
          <w:color w:val="auto"/>
        </w:rPr>
        <w:t>监测规模、监测内容等配备</w:t>
      </w:r>
      <w:r>
        <w:rPr>
          <w:rFonts w:hint="eastAsia" w:ascii="宋体" w:hAnsi="宋体"/>
          <w:bCs/>
          <w:color w:val="auto"/>
          <w:lang w:val="en-US" w:eastAsia="zh-CN"/>
        </w:rPr>
        <w:t>专职</w:t>
      </w:r>
      <w:r>
        <w:rPr>
          <w:rFonts w:hint="eastAsia" w:ascii="宋体" w:hAnsi="宋体"/>
          <w:bCs/>
          <w:color w:val="auto"/>
        </w:rPr>
        <w:t>运维人员，</w:t>
      </w:r>
      <w:r>
        <w:rPr>
          <w:rFonts w:hint="eastAsia" w:ascii="宋体" w:hAnsi="宋体"/>
          <w:bCs/>
          <w:color w:val="auto"/>
          <w:lang w:val="en-US" w:eastAsia="zh-CN"/>
        </w:rPr>
        <w:t>可分为监测值守、数据分析与风险研判、系统维护与设备维保等不同工作职责，运维人员</w:t>
      </w:r>
      <w:r>
        <w:rPr>
          <w:rFonts w:hint="eastAsia" w:ascii="宋体" w:hAnsi="宋体"/>
          <w:bCs/>
          <w:color w:val="auto"/>
        </w:rPr>
        <w:t>数量满足</w:t>
      </w:r>
      <w:r>
        <w:rPr>
          <w:rFonts w:hint="eastAsia" w:ascii="宋体" w:hAnsi="宋体"/>
          <w:bCs/>
          <w:color w:val="auto"/>
          <w:lang w:val="en-US" w:eastAsia="zh-CN"/>
        </w:rPr>
        <w:t>工作需求</w:t>
      </w:r>
      <w:r>
        <w:rPr>
          <w:rFonts w:hint="eastAsia" w:ascii="宋体" w:hAnsi="宋体"/>
          <w:bCs/>
          <w:color w:val="auto"/>
        </w:rPr>
        <w:t>。</w:t>
      </w:r>
    </w:p>
    <w:p w14:paraId="64C15307">
      <w:pPr>
        <w:pStyle w:val="98"/>
        <w:spacing w:beforeLines="0" w:afterLines="0"/>
        <w:rPr>
          <w:rFonts w:ascii="宋体" w:hAnsi="宋体"/>
          <w:bCs/>
          <w:color w:val="auto"/>
        </w:rPr>
      </w:pPr>
      <w:r>
        <w:rPr>
          <w:rFonts w:hint="eastAsia" w:ascii="宋体" w:hAnsi="宋体"/>
          <w:bCs/>
          <w:color w:val="auto"/>
        </w:rPr>
        <w:t>10.3.2运维人员应具备城市生命线监测相关知识和数据分析设备及平台运维专业技术，熟悉工作流程，满足风险识别、分析和研判要求。</w:t>
      </w:r>
    </w:p>
    <w:p w14:paraId="6844C0BB">
      <w:pPr>
        <w:pStyle w:val="98"/>
        <w:spacing w:beforeLines="0" w:afterLines="0"/>
        <w:rPr>
          <w:rFonts w:ascii="宋体" w:hAnsi="宋体"/>
          <w:bCs/>
          <w:color w:val="auto"/>
        </w:rPr>
      </w:pPr>
      <w:r>
        <w:rPr>
          <w:rFonts w:hint="eastAsia" w:ascii="宋体" w:hAnsi="宋体"/>
          <w:bCs/>
          <w:color w:val="auto"/>
        </w:rPr>
        <w:t>10.3.3市级监测中心需配备</w:t>
      </w:r>
      <w:r>
        <w:rPr>
          <w:rFonts w:hint="eastAsia" w:ascii="宋体" w:hAnsi="宋体"/>
          <w:bCs/>
          <w:color w:val="auto"/>
          <w:lang w:eastAsia="zh-CN"/>
        </w:rPr>
        <w:t>7d×24h</w:t>
      </w:r>
      <w:r>
        <w:rPr>
          <w:rFonts w:hint="eastAsia" w:ascii="宋体" w:hAnsi="宋体"/>
          <w:bCs/>
          <w:color w:val="auto"/>
        </w:rPr>
        <w:t>监测值守人员值班</w:t>
      </w:r>
      <w:r>
        <w:rPr>
          <w:rFonts w:hint="eastAsia" w:ascii="宋体" w:hAnsi="宋体"/>
          <w:bCs/>
          <w:color w:val="auto"/>
          <w:lang w:eastAsia="zh-CN"/>
        </w:rPr>
        <w:t>，</w:t>
      </w:r>
      <w:r>
        <w:rPr>
          <w:rFonts w:hint="eastAsia" w:ascii="宋体" w:hAnsi="宋体"/>
          <w:bCs/>
          <w:color w:val="auto"/>
        </w:rPr>
        <w:t>省级监测中心需配备</w:t>
      </w:r>
      <w:r>
        <w:rPr>
          <w:rFonts w:hint="eastAsia" w:ascii="宋体" w:hAnsi="宋体"/>
          <w:bCs/>
          <w:color w:val="auto"/>
          <w:lang w:eastAsia="zh-CN"/>
        </w:rPr>
        <w:t>5d×8h</w:t>
      </w:r>
      <w:r>
        <w:rPr>
          <w:rFonts w:hint="eastAsia" w:ascii="宋体" w:hAnsi="宋体"/>
          <w:bCs/>
          <w:color w:val="auto"/>
        </w:rPr>
        <w:t>监测值守人员值班，应急模式执行</w:t>
      </w:r>
      <w:r>
        <w:rPr>
          <w:rFonts w:hint="eastAsia" w:ascii="宋体" w:hAnsi="宋体"/>
          <w:bCs/>
          <w:color w:val="auto"/>
          <w:lang w:eastAsia="zh-CN"/>
        </w:rPr>
        <w:t>7d×24h</w:t>
      </w:r>
      <w:r>
        <w:rPr>
          <w:rFonts w:hint="eastAsia" w:ascii="宋体" w:hAnsi="宋体"/>
          <w:bCs/>
          <w:color w:val="auto"/>
        </w:rPr>
        <w:t>应急响应</w:t>
      </w:r>
      <w:r>
        <w:rPr>
          <w:rFonts w:hint="eastAsia" w:ascii="宋体" w:hAnsi="宋体"/>
          <w:bCs/>
          <w:color w:val="auto"/>
          <w:lang w:eastAsia="zh-CN"/>
        </w:rPr>
        <w:t>。</w:t>
      </w:r>
      <w:r>
        <w:rPr>
          <w:rFonts w:hint="eastAsia" w:ascii="宋体" w:hAnsi="宋体"/>
          <w:bCs/>
          <w:color w:val="auto"/>
        </w:rPr>
        <w:t>值班监测值守人员负责带班值班、接报发报、数据统计、警情跟踪、处置工单派发等工作。</w:t>
      </w:r>
    </w:p>
    <w:p w14:paraId="4317CC1F">
      <w:pPr>
        <w:pStyle w:val="98"/>
        <w:spacing w:beforeLines="0" w:afterLines="0"/>
        <w:rPr>
          <w:rFonts w:ascii="宋体" w:hAnsi="宋体"/>
          <w:bCs/>
          <w:color w:val="auto"/>
        </w:rPr>
      </w:pPr>
      <w:r>
        <w:rPr>
          <w:rFonts w:hint="eastAsia" w:ascii="宋体" w:hAnsi="宋体"/>
          <w:bCs/>
          <w:color w:val="auto"/>
        </w:rPr>
        <w:t>10.3.4数据分析人员负责系统报警信息分析研判，及时排除误报，根据可能导致安全事件类型、风险态势发展程度、事故影响程度等因素进行风险预警分级，对现场处置提供辅助决策等技术支持。负责综合运行态势评估分析，定期向政府部门、权属责任单位提供分析月报、季报、年报。</w:t>
      </w:r>
    </w:p>
    <w:p w14:paraId="665FD5F6">
      <w:pPr>
        <w:pStyle w:val="98"/>
        <w:spacing w:beforeLines="0" w:afterLines="0"/>
        <w:rPr>
          <w:rFonts w:ascii="宋体" w:hAnsi="宋体"/>
          <w:bCs/>
          <w:color w:val="auto"/>
        </w:rPr>
      </w:pPr>
      <w:r>
        <w:rPr>
          <w:rFonts w:hint="eastAsia" w:ascii="宋体" w:hAnsi="宋体"/>
          <w:bCs/>
          <w:color w:val="auto"/>
        </w:rPr>
        <w:t>10.3.5系统</w:t>
      </w:r>
      <w:r>
        <w:rPr>
          <w:rFonts w:hint="eastAsia" w:ascii="宋体" w:hAnsi="宋体"/>
          <w:bCs/>
          <w:color w:val="auto"/>
          <w:lang w:val="en-US" w:eastAsia="zh-CN"/>
        </w:rPr>
        <w:t>维护、设备维保</w:t>
      </w:r>
      <w:r>
        <w:rPr>
          <w:rFonts w:hint="eastAsia" w:ascii="宋体" w:hAnsi="宋体"/>
          <w:bCs/>
          <w:color w:val="auto"/>
        </w:rPr>
        <w:t>人员负责</w:t>
      </w:r>
      <w:r>
        <w:rPr>
          <w:rFonts w:hint="eastAsia" w:ascii="宋体" w:hAnsi="宋体"/>
          <w:bCs/>
          <w:color w:val="auto"/>
          <w:lang w:val="en-US" w:eastAsia="zh-CN"/>
        </w:rPr>
        <w:t>监测</w:t>
      </w:r>
      <w:r>
        <w:rPr>
          <w:rFonts w:hint="eastAsia" w:ascii="宋体" w:hAnsi="宋体"/>
          <w:bCs/>
          <w:color w:val="auto"/>
        </w:rPr>
        <w:t>系统网络管理、系统安全管理、系统应用管理、存储备份管理、技术支持</w:t>
      </w:r>
      <w:r>
        <w:rPr>
          <w:rFonts w:hint="eastAsia" w:ascii="宋体" w:hAnsi="宋体"/>
          <w:bCs/>
          <w:color w:val="auto"/>
          <w:lang w:eastAsia="zh-CN"/>
        </w:rPr>
        <w:t>，</w:t>
      </w:r>
      <w:r>
        <w:rPr>
          <w:rFonts w:hint="eastAsia" w:ascii="宋体" w:hAnsi="宋体"/>
          <w:bCs/>
          <w:color w:val="auto"/>
          <w:lang w:val="en-US" w:eastAsia="zh-CN"/>
        </w:rPr>
        <w:t>以及</w:t>
      </w:r>
      <w:r>
        <w:rPr>
          <w:rFonts w:hint="eastAsia" w:ascii="宋体" w:hAnsi="宋体"/>
          <w:bCs/>
          <w:color w:val="auto"/>
          <w:lang w:eastAsia="zh-CN"/>
        </w:rPr>
        <w:t>监测设备</w:t>
      </w:r>
      <w:r>
        <w:rPr>
          <w:rFonts w:hint="eastAsia" w:ascii="宋体" w:hAnsi="宋体"/>
          <w:bCs/>
          <w:color w:val="auto"/>
        </w:rPr>
        <w:t>的维护维修和更换、日常巡检养护、数据更新维护管理等工作。</w:t>
      </w:r>
    </w:p>
    <w:p w14:paraId="0EFD25F6">
      <w:pPr>
        <w:pStyle w:val="111"/>
        <w:pageBreakBefore w:val="0"/>
        <w:numPr>
          <w:ilvl w:val="0"/>
          <w:numId w:val="1"/>
        </w:numPr>
        <w:spacing w:beforeLines="100" w:afterLines="100"/>
        <w:ind w:left="0" w:firstLine="0"/>
        <w:rPr>
          <w:sz w:val="21"/>
          <w:szCs w:val="21"/>
        </w:rPr>
      </w:pPr>
      <w:bookmarkStart w:id="138" w:name="_Toc24990"/>
      <w:r>
        <w:rPr>
          <w:rFonts w:hint="eastAsia"/>
          <w:sz w:val="21"/>
          <w:szCs w:val="21"/>
        </w:rPr>
        <w:t>运行、维护</w:t>
      </w:r>
      <w:bookmarkEnd w:id="138"/>
    </w:p>
    <w:p w14:paraId="2CAFA9BA">
      <w:pPr>
        <w:pStyle w:val="108"/>
        <w:numPr>
          <w:ilvl w:val="1"/>
          <w:numId w:val="1"/>
        </w:numPr>
        <w:spacing w:beforeLines="50" w:afterLines="50"/>
      </w:pPr>
      <w:bookmarkStart w:id="139" w:name="_Toc14369"/>
      <w:r>
        <w:rPr>
          <w:rFonts w:hint="eastAsia"/>
          <w:lang w:eastAsia="zh-CN"/>
        </w:rPr>
        <w:t>一般要求</w:t>
      </w:r>
      <w:bookmarkEnd w:id="139"/>
    </w:p>
    <w:p w14:paraId="79ECFE38">
      <w:pPr>
        <w:pStyle w:val="98"/>
        <w:keepNext w:val="0"/>
        <w:keepLines w:val="0"/>
        <w:pageBreakBefore w:val="0"/>
        <w:widowControl w:val="0"/>
        <w:kinsoku/>
        <w:wordWrap/>
        <w:overflowPunct/>
        <w:topLinePunct w:val="0"/>
        <w:autoSpaceDE/>
        <w:autoSpaceDN/>
        <w:bidi w:val="0"/>
        <w:adjustRightInd/>
        <w:snapToGrid/>
        <w:spacing w:beforeLines="0" w:afterLines="0"/>
        <w:textAlignment w:val="auto"/>
        <w:rPr>
          <w:rFonts w:hint="eastAsia" w:ascii="宋体" w:hAnsi="宋体"/>
          <w:bCs/>
          <w:color w:val="auto"/>
        </w:rPr>
      </w:pPr>
      <w:r>
        <w:rPr>
          <w:rFonts w:hint="eastAsia" w:ascii="宋体" w:hAnsi="宋体"/>
          <w:bCs/>
          <w:color w:val="auto"/>
          <w:lang w:val="en-US" w:eastAsia="zh-CN"/>
        </w:rPr>
        <w:t>11.1.1</w:t>
      </w:r>
      <w:r>
        <w:rPr>
          <w:rFonts w:hint="eastAsia" w:ascii="宋体" w:hAnsi="宋体"/>
          <w:bCs/>
          <w:color w:val="auto"/>
          <w:lang w:eastAsia="zh-CN"/>
        </w:rPr>
        <w:t>监测系统</w:t>
      </w:r>
      <w:r>
        <w:rPr>
          <w:rFonts w:hint="eastAsia" w:ascii="宋体" w:hAnsi="宋体"/>
          <w:bCs/>
          <w:color w:val="auto"/>
        </w:rPr>
        <w:t>运行</w:t>
      </w:r>
      <w:r>
        <w:rPr>
          <w:rFonts w:hint="eastAsia" w:ascii="宋体" w:hAnsi="宋体"/>
          <w:bCs/>
          <w:color w:val="auto"/>
          <w:lang w:val="en-US" w:eastAsia="zh-CN"/>
        </w:rPr>
        <w:t>维护</w:t>
      </w:r>
      <w:r>
        <w:rPr>
          <w:rFonts w:hint="eastAsia" w:ascii="宋体" w:hAnsi="宋体"/>
          <w:bCs/>
          <w:color w:val="auto"/>
        </w:rPr>
        <w:t>管理应以监测数据为基础、报警预警</w:t>
      </w:r>
      <w:r>
        <w:rPr>
          <w:rFonts w:hint="eastAsia" w:ascii="宋体" w:hAnsi="宋体"/>
          <w:bCs/>
          <w:color w:val="auto"/>
          <w:lang w:val="en-US" w:eastAsia="zh-CN"/>
        </w:rPr>
        <w:t>处置</w:t>
      </w:r>
      <w:r>
        <w:rPr>
          <w:rFonts w:hint="eastAsia" w:ascii="宋体" w:hAnsi="宋体"/>
          <w:bCs/>
          <w:color w:val="auto"/>
        </w:rPr>
        <w:t>为核心、</w:t>
      </w:r>
      <w:r>
        <w:rPr>
          <w:rFonts w:hint="eastAsia" w:ascii="宋体" w:hAnsi="宋体"/>
          <w:bCs/>
          <w:color w:val="auto"/>
          <w:lang w:eastAsia="zh-CN"/>
        </w:rPr>
        <w:t>设备维保</w:t>
      </w:r>
      <w:r>
        <w:rPr>
          <w:rFonts w:hint="eastAsia" w:ascii="宋体" w:hAnsi="宋体"/>
          <w:bCs/>
          <w:color w:val="auto"/>
        </w:rPr>
        <w:t>为保障，统筹</w:t>
      </w:r>
      <w:r>
        <w:rPr>
          <w:rFonts w:hint="eastAsia" w:ascii="宋体" w:hAnsi="宋体"/>
          <w:bCs/>
          <w:color w:val="auto"/>
          <w:lang w:val="en-US" w:eastAsia="zh-CN"/>
        </w:rPr>
        <w:t>开展</w:t>
      </w:r>
      <w:r>
        <w:rPr>
          <w:rFonts w:hint="eastAsia" w:ascii="宋体" w:hAnsi="宋体"/>
          <w:bCs/>
          <w:color w:val="auto"/>
        </w:rPr>
        <w:t>设备管理、巡检巡查、</w:t>
      </w:r>
      <w:r>
        <w:rPr>
          <w:rFonts w:hint="eastAsia" w:ascii="宋体" w:hAnsi="宋体"/>
          <w:bCs/>
          <w:color w:val="auto"/>
          <w:lang w:eastAsia="zh-CN"/>
        </w:rPr>
        <w:t>风险隐患管控</w:t>
      </w:r>
      <w:r>
        <w:rPr>
          <w:rFonts w:hint="eastAsia" w:ascii="宋体" w:hAnsi="宋体"/>
          <w:bCs/>
          <w:color w:val="auto"/>
        </w:rPr>
        <w:t>、报警管理、预警管理、数据管理、信息安全</w:t>
      </w:r>
      <w:r>
        <w:rPr>
          <w:rFonts w:hint="eastAsia" w:ascii="宋体" w:hAnsi="宋体"/>
          <w:bCs/>
          <w:color w:val="auto"/>
          <w:lang w:val="en-US" w:eastAsia="zh-CN"/>
        </w:rPr>
        <w:t>防护、</w:t>
      </w:r>
      <w:r>
        <w:rPr>
          <w:rFonts w:hint="eastAsia" w:ascii="宋体" w:hAnsi="宋体"/>
          <w:bCs/>
          <w:color w:val="auto"/>
        </w:rPr>
        <w:t>定期</w:t>
      </w:r>
      <w:r>
        <w:rPr>
          <w:rFonts w:hint="eastAsia" w:ascii="宋体" w:hAnsi="宋体"/>
          <w:bCs/>
          <w:color w:val="auto"/>
          <w:lang w:val="en-US" w:eastAsia="zh-CN"/>
        </w:rPr>
        <w:t>态势</w:t>
      </w:r>
      <w:r>
        <w:rPr>
          <w:rFonts w:hint="eastAsia" w:ascii="宋体" w:hAnsi="宋体"/>
          <w:bCs/>
          <w:color w:val="auto"/>
        </w:rPr>
        <w:t>报告等</w:t>
      </w:r>
      <w:r>
        <w:rPr>
          <w:rFonts w:hint="eastAsia" w:ascii="宋体" w:hAnsi="宋体"/>
          <w:bCs/>
          <w:color w:val="auto"/>
          <w:lang w:val="en-US" w:eastAsia="zh-CN"/>
        </w:rPr>
        <w:t>全链条常态化运维</w:t>
      </w:r>
      <w:r>
        <w:rPr>
          <w:rFonts w:hint="eastAsia" w:ascii="宋体" w:hAnsi="宋体"/>
          <w:bCs/>
          <w:color w:val="auto"/>
        </w:rPr>
        <w:t>工作。</w:t>
      </w:r>
    </w:p>
    <w:p w14:paraId="39B5B262">
      <w:pPr>
        <w:pStyle w:val="98"/>
        <w:spacing w:beforeLines="0" w:afterLines="0"/>
        <w:rPr>
          <w:rFonts w:hint="eastAsia" w:ascii="宋体" w:hAnsi="宋体"/>
          <w:bCs/>
          <w:color w:val="auto"/>
        </w:rPr>
      </w:pPr>
      <w:r>
        <w:rPr>
          <w:rFonts w:hint="eastAsia" w:ascii="宋体" w:hAnsi="宋体"/>
          <w:bCs/>
          <w:color w:val="auto"/>
          <w:lang w:val="en-US" w:eastAsia="zh-CN"/>
        </w:rPr>
        <w:t>11.1.2</w:t>
      </w:r>
      <w:r>
        <w:rPr>
          <w:rFonts w:ascii="宋体" w:hAnsi="宋体"/>
          <w:bCs/>
          <w:color w:val="auto"/>
          <w:lang w:val="en-US" w:eastAsia="zh-CN"/>
        </w:rPr>
        <w:t xml:space="preserve"> 监测系统运行维护对象涵盖业务应用系统、软硬件支撑平台、机房</w:t>
      </w:r>
      <w:r>
        <w:rPr>
          <w:rFonts w:hint="eastAsia" w:ascii="宋体" w:hAnsi="宋体"/>
          <w:bCs/>
          <w:color w:val="auto"/>
          <w:lang w:val="en-US" w:eastAsia="zh-CN"/>
        </w:rPr>
        <w:t>与</w:t>
      </w:r>
      <w:r>
        <w:rPr>
          <w:rFonts w:ascii="宋体" w:hAnsi="宋体"/>
          <w:bCs/>
          <w:color w:val="auto"/>
          <w:lang w:val="en-US" w:eastAsia="zh-CN"/>
        </w:rPr>
        <w:t>网络设施、</w:t>
      </w:r>
      <w:r>
        <w:rPr>
          <w:rFonts w:hint="eastAsia" w:ascii="宋体" w:hAnsi="宋体"/>
          <w:bCs/>
          <w:color w:val="auto"/>
          <w:lang w:val="en-US" w:eastAsia="zh-CN"/>
        </w:rPr>
        <w:t>前端监测设备、</w:t>
      </w:r>
      <w:r>
        <w:rPr>
          <w:rFonts w:ascii="宋体" w:hAnsi="宋体"/>
          <w:bCs/>
          <w:color w:val="auto"/>
          <w:lang w:val="en-US" w:eastAsia="zh-CN"/>
        </w:rPr>
        <w:t>附属</w:t>
      </w:r>
      <w:r>
        <w:rPr>
          <w:rFonts w:hint="eastAsia" w:ascii="宋体" w:hAnsi="宋体"/>
          <w:bCs/>
          <w:color w:val="auto"/>
          <w:lang w:val="en-US" w:eastAsia="zh-CN"/>
        </w:rPr>
        <w:t>配套</w:t>
      </w:r>
      <w:r>
        <w:rPr>
          <w:rFonts w:ascii="宋体" w:hAnsi="宋体"/>
          <w:bCs/>
          <w:color w:val="auto"/>
          <w:lang w:val="en-US" w:eastAsia="zh-CN"/>
        </w:rPr>
        <w:t>设施、工程数据</w:t>
      </w:r>
      <w:r>
        <w:rPr>
          <w:rFonts w:hint="eastAsia" w:ascii="宋体" w:hAnsi="宋体"/>
          <w:bCs/>
          <w:color w:val="auto"/>
          <w:lang w:val="en-US" w:eastAsia="zh-CN"/>
        </w:rPr>
        <w:t>库</w:t>
      </w:r>
      <w:r>
        <w:rPr>
          <w:rFonts w:ascii="宋体" w:hAnsi="宋体"/>
          <w:bCs/>
          <w:color w:val="auto"/>
          <w:lang w:val="en-US" w:eastAsia="zh-CN"/>
        </w:rPr>
        <w:t>等。系统运行维护工作应符合GB/T 28827.1 的相关</w:t>
      </w:r>
      <w:r>
        <w:rPr>
          <w:rFonts w:hint="eastAsia" w:ascii="宋体" w:hAnsi="宋体"/>
          <w:bCs/>
          <w:color w:val="auto"/>
          <w:lang w:val="en-US" w:eastAsia="zh-CN"/>
        </w:rPr>
        <w:t>要求</w:t>
      </w:r>
      <w:r>
        <w:rPr>
          <w:rFonts w:ascii="宋体" w:hAnsi="宋体"/>
          <w:bCs/>
          <w:color w:val="auto"/>
          <w:lang w:val="en-US" w:eastAsia="zh-CN"/>
        </w:rPr>
        <w:t>。</w:t>
      </w:r>
    </w:p>
    <w:p w14:paraId="386226FA">
      <w:pPr>
        <w:pStyle w:val="108"/>
        <w:numPr>
          <w:ilvl w:val="1"/>
          <w:numId w:val="1"/>
        </w:numPr>
        <w:spacing w:beforeLines="50" w:afterLines="50"/>
      </w:pPr>
      <w:bookmarkStart w:id="140" w:name="_Toc24291"/>
      <w:r>
        <w:rPr>
          <w:rFonts w:hint="eastAsia"/>
        </w:rPr>
        <w:t>设备管理</w:t>
      </w:r>
      <w:bookmarkEnd w:id="140"/>
    </w:p>
    <w:p w14:paraId="58BED2D7">
      <w:pPr>
        <w:pStyle w:val="98"/>
        <w:spacing w:beforeLines="0" w:afterLines="0"/>
        <w:rPr>
          <w:rFonts w:ascii="宋体" w:hAnsi="宋体"/>
          <w:bCs/>
          <w:color w:val="auto"/>
        </w:rPr>
      </w:pPr>
      <w:r>
        <w:rPr>
          <w:rFonts w:hint="eastAsia" w:ascii="宋体" w:hAnsi="宋体"/>
          <w:bCs/>
          <w:color w:val="auto"/>
        </w:rPr>
        <w:t xml:space="preserve">11.2.1 </w:t>
      </w:r>
      <w:r>
        <w:rPr>
          <w:rFonts w:ascii="宋体" w:hAnsi="宋体"/>
          <w:bCs/>
          <w:color w:val="auto"/>
        </w:rPr>
        <w:t>监测设备在线率应达到95%及以上</w:t>
      </w:r>
      <w:r>
        <w:rPr>
          <w:rFonts w:hint="eastAsia" w:ascii="宋体" w:hAnsi="宋体"/>
          <w:bCs/>
          <w:color w:val="auto"/>
        </w:rPr>
        <w:t>，</w:t>
      </w:r>
      <w:r>
        <w:rPr>
          <w:rFonts w:ascii="宋体" w:hAnsi="宋体"/>
          <w:bCs/>
          <w:color w:val="auto"/>
        </w:rPr>
        <w:t>因自然灾害等不可抗力因素造成的</w:t>
      </w:r>
      <w:r>
        <w:rPr>
          <w:rFonts w:hint="eastAsia" w:ascii="宋体" w:hAnsi="宋体"/>
          <w:bCs/>
          <w:color w:val="auto"/>
          <w:lang w:val="en-US" w:eastAsia="zh-CN"/>
        </w:rPr>
        <w:t>临时</w:t>
      </w:r>
      <w:r>
        <w:rPr>
          <w:rFonts w:ascii="宋体" w:hAnsi="宋体"/>
          <w:bCs/>
          <w:color w:val="auto"/>
        </w:rPr>
        <w:t>离线可不计入统计</w:t>
      </w:r>
      <w:r>
        <w:rPr>
          <w:rFonts w:hint="eastAsia" w:ascii="宋体" w:hAnsi="宋体"/>
          <w:bCs/>
          <w:color w:val="auto"/>
          <w:lang w:val="en-US" w:eastAsia="zh-CN"/>
        </w:rPr>
        <w:t>考核</w:t>
      </w:r>
      <w:r>
        <w:rPr>
          <w:rFonts w:hint="eastAsia" w:ascii="宋体" w:hAnsi="宋体"/>
          <w:bCs/>
          <w:color w:val="auto"/>
        </w:rPr>
        <w:t>。</w:t>
      </w:r>
    </w:p>
    <w:p w14:paraId="6B459F95">
      <w:pPr>
        <w:pStyle w:val="98"/>
        <w:spacing w:beforeLines="0" w:afterLines="0"/>
        <w:rPr>
          <w:rFonts w:ascii="宋体" w:hAnsi="宋体"/>
          <w:bCs/>
          <w:color w:val="auto"/>
        </w:rPr>
      </w:pPr>
      <w:r>
        <w:rPr>
          <w:rFonts w:hint="eastAsia" w:ascii="宋体" w:hAnsi="宋体"/>
          <w:bCs/>
          <w:color w:val="auto"/>
        </w:rPr>
        <w:t xml:space="preserve">11.2.2 </w:t>
      </w:r>
      <w:r>
        <w:rPr>
          <w:rFonts w:ascii="宋体" w:hAnsi="宋体"/>
          <w:bCs/>
          <w:color w:val="auto"/>
        </w:rPr>
        <w:t>监测设备应</w:t>
      </w:r>
      <w:r>
        <w:rPr>
          <w:rFonts w:hint="eastAsia" w:ascii="宋体" w:hAnsi="宋体"/>
          <w:bCs/>
          <w:color w:val="auto"/>
          <w:lang w:val="en-US" w:eastAsia="zh-CN"/>
        </w:rPr>
        <w:t>开展定期</w:t>
      </w:r>
      <w:r>
        <w:rPr>
          <w:rFonts w:ascii="宋体" w:hAnsi="宋体"/>
          <w:bCs/>
          <w:color w:val="auto"/>
        </w:rPr>
        <w:t>标定校准工作，</w:t>
      </w:r>
      <w:r>
        <w:rPr>
          <w:rFonts w:hint="eastAsia" w:ascii="宋体" w:hAnsi="宋体"/>
          <w:bCs/>
          <w:color w:val="auto"/>
          <w:lang w:val="en-US" w:eastAsia="zh-CN"/>
        </w:rPr>
        <w:t>年度</w:t>
      </w:r>
      <w:r>
        <w:rPr>
          <w:rFonts w:ascii="宋体" w:hAnsi="宋体"/>
          <w:bCs/>
          <w:color w:val="auto"/>
        </w:rPr>
        <w:t>标定校准设备数量不低于设备总</w:t>
      </w:r>
      <w:r>
        <w:rPr>
          <w:rFonts w:hint="eastAsia" w:ascii="宋体" w:hAnsi="宋体"/>
          <w:bCs/>
          <w:color w:val="auto"/>
          <w:lang w:val="en-US" w:eastAsia="zh-CN"/>
        </w:rPr>
        <w:t>存</w:t>
      </w:r>
      <w:r>
        <w:rPr>
          <w:rFonts w:ascii="宋体" w:hAnsi="宋体"/>
          <w:bCs/>
          <w:color w:val="auto"/>
        </w:rPr>
        <w:t>量的</w:t>
      </w:r>
      <w:r>
        <w:rPr>
          <w:rFonts w:hint="eastAsia" w:ascii="宋体" w:hAnsi="宋体"/>
          <w:bCs/>
          <w:color w:val="auto"/>
        </w:rPr>
        <w:t>3</w:t>
      </w:r>
      <w:r>
        <w:rPr>
          <w:rFonts w:ascii="宋体" w:hAnsi="宋体"/>
          <w:bCs/>
          <w:color w:val="auto"/>
        </w:rPr>
        <w:t>%。</w:t>
      </w:r>
    </w:p>
    <w:p w14:paraId="6A5C7634">
      <w:pPr>
        <w:pStyle w:val="98"/>
        <w:spacing w:beforeLines="0" w:afterLines="0"/>
        <w:rPr>
          <w:rFonts w:ascii="宋体" w:hAnsi="宋体"/>
          <w:bCs/>
          <w:color w:val="auto"/>
        </w:rPr>
      </w:pPr>
      <w:r>
        <w:rPr>
          <w:rFonts w:hint="eastAsia" w:ascii="宋体" w:hAnsi="宋体"/>
          <w:bCs/>
          <w:color w:val="auto"/>
        </w:rPr>
        <w:t>11.2.3</w:t>
      </w:r>
      <w:r>
        <w:rPr>
          <w:rFonts w:hint="eastAsia" w:ascii="宋体" w:hAnsi="宋体"/>
          <w:bCs/>
          <w:color w:val="auto"/>
          <w:lang w:val="en-US" w:eastAsia="zh-CN"/>
        </w:rPr>
        <w:t xml:space="preserve"> </w:t>
      </w:r>
      <w:r>
        <w:rPr>
          <w:rFonts w:ascii="宋体" w:hAnsi="宋体" w:eastAsia="宋体" w:cs="宋体"/>
          <w:bCs/>
          <w:color w:val="auto"/>
          <w:kern w:val="2"/>
          <w:sz w:val="21"/>
          <w:lang w:val="en-US" w:eastAsia="zh-CN" w:bidi="ar-SA"/>
        </w:rPr>
        <w:t>设备标定校准应优先选取高风险区域、事故频发</w:t>
      </w:r>
      <w:r>
        <w:rPr>
          <w:rFonts w:hint="eastAsia" w:ascii="宋体" w:hAnsi="宋体" w:cs="宋体"/>
          <w:bCs/>
          <w:color w:val="auto"/>
          <w:kern w:val="2"/>
          <w:sz w:val="21"/>
          <w:lang w:val="en-US" w:eastAsia="zh-CN" w:bidi="ar-SA"/>
        </w:rPr>
        <w:t>区域</w:t>
      </w:r>
      <w:r>
        <w:rPr>
          <w:rFonts w:ascii="宋体" w:hAnsi="宋体" w:eastAsia="宋体" w:cs="宋体"/>
          <w:bCs/>
          <w:color w:val="auto"/>
          <w:kern w:val="2"/>
          <w:sz w:val="21"/>
          <w:lang w:val="en-US" w:eastAsia="zh-CN" w:bidi="ar-SA"/>
        </w:rPr>
        <w:t>、人员密集区域、重点防护目标周边的监测设备</w:t>
      </w:r>
      <w:r>
        <w:rPr>
          <w:rFonts w:ascii="宋体" w:hAnsi="宋体"/>
          <w:bCs/>
          <w:color w:val="auto"/>
        </w:rPr>
        <w:t>。</w:t>
      </w:r>
    </w:p>
    <w:p w14:paraId="7036727B">
      <w:pPr>
        <w:pStyle w:val="98"/>
        <w:spacing w:beforeLines="0" w:afterLines="0"/>
        <w:rPr>
          <w:rFonts w:ascii="宋体" w:hAnsi="宋体"/>
          <w:bCs/>
          <w:color w:val="auto"/>
        </w:rPr>
      </w:pPr>
      <w:r>
        <w:rPr>
          <w:rFonts w:hint="eastAsia" w:ascii="宋体" w:hAnsi="宋体"/>
          <w:bCs/>
          <w:color w:val="auto"/>
        </w:rPr>
        <w:t>11.2.4</w:t>
      </w:r>
      <w:r>
        <w:rPr>
          <w:rFonts w:ascii="宋体" w:hAnsi="宋体"/>
          <w:bCs/>
          <w:color w:val="auto"/>
        </w:rPr>
        <w:t>设备故障报警</w:t>
      </w:r>
      <w:r>
        <w:rPr>
          <w:rFonts w:hint="eastAsia" w:ascii="宋体" w:hAnsi="宋体"/>
          <w:bCs/>
          <w:color w:val="auto"/>
        </w:rPr>
        <w:t>后</w:t>
      </w:r>
      <w:r>
        <w:rPr>
          <w:rFonts w:ascii="宋体" w:hAnsi="宋体"/>
          <w:bCs/>
          <w:color w:val="auto"/>
        </w:rPr>
        <w:t>应派发</w:t>
      </w:r>
      <w:r>
        <w:rPr>
          <w:rFonts w:hint="eastAsia" w:ascii="宋体" w:hAnsi="宋体"/>
          <w:bCs/>
          <w:color w:val="auto"/>
          <w:lang w:val="en-US" w:eastAsia="zh-CN"/>
        </w:rPr>
        <w:t>维保</w:t>
      </w:r>
      <w:r>
        <w:rPr>
          <w:rFonts w:ascii="宋体" w:hAnsi="宋体"/>
          <w:bCs/>
          <w:color w:val="auto"/>
        </w:rPr>
        <w:t>工单，</w:t>
      </w:r>
      <w:r>
        <w:rPr>
          <w:rFonts w:hint="eastAsia" w:ascii="宋体" w:hAnsi="宋体"/>
          <w:bCs/>
          <w:color w:val="auto"/>
        </w:rPr>
        <w:t>记录</w:t>
      </w:r>
      <w:r>
        <w:rPr>
          <w:rFonts w:ascii="宋体" w:hAnsi="宋体"/>
          <w:bCs/>
          <w:color w:val="auto"/>
        </w:rPr>
        <w:t>设备类型、位置、故障原因、责任人及处理时限</w:t>
      </w:r>
      <w:r>
        <w:rPr>
          <w:rFonts w:hint="eastAsia" w:ascii="宋体" w:hAnsi="宋体"/>
          <w:bCs/>
          <w:color w:val="auto"/>
        </w:rPr>
        <w:t>等信息</w:t>
      </w:r>
      <w:r>
        <w:rPr>
          <w:rFonts w:ascii="宋体" w:hAnsi="宋体"/>
          <w:bCs/>
          <w:color w:val="auto"/>
        </w:rPr>
        <w:t>，建立设备</w:t>
      </w:r>
      <w:r>
        <w:rPr>
          <w:rFonts w:hint="eastAsia" w:ascii="宋体" w:hAnsi="宋体"/>
          <w:bCs/>
          <w:color w:val="auto"/>
          <w:lang w:val="en-US" w:eastAsia="zh-CN"/>
        </w:rPr>
        <w:t>维保</w:t>
      </w:r>
      <w:r>
        <w:rPr>
          <w:rFonts w:ascii="宋体" w:hAnsi="宋体"/>
          <w:bCs/>
          <w:color w:val="auto"/>
        </w:rPr>
        <w:t>台账</w:t>
      </w:r>
      <w:r>
        <w:rPr>
          <w:rFonts w:hint="eastAsia" w:ascii="宋体" w:hAnsi="宋体"/>
          <w:bCs/>
          <w:color w:val="auto"/>
        </w:rPr>
        <w:t>。</w:t>
      </w:r>
    </w:p>
    <w:p w14:paraId="5AC011E4">
      <w:pPr>
        <w:pStyle w:val="108"/>
        <w:numPr>
          <w:ilvl w:val="1"/>
          <w:numId w:val="1"/>
        </w:numPr>
        <w:spacing w:beforeLines="50" w:afterLines="50"/>
      </w:pPr>
      <w:bookmarkStart w:id="141" w:name="_Toc6440"/>
      <w:r>
        <w:rPr>
          <w:rFonts w:hint="eastAsia"/>
        </w:rPr>
        <w:t>巡检巡查</w:t>
      </w:r>
      <w:bookmarkEnd w:id="141"/>
    </w:p>
    <w:p w14:paraId="333B64BF">
      <w:pPr>
        <w:pStyle w:val="98"/>
        <w:spacing w:beforeLines="0" w:afterLines="0"/>
        <w:rPr>
          <w:rFonts w:ascii="宋体" w:hAnsi="宋体"/>
          <w:bCs/>
          <w:color w:val="auto"/>
        </w:rPr>
      </w:pPr>
      <w:r>
        <w:rPr>
          <w:rFonts w:hint="eastAsia" w:ascii="宋体" w:hAnsi="宋体"/>
          <w:bCs/>
          <w:color w:val="auto"/>
        </w:rPr>
        <w:t>11.3.</w:t>
      </w:r>
      <w:r>
        <w:rPr>
          <w:rFonts w:hint="eastAsia" w:ascii="宋体" w:hAnsi="宋体"/>
          <w:bCs/>
          <w:color w:val="auto"/>
          <w:lang w:val="en-US" w:eastAsia="zh-CN"/>
        </w:rPr>
        <w:t>1</w:t>
      </w:r>
      <w:r>
        <w:rPr>
          <w:rFonts w:hint="eastAsia" w:ascii="宋体" w:hAnsi="宋体"/>
          <w:bCs/>
          <w:color w:val="auto"/>
        </w:rPr>
        <w:t xml:space="preserve"> 日常巡检</w:t>
      </w:r>
      <w:r>
        <w:rPr>
          <w:rFonts w:hint="eastAsia" w:ascii="宋体" w:hAnsi="宋体"/>
          <w:bCs/>
          <w:color w:val="auto"/>
          <w:lang w:val="en-US" w:eastAsia="zh-CN"/>
        </w:rPr>
        <w:t>应</w:t>
      </w:r>
      <w:r>
        <w:rPr>
          <w:rFonts w:hint="eastAsia" w:ascii="宋体" w:hAnsi="宋体"/>
          <w:bCs/>
          <w:color w:val="auto"/>
        </w:rPr>
        <w:t>采用系统自检与人工</w:t>
      </w:r>
      <w:r>
        <w:rPr>
          <w:rFonts w:hint="eastAsia" w:ascii="宋体" w:hAnsi="宋体"/>
          <w:bCs/>
          <w:color w:val="auto"/>
          <w:lang w:val="en-US" w:eastAsia="zh-CN"/>
        </w:rPr>
        <w:t>现场</w:t>
      </w:r>
      <w:r>
        <w:rPr>
          <w:rFonts w:hint="eastAsia" w:ascii="宋体" w:hAnsi="宋体"/>
          <w:bCs/>
          <w:color w:val="auto"/>
        </w:rPr>
        <w:t>巡检相结合的方式。</w:t>
      </w:r>
    </w:p>
    <w:p w14:paraId="527BDF1D">
      <w:pPr>
        <w:pStyle w:val="98"/>
        <w:spacing w:beforeLines="0" w:afterLines="0"/>
        <w:rPr>
          <w:rFonts w:ascii="宋体" w:hAnsi="宋体"/>
          <w:bCs/>
          <w:color w:val="auto"/>
        </w:rPr>
      </w:pPr>
      <w:r>
        <w:rPr>
          <w:rFonts w:hint="eastAsia" w:ascii="宋体" w:hAnsi="宋体"/>
          <w:bCs/>
          <w:color w:val="auto"/>
        </w:rPr>
        <w:t>11.3.</w:t>
      </w:r>
      <w:r>
        <w:rPr>
          <w:rFonts w:hint="eastAsia" w:ascii="宋体" w:hAnsi="宋体"/>
          <w:bCs/>
          <w:color w:val="auto"/>
          <w:lang w:val="en-US" w:eastAsia="zh-CN"/>
        </w:rPr>
        <w:t>2</w:t>
      </w:r>
      <w:r>
        <w:rPr>
          <w:rFonts w:hint="eastAsia" w:ascii="宋体" w:hAnsi="宋体"/>
          <w:bCs/>
          <w:color w:val="auto"/>
        </w:rPr>
        <w:t xml:space="preserve"> </w:t>
      </w:r>
      <w:r>
        <w:rPr>
          <w:rFonts w:ascii="宋体" w:hAnsi="宋体"/>
          <w:bCs/>
          <w:color w:val="auto"/>
        </w:rPr>
        <w:t>气象部门发布灾害</w:t>
      </w:r>
      <w:r>
        <w:rPr>
          <w:rFonts w:hint="eastAsia" w:ascii="宋体" w:hAnsi="宋体"/>
          <w:bCs/>
          <w:color w:val="auto"/>
          <w:lang w:val="en-US" w:eastAsia="zh-CN"/>
        </w:rPr>
        <w:t>性天气</w:t>
      </w:r>
      <w:r>
        <w:rPr>
          <w:rFonts w:ascii="宋体" w:hAnsi="宋体"/>
          <w:bCs/>
          <w:color w:val="auto"/>
        </w:rPr>
        <w:t>预警、重大活动保障期间</w:t>
      </w:r>
      <w:r>
        <w:rPr>
          <w:rFonts w:hint="eastAsia" w:ascii="宋体" w:hAnsi="宋体"/>
          <w:bCs/>
          <w:color w:val="auto"/>
          <w:lang w:eastAsia="zh-CN"/>
        </w:rPr>
        <w:t>、</w:t>
      </w:r>
      <w:r>
        <w:rPr>
          <w:rFonts w:hint="eastAsia" w:ascii="宋体" w:hAnsi="宋体"/>
          <w:bCs/>
          <w:color w:val="auto"/>
          <w:lang w:val="en-US" w:eastAsia="zh-CN"/>
        </w:rPr>
        <w:t>辖区</w:t>
      </w:r>
      <w:r>
        <w:rPr>
          <w:rFonts w:ascii="宋体" w:hAnsi="宋体"/>
          <w:bCs/>
          <w:color w:val="auto"/>
        </w:rPr>
        <w:t>发生较大规模设施故障</w:t>
      </w:r>
      <w:r>
        <w:rPr>
          <w:rFonts w:hint="eastAsia" w:ascii="宋体" w:hAnsi="宋体"/>
          <w:bCs/>
          <w:color w:val="auto"/>
          <w:lang w:val="en-US" w:eastAsia="zh-CN"/>
        </w:rPr>
        <w:t>或安全事件</w:t>
      </w:r>
      <w:r>
        <w:rPr>
          <w:rFonts w:ascii="宋体" w:hAnsi="宋体"/>
          <w:bCs/>
          <w:color w:val="auto"/>
        </w:rPr>
        <w:t>后，应</w:t>
      </w:r>
      <w:r>
        <w:rPr>
          <w:rFonts w:hint="eastAsia" w:ascii="宋体" w:hAnsi="宋体"/>
          <w:bCs/>
          <w:color w:val="auto"/>
          <w:lang w:val="en-US" w:eastAsia="zh-CN"/>
        </w:rPr>
        <w:t>立即启动</w:t>
      </w:r>
      <w:r>
        <w:rPr>
          <w:rFonts w:ascii="宋体" w:hAnsi="宋体"/>
          <w:bCs/>
          <w:color w:val="auto"/>
        </w:rPr>
        <w:t>专项巡检巡查，对重点区域及设施加强巡检频次</w:t>
      </w:r>
      <w:r>
        <w:rPr>
          <w:rFonts w:hint="eastAsia" w:ascii="宋体" w:hAnsi="宋体"/>
          <w:bCs/>
          <w:color w:val="auto"/>
        </w:rPr>
        <w:t>。</w:t>
      </w:r>
    </w:p>
    <w:p w14:paraId="06B0F467">
      <w:pPr>
        <w:pStyle w:val="98"/>
        <w:spacing w:beforeLines="0" w:afterLines="0"/>
        <w:rPr>
          <w:rFonts w:hint="eastAsia" w:ascii="宋体" w:hAnsi="宋体"/>
          <w:bCs/>
          <w:color w:val="auto"/>
        </w:rPr>
      </w:pPr>
      <w:r>
        <w:rPr>
          <w:rFonts w:hint="eastAsia" w:ascii="宋体" w:hAnsi="宋体"/>
          <w:bCs/>
          <w:color w:val="auto"/>
        </w:rPr>
        <w:t>11.3.</w:t>
      </w:r>
      <w:r>
        <w:rPr>
          <w:rFonts w:hint="eastAsia" w:ascii="宋体" w:hAnsi="宋体"/>
          <w:bCs/>
          <w:color w:val="auto"/>
          <w:lang w:val="en-US" w:eastAsia="zh-CN"/>
        </w:rPr>
        <w:t>3</w:t>
      </w:r>
      <w:r>
        <w:rPr>
          <w:rFonts w:hint="eastAsia" w:ascii="宋体" w:hAnsi="宋体"/>
          <w:bCs/>
          <w:color w:val="auto"/>
        </w:rPr>
        <w:t xml:space="preserve"> 可采用无人机</w:t>
      </w:r>
      <w:r>
        <w:rPr>
          <w:rFonts w:hint="eastAsia" w:ascii="宋体" w:hAnsi="宋体"/>
          <w:bCs/>
          <w:color w:val="auto"/>
          <w:lang w:val="en-US" w:eastAsia="zh-CN"/>
        </w:rPr>
        <w:t>巡检</w:t>
      </w:r>
      <w:r>
        <w:rPr>
          <w:rFonts w:hint="eastAsia" w:ascii="宋体" w:hAnsi="宋体"/>
          <w:bCs/>
          <w:color w:val="auto"/>
        </w:rPr>
        <w:t>、视频AI</w:t>
      </w:r>
      <w:r>
        <w:rPr>
          <w:rFonts w:hint="eastAsia" w:ascii="宋体" w:hAnsi="宋体"/>
          <w:bCs/>
          <w:color w:val="auto"/>
          <w:lang w:val="en-US" w:eastAsia="zh-CN"/>
        </w:rPr>
        <w:t>智能分析、物联网态势感知等技术手段，开展智慧化在线巡检，提升巡检效率与隐患识别精准度</w:t>
      </w:r>
      <w:r>
        <w:rPr>
          <w:rFonts w:hint="eastAsia" w:ascii="宋体" w:hAnsi="宋体"/>
          <w:bCs/>
          <w:color w:val="auto"/>
        </w:rPr>
        <w:t>。</w:t>
      </w:r>
    </w:p>
    <w:p w14:paraId="582CF25C">
      <w:pPr>
        <w:pStyle w:val="108"/>
        <w:numPr>
          <w:ilvl w:val="1"/>
          <w:numId w:val="1"/>
        </w:numPr>
        <w:spacing w:beforeLines="50" w:afterLines="50"/>
      </w:pPr>
      <w:bookmarkStart w:id="142" w:name="_Toc5740"/>
      <w:r>
        <w:rPr>
          <w:rFonts w:hint="eastAsia"/>
          <w:lang w:eastAsia="zh-CN"/>
        </w:rPr>
        <w:t>风险隐患管控</w:t>
      </w:r>
      <w:bookmarkEnd w:id="142"/>
    </w:p>
    <w:p w14:paraId="4CF6796E">
      <w:pPr>
        <w:pStyle w:val="98"/>
        <w:spacing w:beforeLines="0" w:afterLines="0"/>
        <w:rPr>
          <w:rFonts w:ascii="宋体" w:hAnsi="宋体"/>
          <w:bCs/>
          <w:color w:val="auto"/>
        </w:rPr>
      </w:pPr>
      <w:r>
        <w:rPr>
          <w:rFonts w:hint="eastAsia" w:ascii="宋体" w:hAnsi="宋体"/>
          <w:bCs/>
          <w:color w:val="auto"/>
        </w:rPr>
        <w:t xml:space="preserve">11.4.1 </w:t>
      </w:r>
      <w:r>
        <w:rPr>
          <w:rFonts w:hint="eastAsia" w:ascii="宋体" w:hAnsi="宋体"/>
          <w:bCs/>
          <w:color w:val="auto"/>
          <w:lang w:eastAsia="zh-CN"/>
        </w:rPr>
        <w:t>监测系统</w:t>
      </w:r>
      <w:r>
        <w:rPr>
          <w:rFonts w:hint="eastAsia" w:ascii="宋体" w:hAnsi="宋体"/>
          <w:bCs/>
          <w:color w:val="auto"/>
        </w:rPr>
        <w:t>应</w:t>
      </w:r>
      <w:r>
        <w:rPr>
          <w:rFonts w:ascii="宋体" w:hAnsi="宋体"/>
          <w:bCs/>
          <w:color w:val="auto"/>
        </w:rPr>
        <w:t>每年</w:t>
      </w:r>
      <w:r>
        <w:rPr>
          <w:rFonts w:hint="eastAsia" w:ascii="宋体" w:hAnsi="宋体"/>
          <w:bCs/>
          <w:color w:val="auto"/>
        </w:rPr>
        <w:t>定期</w:t>
      </w:r>
      <w:r>
        <w:rPr>
          <w:rFonts w:ascii="宋体" w:hAnsi="宋体"/>
          <w:bCs/>
          <w:color w:val="auto"/>
        </w:rPr>
        <w:t>更新</w:t>
      </w:r>
      <w:r>
        <w:rPr>
          <w:rFonts w:hint="eastAsia" w:ascii="宋体" w:hAnsi="宋体"/>
          <w:bCs/>
          <w:color w:val="auto"/>
          <w:lang w:eastAsia="zh-CN"/>
        </w:rPr>
        <w:t>风险清单、风险</w:t>
      </w:r>
      <w:r>
        <w:rPr>
          <w:rFonts w:hint="eastAsia" w:ascii="宋体" w:hAnsi="宋体"/>
          <w:bCs/>
          <w:color w:val="auto"/>
          <w:lang w:val="en-US" w:eastAsia="zh-CN"/>
        </w:rPr>
        <w:t>分布</w:t>
      </w:r>
      <w:r>
        <w:rPr>
          <w:rFonts w:hint="eastAsia" w:ascii="宋体" w:hAnsi="宋体"/>
          <w:bCs/>
          <w:color w:val="auto"/>
          <w:lang w:eastAsia="zh-CN"/>
        </w:rPr>
        <w:t>四色图、三高区域分布图</w:t>
      </w:r>
      <w:r>
        <w:rPr>
          <w:rFonts w:ascii="宋体" w:hAnsi="宋体"/>
          <w:bCs/>
          <w:color w:val="auto"/>
        </w:rPr>
        <w:t>等相关成果</w:t>
      </w:r>
      <w:r>
        <w:rPr>
          <w:rFonts w:hint="eastAsia" w:ascii="宋体" w:hAnsi="宋体"/>
          <w:bCs/>
          <w:color w:val="auto"/>
        </w:rPr>
        <w:t>。</w:t>
      </w:r>
    </w:p>
    <w:p w14:paraId="4613E2BC">
      <w:pPr>
        <w:pStyle w:val="98"/>
        <w:spacing w:beforeLines="0" w:afterLines="0"/>
        <w:rPr>
          <w:rFonts w:ascii="宋体" w:hAnsi="宋体"/>
          <w:bCs/>
          <w:color w:val="auto"/>
        </w:rPr>
      </w:pPr>
      <w:r>
        <w:rPr>
          <w:rFonts w:hint="eastAsia" w:ascii="宋体" w:hAnsi="宋体"/>
          <w:bCs/>
          <w:color w:val="auto"/>
        </w:rPr>
        <w:t xml:space="preserve">11.4.2 </w:t>
      </w:r>
      <w:r>
        <w:rPr>
          <w:rFonts w:hint="eastAsia" w:ascii="宋体" w:hAnsi="宋体"/>
          <w:bCs/>
          <w:color w:val="auto"/>
          <w:lang w:eastAsia="zh-CN"/>
        </w:rPr>
        <w:t>监测系统</w:t>
      </w:r>
      <w:r>
        <w:rPr>
          <w:rFonts w:hint="eastAsia" w:ascii="宋体" w:hAnsi="宋体"/>
          <w:bCs/>
          <w:color w:val="auto"/>
        </w:rPr>
        <w:t>宜</w:t>
      </w:r>
      <w:r>
        <w:rPr>
          <w:rFonts w:ascii="宋体" w:hAnsi="宋体"/>
          <w:bCs/>
          <w:color w:val="auto"/>
        </w:rPr>
        <w:t>汇集企业上报、巡检巡查、公众举报等多种渠道的隐患信息</w:t>
      </w:r>
      <w:r>
        <w:rPr>
          <w:rFonts w:hint="eastAsia" w:ascii="宋体" w:hAnsi="宋体"/>
          <w:bCs/>
          <w:color w:val="auto"/>
        </w:rPr>
        <w:t>，</w:t>
      </w:r>
      <w:r>
        <w:rPr>
          <w:rFonts w:ascii="宋体" w:hAnsi="宋体"/>
          <w:bCs/>
          <w:color w:val="auto"/>
        </w:rPr>
        <w:t>建立隐患台账</w:t>
      </w:r>
      <w:r>
        <w:rPr>
          <w:rFonts w:hint="eastAsia" w:ascii="宋体" w:hAnsi="宋体"/>
          <w:bCs/>
          <w:color w:val="auto"/>
        </w:rPr>
        <w:t>。</w:t>
      </w:r>
    </w:p>
    <w:p w14:paraId="7DAB1D48">
      <w:pPr>
        <w:pStyle w:val="108"/>
        <w:numPr>
          <w:ilvl w:val="1"/>
          <w:numId w:val="1"/>
        </w:numPr>
        <w:spacing w:beforeLines="50" w:afterLines="50"/>
      </w:pPr>
      <w:bookmarkStart w:id="143" w:name="_Toc13147"/>
      <w:r>
        <w:rPr>
          <w:rFonts w:hint="eastAsia"/>
        </w:rPr>
        <w:t>报警管理</w:t>
      </w:r>
      <w:bookmarkEnd w:id="143"/>
    </w:p>
    <w:p w14:paraId="7F202CB0">
      <w:pPr>
        <w:pStyle w:val="98"/>
        <w:spacing w:beforeLines="0" w:afterLines="0"/>
        <w:rPr>
          <w:rFonts w:ascii="宋体" w:hAnsi="宋体"/>
          <w:bCs/>
          <w:color w:val="auto"/>
        </w:rPr>
      </w:pPr>
      <w:r>
        <w:rPr>
          <w:rFonts w:hint="eastAsia" w:ascii="宋体" w:hAnsi="宋体"/>
          <w:bCs/>
          <w:color w:val="auto"/>
        </w:rPr>
        <w:t xml:space="preserve">11.5.1 </w:t>
      </w:r>
      <w:r>
        <w:rPr>
          <w:rFonts w:ascii="宋体" w:hAnsi="宋体"/>
          <w:bCs/>
          <w:color w:val="auto"/>
        </w:rPr>
        <w:t>报警信息</w:t>
      </w:r>
      <w:r>
        <w:rPr>
          <w:rFonts w:hint="eastAsia" w:ascii="宋体" w:hAnsi="宋体"/>
          <w:bCs/>
          <w:color w:val="auto"/>
          <w:lang w:val="en-US" w:eastAsia="zh-CN"/>
        </w:rPr>
        <w:t>应依托</w:t>
      </w:r>
      <w:r>
        <w:rPr>
          <w:rFonts w:ascii="宋体" w:hAnsi="宋体"/>
          <w:bCs/>
          <w:color w:val="auto"/>
        </w:rPr>
        <w:t>多源数据</w:t>
      </w:r>
      <w:r>
        <w:rPr>
          <w:rFonts w:hint="eastAsia" w:ascii="宋体" w:hAnsi="宋体"/>
          <w:bCs/>
          <w:color w:val="auto"/>
          <w:lang w:val="en-US" w:eastAsia="zh-CN"/>
        </w:rPr>
        <w:t>综合研判生产</w:t>
      </w:r>
      <w:r>
        <w:rPr>
          <w:rFonts w:ascii="宋体" w:hAnsi="宋体"/>
          <w:bCs/>
          <w:color w:val="auto"/>
        </w:rPr>
        <w:t>，</w:t>
      </w:r>
      <w:r>
        <w:rPr>
          <w:rFonts w:hint="eastAsia" w:ascii="宋体" w:hAnsi="宋体"/>
          <w:bCs/>
          <w:color w:val="auto"/>
          <w:lang w:val="en-US" w:eastAsia="zh-CN"/>
        </w:rPr>
        <w:t>数据</w:t>
      </w:r>
      <w:r>
        <w:rPr>
          <w:rFonts w:ascii="宋体" w:hAnsi="宋体"/>
          <w:bCs/>
          <w:color w:val="auto"/>
        </w:rPr>
        <w:t>来源包括设备监测、巡检巡查、公众举报、舆情监测</w:t>
      </w:r>
      <w:r>
        <w:rPr>
          <w:rFonts w:hint="eastAsia" w:ascii="宋体" w:hAnsi="宋体"/>
          <w:bCs/>
          <w:color w:val="auto"/>
          <w:lang w:eastAsia="zh-CN"/>
        </w:rPr>
        <w:t>、</w:t>
      </w:r>
      <w:r>
        <w:rPr>
          <w:rFonts w:hint="eastAsia" w:ascii="宋体" w:hAnsi="宋体"/>
          <w:bCs/>
          <w:color w:val="auto"/>
          <w:lang w:val="en-US" w:eastAsia="zh-CN"/>
        </w:rPr>
        <w:t>部门共享</w:t>
      </w:r>
      <w:r>
        <w:rPr>
          <w:rFonts w:ascii="宋体" w:hAnsi="宋体"/>
          <w:bCs/>
          <w:color w:val="auto"/>
        </w:rPr>
        <w:t>等</w:t>
      </w:r>
      <w:r>
        <w:rPr>
          <w:rFonts w:hint="eastAsia" w:ascii="宋体" w:hAnsi="宋体"/>
          <w:bCs/>
          <w:color w:val="auto"/>
        </w:rPr>
        <w:t xml:space="preserve">。 </w:t>
      </w:r>
    </w:p>
    <w:p w14:paraId="48B314A3">
      <w:pPr>
        <w:pStyle w:val="98"/>
        <w:spacing w:beforeLines="0" w:afterLines="0"/>
        <w:rPr>
          <w:rFonts w:ascii="宋体" w:hAnsi="宋体"/>
          <w:bCs/>
          <w:color w:val="auto"/>
        </w:rPr>
      </w:pPr>
      <w:r>
        <w:rPr>
          <w:rFonts w:hint="eastAsia" w:ascii="宋体" w:hAnsi="宋体"/>
          <w:bCs/>
          <w:color w:val="auto"/>
        </w:rPr>
        <w:t xml:space="preserve">11.5.2 </w:t>
      </w:r>
      <w:r>
        <w:rPr>
          <w:rFonts w:ascii="宋体" w:hAnsi="宋体"/>
          <w:bCs/>
          <w:color w:val="auto"/>
        </w:rPr>
        <w:t>报警阈值应结合行业特性，</w:t>
      </w:r>
      <w:r>
        <w:rPr>
          <w:rFonts w:hint="eastAsia" w:ascii="宋体" w:hAnsi="宋体"/>
          <w:bCs/>
          <w:color w:val="auto"/>
          <w:lang w:val="en-US" w:eastAsia="zh-CN"/>
        </w:rPr>
        <w:t>联合</w:t>
      </w:r>
      <w:r>
        <w:rPr>
          <w:rFonts w:ascii="宋体" w:hAnsi="宋体"/>
          <w:bCs/>
          <w:color w:val="auto"/>
        </w:rPr>
        <w:t>行业主管部门</w:t>
      </w:r>
      <w:r>
        <w:rPr>
          <w:rFonts w:hint="eastAsia" w:ascii="宋体" w:hAnsi="宋体"/>
          <w:bCs/>
          <w:color w:val="auto"/>
          <w:lang w:eastAsia="zh-CN"/>
        </w:rPr>
        <w:t>、</w:t>
      </w:r>
      <w:r>
        <w:rPr>
          <w:rFonts w:hint="eastAsia" w:ascii="宋体" w:hAnsi="宋体"/>
          <w:bCs/>
          <w:color w:val="auto"/>
          <w:lang w:val="en-US" w:eastAsia="zh-CN"/>
        </w:rPr>
        <w:t>设施</w:t>
      </w:r>
      <w:r>
        <w:rPr>
          <w:rFonts w:hint="eastAsia" w:ascii="宋体" w:hAnsi="宋体"/>
          <w:bCs/>
          <w:color w:val="auto"/>
          <w:lang w:eastAsia="zh-CN"/>
        </w:rPr>
        <w:t>权属（管养）单位</w:t>
      </w:r>
      <w:r>
        <w:rPr>
          <w:rFonts w:ascii="宋体" w:hAnsi="宋体"/>
          <w:bCs/>
          <w:color w:val="auto"/>
        </w:rPr>
        <w:t>，根据管理需求综合确定</w:t>
      </w:r>
      <w:r>
        <w:rPr>
          <w:rFonts w:hint="eastAsia" w:ascii="宋体" w:hAnsi="宋体"/>
          <w:bCs/>
          <w:color w:val="auto"/>
        </w:rPr>
        <w:t>。</w:t>
      </w:r>
    </w:p>
    <w:p w14:paraId="35E6299E">
      <w:pPr>
        <w:pStyle w:val="108"/>
        <w:numPr>
          <w:ilvl w:val="1"/>
          <w:numId w:val="1"/>
        </w:numPr>
        <w:spacing w:beforeLines="50" w:afterLines="50"/>
      </w:pPr>
      <w:bookmarkStart w:id="144" w:name="_Toc5002"/>
      <w:r>
        <w:rPr>
          <w:rFonts w:hint="eastAsia"/>
        </w:rPr>
        <w:t>预警管理</w:t>
      </w:r>
      <w:bookmarkEnd w:id="144"/>
    </w:p>
    <w:p w14:paraId="709B6C44">
      <w:pPr>
        <w:pStyle w:val="98"/>
        <w:spacing w:beforeLines="0" w:afterLines="0"/>
        <w:rPr>
          <w:rFonts w:ascii="宋体" w:hAnsi="宋体"/>
          <w:bCs/>
          <w:color w:val="auto"/>
        </w:rPr>
      </w:pPr>
      <w:r>
        <w:rPr>
          <w:rFonts w:hint="eastAsia" w:ascii="宋体" w:hAnsi="宋体"/>
          <w:bCs/>
          <w:color w:val="auto"/>
        </w:rPr>
        <w:t xml:space="preserve">11.6.1 </w:t>
      </w:r>
      <w:r>
        <w:rPr>
          <w:rFonts w:ascii="宋体" w:hAnsi="宋体"/>
          <w:bCs/>
          <w:color w:val="auto"/>
        </w:rPr>
        <w:t>报警</w:t>
      </w:r>
      <w:r>
        <w:rPr>
          <w:rFonts w:hint="eastAsia" w:ascii="宋体" w:hAnsi="宋体"/>
          <w:bCs/>
          <w:color w:val="auto"/>
          <w:lang w:val="en-US" w:eastAsia="zh-CN"/>
        </w:rPr>
        <w:t>信息</w:t>
      </w:r>
      <w:r>
        <w:rPr>
          <w:rFonts w:ascii="宋体" w:hAnsi="宋体"/>
          <w:bCs/>
          <w:color w:val="auto"/>
        </w:rPr>
        <w:t>经分析研判确认为真实</w:t>
      </w:r>
      <w:r>
        <w:rPr>
          <w:rFonts w:hint="eastAsia" w:ascii="宋体" w:hAnsi="宋体"/>
          <w:bCs/>
          <w:color w:val="auto"/>
          <w:lang w:val="en-US" w:eastAsia="zh-CN"/>
        </w:rPr>
        <w:t>有效</w:t>
      </w:r>
      <w:r>
        <w:rPr>
          <w:rFonts w:ascii="宋体" w:hAnsi="宋体"/>
          <w:bCs/>
          <w:color w:val="auto"/>
        </w:rPr>
        <w:t>后，应</w:t>
      </w:r>
      <w:r>
        <w:rPr>
          <w:rFonts w:hint="eastAsia" w:ascii="宋体" w:hAnsi="宋体"/>
          <w:bCs/>
          <w:color w:val="auto"/>
          <w:lang w:val="en-US" w:eastAsia="zh-CN"/>
        </w:rPr>
        <w:t>结合</w:t>
      </w:r>
      <w:r>
        <w:rPr>
          <w:rFonts w:ascii="宋体" w:hAnsi="宋体"/>
          <w:bCs/>
          <w:color w:val="auto"/>
        </w:rPr>
        <w:t>报警点</w:t>
      </w:r>
      <w:r>
        <w:rPr>
          <w:rFonts w:hint="eastAsia" w:ascii="宋体" w:hAnsi="宋体"/>
          <w:bCs/>
          <w:color w:val="auto"/>
          <w:lang w:val="en-US" w:eastAsia="zh-CN"/>
        </w:rPr>
        <w:t>位</w:t>
      </w:r>
      <w:r>
        <w:rPr>
          <w:rFonts w:ascii="宋体" w:hAnsi="宋体"/>
          <w:bCs/>
          <w:color w:val="auto"/>
        </w:rPr>
        <w:t>运行特征、</w:t>
      </w:r>
      <w:r>
        <w:rPr>
          <w:rFonts w:hint="eastAsia" w:ascii="宋体" w:hAnsi="宋体"/>
          <w:bCs/>
          <w:color w:val="auto"/>
          <w:lang w:val="en-US" w:eastAsia="zh-CN"/>
        </w:rPr>
        <w:t>周边设施状态、</w:t>
      </w:r>
      <w:r>
        <w:rPr>
          <w:rFonts w:ascii="宋体" w:hAnsi="宋体"/>
          <w:bCs/>
          <w:color w:val="auto"/>
        </w:rPr>
        <w:t>危险源</w:t>
      </w:r>
      <w:r>
        <w:rPr>
          <w:rFonts w:hint="eastAsia" w:ascii="宋体" w:hAnsi="宋体"/>
          <w:bCs/>
          <w:color w:val="auto"/>
          <w:lang w:val="en-US" w:eastAsia="zh-CN"/>
        </w:rPr>
        <w:t>分布</w:t>
      </w:r>
      <w:r>
        <w:rPr>
          <w:rFonts w:ascii="宋体" w:hAnsi="宋体"/>
          <w:bCs/>
          <w:color w:val="auto"/>
        </w:rPr>
        <w:t>、防护目标</w:t>
      </w:r>
      <w:r>
        <w:rPr>
          <w:rFonts w:hint="eastAsia" w:ascii="宋体" w:hAnsi="宋体"/>
          <w:bCs/>
          <w:color w:val="auto"/>
          <w:lang w:val="en-US" w:eastAsia="zh-CN"/>
        </w:rPr>
        <w:t>等级及</w:t>
      </w:r>
      <w:r>
        <w:rPr>
          <w:rFonts w:hint="eastAsia" w:ascii="宋体" w:hAnsi="宋体"/>
          <w:bCs/>
          <w:color w:val="auto"/>
          <w:lang w:eastAsia="zh-CN"/>
        </w:rPr>
        <w:t>现场情况</w:t>
      </w:r>
      <w:r>
        <w:rPr>
          <w:rFonts w:ascii="宋体" w:hAnsi="宋体"/>
          <w:bCs/>
          <w:color w:val="auto"/>
        </w:rPr>
        <w:t>，</w:t>
      </w:r>
      <w:r>
        <w:rPr>
          <w:rFonts w:hint="eastAsia" w:ascii="宋体" w:hAnsi="宋体"/>
          <w:bCs/>
          <w:color w:val="auto"/>
          <w:lang w:val="en-US" w:eastAsia="zh-CN"/>
        </w:rPr>
        <w:t>综合</w:t>
      </w:r>
      <w:r>
        <w:rPr>
          <w:rFonts w:ascii="宋体" w:hAnsi="宋体"/>
          <w:bCs/>
          <w:color w:val="auto"/>
        </w:rPr>
        <w:t>确定或</w:t>
      </w:r>
      <w:r>
        <w:rPr>
          <w:rFonts w:hint="eastAsia" w:ascii="宋体" w:hAnsi="宋体"/>
          <w:bCs/>
          <w:color w:val="auto"/>
          <w:lang w:val="en-US" w:eastAsia="zh-CN"/>
        </w:rPr>
        <w:t>动态</w:t>
      </w:r>
      <w:r>
        <w:rPr>
          <w:rFonts w:ascii="宋体" w:hAnsi="宋体"/>
          <w:bCs/>
          <w:color w:val="auto"/>
        </w:rPr>
        <w:t>调整预警级别</w:t>
      </w:r>
      <w:r>
        <w:rPr>
          <w:rFonts w:hint="eastAsia" w:ascii="宋体" w:hAnsi="宋体"/>
          <w:bCs/>
          <w:color w:val="auto"/>
        </w:rPr>
        <w:t>。</w:t>
      </w:r>
    </w:p>
    <w:p w14:paraId="68534A3F">
      <w:pPr>
        <w:keepNext w:val="0"/>
        <w:keepLines w:val="0"/>
        <w:widowControl/>
        <w:suppressLineNumbers w:val="0"/>
        <w:jc w:val="left"/>
        <w:rPr>
          <w:rFonts w:hint="eastAsia" w:ascii="宋体" w:hAnsi="宋体"/>
          <w:bCs/>
          <w:color w:val="auto"/>
        </w:rPr>
      </w:pPr>
      <w:r>
        <w:rPr>
          <w:rFonts w:hint="eastAsia" w:ascii="宋体" w:hAnsi="宋体"/>
          <w:bCs/>
          <w:color w:val="auto"/>
        </w:rPr>
        <w:t>11.6.2 预警事件应从高到低分为一级、二级、三级</w:t>
      </w:r>
      <w:r>
        <w:rPr>
          <w:rFonts w:hint="eastAsia" w:ascii="宋体" w:hAnsi="宋体"/>
          <w:bCs/>
          <w:color w:val="auto"/>
          <w:lang w:val="en-US" w:eastAsia="zh-CN"/>
        </w:rPr>
        <w:t>三个等级</w:t>
      </w:r>
      <w:r>
        <w:rPr>
          <w:rFonts w:hint="eastAsia" w:ascii="宋体" w:hAnsi="宋体"/>
          <w:bCs/>
          <w:color w:val="auto"/>
        </w:rPr>
        <w:t>，</w:t>
      </w:r>
      <w:r>
        <w:rPr>
          <w:rFonts w:hint="eastAsia" w:ascii="宋体" w:hAnsi="宋体"/>
          <w:bCs/>
          <w:color w:val="auto"/>
          <w:lang w:val="en-US" w:eastAsia="zh-CN"/>
        </w:rPr>
        <w:t>依次对应红色、橙色、黄色预警</w:t>
      </w:r>
      <w:r>
        <w:rPr>
          <w:rFonts w:hint="eastAsia" w:ascii="宋体" w:hAnsi="宋体"/>
          <w:bCs/>
          <w:color w:val="auto"/>
        </w:rPr>
        <w:t>。</w:t>
      </w:r>
    </w:p>
    <w:p w14:paraId="7D341D71">
      <w:pPr>
        <w:pStyle w:val="98"/>
        <w:spacing w:beforeLines="0" w:afterLines="0"/>
        <w:rPr>
          <w:rFonts w:ascii="宋体" w:hAnsi="宋体"/>
          <w:bCs/>
          <w:color w:val="auto"/>
        </w:rPr>
      </w:pPr>
      <w:r>
        <w:rPr>
          <w:rFonts w:hint="eastAsia" w:ascii="宋体" w:hAnsi="宋体"/>
          <w:bCs/>
          <w:color w:val="auto"/>
        </w:rPr>
        <w:t>11.6.3 预警分级可参考表2</w:t>
      </w:r>
      <w:r>
        <w:rPr>
          <w:rFonts w:hint="eastAsia" w:ascii="宋体" w:hAnsi="宋体"/>
          <w:bCs/>
          <w:color w:val="auto"/>
          <w:lang w:eastAsia="zh-CN"/>
        </w:rPr>
        <w:t>～</w:t>
      </w:r>
      <w:r>
        <w:rPr>
          <w:rFonts w:hint="eastAsia" w:ascii="宋体" w:hAnsi="宋体"/>
          <w:bCs/>
          <w:color w:val="auto"/>
        </w:rPr>
        <w:t>表</w:t>
      </w:r>
      <w:r>
        <w:rPr>
          <w:rFonts w:hint="eastAsia" w:ascii="宋体" w:hAnsi="宋体"/>
          <w:bCs/>
          <w:color w:val="auto"/>
          <w:lang w:val="en-US" w:eastAsia="zh-CN"/>
        </w:rPr>
        <w:t>7</w:t>
      </w:r>
      <w:r>
        <w:rPr>
          <w:rFonts w:hint="eastAsia" w:ascii="宋体" w:hAnsi="宋体"/>
          <w:bCs/>
          <w:color w:val="auto"/>
        </w:rPr>
        <w:t>指标综合设定。</w:t>
      </w:r>
    </w:p>
    <w:p w14:paraId="11BE138C">
      <w:pPr>
        <w:pStyle w:val="98"/>
        <w:spacing w:beforeLines="0" w:afterLines="0"/>
        <w:jc w:val="center"/>
        <w:rPr>
          <w:rFonts w:ascii="黑体" w:hAnsi="黑体" w:eastAsia="黑体"/>
          <w:bCs/>
          <w:color w:val="auto"/>
        </w:rPr>
      </w:pPr>
      <w:r>
        <w:rPr>
          <w:rFonts w:ascii="黑体" w:hAnsi="黑体" w:eastAsia="黑体"/>
          <w:bCs/>
          <w:color w:val="auto"/>
        </w:rPr>
        <w:t>表</w:t>
      </w:r>
      <w:r>
        <w:rPr>
          <w:rFonts w:hint="eastAsia" w:ascii="黑体" w:hAnsi="黑体" w:eastAsia="黑体"/>
          <w:bCs/>
          <w:color w:val="auto"/>
        </w:rPr>
        <w:t>2 燃气行业预警分级标准</w:t>
      </w:r>
    </w:p>
    <w:tbl>
      <w:tblPr>
        <w:tblStyle w:val="35"/>
        <w:tblW w:w="5006" w:type="pct"/>
        <w:tblInd w:w="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332"/>
        <w:gridCol w:w="7879"/>
      </w:tblGrid>
      <w:tr w14:paraId="049451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blHeader/>
        </w:trPr>
        <w:tc>
          <w:tcPr>
            <w:tcW w:w="723" w:type="pct"/>
            <w:vAlign w:val="center"/>
          </w:tcPr>
          <w:p w14:paraId="6343D481">
            <w:pPr>
              <w:spacing w:beforeLines="0" w:afterLines="0"/>
              <w:ind w:left="210" w:leftChars="100"/>
              <w:jc w:val="center"/>
              <w:rPr>
                <w:rFonts w:ascii="宋体" w:hAnsi="宋体"/>
                <w:sz w:val="18"/>
                <w:szCs w:val="18"/>
              </w:rPr>
            </w:pPr>
            <w:r>
              <w:rPr>
                <w:rFonts w:hint="eastAsia" w:ascii="宋体" w:hAnsi="宋体"/>
                <w:sz w:val="18"/>
                <w:szCs w:val="18"/>
              </w:rPr>
              <w:t>预警等级</w:t>
            </w:r>
          </w:p>
        </w:tc>
        <w:tc>
          <w:tcPr>
            <w:tcW w:w="4276" w:type="pct"/>
            <w:vAlign w:val="center"/>
          </w:tcPr>
          <w:p w14:paraId="29845662">
            <w:pPr>
              <w:spacing w:beforeLines="0" w:afterLines="0"/>
              <w:ind w:left="210" w:leftChars="100"/>
              <w:jc w:val="center"/>
              <w:rPr>
                <w:rFonts w:ascii="宋体" w:hAnsi="宋体"/>
                <w:sz w:val="18"/>
                <w:szCs w:val="18"/>
              </w:rPr>
            </w:pPr>
            <w:r>
              <w:rPr>
                <w:rFonts w:hint="eastAsia" w:ascii="宋体" w:hAnsi="宋体"/>
                <w:sz w:val="18"/>
                <w:szCs w:val="18"/>
              </w:rPr>
              <w:t>分级指标</w:t>
            </w:r>
          </w:p>
        </w:tc>
      </w:tr>
      <w:tr w14:paraId="4CEEA2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trPr>
        <w:tc>
          <w:tcPr>
            <w:tcW w:w="723" w:type="pct"/>
            <w:vAlign w:val="center"/>
          </w:tcPr>
          <w:p w14:paraId="01BFF67B">
            <w:pPr>
              <w:spacing w:beforeLines="0" w:afterLines="0"/>
              <w:jc w:val="center"/>
              <w:rPr>
                <w:rFonts w:ascii="宋体" w:hAnsi="宋体"/>
                <w:sz w:val="18"/>
                <w:szCs w:val="18"/>
              </w:rPr>
            </w:pPr>
            <w:r>
              <w:rPr>
                <w:rFonts w:hint="eastAsia" w:ascii="宋体" w:hAnsi="宋体"/>
                <w:sz w:val="18"/>
                <w:szCs w:val="18"/>
              </w:rPr>
              <w:t>一级（红色）</w:t>
            </w:r>
          </w:p>
        </w:tc>
        <w:tc>
          <w:tcPr>
            <w:tcW w:w="4276" w:type="pct"/>
            <w:vAlign w:val="center"/>
          </w:tcPr>
          <w:p w14:paraId="3750D489">
            <w:pPr>
              <w:numPr>
                <w:ilvl w:val="0"/>
                <w:numId w:val="0"/>
              </w:numPr>
              <w:spacing w:beforeLines="0" w:afterLines="0"/>
              <w:ind w:firstLine="180" w:firstLineChars="100"/>
              <w:rPr>
                <w:rFonts w:hint="default" w:ascii="宋体" w:hAnsi="宋体" w:eastAsia="宋体"/>
                <w:sz w:val="18"/>
                <w:szCs w:val="18"/>
                <w:lang w:val="en-US" w:eastAsia="zh-CN"/>
              </w:rPr>
            </w:pPr>
            <w:r>
              <w:rPr>
                <w:rFonts w:hint="eastAsia" w:ascii="宋体" w:hAnsi="宋体"/>
                <w:sz w:val="18"/>
                <w:szCs w:val="18"/>
                <w:lang w:val="en-US" w:eastAsia="zh-CN"/>
              </w:rPr>
              <w:t>1.</w:t>
            </w:r>
            <w:r>
              <w:rPr>
                <w:rFonts w:hint="eastAsia" w:ascii="宋体" w:hAnsi="宋体"/>
                <w:sz w:val="18"/>
                <w:szCs w:val="18"/>
              </w:rPr>
              <w:t>燃气泄漏扩散至附近地下车库、储物间等</w:t>
            </w:r>
            <w:r>
              <w:rPr>
                <w:rFonts w:hint="eastAsia" w:ascii="宋体" w:hAnsi="宋体"/>
                <w:sz w:val="18"/>
                <w:szCs w:val="18"/>
                <w:lang w:val="en-US" w:eastAsia="zh-CN"/>
              </w:rPr>
              <w:t>密闭</w:t>
            </w:r>
            <w:r>
              <w:rPr>
                <w:rFonts w:hint="eastAsia" w:ascii="宋体" w:hAnsi="宋体"/>
                <w:sz w:val="18"/>
                <w:szCs w:val="18"/>
              </w:rPr>
              <w:t>空间内</w:t>
            </w:r>
            <w:r>
              <w:rPr>
                <w:rFonts w:hint="eastAsia" w:ascii="宋体" w:hAnsi="宋体"/>
                <w:sz w:val="18"/>
                <w:szCs w:val="18"/>
                <w:lang w:val="en-US" w:eastAsia="zh-CN"/>
              </w:rPr>
              <w:t>并形成积聚，随时可能发生爆炸危险</w:t>
            </w:r>
          </w:p>
          <w:p w14:paraId="6B66F095">
            <w:pPr>
              <w:numPr>
                <w:ilvl w:val="0"/>
                <w:numId w:val="0"/>
              </w:numPr>
              <w:spacing w:beforeLines="0" w:afterLines="0"/>
              <w:ind w:firstLine="180" w:firstLineChars="100"/>
              <w:rPr>
                <w:rFonts w:hint="eastAsia" w:ascii="宋体" w:hAnsi="宋体"/>
                <w:sz w:val="18"/>
                <w:szCs w:val="18"/>
              </w:rPr>
            </w:pPr>
            <w:r>
              <w:rPr>
                <w:rFonts w:hint="eastAsia" w:ascii="宋体" w:hAnsi="宋体"/>
                <w:sz w:val="18"/>
                <w:szCs w:val="18"/>
                <w:lang w:val="en-US" w:eastAsia="zh-CN"/>
              </w:rPr>
              <w:t>2.工作压力为次高压及以上的燃气管道发生泄漏</w:t>
            </w:r>
          </w:p>
        </w:tc>
      </w:tr>
      <w:tr w14:paraId="2A683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trPr>
        <w:tc>
          <w:tcPr>
            <w:tcW w:w="723" w:type="pct"/>
            <w:vAlign w:val="center"/>
          </w:tcPr>
          <w:p w14:paraId="00146FD8">
            <w:pPr>
              <w:spacing w:beforeLines="0" w:afterLines="0"/>
              <w:jc w:val="center"/>
              <w:rPr>
                <w:rFonts w:ascii="宋体" w:hAnsi="宋体"/>
                <w:sz w:val="18"/>
                <w:szCs w:val="18"/>
              </w:rPr>
            </w:pPr>
            <w:r>
              <w:rPr>
                <w:rFonts w:hint="eastAsia" w:ascii="宋体" w:hAnsi="宋体"/>
                <w:sz w:val="18"/>
                <w:szCs w:val="18"/>
              </w:rPr>
              <w:t>二级（橙色）</w:t>
            </w:r>
          </w:p>
        </w:tc>
        <w:tc>
          <w:tcPr>
            <w:tcW w:w="4276" w:type="pct"/>
            <w:vAlign w:val="center"/>
          </w:tcPr>
          <w:p w14:paraId="7A4FDBC0">
            <w:pPr>
              <w:spacing w:beforeLines="0" w:afterLines="0"/>
              <w:ind w:left="210" w:leftChars="100"/>
              <w:rPr>
                <w:rFonts w:ascii="宋体" w:hAnsi="宋体"/>
                <w:sz w:val="18"/>
                <w:szCs w:val="18"/>
              </w:rPr>
            </w:pPr>
            <w:r>
              <w:rPr>
                <w:rFonts w:hint="eastAsia" w:ascii="宋体" w:hAnsi="宋体"/>
                <w:sz w:val="18"/>
                <w:szCs w:val="18"/>
              </w:rPr>
              <w:t>1.燃气泄漏扩散至附近窨井设施等密闭空间内</w:t>
            </w:r>
          </w:p>
          <w:p w14:paraId="529EB39A">
            <w:pPr>
              <w:spacing w:beforeLines="0" w:afterLines="0"/>
              <w:ind w:left="210" w:leftChars="100"/>
              <w:rPr>
                <w:rFonts w:hint="eastAsia" w:ascii="宋体" w:hAnsi="宋体"/>
                <w:sz w:val="18"/>
                <w:szCs w:val="18"/>
              </w:rPr>
            </w:pPr>
            <w:r>
              <w:rPr>
                <w:rFonts w:hint="eastAsia" w:ascii="宋体" w:hAnsi="宋体"/>
                <w:sz w:val="18"/>
                <w:szCs w:val="18"/>
              </w:rPr>
              <w:t>2.燃气泄漏处于人员密集场所等区域</w:t>
            </w:r>
          </w:p>
          <w:p w14:paraId="34C0A785">
            <w:pPr>
              <w:spacing w:beforeLines="0" w:afterLines="0"/>
              <w:ind w:left="210" w:leftChars="100"/>
              <w:rPr>
                <w:rFonts w:hint="eastAsia" w:ascii="宋体" w:hAnsi="宋体"/>
                <w:sz w:val="18"/>
                <w:szCs w:val="18"/>
              </w:rPr>
            </w:pPr>
            <w:r>
              <w:rPr>
                <w:rFonts w:hint="eastAsia" w:ascii="宋体" w:hAnsi="宋体"/>
                <w:sz w:val="18"/>
                <w:szCs w:val="18"/>
                <w:lang w:val="en-US" w:eastAsia="zh-CN"/>
              </w:rPr>
              <w:t>3.中压燃气管道发生泄漏</w:t>
            </w:r>
          </w:p>
        </w:tc>
      </w:tr>
      <w:tr w14:paraId="4062D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4" w:hRule="atLeast"/>
        </w:trPr>
        <w:tc>
          <w:tcPr>
            <w:tcW w:w="723" w:type="pct"/>
            <w:vAlign w:val="center"/>
          </w:tcPr>
          <w:p w14:paraId="5BC137FA">
            <w:pPr>
              <w:spacing w:beforeLines="0" w:afterLines="0"/>
              <w:jc w:val="center"/>
              <w:rPr>
                <w:rFonts w:ascii="宋体" w:hAnsi="宋体"/>
                <w:sz w:val="18"/>
                <w:szCs w:val="18"/>
              </w:rPr>
            </w:pPr>
            <w:r>
              <w:rPr>
                <w:rFonts w:hint="eastAsia" w:ascii="宋体" w:hAnsi="宋体"/>
                <w:sz w:val="18"/>
                <w:szCs w:val="18"/>
              </w:rPr>
              <w:t>三级（黄色）</w:t>
            </w:r>
          </w:p>
        </w:tc>
        <w:tc>
          <w:tcPr>
            <w:tcW w:w="4276" w:type="pct"/>
            <w:vAlign w:val="center"/>
          </w:tcPr>
          <w:p w14:paraId="691AD557">
            <w:pPr>
              <w:spacing w:beforeLines="0" w:afterLines="0"/>
              <w:ind w:left="210" w:leftChars="100"/>
              <w:rPr>
                <w:rFonts w:ascii="宋体" w:hAnsi="宋体"/>
                <w:sz w:val="18"/>
                <w:szCs w:val="18"/>
              </w:rPr>
            </w:pPr>
            <w:r>
              <w:rPr>
                <w:rFonts w:hint="eastAsia" w:ascii="宋体" w:hAnsi="宋体"/>
                <w:sz w:val="18"/>
                <w:szCs w:val="18"/>
              </w:rPr>
              <w:t>1.燃气监测报警经研判存在燃气泄漏风险</w:t>
            </w:r>
          </w:p>
          <w:p w14:paraId="346ED4CD">
            <w:pPr>
              <w:spacing w:beforeLines="0" w:afterLines="0"/>
              <w:ind w:left="210" w:leftChars="100"/>
              <w:rPr>
                <w:rFonts w:ascii="宋体" w:hAnsi="宋体"/>
                <w:sz w:val="18"/>
                <w:szCs w:val="18"/>
              </w:rPr>
            </w:pPr>
            <w:r>
              <w:rPr>
                <w:rFonts w:hint="eastAsia" w:ascii="宋体" w:hAnsi="宋体"/>
                <w:sz w:val="18"/>
                <w:szCs w:val="18"/>
              </w:rPr>
              <w:t>2.燃气泄漏</w:t>
            </w:r>
            <w:r>
              <w:rPr>
                <w:rFonts w:hint="eastAsia" w:ascii="宋体" w:hAnsi="宋体"/>
                <w:sz w:val="18"/>
                <w:szCs w:val="18"/>
                <w:lang w:val="en-US" w:eastAsia="zh-CN"/>
              </w:rPr>
              <w:t>未</w:t>
            </w:r>
            <w:r>
              <w:rPr>
                <w:rFonts w:hint="eastAsia" w:ascii="宋体" w:hAnsi="宋体"/>
                <w:sz w:val="18"/>
                <w:szCs w:val="18"/>
              </w:rPr>
              <w:t>处于人员密集场所等区域</w:t>
            </w:r>
          </w:p>
        </w:tc>
      </w:tr>
      <w:tr w14:paraId="7A9726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5000" w:type="pct"/>
            <w:gridSpan w:val="2"/>
            <w:vAlign w:val="center"/>
          </w:tcPr>
          <w:p w14:paraId="28677C00">
            <w:pPr>
              <w:spacing w:before="24" w:after="24"/>
              <w:ind w:left="210" w:leftChars="100"/>
              <w:rPr>
                <w:rFonts w:ascii="宋体" w:hAnsi="宋体"/>
                <w:sz w:val="18"/>
                <w:szCs w:val="18"/>
              </w:rPr>
            </w:pPr>
            <w:r>
              <w:rPr>
                <w:rFonts w:hint="eastAsia" w:ascii="宋体" w:hAnsi="宋体"/>
                <w:sz w:val="18"/>
                <w:szCs w:val="18"/>
              </w:rPr>
              <w:t>注：满足1项分级指标即可触发预警。</w:t>
            </w:r>
          </w:p>
        </w:tc>
      </w:tr>
    </w:tbl>
    <w:p w14:paraId="10D64EF7">
      <w:pPr>
        <w:pStyle w:val="98"/>
        <w:spacing w:beforeLines="0" w:afterLines="0"/>
        <w:jc w:val="center"/>
        <w:rPr>
          <w:rFonts w:hint="eastAsia" w:ascii="黑体" w:hAnsi="黑体" w:eastAsia="黑体"/>
          <w:bCs/>
          <w:color w:val="auto"/>
        </w:rPr>
      </w:pPr>
    </w:p>
    <w:p w14:paraId="2CD19D7C">
      <w:pPr>
        <w:pStyle w:val="98"/>
        <w:spacing w:beforeLines="0" w:afterLines="0"/>
        <w:jc w:val="center"/>
        <w:rPr>
          <w:rFonts w:ascii="黑体" w:hAnsi="黑体" w:eastAsia="黑体"/>
          <w:bCs/>
          <w:color w:val="auto"/>
        </w:rPr>
      </w:pPr>
      <w:r>
        <w:rPr>
          <w:rFonts w:hint="eastAsia" w:ascii="黑体" w:hAnsi="黑体" w:eastAsia="黑体"/>
          <w:bCs/>
          <w:color w:val="auto"/>
        </w:rPr>
        <w:t>表</w:t>
      </w:r>
      <w:r>
        <w:rPr>
          <w:rFonts w:hint="eastAsia" w:ascii="黑体" w:hAnsi="黑体" w:eastAsia="黑体"/>
          <w:bCs/>
          <w:color w:val="auto"/>
          <w:lang w:val="en-US" w:eastAsia="zh-CN"/>
        </w:rPr>
        <w:t>3</w:t>
      </w:r>
      <w:r>
        <w:rPr>
          <w:rFonts w:hint="eastAsia" w:ascii="黑体" w:hAnsi="黑体" w:eastAsia="黑体"/>
          <w:bCs/>
          <w:color w:val="auto"/>
        </w:rPr>
        <w:t xml:space="preserve"> 供水行业预警分级标准</w:t>
      </w:r>
    </w:p>
    <w:tbl>
      <w:tblPr>
        <w:tblStyle w:val="35"/>
        <w:tblW w:w="5006" w:type="pct"/>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350"/>
        <w:gridCol w:w="7861"/>
      </w:tblGrid>
      <w:tr w14:paraId="76FDB2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33" w:type="pct"/>
            <w:vAlign w:val="center"/>
          </w:tcPr>
          <w:p w14:paraId="64169873">
            <w:pPr>
              <w:spacing w:beforeLines="0" w:afterLines="0"/>
              <w:ind w:left="210" w:leftChars="100"/>
              <w:jc w:val="center"/>
              <w:rPr>
                <w:rFonts w:ascii="宋体" w:hAnsi="宋体"/>
                <w:sz w:val="18"/>
                <w:szCs w:val="18"/>
              </w:rPr>
            </w:pPr>
            <w:r>
              <w:rPr>
                <w:rFonts w:hint="eastAsia" w:ascii="宋体" w:hAnsi="宋体"/>
                <w:sz w:val="18"/>
                <w:szCs w:val="18"/>
              </w:rPr>
              <w:t>预警等级</w:t>
            </w:r>
          </w:p>
        </w:tc>
        <w:tc>
          <w:tcPr>
            <w:tcW w:w="4266" w:type="pct"/>
            <w:vAlign w:val="center"/>
          </w:tcPr>
          <w:p w14:paraId="1FC2795E">
            <w:pPr>
              <w:spacing w:beforeLines="0" w:afterLines="0"/>
              <w:ind w:left="210" w:leftChars="100"/>
              <w:jc w:val="center"/>
              <w:rPr>
                <w:rFonts w:ascii="宋体" w:hAnsi="宋体"/>
                <w:sz w:val="18"/>
                <w:szCs w:val="18"/>
              </w:rPr>
            </w:pPr>
            <w:r>
              <w:rPr>
                <w:rFonts w:hint="eastAsia" w:ascii="宋体" w:hAnsi="宋体"/>
                <w:sz w:val="18"/>
                <w:szCs w:val="18"/>
              </w:rPr>
              <w:t>分级指标</w:t>
            </w:r>
          </w:p>
        </w:tc>
      </w:tr>
      <w:tr w14:paraId="6D551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33" w:type="pct"/>
            <w:vAlign w:val="center"/>
          </w:tcPr>
          <w:p w14:paraId="714A6F39">
            <w:pPr>
              <w:spacing w:beforeLines="0" w:afterLines="0"/>
              <w:jc w:val="center"/>
              <w:rPr>
                <w:rFonts w:ascii="宋体" w:hAnsi="宋体"/>
                <w:sz w:val="18"/>
                <w:szCs w:val="18"/>
              </w:rPr>
            </w:pPr>
            <w:r>
              <w:rPr>
                <w:rFonts w:hint="eastAsia" w:ascii="宋体" w:hAnsi="宋体"/>
                <w:sz w:val="18"/>
                <w:szCs w:val="18"/>
              </w:rPr>
              <w:t>一级（红色）</w:t>
            </w:r>
          </w:p>
        </w:tc>
        <w:tc>
          <w:tcPr>
            <w:tcW w:w="4266" w:type="pct"/>
            <w:vAlign w:val="center"/>
          </w:tcPr>
          <w:p w14:paraId="179F09A1">
            <w:pPr>
              <w:spacing w:beforeLines="0" w:afterLines="0"/>
              <w:ind w:left="210" w:leftChars="100"/>
              <w:rPr>
                <w:rFonts w:ascii="宋体" w:hAnsi="宋体"/>
                <w:sz w:val="18"/>
                <w:szCs w:val="18"/>
              </w:rPr>
            </w:pPr>
            <w:r>
              <w:rPr>
                <w:rFonts w:hint="eastAsia" w:ascii="宋体" w:hAnsi="宋体"/>
                <w:sz w:val="18"/>
                <w:szCs w:val="18"/>
              </w:rPr>
              <w:t>1.供水水源、取水设施、制水设施或者供水管网可能发生水质污染，造成城市部分或者全域停水</w:t>
            </w:r>
          </w:p>
          <w:p w14:paraId="02D32290">
            <w:pPr>
              <w:spacing w:beforeLines="0" w:afterLines="0"/>
              <w:ind w:left="210" w:leftChars="100"/>
              <w:rPr>
                <w:rFonts w:ascii="宋体" w:hAnsi="宋体"/>
                <w:sz w:val="18"/>
                <w:szCs w:val="18"/>
              </w:rPr>
            </w:pPr>
            <w:r>
              <w:rPr>
                <w:rFonts w:hint="eastAsia" w:ascii="宋体" w:hAnsi="宋体"/>
                <w:sz w:val="18"/>
                <w:szCs w:val="18"/>
              </w:rPr>
              <w:t>2.可能造成重要保障对象停水</w:t>
            </w:r>
          </w:p>
          <w:p w14:paraId="2665758B">
            <w:pPr>
              <w:spacing w:beforeLines="0" w:afterLines="0"/>
              <w:ind w:left="210" w:leftChars="100"/>
              <w:rPr>
                <w:rFonts w:ascii="宋体" w:hAnsi="宋体"/>
                <w:sz w:val="18"/>
                <w:szCs w:val="18"/>
              </w:rPr>
            </w:pPr>
            <w:r>
              <w:rPr>
                <w:rFonts w:hint="eastAsia" w:ascii="宋体" w:hAnsi="宋体"/>
                <w:sz w:val="18"/>
                <w:szCs w:val="18"/>
              </w:rPr>
              <w:t>3.直径超过DN1000的埋地管道发生大流量泄漏或爆管，或泄漏位置周边地面有明显沉降</w:t>
            </w:r>
          </w:p>
        </w:tc>
      </w:tr>
      <w:tr w14:paraId="29CFC3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7" w:hRule="atLeast"/>
        </w:trPr>
        <w:tc>
          <w:tcPr>
            <w:tcW w:w="733" w:type="pct"/>
            <w:vAlign w:val="center"/>
          </w:tcPr>
          <w:p w14:paraId="6B45F867">
            <w:pPr>
              <w:spacing w:beforeLines="0" w:afterLines="0"/>
              <w:jc w:val="center"/>
              <w:rPr>
                <w:rFonts w:ascii="宋体" w:hAnsi="宋体"/>
                <w:sz w:val="18"/>
                <w:szCs w:val="18"/>
              </w:rPr>
            </w:pPr>
            <w:r>
              <w:rPr>
                <w:rFonts w:hint="eastAsia" w:ascii="宋体" w:hAnsi="宋体"/>
                <w:sz w:val="18"/>
                <w:szCs w:val="18"/>
              </w:rPr>
              <w:t>二级（橙色）</w:t>
            </w:r>
          </w:p>
        </w:tc>
        <w:tc>
          <w:tcPr>
            <w:tcW w:w="4266" w:type="pct"/>
            <w:vAlign w:val="center"/>
          </w:tcPr>
          <w:p w14:paraId="22ED1D2B">
            <w:pPr>
              <w:spacing w:beforeLines="0" w:afterLines="0"/>
              <w:ind w:left="210" w:leftChars="100"/>
              <w:rPr>
                <w:rFonts w:ascii="宋体" w:hAnsi="宋体"/>
                <w:sz w:val="18"/>
                <w:szCs w:val="18"/>
              </w:rPr>
            </w:pPr>
            <w:r>
              <w:rPr>
                <w:rFonts w:hint="eastAsia" w:ascii="宋体" w:hAnsi="宋体"/>
                <w:sz w:val="18"/>
                <w:szCs w:val="18"/>
              </w:rPr>
              <w:t>直径为DN600-DN1000的埋地管道发生大流量泄漏或爆管，影响交通，需要破坏道路抢修，或直径小于DN600的埋地管道发生泄漏且处于人员密集场所等区域</w:t>
            </w:r>
          </w:p>
        </w:tc>
      </w:tr>
      <w:tr w14:paraId="21BA44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6" w:hRule="atLeast"/>
        </w:trPr>
        <w:tc>
          <w:tcPr>
            <w:tcW w:w="733" w:type="pct"/>
            <w:vAlign w:val="center"/>
          </w:tcPr>
          <w:p w14:paraId="2D9DEB71">
            <w:pPr>
              <w:spacing w:beforeLines="0" w:afterLines="0"/>
              <w:jc w:val="center"/>
              <w:rPr>
                <w:rFonts w:ascii="宋体" w:hAnsi="宋体"/>
                <w:sz w:val="18"/>
                <w:szCs w:val="18"/>
              </w:rPr>
            </w:pPr>
            <w:r>
              <w:rPr>
                <w:rFonts w:hint="eastAsia" w:ascii="宋体" w:hAnsi="宋体"/>
                <w:sz w:val="18"/>
                <w:szCs w:val="18"/>
              </w:rPr>
              <w:t>三级（黄色）</w:t>
            </w:r>
          </w:p>
        </w:tc>
        <w:tc>
          <w:tcPr>
            <w:tcW w:w="4266" w:type="pct"/>
            <w:vAlign w:val="center"/>
          </w:tcPr>
          <w:p w14:paraId="38159006">
            <w:pPr>
              <w:spacing w:beforeLines="0" w:afterLines="0"/>
              <w:ind w:left="210" w:leftChars="100"/>
              <w:rPr>
                <w:rFonts w:ascii="宋体" w:hAnsi="宋体"/>
                <w:sz w:val="18"/>
                <w:szCs w:val="18"/>
              </w:rPr>
            </w:pPr>
            <w:r>
              <w:rPr>
                <w:rFonts w:hint="eastAsia" w:ascii="宋体" w:hAnsi="宋体"/>
                <w:sz w:val="18"/>
                <w:szCs w:val="18"/>
              </w:rPr>
              <w:t>存在供水泄漏风险，或非埋地管道或直径小于DN600的埋地管道发生泄漏，且未处于人员密集场所等区域</w:t>
            </w:r>
          </w:p>
        </w:tc>
      </w:tr>
      <w:tr w14:paraId="3DF080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5000" w:type="pct"/>
            <w:gridSpan w:val="2"/>
            <w:vAlign w:val="center"/>
          </w:tcPr>
          <w:p w14:paraId="6B329DFA">
            <w:pPr>
              <w:spacing w:beforeLines="0" w:afterLines="0"/>
              <w:ind w:left="210" w:leftChars="100"/>
              <w:rPr>
                <w:rFonts w:ascii="宋体" w:hAnsi="宋体"/>
                <w:sz w:val="18"/>
                <w:szCs w:val="18"/>
              </w:rPr>
            </w:pPr>
            <w:r>
              <w:rPr>
                <w:rFonts w:hint="eastAsia" w:ascii="宋体" w:hAnsi="宋体"/>
                <w:sz w:val="18"/>
                <w:szCs w:val="18"/>
              </w:rPr>
              <w:t>注：满足1项分级指标即可触发预警。</w:t>
            </w:r>
          </w:p>
        </w:tc>
      </w:tr>
    </w:tbl>
    <w:p w14:paraId="76D6662B">
      <w:pPr>
        <w:pStyle w:val="98"/>
        <w:spacing w:beforeLines="0" w:afterLines="0"/>
        <w:jc w:val="center"/>
        <w:rPr>
          <w:rFonts w:hint="eastAsia" w:ascii="黑体" w:hAnsi="黑体" w:eastAsia="黑体"/>
          <w:bCs/>
          <w:color w:val="auto"/>
        </w:rPr>
      </w:pPr>
    </w:p>
    <w:p w14:paraId="47AE4B28">
      <w:pPr>
        <w:pStyle w:val="98"/>
        <w:spacing w:beforeLines="0" w:afterLines="0"/>
        <w:jc w:val="center"/>
        <w:rPr>
          <w:rFonts w:ascii="黑体" w:hAnsi="黑体" w:eastAsia="黑体"/>
          <w:bCs/>
          <w:color w:val="auto"/>
        </w:rPr>
      </w:pPr>
      <w:r>
        <w:rPr>
          <w:rFonts w:hint="eastAsia" w:ascii="黑体" w:hAnsi="黑体" w:eastAsia="黑体"/>
          <w:bCs/>
          <w:color w:val="auto"/>
        </w:rPr>
        <w:t>表</w:t>
      </w:r>
      <w:r>
        <w:rPr>
          <w:rFonts w:hint="eastAsia" w:ascii="黑体" w:hAnsi="黑体" w:eastAsia="黑体"/>
          <w:bCs/>
          <w:color w:val="auto"/>
          <w:lang w:val="en-US" w:eastAsia="zh-CN"/>
        </w:rPr>
        <w:t>4</w:t>
      </w:r>
      <w:r>
        <w:rPr>
          <w:rFonts w:hint="eastAsia" w:ascii="黑体" w:hAnsi="黑体" w:eastAsia="黑体"/>
          <w:bCs/>
          <w:color w:val="auto"/>
        </w:rPr>
        <w:t xml:space="preserve"> 排水行业预警分级标准</w:t>
      </w:r>
    </w:p>
    <w:tbl>
      <w:tblPr>
        <w:tblStyle w:val="35"/>
        <w:tblW w:w="5003" w:type="pct"/>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458"/>
        <w:gridCol w:w="7748"/>
      </w:tblGrid>
      <w:tr w14:paraId="3C386C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792" w:type="pct"/>
            <w:vAlign w:val="center"/>
          </w:tcPr>
          <w:p w14:paraId="522D8A17">
            <w:pPr>
              <w:spacing w:beforeLines="0" w:afterLines="0"/>
              <w:ind w:left="210" w:leftChars="100"/>
              <w:jc w:val="center"/>
              <w:rPr>
                <w:rFonts w:ascii="宋体" w:hAnsi="宋体"/>
                <w:sz w:val="18"/>
                <w:szCs w:val="18"/>
              </w:rPr>
            </w:pPr>
            <w:r>
              <w:rPr>
                <w:rFonts w:hint="eastAsia" w:ascii="宋体" w:hAnsi="宋体"/>
                <w:sz w:val="18"/>
                <w:szCs w:val="18"/>
              </w:rPr>
              <w:t>预警等级</w:t>
            </w:r>
          </w:p>
        </w:tc>
        <w:tc>
          <w:tcPr>
            <w:tcW w:w="4207" w:type="pct"/>
            <w:vAlign w:val="center"/>
          </w:tcPr>
          <w:p w14:paraId="02DF907A">
            <w:pPr>
              <w:spacing w:beforeLines="0" w:afterLines="0"/>
              <w:ind w:left="210" w:leftChars="100"/>
              <w:jc w:val="center"/>
              <w:rPr>
                <w:rFonts w:ascii="宋体" w:hAnsi="宋体"/>
                <w:sz w:val="18"/>
                <w:szCs w:val="18"/>
              </w:rPr>
            </w:pPr>
            <w:r>
              <w:rPr>
                <w:rFonts w:hint="eastAsia" w:ascii="宋体" w:hAnsi="宋体"/>
                <w:sz w:val="18"/>
                <w:szCs w:val="18"/>
              </w:rPr>
              <w:t>分级指标</w:t>
            </w:r>
          </w:p>
        </w:tc>
      </w:tr>
      <w:tr w14:paraId="606023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792" w:type="pct"/>
            <w:vAlign w:val="center"/>
          </w:tcPr>
          <w:p w14:paraId="37CCD2D5">
            <w:pPr>
              <w:spacing w:beforeLines="0" w:afterLines="0"/>
              <w:jc w:val="center"/>
              <w:rPr>
                <w:rFonts w:ascii="宋体" w:hAnsi="宋体"/>
                <w:sz w:val="18"/>
                <w:szCs w:val="18"/>
              </w:rPr>
            </w:pPr>
            <w:r>
              <w:rPr>
                <w:rFonts w:hint="eastAsia" w:ascii="宋体" w:hAnsi="宋体"/>
                <w:sz w:val="18"/>
                <w:szCs w:val="18"/>
              </w:rPr>
              <w:t>一级（红色）</w:t>
            </w:r>
          </w:p>
        </w:tc>
        <w:tc>
          <w:tcPr>
            <w:tcW w:w="4207" w:type="pct"/>
            <w:vAlign w:val="center"/>
          </w:tcPr>
          <w:p w14:paraId="569776D4">
            <w:pPr>
              <w:spacing w:beforeLines="0" w:afterLines="0"/>
              <w:ind w:left="210" w:leftChars="100"/>
              <w:rPr>
                <w:rFonts w:ascii="宋体" w:hAnsi="宋体"/>
                <w:sz w:val="18"/>
                <w:szCs w:val="18"/>
              </w:rPr>
            </w:pPr>
            <w:r>
              <w:rPr>
                <w:rFonts w:hint="eastAsia" w:ascii="宋体" w:hAnsi="宋体"/>
                <w:sz w:val="18"/>
                <w:szCs w:val="18"/>
              </w:rPr>
              <w:t>因积水可能严重影响交通、基础设施和人员安全</w:t>
            </w:r>
          </w:p>
        </w:tc>
      </w:tr>
      <w:tr w14:paraId="5A8FC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792" w:type="pct"/>
            <w:vAlign w:val="center"/>
          </w:tcPr>
          <w:p w14:paraId="0930E872">
            <w:pPr>
              <w:spacing w:beforeLines="0" w:afterLines="0"/>
              <w:jc w:val="center"/>
              <w:rPr>
                <w:rFonts w:ascii="宋体" w:hAnsi="宋体"/>
                <w:sz w:val="18"/>
                <w:szCs w:val="18"/>
              </w:rPr>
            </w:pPr>
            <w:r>
              <w:rPr>
                <w:rFonts w:hint="eastAsia" w:ascii="宋体" w:hAnsi="宋体"/>
                <w:sz w:val="18"/>
                <w:szCs w:val="18"/>
              </w:rPr>
              <w:t>二级（橙色）</w:t>
            </w:r>
          </w:p>
        </w:tc>
        <w:tc>
          <w:tcPr>
            <w:tcW w:w="4207" w:type="pct"/>
            <w:vAlign w:val="center"/>
          </w:tcPr>
          <w:p w14:paraId="1E615695">
            <w:pPr>
              <w:spacing w:beforeLines="0" w:afterLines="0"/>
              <w:ind w:left="210" w:leftChars="100"/>
              <w:rPr>
                <w:rFonts w:ascii="宋体" w:hAnsi="宋体"/>
                <w:sz w:val="18"/>
                <w:szCs w:val="18"/>
              </w:rPr>
            </w:pPr>
            <w:r>
              <w:rPr>
                <w:rFonts w:hint="eastAsia" w:ascii="宋体" w:hAnsi="宋体"/>
                <w:sz w:val="18"/>
                <w:szCs w:val="18"/>
              </w:rPr>
              <w:t>因积水可能造成人员出行困难、阻塞交通等</w:t>
            </w:r>
          </w:p>
        </w:tc>
      </w:tr>
      <w:tr w14:paraId="3C3C22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792" w:type="pct"/>
            <w:vAlign w:val="center"/>
          </w:tcPr>
          <w:p w14:paraId="42E08D2A">
            <w:pPr>
              <w:spacing w:beforeLines="0" w:afterLines="0"/>
              <w:jc w:val="center"/>
              <w:rPr>
                <w:rFonts w:ascii="宋体" w:hAnsi="宋体"/>
                <w:sz w:val="18"/>
                <w:szCs w:val="18"/>
              </w:rPr>
            </w:pPr>
            <w:r>
              <w:rPr>
                <w:rFonts w:hint="eastAsia" w:ascii="宋体" w:hAnsi="宋体"/>
                <w:sz w:val="18"/>
                <w:szCs w:val="18"/>
              </w:rPr>
              <w:t>三级（黄色）</w:t>
            </w:r>
          </w:p>
        </w:tc>
        <w:tc>
          <w:tcPr>
            <w:tcW w:w="4207" w:type="pct"/>
            <w:vAlign w:val="center"/>
          </w:tcPr>
          <w:p w14:paraId="1E179AEF">
            <w:pPr>
              <w:spacing w:beforeLines="0" w:afterLines="0"/>
              <w:ind w:left="210" w:leftChars="100"/>
              <w:rPr>
                <w:rFonts w:ascii="宋体" w:hAnsi="宋体"/>
                <w:sz w:val="18"/>
                <w:szCs w:val="18"/>
              </w:rPr>
            </w:pPr>
            <w:r>
              <w:rPr>
                <w:rFonts w:hint="eastAsia" w:ascii="宋体" w:hAnsi="宋体"/>
                <w:sz w:val="18"/>
                <w:szCs w:val="18"/>
              </w:rPr>
              <w:t>因积水可能影响人员出行、道路交通等</w:t>
            </w:r>
          </w:p>
        </w:tc>
      </w:tr>
      <w:tr w14:paraId="4753AC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 w:hRule="atLeast"/>
        </w:trPr>
        <w:tc>
          <w:tcPr>
            <w:tcW w:w="5000" w:type="pct"/>
            <w:gridSpan w:val="2"/>
            <w:vAlign w:val="center"/>
          </w:tcPr>
          <w:p w14:paraId="41618C87">
            <w:pPr>
              <w:spacing w:beforeLines="0" w:afterLines="0"/>
              <w:ind w:left="210" w:leftChars="100"/>
              <w:rPr>
                <w:rFonts w:ascii="宋体" w:hAnsi="宋体"/>
                <w:sz w:val="18"/>
                <w:szCs w:val="18"/>
              </w:rPr>
            </w:pPr>
            <w:r>
              <w:rPr>
                <w:rFonts w:hint="eastAsia" w:ascii="宋体" w:hAnsi="宋体"/>
                <w:sz w:val="18"/>
                <w:szCs w:val="18"/>
              </w:rPr>
              <w:t>注：满足1项分级指标即可触发预警。</w:t>
            </w:r>
          </w:p>
        </w:tc>
      </w:tr>
    </w:tbl>
    <w:p w14:paraId="1BA85E02">
      <w:pPr>
        <w:pStyle w:val="98"/>
        <w:spacing w:beforeLines="0" w:afterLines="0"/>
        <w:jc w:val="center"/>
        <w:rPr>
          <w:rFonts w:hint="eastAsia" w:ascii="黑体" w:hAnsi="黑体" w:eastAsia="黑体"/>
          <w:bCs/>
          <w:color w:val="auto"/>
        </w:rPr>
      </w:pPr>
    </w:p>
    <w:p w14:paraId="11BD26EA">
      <w:pPr>
        <w:pStyle w:val="98"/>
        <w:spacing w:beforeLines="0" w:afterLines="0"/>
        <w:jc w:val="center"/>
        <w:rPr>
          <w:rFonts w:ascii="黑体" w:hAnsi="黑体" w:eastAsia="黑体"/>
          <w:bCs/>
          <w:color w:val="auto"/>
        </w:rPr>
      </w:pPr>
      <w:r>
        <w:rPr>
          <w:rFonts w:hint="eastAsia" w:ascii="黑体" w:hAnsi="黑体" w:eastAsia="黑体"/>
          <w:bCs/>
          <w:color w:val="auto"/>
        </w:rPr>
        <w:t>表</w:t>
      </w:r>
      <w:r>
        <w:rPr>
          <w:rFonts w:hint="eastAsia" w:ascii="黑体" w:hAnsi="黑体" w:eastAsia="黑体"/>
          <w:bCs/>
          <w:color w:val="auto"/>
          <w:lang w:val="en-US" w:eastAsia="zh-CN"/>
        </w:rPr>
        <w:t>5</w:t>
      </w:r>
      <w:r>
        <w:rPr>
          <w:rFonts w:hint="eastAsia" w:ascii="黑体" w:hAnsi="黑体" w:eastAsia="黑体"/>
          <w:bCs/>
          <w:color w:val="auto"/>
        </w:rPr>
        <w:t>热力行业预警分级标准</w:t>
      </w:r>
    </w:p>
    <w:tbl>
      <w:tblPr>
        <w:tblStyle w:val="35"/>
        <w:tblW w:w="5006" w:type="pct"/>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442"/>
        <w:gridCol w:w="7769"/>
      </w:tblGrid>
      <w:tr w14:paraId="18B069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83" w:type="pct"/>
          </w:tcPr>
          <w:p w14:paraId="7717B113">
            <w:pPr>
              <w:spacing w:beforeLines="0" w:afterLines="0"/>
              <w:ind w:left="210" w:leftChars="100"/>
              <w:jc w:val="center"/>
              <w:rPr>
                <w:rFonts w:ascii="宋体" w:hAnsi="宋体"/>
                <w:sz w:val="18"/>
                <w:szCs w:val="18"/>
              </w:rPr>
            </w:pPr>
            <w:r>
              <w:rPr>
                <w:rFonts w:hint="eastAsia" w:ascii="宋体" w:hAnsi="宋体"/>
                <w:sz w:val="18"/>
                <w:szCs w:val="18"/>
              </w:rPr>
              <w:t>预警等级</w:t>
            </w:r>
          </w:p>
        </w:tc>
        <w:tc>
          <w:tcPr>
            <w:tcW w:w="4216" w:type="pct"/>
          </w:tcPr>
          <w:p w14:paraId="5839FBA6">
            <w:pPr>
              <w:spacing w:beforeLines="0" w:afterLines="0"/>
              <w:ind w:left="210" w:leftChars="100"/>
              <w:jc w:val="center"/>
              <w:rPr>
                <w:rFonts w:ascii="宋体" w:hAnsi="宋体"/>
                <w:sz w:val="18"/>
                <w:szCs w:val="18"/>
              </w:rPr>
            </w:pPr>
            <w:r>
              <w:rPr>
                <w:rFonts w:hint="eastAsia" w:ascii="宋体" w:hAnsi="宋体"/>
                <w:sz w:val="18"/>
                <w:szCs w:val="18"/>
              </w:rPr>
              <w:t>分级指标</w:t>
            </w:r>
          </w:p>
        </w:tc>
      </w:tr>
      <w:tr w14:paraId="7CF03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1" w:hRule="atLeast"/>
        </w:trPr>
        <w:tc>
          <w:tcPr>
            <w:tcW w:w="783" w:type="pct"/>
            <w:vAlign w:val="center"/>
          </w:tcPr>
          <w:p w14:paraId="41561DC7">
            <w:pPr>
              <w:spacing w:beforeLines="0" w:afterLines="0"/>
              <w:jc w:val="center"/>
              <w:rPr>
                <w:rFonts w:ascii="宋体" w:hAnsi="宋体"/>
                <w:sz w:val="18"/>
                <w:szCs w:val="18"/>
              </w:rPr>
            </w:pPr>
            <w:r>
              <w:rPr>
                <w:rFonts w:hint="eastAsia" w:ascii="宋体" w:hAnsi="宋体"/>
                <w:sz w:val="18"/>
                <w:szCs w:val="18"/>
              </w:rPr>
              <w:t>一级（红色）</w:t>
            </w:r>
          </w:p>
        </w:tc>
        <w:tc>
          <w:tcPr>
            <w:tcW w:w="4216" w:type="pct"/>
          </w:tcPr>
          <w:p w14:paraId="2DCBDA84">
            <w:pPr>
              <w:spacing w:beforeLines="0" w:afterLines="0"/>
              <w:ind w:left="210" w:leftChars="100"/>
              <w:rPr>
                <w:rFonts w:ascii="宋体" w:hAnsi="宋体"/>
                <w:sz w:val="18"/>
                <w:szCs w:val="18"/>
              </w:rPr>
            </w:pPr>
            <w:r>
              <w:rPr>
                <w:rFonts w:ascii="宋体" w:hAnsi="宋体"/>
                <w:sz w:val="18"/>
                <w:szCs w:val="18"/>
              </w:rPr>
              <w:t>1.供热主管网（公称直径≥DN500）发生大面积泄漏或爆管</w:t>
            </w:r>
          </w:p>
          <w:p w14:paraId="6D1AC913">
            <w:pPr>
              <w:spacing w:beforeLines="0" w:afterLines="0"/>
              <w:ind w:left="210" w:leftChars="100"/>
              <w:rPr>
                <w:rFonts w:ascii="宋体" w:hAnsi="宋体"/>
                <w:sz w:val="18"/>
                <w:szCs w:val="18"/>
              </w:rPr>
            </w:pPr>
            <w:r>
              <w:rPr>
                <w:rFonts w:hint="eastAsia" w:ascii="宋体" w:hAnsi="宋体"/>
                <w:sz w:val="18"/>
                <w:szCs w:val="18"/>
              </w:rPr>
              <w:t>2</w:t>
            </w:r>
            <w:r>
              <w:rPr>
                <w:rFonts w:ascii="宋体" w:hAnsi="宋体"/>
                <w:sz w:val="18"/>
                <w:szCs w:val="18"/>
              </w:rPr>
              <w:t>.供热管道泄漏导致路面大面积塌陷，危及车辆及行人安全</w:t>
            </w:r>
          </w:p>
        </w:tc>
      </w:tr>
      <w:tr w14:paraId="5008D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8" w:hRule="atLeast"/>
        </w:trPr>
        <w:tc>
          <w:tcPr>
            <w:tcW w:w="783" w:type="pct"/>
            <w:vAlign w:val="center"/>
          </w:tcPr>
          <w:p w14:paraId="6A914864">
            <w:pPr>
              <w:spacing w:beforeLines="0" w:afterLines="0"/>
              <w:jc w:val="center"/>
              <w:rPr>
                <w:rFonts w:ascii="宋体" w:hAnsi="宋体"/>
                <w:sz w:val="18"/>
                <w:szCs w:val="18"/>
              </w:rPr>
            </w:pPr>
            <w:r>
              <w:rPr>
                <w:rFonts w:hint="eastAsia" w:ascii="宋体" w:hAnsi="宋体"/>
                <w:sz w:val="18"/>
                <w:szCs w:val="18"/>
              </w:rPr>
              <w:t>二级（橙色）</w:t>
            </w:r>
          </w:p>
        </w:tc>
        <w:tc>
          <w:tcPr>
            <w:tcW w:w="4216" w:type="pct"/>
          </w:tcPr>
          <w:p w14:paraId="328ACD7B">
            <w:pPr>
              <w:spacing w:beforeLines="0" w:afterLines="0"/>
              <w:ind w:left="210" w:leftChars="100"/>
              <w:rPr>
                <w:rFonts w:ascii="宋体" w:hAnsi="宋体"/>
                <w:sz w:val="18"/>
                <w:szCs w:val="18"/>
              </w:rPr>
            </w:pPr>
            <w:r>
              <w:rPr>
                <w:rFonts w:hint="eastAsia" w:ascii="宋体" w:hAnsi="宋体"/>
                <w:sz w:val="18"/>
                <w:szCs w:val="18"/>
              </w:rPr>
              <w:t>1.</w:t>
            </w:r>
            <w:r>
              <w:rPr>
                <w:rFonts w:ascii="宋体" w:hAnsi="宋体"/>
                <w:sz w:val="18"/>
                <w:szCs w:val="18"/>
              </w:rPr>
              <w:t>供热支线管网（公称直径DN200</w:t>
            </w:r>
            <w:r>
              <w:rPr>
                <w:rFonts w:hint="eastAsia" w:ascii="宋体" w:hAnsi="宋体"/>
                <w:sz w:val="18"/>
                <w:szCs w:val="18"/>
              </w:rPr>
              <w:t>～</w:t>
            </w:r>
            <w:r>
              <w:rPr>
                <w:rFonts w:ascii="宋体" w:hAnsi="宋体"/>
                <w:sz w:val="18"/>
                <w:szCs w:val="18"/>
              </w:rPr>
              <w:t>DN500）发生泄漏或爆管，影响居民小区或公建用户供热，且抢修需破坏道路</w:t>
            </w:r>
          </w:p>
          <w:p w14:paraId="7CC0D343">
            <w:pPr>
              <w:spacing w:beforeLines="0" w:afterLines="0"/>
              <w:ind w:left="210" w:leftChars="100"/>
              <w:rPr>
                <w:rFonts w:ascii="宋体" w:hAnsi="宋体"/>
                <w:sz w:val="18"/>
                <w:szCs w:val="18"/>
              </w:rPr>
            </w:pPr>
            <w:r>
              <w:rPr>
                <w:rFonts w:hint="eastAsia" w:ascii="宋体" w:hAnsi="宋体"/>
                <w:sz w:val="18"/>
                <w:szCs w:val="18"/>
              </w:rPr>
              <w:t>2.</w:t>
            </w:r>
            <w:r>
              <w:rPr>
                <w:rFonts w:ascii="宋体" w:hAnsi="宋体"/>
                <w:sz w:val="18"/>
                <w:szCs w:val="18"/>
              </w:rPr>
              <w:t>泄漏点位于学校、医院、商场等人员密集场所或交通主干道区域</w:t>
            </w:r>
          </w:p>
        </w:tc>
      </w:tr>
      <w:tr w14:paraId="1F1D42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trPr>
        <w:tc>
          <w:tcPr>
            <w:tcW w:w="783" w:type="pct"/>
            <w:vAlign w:val="center"/>
          </w:tcPr>
          <w:p w14:paraId="420F9097">
            <w:pPr>
              <w:spacing w:beforeLines="0" w:afterLines="0"/>
              <w:jc w:val="center"/>
              <w:rPr>
                <w:rFonts w:ascii="宋体" w:hAnsi="宋体"/>
                <w:sz w:val="18"/>
                <w:szCs w:val="18"/>
              </w:rPr>
            </w:pPr>
            <w:r>
              <w:rPr>
                <w:rFonts w:hint="eastAsia" w:ascii="宋体" w:hAnsi="宋体"/>
                <w:sz w:val="18"/>
                <w:szCs w:val="18"/>
              </w:rPr>
              <w:t>三级（黄色）</w:t>
            </w:r>
          </w:p>
        </w:tc>
        <w:tc>
          <w:tcPr>
            <w:tcW w:w="4216" w:type="pct"/>
          </w:tcPr>
          <w:p w14:paraId="2E1FED5C">
            <w:pPr>
              <w:spacing w:beforeLines="0" w:afterLines="0"/>
              <w:ind w:left="210" w:leftChars="100"/>
              <w:rPr>
                <w:rFonts w:ascii="宋体" w:hAnsi="宋体"/>
                <w:sz w:val="18"/>
                <w:szCs w:val="18"/>
              </w:rPr>
            </w:pPr>
            <w:r>
              <w:rPr>
                <w:rFonts w:ascii="宋体" w:hAnsi="宋体"/>
                <w:sz w:val="18"/>
                <w:szCs w:val="18"/>
              </w:rPr>
              <w:t>1.供热管网监测报警经研判存在泄漏风险，但尚未发生泄漏</w:t>
            </w:r>
          </w:p>
          <w:p w14:paraId="7467BE26">
            <w:pPr>
              <w:spacing w:beforeLines="0" w:afterLines="0"/>
              <w:ind w:left="210" w:leftChars="100"/>
              <w:rPr>
                <w:rFonts w:ascii="宋体" w:hAnsi="宋体"/>
                <w:sz w:val="18"/>
                <w:szCs w:val="18"/>
              </w:rPr>
            </w:pPr>
            <w:r>
              <w:rPr>
                <w:rFonts w:ascii="宋体" w:hAnsi="宋体"/>
                <w:sz w:val="18"/>
                <w:szCs w:val="18"/>
              </w:rPr>
              <w:t>2.供热支线管网（公称直径＜DN200）发生轻微泄漏，且泄漏点未处于人员密集场所或交通要道</w:t>
            </w:r>
          </w:p>
          <w:p w14:paraId="2FC35BCE">
            <w:pPr>
              <w:spacing w:beforeLines="0" w:afterLines="0"/>
              <w:ind w:left="210" w:leftChars="100"/>
              <w:rPr>
                <w:rFonts w:ascii="宋体" w:hAnsi="宋体"/>
                <w:sz w:val="18"/>
                <w:szCs w:val="18"/>
              </w:rPr>
            </w:pPr>
            <w:r>
              <w:rPr>
                <w:rFonts w:ascii="宋体" w:hAnsi="宋体"/>
                <w:sz w:val="18"/>
                <w:szCs w:val="18"/>
              </w:rPr>
              <w:t>3.小区内二次管网发生渗漏，不影响主干线供热功能</w:t>
            </w:r>
          </w:p>
        </w:tc>
      </w:tr>
      <w:tr w14:paraId="1DE40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5000" w:type="pct"/>
            <w:gridSpan w:val="2"/>
          </w:tcPr>
          <w:p w14:paraId="6E151FFF">
            <w:pPr>
              <w:spacing w:beforeLines="0" w:afterLines="0"/>
              <w:ind w:left="210" w:leftChars="100"/>
              <w:rPr>
                <w:rFonts w:ascii="宋体" w:hAnsi="宋体"/>
                <w:sz w:val="18"/>
                <w:szCs w:val="18"/>
              </w:rPr>
            </w:pPr>
            <w:r>
              <w:rPr>
                <w:rFonts w:hint="eastAsia" w:ascii="宋体" w:hAnsi="宋体"/>
                <w:sz w:val="18"/>
                <w:szCs w:val="18"/>
              </w:rPr>
              <w:t>注：满足1项分级指标即可触发预警。</w:t>
            </w:r>
          </w:p>
        </w:tc>
      </w:tr>
    </w:tbl>
    <w:p w14:paraId="14B28E3D">
      <w:pPr>
        <w:pStyle w:val="98"/>
        <w:spacing w:beforeLines="0" w:afterLines="0"/>
        <w:jc w:val="center"/>
        <w:rPr>
          <w:rFonts w:hint="eastAsia" w:ascii="黑体" w:hAnsi="黑体" w:eastAsia="黑体"/>
          <w:bCs/>
          <w:color w:val="auto"/>
        </w:rPr>
      </w:pPr>
    </w:p>
    <w:p w14:paraId="0835C325">
      <w:pPr>
        <w:pStyle w:val="98"/>
        <w:spacing w:beforeLines="0" w:afterLines="0"/>
        <w:jc w:val="center"/>
        <w:rPr>
          <w:rFonts w:ascii="黑体" w:hAnsi="黑体" w:eastAsia="黑体"/>
          <w:bCs/>
          <w:color w:val="auto"/>
        </w:rPr>
      </w:pPr>
      <w:r>
        <w:rPr>
          <w:rFonts w:hint="eastAsia" w:ascii="黑体" w:hAnsi="黑体" w:eastAsia="黑体"/>
          <w:bCs/>
          <w:color w:val="auto"/>
        </w:rPr>
        <w:t>表</w:t>
      </w:r>
      <w:r>
        <w:rPr>
          <w:rFonts w:hint="eastAsia" w:ascii="黑体" w:hAnsi="黑体" w:eastAsia="黑体"/>
          <w:bCs/>
          <w:color w:val="auto"/>
          <w:lang w:val="en-US" w:eastAsia="zh-CN"/>
        </w:rPr>
        <w:t>6</w:t>
      </w:r>
      <w:r>
        <w:rPr>
          <w:rFonts w:hint="eastAsia" w:ascii="黑体" w:hAnsi="黑体" w:eastAsia="黑体"/>
          <w:bCs/>
          <w:color w:val="auto"/>
        </w:rPr>
        <w:t xml:space="preserve"> 桥梁行业预警分级标准</w:t>
      </w:r>
    </w:p>
    <w:tbl>
      <w:tblPr>
        <w:tblStyle w:val="35"/>
        <w:tblW w:w="5006" w:type="pct"/>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442"/>
        <w:gridCol w:w="7769"/>
      </w:tblGrid>
      <w:tr w14:paraId="34E70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83" w:type="pct"/>
          </w:tcPr>
          <w:p w14:paraId="2EB3F782">
            <w:pPr>
              <w:spacing w:beforeLines="0" w:afterLines="0"/>
              <w:ind w:left="210" w:leftChars="100"/>
              <w:jc w:val="center"/>
              <w:rPr>
                <w:rFonts w:ascii="宋体" w:hAnsi="宋体"/>
                <w:sz w:val="18"/>
                <w:szCs w:val="18"/>
              </w:rPr>
            </w:pPr>
            <w:r>
              <w:rPr>
                <w:rFonts w:hint="eastAsia" w:ascii="宋体" w:hAnsi="宋体"/>
                <w:sz w:val="18"/>
                <w:szCs w:val="18"/>
              </w:rPr>
              <w:t>预警等级</w:t>
            </w:r>
          </w:p>
        </w:tc>
        <w:tc>
          <w:tcPr>
            <w:tcW w:w="4216" w:type="pct"/>
          </w:tcPr>
          <w:p w14:paraId="28B144F5">
            <w:pPr>
              <w:spacing w:beforeLines="0" w:afterLines="0"/>
              <w:ind w:left="210" w:leftChars="100"/>
              <w:jc w:val="center"/>
              <w:rPr>
                <w:rFonts w:ascii="宋体" w:hAnsi="宋体"/>
                <w:sz w:val="18"/>
                <w:szCs w:val="18"/>
              </w:rPr>
            </w:pPr>
            <w:r>
              <w:rPr>
                <w:rFonts w:hint="eastAsia" w:ascii="宋体" w:hAnsi="宋体"/>
                <w:sz w:val="18"/>
                <w:szCs w:val="18"/>
              </w:rPr>
              <w:t>分级指标</w:t>
            </w:r>
          </w:p>
        </w:tc>
      </w:tr>
      <w:tr w14:paraId="699D71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1" w:hRule="atLeast"/>
        </w:trPr>
        <w:tc>
          <w:tcPr>
            <w:tcW w:w="783" w:type="pct"/>
            <w:vAlign w:val="center"/>
          </w:tcPr>
          <w:p w14:paraId="3C64B0A1">
            <w:pPr>
              <w:spacing w:beforeLines="0" w:afterLines="0"/>
              <w:jc w:val="center"/>
              <w:rPr>
                <w:rFonts w:ascii="宋体" w:hAnsi="宋体"/>
                <w:sz w:val="18"/>
                <w:szCs w:val="18"/>
              </w:rPr>
            </w:pPr>
            <w:r>
              <w:rPr>
                <w:rFonts w:hint="eastAsia" w:ascii="宋体" w:hAnsi="宋体"/>
                <w:sz w:val="18"/>
                <w:szCs w:val="18"/>
              </w:rPr>
              <w:t>一级（红色）</w:t>
            </w:r>
          </w:p>
        </w:tc>
        <w:tc>
          <w:tcPr>
            <w:tcW w:w="4216" w:type="pct"/>
          </w:tcPr>
          <w:p w14:paraId="1A0B2895">
            <w:pPr>
              <w:spacing w:beforeLines="0" w:afterLines="0"/>
              <w:ind w:left="210" w:leftChars="100"/>
              <w:rPr>
                <w:rFonts w:ascii="宋体" w:hAnsi="宋体"/>
                <w:sz w:val="18"/>
                <w:szCs w:val="18"/>
              </w:rPr>
            </w:pPr>
            <w:r>
              <w:rPr>
                <w:rFonts w:hint="eastAsia" w:ascii="宋体" w:hAnsi="宋体"/>
                <w:sz w:val="18"/>
                <w:szCs w:val="18"/>
              </w:rPr>
              <w:t>经研判存在桥梁严重偏位、墩柱严重倾斜、主梁严重下挠、拉索断裂等可能导致桥梁随时倒塌的风险</w:t>
            </w:r>
          </w:p>
        </w:tc>
      </w:tr>
      <w:tr w14:paraId="2A206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8" w:hRule="atLeast"/>
        </w:trPr>
        <w:tc>
          <w:tcPr>
            <w:tcW w:w="783" w:type="pct"/>
            <w:vAlign w:val="center"/>
          </w:tcPr>
          <w:p w14:paraId="61CB484C">
            <w:pPr>
              <w:spacing w:beforeLines="0" w:afterLines="0"/>
              <w:jc w:val="center"/>
              <w:rPr>
                <w:rFonts w:ascii="宋体" w:hAnsi="宋体"/>
                <w:sz w:val="18"/>
                <w:szCs w:val="18"/>
              </w:rPr>
            </w:pPr>
            <w:r>
              <w:rPr>
                <w:rFonts w:hint="eastAsia" w:ascii="宋体" w:hAnsi="宋体"/>
                <w:sz w:val="18"/>
                <w:szCs w:val="18"/>
              </w:rPr>
              <w:t>二级（橙色）</w:t>
            </w:r>
          </w:p>
        </w:tc>
        <w:tc>
          <w:tcPr>
            <w:tcW w:w="4216" w:type="pct"/>
          </w:tcPr>
          <w:p w14:paraId="1334C57D">
            <w:pPr>
              <w:spacing w:beforeLines="0" w:afterLines="0"/>
              <w:ind w:left="210" w:leftChars="100"/>
              <w:rPr>
                <w:rFonts w:ascii="宋体" w:hAnsi="宋体"/>
                <w:sz w:val="18"/>
                <w:szCs w:val="18"/>
              </w:rPr>
            </w:pPr>
            <w:r>
              <w:rPr>
                <w:rFonts w:hint="eastAsia" w:ascii="宋体" w:hAnsi="宋体"/>
                <w:sz w:val="18"/>
                <w:szCs w:val="18"/>
              </w:rPr>
              <w:t>1.发生结构损伤桥梁处于人员密集场所等区域</w:t>
            </w:r>
          </w:p>
          <w:p w14:paraId="42814145">
            <w:pPr>
              <w:spacing w:beforeLines="0" w:afterLines="0"/>
              <w:ind w:left="210" w:leftChars="100"/>
              <w:rPr>
                <w:rFonts w:ascii="宋体" w:hAnsi="宋体"/>
                <w:sz w:val="18"/>
                <w:szCs w:val="18"/>
              </w:rPr>
            </w:pPr>
            <w:r>
              <w:rPr>
                <w:rFonts w:hint="eastAsia" w:ascii="宋体" w:hAnsi="宋体"/>
                <w:sz w:val="18"/>
                <w:szCs w:val="18"/>
              </w:rPr>
              <w:t>2.发生结构损伤桥梁车流量较大</w:t>
            </w:r>
          </w:p>
        </w:tc>
      </w:tr>
      <w:tr w14:paraId="20C42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trPr>
        <w:tc>
          <w:tcPr>
            <w:tcW w:w="783" w:type="pct"/>
            <w:vAlign w:val="center"/>
          </w:tcPr>
          <w:p w14:paraId="68BCE4E1">
            <w:pPr>
              <w:spacing w:beforeLines="0" w:afterLines="0"/>
              <w:jc w:val="center"/>
              <w:rPr>
                <w:rFonts w:ascii="宋体" w:hAnsi="宋体"/>
                <w:sz w:val="18"/>
                <w:szCs w:val="18"/>
              </w:rPr>
            </w:pPr>
            <w:r>
              <w:rPr>
                <w:rFonts w:hint="eastAsia" w:ascii="宋体" w:hAnsi="宋体"/>
                <w:sz w:val="18"/>
                <w:szCs w:val="18"/>
              </w:rPr>
              <w:t>三级（黄色）</w:t>
            </w:r>
          </w:p>
        </w:tc>
        <w:tc>
          <w:tcPr>
            <w:tcW w:w="4216" w:type="pct"/>
          </w:tcPr>
          <w:p w14:paraId="0B4328AF">
            <w:pPr>
              <w:spacing w:beforeLines="0" w:afterLines="0"/>
              <w:ind w:left="210" w:leftChars="100"/>
              <w:rPr>
                <w:rFonts w:ascii="宋体" w:hAnsi="宋体"/>
                <w:sz w:val="18"/>
                <w:szCs w:val="18"/>
              </w:rPr>
            </w:pPr>
            <w:r>
              <w:rPr>
                <w:rFonts w:hint="eastAsia" w:ascii="宋体" w:hAnsi="宋体"/>
                <w:sz w:val="18"/>
                <w:szCs w:val="18"/>
              </w:rPr>
              <w:t>1.经研判存在结构损伤风险</w:t>
            </w:r>
          </w:p>
          <w:p w14:paraId="0091C733">
            <w:pPr>
              <w:spacing w:beforeLines="0" w:afterLines="0"/>
              <w:ind w:left="210" w:leftChars="100"/>
              <w:rPr>
                <w:rFonts w:ascii="宋体" w:hAnsi="宋体"/>
                <w:sz w:val="18"/>
                <w:szCs w:val="18"/>
              </w:rPr>
            </w:pPr>
            <w:r>
              <w:rPr>
                <w:rFonts w:hint="eastAsia" w:ascii="宋体" w:hAnsi="宋体"/>
                <w:sz w:val="18"/>
                <w:szCs w:val="18"/>
              </w:rPr>
              <w:t>2.桥梁结构轻微损伤或耐久性受较大影响</w:t>
            </w:r>
          </w:p>
        </w:tc>
      </w:tr>
      <w:tr w14:paraId="24E0D4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5000" w:type="pct"/>
            <w:gridSpan w:val="2"/>
          </w:tcPr>
          <w:p w14:paraId="7AC93071">
            <w:pPr>
              <w:spacing w:beforeLines="0" w:afterLines="0"/>
              <w:ind w:left="210" w:leftChars="100"/>
              <w:rPr>
                <w:rFonts w:ascii="宋体" w:hAnsi="宋体"/>
                <w:sz w:val="18"/>
                <w:szCs w:val="18"/>
              </w:rPr>
            </w:pPr>
            <w:r>
              <w:rPr>
                <w:rFonts w:hint="eastAsia" w:ascii="宋体" w:hAnsi="宋体"/>
                <w:sz w:val="18"/>
                <w:szCs w:val="18"/>
              </w:rPr>
              <w:t>注：满足1项分级指标即可触发预警。</w:t>
            </w:r>
          </w:p>
        </w:tc>
      </w:tr>
    </w:tbl>
    <w:p w14:paraId="10BFFE71">
      <w:pPr>
        <w:pStyle w:val="98"/>
        <w:keepNext/>
        <w:spacing w:beforeLines="0" w:afterLines="0"/>
        <w:jc w:val="center"/>
        <w:rPr>
          <w:rFonts w:hint="eastAsia" w:ascii="黑体" w:hAnsi="黑体" w:eastAsia="黑体"/>
          <w:bCs/>
          <w:color w:val="auto"/>
        </w:rPr>
      </w:pPr>
    </w:p>
    <w:tbl>
      <w:tblPr>
        <w:tblStyle w:val="35"/>
        <w:tblW w:w="5009" w:type="pct"/>
        <w:tblInd w:w="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428"/>
        <w:gridCol w:w="7783"/>
      </w:tblGrid>
      <w:tr w14:paraId="67DDC6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exact"/>
          <w:tblHeader/>
        </w:trPr>
        <w:tc>
          <w:tcPr>
            <w:tcW w:w="5000" w:type="pct"/>
            <w:gridSpan w:val="2"/>
            <w:tcBorders>
              <w:top w:val="nil"/>
              <w:left w:val="nil"/>
              <w:right w:val="nil"/>
            </w:tcBorders>
            <w:vAlign w:val="bottom"/>
          </w:tcPr>
          <w:p w14:paraId="3DA19E00">
            <w:pPr>
              <w:pStyle w:val="98"/>
              <w:spacing w:before="24" w:after="24"/>
              <w:jc w:val="center"/>
              <w:rPr>
                <w:rFonts w:hint="eastAsia" w:ascii="宋体" w:hAnsi="宋体"/>
                <w:sz w:val="18"/>
                <w:szCs w:val="18"/>
              </w:rPr>
            </w:pPr>
            <w:r>
              <w:rPr>
                <w:rFonts w:hint="eastAsia" w:ascii="黑体" w:hAnsi="黑体" w:eastAsia="黑体"/>
                <w:bCs/>
                <w:color w:val="auto"/>
                <w:lang w:val="en-US" w:eastAsia="zh-CN"/>
              </w:rPr>
              <w:t>表7 隧道行业预警分级标准</w:t>
            </w:r>
          </w:p>
        </w:tc>
      </w:tr>
      <w:tr w14:paraId="75189D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blHeader/>
        </w:trPr>
        <w:tc>
          <w:tcPr>
            <w:tcW w:w="775" w:type="pct"/>
            <w:vAlign w:val="top"/>
          </w:tcPr>
          <w:p w14:paraId="045674D2">
            <w:pPr>
              <w:spacing w:beforeLines="0" w:afterLines="0"/>
              <w:ind w:left="210" w:leftChars="100"/>
              <w:jc w:val="center"/>
              <w:rPr>
                <w:rFonts w:ascii="宋体" w:hAnsi="宋体"/>
                <w:sz w:val="18"/>
                <w:szCs w:val="18"/>
              </w:rPr>
            </w:pPr>
            <w:r>
              <w:rPr>
                <w:rFonts w:hint="eastAsia" w:ascii="宋体" w:hAnsi="宋体"/>
                <w:sz w:val="18"/>
                <w:szCs w:val="18"/>
              </w:rPr>
              <w:t>预警等级</w:t>
            </w:r>
          </w:p>
        </w:tc>
        <w:tc>
          <w:tcPr>
            <w:tcW w:w="4224" w:type="pct"/>
            <w:vAlign w:val="top"/>
          </w:tcPr>
          <w:p w14:paraId="0EFF7591">
            <w:pPr>
              <w:spacing w:beforeLines="0" w:afterLines="0"/>
              <w:ind w:left="210" w:leftChars="100"/>
              <w:jc w:val="center"/>
              <w:rPr>
                <w:rFonts w:ascii="宋体" w:hAnsi="宋体"/>
                <w:sz w:val="18"/>
                <w:szCs w:val="18"/>
              </w:rPr>
            </w:pPr>
            <w:r>
              <w:rPr>
                <w:rFonts w:hint="eastAsia" w:ascii="宋体" w:hAnsi="宋体"/>
                <w:sz w:val="18"/>
                <w:szCs w:val="18"/>
              </w:rPr>
              <w:t>分级指标</w:t>
            </w:r>
          </w:p>
        </w:tc>
      </w:tr>
      <w:tr w14:paraId="5CA6B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75" w:type="pct"/>
            <w:vAlign w:val="center"/>
          </w:tcPr>
          <w:p w14:paraId="67E7E640">
            <w:pPr>
              <w:spacing w:beforeLines="0" w:afterLines="0"/>
              <w:jc w:val="center"/>
              <w:rPr>
                <w:rFonts w:ascii="宋体" w:hAnsi="宋体"/>
                <w:sz w:val="18"/>
                <w:szCs w:val="18"/>
              </w:rPr>
            </w:pPr>
            <w:r>
              <w:rPr>
                <w:rFonts w:hint="eastAsia" w:ascii="宋体" w:hAnsi="宋体"/>
                <w:sz w:val="18"/>
                <w:szCs w:val="18"/>
              </w:rPr>
              <w:t>一级（红色）</w:t>
            </w:r>
          </w:p>
        </w:tc>
        <w:tc>
          <w:tcPr>
            <w:tcW w:w="4224" w:type="pct"/>
          </w:tcPr>
          <w:p w14:paraId="5454D3A1">
            <w:pPr>
              <w:spacing w:beforeLines="0" w:afterLines="0"/>
              <w:ind w:left="210" w:leftChars="100"/>
              <w:rPr>
                <w:rFonts w:ascii="宋体" w:hAnsi="宋体"/>
                <w:sz w:val="18"/>
                <w:szCs w:val="18"/>
              </w:rPr>
            </w:pPr>
            <w:r>
              <w:rPr>
                <w:rFonts w:hint="eastAsia" w:ascii="宋体" w:hAnsi="宋体"/>
                <w:sz w:val="18"/>
                <w:szCs w:val="18"/>
              </w:rPr>
              <w:t>1.</w:t>
            </w:r>
            <w:r>
              <w:rPr>
                <w:rFonts w:ascii="宋体" w:hAnsi="宋体"/>
                <w:sz w:val="18"/>
                <w:szCs w:val="18"/>
              </w:rPr>
              <w:t>经研判存在衬砌严重开裂、拱顶大幅变形、地面隆起或沉降突变，可能导致隧道随时坍塌</w:t>
            </w:r>
          </w:p>
          <w:p w14:paraId="08A79D6D">
            <w:pPr>
              <w:spacing w:beforeLines="0" w:afterLines="0"/>
              <w:ind w:left="210" w:leftChars="100"/>
              <w:rPr>
                <w:rFonts w:ascii="宋体" w:hAnsi="宋体"/>
                <w:sz w:val="18"/>
                <w:szCs w:val="18"/>
              </w:rPr>
            </w:pPr>
            <w:r>
              <w:rPr>
                <w:rFonts w:ascii="宋体" w:hAnsi="宋体"/>
                <w:sz w:val="18"/>
                <w:szCs w:val="18"/>
              </w:rPr>
              <w:t>2. 隧道内发生火灾、爆炸或有毒有害气体大量积聚，严重威胁人员生命安全</w:t>
            </w:r>
          </w:p>
          <w:p w14:paraId="7A3E2653">
            <w:pPr>
              <w:spacing w:beforeLines="0" w:afterLines="0"/>
              <w:ind w:left="210" w:leftChars="100"/>
              <w:rPr>
                <w:rFonts w:ascii="宋体" w:hAnsi="宋体"/>
                <w:sz w:val="18"/>
                <w:szCs w:val="18"/>
              </w:rPr>
            </w:pPr>
            <w:r>
              <w:rPr>
                <w:rFonts w:ascii="宋体" w:hAnsi="宋体"/>
                <w:sz w:val="18"/>
                <w:szCs w:val="18"/>
              </w:rPr>
              <w:t>3. 隧道内积水严重，水位快速上升，可能造成设备淹毁或车辆人员被困</w:t>
            </w:r>
          </w:p>
        </w:tc>
      </w:tr>
      <w:tr w14:paraId="4465E9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775" w:type="pct"/>
            <w:vAlign w:val="center"/>
          </w:tcPr>
          <w:p w14:paraId="2A8D78DB">
            <w:pPr>
              <w:spacing w:beforeLines="0" w:afterLines="0"/>
              <w:jc w:val="center"/>
              <w:rPr>
                <w:rFonts w:ascii="宋体" w:hAnsi="宋体"/>
                <w:sz w:val="18"/>
                <w:szCs w:val="18"/>
              </w:rPr>
            </w:pPr>
            <w:r>
              <w:rPr>
                <w:rFonts w:hint="eastAsia" w:ascii="宋体" w:hAnsi="宋体"/>
                <w:sz w:val="18"/>
                <w:szCs w:val="18"/>
              </w:rPr>
              <w:t>二级（橙色）</w:t>
            </w:r>
          </w:p>
        </w:tc>
        <w:tc>
          <w:tcPr>
            <w:tcW w:w="4224" w:type="pct"/>
          </w:tcPr>
          <w:p w14:paraId="67BF80EB">
            <w:pPr>
              <w:spacing w:beforeLines="0" w:afterLines="0"/>
              <w:ind w:left="210" w:leftChars="100"/>
              <w:rPr>
                <w:rFonts w:hint="eastAsia" w:ascii="宋体" w:hAnsi="宋体" w:eastAsia="宋体"/>
                <w:sz w:val="18"/>
                <w:szCs w:val="18"/>
                <w:lang w:eastAsia="zh-CN"/>
              </w:rPr>
            </w:pPr>
            <w:r>
              <w:rPr>
                <w:rFonts w:ascii="宋体" w:hAnsi="宋体"/>
                <w:sz w:val="18"/>
                <w:szCs w:val="18"/>
              </w:rPr>
              <w:t>1. 隧道结构损伤或变形加重，影响行车安全</w:t>
            </w:r>
          </w:p>
          <w:p w14:paraId="0B9DF174">
            <w:pPr>
              <w:spacing w:beforeLines="0" w:afterLines="0"/>
              <w:ind w:left="210" w:leftChars="100"/>
              <w:rPr>
                <w:rFonts w:hint="eastAsia" w:ascii="宋体" w:hAnsi="宋体" w:eastAsia="宋体"/>
                <w:sz w:val="18"/>
                <w:szCs w:val="18"/>
                <w:lang w:eastAsia="zh-CN"/>
              </w:rPr>
            </w:pPr>
            <w:r>
              <w:rPr>
                <w:rFonts w:ascii="宋体" w:hAnsi="宋体"/>
                <w:sz w:val="18"/>
                <w:szCs w:val="18"/>
              </w:rPr>
              <w:t>2. 隧道内发生交通事故或车辆自燃，导致交通长时间中断，且事故点位于隧道中段或人员密集通行时段</w:t>
            </w:r>
          </w:p>
          <w:p w14:paraId="359B5363">
            <w:pPr>
              <w:spacing w:beforeLines="0" w:afterLines="0"/>
              <w:ind w:left="210" w:leftChars="100"/>
              <w:rPr>
                <w:rFonts w:ascii="宋体" w:hAnsi="宋体"/>
                <w:sz w:val="18"/>
                <w:szCs w:val="18"/>
              </w:rPr>
            </w:pPr>
            <w:r>
              <w:rPr>
                <w:rFonts w:ascii="宋体" w:hAnsi="宋体"/>
                <w:sz w:val="18"/>
                <w:szCs w:val="18"/>
              </w:rPr>
              <w:t>3. 隧道积水深度影响车辆正常通行</w:t>
            </w:r>
          </w:p>
        </w:tc>
      </w:tr>
      <w:tr w14:paraId="08828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trPr>
        <w:tc>
          <w:tcPr>
            <w:tcW w:w="775" w:type="pct"/>
            <w:vAlign w:val="center"/>
          </w:tcPr>
          <w:p w14:paraId="13510E00">
            <w:pPr>
              <w:spacing w:beforeLines="0" w:afterLines="0"/>
              <w:jc w:val="center"/>
              <w:rPr>
                <w:rFonts w:ascii="宋体" w:hAnsi="宋体"/>
                <w:sz w:val="18"/>
                <w:szCs w:val="18"/>
              </w:rPr>
            </w:pPr>
            <w:r>
              <w:rPr>
                <w:rFonts w:hint="eastAsia" w:ascii="宋体" w:hAnsi="宋体"/>
                <w:sz w:val="18"/>
                <w:szCs w:val="18"/>
              </w:rPr>
              <w:t>三级（黄色）</w:t>
            </w:r>
          </w:p>
        </w:tc>
        <w:tc>
          <w:tcPr>
            <w:tcW w:w="4224" w:type="pct"/>
          </w:tcPr>
          <w:p w14:paraId="56115174">
            <w:pPr>
              <w:spacing w:beforeLines="0" w:afterLines="0"/>
              <w:ind w:left="210" w:leftChars="100"/>
              <w:rPr>
                <w:rFonts w:hint="eastAsia" w:ascii="宋体" w:hAnsi="宋体" w:eastAsia="宋体"/>
                <w:sz w:val="18"/>
                <w:szCs w:val="18"/>
                <w:lang w:eastAsia="zh-CN"/>
              </w:rPr>
            </w:pPr>
            <w:r>
              <mc:AlternateContent>
                <mc:Choice Requires="wps">
                  <w:drawing>
                    <wp:anchor distT="0" distB="0" distL="114300" distR="114300" simplePos="0" relativeHeight="251686912" behindDoc="0" locked="0" layoutInCell="1" allowOverlap="1">
                      <wp:simplePos x="0" y="0"/>
                      <wp:positionH relativeFrom="column">
                        <wp:posOffset>2885440</wp:posOffset>
                      </wp:positionH>
                      <wp:positionV relativeFrom="paragraph">
                        <wp:posOffset>-665480</wp:posOffset>
                      </wp:positionV>
                      <wp:extent cx="542290" cy="344170"/>
                      <wp:effectExtent l="0" t="0" r="10160" b="17780"/>
                      <wp:wrapNone/>
                      <wp:docPr id="26" name="文本框 26"/>
                      <wp:cNvGraphicFramePr/>
                      <a:graphic xmlns:a="http://schemas.openxmlformats.org/drawingml/2006/main">
                        <a:graphicData uri="http://schemas.microsoft.com/office/word/2010/wordprocessingShape">
                          <wps:wsp>
                            <wps:cNvSpPr txBox="1"/>
                            <wps:spPr>
                              <a:xfrm>
                                <a:off x="0" y="0"/>
                                <a:ext cx="542290" cy="344170"/>
                              </a:xfrm>
                              <a:prstGeom prst="rect">
                                <a:avLst/>
                              </a:prstGeom>
                              <a:solidFill>
                                <a:srgbClr val="FFFFFF"/>
                              </a:solidFill>
                              <a:ln>
                                <a:noFill/>
                              </a:ln>
                            </wps:spPr>
                            <wps:txbx>
                              <w:txbxContent>
                                <w:p w14:paraId="62DAD718">
                                  <w:pPr>
                                    <w:rPr>
                                      <w:rFonts w:hint="eastAsia" w:ascii="黑体" w:hAnsi="黑体" w:eastAsia="黑体" w:cs="黑体"/>
                                    </w:rPr>
                                  </w:pPr>
                                  <w:r>
                                    <w:rPr>
                                      <w:rFonts w:hint="eastAsia" w:ascii="黑体" w:hAnsi="黑体" w:eastAsia="黑体" w:cs="黑体"/>
                                    </w:rPr>
                                    <w:t>（续）</w:t>
                                  </w:r>
                                </w:p>
                              </w:txbxContent>
                            </wps:txbx>
                            <wps:bodyPr upright="1"/>
                          </wps:wsp>
                        </a:graphicData>
                      </a:graphic>
                    </wp:anchor>
                  </w:drawing>
                </mc:Choice>
                <mc:Fallback>
                  <w:pict>
                    <v:shape id="_x0000_s1026" o:spid="_x0000_s1026" o:spt="202" type="#_x0000_t202" style="position:absolute;left:0pt;margin-left:227.2pt;margin-top:-52.4pt;height:27.1pt;width:42.7pt;z-index:251686912;mso-width-relative:page;mso-height-relative:page;" fillcolor="#FFFFFF" filled="t" stroked="f" coordsize="21600,21600" o:gfxdata="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upram2QAAAAwBAAAPAAAAAAAAAAEAIAAAACIAAABkcnMvZG93bnJl&#10;di54bWxQSwECFAAUAAAACACHTuJAoTPoj8MBAAB4AwAADgAAAAAAAAABACAAAAAoAQAAZHJzL2Uy&#10;b0RvYy54bWxQSwUGAAAAAAYABgBZAQAAXQUAAAAA&#10;">
                      <v:fill on="t" focussize="0,0"/>
                      <v:stroke on="f"/>
                      <v:imagedata o:title=""/>
                      <o:lock v:ext="edit" aspectratio="f"/>
                      <v:textbox>
                        <w:txbxContent>
                          <w:p w14:paraId="62DAD718">
                            <w:pPr>
                              <w:rPr>
                                <w:rFonts w:hint="eastAsia" w:ascii="黑体" w:hAnsi="黑体" w:eastAsia="黑体" w:cs="黑体"/>
                              </w:rPr>
                            </w:pPr>
                            <w:r>
                              <w:rPr>
                                <w:rFonts w:hint="eastAsia" w:ascii="黑体" w:hAnsi="黑体" w:eastAsia="黑体" w:cs="黑体"/>
                              </w:rPr>
                              <w:t>（续）</w:t>
                            </w:r>
                          </w:p>
                        </w:txbxContent>
                      </v:textbox>
                    </v:shape>
                  </w:pict>
                </mc:Fallback>
              </mc:AlternateContent>
            </w:r>
            <w:r>
              <w:rPr>
                <w:rFonts w:ascii="宋体" w:hAnsi="宋体"/>
                <w:sz w:val="18"/>
                <w:szCs w:val="18"/>
              </w:rPr>
              <w:t>1. 经研判存在结构轻微变形或衬砌剥落风险，但暂不影响通行安全</w:t>
            </w:r>
          </w:p>
          <w:p w14:paraId="4E22350A">
            <w:pPr>
              <w:spacing w:beforeLines="0" w:afterLines="0"/>
              <w:ind w:left="210" w:leftChars="100"/>
              <w:rPr>
                <w:rFonts w:hint="eastAsia" w:ascii="宋体" w:hAnsi="宋体" w:eastAsia="宋体"/>
                <w:sz w:val="18"/>
                <w:szCs w:val="18"/>
                <w:lang w:eastAsia="zh-CN"/>
              </w:rPr>
            </w:pPr>
            <w:r>
              <w:rPr>
                <w:rFonts w:ascii="宋体" w:hAnsi="宋体"/>
                <w:sz w:val="18"/>
                <w:szCs w:val="18"/>
              </w:rPr>
              <w:t>2. 隧道内照明、通风或消防设施出现故障</w:t>
            </w:r>
          </w:p>
          <w:p w14:paraId="4F0AF5D7">
            <w:pPr>
              <w:spacing w:beforeLines="0" w:afterLines="0"/>
              <w:ind w:left="210" w:leftChars="100"/>
              <w:rPr>
                <w:rFonts w:ascii="宋体" w:hAnsi="宋体"/>
                <w:sz w:val="18"/>
                <w:szCs w:val="18"/>
              </w:rPr>
            </w:pPr>
            <w:r>
              <w:rPr>
                <w:rFonts w:ascii="宋体" w:hAnsi="宋体"/>
                <w:sz w:val="18"/>
                <w:szCs w:val="18"/>
              </w:rPr>
              <w:t>3. 隧道洞口或内部出现渗漏水现象，经研判未达到结构损伤程度</w:t>
            </w:r>
          </w:p>
        </w:tc>
      </w:tr>
      <w:tr w14:paraId="6D810D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5000" w:type="pct"/>
            <w:gridSpan w:val="2"/>
          </w:tcPr>
          <w:p w14:paraId="1D9BEDF5">
            <w:pPr>
              <w:spacing w:beforeLines="0" w:afterLines="0"/>
              <w:ind w:left="210" w:leftChars="100"/>
              <w:rPr>
                <w:rFonts w:ascii="宋体" w:hAnsi="宋体"/>
                <w:sz w:val="18"/>
                <w:szCs w:val="18"/>
              </w:rPr>
            </w:pPr>
            <w:r>
              <w:rPr>
                <w:rFonts w:hint="eastAsia" w:ascii="宋体" w:hAnsi="宋体"/>
                <w:sz w:val="18"/>
                <w:szCs w:val="18"/>
              </w:rPr>
              <w:t>注：满足1项分级指标即可触发预警。</w:t>
            </w:r>
          </w:p>
        </w:tc>
      </w:tr>
    </w:tbl>
    <w:p w14:paraId="428E7BAE">
      <w:pPr>
        <w:pStyle w:val="98"/>
        <w:spacing w:beforeLines="0" w:afterLines="0"/>
        <w:rPr>
          <w:rFonts w:ascii="宋体" w:hAnsi="宋体"/>
          <w:color w:val="auto"/>
          <w:szCs w:val="21"/>
        </w:rPr>
      </w:pPr>
      <w:r>
        <w:rPr>
          <w:rFonts w:hint="eastAsia" w:ascii="宋体" w:hAnsi="宋体"/>
          <w:color w:val="auto"/>
          <w:szCs w:val="21"/>
        </w:rPr>
        <w:t xml:space="preserve">11.6.4 </w:t>
      </w:r>
      <w:r>
        <w:rPr>
          <w:rFonts w:ascii="宋体" w:hAnsi="宋体"/>
          <w:color w:val="auto"/>
          <w:szCs w:val="21"/>
        </w:rPr>
        <w:t>预警信息内容应</w:t>
      </w:r>
      <w:r>
        <w:rPr>
          <w:rFonts w:hint="eastAsia" w:ascii="宋体" w:hAnsi="宋体"/>
          <w:color w:val="auto"/>
          <w:szCs w:val="21"/>
          <w:lang w:val="en-US" w:eastAsia="zh-CN"/>
        </w:rPr>
        <w:t>规范完整，</w:t>
      </w:r>
      <w:r>
        <w:rPr>
          <w:rFonts w:ascii="宋体" w:hAnsi="宋体"/>
          <w:color w:val="auto"/>
          <w:szCs w:val="21"/>
        </w:rPr>
        <w:t>包括预警类别、预警级别、起始时间、可能影响范围、</w:t>
      </w:r>
      <w:r>
        <w:rPr>
          <w:rFonts w:hint="eastAsia" w:ascii="宋体" w:hAnsi="宋体"/>
          <w:color w:val="auto"/>
          <w:szCs w:val="21"/>
        </w:rPr>
        <w:t>风险描述、处置建议、</w:t>
      </w:r>
      <w:r>
        <w:rPr>
          <w:rFonts w:ascii="宋体" w:hAnsi="宋体"/>
          <w:color w:val="auto"/>
          <w:szCs w:val="21"/>
        </w:rPr>
        <w:t>发布单位及发布时间等</w:t>
      </w:r>
      <w:r>
        <w:rPr>
          <w:rFonts w:hint="eastAsia" w:ascii="宋体" w:hAnsi="宋体"/>
          <w:color w:val="auto"/>
          <w:szCs w:val="21"/>
        </w:rPr>
        <w:t>。</w:t>
      </w:r>
    </w:p>
    <w:p w14:paraId="114E990F">
      <w:pPr>
        <w:pStyle w:val="98"/>
        <w:spacing w:before="24" w:after="24"/>
        <w:rPr>
          <w:rFonts w:ascii="宋体" w:hAnsi="宋体"/>
          <w:color w:val="000000"/>
          <w:szCs w:val="21"/>
        </w:rPr>
      </w:pPr>
      <w:r>
        <w:rPr>
          <w:rFonts w:hint="eastAsia" w:ascii="宋体" w:hAnsi="宋体"/>
          <w:color w:val="000000"/>
          <w:szCs w:val="21"/>
        </w:rPr>
        <w:t>11.6.</w:t>
      </w:r>
      <w:r>
        <w:rPr>
          <w:rFonts w:hint="eastAsia" w:ascii="宋体" w:hAnsi="宋体"/>
          <w:color w:val="000000"/>
          <w:szCs w:val="21"/>
          <w:lang w:val="en-US" w:eastAsia="zh-CN"/>
        </w:rPr>
        <w:t>5</w:t>
      </w:r>
      <w:r>
        <w:rPr>
          <w:rFonts w:hint="eastAsia" w:ascii="宋体" w:hAnsi="宋体"/>
          <w:color w:val="000000"/>
          <w:szCs w:val="21"/>
        </w:rPr>
        <w:t xml:space="preserve"> </w:t>
      </w:r>
      <w:r>
        <w:rPr>
          <w:rFonts w:ascii="宋体" w:hAnsi="宋体"/>
          <w:color w:val="000000"/>
          <w:szCs w:val="21"/>
        </w:rPr>
        <w:t>预警联动处置过程中，</w:t>
      </w:r>
      <w:r>
        <w:rPr>
          <w:rFonts w:hint="eastAsia" w:ascii="宋体" w:hAnsi="宋体"/>
          <w:color w:val="000000"/>
          <w:szCs w:val="21"/>
        </w:rPr>
        <w:t>应结合实时监测数据、设备状态、现场核查反馈、风险态势变化，动态调整预警等级。</w:t>
      </w:r>
    </w:p>
    <w:p w14:paraId="1F703E7B">
      <w:pPr>
        <w:pStyle w:val="98"/>
        <w:spacing w:before="24" w:after="24"/>
        <w:rPr>
          <w:rFonts w:ascii="宋体" w:hAnsi="宋体"/>
          <w:color w:val="000000"/>
          <w:szCs w:val="21"/>
        </w:rPr>
      </w:pPr>
      <w:r>
        <w:rPr>
          <w:rFonts w:hint="eastAsia" w:ascii="宋体" w:hAnsi="宋体"/>
          <w:color w:val="000000"/>
          <w:szCs w:val="21"/>
        </w:rPr>
        <w:t>11.6.</w:t>
      </w:r>
      <w:r>
        <w:rPr>
          <w:rFonts w:hint="eastAsia" w:ascii="宋体" w:hAnsi="宋体"/>
          <w:color w:val="000000"/>
          <w:szCs w:val="21"/>
          <w:lang w:val="en-US" w:eastAsia="zh-CN"/>
        </w:rPr>
        <w:t>6</w:t>
      </w:r>
      <w:r>
        <w:rPr>
          <w:rFonts w:hint="eastAsia" w:ascii="宋体" w:hAnsi="宋体"/>
          <w:color w:val="000000"/>
          <w:szCs w:val="21"/>
        </w:rPr>
        <w:t xml:space="preserve"> </w:t>
      </w:r>
      <w:r>
        <w:rPr>
          <w:rFonts w:ascii="宋体" w:hAnsi="宋体"/>
          <w:color w:val="000000"/>
          <w:szCs w:val="21"/>
        </w:rPr>
        <w:t>风险处置</w:t>
      </w:r>
      <w:r>
        <w:rPr>
          <w:rFonts w:hint="eastAsia" w:ascii="宋体" w:hAnsi="宋体"/>
          <w:color w:val="000000"/>
          <w:szCs w:val="21"/>
          <w:lang w:val="en-US" w:eastAsia="zh-CN"/>
        </w:rPr>
        <w:t>责任</w:t>
      </w:r>
      <w:r>
        <w:rPr>
          <w:rFonts w:ascii="宋体" w:hAnsi="宋体"/>
          <w:color w:val="000000"/>
          <w:szCs w:val="21"/>
        </w:rPr>
        <w:t>单位</w:t>
      </w:r>
      <w:r>
        <w:rPr>
          <w:rFonts w:hint="eastAsia" w:ascii="宋体" w:hAnsi="宋体"/>
          <w:color w:val="000000"/>
          <w:szCs w:val="21"/>
        </w:rPr>
        <w:t>应</w:t>
      </w:r>
      <w:r>
        <w:rPr>
          <w:rFonts w:ascii="宋体" w:hAnsi="宋体"/>
          <w:color w:val="000000"/>
          <w:szCs w:val="21"/>
        </w:rPr>
        <w:t>根据</w:t>
      </w:r>
      <w:r>
        <w:rPr>
          <w:rFonts w:hint="eastAsia" w:ascii="宋体" w:hAnsi="宋体"/>
          <w:color w:val="000000"/>
          <w:szCs w:val="21"/>
          <w:lang w:eastAsia="zh-CN"/>
        </w:rPr>
        <w:t>现场情况</w:t>
      </w:r>
      <w:r>
        <w:rPr>
          <w:rFonts w:ascii="宋体" w:hAnsi="宋体"/>
          <w:color w:val="000000"/>
          <w:szCs w:val="21"/>
        </w:rPr>
        <w:t>，</w:t>
      </w:r>
      <w:r>
        <w:rPr>
          <w:rFonts w:hint="eastAsia" w:ascii="宋体" w:hAnsi="宋体"/>
          <w:color w:val="000000"/>
          <w:szCs w:val="21"/>
        </w:rPr>
        <w:t>视情况</w:t>
      </w:r>
      <w:r>
        <w:rPr>
          <w:rFonts w:hint="eastAsia" w:ascii="宋体" w:hAnsi="宋体"/>
          <w:color w:val="000000"/>
          <w:szCs w:val="21"/>
          <w:lang w:val="en-US" w:eastAsia="zh-CN"/>
        </w:rPr>
        <w:t>联合</w:t>
      </w:r>
      <w:r>
        <w:rPr>
          <w:rFonts w:ascii="宋体" w:hAnsi="宋体"/>
          <w:color w:val="000000"/>
          <w:szCs w:val="21"/>
        </w:rPr>
        <w:t>相关部门进行协同处置</w:t>
      </w:r>
      <w:r>
        <w:rPr>
          <w:rFonts w:hint="eastAsia" w:ascii="宋体" w:hAnsi="宋体"/>
          <w:color w:val="000000"/>
          <w:szCs w:val="21"/>
        </w:rPr>
        <w:t>，处置期间，如预警级别发生改变，应按</w:t>
      </w:r>
      <w:r>
        <w:rPr>
          <w:rFonts w:ascii="宋体" w:hAnsi="宋体"/>
          <w:color w:val="000000"/>
          <w:szCs w:val="21"/>
        </w:rPr>
        <w:t>最新预警等级处置</w:t>
      </w:r>
      <w:r>
        <w:rPr>
          <w:rFonts w:hint="eastAsia" w:ascii="宋体" w:hAnsi="宋体"/>
          <w:color w:val="000000"/>
          <w:szCs w:val="21"/>
        </w:rPr>
        <w:t>。</w:t>
      </w:r>
    </w:p>
    <w:p w14:paraId="259D0F4A">
      <w:pPr>
        <w:pStyle w:val="98"/>
        <w:spacing w:before="24" w:after="24"/>
        <w:rPr>
          <w:rFonts w:ascii="宋体" w:hAnsi="宋体"/>
          <w:color w:val="000000"/>
          <w:szCs w:val="21"/>
        </w:rPr>
      </w:pPr>
      <w:r>
        <w:rPr>
          <w:rFonts w:hint="eastAsia" w:ascii="宋体" w:hAnsi="宋体"/>
          <w:color w:val="000000"/>
          <w:szCs w:val="21"/>
        </w:rPr>
        <w:t>11.6.7 预警处置完成、风险彻底消除后，应按规范解除预警</w:t>
      </w:r>
      <w:r>
        <w:rPr>
          <w:rFonts w:hint="eastAsia" w:ascii="宋体" w:hAnsi="宋体"/>
          <w:color w:val="000000"/>
          <w:szCs w:val="21"/>
          <w:lang w:eastAsia="zh-CN"/>
        </w:rPr>
        <w:t>，</w:t>
      </w:r>
      <w:r>
        <w:rPr>
          <w:rFonts w:hint="eastAsia" w:ascii="宋体" w:hAnsi="宋体"/>
          <w:color w:val="000000"/>
          <w:szCs w:val="21"/>
          <w:lang w:val="en-US" w:eastAsia="zh-CN"/>
        </w:rPr>
        <w:t>并</w:t>
      </w:r>
      <w:r>
        <w:rPr>
          <w:rFonts w:hint="eastAsia" w:ascii="宋体" w:hAnsi="宋体"/>
          <w:color w:val="000000"/>
          <w:szCs w:val="21"/>
        </w:rPr>
        <w:t>应符合</w:t>
      </w:r>
      <w:r>
        <w:rPr>
          <w:rFonts w:hint="eastAsia" w:ascii="宋体" w:hAnsi="宋体"/>
          <w:color w:val="000000"/>
          <w:szCs w:val="21"/>
          <w:lang w:val="en-US" w:eastAsia="zh-CN"/>
        </w:rPr>
        <w:t>以下</w:t>
      </w:r>
      <w:r>
        <w:rPr>
          <w:rFonts w:hint="eastAsia" w:ascii="宋体" w:hAnsi="宋体"/>
          <w:color w:val="000000"/>
          <w:szCs w:val="21"/>
        </w:rPr>
        <w:t>要求</w:t>
      </w:r>
      <w:r>
        <w:rPr>
          <w:rFonts w:ascii="宋体" w:hAnsi="宋体"/>
          <w:color w:val="000000"/>
          <w:szCs w:val="21"/>
        </w:rPr>
        <w:t xml:space="preserve">： </w:t>
      </w:r>
    </w:p>
    <w:p w14:paraId="46A032B2">
      <w:pPr>
        <w:spacing w:beforeLines="0" w:afterLines="0"/>
        <w:ind w:firstLine="560"/>
        <w:rPr>
          <w:rFonts w:ascii="宋体" w:hAnsi="宋体"/>
          <w:bCs/>
        </w:rPr>
      </w:pPr>
      <w:r>
        <w:rPr>
          <w:rFonts w:hint="eastAsia" w:ascii="宋体" w:hAnsi="宋体"/>
          <w:bCs/>
        </w:rPr>
        <w:t>a）三级预警在</w:t>
      </w:r>
      <w:r>
        <w:rPr>
          <w:rFonts w:hint="eastAsia" w:ascii="宋体" w:hAnsi="宋体"/>
          <w:bCs/>
          <w:lang w:eastAsia="zh-CN"/>
        </w:rPr>
        <w:t>权属（管养）单位</w:t>
      </w:r>
      <w:r>
        <w:rPr>
          <w:rFonts w:hint="eastAsia" w:ascii="宋体" w:hAnsi="宋体"/>
          <w:bCs/>
        </w:rPr>
        <w:t xml:space="preserve">现场核查处置完成、提交闭环反馈后，预警解除。 </w:t>
      </w:r>
    </w:p>
    <w:p w14:paraId="3CDBEFE8">
      <w:pPr>
        <w:spacing w:beforeLines="0" w:afterLines="0"/>
        <w:ind w:firstLine="560"/>
        <w:rPr>
          <w:rFonts w:ascii="宋体" w:hAnsi="宋体"/>
          <w:bCs/>
        </w:rPr>
      </w:pPr>
      <w:r>
        <w:rPr>
          <w:rFonts w:hint="eastAsia" w:ascii="宋体" w:hAnsi="宋体"/>
          <w:bCs/>
        </w:rPr>
        <w:t>b）一级、二级预警在</w:t>
      </w:r>
      <w:r>
        <w:rPr>
          <w:rFonts w:hint="eastAsia" w:ascii="宋体" w:hAnsi="宋体"/>
          <w:bCs/>
          <w:lang w:eastAsia="zh-CN"/>
        </w:rPr>
        <w:t>权属（管养）单位</w:t>
      </w:r>
      <w:r>
        <w:rPr>
          <w:rFonts w:hint="eastAsia" w:ascii="宋体" w:hAnsi="宋体"/>
          <w:bCs/>
        </w:rPr>
        <w:t>完成现场处置、闭环整改，经行业主管部门审核确认后，预警解除。</w:t>
      </w:r>
    </w:p>
    <w:p w14:paraId="13BB24B6">
      <w:pPr>
        <w:pStyle w:val="98"/>
        <w:spacing w:beforeLines="0" w:afterLines="0"/>
        <w:rPr>
          <w:rFonts w:ascii="宋体" w:hAnsi="宋体"/>
          <w:color w:val="auto"/>
          <w:szCs w:val="21"/>
        </w:rPr>
      </w:pPr>
      <w:r>
        <w:rPr>
          <w:rFonts w:hint="eastAsia" w:ascii="宋体" w:hAnsi="宋体"/>
          <w:color w:val="auto"/>
          <w:szCs w:val="21"/>
        </w:rPr>
        <w:t xml:space="preserve">11.6.8 </w:t>
      </w:r>
      <w:r>
        <w:rPr>
          <w:rFonts w:ascii="宋体" w:hAnsi="宋体"/>
          <w:color w:val="auto"/>
          <w:szCs w:val="21"/>
        </w:rPr>
        <w:t>一级预警处置</w:t>
      </w:r>
      <w:r>
        <w:rPr>
          <w:rFonts w:hint="eastAsia" w:ascii="宋体" w:hAnsi="宋体"/>
          <w:color w:val="auto"/>
          <w:szCs w:val="21"/>
          <w:lang w:val="en-US" w:eastAsia="zh-CN"/>
        </w:rPr>
        <w:t>闭环</w:t>
      </w:r>
      <w:r>
        <w:rPr>
          <w:rFonts w:ascii="宋体" w:hAnsi="宋体"/>
          <w:color w:val="auto"/>
          <w:szCs w:val="21"/>
        </w:rPr>
        <w:t>后，应</w:t>
      </w:r>
      <w:r>
        <w:rPr>
          <w:rFonts w:hint="eastAsia" w:ascii="宋体" w:hAnsi="宋体"/>
          <w:color w:val="auto"/>
          <w:szCs w:val="21"/>
        </w:rPr>
        <w:t>在48</w:t>
      </w:r>
      <w:r>
        <w:rPr>
          <w:rFonts w:hint="eastAsia" w:ascii="宋体" w:hAnsi="宋体"/>
          <w:color w:val="auto"/>
          <w:szCs w:val="21"/>
          <w:lang w:eastAsia="zh-CN"/>
        </w:rPr>
        <w:t>h</w:t>
      </w:r>
      <w:r>
        <w:rPr>
          <w:rFonts w:hint="eastAsia" w:ascii="宋体" w:hAnsi="宋体"/>
          <w:color w:val="auto"/>
          <w:szCs w:val="21"/>
        </w:rPr>
        <w:t>内形成分析处置</w:t>
      </w:r>
      <w:r>
        <w:rPr>
          <w:rFonts w:ascii="宋体" w:hAnsi="宋体"/>
          <w:color w:val="auto"/>
          <w:szCs w:val="21"/>
        </w:rPr>
        <w:t>报告，内容</w:t>
      </w:r>
      <w:r>
        <w:rPr>
          <w:rFonts w:hint="eastAsia" w:ascii="宋体" w:hAnsi="宋体"/>
          <w:color w:val="auto"/>
          <w:szCs w:val="21"/>
        </w:rPr>
        <w:t>应涵盖</w:t>
      </w:r>
      <w:r>
        <w:rPr>
          <w:rFonts w:ascii="宋体" w:hAnsi="宋体"/>
          <w:color w:val="auto"/>
          <w:szCs w:val="21"/>
        </w:rPr>
        <w:t>报警概况、预警信息、研判过程、</w:t>
      </w:r>
      <w:r>
        <w:rPr>
          <w:rFonts w:hint="eastAsia" w:ascii="宋体" w:hAnsi="宋体"/>
          <w:color w:val="auto"/>
          <w:szCs w:val="21"/>
          <w:lang w:val="en-US" w:eastAsia="zh-CN"/>
        </w:rPr>
        <w:t>风险成因、</w:t>
      </w:r>
      <w:r>
        <w:rPr>
          <w:rFonts w:ascii="宋体" w:hAnsi="宋体"/>
          <w:color w:val="auto"/>
          <w:szCs w:val="21"/>
        </w:rPr>
        <w:t>处置措施</w:t>
      </w:r>
      <w:r>
        <w:rPr>
          <w:rFonts w:hint="eastAsia" w:ascii="宋体" w:hAnsi="宋体"/>
          <w:color w:val="auto"/>
          <w:szCs w:val="21"/>
          <w:lang w:eastAsia="zh-CN"/>
        </w:rPr>
        <w:t>、</w:t>
      </w:r>
      <w:r>
        <w:rPr>
          <w:rFonts w:hint="eastAsia" w:ascii="宋体" w:hAnsi="宋体"/>
          <w:color w:val="auto"/>
          <w:szCs w:val="21"/>
          <w:lang w:val="en-US" w:eastAsia="zh-CN"/>
        </w:rPr>
        <w:t>整改成效、经验总结</w:t>
      </w:r>
      <w:r>
        <w:rPr>
          <w:rFonts w:hint="eastAsia" w:ascii="宋体" w:hAnsi="宋体"/>
          <w:color w:val="auto"/>
          <w:szCs w:val="21"/>
        </w:rPr>
        <w:t>，</w:t>
      </w:r>
      <w:r>
        <w:rPr>
          <w:rFonts w:ascii="宋体" w:hAnsi="宋体"/>
          <w:color w:val="auto"/>
          <w:szCs w:val="21"/>
        </w:rPr>
        <w:t>并上传至系统形成案例库</w:t>
      </w:r>
      <w:r>
        <w:rPr>
          <w:rFonts w:hint="eastAsia" w:ascii="宋体" w:hAnsi="宋体"/>
          <w:color w:val="auto"/>
          <w:szCs w:val="21"/>
        </w:rPr>
        <w:t>，用于模型迭代与风险复盘</w:t>
      </w:r>
      <w:r>
        <w:rPr>
          <w:rFonts w:ascii="宋体" w:hAnsi="宋体"/>
          <w:color w:val="auto"/>
          <w:szCs w:val="21"/>
        </w:rPr>
        <w:t>。</w:t>
      </w:r>
    </w:p>
    <w:p w14:paraId="3EBF2EDB">
      <w:pPr>
        <w:pStyle w:val="98"/>
        <w:spacing w:beforeLines="0" w:afterLines="0"/>
        <w:rPr>
          <w:rFonts w:ascii="宋体" w:hAnsi="宋体"/>
          <w:color w:val="auto"/>
          <w:szCs w:val="21"/>
        </w:rPr>
      </w:pPr>
      <w:r>
        <w:rPr>
          <w:rFonts w:hint="eastAsia" w:ascii="宋体" w:hAnsi="宋体"/>
          <w:color w:val="auto"/>
          <w:szCs w:val="21"/>
        </w:rPr>
        <w:t>11.6.</w:t>
      </w:r>
      <w:r>
        <w:rPr>
          <w:rFonts w:hint="eastAsia" w:ascii="宋体" w:hAnsi="宋体"/>
          <w:color w:val="auto"/>
          <w:szCs w:val="21"/>
          <w:lang w:val="en-US" w:eastAsia="zh-CN"/>
        </w:rPr>
        <w:t>9</w:t>
      </w:r>
      <w:r>
        <w:rPr>
          <w:rFonts w:hint="eastAsia" w:ascii="宋体" w:hAnsi="宋体"/>
          <w:color w:val="auto"/>
          <w:szCs w:val="21"/>
        </w:rPr>
        <w:t xml:space="preserve"> </w:t>
      </w:r>
      <w:r>
        <w:rPr>
          <w:rFonts w:ascii="宋体" w:hAnsi="宋体"/>
          <w:color w:val="auto"/>
          <w:szCs w:val="21"/>
        </w:rPr>
        <w:t>预警联动处置信息应实时同步至本级</w:t>
      </w:r>
      <w:r>
        <w:rPr>
          <w:rFonts w:hint="eastAsia" w:ascii="宋体" w:hAnsi="宋体"/>
          <w:color w:val="auto"/>
          <w:szCs w:val="21"/>
          <w:lang w:eastAsia="zh-CN"/>
        </w:rPr>
        <w:t>监测系统</w:t>
      </w:r>
      <w:r>
        <w:rPr>
          <w:rFonts w:ascii="宋体" w:hAnsi="宋体"/>
          <w:color w:val="auto"/>
          <w:szCs w:val="21"/>
        </w:rPr>
        <w:t>，并上报至上一级</w:t>
      </w:r>
      <w:r>
        <w:rPr>
          <w:rFonts w:hint="eastAsia" w:ascii="宋体" w:hAnsi="宋体"/>
          <w:color w:val="auto"/>
          <w:szCs w:val="21"/>
          <w:lang w:eastAsia="zh-CN"/>
        </w:rPr>
        <w:t>监测系统</w:t>
      </w:r>
      <w:r>
        <w:rPr>
          <w:rFonts w:hint="eastAsia" w:ascii="宋体" w:hAnsi="宋体"/>
          <w:color w:val="auto"/>
          <w:szCs w:val="21"/>
        </w:rPr>
        <w:t>。</w:t>
      </w:r>
    </w:p>
    <w:p w14:paraId="501C5D9D">
      <w:pPr>
        <w:pStyle w:val="108"/>
        <w:numPr>
          <w:ilvl w:val="1"/>
          <w:numId w:val="1"/>
        </w:numPr>
        <w:spacing w:beforeLines="50" w:afterLines="50"/>
      </w:pPr>
      <w:bookmarkStart w:id="145" w:name="_Toc11894"/>
      <w:r>
        <w:rPr>
          <w:rFonts w:hint="eastAsia"/>
        </w:rPr>
        <w:t>数据管理</w:t>
      </w:r>
      <w:bookmarkEnd w:id="145"/>
    </w:p>
    <w:p w14:paraId="6FC5C1ED">
      <w:pPr>
        <w:pStyle w:val="98"/>
        <w:spacing w:beforeLines="0" w:afterLines="0"/>
        <w:rPr>
          <w:rFonts w:ascii="宋体" w:hAnsi="宋体"/>
          <w:color w:val="auto"/>
          <w:szCs w:val="21"/>
        </w:rPr>
      </w:pPr>
      <w:r>
        <w:rPr>
          <w:rFonts w:hint="eastAsia" w:ascii="宋体" w:hAnsi="宋体"/>
          <w:color w:val="auto"/>
          <w:szCs w:val="21"/>
        </w:rPr>
        <w:t>11.7.1</w:t>
      </w:r>
      <w:r>
        <w:rPr>
          <w:rFonts w:hint="eastAsia" w:ascii="宋体" w:hAnsi="宋体"/>
          <w:color w:val="auto"/>
          <w:szCs w:val="21"/>
          <w:lang w:eastAsia="zh-CN"/>
        </w:rPr>
        <w:t>监测系统</w:t>
      </w:r>
      <w:r>
        <w:rPr>
          <w:rFonts w:hint="eastAsia" w:ascii="宋体" w:hAnsi="宋体"/>
          <w:color w:val="auto"/>
          <w:szCs w:val="21"/>
          <w:lang w:val="en-US" w:eastAsia="zh-CN"/>
        </w:rPr>
        <w:t>应按需对接</w:t>
      </w:r>
      <w:r>
        <w:rPr>
          <w:rFonts w:ascii="宋体" w:hAnsi="宋体"/>
          <w:color w:val="auto"/>
          <w:szCs w:val="21"/>
        </w:rPr>
        <w:t>12345</w:t>
      </w:r>
      <w:r>
        <w:rPr>
          <w:rFonts w:hint="eastAsia" w:ascii="宋体" w:hAnsi="宋体"/>
          <w:color w:val="auto"/>
          <w:szCs w:val="21"/>
          <w:lang w:val="en-US" w:eastAsia="zh-CN"/>
        </w:rPr>
        <w:t>政务服务</w:t>
      </w:r>
      <w:r>
        <w:rPr>
          <w:rFonts w:ascii="宋体" w:hAnsi="宋体"/>
          <w:color w:val="auto"/>
          <w:szCs w:val="21"/>
        </w:rPr>
        <w:t>热线、</w:t>
      </w:r>
      <w:r>
        <w:rPr>
          <w:rFonts w:hint="eastAsia" w:ascii="宋体" w:hAnsi="宋体"/>
          <w:color w:val="auto"/>
          <w:szCs w:val="21"/>
          <w:lang w:val="en-US" w:eastAsia="zh-CN"/>
        </w:rPr>
        <w:t>网络</w:t>
      </w:r>
      <w:r>
        <w:rPr>
          <w:rFonts w:ascii="宋体" w:hAnsi="宋体"/>
          <w:color w:val="auto"/>
          <w:szCs w:val="21"/>
        </w:rPr>
        <w:t>舆情监测、气象</w:t>
      </w:r>
      <w:r>
        <w:rPr>
          <w:rFonts w:hint="eastAsia" w:ascii="宋体" w:hAnsi="宋体"/>
          <w:color w:val="auto"/>
          <w:szCs w:val="21"/>
          <w:lang w:eastAsia="zh-CN"/>
        </w:rPr>
        <w:t>、</w:t>
      </w:r>
      <w:r>
        <w:rPr>
          <w:rFonts w:hint="eastAsia" w:ascii="宋体" w:hAnsi="宋体"/>
          <w:color w:val="auto"/>
          <w:szCs w:val="21"/>
          <w:lang w:val="en-US" w:eastAsia="zh-CN"/>
        </w:rPr>
        <w:t>水利、交通、应急等外部</w:t>
      </w:r>
      <w:r>
        <w:rPr>
          <w:rFonts w:ascii="宋体" w:hAnsi="宋体"/>
          <w:color w:val="auto"/>
          <w:szCs w:val="21"/>
        </w:rPr>
        <w:t>数据，实现跨部门数据融合与业务协同</w:t>
      </w:r>
      <w:r>
        <w:rPr>
          <w:rFonts w:hint="eastAsia" w:ascii="宋体" w:hAnsi="宋体"/>
          <w:color w:val="auto"/>
          <w:szCs w:val="21"/>
        </w:rPr>
        <w:t>。</w:t>
      </w:r>
    </w:p>
    <w:p w14:paraId="7BBD36D7">
      <w:pPr>
        <w:pStyle w:val="98"/>
        <w:spacing w:before="24" w:after="24"/>
        <w:rPr>
          <w:rFonts w:ascii="宋体" w:hAnsi="宋体"/>
          <w:szCs w:val="21"/>
        </w:rPr>
      </w:pPr>
      <w:r>
        <w:rPr>
          <w:rFonts w:hint="eastAsia" w:ascii="宋体" w:hAnsi="宋体"/>
          <w:color w:val="auto"/>
          <w:szCs w:val="21"/>
        </w:rPr>
        <w:t>11.7.2</w:t>
      </w:r>
      <w:r>
        <w:rPr>
          <w:rFonts w:ascii="宋体" w:hAnsi="宋体"/>
          <w:color w:val="auto"/>
          <w:szCs w:val="21"/>
        </w:rPr>
        <w:t>新建及改造城市基础设施项目竣工时应在</w:t>
      </w:r>
      <w:r>
        <w:rPr>
          <w:rFonts w:hint="eastAsia" w:ascii="宋体" w:hAnsi="宋体"/>
          <w:color w:val="auto"/>
          <w:szCs w:val="21"/>
          <w:lang w:eastAsia="zh-CN"/>
        </w:rPr>
        <w:t>监测系统</w:t>
      </w:r>
      <w:r>
        <w:rPr>
          <w:rFonts w:ascii="宋体" w:hAnsi="宋体"/>
          <w:color w:val="auto"/>
          <w:szCs w:val="21"/>
        </w:rPr>
        <w:t>更新相关信息</w:t>
      </w:r>
      <w:r>
        <w:rPr>
          <w:rFonts w:hint="eastAsia" w:ascii="宋体" w:hAnsi="宋体"/>
          <w:color w:val="auto"/>
          <w:szCs w:val="21"/>
        </w:rPr>
        <w:t>。</w:t>
      </w:r>
    </w:p>
    <w:p w14:paraId="370032BD">
      <w:pPr>
        <w:pStyle w:val="98"/>
        <w:spacing w:beforeLines="0" w:afterLines="0"/>
        <w:rPr>
          <w:rFonts w:ascii="宋体" w:hAnsi="宋体"/>
          <w:color w:val="auto"/>
          <w:szCs w:val="21"/>
        </w:rPr>
      </w:pPr>
      <w:r>
        <w:rPr>
          <w:rFonts w:hint="eastAsia" w:ascii="宋体" w:hAnsi="宋体"/>
          <w:color w:val="auto"/>
          <w:szCs w:val="21"/>
        </w:rPr>
        <w:t xml:space="preserve">11.7.3 </w:t>
      </w:r>
      <w:r>
        <w:rPr>
          <w:rFonts w:ascii="宋体" w:hAnsi="宋体"/>
          <w:color w:val="auto"/>
          <w:szCs w:val="21"/>
        </w:rPr>
        <w:t>应对公共基础数据、地理信息数据、三维模型数据、风险隐患数据及运行监测数据等进行安全、完整的存储与维护，重要信息应进行数据备份</w:t>
      </w:r>
      <w:r>
        <w:rPr>
          <w:rFonts w:hint="eastAsia" w:ascii="宋体" w:hAnsi="宋体"/>
          <w:color w:val="auto"/>
          <w:szCs w:val="21"/>
        </w:rPr>
        <w:t>。</w:t>
      </w:r>
    </w:p>
    <w:p w14:paraId="460255FE">
      <w:pPr>
        <w:pStyle w:val="98"/>
        <w:spacing w:beforeLines="0" w:afterLines="0"/>
        <w:rPr>
          <w:rFonts w:ascii="宋体" w:hAnsi="宋体"/>
          <w:color w:val="auto"/>
          <w:szCs w:val="21"/>
        </w:rPr>
      </w:pPr>
      <w:r>
        <w:rPr>
          <w:rFonts w:hint="eastAsia" w:ascii="宋体" w:hAnsi="宋体"/>
          <w:color w:val="auto"/>
          <w:szCs w:val="21"/>
        </w:rPr>
        <w:t xml:space="preserve">11.7.4 </w:t>
      </w:r>
      <w:r>
        <w:rPr>
          <w:rFonts w:ascii="宋体" w:hAnsi="宋体"/>
          <w:color w:val="auto"/>
          <w:szCs w:val="21"/>
        </w:rPr>
        <w:t>平台发布及收集的监测报警信息、预警信息的记录和资料应安全、完整保存，重要信息应进行数据备份</w:t>
      </w:r>
      <w:r>
        <w:rPr>
          <w:rFonts w:hint="eastAsia" w:ascii="宋体" w:hAnsi="宋体"/>
          <w:color w:val="auto"/>
          <w:szCs w:val="21"/>
        </w:rPr>
        <w:t>。</w:t>
      </w:r>
    </w:p>
    <w:p w14:paraId="27744D14">
      <w:pPr>
        <w:pStyle w:val="98"/>
        <w:spacing w:beforeLines="0" w:afterLines="0"/>
        <w:rPr>
          <w:rFonts w:ascii="宋体" w:hAnsi="宋体"/>
          <w:color w:val="auto"/>
          <w:szCs w:val="21"/>
        </w:rPr>
      </w:pPr>
      <w:r>
        <w:rPr>
          <w:rFonts w:hint="eastAsia" w:ascii="宋体" w:hAnsi="宋体"/>
          <w:color w:val="auto"/>
          <w:szCs w:val="21"/>
        </w:rPr>
        <w:t xml:space="preserve">11.7.5 </w:t>
      </w:r>
      <w:r>
        <w:rPr>
          <w:rFonts w:ascii="宋体" w:hAnsi="宋体"/>
          <w:color w:val="auto"/>
          <w:szCs w:val="21"/>
        </w:rPr>
        <w:t>应对信息资源实施合理的访问权限控制，在保障信息安全的前提下，确保平台服务对象便捷使用相关信息。</w:t>
      </w:r>
    </w:p>
    <w:p w14:paraId="14479CC5">
      <w:pPr>
        <w:pStyle w:val="98"/>
        <w:spacing w:beforeLines="0" w:afterLines="0"/>
        <w:rPr>
          <w:rFonts w:ascii="宋体" w:hAnsi="宋体"/>
          <w:color w:val="auto"/>
          <w:szCs w:val="21"/>
        </w:rPr>
      </w:pPr>
      <w:r>
        <w:rPr>
          <w:rFonts w:hint="eastAsia" w:ascii="宋体" w:hAnsi="宋体"/>
          <w:color w:val="auto"/>
          <w:szCs w:val="21"/>
        </w:rPr>
        <w:t xml:space="preserve">11.7.6 </w:t>
      </w:r>
      <w:r>
        <w:rPr>
          <w:rFonts w:ascii="宋体" w:hAnsi="宋体"/>
          <w:color w:val="auto"/>
          <w:szCs w:val="21"/>
        </w:rPr>
        <w:t>应定期对数据存储与传输的安全性进行评估，制定数据存储、备份、恢复等策略，必要时可采用第三方灾备服务</w:t>
      </w:r>
      <w:r>
        <w:rPr>
          <w:rFonts w:hint="eastAsia" w:ascii="宋体" w:hAnsi="宋体"/>
          <w:color w:val="auto"/>
          <w:szCs w:val="21"/>
        </w:rPr>
        <w:t>。</w:t>
      </w:r>
    </w:p>
    <w:p w14:paraId="0B9095A6">
      <w:pPr>
        <w:pStyle w:val="108"/>
        <w:numPr>
          <w:ilvl w:val="1"/>
          <w:numId w:val="1"/>
        </w:numPr>
        <w:spacing w:beforeLines="50" w:afterLines="50"/>
      </w:pPr>
      <w:bookmarkStart w:id="146" w:name="_Toc18939"/>
      <w:r>
        <w:rPr>
          <w:rFonts w:hint="eastAsia"/>
        </w:rPr>
        <w:t>定期报告</w:t>
      </w:r>
      <w:bookmarkEnd w:id="146"/>
    </w:p>
    <w:p w14:paraId="62DF6F4B">
      <w:pPr>
        <w:pStyle w:val="98"/>
        <w:spacing w:beforeLines="0" w:afterLines="0"/>
        <w:rPr>
          <w:rFonts w:ascii="宋体" w:hAnsi="宋体"/>
          <w:color w:val="auto"/>
          <w:szCs w:val="21"/>
        </w:rPr>
      </w:pPr>
      <w:r>
        <w:rPr>
          <w:rFonts w:hint="eastAsia" w:ascii="宋体" w:hAnsi="宋体"/>
          <w:color w:val="auto"/>
          <w:szCs w:val="21"/>
        </w:rPr>
        <w:t>11.8.1 监测中心应根据监测数据、报警预警信息、基础设施运行情况等，每月定期出具城市生命线安全运行分析报告。</w:t>
      </w:r>
    </w:p>
    <w:p w14:paraId="0100CA1D">
      <w:pPr>
        <w:pStyle w:val="98"/>
        <w:spacing w:beforeLines="0" w:afterLines="0"/>
        <w:rPr>
          <w:rFonts w:ascii="宋体" w:hAnsi="宋体"/>
          <w:color w:val="auto"/>
          <w:szCs w:val="21"/>
        </w:rPr>
      </w:pPr>
      <w:r>
        <w:rPr>
          <w:rFonts w:hint="eastAsia" w:ascii="宋体" w:hAnsi="宋体"/>
          <w:color w:val="auto"/>
          <w:szCs w:val="21"/>
        </w:rPr>
        <w:t xml:space="preserve">11.8.2 </w:t>
      </w:r>
      <w:r>
        <w:rPr>
          <w:rFonts w:hint="eastAsia" w:ascii="宋体" w:hAnsi="宋体"/>
          <w:color w:val="auto"/>
          <w:szCs w:val="21"/>
          <w:lang w:val="en-US" w:eastAsia="zh-CN"/>
        </w:rPr>
        <w:t>月度分析</w:t>
      </w:r>
      <w:r>
        <w:rPr>
          <w:rFonts w:hint="eastAsia" w:ascii="宋体" w:hAnsi="宋体"/>
          <w:color w:val="auto"/>
          <w:szCs w:val="21"/>
        </w:rPr>
        <w:t>报告内容应包括监测设备运行情况、报警信息统计、预警信息统计、响应处置情况、</w:t>
      </w:r>
      <w:r>
        <w:rPr>
          <w:rFonts w:hint="eastAsia" w:ascii="宋体" w:hAnsi="宋体"/>
          <w:color w:val="auto"/>
          <w:szCs w:val="21"/>
          <w:lang w:eastAsia="zh-CN"/>
        </w:rPr>
        <w:t>监测系统</w:t>
      </w:r>
      <w:r>
        <w:rPr>
          <w:rFonts w:hint="eastAsia" w:ascii="宋体" w:hAnsi="宋体"/>
          <w:color w:val="auto"/>
          <w:szCs w:val="21"/>
        </w:rPr>
        <w:t>运行状况</w:t>
      </w:r>
      <w:r>
        <w:rPr>
          <w:rFonts w:hint="eastAsia" w:ascii="宋体" w:hAnsi="宋体"/>
          <w:color w:val="auto"/>
          <w:szCs w:val="21"/>
          <w:lang w:val="en-US" w:eastAsia="zh-CN"/>
        </w:rPr>
        <w:t>等</w:t>
      </w:r>
      <w:r>
        <w:rPr>
          <w:rFonts w:hint="eastAsia" w:ascii="宋体" w:hAnsi="宋体"/>
          <w:color w:val="auto"/>
          <w:szCs w:val="21"/>
        </w:rPr>
        <w:t>。</w:t>
      </w:r>
    </w:p>
    <w:p w14:paraId="01B734D1">
      <w:pPr>
        <w:pStyle w:val="111"/>
        <w:pageBreakBefore w:val="0"/>
        <w:numPr>
          <w:ilvl w:val="0"/>
          <w:numId w:val="1"/>
        </w:numPr>
        <w:spacing w:beforeLines="100" w:afterLines="100"/>
        <w:ind w:left="0" w:firstLine="0"/>
        <w:rPr>
          <w:sz w:val="21"/>
          <w:szCs w:val="21"/>
        </w:rPr>
      </w:pPr>
      <w:bookmarkStart w:id="147" w:name="_Toc5762"/>
      <w:r>
        <w:rPr>
          <w:rFonts w:hint="eastAsia"/>
          <w:sz w:val="21"/>
          <w:szCs w:val="21"/>
        </w:rPr>
        <w:t>验收</w:t>
      </w:r>
      <w:bookmarkEnd w:id="147"/>
    </w:p>
    <w:bookmarkEnd w:id="92"/>
    <w:p w14:paraId="40E0588D">
      <w:pPr>
        <w:pStyle w:val="108"/>
        <w:numPr>
          <w:ilvl w:val="1"/>
          <w:numId w:val="1"/>
        </w:numPr>
        <w:spacing w:beforeLines="50" w:afterLines="50"/>
      </w:pPr>
      <w:bookmarkStart w:id="148" w:name="_Toc26583"/>
      <w:bookmarkStart w:id="149" w:name="_Toc26954"/>
      <w:r>
        <w:rPr>
          <w:rFonts w:hint="eastAsia"/>
          <w:lang w:eastAsia="zh-CN"/>
        </w:rPr>
        <w:t>一般要求</w:t>
      </w:r>
      <w:bookmarkEnd w:id="148"/>
    </w:p>
    <w:p w14:paraId="08B3F6A6">
      <w:pPr>
        <w:pStyle w:val="4"/>
        <w:tabs>
          <w:tab w:val="left" w:pos="0"/>
        </w:tabs>
        <w:spacing w:beforeLines="0" w:afterLines="0"/>
        <w:rPr>
          <w:rFonts w:ascii="宋体" w:hAnsi="宋体"/>
        </w:rPr>
      </w:pPr>
      <w:r>
        <w:rPr>
          <w:rFonts w:hint="eastAsia" w:ascii="宋体" w:hAnsi="宋体"/>
        </w:rPr>
        <w:t>12.1.1</w:t>
      </w:r>
      <w:r>
        <w:rPr>
          <w:rFonts w:hint="eastAsia" w:ascii="宋体" w:hAnsi="宋体"/>
          <w:lang w:val="en-US" w:eastAsia="zh-CN"/>
        </w:rPr>
        <w:t>监测系统竣工</w:t>
      </w:r>
      <w:r>
        <w:rPr>
          <w:rFonts w:hint="eastAsia" w:ascii="宋体" w:hAnsi="宋体"/>
        </w:rPr>
        <w:t>验收前应开展系统软硬件试运行，试运行期内应开展软件使用培训、软件功能完善、硬件设备基准值校正、硬件设备超限阈值设置等工作。</w:t>
      </w:r>
    </w:p>
    <w:p w14:paraId="474C1DC4">
      <w:pPr>
        <w:pStyle w:val="4"/>
        <w:tabs>
          <w:tab w:val="left" w:pos="0"/>
        </w:tabs>
        <w:spacing w:beforeLines="0" w:afterLines="0"/>
        <w:rPr>
          <w:rFonts w:ascii="宋体" w:hAnsi="宋体"/>
        </w:rPr>
      </w:pPr>
      <w:r>
        <w:rPr>
          <w:rFonts w:hint="eastAsia" w:ascii="宋体" w:hAnsi="宋体"/>
        </w:rPr>
        <w:t>12.1.2项目验收的准备工作应包括技术资料核对、现场核查，以及备品备件、验收条件、交付目标等方面内容的准备和确认。</w:t>
      </w:r>
    </w:p>
    <w:p w14:paraId="599FDBE8">
      <w:pPr>
        <w:pStyle w:val="4"/>
        <w:tabs>
          <w:tab w:val="left" w:pos="0"/>
        </w:tabs>
        <w:spacing w:beforeLines="0" w:afterLines="0"/>
        <w:rPr>
          <w:rFonts w:ascii="宋体" w:hAnsi="宋体"/>
        </w:rPr>
      </w:pPr>
      <w:r>
        <w:rPr>
          <w:rFonts w:hint="eastAsia" w:ascii="宋体" w:hAnsi="宋体"/>
        </w:rPr>
        <w:t>12.1.3建设单位应组织</w:t>
      </w:r>
      <w:r>
        <w:rPr>
          <w:rFonts w:hint="eastAsia" w:ascii="宋体" w:hAnsi="宋体"/>
          <w:lang w:val="en-US" w:eastAsia="zh-CN"/>
        </w:rPr>
        <w:t>项目参建</w:t>
      </w:r>
      <w:r>
        <w:rPr>
          <w:rFonts w:hint="eastAsia" w:ascii="宋体" w:hAnsi="宋体"/>
        </w:rPr>
        <w:t>单位组成验收组进行竣工验收</w:t>
      </w:r>
      <w:r>
        <w:rPr>
          <w:rFonts w:hint="eastAsia" w:ascii="宋体" w:hAnsi="宋体"/>
          <w:lang w:eastAsia="zh-CN"/>
        </w:rPr>
        <w:t>，</w:t>
      </w:r>
      <w:r>
        <w:rPr>
          <w:rFonts w:hint="eastAsia" w:ascii="宋体" w:hAnsi="宋体"/>
        </w:rPr>
        <w:t>验收合格方可交付使用。</w:t>
      </w:r>
    </w:p>
    <w:p w14:paraId="6F918E27">
      <w:pPr>
        <w:pStyle w:val="4"/>
        <w:tabs>
          <w:tab w:val="left" w:pos="0"/>
        </w:tabs>
        <w:spacing w:beforeLines="0" w:afterLines="0"/>
        <w:rPr>
          <w:rFonts w:ascii="宋体" w:hAnsi="宋体"/>
        </w:rPr>
      </w:pPr>
      <w:r>
        <w:rPr>
          <w:rFonts w:hint="eastAsia" w:ascii="宋体" w:hAnsi="宋体"/>
        </w:rPr>
        <w:t>12.1.4</w:t>
      </w:r>
      <w:r>
        <w:rPr>
          <w:rFonts w:ascii="宋体" w:hAnsi="宋体"/>
        </w:rPr>
        <w:t>监测系统验收应包括硬件验收、软件验收和资料验收三部分。</w:t>
      </w:r>
    </w:p>
    <w:p w14:paraId="71B30902">
      <w:pPr>
        <w:pStyle w:val="108"/>
        <w:numPr>
          <w:ilvl w:val="1"/>
          <w:numId w:val="1"/>
        </w:numPr>
        <w:spacing w:beforeLines="50" w:afterLines="50"/>
      </w:pPr>
      <w:bookmarkStart w:id="150" w:name="_Toc21130"/>
      <w:r>
        <w:t>监测系统硬件验收</w:t>
      </w:r>
      <w:bookmarkEnd w:id="150"/>
    </w:p>
    <w:p w14:paraId="659D5BD9">
      <w:pPr>
        <w:pStyle w:val="4"/>
        <w:tabs>
          <w:tab w:val="left" w:pos="0"/>
        </w:tabs>
        <w:spacing w:beforeLines="0" w:afterLines="0"/>
        <w:rPr>
          <w:rFonts w:ascii="宋体" w:hAnsi="宋体"/>
        </w:rPr>
      </w:pPr>
      <w:r>
        <w:rPr>
          <w:rFonts w:hint="eastAsia" w:ascii="宋体" w:hAnsi="宋体"/>
        </w:rPr>
        <w:t>12.2.1硬件设备的数量、规格型号、技术参数等应与合同文件、设计文件一致，合格证、质保卡、</w:t>
      </w:r>
      <w:r>
        <w:rPr>
          <w:rFonts w:hint="eastAsia" w:ascii="宋体" w:hAnsi="宋体"/>
          <w:lang w:val="en-US" w:eastAsia="zh-CN"/>
        </w:rPr>
        <w:t>安装使用</w:t>
      </w:r>
      <w:r>
        <w:rPr>
          <w:rFonts w:hint="eastAsia" w:ascii="宋体" w:hAnsi="宋体"/>
        </w:rPr>
        <w:t>说明书及出厂检验报告等应齐全。</w:t>
      </w:r>
    </w:p>
    <w:p w14:paraId="4211EF3A">
      <w:pPr>
        <w:pStyle w:val="4"/>
        <w:tabs>
          <w:tab w:val="left" w:pos="0"/>
        </w:tabs>
        <w:spacing w:beforeLines="0" w:afterLines="0"/>
        <w:rPr>
          <w:rFonts w:ascii="宋体" w:hAnsi="宋体"/>
        </w:rPr>
      </w:pPr>
      <w:r>
        <w:rPr>
          <w:rFonts w:hint="eastAsia" w:ascii="宋体" w:hAnsi="宋体"/>
        </w:rPr>
        <w:t>12.2.2硬件设备安装位置应正确、牢固、端正，表面平整，与结构物接触面紧密，应采取必要的防腐防护措施，信号线按要求连接到位。</w:t>
      </w:r>
    </w:p>
    <w:p w14:paraId="1591BCA3">
      <w:pPr>
        <w:pStyle w:val="4"/>
        <w:tabs>
          <w:tab w:val="left" w:pos="0"/>
        </w:tabs>
        <w:spacing w:beforeLines="0" w:afterLines="0"/>
        <w:rPr>
          <w:rFonts w:ascii="宋体" w:hAnsi="宋体"/>
        </w:rPr>
      </w:pPr>
      <w:r>
        <w:rPr>
          <w:rFonts w:hint="eastAsia" w:ascii="宋体" w:hAnsi="宋体"/>
        </w:rPr>
        <w:t>12.2.3硬件设备应处于正常工作状态，机柜内电力线、信号线、元器件等应布线平直、整齐、固定可靠，插头牢固，标识清晰；出线管与箱体连接应密封良好，机柜内应无积水、尘土、霉变；机柜接地应连接可靠，接地引出线无锈蚀。</w:t>
      </w:r>
    </w:p>
    <w:p w14:paraId="79AD3242">
      <w:pPr>
        <w:pStyle w:val="108"/>
        <w:numPr>
          <w:ilvl w:val="1"/>
          <w:numId w:val="1"/>
        </w:numPr>
        <w:spacing w:beforeLines="50" w:afterLines="50"/>
      </w:pPr>
      <w:bookmarkStart w:id="151" w:name="_Toc11275"/>
      <w:r>
        <w:rPr>
          <w:rFonts w:hint="eastAsia"/>
        </w:rPr>
        <w:t>监测系统软件验收</w:t>
      </w:r>
      <w:bookmarkEnd w:id="151"/>
    </w:p>
    <w:p w14:paraId="646DD8AB">
      <w:pPr>
        <w:pStyle w:val="4"/>
        <w:tabs>
          <w:tab w:val="left" w:pos="0"/>
        </w:tabs>
        <w:spacing w:beforeLines="0" w:afterLines="0"/>
        <w:rPr>
          <w:rFonts w:ascii="宋体" w:hAnsi="宋体"/>
        </w:rPr>
      </w:pPr>
      <w:r>
        <w:rPr>
          <w:rFonts w:hint="eastAsia" w:ascii="宋体" w:hAnsi="宋体"/>
        </w:rPr>
        <w:t>12.3.1软件验收应进行数据采集、处理、传输功能完整性和一致性检查，正常采集、存储、接收、转发监测数据，各项功能指标满足设计文件技术要求。</w:t>
      </w:r>
    </w:p>
    <w:p w14:paraId="3DD5EC0E">
      <w:pPr>
        <w:pStyle w:val="4"/>
        <w:tabs>
          <w:tab w:val="left" w:pos="0"/>
        </w:tabs>
        <w:spacing w:beforeLines="0" w:afterLines="0"/>
        <w:rPr>
          <w:rFonts w:ascii="宋体" w:hAnsi="宋体"/>
        </w:rPr>
      </w:pPr>
      <w:r>
        <w:rPr>
          <w:rFonts w:hint="eastAsia" w:ascii="宋体" w:hAnsi="宋体"/>
        </w:rPr>
        <w:t>12.3.2软件验收应进行用户界面软件功能完整性和一致性检查，各软件模块功能满足设计文件技术要求，静态基础数据、实时监测数据、历史统计数据等各类数据显示准确、齐全。</w:t>
      </w:r>
    </w:p>
    <w:p w14:paraId="2EEB2911">
      <w:pPr>
        <w:pStyle w:val="4"/>
        <w:tabs>
          <w:tab w:val="left" w:pos="0"/>
        </w:tabs>
        <w:spacing w:beforeLines="0" w:afterLines="0"/>
        <w:rPr>
          <w:rFonts w:ascii="宋体" w:hAnsi="宋体"/>
        </w:rPr>
      </w:pPr>
      <w:r>
        <w:rPr>
          <w:rFonts w:hint="eastAsia" w:ascii="宋体" w:hAnsi="宋体"/>
        </w:rPr>
        <w:t>12.3.3软件的整体请求响应速度、数据刷新率等性能指标满足设计文件技术要求。</w:t>
      </w:r>
    </w:p>
    <w:p w14:paraId="66F1CD6E">
      <w:pPr>
        <w:pStyle w:val="4"/>
        <w:tabs>
          <w:tab w:val="left" w:pos="0"/>
        </w:tabs>
        <w:spacing w:beforeLines="0" w:afterLines="0"/>
        <w:rPr>
          <w:rFonts w:ascii="宋体" w:hAnsi="宋体"/>
        </w:rPr>
      </w:pPr>
      <w:r>
        <w:rPr>
          <w:rFonts w:hint="eastAsia" w:ascii="宋体" w:hAnsi="宋体"/>
        </w:rPr>
        <w:t>12.3.4软件验收应进行系统整体安全性检查，确保满足设计文件中对于网络信息安全相关技术要求。</w:t>
      </w:r>
    </w:p>
    <w:p w14:paraId="79EC4A28">
      <w:pPr>
        <w:pStyle w:val="108"/>
        <w:numPr>
          <w:ilvl w:val="1"/>
          <w:numId w:val="1"/>
        </w:numPr>
        <w:spacing w:beforeLines="50" w:afterLines="50"/>
      </w:pPr>
      <w:bookmarkStart w:id="152" w:name="_Toc29095"/>
      <w:r>
        <w:rPr>
          <w:rFonts w:hint="eastAsia"/>
        </w:rPr>
        <w:t>监测系统</w:t>
      </w:r>
      <w:r>
        <w:t>资料验收</w:t>
      </w:r>
      <w:bookmarkEnd w:id="152"/>
    </w:p>
    <w:p w14:paraId="4F5B2F5C">
      <w:pPr>
        <w:pStyle w:val="4"/>
        <w:tabs>
          <w:tab w:val="left" w:pos="0"/>
        </w:tabs>
        <w:spacing w:beforeLines="0" w:afterLines="0"/>
      </w:pPr>
      <w:r>
        <w:rPr>
          <w:rFonts w:hint="eastAsia" w:ascii="宋体" w:hAnsi="宋体"/>
        </w:rPr>
        <w:t>12.4.1</w:t>
      </w:r>
      <w:r>
        <w:rPr>
          <w:rFonts w:hint="eastAsia"/>
        </w:rPr>
        <w:t>资料验收应检查验收资料的齐全性、规范性和一致性。</w:t>
      </w:r>
    </w:p>
    <w:p w14:paraId="73E06BA8">
      <w:pPr>
        <w:pStyle w:val="4"/>
        <w:tabs>
          <w:tab w:val="left" w:pos="0"/>
        </w:tabs>
        <w:spacing w:beforeLines="0" w:afterLines="0"/>
        <w:rPr>
          <w:rFonts w:ascii="宋体" w:hAnsi="宋体"/>
        </w:rPr>
      </w:pPr>
      <w:r>
        <w:rPr>
          <w:rFonts w:hint="eastAsia" w:ascii="宋体" w:hAnsi="宋体"/>
        </w:rPr>
        <w:t>12.4.2验收资料宜包含下列内容：</w:t>
      </w:r>
    </w:p>
    <w:p w14:paraId="50D68AF2">
      <w:pPr>
        <w:spacing w:beforeLines="0" w:afterLines="0"/>
        <w:ind w:firstLine="560"/>
        <w:rPr>
          <w:rFonts w:ascii="宋体" w:hAnsi="宋体"/>
          <w:bCs/>
        </w:rPr>
      </w:pPr>
      <w:r>
        <w:rPr>
          <w:rFonts w:hint="eastAsia" w:ascii="宋体" w:hAnsi="宋体"/>
          <w:bCs/>
        </w:rPr>
        <w:t>a）合同相关资料：合同协议书、合同谈判纪要等；</w:t>
      </w:r>
    </w:p>
    <w:p w14:paraId="296BFF30">
      <w:pPr>
        <w:spacing w:beforeLines="0" w:afterLines="0"/>
        <w:ind w:firstLine="560"/>
        <w:rPr>
          <w:rFonts w:ascii="宋体" w:hAnsi="宋体"/>
          <w:bCs/>
        </w:rPr>
      </w:pPr>
      <w:r>
        <w:rPr>
          <w:rFonts w:hint="eastAsia" w:ascii="宋体" w:hAnsi="宋体"/>
          <w:bCs/>
        </w:rPr>
        <w:t>b）实施过程资料：项目设计文件，项目变更资料，硬件设备进场报验资料、硬件设备设施安装记录、设备设施检验资料、</w:t>
      </w:r>
      <w:r>
        <w:rPr>
          <w:rFonts w:hint="eastAsia" w:ascii="宋体" w:hAnsi="宋体"/>
          <w:bCs/>
          <w:lang w:val="en-US" w:eastAsia="zh-CN"/>
        </w:rPr>
        <w:t>施工管理资料、</w:t>
      </w:r>
      <w:r>
        <w:rPr>
          <w:rFonts w:hint="eastAsia" w:ascii="宋体" w:hAnsi="宋体"/>
          <w:bCs/>
        </w:rPr>
        <w:t>监理资料（质量控制资料）、项目培训资料、有关会议纪要</w:t>
      </w:r>
      <w:r>
        <w:rPr>
          <w:rFonts w:hint="eastAsia" w:ascii="宋体" w:hAnsi="宋体"/>
          <w:bCs/>
          <w:lang w:eastAsia="zh-CN"/>
        </w:rPr>
        <w:t>、</w:t>
      </w:r>
      <w:r>
        <w:rPr>
          <w:rFonts w:hint="eastAsia" w:ascii="宋体" w:hAnsi="宋体"/>
          <w:bCs/>
          <w:lang w:val="en-US" w:eastAsia="zh-CN"/>
        </w:rPr>
        <w:t>工程保修书、工程质量合格文件</w:t>
      </w:r>
      <w:r>
        <w:rPr>
          <w:rFonts w:hint="eastAsia" w:ascii="宋体" w:hAnsi="宋体"/>
          <w:bCs/>
        </w:rPr>
        <w:t>等；</w:t>
      </w:r>
    </w:p>
    <w:p w14:paraId="5019ACF5">
      <w:pPr>
        <w:spacing w:beforeLines="0" w:afterLines="0"/>
        <w:ind w:firstLine="560"/>
        <w:rPr>
          <w:rFonts w:ascii="宋体" w:hAnsi="宋体"/>
          <w:bCs/>
        </w:rPr>
      </w:pPr>
      <w:r>
        <w:rPr>
          <w:rFonts w:hint="eastAsia" w:ascii="宋体" w:hAnsi="宋体"/>
          <w:bCs/>
        </w:rPr>
        <w:t>c）技术成果资料：系统竣工图、系统试运行报告、硬件产品说明书、软件需求说明书、软件详细设计、软件测试方案、软件测试报告、软件部署手册、软件操作手册、软件运维手册等。</w:t>
      </w:r>
    </w:p>
    <w:p w14:paraId="6B2E56F6">
      <w:pPr>
        <w:pStyle w:val="111"/>
        <w:pageBreakBefore w:val="0"/>
        <w:numPr>
          <w:ilvl w:val="0"/>
          <w:numId w:val="1"/>
        </w:numPr>
        <w:spacing w:beforeLines="100" w:afterLines="100"/>
        <w:ind w:left="0" w:firstLine="0"/>
        <w:rPr>
          <w:rFonts w:hint="eastAsia"/>
          <w:sz w:val="21"/>
          <w:szCs w:val="21"/>
        </w:rPr>
      </w:pPr>
      <w:bookmarkStart w:id="153" w:name="_Toc3494"/>
      <w:bookmarkStart w:id="154" w:name="_Toc183155561"/>
      <w:r>
        <w:rPr>
          <w:rFonts w:hint="eastAsia"/>
          <w:sz w:val="21"/>
          <w:szCs w:val="21"/>
        </w:rPr>
        <w:t>标准实施及评价</w:t>
      </w:r>
      <w:bookmarkEnd w:id="153"/>
      <w:bookmarkEnd w:id="154"/>
    </w:p>
    <w:p w14:paraId="0D503ECC">
      <w:pPr>
        <w:pStyle w:val="98"/>
        <w:spacing w:before="31" w:after="31"/>
        <w:rPr>
          <w:rFonts w:hint="eastAsia" w:ascii="宋体" w:hAnsi="宋体"/>
          <w:color w:val="auto"/>
        </w:rPr>
      </w:pPr>
      <w:r>
        <w:rPr>
          <w:rFonts w:hint="eastAsia" w:hAnsi="宋体"/>
          <w:color w:val="auto"/>
        </w:rPr>
        <w:t>1</w:t>
      </w:r>
      <w:r>
        <w:rPr>
          <w:rFonts w:hint="eastAsia" w:hAnsi="宋体"/>
          <w:color w:val="auto"/>
          <w:lang w:val="en-US" w:eastAsia="zh-CN"/>
        </w:rPr>
        <w:t>3</w:t>
      </w:r>
      <w:r>
        <w:rPr>
          <w:rFonts w:hint="eastAsia" w:hAnsi="宋体"/>
          <w:color w:val="auto"/>
        </w:rPr>
        <w:t>.1</w:t>
      </w:r>
      <w:r>
        <w:rPr>
          <w:rFonts w:hint="eastAsia" w:hAnsi="宋体"/>
          <w:color w:val="auto"/>
          <w:lang w:val="en-US" w:eastAsia="zh-CN"/>
        </w:rPr>
        <w:t>标准实施准备。</w:t>
      </w:r>
      <w:r>
        <w:rPr>
          <w:rFonts w:hint="eastAsia" w:ascii="宋体" w:hAnsi="宋体"/>
          <w:color w:val="auto"/>
        </w:rPr>
        <w:t>结合</w:t>
      </w:r>
      <w:r>
        <w:rPr>
          <w:rFonts w:hint="eastAsia" w:ascii="宋体" w:hAnsi="宋体"/>
          <w:color w:val="auto"/>
          <w:lang w:val="en-US" w:eastAsia="zh-CN"/>
        </w:rPr>
        <w:t>城市生命线工程建设需求</w:t>
      </w:r>
      <w:r>
        <w:rPr>
          <w:rFonts w:hint="eastAsia" w:ascii="宋体" w:hAnsi="宋体"/>
          <w:color w:val="auto"/>
        </w:rPr>
        <w:t>，认真做好标准实施准备，</w:t>
      </w:r>
      <w:r>
        <w:rPr>
          <w:rFonts w:hint="eastAsia" w:ascii="宋体" w:hAnsi="宋体"/>
          <w:color w:val="auto"/>
          <w:lang w:val="en-US" w:eastAsia="zh-CN"/>
        </w:rPr>
        <w:t>根据风险评估结果，对城市生命线安全工程进行统筹规划，分步实施、重点优先、急用先行、逐步覆盖，做好</w:t>
      </w:r>
      <w:r>
        <w:rPr>
          <w:rFonts w:hint="eastAsia" w:ascii="宋体" w:hAnsi="宋体"/>
          <w:color w:val="auto"/>
        </w:rPr>
        <w:t>组织准备</w:t>
      </w:r>
      <w:r>
        <w:rPr>
          <w:rFonts w:hint="eastAsia" w:ascii="宋体" w:hAnsi="宋体"/>
          <w:color w:val="auto"/>
          <w:lang w:val="en-US" w:eastAsia="zh-CN"/>
        </w:rPr>
        <w:t>工作，成立专业建设运维单位，做好</w:t>
      </w:r>
      <w:r>
        <w:rPr>
          <w:rFonts w:hint="eastAsia" w:ascii="宋体" w:hAnsi="宋体"/>
          <w:color w:val="auto"/>
        </w:rPr>
        <w:t>知识准备</w:t>
      </w:r>
      <w:r>
        <w:rPr>
          <w:rFonts w:hint="eastAsia" w:ascii="宋体" w:hAnsi="宋体"/>
          <w:color w:val="auto"/>
          <w:lang w:val="en-US" w:eastAsia="zh-CN"/>
        </w:rPr>
        <w:t>工作，对建设、运维人员进行技术培训，同时做好</w:t>
      </w:r>
      <w:r>
        <w:rPr>
          <w:rFonts w:hint="eastAsia" w:ascii="宋体" w:hAnsi="宋体"/>
          <w:color w:val="auto"/>
        </w:rPr>
        <w:t>物质条件准备</w:t>
      </w:r>
      <w:r>
        <w:rPr>
          <w:rFonts w:hint="eastAsia" w:ascii="宋体" w:hAnsi="宋体"/>
          <w:color w:val="auto"/>
          <w:lang w:val="en-US" w:eastAsia="zh-CN"/>
        </w:rPr>
        <w:t>工作</w:t>
      </w:r>
      <w:r>
        <w:rPr>
          <w:rFonts w:hint="eastAsia" w:ascii="宋体" w:hAnsi="宋体"/>
          <w:color w:val="auto"/>
        </w:rPr>
        <w:t>。</w:t>
      </w:r>
    </w:p>
    <w:p w14:paraId="3D574083">
      <w:pPr>
        <w:pStyle w:val="98"/>
        <w:spacing w:before="31" w:after="31"/>
        <w:rPr>
          <w:rFonts w:hint="eastAsia" w:hAnsi="宋体"/>
          <w:color w:val="auto"/>
        </w:rPr>
      </w:pPr>
      <w:r>
        <w:rPr>
          <w:rFonts w:hint="eastAsia" w:hAnsi="宋体"/>
          <w:color w:val="auto"/>
        </w:rPr>
        <w:t>1</w:t>
      </w:r>
      <w:r>
        <w:rPr>
          <w:rFonts w:hint="eastAsia" w:hAnsi="宋体"/>
          <w:color w:val="auto"/>
          <w:lang w:val="en-US" w:eastAsia="zh-CN"/>
        </w:rPr>
        <w:t>3</w:t>
      </w:r>
      <w:r>
        <w:rPr>
          <w:rFonts w:hint="eastAsia" w:hAnsi="宋体"/>
          <w:color w:val="auto"/>
        </w:rPr>
        <w:t>.2标准实施方案</w:t>
      </w:r>
      <w:r>
        <w:rPr>
          <w:rFonts w:hint="eastAsia" w:hAnsi="宋体"/>
          <w:color w:val="auto"/>
          <w:lang w:eastAsia="zh-CN"/>
        </w:rPr>
        <w:t>。</w:t>
      </w:r>
      <w:r>
        <w:rPr>
          <w:rFonts w:hint="eastAsia" w:hAnsi="宋体"/>
          <w:color w:val="auto"/>
          <w:lang w:val="en-US" w:eastAsia="zh-CN"/>
        </w:rPr>
        <w:t>本方案适用于湖北省城市生命线安全工程的建设、运行维护，从</w:t>
      </w:r>
      <w:r>
        <w:rPr>
          <w:rFonts w:hint="eastAsia" w:hAnsi="宋体"/>
          <w:color w:val="auto"/>
        </w:rPr>
        <w:t>组织、制度、资金、人员和设备仪器等</w:t>
      </w:r>
      <w:r>
        <w:rPr>
          <w:rFonts w:hint="eastAsia" w:hAnsi="宋体"/>
          <w:color w:val="auto"/>
          <w:lang w:val="en-US" w:eastAsia="zh-CN"/>
        </w:rPr>
        <w:t>方面提供实施保障，进行风险评估、监测感知网络建设、工程数据库建设、监测系统建设、基础支撑系统建设、监测中心建设、验收、运行维护等全业务流程，</w:t>
      </w:r>
      <w:r>
        <w:rPr>
          <w:rFonts w:hint="eastAsia" w:hAnsi="宋体"/>
          <w:color w:val="auto"/>
        </w:rPr>
        <w:t>关键</w:t>
      </w:r>
      <w:r>
        <w:rPr>
          <w:rFonts w:hint="eastAsia" w:hAnsi="宋体"/>
          <w:color w:val="auto"/>
          <w:lang w:val="en-US" w:eastAsia="zh-CN"/>
        </w:rPr>
        <w:t>工作是做好监测设备布点</w:t>
      </w:r>
      <w:r>
        <w:rPr>
          <w:rFonts w:hint="eastAsia" w:hAnsi="宋体"/>
          <w:color w:val="auto"/>
        </w:rPr>
        <w:t>，标准实施中注意</w:t>
      </w:r>
      <w:r>
        <w:rPr>
          <w:rFonts w:hint="eastAsia" w:hAnsi="宋体"/>
          <w:color w:val="auto"/>
          <w:lang w:val="en-US" w:eastAsia="zh-CN"/>
        </w:rPr>
        <w:t>风险隐患研判、报警预警、协同处置</w:t>
      </w:r>
      <w:r>
        <w:rPr>
          <w:rFonts w:hint="eastAsia" w:hAnsi="宋体"/>
          <w:color w:val="auto"/>
        </w:rPr>
        <w:t>。</w:t>
      </w:r>
    </w:p>
    <w:p w14:paraId="27CF6302">
      <w:pPr>
        <w:pStyle w:val="98"/>
        <w:spacing w:before="31" w:after="31"/>
        <w:rPr>
          <w:rFonts w:hint="eastAsia" w:ascii="宋体" w:hAnsi="宋体"/>
          <w:color w:val="auto"/>
        </w:rPr>
      </w:pPr>
      <w:r>
        <w:rPr>
          <w:rFonts w:hAnsi="宋体"/>
          <w:color w:val="auto"/>
        </w:rPr>
        <w:t>1</w:t>
      </w:r>
      <w:r>
        <w:rPr>
          <w:rFonts w:hint="eastAsia" w:hAnsi="宋体"/>
          <w:color w:val="auto"/>
          <w:lang w:val="en-US" w:eastAsia="zh-CN"/>
        </w:rPr>
        <w:t>3</w:t>
      </w:r>
      <w:r>
        <w:rPr>
          <w:rFonts w:hAnsi="宋体"/>
          <w:color w:val="auto"/>
        </w:rPr>
        <w:t>.3</w:t>
      </w:r>
      <w:r>
        <w:rPr>
          <w:rFonts w:hint="eastAsia" w:hAnsi="宋体"/>
          <w:color w:val="auto"/>
          <w:lang w:val="en-US" w:eastAsia="zh-CN"/>
        </w:rPr>
        <w:t>标准宣贯培训。</w:t>
      </w:r>
      <w:r>
        <w:rPr>
          <w:rFonts w:hint="eastAsia" w:ascii="宋体" w:hAnsi="宋体"/>
          <w:color w:val="auto"/>
          <w:lang w:val="en-US" w:eastAsia="zh-CN"/>
        </w:rPr>
        <w:t>面向生命线领域相关主管部门、城市生命线权属（管养）单位、生命线安全工程建设单位、监测中心运维人员、勘察设计单位、施工单位</w:t>
      </w:r>
      <w:r>
        <w:rPr>
          <w:rFonts w:hint="eastAsia" w:ascii="宋体" w:hAnsi="宋体"/>
          <w:color w:val="auto"/>
        </w:rPr>
        <w:t>进行标准宣贯和培训，结合标准</w:t>
      </w:r>
      <w:r>
        <w:rPr>
          <w:rFonts w:hint="eastAsia" w:ascii="宋体" w:hAnsi="宋体"/>
          <w:color w:val="auto"/>
          <w:lang w:val="en-US" w:eastAsia="zh-CN"/>
        </w:rPr>
        <w:t>中监测对象确定、监测设备布点、风险隐患研判、报警预警等</w:t>
      </w:r>
      <w:r>
        <w:rPr>
          <w:rFonts w:hint="eastAsia" w:ascii="宋体" w:hAnsi="宋体"/>
          <w:color w:val="auto"/>
        </w:rPr>
        <w:t>要求，落实责任制，做到横向到边，纵向到底。</w:t>
      </w:r>
    </w:p>
    <w:p w14:paraId="043569DC">
      <w:pPr>
        <w:pStyle w:val="98"/>
        <w:spacing w:before="31" w:after="31"/>
        <w:rPr>
          <w:rFonts w:hint="eastAsia" w:ascii="宋体" w:hAnsi="宋体"/>
          <w:color w:val="auto"/>
        </w:rPr>
      </w:pPr>
      <w:r>
        <w:rPr>
          <w:rFonts w:hint="eastAsia" w:hAnsi="宋体"/>
          <w:color w:val="auto"/>
        </w:rPr>
        <w:t>1</w:t>
      </w:r>
      <w:r>
        <w:rPr>
          <w:rFonts w:hint="eastAsia" w:hAnsi="宋体"/>
          <w:color w:val="auto"/>
          <w:lang w:val="en-US" w:eastAsia="zh-CN"/>
        </w:rPr>
        <w:t>3</w:t>
      </w:r>
      <w:r>
        <w:rPr>
          <w:rFonts w:hint="eastAsia" w:hAnsi="宋体"/>
          <w:color w:val="auto"/>
        </w:rPr>
        <w:t>.4</w:t>
      </w:r>
      <w:r>
        <w:rPr>
          <w:rFonts w:hint="eastAsia" w:ascii="宋体" w:hAnsi="宋体"/>
          <w:color w:val="auto"/>
        </w:rPr>
        <w:t>标准实施</w:t>
      </w:r>
      <w:r>
        <w:rPr>
          <w:rFonts w:hint="eastAsia" w:ascii="宋体" w:hAnsi="宋体"/>
          <w:color w:val="auto"/>
          <w:lang w:eastAsia="zh-CN"/>
        </w:rPr>
        <w:t>。</w:t>
      </w:r>
      <w:r>
        <w:rPr>
          <w:rFonts w:hint="eastAsia" w:ascii="宋体" w:hAnsi="宋体"/>
          <w:color w:val="auto"/>
        </w:rPr>
        <w:t>主要在</w:t>
      </w:r>
      <w:r>
        <w:rPr>
          <w:rFonts w:hint="eastAsia" w:ascii="宋体" w:hAnsi="宋体"/>
          <w:color w:val="auto"/>
          <w:lang w:val="en-US" w:eastAsia="zh-CN"/>
        </w:rPr>
        <w:t>生命线领域</w:t>
      </w:r>
      <w:r>
        <w:rPr>
          <w:rFonts w:hint="eastAsia" w:ascii="宋体" w:hAnsi="宋体"/>
          <w:color w:val="auto"/>
        </w:rPr>
        <w:t>的规划</w:t>
      </w:r>
      <w:r>
        <w:rPr>
          <w:rFonts w:hint="eastAsia" w:ascii="宋体" w:hAnsi="宋体"/>
          <w:color w:val="auto"/>
          <w:lang w:eastAsia="zh-CN"/>
        </w:rPr>
        <w:t>、</w:t>
      </w:r>
      <w:r>
        <w:rPr>
          <w:rFonts w:hint="eastAsia" w:ascii="宋体" w:hAnsi="宋体"/>
          <w:color w:val="auto"/>
        </w:rPr>
        <w:t>设计、施工、</w:t>
      </w:r>
      <w:r>
        <w:rPr>
          <w:rFonts w:hint="eastAsia" w:ascii="宋体" w:hAnsi="宋体"/>
          <w:color w:val="auto"/>
          <w:lang w:val="en-US" w:eastAsia="zh-CN"/>
        </w:rPr>
        <w:t>运维</w:t>
      </w:r>
      <w:r>
        <w:rPr>
          <w:rFonts w:hint="eastAsia" w:ascii="宋体" w:hAnsi="宋体"/>
          <w:color w:val="auto"/>
        </w:rPr>
        <w:t>等活动中开展，标准实施的重点是在</w:t>
      </w:r>
      <w:r>
        <w:rPr>
          <w:rFonts w:hint="eastAsia" w:ascii="宋体" w:hAnsi="宋体"/>
          <w:color w:val="auto"/>
          <w:lang w:val="en-US" w:eastAsia="zh-CN"/>
        </w:rPr>
        <w:t>建设阶段确定监测对象和进行合理的监测布点</w:t>
      </w:r>
      <w:r>
        <w:rPr>
          <w:rFonts w:hint="eastAsia" w:ascii="宋体" w:hAnsi="宋体"/>
          <w:color w:val="auto"/>
        </w:rPr>
        <w:t>，在</w:t>
      </w:r>
      <w:r>
        <w:rPr>
          <w:rFonts w:hint="eastAsia" w:ascii="宋体" w:hAnsi="宋体"/>
          <w:color w:val="auto"/>
          <w:lang w:val="en-US" w:eastAsia="zh-CN"/>
        </w:rPr>
        <w:t>运维阶段保证监测系统正常运行、监测设备正常工作、精准研判风险隐患、准确进行报警预警、及时对接各行业主管部门做好事故风险的协同处置</w:t>
      </w:r>
      <w:r>
        <w:rPr>
          <w:rFonts w:hint="eastAsia" w:ascii="宋体" w:hAnsi="宋体"/>
          <w:color w:val="auto"/>
        </w:rPr>
        <w:t>。</w:t>
      </w:r>
    </w:p>
    <w:p w14:paraId="62CEB2A2">
      <w:pPr>
        <w:pStyle w:val="98"/>
        <w:spacing w:before="31" w:after="31"/>
        <w:rPr>
          <w:rFonts w:hint="eastAsia" w:ascii="宋体" w:hAnsi="宋体"/>
          <w:color w:val="auto"/>
        </w:rPr>
      </w:pPr>
      <w:r>
        <w:rPr>
          <w:rFonts w:hint="eastAsia" w:hAnsi="宋体"/>
          <w:color w:val="auto"/>
        </w:rPr>
        <w:t>1</w:t>
      </w:r>
      <w:r>
        <w:rPr>
          <w:rFonts w:hint="eastAsia" w:hAnsi="宋体"/>
          <w:color w:val="auto"/>
          <w:lang w:val="en-US" w:eastAsia="zh-CN"/>
        </w:rPr>
        <w:t>3</w:t>
      </w:r>
      <w:r>
        <w:rPr>
          <w:rFonts w:hint="eastAsia" w:hAnsi="宋体"/>
          <w:color w:val="auto"/>
        </w:rPr>
        <w:t>.5</w:t>
      </w:r>
      <w:r>
        <w:rPr>
          <w:rFonts w:hint="eastAsia" w:ascii="宋体" w:hAnsi="宋体"/>
          <w:color w:val="auto"/>
        </w:rPr>
        <w:t>标准实施检</w:t>
      </w:r>
      <w:r>
        <w:rPr>
          <w:rFonts w:hint="eastAsia" w:ascii="宋体" w:hAnsi="宋体"/>
          <w:color w:val="auto"/>
          <w:lang w:eastAsia="zh-CN"/>
        </w:rPr>
        <w:t>查。</w:t>
      </w:r>
      <w:r>
        <w:rPr>
          <w:rFonts w:hint="eastAsia" w:ascii="宋体" w:hAnsi="宋体"/>
          <w:color w:val="auto"/>
        </w:rPr>
        <w:t>主要是检</w:t>
      </w:r>
      <w:r>
        <w:rPr>
          <w:rFonts w:hint="eastAsia" w:ascii="宋体" w:hAnsi="宋体"/>
          <w:color w:val="auto"/>
          <w:lang w:eastAsia="zh-CN"/>
        </w:rPr>
        <w:t>查</w:t>
      </w:r>
      <w:r>
        <w:rPr>
          <w:rFonts w:hint="eastAsia" w:ascii="宋体" w:hAnsi="宋体"/>
          <w:color w:val="auto"/>
        </w:rPr>
        <w:t>标准实施方案的落实情况，需要逐条检</w:t>
      </w:r>
      <w:r>
        <w:rPr>
          <w:rFonts w:hint="eastAsia" w:ascii="宋体" w:hAnsi="宋体"/>
          <w:color w:val="auto"/>
          <w:lang w:eastAsia="zh-CN"/>
        </w:rPr>
        <w:t>查</w:t>
      </w:r>
      <w:bookmarkStart w:id="208" w:name="_GoBack"/>
      <w:bookmarkEnd w:id="208"/>
      <w:r>
        <w:rPr>
          <w:rFonts w:hint="eastAsia" w:ascii="宋体" w:hAnsi="宋体"/>
          <w:color w:val="auto"/>
        </w:rPr>
        <w:t>标准实施内容的落实，并记录未实施内容的理由或原因。标准实施检查也要检查标准实施的支持手段和物质条件的落实情况。做好标准实施验证记录，畅通标准实施信息采集的方式方法和反馈渠道，定期整理并处理收集到的意见建议。</w:t>
      </w:r>
    </w:p>
    <w:p w14:paraId="3DB082A1">
      <w:pPr>
        <w:pStyle w:val="98"/>
        <w:spacing w:before="31" w:after="31"/>
        <w:rPr>
          <w:rFonts w:hint="eastAsia" w:ascii="宋体" w:hAnsi="宋体"/>
          <w:color w:val="auto"/>
        </w:rPr>
      </w:pPr>
      <w:r>
        <w:rPr>
          <w:rFonts w:hint="eastAsia" w:hAnsi="宋体"/>
          <w:color w:val="auto"/>
        </w:rPr>
        <w:t>1</w:t>
      </w:r>
      <w:r>
        <w:rPr>
          <w:rFonts w:hint="eastAsia" w:hAnsi="宋体"/>
          <w:color w:val="auto"/>
          <w:lang w:val="en-US" w:eastAsia="zh-CN"/>
        </w:rPr>
        <w:t>3</w:t>
      </w:r>
      <w:r>
        <w:rPr>
          <w:rFonts w:hint="eastAsia" w:hAnsi="宋体"/>
          <w:color w:val="auto"/>
        </w:rPr>
        <w:t>.6</w:t>
      </w:r>
      <w:r>
        <w:rPr>
          <w:rFonts w:hint="eastAsia" w:hAnsi="宋体"/>
          <w:color w:val="auto"/>
          <w:lang w:val="en-US" w:eastAsia="zh-CN"/>
        </w:rPr>
        <w:t>标准实施评价。</w:t>
      </w:r>
      <w:r>
        <w:rPr>
          <w:rFonts w:hint="eastAsia" w:ascii="宋体" w:hAnsi="宋体"/>
          <w:color w:val="auto"/>
        </w:rPr>
        <w:t>在标准实施一定时间后，对照标准实施方案，开展标准实施效果评价分析，总结</w:t>
      </w:r>
      <w:r>
        <w:rPr>
          <w:rFonts w:hint="eastAsia" w:ascii="宋体" w:hAnsi="宋体"/>
          <w:color w:val="auto"/>
          <w:lang w:val="en-US" w:eastAsia="zh-CN"/>
        </w:rPr>
        <w:t>生命线安全工程</w:t>
      </w:r>
      <w:r>
        <w:rPr>
          <w:rFonts w:hint="eastAsia" w:ascii="宋体" w:hAnsi="宋体"/>
          <w:color w:val="auto"/>
        </w:rPr>
        <w:t>实施经验成效，梳理存在的薄弱环节，标准实施的评价主要是评价标准实施的效果，主要从</w:t>
      </w:r>
      <w:r>
        <w:rPr>
          <w:rFonts w:hint="eastAsia" w:ascii="宋体" w:hAnsi="宋体"/>
          <w:color w:val="auto"/>
          <w:lang w:val="en-US" w:eastAsia="zh-CN"/>
        </w:rPr>
        <w:t>建设安全韧性城市、减少或控制事故隐患、保障城市基础设施生命线安全健康运行、保障居民生命财产安全、推进行业</w:t>
      </w:r>
      <w:r>
        <w:rPr>
          <w:rFonts w:hint="eastAsia" w:ascii="宋体" w:hAnsi="宋体"/>
          <w:color w:val="auto"/>
        </w:rPr>
        <w:t>技术进步、质量水平提高、规范秩序、效率提高、节约费用、节省时间、履行社会责任等方面进行有益性评价，同时还要评价标准实施带来的问题，以便为未来改进提供参考。</w:t>
      </w:r>
    </w:p>
    <w:p w14:paraId="75A5815B">
      <w:pPr>
        <w:pStyle w:val="98"/>
        <w:spacing w:before="31" w:after="31"/>
        <w:rPr>
          <w:rFonts w:hint="eastAsia" w:ascii="宋体" w:hAnsi="宋体"/>
          <w:color w:val="auto"/>
        </w:rPr>
      </w:pPr>
      <w:r>
        <w:rPr>
          <w:rFonts w:hint="eastAsia" w:hAnsi="宋体"/>
          <w:color w:val="auto"/>
        </w:rPr>
        <w:t>1</w:t>
      </w:r>
      <w:r>
        <w:rPr>
          <w:rFonts w:hint="eastAsia" w:hAnsi="宋体"/>
          <w:color w:val="auto"/>
          <w:lang w:val="en-US" w:eastAsia="zh-CN"/>
        </w:rPr>
        <w:t>3</w:t>
      </w:r>
      <w:r>
        <w:rPr>
          <w:rFonts w:hint="eastAsia" w:hAnsi="宋体"/>
          <w:color w:val="auto"/>
        </w:rPr>
        <w:t>.7</w:t>
      </w:r>
      <w:r>
        <w:rPr>
          <w:rFonts w:hint="eastAsia" w:hAnsi="宋体"/>
          <w:color w:val="auto"/>
          <w:lang w:val="en-US" w:eastAsia="zh-CN"/>
        </w:rPr>
        <w:t>标准修订。</w:t>
      </w:r>
      <w:r>
        <w:rPr>
          <w:rFonts w:hint="eastAsia" w:ascii="宋体" w:hAnsi="宋体"/>
          <w:color w:val="auto"/>
        </w:rPr>
        <w:t>适时向专业标准化技术委员会和标准归口管理单位反馈情况，提出标准推广、修改、补充、完善或者废止等意见建议。</w:t>
      </w:r>
    </w:p>
    <w:p w14:paraId="6D287822">
      <w:pPr>
        <w:pStyle w:val="98"/>
        <w:spacing w:before="31" w:after="31"/>
        <w:rPr>
          <w:rFonts w:hint="eastAsia" w:ascii="宋体" w:hAnsi="宋体"/>
          <w:color w:val="auto"/>
        </w:rPr>
      </w:pPr>
      <w:r>
        <w:rPr>
          <w:rFonts w:hint="eastAsia" w:hAnsi="宋体"/>
          <w:color w:val="auto"/>
        </w:rPr>
        <w:t>1</w:t>
      </w:r>
      <w:r>
        <w:rPr>
          <w:rFonts w:hint="eastAsia" w:hAnsi="宋体"/>
          <w:color w:val="auto"/>
          <w:lang w:val="en-US" w:eastAsia="zh-CN"/>
        </w:rPr>
        <w:t>3</w:t>
      </w:r>
      <w:r>
        <w:rPr>
          <w:rFonts w:hint="eastAsia" w:hAnsi="宋体"/>
          <w:color w:val="auto"/>
        </w:rPr>
        <w:t>.8</w:t>
      </w:r>
      <w:r>
        <w:rPr>
          <w:rFonts w:hint="eastAsia" w:ascii="宋体" w:hAnsi="宋体"/>
          <w:color w:val="auto"/>
        </w:rPr>
        <w:t>标准实施信息及意见反馈表相关示例见附录</w:t>
      </w:r>
      <w:r>
        <w:rPr>
          <w:rFonts w:hint="eastAsia"/>
          <w:color w:val="auto"/>
          <w:lang w:val="en-US" w:eastAsia="zh-CN"/>
        </w:rPr>
        <w:t>E</w:t>
      </w:r>
      <w:r>
        <w:rPr>
          <w:rFonts w:hint="eastAsia" w:ascii="宋体" w:hAnsi="宋体"/>
          <w:color w:val="auto"/>
        </w:rPr>
        <w:t>。</w:t>
      </w:r>
    </w:p>
    <w:p w14:paraId="2096A3F3">
      <w:pPr>
        <w:spacing w:before="24" w:after="24"/>
        <w:ind w:firstLine="420"/>
        <w:rPr>
          <w:szCs w:val="21"/>
        </w:rPr>
        <w:sectPr>
          <w:headerReference r:id="rId22" w:type="default"/>
          <w:footerReference r:id="rId24" w:type="default"/>
          <w:headerReference r:id="rId23" w:type="even"/>
          <w:footerReference r:id="rId25" w:type="even"/>
          <w:pgSz w:w="12000" w:h="17060"/>
          <w:pgMar w:top="1440" w:right="1349" w:bottom="1440" w:left="1457" w:header="850" w:footer="992" w:gutter="0"/>
          <w:pgBorders>
            <w:top w:val="none" w:sz="0" w:space="0"/>
            <w:left w:val="none" w:sz="0" w:space="0"/>
            <w:bottom w:val="none" w:sz="0" w:space="0"/>
            <w:right w:val="none" w:sz="0" w:space="0"/>
          </w:pgBorders>
          <w:pgNumType w:start="1"/>
          <w:cols w:space="720" w:num="1"/>
        </w:sectPr>
      </w:pPr>
    </w:p>
    <w:p w14:paraId="347E5F8F">
      <w:pPr>
        <w:pStyle w:val="2"/>
        <w:pageBreakBefore/>
        <w:tabs>
          <w:tab w:val="left" w:pos="454"/>
        </w:tabs>
        <w:spacing w:before="31" w:after="31"/>
        <w:jc w:val="center"/>
        <w:rPr>
          <w:rFonts w:hint="eastAsia" w:ascii="黑体" w:hAnsi="黑体" w:eastAsia="黑体" w:cs="黑体"/>
          <w:sz w:val="21"/>
          <w:szCs w:val="21"/>
          <w:lang w:val="en-US" w:eastAsia="zh-CN"/>
        </w:rPr>
      </w:pPr>
      <w:bookmarkStart w:id="155" w:name="_Toc2465"/>
      <w:bookmarkStart w:id="156" w:name="_Toc232858340"/>
      <w:bookmarkStart w:id="157" w:name="_Toc192081899"/>
      <w:r>
        <w:rPr>
          <w:rFonts w:hint="eastAsia" w:ascii="黑体" w:hAnsi="黑体" w:eastAsia="黑体" w:cs="黑体"/>
          <w:sz w:val="21"/>
          <w:szCs w:val="21"/>
        </w:rPr>
        <w:t>附录</w:t>
      </w:r>
      <w:r>
        <w:rPr>
          <w:rFonts w:hint="eastAsia" w:ascii="黑体" w:hAnsi="黑体" w:eastAsia="黑体" w:cs="黑体"/>
          <w:sz w:val="21"/>
          <w:szCs w:val="21"/>
          <w:lang w:val="en-US" w:eastAsia="zh-CN"/>
        </w:rPr>
        <w:t>A</w:t>
      </w:r>
      <w:r>
        <w:rPr>
          <w:rFonts w:hint="eastAsia" w:ascii="黑体" w:hAnsi="黑体" w:eastAsia="黑体" w:cs="黑体"/>
          <w:sz w:val="21"/>
          <w:szCs w:val="21"/>
        </w:rPr>
        <w:br w:type="textWrapping"/>
      </w:r>
      <w:r>
        <w:rPr>
          <w:rFonts w:hint="eastAsia" w:ascii="黑体" w:hAnsi="黑体" w:eastAsia="黑体" w:cs="黑体"/>
          <w:b w:val="0"/>
          <w:bCs w:val="0"/>
          <w:sz w:val="21"/>
          <w:szCs w:val="21"/>
        </w:rPr>
        <w:t>（</w:t>
      </w:r>
      <w:r>
        <w:rPr>
          <w:rFonts w:hint="eastAsia" w:ascii="黑体" w:hAnsi="黑体" w:eastAsia="黑体" w:cs="黑体"/>
          <w:b w:val="0"/>
          <w:bCs w:val="0"/>
          <w:sz w:val="21"/>
          <w:szCs w:val="21"/>
          <w:lang w:val="en-US" w:eastAsia="zh-CN"/>
        </w:rPr>
        <w:t>规范</w:t>
      </w:r>
      <w:r>
        <w:rPr>
          <w:rFonts w:hint="eastAsia" w:ascii="黑体" w:hAnsi="黑体" w:eastAsia="黑体" w:cs="黑体"/>
          <w:b w:val="0"/>
          <w:bCs w:val="0"/>
          <w:sz w:val="21"/>
          <w:szCs w:val="21"/>
        </w:rPr>
        <w:t>性）</w:t>
      </w:r>
      <w:r>
        <w:rPr>
          <w:rFonts w:hint="eastAsia" w:ascii="黑体" w:hAnsi="黑体" w:eastAsia="黑体" w:cs="黑体"/>
          <w:b w:val="0"/>
          <w:bCs w:val="0"/>
          <w:sz w:val="21"/>
          <w:szCs w:val="21"/>
        </w:rPr>
        <w:br w:type="textWrapping"/>
      </w:r>
      <w:r>
        <w:rPr>
          <w:rFonts w:hint="eastAsia" w:ascii="黑体" w:hAnsi="黑体" w:eastAsia="黑体" w:cs="黑体"/>
          <w:b w:val="0"/>
          <w:bCs w:val="0"/>
          <w:sz w:val="21"/>
          <w:szCs w:val="21"/>
          <w:lang w:val="en-US" w:eastAsia="zh-CN"/>
        </w:rPr>
        <w:t>可能性评估指标、安全管理指标、后果评估指标</w:t>
      </w:r>
      <w:bookmarkEnd w:id="155"/>
    </w:p>
    <w:p w14:paraId="01AFCDFC">
      <w:pPr>
        <w:pStyle w:val="2"/>
        <w:keepNext w:val="0"/>
        <w:tabs>
          <w:tab w:val="left" w:pos="454"/>
        </w:tabs>
        <w:spacing w:before="312" w:beforeLines="100" w:after="312" w:afterLines="100"/>
        <w:rPr>
          <w:rFonts w:hint="eastAsia" w:ascii="宋体" w:hAnsi="宋体"/>
          <w:szCs w:val="21"/>
        </w:rPr>
      </w:pPr>
      <w:bookmarkStart w:id="158" w:name="_Toc8826"/>
      <w:bookmarkStart w:id="159" w:name="_Toc232858341"/>
      <w:r>
        <w:rPr>
          <w:rFonts w:hint="eastAsia" w:ascii="宋体" w:hAnsi="宋体"/>
          <w:szCs w:val="21"/>
          <w:lang w:val="en-US" w:eastAsia="zh-CN"/>
        </w:rPr>
        <w:t>A</w:t>
      </w:r>
      <w:r>
        <w:rPr>
          <w:rFonts w:hint="eastAsia" w:ascii="宋体" w:hAnsi="宋体"/>
          <w:szCs w:val="21"/>
        </w:rPr>
        <w:t>.1可能性评估指标</w:t>
      </w:r>
      <w:bookmarkEnd w:id="158"/>
    </w:p>
    <w:p w14:paraId="489563AA">
      <w:pPr>
        <w:rPr>
          <w:rFonts w:hint="eastAsia"/>
          <w:b w:val="0"/>
          <w:bCs w:val="0"/>
          <w:lang w:val="en-US" w:eastAsia="zh-CN"/>
        </w:rPr>
      </w:pPr>
      <w:r>
        <w:rPr>
          <w:rFonts w:hint="eastAsia"/>
          <w:b w:val="0"/>
          <w:bCs w:val="0"/>
          <w:lang w:val="en-US" w:eastAsia="zh-CN"/>
        </w:rPr>
        <w:t>可能性评估指标见表A.1。</w:t>
      </w:r>
    </w:p>
    <w:tbl>
      <w:tblPr>
        <w:tblStyle w:val="35"/>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9"/>
        <w:gridCol w:w="1470"/>
        <w:gridCol w:w="5536"/>
      </w:tblGrid>
      <w:tr w14:paraId="476D2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jc w:val="center"/>
        </w:trPr>
        <w:tc>
          <w:tcPr>
            <w:tcW w:w="8505" w:type="dxa"/>
            <w:gridSpan w:val="3"/>
            <w:tcBorders>
              <w:top w:val="nil"/>
              <w:left w:val="nil"/>
              <w:right w:val="nil"/>
            </w:tcBorders>
            <w:vAlign w:val="center"/>
          </w:tcPr>
          <w:p w14:paraId="2EAA83D4">
            <w:pPr>
              <w:spacing w:before="31" w:after="31"/>
              <w:jc w:val="center"/>
              <w:rPr>
                <w:rFonts w:cs="宋体" w:asciiTheme="minorEastAsia" w:hAnsiTheme="minorEastAsia" w:eastAsiaTheme="minorEastAsia"/>
                <w:kern w:val="0"/>
                <w:szCs w:val="21"/>
              </w:rPr>
            </w:pPr>
            <w:r>
              <w:rPr>
                <w:rFonts w:hint="eastAsia" w:ascii="黑体" w:hAnsi="黑体" w:eastAsia="黑体"/>
                <w:bCs/>
              </w:rPr>
              <w:t>表A.1  可能性评估指标</w:t>
            </w:r>
          </w:p>
        </w:tc>
      </w:tr>
      <w:tr w14:paraId="1EA9F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1499" w:type="dxa"/>
            <w:vAlign w:val="center"/>
          </w:tcPr>
          <w:p w14:paraId="2C445487">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设施类别</w:t>
            </w:r>
          </w:p>
        </w:tc>
        <w:tc>
          <w:tcPr>
            <w:tcW w:w="1470" w:type="dxa"/>
            <w:vAlign w:val="center"/>
          </w:tcPr>
          <w:p w14:paraId="72E7F601">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一级指标</w:t>
            </w:r>
          </w:p>
        </w:tc>
        <w:tc>
          <w:tcPr>
            <w:tcW w:w="5536" w:type="dxa"/>
            <w:vAlign w:val="center"/>
          </w:tcPr>
          <w:p w14:paraId="0F0290D2">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二级指标</w:t>
            </w:r>
          </w:p>
        </w:tc>
      </w:tr>
      <w:tr w14:paraId="1FECA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restart"/>
            <w:vAlign w:val="center"/>
          </w:tcPr>
          <w:p w14:paraId="28CB8875">
            <w:pPr>
              <w:spacing w:before="31" w:after="31" w:line="240" w:lineRule="auto"/>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燃气、供水、排水、热力</w:t>
            </w:r>
          </w:p>
        </w:tc>
        <w:tc>
          <w:tcPr>
            <w:tcW w:w="1470" w:type="dxa"/>
            <w:vMerge w:val="restart"/>
            <w:vAlign w:val="center"/>
          </w:tcPr>
          <w:p w14:paraId="224AA472">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物理属性</w:t>
            </w:r>
          </w:p>
        </w:tc>
        <w:tc>
          <w:tcPr>
            <w:tcW w:w="5536" w:type="dxa"/>
            <w:vAlign w:val="center"/>
          </w:tcPr>
          <w:p w14:paraId="270AEBA1">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管材</w:t>
            </w:r>
          </w:p>
        </w:tc>
      </w:tr>
      <w:tr w14:paraId="3A10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3529F350">
            <w:pPr>
              <w:spacing w:before="31" w:after="31"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05A810FD">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1F4E0494">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服役年限/管龄</w:t>
            </w:r>
          </w:p>
        </w:tc>
      </w:tr>
      <w:tr w14:paraId="71570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74080C17">
            <w:pPr>
              <w:spacing w:before="31" w:after="31"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0C3B4F8D">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3ED46FEC">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管径</w:t>
            </w:r>
          </w:p>
        </w:tc>
      </w:tr>
      <w:tr w14:paraId="0F288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3D1D9C96">
            <w:pPr>
              <w:spacing w:before="31" w:after="31"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70B8A412">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5658217A">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敷设方式</w:t>
            </w:r>
          </w:p>
        </w:tc>
      </w:tr>
      <w:tr w14:paraId="0FA13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3E5A7F44">
            <w:pPr>
              <w:spacing w:before="31" w:after="31"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749B33D4">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61BD0DC4">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管道缺陷等级</w:t>
            </w:r>
          </w:p>
        </w:tc>
      </w:tr>
      <w:tr w14:paraId="72041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75E0710A">
            <w:pPr>
              <w:spacing w:before="31" w:after="31"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58DC2E62">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542E6A9A">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管道示踪系统完整性（燃气）</w:t>
            </w:r>
          </w:p>
        </w:tc>
      </w:tr>
      <w:tr w14:paraId="6222A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221B19E0">
            <w:pPr>
              <w:spacing w:before="31" w:after="31"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18A842B4">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5B5A5564">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管道坡度（雨水、污水）</w:t>
            </w:r>
          </w:p>
        </w:tc>
      </w:tr>
      <w:tr w14:paraId="7CE18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68F88680">
            <w:pPr>
              <w:spacing w:before="31" w:after="31"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4F510A3A">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54839928">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雨水口收水能力（雨水）</w:t>
            </w:r>
          </w:p>
        </w:tc>
      </w:tr>
      <w:tr w14:paraId="12E68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3EB7AE29">
            <w:pPr>
              <w:spacing w:before="31" w:after="31"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7EAE51C8">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6A8E900A">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排涝设施可靠性（雨水）</w:t>
            </w:r>
          </w:p>
        </w:tc>
      </w:tr>
      <w:tr w14:paraId="5E97E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7FB2C064">
            <w:pPr>
              <w:spacing w:before="31" w:after="31"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08DE3BC1">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1A008121">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平均地面坡度（雨水）</w:t>
            </w:r>
          </w:p>
        </w:tc>
      </w:tr>
      <w:tr w14:paraId="06995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3250C98D">
            <w:pPr>
              <w:spacing w:before="31" w:after="31"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59C12F57">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613D4AD9">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综合径流系数（雨水）</w:t>
            </w:r>
          </w:p>
        </w:tc>
      </w:tr>
      <w:tr w14:paraId="6826C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49C75B22">
            <w:pPr>
              <w:spacing w:before="31" w:after="31"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227CFA67">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10780C1C">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管道设施过流能力（污水）</w:t>
            </w:r>
          </w:p>
        </w:tc>
      </w:tr>
      <w:tr w14:paraId="4E749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33F64B43">
            <w:pPr>
              <w:spacing w:before="31" w:after="31"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7A00CA17">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3361E555">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下游泵站、调蓄设施、污水处理厂运行情况（污水）</w:t>
            </w:r>
          </w:p>
        </w:tc>
      </w:tr>
      <w:tr w14:paraId="53F25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27DFB45E">
            <w:pPr>
              <w:spacing w:before="31" w:after="31" w:line="240" w:lineRule="auto"/>
              <w:jc w:val="left"/>
              <w:rPr>
                <w:rFonts w:hint="eastAsia" w:cs="宋体" w:asciiTheme="minorEastAsia" w:hAnsiTheme="minorEastAsia" w:eastAsiaTheme="minorEastAsia"/>
                <w:kern w:val="0"/>
                <w:szCs w:val="21"/>
              </w:rPr>
            </w:pPr>
          </w:p>
        </w:tc>
        <w:tc>
          <w:tcPr>
            <w:tcW w:w="1470" w:type="dxa"/>
            <w:vMerge w:val="restart"/>
            <w:vAlign w:val="center"/>
          </w:tcPr>
          <w:p w14:paraId="7418F4D3">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周边环境</w:t>
            </w:r>
          </w:p>
        </w:tc>
        <w:tc>
          <w:tcPr>
            <w:tcW w:w="5536" w:type="dxa"/>
            <w:vAlign w:val="center"/>
          </w:tcPr>
          <w:p w14:paraId="5478FA8C">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道路等级</w:t>
            </w:r>
          </w:p>
        </w:tc>
      </w:tr>
      <w:tr w14:paraId="47419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08C24EED">
            <w:pPr>
              <w:spacing w:before="31" w:after="31"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00F760AD">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293A0E38">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地面活动情况（绿化带、人行道、车道、交通路口）</w:t>
            </w:r>
          </w:p>
        </w:tc>
      </w:tr>
      <w:tr w14:paraId="6B01C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30C61633">
            <w:pPr>
              <w:spacing w:before="31" w:after="31"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318A1C89">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30A279E3">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管道线路标识完整度</w:t>
            </w:r>
          </w:p>
        </w:tc>
      </w:tr>
      <w:tr w14:paraId="3023F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6625DB9E">
            <w:pPr>
              <w:spacing w:before="31" w:after="31"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1DC1C1C2">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5DBC384D">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覆土深度</w:t>
            </w:r>
          </w:p>
        </w:tc>
      </w:tr>
      <w:tr w14:paraId="753DD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52BC977B">
            <w:pPr>
              <w:spacing w:before="31" w:after="31"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2ECF6CE3">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456CD424">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与周边建（构）筑物、相邻管道间距</w:t>
            </w:r>
          </w:p>
        </w:tc>
      </w:tr>
      <w:tr w14:paraId="69236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71A5366F">
            <w:pPr>
              <w:spacing w:before="31" w:after="31"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108D7A5C">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5318573D">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土体腐蚀性</w:t>
            </w:r>
          </w:p>
        </w:tc>
      </w:tr>
      <w:tr w14:paraId="48985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3A420FE1">
            <w:pPr>
              <w:spacing w:before="31" w:after="31"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711AE1D4">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68BC750F">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建筑物占压</w:t>
            </w:r>
          </w:p>
        </w:tc>
      </w:tr>
      <w:tr w14:paraId="2E5A8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23FB72F0">
            <w:pPr>
              <w:spacing w:before="31" w:after="31"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3EAE0147">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14294B75">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管道穿、跨越情况</w:t>
            </w:r>
          </w:p>
        </w:tc>
      </w:tr>
      <w:tr w14:paraId="68BE6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68DE815E">
            <w:pPr>
              <w:spacing w:before="31" w:after="31"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15A41445">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66DB8D95">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周边200</w:t>
            </w:r>
            <w:r>
              <w:rPr>
                <w:rFonts w:hint="eastAsia" w:cs="宋体" w:asciiTheme="minorEastAsia" w:hAnsiTheme="minorEastAsia" w:eastAsiaTheme="minorEastAsia"/>
                <w:kern w:val="0"/>
                <w:szCs w:val="21"/>
                <w:lang w:val="en-US" w:eastAsia="zh-CN"/>
              </w:rPr>
              <w:t>m</w:t>
            </w:r>
            <w:r>
              <w:rPr>
                <w:rFonts w:cs="宋体" w:asciiTheme="minorEastAsia" w:hAnsiTheme="minorEastAsia" w:eastAsiaTheme="minorEastAsia"/>
                <w:kern w:val="0"/>
                <w:szCs w:val="21"/>
              </w:rPr>
              <w:t>地质灾害情况</w:t>
            </w:r>
          </w:p>
        </w:tc>
      </w:tr>
      <w:tr w14:paraId="63AD6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46C2F45C">
            <w:pPr>
              <w:spacing w:before="31" w:after="31" w:line="240" w:lineRule="auto"/>
              <w:jc w:val="left"/>
              <w:rPr>
                <w:rFonts w:hint="eastAsia" w:cs="宋体" w:asciiTheme="minorEastAsia" w:hAnsiTheme="minorEastAsia" w:eastAsiaTheme="minorEastAsia"/>
                <w:kern w:val="0"/>
                <w:szCs w:val="21"/>
              </w:rPr>
            </w:pPr>
          </w:p>
        </w:tc>
        <w:tc>
          <w:tcPr>
            <w:tcW w:w="1470" w:type="dxa"/>
            <w:vMerge w:val="restart"/>
            <w:vAlign w:val="center"/>
          </w:tcPr>
          <w:p w14:paraId="0F32AE6B">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运维状态</w:t>
            </w:r>
          </w:p>
        </w:tc>
        <w:tc>
          <w:tcPr>
            <w:tcW w:w="5536" w:type="dxa"/>
            <w:vAlign w:val="center"/>
          </w:tcPr>
          <w:p w14:paraId="0079CEE2">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管道漏损情况</w:t>
            </w:r>
          </w:p>
        </w:tc>
      </w:tr>
      <w:tr w14:paraId="4F566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4D0AE79E">
            <w:pPr>
              <w:spacing w:before="31" w:after="31"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6EDD8F6D">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5A63B8F9">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历史事件</w:t>
            </w:r>
          </w:p>
        </w:tc>
      </w:tr>
      <w:tr w14:paraId="3EC02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17ADB5F4">
            <w:pPr>
              <w:spacing w:before="31" w:after="31"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6D162970">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76B1A056">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运行压力</w:t>
            </w:r>
          </w:p>
        </w:tc>
      </w:tr>
      <w:tr w14:paraId="01525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6C8037D7">
            <w:pPr>
              <w:spacing w:before="31" w:after="31"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06330300">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136E8605">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运行维护周期</w:t>
            </w:r>
          </w:p>
        </w:tc>
      </w:tr>
      <w:tr w14:paraId="0C9CD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47FE7309">
            <w:pPr>
              <w:spacing w:before="31" w:after="31"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6325F079">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38877148">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运维管理水平</w:t>
            </w:r>
          </w:p>
        </w:tc>
      </w:tr>
      <w:tr w14:paraId="3DE96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77B65F34">
            <w:pPr>
              <w:spacing w:before="31" w:after="31"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76381CC0">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3AE19894">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应急处置能力</w:t>
            </w:r>
          </w:p>
        </w:tc>
      </w:tr>
      <w:tr w14:paraId="525AC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2022EB45">
            <w:pPr>
              <w:spacing w:before="31" w:after="31"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1C00A5F1">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6D29ACBC">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第三方破坏风险指标</w:t>
            </w:r>
          </w:p>
        </w:tc>
      </w:tr>
      <w:tr w14:paraId="0531E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29B21E2A">
            <w:pPr>
              <w:spacing w:before="31" w:after="31"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6556400B">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612FCBB6">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管道保护层、保温层和防腐层情况</w:t>
            </w:r>
          </w:p>
        </w:tc>
      </w:tr>
      <w:tr w14:paraId="632F0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tcBorders>
              <w:bottom w:val="nil"/>
            </w:tcBorders>
            <w:vAlign w:val="center"/>
          </w:tcPr>
          <w:p w14:paraId="4E181FD3">
            <w:pPr>
              <w:spacing w:before="31" w:after="31" w:line="240" w:lineRule="auto"/>
              <w:jc w:val="left"/>
              <w:rPr>
                <w:rFonts w:hint="eastAsia" w:cs="宋体" w:asciiTheme="minorEastAsia" w:hAnsiTheme="minorEastAsia" w:eastAsiaTheme="minorEastAsia"/>
                <w:kern w:val="0"/>
                <w:szCs w:val="21"/>
              </w:rPr>
            </w:pPr>
          </w:p>
        </w:tc>
        <w:tc>
          <w:tcPr>
            <w:tcW w:w="1470" w:type="dxa"/>
            <w:vMerge w:val="continue"/>
            <w:tcBorders>
              <w:bottom w:val="nil"/>
            </w:tcBorders>
            <w:vAlign w:val="center"/>
          </w:tcPr>
          <w:p w14:paraId="4E07E5D8">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tcBorders>
              <w:bottom w:val="nil"/>
            </w:tcBorders>
            <w:vAlign w:val="center"/>
          </w:tcPr>
          <w:p w14:paraId="7E10288C">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地面管道保护情况</w:t>
            </w:r>
          </w:p>
        </w:tc>
      </w:tr>
      <w:tr w14:paraId="3AA53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8505" w:type="dxa"/>
            <w:gridSpan w:val="3"/>
            <w:tcBorders>
              <w:top w:val="nil"/>
              <w:left w:val="nil"/>
              <w:bottom w:val="single" w:color="auto" w:sz="4" w:space="0"/>
              <w:right w:val="nil"/>
            </w:tcBorders>
            <w:shd w:val="clear" w:color="auto" w:fill="auto"/>
            <w:vAlign w:val="center"/>
          </w:tcPr>
          <w:p w14:paraId="13F52397">
            <w:pPr>
              <w:spacing w:before="31" w:after="31"/>
              <w:jc w:val="center"/>
              <w:rPr>
                <w:rFonts w:hint="eastAsia" w:eastAsia="黑体" w:cs="宋体" w:asciiTheme="minorEastAsia" w:hAnsiTheme="minorEastAsia"/>
                <w:kern w:val="0"/>
                <w:sz w:val="21"/>
                <w:szCs w:val="21"/>
                <w:lang w:val="en-US" w:eastAsia="zh-CN" w:bidi="ar-SA"/>
              </w:rPr>
            </w:pPr>
            <w:r>
              <w:rPr>
                <w:rFonts w:hint="eastAsia" w:ascii="黑体" w:hAnsi="黑体" w:eastAsia="黑体"/>
                <w:bCs/>
              </w:rPr>
              <w:t>表A.1  可能性评估指标</w:t>
            </w:r>
            <w:r>
              <w:rPr>
                <w:rFonts w:hint="eastAsia" w:ascii="黑体" w:hAnsi="黑体" w:eastAsia="黑体"/>
                <w:bCs/>
                <w:lang w:eastAsia="zh-CN"/>
              </w:rPr>
              <w:t>（</w:t>
            </w:r>
            <w:r>
              <w:rPr>
                <w:rFonts w:hint="eastAsia" w:ascii="黑体" w:hAnsi="黑体" w:eastAsia="黑体"/>
                <w:bCs/>
                <w:lang w:val="en-US" w:eastAsia="zh-CN"/>
              </w:rPr>
              <w:t>续</w:t>
            </w:r>
            <w:r>
              <w:rPr>
                <w:rFonts w:hint="eastAsia" w:ascii="黑体" w:hAnsi="黑体" w:eastAsia="黑体"/>
                <w:bCs/>
                <w:lang w:eastAsia="zh-CN"/>
              </w:rPr>
              <w:t>）</w:t>
            </w:r>
          </w:p>
        </w:tc>
      </w:tr>
      <w:tr w14:paraId="29E0E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restart"/>
            <w:tcBorders>
              <w:top w:val="single" w:color="auto" w:sz="4" w:space="0"/>
              <w:bottom w:val="single" w:color="auto" w:sz="4" w:space="0"/>
            </w:tcBorders>
            <w:vAlign w:val="center"/>
          </w:tcPr>
          <w:p w14:paraId="1D5B27E0">
            <w:pPr>
              <w:spacing w:before="31" w:after="31" w:line="240" w:lineRule="auto"/>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燃气、供水、排水、热力</w:t>
            </w:r>
          </w:p>
        </w:tc>
        <w:tc>
          <w:tcPr>
            <w:tcW w:w="1470" w:type="dxa"/>
            <w:vMerge w:val="restart"/>
            <w:tcBorders>
              <w:top w:val="single" w:color="auto" w:sz="4" w:space="0"/>
              <w:bottom w:val="single" w:color="auto" w:sz="4" w:space="0"/>
            </w:tcBorders>
            <w:vAlign w:val="center"/>
          </w:tcPr>
          <w:p w14:paraId="72FD911C">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运维状态</w:t>
            </w:r>
          </w:p>
        </w:tc>
        <w:tc>
          <w:tcPr>
            <w:tcW w:w="5536" w:type="dxa"/>
            <w:tcBorders>
              <w:top w:val="single" w:color="auto" w:sz="4" w:space="0"/>
              <w:bottom w:val="single" w:color="auto" w:sz="4" w:space="0"/>
            </w:tcBorders>
            <w:vAlign w:val="center"/>
          </w:tcPr>
          <w:p w14:paraId="37BF99A3">
            <w:pPr>
              <w:widowControl/>
              <w:spacing w:beforeLines="0" w:afterLines="0" w:line="240" w:lineRule="auto"/>
              <w:jc w:val="center"/>
              <w:rPr>
                <w:rFonts w:hint="eastAsia" w:cs="宋体" w:asciiTheme="minorEastAsia" w:hAnsiTheme="minorEastAsia" w:eastAsiaTheme="minorEastAsia"/>
                <w:kern w:val="0"/>
                <w:sz w:val="21"/>
                <w:szCs w:val="21"/>
                <w:lang w:val="en-US" w:eastAsia="zh-CN" w:bidi="ar-SA"/>
              </w:rPr>
            </w:pPr>
            <w:r>
              <w:rPr>
                <w:rFonts w:cs="宋体" w:asciiTheme="minorEastAsia" w:hAnsiTheme="minorEastAsia" w:eastAsiaTheme="minorEastAsia"/>
                <w:kern w:val="0"/>
                <w:sz w:val="21"/>
                <w:szCs w:val="21"/>
                <w:lang w:val="en-US" w:eastAsia="zh-CN" w:bidi="ar-SA"/>
              </w:rPr>
              <w:t>管道定期检验报告</w:t>
            </w:r>
          </w:p>
        </w:tc>
      </w:tr>
      <w:tr w14:paraId="55143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tcBorders>
              <w:top w:val="single" w:color="auto" w:sz="4" w:space="0"/>
              <w:bottom w:val="single" w:color="auto" w:sz="4" w:space="0"/>
            </w:tcBorders>
            <w:vAlign w:val="center"/>
          </w:tcPr>
          <w:p w14:paraId="15E9E6E2">
            <w:pPr>
              <w:spacing w:before="31" w:after="31" w:line="240" w:lineRule="auto"/>
              <w:jc w:val="left"/>
              <w:rPr>
                <w:rFonts w:hint="eastAsia" w:cs="宋体" w:asciiTheme="minorEastAsia" w:hAnsiTheme="minorEastAsia" w:eastAsiaTheme="minorEastAsia"/>
                <w:kern w:val="0"/>
                <w:szCs w:val="21"/>
              </w:rPr>
            </w:pPr>
          </w:p>
        </w:tc>
        <w:tc>
          <w:tcPr>
            <w:tcW w:w="1470" w:type="dxa"/>
            <w:vMerge w:val="continue"/>
            <w:tcBorders>
              <w:top w:val="single" w:color="auto" w:sz="4" w:space="0"/>
              <w:bottom w:val="single" w:color="auto" w:sz="4" w:space="0"/>
            </w:tcBorders>
            <w:vAlign w:val="center"/>
          </w:tcPr>
          <w:p w14:paraId="08B68EDE">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tcBorders>
              <w:top w:val="single" w:color="auto" w:sz="4" w:space="0"/>
              <w:bottom w:val="single" w:color="auto" w:sz="4" w:space="0"/>
            </w:tcBorders>
            <w:vAlign w:val="center"/>
          </w:tcPr>
          <w:p w14:paraId="1D0E74E5">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地下水深度</w:t>
            </w:r>
          </w:p>
        </w:tc>
      </w:tr>
      <w:tr w14:paraId="24768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tcBorders>
              <w:top w:val="single" w:color="auto" w:sz="4" w:space="0"/>
            </w:tcBorders>
            <w:vAlign w:val="center"/>
          </w:tcPr>
          <w:p w14:paraId="39285781">
            <w:pPr>
              <w:widowControl/>
              <w:spacing w:beforeLines="0" w:afterLines="0" w:line="240" w:lineRule="auto"/>
              <w:jc w:val="left"/>
              <w:rPr>
                <w:rFonts w:hint="eastAsia" w:cs="宋体" w:asciiTheme="minorEastAsia" w:hAnsiTheme="minorEastAsia" w:eastAsiaTheme="minorEastAsia"/>
                <w:kern w:val="0"/>
                <w:szCs w:val="21"/>
              </w:rPr>
            </w:pPr>
          </w:p>
        </w:tc>
        <w:tc>
          <w:tcPr>
            <w:tcW w:w="1470" w:type="dxa"/>
            <w:vMerge w:val="continue"/>
            <w:tcBorders>
              <w:top w:val="single" w:color="auto" w:sz="4" w:space="0"/>
            </w:tcBorders>
            <w:vAlign w:val="center"/>
          </w:tcPr>
          <w:p w14:paraId="6CCFACA1">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tcBorders>
              <w:top w:val="single" w:color="auto" w:sz="4" w:space="0"/>
            </w:tcBorders>
            <w:vAlign w:val="center"/>
          </w:tcPr>
          <w:p w14:paraId="32B10A31">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管道带压情况（污水）</w:t>
            </w:r>
          </w:p>
        </w:tc>
      </w:tr>
      <w:tr w14:paraId="0B06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restart"/>
            <w:vAlign w:val="center"/>
          </w:tcPr>
          <w:p w14:paraId="0F8CB439">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桥梁</w:t>
            </w:r>
            <w:r>
              <w:rPr>
                <w:rFonts w:hint="eastAsia" w:cs="宋体" w:asciiTheme="minorEastAsia" w:hAnsiTheme="minorEastAsia" w:eastAsiaTheme="minorEastAsia"/>
                <w:kern w:val="0"/>
                <w:szCs w:val="21"/>
                <w:lang w:eastAsia="zh-CN"/>
              </w:rPr>
              <w:t>、</w:t>
            </w:r>
            <w:r>
              <w:rPr>
                <w:rFonts w:cs="宋体" w:asciiTheme="minorEastAsia" w:hAnsiTheme="minorEastAsia" w:eastAsiaTheme="minorEastAsia"/>
                <w:kern w:val="0"/>
                <w:szCs w:val="21"/>
              </w:rPr>
              <w:t>隧道</w:t>
            </w:r>
          </w:p>
        </w:tc>
        <w:tc>
          <w:tcPr>
            <w:tcW w:w="1470" w:type="dxa"/>
            <w:vMerge w:val="restart"/>
            <w:vAlign w:val="center"/>
          </w:tcPr>
          <w:p w14:paraId="1F310DDE">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物理属性</w:t>
            </w:r>
          </w:p>
        </w:tc>
        <w:tc>
          <w:tcPr>
            <w:tcW w:w="5536" w:type="dxa"/>
            <w:vAlign w:val="center"/>
          </w:tcPr>
          <w:p w14:paraId="168EC9DB">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总体技术状况</w:t>
            </w:r>
          </w:p>
        </w:tc>
      </w:tr>
      <w:tr w14:paraId="225B0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41696DE4">
            <w:pPr>
              <w:widowControl/>
              <w:spacing w:beforeLines="0" w:afterLines="0"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1688D69F">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189ABFBF">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服役年限</w:t>
            </w:r>
          </w:p>
        </w:tc>
      </w:tr>
      <w:tr w14:paraId="413D1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70FA9468">
            <w:pPr>
              <w:widowControl/>
              <w:spacing w:beforeLines="0" w:afterLines="0"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605AF742">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32020086">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加固改造情况</w:t>
            </w:r>
          </w:p>
        </w:tc>
      </w:tr>
      <w:tr w14:paraId="05493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46DB0E2E">
            <w:pPr>
              <w:widowControl/>
              <w:spacing w:beforeLines="0" w:afterLines="0"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3945FDE0">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0CF4D078">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机电设施装置情况</w:t>
            </w:r>
          </w:p>
        </w:tc>
      </w:tr>
      <w:tr w14:paraId="3187B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7FC9B4FB">
            <w:pPr>
              <w:widowControl/>
              <w:spacing w:beforeLines="0" w:afterLines="0"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0FBB8D62">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504506F7">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供配电、监控、照明及通风等设施故障率</w:t>
            </w:r>
          </w:p>
        </w:tc>
      </w:tr>
      <w:tr w14:paraId="04198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1A2AA26F">
            <w:pPr>
              <w:widowControl/>
              <w:spacing w:beforeLines="0" w:afterLines="0"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59C1CCA0">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41BB2412">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交通量</w:t>
            </w:r>
          </w:p>
        </w:tc>
      </w:tr>
      <w:tr w14:paraId="3FB23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1715D403">
            <w:pPr>
              <w:widowControl/>
              <w:spacing w:beforeLines="0" w:afterLines="0"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1DC086F8">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49BDCC88">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车辆构成</w:t>
            </w:r>
          </w:p>
        </w:tc>
      </w:tr>
      <w:tr w14:paraId="5FF38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1CD3177D">
            <w:pPr>
              <w:widowControl/>
              <w:spacing w:beforeLines="0" w:afterLines="0" w:line="240" w:lineRule="auto"/>
              <w:jc w:val="left"/>
              <w:rPr>
                <w:rFonts w:hint="eastAsia" w:cs="宋体" w:asciiTheme="minorEastAsia" w:hAnsiTheme="minorEastAsia" w:eastAsiaTheme="minorEastAsia"/>
                <w:kern w:val="0"/>
                <w:szCs w:val="21"/>
              </w:rPr>
            </w:pPr>
          </w:p>
        </w:tc>
        <w:tc>
          <w:tcPr>
            <w:tcW w:w="1470" w:type="dxa"/>
            <w:vMerge w:val="restart"/>
            <w:vAlign w:val="center"/>
          </w:tcPr>
          <w:p w14:paraId="5EDFDB57">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周边环境</w:t>
            </w:r>
          </w:p>
        </w:tc>
        <w:tc>
          <w:tcPr>
            <w:tcW w:w="5536" w:type="dxa"/>
            <w:vAlign w:val="center"/>
          </w:tcPr>
          <w:p w14:paraId="0E9DE818">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周边施工场地、大量堆土、易燃易爆品储存情况</w:t>
            </w:r>
          </w:p>
        </w:tc>
      </w:tr>
      <w:tr w14:paraId="5206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42AFD419">
            <w:pPr>
              <w:widowControl/>
              <w:spacing w:beforeLines="0" w:afterLines="0"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586251C6">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1F59CD99">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危化品车辆通行</w:t>
            </w:r>
          </w:p>
        </w:tc>
      </w:tr>
      <w:tr w14:paraId="65310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04D2C130">
            <w:pPr>
              <w:widowControl/>
              <w:spacing w:beforeLines="0" w:afterLines="0"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21AFD1F8">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5239C57F">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车、船或漂流物撞击</w:t>
            </w:r>
          </w:p>
        </w:tc>
      </w:tr>
      <w:tr w14:paraId="7AD68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3DDA262B">
            <w:pPr>
              <w:widowControl/>
              <w:spacing w:beforeLines="0" w:afterLines="0"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6AE6EFFB">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09F11280">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重载通行</w:t>
            </w:r>
          </w:p>
        </w:tc>
      </w:tr>
      <w:tr w14:paraId="2970F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3E058E05">
            <w:pPr>
              <w:widowControl/>
              <w:spacing w:beforeLines="0" w:afterLines="0"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5C8965D2">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3EF49887">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通行车辆构成</w:t>
            </w:r>
          </w:p>
        </w:tc>
      </w:tr>
      <w:tr w14:paraId="20605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65DEB278">
            <w:pPr>
              <w:widowControl/>
              <w:spacing w:beforeLines="0" w:afterLines="0"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0C5E54BB">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65CA8854">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雾、风、雪天气恶劣程度</w:t>
            </w:r>
          </w:p>
        </w:tc>
      </w:tr>
      <w:tr w14:paraId="7F1ED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7C6BDCF0">
            <w:pPr>
              <w:widowControl/>
              <w:spacing w:beforeLines="0" w:afterLines="0"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710224F0">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52DF5F94">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内涝积水（隧道）</w:t>
            </w:r>
          </w:p>
        </w:tc>
      </w:tr>
      <w:tr w14:paraId="248CE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4F8D3421">
            <w:pPr>
              <w:widowControl/>
              <w:spacing w:beforeLines="0" w:afterLines="0"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12B9B1B1">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527EF28C">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滑坡、泥石流、塌方等频发路段</w:t>
            </w:r>
          </w:p>
        </w:tc>
      </w:tr>
      <w:tr w14:paraId="4D73F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2B494189">
            <w:pPr>
              <w:widowControl/>
              <w:spacing w:beforeLines="0" w:afterLines="0"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444A2AD8">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0D007987">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地震</w:t>
            </w:r>
          </w:p>
        </w:tc>
      </w:tr>
      <w:tr w14:paraId="17570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6A53D3E0">
            <w:pPr>
              <w:widowControl/>
              <w:spacing w:beforeLines="0" w:afterLines="0" w:line="240" w:lineRule="auto"/>
              <w:jc w:val="left"/>
              <w:rPr>
                <w:rFonts w:hint="eastAsia" w:cs="宋体" w:asciiTheme="minorEastAsia" w:hAnsiTheme="minorEastAsia" w:eastAsiaTheme="minorEastAsia"/>
                <w:kern w:val="0"/>
                <w:szCs w:val="21"/>
              </w:rPr>
            </w:pPr>
          </w:p>
        </w:tc>
        <w:tc>
          <w:tcPr>
            <w:tcW w:w="1470" w:type="dxa"/>
            <w:vMerge w:val="restart"/>
            <w:vAlign w:val="center"/>
          </w:tcPr>
          <w:p w14:paraId="60955B7E">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运维状态</w:t>
            </w:r>
          </w:p>
        </w:tc>
        <w:tc>
          <w:tcPr>
            <w:tcW w:w="5536" w:type="dxa"/>
            <w:vAlign w:val="center"/>
          </w:tcPr>
          <w:p w14:paraId="254CF6C0">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养护类别</w:t>
            </w:r>
          </w:p>
        </w:tc>
      </w:tr>
      <w:tr w14:paraId="72653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240082F9">
            <w:pPr>
              <w:widowControl/>
              <w:spacing w:beforeLines="0" w:afterLines="0"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34E8405C">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0470BDFD">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运维管理水平</w:t>
            </w:r>
          </w:p>
        </w:tc>
      </w:tr>
      <w:tr w14:paraId="60C79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45BE513C">
            <w:pPr>
              <w:widowControl/>
              <w:spacing w:beforeLines="0" w:afterLines="0"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0D9FD118">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2C70BCC5">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应急处置水平</w:t>
            </w:r>
          </w:p>
        </w:tc>
      </w:tr>
      <w:tr w14:paraId="75B72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1D37D0DC">
            <w:pPr>
              <w:widowControl/>
              <w:spacing w:beforeLines="0" w:afterLines="0"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4D5E8127">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18AE7A93">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日常巡查</w:t>
            </w:r>
          </w:p>
        </w:tc>
      </w:tr>
      <w:tr w14:paraId="65480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499" w:type="dxa"/>
            <w:vMerge w:val="continue"/>
            <w:vAlign w:val="center"/>
          </w:tcPr>
          <w:p w14:paraId="0246D26D">
            <w:pPr>
              <w:widowControl/>
              <w:spacing w:beforeLines="0" w:afterLines="0" w:line="240" w:lineRule="auto"/>
              <w:jc w:val="left"/>
              <w:rPr>
                <w:rFonts w:hint="eastAsia" w:cs="宋体" w:asciiTheme="minorEastAsia" w:hAnsiTheme="minorEastAsia" w:eastAsiaTheme="minorEastAsia"/>
                <w:kern w:val="0"/>
                <w:szCs w:val="21"/>
              </w:rPr>
            </w:pPr>
          </w:p>
        </w:tc>
        <w:tc>
          <w:tcPr>
            <w:tcW w:w="1470" w:type="dxa"/>
            <w:vMerge w:val="continue"/>
            <w:vAlign w:val="center"/>
          </w:tcPr>
          <w:p w14:paraId="552A0BCA">
            <w:pPr>
              <w:widowControl/>
              <w:spacing w:beforeLines="0" w:afterLines="0" w:line="240" w:lineRule="auto"/>
              <w:jc w:val="center"/>
              <w:rPr>
                <w:rFonts w:hint="eastAsia" w:cs="宋体" w:asciiTheme="minorEastAsia" w:hAnsiTheme="minorEastAsia" w:eastAsiaTheme="minorEastAsia"/>
                <w:kern w:val="0"/>
                <w:szCs w:val="21"/>
              </w:rPr>
            </w:pPr>
          </w:p>
        </w:tc>
        <w:tc>
          <w:tcPr>
            <w:tcW w:w="5536" w:type="dxa"/>
            <w:vAlign w:val="center"/>
          </w:tcPr>
          <w:p w14:paraId="22BB8CDF">
            <w:pPr>
              <w:widowControl/>
              <w:spacing w:beforeLines="0" w:afterLines="0" w:line="240" w:lineRule="auto"/>
              <w:jc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智慧监测设施</w:t>
            </w:r>
          </w:p>
        </w:tc>
      </w:tr>
    </w:tbl>
    <w:p w14:paraId="6FE98D6C">
      <w:pPr>
        <w:rPr>
          <w:rFonts w:hint="eastAsia"/>
          <w:b w:val="0"/>
          <w:bCs w:val="0"/>
          <w:lang w:val="en-US" w:eastAsia="zh-CN"/>
        </w:rPr>
      </w:pPr>
    </w:p>
    <w:p w14:paraId="630AADB2">
      <w:pPr>
        <w:pStyle w:val="2"/>
        <w:keepNext w:val="0"/>
        <w:tabs>
          <w:tab w:val="left" w:pos="454"/>
        </w:tabs>
        <w:spacing w:before="312" w:beforeLines="100" w:after="312" w:afterLines="100"/>
        <w:rPr>
          <w:rFonts w:hint="eastAsia" w:ascii="宋体" w:hAnsi="宋体"/>
          <w:szCs w:val="21"/>
        </w:rPr>
        <w:sectPr>
          <w:pgSz w:w="11907" w:h="16840"/>
          <w:pgMar w:top="1440" w:right="1418" w:bottom="1440" w:left="1418" w:header="851" w:footer="992" w:gutter="567"/>
          <w:pgBorders>
            <w:top w:val="none" w:sz="0" w:space="0"/>
            <w:left w:val="none" w:sz="0" w:space="0"/>
            <w:bottom w:val="none" w:sz="0" w:space="0"/>
            <w:right w:val="none" w:sz="0" w:space="0"/>
          </w:pgBorders>
          <w:cols w:space="720" w:num="1"/>
          <w:docGrid w:type="linesAndChars" w:linePitch="312" w:charSpace="0"/>
        </w:sectPr>
      </w:pPr>
      <w:bookmarkStart w:id="160" w:name="_Toc232858343"/>
      <w:bookmarkStart w:id="161" w:name="_Toc232858342"/>
    </w:p>
    <w:p w14:paraId="6E6D4A17">
      <w:pPr>
        <w:pStyle w:val="2"/>
        <w:keepNext w:val="0"/>
        <w:tabs>
          <w:tab w:val="left" w:pos="454"/>
        </w:tabs>
        <w:spacing w:before="312" w:beforeLines="100" w:after="312" w:afterLines="100"/>
        <w:rPr>
          <w:rFonts w:hint="eastAsia" w:ascii="宋体" w:hAnsi="宋体"/>
          <w:szCs w:val="21"/>
        </w:rPr>
      </w:pPr>
      <w:bookmarkStart w:id="162" w:name="_Toc31617"/>
      <w:bookmarkStart w:id="163" w:name="_Toc234329013"/>
      <w:r>
        <w:rPr>
          <w:rFonts w:hint="eastAsia" w:ascii="宋体" w:hAnsi="宋体"/>
          <w:szCs w:val="21"/>
          <w:lang w:val="en-US" w:eastAsia="zh-CN"/>
        </w:rPr>
        <w:t>A</w:t>
      </w:r>
      <w:r>
        <w:rPr>
          <w:rFonts w:hint="eastAsia" w:ascii="宋体" w:hAnsi="宋体"/>
          <w:szCs w:val="21"/>
        </w:rPr>
        <w:t>.2安全管理指标</w:t>
      </w:r>
      <w:bookmarkEnd w:id="160"/>
      <w:bookmarkEnd w:id="162"/>
      <w:bookmarkEnd w:id="163"/>
    </w:p>
    <w:p w14:paraId="36A3D389">
      <w:pPr>
        <w:rPr>
          <w:rFonts w:hint="eastAsia" w:ascii="Times New Roman" w:hAnsi="Times New Roman" w:eastAsia="宋体" w:cs="Times New Roman"/>
          <w:b w:val="0"/>
          <w:bCs w:val="0"/>
          <w:kern w:val="44"/>
          <w:sz w:val="21"/>
          <w:szCs w:val="44"/>
          <w:lang w:val="en-US" w:eastAsia="zh-CN" w:bidi="ar-SA"/>
        </w:rPr>
      </w:pPr>
      <w:r>
        <w:rPr>
          <w:rFonts w:hint="eastAsia"/>
          <w:b w:val="0"/>
          <w:bCs w:val="0"/>
          <w:lang w:val="en-US" w:eastAsia="zh-CN"/>
        </w:rPr>
        <w:t>安全管理指标见表A.2。</w:t>
      </w:r>
    </w:p>
    <w:p w14:paraId="51E4DCCC">
      <w:pPr>
        <w:spacing w:before="31" w:after="31"/>
        <w:jc w:val="center"/>
      </w:pPr>
      <w:r>
        <w:rPr>
          <w:rFonts w:hint="eastAsia" w:ascii="黑体" w:hAnsi="黑体" w:eastAsia="黑体"/>
          <w:bCs/>
        </w:rPr>
        <w:t>表A.2  安全管理指标</w:t>
      </w:r>
    </w:p>
    <w:tbl>
      <w:tblPr>
        <w:tblStyle w:val="35"/>
        <w:tblW w:w="8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06"/>
        <w:gridCol w:w="5533"/>
      </w:tblGrid>
      <w:tr w14:paraId="4F6D1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06" w:type="dxa"/>
            <w:vAlign w:val="center"/>
          </w:tcPr>
          <w:p w14:paraId="59851D1C">
            <w:pPr>
              <w:spacing w:before="31" w:after="31" w:line="240" w:lineRule="auto"/>
              <w:jc w:val="center"/>
              <w:rPr>
                <w:rFonts w:hint="eastAsia" w:ascii="宋体" w:hAnsi="宋体"/>
                <w:sz w:val="18"/>
                <w:szCs w:val="18"/>
              </w:rPr>
            </w:pPr>
            <w:r>
              <w:rPr>
                <w:rFonts w:hint="eastAsia" w:ascii="宋体" w:hAnsi="宋体"/>
                <w:sz w:val="18"/>
                <w:szCs w:val="18"/>
              </w:rPr>
              <w:t>一级指标</w:t>
            </w:r>
          </w:p>
        </w:tc>
        <w:tc>
          <w:tcPr>
            <w:tcW w:w="5533" w:type="dxa"/>
            <w:vAlign w:val="center"/>
          </w:tcPr>
          <w:p w14:paraId="1CAF204A">
            <w:pPr>
              <w:spacing w:before="31" w:after="31" w:line="240" w:lineRule="auto"/>
              <w:jc w:val="center"/>
              <w:rPr>
                <w:rFonts w:hint="eastAsia" w:ascii="宋体" w:hAnsi="宋体"/>
                <w:sz w:val="18"/>
                <w:szCs w:val="18"/>
              </w:rPr>
            </w:pPr>
            <w:r>
              <w:rPr>
                <w:rFonts w:hint="eastAsia" w:ascii="宋体" w:hAnsi="宋体"/>
                <w:sz w:val="18"/>
                <w:szCs w:val="18"/>
              </w:rPr>
              <w:t>二级指标</w:t>
            </w:r>
          </w:p>
        </w:tc>
      </w:tr>
      <w:tr w14:paraId="7080A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06" w:type="dxa"/>
            <w:vMerge w:val="restart"/>
            <w:vAlign w:val="center"/>
          </w:tcPr>
          <w:p w14:paraId="0F9C9EF8">
            <w:pPr>
              <w:spacing w:before="31" w:after="31" w:line="240" w:lineRule="auto"/>
              <w:jc w:val="center"/>
              <w:rPr>
                <w:rFonts w:hint="eastAsia" w:ascii="宋体" w:hAnsi="宋体"/>
                <w:bCs/>
                <w:sz w:val="18"/>
                <w:szCs w:val="18"/>
              </w:rPr>
            </w:pPr>
            <w:r>
              <w:rPr>
                <w:rFonts w:hint="eastAsia" w:ascii="宋体" w:hAnsi="宋体"/>
                <w:bCs/>
                <w:sz w:val="18"/>
                <w:szCs w:val="18"/>
              </w:rPr>
              <w:t>第三方施工管控水平</w:t>
            </w:r>
          </w:p>
        </w:tc>
        <w:tc>
          <w:tcPr>
            <w:tcW w:w="5533" w:type="dxa"/>
            <w:vAlign w:val="center"/>
          </w:tcPr>
          <w:p w14:paraId="2D38842C">
            <w:pPr>
              <w:spacing w:before="31" w:after="31" w:line="240" w:lineRule="auto"/>
              <w:jc w:val="center"/>
              <w:rPr>
                <w:rFonts w:hint="eastAsia" w:ascii="宋体" w:hAnsi="宋体"/>
                <w:bCs/>
                <w:sz w:val="18"/>
                <w:szCs w:val="18"/>
              </w:rPr>
            </w:pPr>
            <w:r>
              <w:rPr>
                <w:rFonts w:hint="eastAsia"/>
                <w:color w:val="000000"/>
                <w:sz w:val="18"/>
                <w:szCs w:val="18"/>
              </w:rPr>
              <w:t>第三方</w:t>
            </w:r>
            <w:r>
              <w:rPr>
                <w:rFonts w:hint="eastAsia"/>
                <w:color w:val="000000"/>
                <w:sz w:val="18"/>
                <w:szCs w:val="18"/>
                <w:lang w:val="en-US" w:eastAsia="zh-CN"/>
              </w:rPr>
              <w:t>损</w:t>
            </w:r>
            <w:r>
              <w:rPr>
                <w:rFonts w:hint="eastAsia"/>
                <w:color w:val="000000"/>
                <w:sz w:val="18"/>
                <w:szCs w:val="18"/>
              </w:rPr>
              <w:t>坏历史事件率</w:t>
            </w:r>
          </w:p>
        </w:tc>
      </w:tr>
      <w:tr w14:paraId="5327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06" w:type="dxa"/>
            <w:vMerge w:val="continue"/>
            <w:vAlign w:val="center"/>
          </w:tcPr>
          <w:p w14:paraId="2DABF9C2">
            <w:pPr>
              <w:spacing w:before="31" w:after="31" w:line="240" w:lineRule="auto"/>
              <w:jc w:val="center"/>
              <w:rPr>
                <w:rFonts w:hint="eastAsia" w:ascii="宋体" w:hAnsi="宋体"/>
                <w:bCs/>
                <w:sz w:val="18"/>
                <w:szCs w:val="18"/>
              </w:rPr>
            </w:pPr>
          </w:p>
        </w:tc>
        <w:tc>
          <w:tcPr>
            <w:tcW w:w="5533" w:type="dxa"/>
            <w:vAlign w:val="center"/>
          </w:tcPr>
          <w:p w14:paraId="521AF1E3">
            <w:pPr>
              <w:spacing w:before="31" w:after="31" w:line="240" w:lineRule="auto"/>
              <w:jc w:val="center"/>
              <w:rPr>
                <w:rFonts w:hint="eastAsia" w:ascii="宋体" w:hAnsi="宋体"/>
                <w:bCs/>
                <w:sz w:val="18"/>
                <w:szCs w:val="18"/>
              </w:rPr>
            </w:pPr>
            <w:r>
              <w:rPr>
                <w:rFonts w:hint="eastAsia"/>
                <w:color w:val="000000"/>
                <w:sz w:val="18"/>
                <w:szCs w:val="18"/>
              </w:rPr>
              <w:t>四方交底率</w:t>
            </w:r>
          </w:p>
        </w:tc>
      </w:tr>
      <w:tr w14:paraId="689A0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06" w:type="dxa"/>
            <w:vMerge w:val="continue"/>
            <w:vAlign w:val="center"/>
          </w:tcPr>
          <w:p w14:paraId="2FA56CFE">
            <w:pPr>
              <w:spacing w:before="31" w:after="31" w:line="240" w:lineRule="auto"/>
              <w:jc w:val="center"/>
              <w:rPr>
                <w:rFonts w:hint="eastAsia" w:ascii="宋体" w:hAnsi="宋体"/>
                <w:bCs/>
                <w:sz w:val="18"/>
                <w:szCs w:val="18"/>
              </w:rPr>
            </w:pPr>
          </w:p>
        </w:tc>
        <w:tc>
          <w:tcPr>
            <w:tcW w:w="5533" w:type="dxa"/>
            <w:vAlign w:val="center"/>
          </w:tcPr>
          <w:p w14:paraId="2D02FCC1">
            <w:pPr>
              <w:spacing w:before="31" w:after="31" w:line="240" w:lineRule="auto"/>
              <w:jc w:val="center"/>
              <w:rPr>
                <w:rFonts w:hint="eastAsia" w:ascii="宋体" w:hAnsi="宋体"/>
                <w:bCs/>
                <w:sz w:val="18"/>
                <w:szCs w:val="18"/>
              </w:rPr>
            </w:pPr>
            <w:r>
              <w:rPr>
                <w:rFonts w:hint="eastAsia"/>
                <w:color w:val="000000"/>
                <w:sz w:val="18"/>
                <w:szCs w:val="18"/>
              </w:rPr>
              <w:t>管理制度制定及落实情况</w:t>
            </w:r>
          </w:p>
        </w:tc>
      </w:tr>
      <w:tr w14:paraId="2AC66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06" w:type="dxa"/>
            <w:vMerge w:val="continue"/>
            <w:vAlign w:val="center"/>
          </w:tcPr>
          <w:p w14:paraId="47DD8F7E">
            <w:pPr>
              <w:spacing w:before="31" w:after="31" w:line="240" w:lineRule="auto"/>
              <w:jc w:val="center"/>
              <w:rPr>
                <w:rFonts w:hint="eastAsia" w:ascii="宋体" w:hAnsi="宋体"/>
                <w:bCs/>
                <w:sz w:val="18"/>
                <w:szCs w:val="18"/>
              </w:rPr>
            </w:pPr>
          </w:p>
        </w:tc>
        <w:tc>
          <w:tcPr>
            <w:tcW w:w="5533" w:type="dxa"/>
            <w:vAlign w:val="center"/>
          </w:tcPr>
          <w:p w14:paraId="2294E239">
            <w:pPr>
              <w:spacing w:before="31" w:after="31" w:line="240" w:lineRule="auto"/>
              <w:jc w:val="center"/>
              <w:rPr>
                <w:rFonts w:hint="eastAsia" w:ascii="宋体" w:hAnsi="宋体"/>
                <w:bCs/>
                <w:sz w:val="18"/>
                <w:szCs w:val="18"/>
              </w:rPr>
            </w:pPr>
            <w:r>
              <w:rPr>
                <w:rFonts w:hint="eastAsia"/>
                <w:color w:val="000000"/>
                <w:sz w:val="18"/>
                <w:szCs w:val="18"/>
              </w:rPr>
              <w:t>智慧监测</w:t>
            </w:r>
          </w:p>
        </w:tc>
      </w:tr>
      <w:tr w14:paraId="0575E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06" w:type="dxa"/>
            <w:vMerge w:val="restart"/>
            <w:vAlign w:val="center"/>
          </w:tcPr>
          <w:p w14:paraId="1BDFEAD5">
            <w:pPr>
              <w:spacing w:before="31" w:after="31" w:line="240" w:lineRule="auto"/>
              <w:jc w:val="center"/>
              <w:rPr>
                <w:rFonts w:hint="eastAsia" w:ascii="宋体" w:hAnsi="宋体"/>
                <w:bCs/>
                <w:sz w:val="18"/>
                <w:szCs w:val="18"/>
              </w:rPr>
            </w:pPr>
            <w:r>
              <w:rPr>
                <w:rFonts w:hint="eastAsia"/>
                <w:sz w:val="18"/>
                <w:szCs w:val="18"/>
                <w:lang w:val="en-US" w:eastAsia="zh-CN"/>
              </w:rPr>
              <w:t>运营</w:t>
            </w:r>
            <w:r>
              <w:rPr>
                <w:rFonts w:hint="eastAsia"/>
                <w:sz w:val="18"/>
                <w:szCs w:val="18"/>
              </w:rPr>
              <w:t>企业安全管理水平</w:t>
            </w:r>
          </w:p>
        </w:tc>
        <w:tc>
          <w:tcPr>
            <w:tcW w:w="5533" w:type="dxa"/>
            <w:vAlign w:val="center"/>
          </w:tcPr>
          <w:p w14:paraId="65BC8B48">
            <w:pPr>
              <w:spacing w:before="31" w:after="31" w:line="240" w:lineRule="auto"/>
              <w:jc w:val="center"/>
              <w:rPr>
                <w:rFonts w:hint="eastAsia" w:ascii="宋体" w:hAnsi="宋体"/>
                <w:bCs/>
                <w:sz w:val="18"/>
                <w:szCs w:val="18"/>
              </w:rPr>
            </w:pPr>
            <w:r>
              <w:rPr>
                <w:rFonts w:hint="eastAsia"/>
                <w:color w:val="000000"/>
                <w:sz w:val="18"/>
                <w:szCs w:val="18"/>
              </w:rPr>
              <w:t>工程竣工验收资料完整性</w:t>
            </w:r>
          </w:p>
        </w:tc>
      </w:tr>
      <w:tr w14:paraId="22802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06" w:type="dxa"/>
            <w:vMerge w:val="continue"/>
            <w:vAlign w:val="center"/>
          </w:tcPr>
          <w:p w14:paraId="61C67A3C">
            <w:pPr>
              <w:spacing w:before="31" w:after="31" w:line="240" w:lineRule="auto"/>
              <w:jc w:val="center"/>
              <w:rPr>
                <w:rFonts w:hint="eastAsia" w:ascii="宋体" w:hAnsi="宋体"/>
                <w:bCs/>
                <w:sz w:val="18"/>
                <w:szCs w:val="18"/>
              </w:rPr>
            </w:pPr>
          </w:p>
        </w:tc>
        <w:tc>
          <w:tcPr>
            <w:tcW w:w="5533" w:type="dxa"/>
            <w:vAlign w:val="center"/>
          </w:tcPr>
          <w:p w14:paraId="741EBAE5">
            <w:pPr>
              <w:spacing w:before="31" w:after="31" w:line="240" w:lineRule="auto"/>
              <w:jc w:val="center"/>
              <w:rPr>
                <w:sz w:val="18"/>
                <w:szCs w:val="18"/>
              </w:rPr>
            </w:pPr>
            <w:r>
              <w:rPr>
                <w:rFonts w:hint="eastAsia"/>
                <w:color w:val="000000"/>
                <w:sz w:val="18"/>
                <w:szCs w:val="18"/>
              </w:rPr>
              <w:t>安全生产管理制度制定和落实情况</w:t>
            </w:r>
          </w:p>
        </w:tc>
      </w:tr>
      <w:tr w14:paraId="70325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06" w:type="dxa"/>
            <w:vMerge w:val="continue"/>
            <w:vAlign w:val="center"/>
          </w:tcPr>
          <w:p w14:paraId="10915128">
            <w:pPr>
              <w:spacing w:before="31" w:after="31" w:line="240" w:lineRule="auto"/>
              <w:jc w:val="center"/>
              <w:rPr>
                <w:rFonts w:hint="eastAsia" w:ascii="宋体" w:hAnsi="宋体"/>
                <w:bCs/>
                <w:sz w:val="18"/>
                <w:szCs w:val="18"/>
              </w:rPr>
            </w:pPr>
          </w:p>
        </w:tc>
        <w:tc>
          <w:tcPr>
            <w:tcW w:w="5533" w:type="dxa"/>
            <w:vAlign w:val="center"/>
          </w:tcPr>
          <w:p w14:paraId="48E8DAF9">
            <w:pPr>
              <w:spacing w:before="31" w:after="31" w:line="240" w:lineRule="auto"/>
              <w:jc w:val="center"/>
              <w:rPr>
                <w:sz w:val="18"/>
                <w:szCs w:val="18"/>
              </w:rPr>
            </w:pPr>
            <w:r>
              <w:rPr>
                <w:rFonts w:hint="eastAsia"/>
                <w:color w:val="000000"/>
                <w:sz w:val="18"/>
                <w:szCs w:val="18"/>
              </w:rPr>
              <w:t>企业内部安全管理制度和培训情况</w:t>
            </w:r>
          </w:p>
        </w:tc>
      </w:tr>
      <w:tr w14:paraId="1B7AC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06" w:type="dxa"/>
            <w:vMerge w:val="continue"/>
            <w:vAlign w:val="center"/>
          </w:tcPr>
          <w:p w14:paraId="6EECB127">
            <w:pPr>
              <w:spacing w:before="31" w:after="31" w:line="240" w:lineRule="auto"/>
              <w:jc w:val="center"/>
              <w:rPr>
                <w:rFonts w:hint="eastAsia" w:ascii="宋体" w:hAnsi="宋体"/>
                <w:bCs/>
                <w:sz w:val="18"/>
                <w:szCs w:val="18"/>
              </w:rPr>
            </w:pPr>
          </w:p>
        </w:tc>
        <w:tc>
          <w:tcPr>
            <w:tcW w:w="5533" w:type="dxa"/>
            <w:vAlign w:val="center"/>
          </w:tcPr>
          <w:p w14:paraId="565A8D82">
            <w:pPr>
              <w:spacing w:before="31" w:after="31" w:line="240" w:lineRule="auto"/>
              <w:jc w:val="center"/>
              <w:rPr>
                <w:sz w:val="18"/>
                <w:szCs w:val="18"/>
              </w:rPr>
            </w:pPr>
            <w:r>
              <w:rPr>
                <w:rFonts w:hint="eastAsia"/>
                <w:color w:val="000000"/>
                <w:sz w:val="18"/>
                <w:szCs w:val="18"/>
              </w:rPr>
              <w:t>安全机构及人员配备</w:t>
            </w:r>
          </w:p>
        </w:tc>
      </w:tr>
      <w:tr w14:paraId="10FFF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06" w:type="dxa"/>
            <w:vMerge w:val="continue"/>
            <w:vAlign w:val="center"/>
          </w:tcPr>
          <w:p w14:paraId="3BABB180">
            <w:pPr>
              <w:spacing w:before="31" w:after="31" w:line="240" w:lineRule="auto"/>
              <w:jc w:val="center"/>
              <w:rPr>
                <w:rFonts w:hint="eastAsia" w:ascii="宋体" w:hAnsi="宋体"/>
                <w:bCs/>
                <w:sz w:val="18"/>
                <w:szCs w:val="18"/>
              </w:rPr>
            </w:pPr>
          </w:p>
        </w:tc>
        <w:tc>
          <w:tcPr>
            <w:tcW w:w="5533" w:type="dxa"/>
            <w:vAlign w:val="center"/>
          </w:tcPr>
          <w:p w14:paraId="7C1A0C0E">
            <w:pPr>
              <w:spacing w:before="31" w:after="31" w:line="240" w:lineRule="auto"/>
              <w:jc w:val="center"/>
              <w:rPr>
                <w:sz w:val="18"/>
                <w:szCs w:val="18"/>
              </w:rPr>
            </w:pPr>
            <w:r>
              <w:rPr>
                <w:rFonts w:hint="eastAsia"/>
                <w:color w:val="000000"/>
                <w:sz w:val="18"/>
                <w:szCs w:val="18"/>
              </w:rPr>
              <w:t>公众安全宣传</w:t>
            </w:r>
          </w:p>
        </w:tc>
      </w:tr>
      <w:tr w14:paraId="0636E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06" w:type="dxa"/>
            <w:vMerge w:val="continue"/>
            <w:vAlign w:val="center"/>
          </w:tcPr>
          <w:p w14:paraId="4E0BDE49">
            <w:pPr>
              <w:spacing w:before="31" w:after="31" w:line="240" w:lineRule="auto"/>
              <w:jc w:val="center"/>
              <w:rPr>
                <w:rFonts w:hint="eastAsia" w:ascii="宋体" w:hAnsi="宋体"/>
                <w:bCs/>
                <w:sz w:val="18"/>
                <w:szCs w:val="18"/>
              </w:rPr>
            </w:pPr>
          </w:p>
        </w:tc>
        <w:tc>
          <w:tcPr>
            <w:tcW w:w="5533" w:type="dxa"/>
            <w:vAlign w:val="center"/>
          </w:tcPr>
          <w:p w14:paraId="70689EE0">
            <w:pPr>
              <w:spacing w:before="31" w:after="31" w:line="240" w:lineRule="auto"/>
              <w:jc w:val="center"/>
              <w:rPr>
                <w:sz w:val="18"/>
                <w:szCs w:val="18"/>
              </w:rPr>
            </w:pPr>
            <w:r>
              <w:rPr>
                <w:rFonts w:hint="eastAsia"/>
                <w:color w:val="000000"/>
                <w:sz w:val="18"/>
                <w:szCs w:val="18"/>
              </w:rPr>
              <w:t>巡检周期</w:t>
            </w:r>
          </w:p>
        </w:tc>
      </w:tr>
      <w:tr w14:paraId="32D0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06" w:type="dxa"/>
            <w:vMerge w:val="continue"/>
            <w:vAlign w:val="center"/>
          </w:tcPr>
          <w:p w14:paraId="03FA8EA9">
            <w:pPr>
              <w:spacing w:before="31" w:after="31" w:line="240" w:lineRule="auto"/>
              <w:jc w:val="center"/>
              <w:rPr>
                <w:rFonts w:hint="eastAsia" w:ascii="宋体" w:hAnsi="宋体"/>
                <w:bCs/>
                <w:sz w:val="18"/>
                <w:szCs w:val="18"/>
              </w:rPr>
            </w:pPr>
          </w:p>
        </w:tc>
        <w:tc>
          <w:tcPr>
            <w:tcW w:w="5533" w:type="dxa"/>
            <w:vAlign w:val="center"/>
          </w:tcPr>
          <w:p w14:paraId="58886DB4">
            <w:pPr>
              <w:spacing w:before="31" w:after="31" w:line="240" w:lineRule="auto"/>
              <w:jc w:val="center"/>
              <w:rPr>
                <w:sz w:val="18"/>
                <w:szCs w:val="18"/>
              </w:rPr>
            </w:pPr>
            <w:r>
              <w:rPr>
                <w:rFonts w:hint="eastAsia"/>
                <w:color w:val="000000"/>
                <w:sz w:val="18"/>
                <w:szCs w:val="18"/>
              </w:rPr>
              <w:t>应急预案制定和救援能力</w:t>
            </w:r>
          </w:p>
        </w:tc>
      </w:tr>
      <w:tr w14:paraId="70244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06" w:type="dxa"/>
            <w:vMerge w:val="continue"/>
            <w:vAlign w:val="center"/>
          </w:tcPr>
          <w:p w14:paraId="44C23CCB">
            <w:pPr>
              <w:spacing w:before="31" w:after="31" w:line="240" w:lineRule="auto"/>
              <w:jc w:val="center"/>
              <w:rPr>
                <w:rFonts w:hint="eastAsia" w:ascii="宋体" w:hAnsi="宋体"/>
                <w:bCs/>
                <w:sz w:val="18"/>
                <w:szCs w:val="18"/>
              </w:rPr>
            </w:pPr>
          </w:p>
        </w:tc>
        <w:tc>
          <w:tcPr>
            <w:tcW w:w="5533" w:type="dxa"/>
            <w:vAlign w:val="center"/>
          </w:tcPr>
          <w:p w14:paraId="312A1155">
            <w:pPr>
              <w:spacing w:before="31" w:after="31" w:line="240" w:lineRule="auto"/>
              <w:jc w:val="center"/>
              <w:rPr>
                <w:sz w:val="18"/>
                <w:szCs w:val="18"/>
              </w:rPr>
            </w:pPr>
            <w:r>
              <w:rPr>
                <w:rFonts w:hint="eastAsia"/>
                <w:color w:val="000000"/>
                <w:sz w:val="18"/>
                <w:szCs w:val="18"/>
              </w:rPr>
              <w:t>信息管理系统建设</w:t>
            </w:r>
          </w:p>
        </w:tc>
      </w:tr>
      <w:tr w14:paraId="20EF4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06" w:type="dxa"/>
            <w:vMerge w:val="continue"/>
            <w:vAlign w:val="center"/>
          </w:tcPr>
          <w:p w14:paraId="4E916E1A">
            <w:pPr>
              <w:spacing w:before="31" w:after="31" w:line="240" w:lineRule="auto"/>
              <w:jc w:val="center"/>
              <w:rPr>
                <w:rFonts w:hint="eastAsia" w:ascii="宋体" w:hAnsi="宋体"/>
                <w:bCs/>
                <w:sz w:val="18"/>
                <w:szCs w:val="18"/>
              </w:rPr>
            </w:pPr>
          </w:p>
        </w:tc>
        <w:tc>
          <w:tcPr>
            <w:tcW w:w="5533" w:type="dxa"/>
            <w:vAlign w:val="center"/>
          </w:tcPr>
          <w:p w14:paraId="1DDD16DA">
            <w:pPr>
              <w:spacing w:before="31" w:after="31" w:line="240" w:lineRule="auto"/>
              <w:jc w:val="center"/>
              <w:rPr>
                <w:sz w:val="18"/>
                <w:szCs w:val="18"/>
              </w:rPr>
            </w:pPr>
            <w:r>
              <w:rPr>
                <w:rFonts w:hint="eastAsia"/>
                <w:color w:val="000000"/>
                <w:sz w:val="18"/>
                <w:szCs w:val="18"/>
              </w:rPr>
              <w:t>事故管理</w:t>
            </w:r>
          </w:p>
        </w:tc>
      </w:tr>
    </w:tbl>
    <w:p w14:paraId="7F13F5A1">
      <w:pPr>
        <w:spacing w:before="31" w:after="31"/>
        <w:ind w:firstLine="420"/>
        <w:jc w:val="center"/>
        <w:rPr>
          <w:rFonts w:hint="eastAsia" w:ascii="宋体" w:hAnsi="宋体"/>
          <w:bCs/>
          <w:szCs w:val="21"/>
        </w:rPr>
        <w:sectPr>
          <w:pgSz w:w="11907" w:h="16840"/>
          <w:pgMar w:top="1440" w:right="1418" w:bottom="1440" w:left="1418" w:header="851" w:footer="992" w:gutter="567"/>
          <w:pgBorders>
            <w:top w:val="none" w:sz="0" w:space="0"/>
            <w:left w:val="none" w:sz="0" w:space="0"/>
            <w:bottom w:val="none" w:sz="0" w:space="0"/>
            <w:right w:val="none" w:sz="0" w:space="0"/>
          </w:pgBorders>
          <w:cols w:space="720" w:num="1"/>
          <w:docGrid w:type="linesAndChars" w:linePitch="312" w:charSpace="0"/>
        </w:sectPr>
      </w:pPr>
    </w:p>
    <w:p w14:paraId="48D1B6FD">
      <w:pPr>
        <w:pStyle w:val="2"/>
        <w:keepNext w:val="0"/>
        <w:tabs>
          <w:tab w:val="left" w:pos="454"/>
        </w:tabs>
        <w:spacing w:before="312" w:beforeLines="100" w:after="312" w:afterLines="100"/>
        <w:rPr>
          <w:rFonts w:hint="eastAsia" w:ascii="宋体" w:hAnsi="宋体"/>
          <w:szCs w:val="21"/>
          <w:lang w:val="en-US" w:eastAsia="zh-CN"/>
        </w:rPr>
      </w:pPr>
      <w:bookmarkStart w:id="164" w:name="_Toc234329014"/>
      <w:bookmarkStart w:id="165" w:name="_Toc26596"/>
      <w:r>
        <w:rPr>
          <w:rFonts w:hint="eastAsia" w:ascii="宋体" w:hAnsi="宋体"/>
          <w:szCs w:val="21"/>
          <w:lang w:val="en-US" w:eastAsia="zh-CN"/>
        </w:rPr>
        <w:t>A.3后果评估指标</w:t>
      </w:r>
      <w:bookmarkEnd w:id="161"/>
      <w:bookmarkEnd w:id="164"/>
      <w:bookmarkEnd w:id="165"/>
    </w:p>
    <w:p w14:paraId="4CF33BE7">
      <w:pPr>
        <w:rPr>
          <w:rFonts w:hint="eastAsia"/>
          <w:b w:val="0"/>
          <w:bCs w:val="0"/>
          <w:lang w:val="en-US" w:eastAsia="zh-CN"/>
        </w:rPr>
      </w:pPr>
      <w:r>
        <w:rPr>
          <w:rFonts w:hint="eastAsia"/>
          <w:b w:val="0"/>
          <w:bCs w:val="0"/>
          <w:lang w:val="en-US" w:eastAsia="zh-CN"/>
        </w:rPr>
        <w:t>后果评估指标见表A.3。</w:t>
      </w:r>
    </w:p>
    <w:p w14:paraId="37A116E9">
      <w:pPr>
        <w:spacing w:before="31" w:after="31"/>
        <w:jc w:val="center"/>
        <w:rPr>
          <w:rFonts w:hint="eastAsia" w:ascii="黑体" w:hAnsi="黑体" w:eastAsia="黑体"/>
          <w:bCs/>
        </w:rPr>
      </w:pPr>
      <w:r>
        <w:rPr>
          <w:rFonts w:hint="eastAsia" w:ascii="黑体" w:hAnsi="黑体" w:eastAsia="黑体"/>
          <w:bCs/>
        </w:rPr>
        <w:t>表A.3  后果评估指标</w:t>
      </w:r>
    </w:p>
    <w:tbl>
      <w:tblPr>
        <w:tblStyle w:val="36"/>
        <w:tblW w:w="8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4"/>
        <w:gridCol w:w="1860"/>
        <w:gridCol w:w="4806"/>
      </w:tblGrid>
      <w:tr w14:paraId="4E46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74" w:type="dxa"/>
            <w:noWrap/>
            <w:vAlign w:val="center"/>
          </w:tcPr>
          <w:p w14:paraId="664B78DA">
            <w:pPr>
              <w:spacing w:beforeLines="0" w:afterLines="0"/>
              <w:jc w:val="center"/>
            </w:pPr>
            <w:r>
              <w:t>设施类别</w:t>
            </w:r>
          </w:p>
        </w:tc>
        <w:tc>
          <w:tcPr>
            <w:tcW w:w="1860" w:type="dxa"/>
            <w:noWrap/>
            <w:vAlign w:val="center"/>
          </w:tcPr>
          <w:p w14:paraId="527002BB">
            <w:pPr>
              <w:spacing w:beforeLines="0" w:afterLines="0"/>
              <w:jc w:val="center"/>
            </w:pPr>
            <w:r>
              <w:t>一级指标</w:t>
            </w:r>
          </w:p>
        </w:tc>
        <w:tc>
          <w:tcPr>
            <w:tcW w:w="4806" w:type="dxa"/>
            <w:noWrap/>
            <w:vAlign w:val="center"/>
          </w:tcPr>
          <w:p w14:paraId="2D3E98FD">
            <w:pPr>
              <w:spacing w:beforeLines="0" w:afterLines="0"/>
              <w:jc w:val="center"/>
            </w:pPr>
            <w:r>
              <w:t>二级指标</w:t>
            </w:r>
          </w:p>
        </w:tc>
      </w:tr>
      <w:tr w14:paraId="44B19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74" w:type="dxa"/>
            <w:vMerge w:val="restart"/>
            <w:noWrap/>
            <w:vAlign w:val="center"/>
          </w:tcPr>
          <w:p w14:paraId="7C9CFA0A">
            <w:pPr>
              <w:spacing w:beforeLines="0" w:afterLines="0"/>
              <w:jc w:val="center"/>
            </w:pPr>
            <w:r>
              <w:t>燃气、供水、排水、热力</w:t>
            </w:r>
          </w:p>
          <w:p w14:paraId="6C863086">
            <w:pPr>
              <w:spacing w:before="31" w:after="31"/>
              <w:jc w:val="center"/>
            </w:pPr>
          </w:p>
        </w:tc>
        <w:tc>
          <w:tcPr>
            <w:tcW w:w="1860" w:type="dxa"/>
            <w:vMerge w:val="restart"/>
            <w:noWrap/>
            <w:vAlign w:val="center"/>
          </w:tcPr>
          <w:p w14:paraId="01112173">
            <w:pPr>
              <w:spacing w:beforeLines="0" w:afterLines="0"/>
              <w:jc w:val="center"/>
            </w:pPr>
            <w:r>
              <w:t>事故危害程度</w:t>
            </w:r>
          </w:p>
        </w:tc>
        <w:tc>
          <w:tcPr>
            <w:tcW w:w="4806" w:type="dxa"/>
            <w:noWrap/>
            <w:vAlign w:val="center"/>
          </w:tcPr>
          <w:p w14:paraId="0F63CB3F">
            <w:pPr>
              <w:spacing w:beforeLines="0" w:afterLines="0"/>
              <w:jc w:val="center"/>
            </w:pPr>
            <w:r>
              <w:t>人员伤亡数量</w:t>
            </w:r>
          </w:p>
        </w:tc>
      </w:tr>
      <w:tr w14:paraId="3075E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74" w:type="dxa"/>
            <w:vMerge w:val="continue"/>
            <w:noWrap/>
            <w:vAlign w:val="center"/>
          </w:tcPr>
          <w:p w14:paraId="3A85C3B1">
            <w:pPr>
              <w:spacing w:before="31" w:after="31"/>
              <w:jc w:val="center"/>
            </w:pPr>
          </w:p>
        </w:tc>
        <w:tc>
          <w:tcPr>
            <w:tcW w:w="1860" w:type="dxa"/>
            <w:vMerge w:val="continue"/>
            <w:noWrap/>
            <w:vAlign w:val="center"/>
          </w:tcPr>
          <w:p w14:paraId="74EA4893">
            <w:pPr>
              <w:spacing w:beforeLines="0" w:afterLines="0"/>
              <w:jc w:val="center"/>
            </w:pPr>
          </w:p>
        </w:tc>
        <w:tc>
          <w:tcPr>
            <w:tcW w:w="4806" w:type="dxa"/>
            <w:noWrap/>
            <w:vAlign w:val="center"/>
          </w:tcPr>
          <w:p w14:paraId="6EE9F7AD">
            <w:pPr>
              <w:spacing w:beforeLines="0" w:afterLines="0"/>
              <w:jc w:val="center"/>
            </w:pPr>
            <w:r>
              <w:t>影响用户量</w:t>
            </w:r>
          </w:p>
        </w:tc>
      </w:tr>
      <w:tr w14:paraId="54CBE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74" w:type="dxa"/>
            <w:vMerge w:val="continue"/>
            <w:noWrap/>
            <w:vAlign w:val="center"/>
          </w:tcPr>
          <w:p w14:paraId="3F94CB5F">
            <w:pPr>
              <w:spacing w:before="31" w:after="31"/>
              <w:jc w:val="center"/>
            </w:pPr>
          </w:p>
        </w:tc>
        <w:tc>
          <w:tcPr>
            <w:tcW w:w="1860" w:type="dxa"/>
            <w:vMerge w:val="continue"/>
            <w:noWrap/>
            <w:vAlign w:val="center"/>
          </w:tcPr>
          <w:p w14:paraId="422F20AA">
            <w:pPr>
              <w:spacing w:beforeLines="0" w:afterLines="0"/>
              <w:jc w:val="center"/>
            </w:pPr>
          </w:p>
        </w:tc>
        <w:tc>
          <w:tcPr>
            <w:tcW w:w="4806" w:type="dxa"/>
            <w:noWrap/>
            <w:vAlign w:val="center"/>
          </w:tcPr>
          <w:p w14:paraId="733E0F64">
            <w:pPr>
              <w:spacing w:beforeLines="0" w:afterLines="0"/>
              <w:jc w:val="center"/>
            </w:pPr>
            <w:r>
              <w:t>道路等级</w:t>
            </w:r>
          </w:p>
        </w:tc>
      </w:tr>
      <w:tr w14:paraId="3170F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74" w:type="dxa"/>
            <w:vMerge w:val="continue"/>
            <w:noWrap/>
            <w:vAlign w:val="center"/>
          </w:tcPr>
          <w:p w14:paraId="65F27A18">
            <w:pPr>
              <w:spacing w:before="31" w:after="31"/>
              <w:jc w:val="center"/>
            </w:pPr>
          </w:p>
        </w:tc>
        <w:tc>
          <w:tcPr>
            <w:tcW w:w="1860" w:type="dxa"/>
            <w:vMerge w:val="continue"/>
            <w:noWrap/>
            <w:vAlign w:val="center"/>
          </w:tcPr>
          <w:p w14:paraId="31FE0FCB">
            <w:pPr>
              <w:spacing w:beforeLines="0" w:afterLines="0"/>
              <w:jc w:val="center"/>
            </w:pPr>
          </w:p>
        </w:tc>
        <w:tc>
          <w:tcPr>
            <w:tcW w:w="4806" w:type="dxa"/>
            <w:noWrap/>
            <w:vAlign w:val="center"/>
          </w:tcPr>
          <w:p w14:paraId="3B3E7429">
            <w:pPr>
              <w:spacing w:beforeLines="0" w:afterLines="0"/>
              <w:jc w:val="center"/>
            </w:pPr>
            <w:r>
              <w:t>交通影响</w:t>
            </w:r>
          </w:p>
        </w:tc>
      </w:tr>
      <w:tr w14:paraId="7E75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74" w:type="dxa"/>
            <w:vMerge w:val="continue"/>
            <w:noWrap/>
            <w:vAlign w:val="center"/>
          </w:tcPr>
          <w:p w14:paraId="22AE595D">
            <w:pPr>
              <w:spacing w:before="31" w:after="31"/>
              <w:jc w:val="center"/>
            </w:pPr>
          </w:p>
        </w:tc>
        <w:tc>
          <w:tcPr>
            <w:tcW w:w="1860" w:type="dxa"/>
            <w:vMerge w:val="continue"/>
            <w:noWrap/>
            <w:vAlign w:val="center"/>
          </w:tcPr>
          <w:p w14:paraId="3451C944">
            <w:pPr>
              <w:spacing w:beforeLines="0" w:afterLines="0"/>
              <w:jc w:val="center"/>
            </w:pPr>
          </w:p>
        </w:tc>
        <w:tc>
          <w:tcPr>
            <w:tcW w:w="4806" w:type="dxa"/>
            <w:noWrap/>
            <w:vAlign w:val="center"/>
          </w:tcPr>
          <w:p w14:paraId="6AE45522">
            <w:pPr>
              <w:spacing w:beforeLines="0" w:afterLines="0"/>
              <w:jc w:val="center"/>
            </w:pPr>
            <w:r>
              <w:t>历史事件频次</w:t>
            </w:r>
          </w:p>
        </w:tc>
      </w:tr>
      <w:tr w14:paraId="6A783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74" w:type="dxa"/>
            <w:vMerge w:val="continue"/>
            <w:noWrap/>
            <w:vAlign w:val="center"/>
          </w:tcPr>
          <w:p w14:paraId="58BF8C34">
            <w:pPr>
              <w:spacing w:before="31" w:after="31"/>
              <w:jc w:val="center"/>
            </w:pPr>
          </w:p>
        </w:tc>
        <w:tc>
          <w:tcPr>
            <w:tcW w:w="1860" w:type="dxa"/>
            <w:vMerge w:val="continue"/>
            <w:noWrap/>
            <w:vAlign w:val="center"/>
          </w:tcPr>
          <w:p w14:paraId="26D51187">
            <w:pPr>
              <w:spacing w:beforeLines="0" w:afterLines="0"/>
              <w:jc w:val="center"/>
            </w:pPr>
          </w:p>
        </w:tc>
        <w:tc>
          <w:tcPr>
            <w:tcW w:w="4806" w:type="dxa"/>
            <w:noWrap/>
            <w:vAlign w:val="center"/>
          </w:tcPr>
          <w:p w14:paraId="6E0D48DD">
            <w:pPr>
              <w:spacing w:beforeLines="0" w:afterLines="0"/>
              <w:jc w:val="center"/>
            </w:pPr>
            <w:r>
              <w:t>中断导致停止服务时长</w:t>
            </w:r>
          </w:p>
        </w:tc>
      </w:tr>
      <w:tr w14:paraId="044DA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74" w:type="dxa"/>
            <w:vMerge w:val="continue"/>
            <w:noWrap/>
            <w:vAlign w:val="center"/>
          </w:tcPr>
          <w:p w14:paraId="799CA61D">
            <w:pPr>
              <w:spacing w:before="31" w:after="31"/>
              <w:jc w:val="center"/>
            </w:pPr>
          </w:p>
        </w:tc>
        <w:tc>
          <w:tcPr>
            <w:tcW w:w="1860" w:type="dxa"/>
            <w:vMerge w:val="continue"/>
            <w:noWrap/>
            <w:vAlign w:val="center"/>
          </w:tcPr>
          <w:p w14:paraId="7C19833A">
            <w:pPr>
              <w:spacing w:beforeLines="0" w:afterLines="0"/>
              <w:jc w:val="center"/>
            </w:pPr>
          </w:p>
        </w:tc>
        <w:tc>
          <w:tcPr>
            <w:tcW w:w="4806" w:type="dxa"/>
            <w:noWrap/>
            <w:vAlign w:val="center"/>
          </w:tcPr>
          <w:p w14:paraId="47B00B85">
            <w:pPr>
              <w:spacing w:beforeLines="0" w:afterLines="0"/>
              <w:jc w:val="center"/>
            </w:pPr>
            <w:r>
              <w:t>运行压力</w:t>
            </w:r>
          </w:p>
        </w:tc>
      </w:tr>
      <w:tr w14:paraId="14F7B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74" w:type="dxa"/>
            <w:vMerge w:val="continue"/>
            <w:noWrap/>
            <w:vAlign w:val="center"/>
          </w:tcPr>
          <w:p w14:paraId="05290D11">
            <w:pPr>
              <w:spacing w:before="31" w:after="31"/>
              <w:jc w:val="center"/>
            </w:pPr>
          </w:p>
        </w:tc>
        <w:tc>
          <w:tcPr>
            <w:tcW w:w="1860" w:type="dxa"/>
            <w:vMerge w:val="continue"/>
            <w:noWrap/>
            <w:vAlign w:val="center"/>
          </w:tcPr>
          <w:p w14:paraId="7AE79F7C">
            <w:pPr>
              <w:spacing w:beforeLines="0" w:afterLines="0"/>
              <w:jc w:val="center"/>
            </w:pPr>
          </w:p>
        </w:tc>
        <w:tc>
          <w:tcPr>
            <w:tcW w:w="4806" w:type="dxa"/>
            <w:noWrap/>
            <w:vAlign w:val="center"/>
          </w:tcPr>
          <w:p w14:paraId="1338831F">
            <w:pPr>
              <w:spacing w:beforeLines="0" w:afterLines="0"/>
              <w:jc w:val="center"/>
            </w:pPr>
            <w:r>
              <w:t>环状管网属性（环状管网、枝状管网）（供水）</w:t>
            </w:r>
          </w:p>
        </w:tc>
      </w:tr>
      <w:tr w14:paraId="54BD6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74" w:type="dxa"/>
            <w:vMerge w:val="continue"/>
            <w:noWrap/>
            <w:vAlign w:val="center"/>
          </w:tcPr>
          <w:p w14:paraId="446E4991">
            <w:pPr>
              <w:spacing w:before="31" w:after="31"/>
              <w:jc w:val="center"/>
            </w:pPr>
          </w:p>
        </w:tc>
        <w:tc>
          <w:tcPr>
            <w:tcW w:w="1860" w:type="dxa"/>
            <w:vMerge w:val="continue"/>
            <w:noWrap/>
            <w:vAlign w:val="center"/>
          </w:tcPr>
          <w:p w14:paraId="2BA779C5">
            <w:pPr>
              <w:spacing w:beforeLines="0" w:afterLines="0"/>
              <w:jc w:val="center"/>
            </w:pPr>
          </w:p>
        </w:tc>
        <w:tc>
          <w:tcPr>
            <w:tcW w:w="4806" w:type="dxa"/>
            <w:noWrap/>
            <w:vAlign w:val="center"/>
          </w:tcPr>
          <w:p w14:paraId="009E0A89">
            <w:pPr>
              <w:spacing w:beforeLines="0" w:afterLines="0"/>
              <w:jc w:val="center"/>
            </w:pPr>
            <w:r>
              <w:t>扩散环境情况</w:t>
            </w:r>
          </w:p>
        </w:tc>
      </w:tr>
      <w:tr w14:paraId="0B18C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74" w:type="dxa"/>
            <w:vMerge w:val="continue"/>
            <w:noWrap/>
            <w:vAlign w:val="center"/>
          </w:tcPr>
          <w:p w14:paraId="4C5AEADC">
            <w:pPr>
              <w:spacing w:before="31" w:after="31"/>
              <w:jc w:val="center"/>
            </w:pPr>
          </w:p>
        </w:tc>
        <w:tc>
          <w:tcPr>
            <w:tcW w:w="1860" w:type="dxa"/>
            <w:vMerge w:val="continue"/>
            <w:noWrap/>
            <w:vAlign w:val="center"/>
          </w:tcPr>
          <w:p w14:paraId="4FF7D089">
            <w:pPr>
              <w:spacing w:beforeLines="0" w:afterLines="0"/>
              <w:jc w:val="center"/>
            </w:pPr>
          </w:p>
        </w:tc>
        <w:tc>
          <w:tcPr>
            <w:tcW w:w="4806" w:type="dxa"/>
            <w:noWrap/>
            <w:vAlign w:val="center"/>
          </w:tcPr>
          <w:p w14:paraId="64C8B68A">
            <w:pPr>
              <w:spacing w:beforeLines="0" w:afterLines="0"/>
              <w:jc w:val="center"/>
            </w:pPr>
            <w:r>
              <w:t>相邻地下空间（燃气）</w:t>
            </w:r>
          </w:p>
        </w:tc>
      </w:tr>
      <w:tr w14:paraId="2E2A2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74" w:type="dxa"/>
            <w:vMerge w:val="continue"/>
            <w:noWrap/>
            <w:vAlign w:val="center"/>
          </w:tcPr>
          <w:p w14:paraId="18B0BEEB">
            <w:pPr>
              <w:spacing w:before="31" w:after="31"/>
              <w:jc w:val="center"/>
            </w:pPr>
          </w:p>
        </w:tc>
        <w:tc>
          <w:tcPr>
            <w:tcW w:w="1860" w:type="dxa"/>
            <w:vMerge w:val="restart"/>
            <w:noWrap/>
            <w:vAlign w:val="center"/>
          </w:tcPr>
          <w:p w14:paraId="47AD7F15">
            <w:pPr>
              <w:spacing w:beforeLines="0" w:afterLines="0"/>
              <w:jc w:val="center"/>
            </w:pPr>
            <w:r>
              <w:t>社会影响</w:t>
            </w:r>
          </w:p>
        </w:tc>
        <w:tc>
          <w:tcPr>
            <w:tcW w:w="4806" w:type="dxa"/>
            <w:noWrap/>
            <w:vAlign w:val="center"/>
          </w:tcPr>
          <w:p w14:paraId="12482705">
            <w:pPr>
              <w:spacing w:beforeLines="0" w:afterLines="0"/>
              <w:jc w:val="center"/>
            </w:pPr>
            <w:r>
              <w:t>敷设区域</w:t>
            </w:r>
          </w:p>
        </w:tc>
      </w:tr>
      <w:tr w14:paraId="3D17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74" w:type="dxa"/>
            <w:vMerge w:val="continue"/>
            <w:noWrap/>
            <w:vAlign w:val="center"/>
          </w:tcPr>
          <w:p w14:paraId="26A6B98D">
            <w:pPr>
              <w:spacing w:before="31" w:after="31"/>
              <w:jc w:val="center"/>
            </w:pPr>
          </w:p>
        </w:tc>
        <w:tc>
          <w:tcPr>
            <w:tcW w:w="1860" w:type="dxa"/>
            <w:vMerge w:val="continue"/>
            <w:noWrap/>
            <w:vAlign w:val="center"/>
          </w:tcPr>
          <w:p w14:paraId="7E347665">
            <w:pPr>
              <w:spacing w:beforeLines="0" w:afterLines="0"/>
              <w:jc w:val="center"/>
            </w:pPr>
          </w:p>
        </w:tc>
        <w:tc>
          <w:tcPr>
            <w:tcW w:w="4806" w:type="dxa"/>
            <w:noWrap/>
            <w:vAlign w:val="center"/>
          </w:tcPr>
          <w:p w14:paraId="080ED438">
            <w:pPr>
              <w:spacing w:beforeLines="0" w:afterLines="0"/>
              <w:jc w:val="center"/>
            </w:pPr>
            <w:r>
              <w:t>人口密度</w:t>
            </w:r>
          </w:p>
        </w:tc>
      </w:tr>
      <w:tr w14:paraId="530E8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74" w:type="dxa"/>
            <w:vMerge w:val="continue"/>
            <w:noWrap/>
            <w:vAlign w:val="center"/>
          </w:tcPr>
          <w:p w14:paraId="6BB0E3F8">
            <w:pPr>
              <w:spacing w:before="31" w:after="31"/>
              <w:jc w:val="center"/>
            </w:pPr>
          </w:p>
        </w:tc>
        <w:tc>
          <w:tcPr>
            <w:tcW w:w="1860" w:type="dxa"/>
            <w:vMerge w:val="continue"/>
            <w:noWrap/>
            <w:vAlign w:val="center"/>
          </w:tcPr>
          <w:p w14:paraId="45DF89E4">
            <w:pPr>
              <w:spacing w:beforeLines="0" w:afterLines="0"/>
              <w:jc w:val="center"/>
            </w:pPr>
          </w:p>
        </w:tc>
        <w:tc>
          <w:tcPr>
            <w:tcW w:w="4806" w:type="dxa"/>
            <w:noWrap/>
            <w:vAlign w:val="center"/>
          </w:tcPr>
          <w:p w14:paraId="0388388B">
            <w:pPr>
              <w:spacing w:beforeLines="0" w:afterLines="0"/>
              <w:jc w:val="center"/>
            </w:pPr>
            <w:r>
              <w:t>经济活动水平</w:t>
            </w:r>
          </w:p>
        </w:tc>
      </w:tr>
      <w:tr w14:paraId="01BC2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74" w:type="dxa"/>
            <w:vMerge w:val="continue"/>
            <w:noWrap/>
            <w:vAlign w:val="center"/>
          </w:tcPr>
          <w:p w14:paraId="472BA7F4">
            <w:pPr>
              <w:spacing w:before="31" w:after="31"/>
              <w:jc w:val="center"/>
            </w:pPr>
          </w:p>
        </w:tc>
        <w:tc>
          <w:tcPr>
            <w:tcW w:w="1860" w:type="dxa"/>
            <w:vMerge w:val="continue"/>
            <w:noWrap/>
            <w:vAlign w:val="center"/>
          </w:tcPr>
          <w:p w14:paraId="3330BF18">
            <w:pPr>
              <w:spacing w:beforeLines="0" w:afterLines="0"/>
              <w:jc w:val="center"/>
            </w:pPr>
          </w:p>
        </w:tc>
        <w:tc>
          <w:tcPr>
            <w:tcW w:w="4806" w:type="dxa"/>
            <w:noWrap/>
            <w:vAlign w:val="center"/>
          </w:tcPr>
          <w:p w14:paraId="49190E64">
            <w:pPr>
              <w:spacing w:beforeLines="0" w:afterLines="0"/>
              <w:jc w:val="center"/>
            </w:pPr>
            <w:r>
              <w:t>与重点防护目标的距离</w:t>
            </w:r>
          </w:p>
        </w:tc>
      </w:tr>
      <w:tr w14:paraId="2CF9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74" w:type="dxa"/>
            <w:vMerge w:val="continue"/>
            <w:noWrap/>
            <w:vAlign w:val="center"/>
          </w:tcPr>
          <w:p w14:paraId="16EDF759">
            <w:pPr>
              <w:spacing w:beforeLines="0" w:afterLines="0"/>
              <w:jc w:val="center"/>
            </w:pPr>
          </w:p>
        </w:tc>
        <w:tc>
          <w:tcPr>
            <w:tcW w:w="1860" w:type="dxa"/>
            <w:vMerge w:val="continue"/>
            <w:noWrap/>
            <w:vAlign w:val="center"/>
          </w:tcPr>
          <w:p w14:paraId="3972F0CE">
            <w:pPr>
              <w:spacing w:beforeLines="0" w:afterLines="0"/>
              <w:jc w:val="center"/>
            </w:pPr>
          </w:p>
        </w:tc>
        <w:tc>
          <w:tcPr>
            <w:tcW w:w="4806" w:type="dxa"/>
            <w:noWrap/>
            <w:vAlign w:val="center"/>
          </w:tcPr>
          <w:p w14:paraId="4E023A9F">
            <w:pPr>
              <w:spacing w:beforeLines="0" w:afterLines="0"/>
              <w:jc w:val="center"/>
            </w:pPr>
            <w:r>
              <w:t>河湖水系情况</w:t>
            </w:r>
          </w:p>
        </w:tc>
      </w:tr>
      <w:tr w14:paraId="21C19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74" w:type="dxa"/>
            <w:vMerge w:val="restart"/>
            <w:noWrap/>
            <w:vAlign w:val="center"/>
          </w:tcPr>
          <w:p w14:paraId="6A49B628">
            <w:pPr>
              <w:spacing w:beforeLines="0" w:afterLines="0"/>
              <w:jc w:val="center"/>
            </w:pPr>
            <w:r>
              <w:t>桥梁、隧道</w:t>
            </w:r>
          </w:p>
        </w:tc>
        <w:tc>
          <w:tcPr>
            <w:tcW w:w="1860" w:type="dxa"/>
            <w:vMerge w:val="restart"/>
            <w:noWrap/>
            <w:vAlign w:val="center"/>
          </w:tcPr>
          <w:p w14:paraId="27859651">
            <w:pPr>
              <w:spacing w:beforeLines="0" w:afterLines="0"/>
              <w:jc w:val="center"/>
            </w:pPr>
            <w:r>
              <w:t>事故危害程度</w:t>
            </w:r>
          </w:p>
        </w:tc>
        <w:tc>
          <w:tcPr>
            <w:tcW w:w="4806" w:type="dxa"/>
            <w:noWrap/>
            <w:vAlign w:val="center"/>
          </w:tcPr>
          <w:p w14:paraId="66175A90">
            <w:pPr>
              <w:spacing w:beforeLines="0" w:afterLines="0"/>
              <w:jc w:val="center"/>
            </w:pPr>
            <w:r>
              <w:t>人员伤亡数量</w:t>
            </w:r>
          </w:p>
        </w:tc>
      </w:tr>
      <w:tr w14:paraId="44AB6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74" w:type="dxa"/>
            <w:vMerge w:val="continue"/>
            <w:noWrap/>
            <w:vAlign w:val="center"/>
          </w:tcPr>
          <w:p w14:paraId="525A7BB7">
            <w:pPr>
              <w:spacing w:beforeLines="0" w:afterLines="0"/>
              <w:jc w:val="center"/>
            </w:pPr>
          </w:p>
        </w:tc>
        <w:tc>
          <w:tcPr>
            <w:tcW w:w="1860" w:type="dxa"/>
            <w:vMerge w:val="continue"/>
            <w:noWrap/>
            <w:vAlign w:val="center"/>
          </w:tcPr>
          <w:p w14:paraId="5C9860F6">
            <w:pPr>
              <w:spacing w:beforeLines="0" w:afterLines="0"/>
              <w:jc w:val="center"/>
            </w:pPr>
          </w:p>
        </w:tc>
        <w:tc>
          <w:tcPr>
            <w:tcW w:w="4806" w:type="dxa"/>
            <w:vAlign w:val="center"/>
          </w:tcPr>
          <w:p w14:paraId="2AD7E7FE">
            <w:pPr>
              <w:spacing w:beforeLines="0" w:afterLines="0"/>
              <w:jc w:val="center"/>
            </w:pPr>
            <w:r>
              <w:t>交通繁忙程度</w:t>
            </w:r>
          </w:p>
        </w:tc>
      </w:tr>
      <w:tr w14:paraId="2058E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74" w:type="dxa"/>
            <w:vMerge w:val="continue"/>
            <w:noWrap/>
            <w:vAlign w:val="center"/>
          </w:tcPr>
          <w:p w14:paraId="114845B0">
            <w:pPr>
              <w:spacing w:beforeLines="0" w:afterLines="0"/>
              <w:jc w:val="center"/>
            </w:pPr>
          </w:p>
        </w:tc>
        <w:tc>
          <w:tcPr>
            <w:tcW w:w="1860" w:type="dxa"/>
            <w:vMerge w:val="continue"/>
            <w:noWrap/>
            <w:vAlign w:val="center"/>
          </w:tcPr>
          <w:p w14:paraId="3FB69A90">
            <w:pPr>
              <w:spacing w:beforeLines="0" w:afterLines="0"/>
              <w:jc w:val="center"/>
            </w:pPr>
          </w:p>
        </w:tc>
        <w:tc>
          <w:tcPr>
            <w:tcW w:w="4806" w:type="dxa"/>
            <w:noWrap/>
            <w:vAlign w:val="center"/>
          </w:tcPr>
          <w:p w14:paraId="124E7DE2">
            <w:pPr>
              <w:spacing w:beforeLines="0" w:afterLines="0"/>
              <w:jc w:val="center"/>
            </w:pPr>
            <w:r>
              <w:t>重点关注桥梁、隧道</w:t>
            </w:r>
          </w:p>
        </w:tc>
      </w:tr>
      <w:tr w14:paraId="76781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74" w:type="dxa"/>
            <w:vMerge w:val="continue"/>
            <w:noWrap/>
            <w:vAlign w:val="center"/>
          </w:tcPr>
          <w:p w14:paraId="1AB35BF5">
            <w:pPr>
              <w:spacing w:beforeLines="0" w:afterLines="0"/>
              <w:jc w:val="center"/>
            </w:pPr>
          </w:p>
        </w:tc>
        <w:tc>
          <w:tcPr>
            <w:tcW w:w="1860" w:type="dxa"/>
            <w:vMerge w:val="continue"/>
            <w:noWrap/>
            <w:vAlign w:val="center"/>
          </w:tcPr>
          <w:p w14:paraId="71E43F96">
            <w:pPr>
              <w:spacing w:beforeLines="0" w:afterLines="0"/>
              <w:jc w:val="center"/>
            </w:pPr>
          </w:p>
        </w:tc>
        <w:tc>
          <w:tcPr>
            <w:tcW w:w="4806" w:type="dxa"/>
            <w:noWrap/>
            <w:vAlign w:val="center"/>
          </w:tcPr>
          <w:p w14:paraId="49EDCA2F">
            <w:pPr>
              <w:spacing w:beforeLines="0" w:afterLines="0"/>
              <w:jc w:val="center"/>
            </w:pPr>
            <w:r>
              <w:t>通行延误情况</w:t>
            </w:r>
          </w:p>
        </w:tc>
      </w:tr>
      <w:tr w14:paraId="26DD2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74" w:type="dxa"/>
            <w:vMerge w:val="continue"/>
            <w:noWrap/>
            <w:vAlign w:val="center"/>
          </w:tcPr>
          <w:p w14:paraId="17D3FD63">
            <w:pPr>
              <w:spacing w:beforeLines="0" w:afterLines="0"/>
              <w:jc w:val="center"/>
            </w:pPr>
          </w:p>
        </w:tc>
        <w:tc>
          <w:tcPr>
            <w:tcW w:w="1860" w:type="dxa"/>
            <w:vMerge w:val="continue"/>
            <w:noWrap/>
            <w:vAlign w:val="center"/>
          </w:tcPr>
          <w:p w14:paraId="0EB5A173">
            <w:pPr>
              <w:spacing w:beforeLines="0" w:afterLines="0"/>
              <w:jc w:val="center"/>
            </w:pPr>
          </w:p>
        </w:tc>
        <w:tc>
          <w:tcPr>
            <w:tcW w:w="4806" w:type="dxa"/>
            <w:noWrap/>
            <w:vAlign w:val="center"/>
          </w:tcPr>
          <w:p w14:paraId="5842B2B7">
            <w:pPr>
              <w:spacing w:beforeLines="0" w:afterLines="0"/>
              <w:jc w:val="center"/>
            </w:pPr>
            <w:r>
              <w:t>结构损伤程度</w:t>
            </w:r>
          </w:p>
        </w:tc>
      </w:tr>
      <w:tr w14:paraId="38875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74" w:type="dxa"/>
            <w:vMerge w:val="continue"/>
            <w:noWrap/>
            <w:vAlign w:val="center"/>
          </w:tcPr>
          <w:p w14:paraId="1F6F9168">
            <w:pPr>
              <w:spacing w:beforeLines="0" w:afterLines="0"/>
              <w:jc w:val="center"/>
            </w:pPr>
          </w:p>
        </w:tc>
        <w:tc>
          <w:tcPr>
            <w:tcW w:w="1860" w:type="dxa"/>
            <w:vMerge w:val="restart"/>
            <w:noWrap/>
            <w:vAlign w:val="center"/>
          </w:tcPr>
          <w:p w14:paraId="21F1CAC3">
            <w:pPr>
              <w:spacing w:beforeLines="0" w:afterLines="0"/>
              <w:jc w:val="center"/>
            </w:pPr>
            <w:r>
              <w:t>社会影响</w:t>
            </w:r>
          </w:p>
        </w:tc>
        <w:tc>
          <w:tcPr>
            <w:tcW w:w="4806" w:type="dxa"/>
            <w:noWrap/>
            <w:vAlign w:val="center"/>
          </w:tcPr>
          <w:p w14:paraId="614CC41D">
            <w:pPr>
              <w:spacing w:beforeLines="0" w:afterLines="0"/>
              <w:jc w:val="center"/>
            </w:pPr>
            <w:r>
              <w:t>周边人口密度及分布</w:t>
            </w:r>
          </w:p>
        </w:tc>
      </w:tr>
      <w:tr w14:paraId="5BEBD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74" w:type="dxa"/>
            <w:vMerge w:val="continue"/>
            <w:noWrap/>
            <w:vAlign w:val="center"/>
          </w:tcPr>
          <w:p w14:paraId="3BBF26F0">
            <w:pPr>
              <w:spacing w:beforeLines="0" w:afterLines="0"/>
              <w:jc w:val="center"/>
            </w:pPr>
          </w:p>
        </w:tc>
        <w:tc>
          <w:tcPr>
            <w:tcW w:w="1860" w:type="dxa"/>
            <w:vMerge w:val="continue"/>
            <w:noWrap/>
            <w:vAlign w:val="center"/>
          </w:tcPr>
          <w:p w14:paraId="31846964">
            <w:pPr>
              <w:spacing w:beforeLines="0" w:afterLines="0"/>
              <w:jc w:val="center"/>
            </w:pPr>
          </w:p>
        </w:tc>
        <w:tc>
          <w:tcPr>
            <w:tcW w:w="4806" w:type="dxa"/>
            <w:noWrap/>
            <w:vAlign w:val="center"/>
          </w:tcPr>
          <w:p w14:paraId="6467A176">
            <w:pPr>
              <w:spacing w:beforeLines="0" w:afterLines="0"/>
              <w:jc w:val="center"/>
            </w:pPr>
            <w:r>
              <w:t>工厂数量及分布等</w:t>
            </w:r>
          </w:p>
        </w:tc>
      </w:tr>
      <w:tr w14:paraId="2DB2E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74" w:type="dxa"/>
            <w:vMerge w:val="continue"/>
            <w:noWrap/>
            <w:vAlign w:val="center"/>
          </w:tcPr>
          <w:p w14:paraId="18332BCC">
            <w:pPr>
              <w:spacing w:beforeLines="0" w:afterLines="0"/>
              <w:jc w:val="center"/>
            </w:pPr>
          </w:p>
        </w:tc>
        <w:tc>
          <w:tcPr>
            <w:tcW w:w="1860" w:type="dxa"/>
            <w:vMerge w:val="continue"/>
            <w:noWrap/>
            <w:vAlign w:val="center"/>
          </w:tcPr>
          <w:p w14:paraId="2D2EF201">
            <w:pPr>
              <w:spacing w:beforeLines="0" w:afterLines="0"/>
              <w:jc w:val="center"/>
            </w:pPr>
          </w:p>
        </w:tc>
        <w:tc>
          <w:tcPr>
            <w:tcW w:w="4806" w:type="dxa"/>
            <w:noWrap/>
            <w:vAlign w:val="center"/>
          </w:tcPr>
          <w:p w14:paraId="386F3797">
            <w:pPr>
              <w:spacing w:beforeLines="0" w:afterLines="0"/>
              <w:jc w:val="center"/>
            </w:pPr>
            <w:r>
              <w:t>文物科研价值（桥梁）</w:t>
            </w:r>
          </w:p>
        </w:tc>
      </w:tr>
    </w:tbl>
    <w:p w14:paraId="2EC86BA3">
      <w:pPr>
        <w:spacing w:before="31" w:after="31"/>
        <w:jc w:val="center"/>
      </w:pPr>
    </w:p>
    <w:p w14:paraId="2C52E010">
      <w:pPr>
        <w:spacing w:before="31" w:after="31"/>
        <w:sectPr>
          <w:headerReference r:id="rId26" w:type="default"/>
          <w:footerReference r:id="rId27" w:type="even"/>
          <w:pgSz w:w="11907" w:h="16840"/>
          <w:pgMar w:top="1440" w:right="1418" w:bottom="1440" w:left="1418" w:header="851" w:footer="992" w:gutter="567"/>
          <w:pgBorders>
            <w:top w:val="none" w:sz="0" w:space="0"/>
            <w:left w:val="none" w:sz="0" w:space="0"/>
            <w:bottom w:val="none" w:sz="0" w:space="0"/>
            <w:right w:val="none" w:sz="0" w:space="0"/>
          </w:pgBorders>
          <w:cols w:space="720" w:num="1"/>
          <w:docGrid w:type="linesAndChars" w:linePitch="312" w:charSpace="0"/>
        </w:sectPr>
      </w:pPr>
    </w:p>
    <w:bookmarkEnd w:id="156"/>
    <w:bookmarkEnd w:id="159"/>
    <w:p w14:paraId="34C126D1">
      <w:pPr>
        <w:pStyle w:val="2"/>
        <w:pageBreakBefore/>
        <w:tabs>
          <w:tab w:val="left" w:pos="454"/>
        </w:tabs>
        <w:spacing w:before="31" w:after="31"/>
        <w:jc w:val="center"/>
        <w:rPr>
          <w:rFonts w:hint="eastAsia" w:ascii="黑体" w:hAnsi="黑体" w:eastAsia="黑体" w:cs="黑体"/>
          <w:sz w:val="21"/>
          <w:szCs w:val="21"/>
          <w:lang w:val="en-US" w:eastAsia="zh-CN"/>
        </w:rPr>
      </w:pPr>
      <w:bookmarkStart w:id="166" w:name="_Toc21956"/>
      <w:r>
        <w:rPr>
          <w:rFonts w:hint="eastAsia" w:ascii="黑体" w:hAnsi="黑体" w:eastAsia="黑体" w:cs="黑体"/>
          <w:sz w:val="21"/>
          <w:szCs w:val="21"/>
        </w:rPr>
        <w:t>附录</w:t>
      </w:r>
      <w:r>
        <w:rPr>
          <w:rFonts w:hint="eastAsia" w:ascii="黑体" w:hAnsi="黑体" w:eastAsia="黑体" w:cs="黑体"/>
          <w:sz w:val="21"/>
          <w:szCs w:val="21"/>
          <w:lang w:val="en-US" w:eastAsia="zh-CN"/>
        </w:rPr>
        <w:t>B</w:t>
      </w:r>
      <w:r>
        <w:rPr>
          <w:rFonts w:hint="eastAsia" w:ascii="黑体" w:hAnsi="黑体" w:eastAsia="黑体" w:cs="黑体"/>
          <w:sz w:val="21"/>
          <w:szCs w:val="21"/>
        </w:rPr>
        <w:br w:type="textWrapping"/>
      </w:r>
      <w:r>
        <w:rPr>
          <w:rFonts w:hint="eastAsia" w:ascii="黑体" w:hAnsi="黑体" w:eastAsia="黑体" w:cs="黑体"/>
          <w:b w:val="0"/>
          <w:bCs w:val="0"/>
          <w:sz w:val="21"/>
          <w:szCs w:val="21"/>
        </w:rPr>
        <w:t>（</w:t>
      </w:r>
      <w:r>
        <w:rPr>
          <w:rFonts w:hint="eastAsia" w:ascii="黑体" w:hAnsi="黑体" w:eastAsia="黑体" w:cs="黑体"/>
          <w:b w:val="0"/>
          <w:bCs w:val="0"/>
          <w:sz w:val="21"/>
          <w:szCs w:val="21"/>
          <w:lang w:val="en-US" w:eastAsia="zh-CN"/>
        </w:rPr>
        <w:t>规范性</w:t>
      </w:r>
      <w:r>
        <w:rPr>
          <w:rFonts w:hint="eastAsia" w:ascii="黑体" w:hAnsi="黑体" w:eastAsia="黑体" w:cs="黑体"/>
          <w:b w:val="0"/>
          <w:bCs w:val="0"/>
          <w:sz w:val="21"/>
          <w:szCs w:val="21"/>
        </w:rPr>
        <w:t>）</w:t>
      </w:r>
      <w:r>
        <w:rPr>
          <w:rFonts w:hint="eastAsia" w:ascii="黑体" w:hAnsi="黑体" w:eastAsia="黑体" w:cs="黑体"/>
          <w:b w:val="0"/>
          <w:bCs w:val="0"/>
          <w:sz w:val="21"/>
          <w:szCs w:val="21"/>
        </w:rPr>
        <w:br w:type="textWrapping"/>
      </w:r>
      <w:r>
        <w:rPr>
          <w:rFonts w:hint="eastAsia" w:ascii="黑体" w:hAnsi="黑体" w:eastAsia="黑体" w:cs="黑体"/>
          <w:b w:val="0"/>
          <w:bCs w:val="0"/>
          <w:sz w:val="21"/>
          <w:szCs w:val="21"/>
          <w:lang w:val="en-US" w:eastAsia="zh-CN"/>
        </w:rPr>
        <w:t>监测布点要求</w:t>
      </w:r>
      <w:bookmarkEnd w:id="166"/>
    </w:p>
    <w:p w14:paraId="225CE874">
      <w:pPr>
        <w:pStyle w:val="2"/>
        <w:keepNext w:val="0"/>
        <w:tabs>
          <w:tab w:val="left" w:pos="454"/>
        </w:tabs>
        <w:spacing w:before="312" w:beforeLines="100" w:after="312" w:afterLines="100"/>
        <w:rPr>
          <w:rFonts w:hint="eastAsia" w:ascii="宋体" w:hAnsi="宋体"/>
          <w:szCs w:val="21"/>
          <w:lang w:val="en-US" w:eastAsia="zh-CN"/>
        </w:rPr>
      </w:pPr>
      <w:bookmarkStart w:id="167" w:name="_Toc26296"/>
      <w:r>
        <w:rPr>
          <w:rFonts w:hint="eastAsia" w:ascii="宋体" w:hAnsi="宋体"/>
          <w:szCs w:val="21"/>
          <w:lang w:val="en-US" w:eastAsia="zh-CN"/>
        </w:rPr>
        <w:t>B.1燃气监测布点要求</w:t>
      </w:r>
      <w:bookmarkEnd w:id="167"/>
    </w:p>
    <w:p w14:paraId="5CA3EAD5">
      <w:pPr>
        <w:rPr>
          <w:rFonts w:hint="eastAsia"/>
          <w:b w:val="0"/>
          <w:bCs w:val="0"/>
          <w:lang w:val="en-US" w:eastAsia="zh-CN"/>
        </w:rPr>
      </w:pPr>
      <w:r>
        <w:rPr>
          <w:rFonts w:hint="eastAsia"/>
          <w:b w:val="0"/>
          <w:bCs w:val="0"/>
          <w:lang w:val="en-US" w:eastAsia="zh-CN"/>
        </w:rPr>
        <w:t>燃气厂站监测布点要求见表B.1.1。</w:t>
      </w:r>
    </w:p>
    <w:tbl>
      <w:tblPr>
        <w:tblStyle w:val="35"/>
        <w:tblW w:w="8491" w:type="dxa"/>
        <w:tblInd w:w="1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5"/>
        <w:gridCol w:w="1481"/>
        <w:gridCol w:w="1155"/>
        <w:gridCol w:w="1140"/>
        <w:gridCol w:w="3990"/>
      </w:tblGrid>
      <w:tr w14:paraId="1F0AE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1" w:hRule="atLeast"/>
          <w:tblHeader/>
        </w:trPr>
        <w:tc>
          <w:tcPr>
            <w:tcW w:w="8491" w:type="dxa"/>
            <w:gridSpan w:val="5"/>
            <w:tcBorders>
              <w:top w:val="nil"/>
              <w:left w:val="nil"/>
              <w:bottom w:val="single" w:color="000000" w:sz="4" w:space="0"/>
              <w:right w:val="nil"/>
            </w:tcBorders>
            <w:shd w:val="clear" w:color="auto" w:fill="auto"/>
            <w:vAlign w:val="center"/>
          </w:tcPr>
          <w:p w14:paraId="04ADB928">
            <w:pPr>
              <w:pStyle w:val="98"/>
              <w:spacing w:before="24" w:after="24"/>
              <w:jc w:val="center"/>
              <w:rPr>
                <w:rFonts w:hint="eastAsia" w:ascii="宋体" w:hAnsi="宋体" w:eastAsia="宋体" w:cs="宋体"/>
                <w:i w:val="0"/>
                <w:iCs w:val="0"/>
                <w:color w:val="000000"/>
                <w:kern w:val="0"/>
                <w:sz w:val="18"/>
                <w:szCs w:val="18"/>
                <w:u w:val="none"/>
                <w:lang w:val="en-US" w:eastAsia="zh-CN" w:bidi="ar"/>
              </w:rPr>
            </w:pPr>
            <w:r>
              <w:rPr>
                <w:rFonts w:hint="eastAsia" w:ascii="黑体" w:hAnsi="黑体" w:eastAsia="黑体"/>
                <w:bCs/>
                <w:color w:val="auto"/>
                <w:lang w:val="en-US" w:eastAsia="zh-CN"/>
              </w:rPr>
              <w:t>B.1.1</w:t>
            </w:r>
            <w:r>
              <w:rPr>
                <w:rFonts w:hint="eastAsia" w:ascii="黑体" w:hAnsi="黑体" w:eastAsia="黑体"/>
                <w:bCs/>
                <w:color w:val="auto"/>
              </w:rPr>
              <w:t xml:space="preserve">  燃气</w:t>
            </w:r>
            <w:r>
              <w:rPr>
                <w:rFonts w:hint="eastAsia" w:ascii="黑体" w:hAnsi="黑体" w:eastAsia="黑体"/>
                <w:bCs/>
                <w:color w:val="auto"/>
                <w:lang w:val="en-US" w:eastAsia="zh-CN"/>
              </w:rPr>
              <w:t>厂站</w:t>
            </w:r>
            <w:r>
              <w:rPr>
                <w:rFonts w:hint="eastAsia" w:ascii="黑体" w:hAnsi="黑体" w:eastAsia="黑体"/>
                <w:bCs/>
                <w:color w:val="auto"/>
              </w:rPr>
              <w:t>监测布点要求</w:t>
            </w:r>
          </w:p>
        </w:tc>
      </w:tr>
      <w:tr w14:paraId="07CC5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blHeader/>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302DD">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D184E">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监测对象</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2EA2E">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监测指标</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769A7">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监测要求</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D87F6">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监测布点要求</w:t>
            </w:r>
          </w:p>
        </w:tc>
      </w:tr>
      <w:tr w14:paraId="7751F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restart"/>
            <w:tcBorders>
              <w:top w:val="single" w:color="000000" w:sz="4" w:space="0"/>
              <w:left w:val="single" w:color="000000" w:sz="4" w:space="0"/>
              <w:right w:val="single" w:color="000000" w:sz="4" w:space="0"/>
            </w:tcBorders>
            <w:shd w:val="clear" w:color="auto" w:fill="auto"/>
            <w:vAlign w:val="center"/>
          </w:tcPr>
          <w:p w14:paraId="519CA8D0">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481" w:type="dxa"/>
            <w:vMerge w:val="restart"/>
            <w:tcBorders>
              <w:top w:val="single" w:color="000000" w:sz="4" w:space="0"/>
              <w:left w:val="single" w:color="000000" w:sz="4" w:space="0"/>
              <w:right w:val="single" w:color="000000" w:sz="4" w:space="0"/>
            </w:tcBorders>
            <w:shd w:val="clear" w:color="auto" w:fill="auto"/>
            <w:vAlign w:val="center"/>
          </w:tcPr>
          <w:p w14:paraId="2C4FC4B4">
            <w:pPr>
              <w:keepNext w:val="0"/>
              <w:keepLines w:val="0"/>
              <w:widowControl/>
              <w:suppressLineNumbers w:val="0"/>
              <w:snapToGrid w:val="0"/>
              <w:spacing w:line="240" w:lineRule="auto"/>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门站</w:t>
            </w:r>
            <w:r>
              <w:rPr>
                <w:rFonts w:hint="eastAsia" w:ascii="宋体" w:hAnsi="宋体" w:cs="宋体"/>
                <w:i w:val="0"/>
                <w:iCs w:val="0"/>
                <w:color w:val="000000"/>
                <w:kern w:val="0"/>
                <w:sz w:val="18"/>
                <w:szCs w:val="18"/>
                <w:u w:val="none"/>
                <w:lang w:val="en-US" w:eastAsia="zh-CN" w:bidi="ar"/>
              </w:rPr>
              <w:t>/</w:t>
            </w:r>
          </w:p>
          <w:p w14:paraId="5B07EE74">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天然气储配站</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7FCAA">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可燃气体浓度</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813A6">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6EFF4">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爆炸危险区</w:t>
            </w:r>
          </w:p>
        </w:tc>
      </w:tr>
      <w:tr w14:paraId="56268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continue"/>
            <w:tcBorders>
              <w:left w:val="single" w:color="000000" w:sz="4" w:space="0"/>
              <w:right w:val="single" w:color="000000" w:sz="4" w:space="0"/>
            </w:tcBorders>
            <w:shd w:val="clear" w:color="auto" w:fill="auto"/>
            <w:vAlign w:val="center"/>
          </w:tcPr>
          <w:p w14:paraId="2084E747">
            <w:pPr>
              <w:snapToGrid w:val="0"/>
              <w:jc w:val="center"/>
              <w:rPr>
                <w:rFonts w:hint="eastAsia" w:ascii="宋体" w:hAnsi="宋体" w:eastAsia="宋体" w:cs="宋体"/>
                <w:i w:val="0"/>
                <w:iCs w:val="0"/>
                <w:color w:val="000000"/>
                <w:sz w:val="18"/>
                <w:szCs w:val="18"/>
                <w:u w:val="none"/>
              </w:rPr>
            </w:pPr>
          </w:p>
        </w:tc>
        <w:tc>
          <w:tcPr>
            <w:tcW w:w="1481" w:type="dxa"/>
            <w:vMerge w:val="continue"/>
            <w:tcBorders>
              <w:left w:val="single" w:color="000000" w:sz="4" w:space="0"/>
              <w:right w:val="single" w:color="000000" w:sz="4" w:space="0"/>
            </w:tcBorders>
            <w:shd w:val="clear" w:color="auto" w:fill="auto"/>
            <w:vAlign w:val="center"/>
          </w:tcPr>
          <w:p w14:paraId="565F73B3">
            <w:pPr>
              <w:snapToGrid w:val="0"/>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19C28">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压力</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479DF">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36513">
            <w:pPr>
              <w:keepNext w:val="0"/>
              <w:keepLines w:val="0"/>
              <w:widowControl/>
              <w:suppressLineNumbers w:val="0"/>
              <w:snapToGrid w:val="0"/>
              <w:spacing w:line="240" w:lineRule="auto"/>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工艺管道、设备重要节点</w:t>
            </w:r>
          </w:p>
        </w:tc>
      </w:tr>
      <w:tr w14:paraId="0B106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continue"/>
            <w:tcBorders>
              <w:left w:val="single" w:color="000000" w:sz="4" w:space="0"/>
              <w:right w:val="single" w:color="000000" w:sz="4" w:space="0"/>
            </w:tcBorders>
            <w:shd w:val="clear" w:color="auto" w:fill="auto"/>
            <w:vAlign w:val="center"/>
          </w:tcPr>
          <w:p w14:paraId="03D8174B">
            <w:pPr>
              <w:snapToGrid w:val="0"/>
              <w:jc w:val="center"/>
              <w:rPr>
                <w:rFonts w:hint="eastAsia" w:ascii="宋体" w:hAnsi="宋体" w:eastAsia="宋体" w:cs="宋体"/>
                <w:i w:val="0"/>
                <w:iCs w:val="0"/>
                <w:color w:val="000000"/>
                <w:sz w:val="18"/>
                <w:szCs w:val="18"/>
                <w:u w:val="none"/>
              </w:rPr>
            </w:pPr>
          </w:p>
        </w:tc>
        <w:tc>
          <w:tcPr>
            <w:tcW w:w="1481" w:type="dxa"/>
            <w:vMerge w:val="continue"/>
            <w:tcBorders>
              <w:left w:val="single" w:color="000000" w:sz="4" w:space="0"/>
              <w:right w:val="single" w:color="000000" w:sz="4" w:space="0"/>
            </w:tcBorders>
            <w:shd w:val="clear" w:color="auto" w:fill="auto"/>
            <w:vAlign w:val="center"/>
          </w:tcPr>
          <w:p w14:paraId="3D34AADE">
            <w:pPr>
              <w:snapToGrid w:val="0"/>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77695">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视频监控</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60424">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03C4E">
            <w:pPr>
              <w:keepNext w:val="0"/>
              <w:keepLines w:val="0"/>
              <w:widowControl/>
              <w:suppressLineNumbers w:val="0"/>
              <w:snapToGrid w:val="0"/>
              <w:spacing w:line="240" w:lineRule="auto"/>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周界、进出站口、主要生产设施</w:t>
            </w:r>
          </w:p>
        </w:tc>
      </w:tr>
      <w:tr w14:paraId="0B09C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continue"/>
            <w:tcBorders>
              <w:left w:val="single" w:color="000000" w:sz="4" w:space="0"/>
              <w:right w:val="single" w:color="000000" w:sz="4" w:space="0"/>
            </w:tcBorders>
            <w:shd w:val="clear" w:color="auto" w:fill="auto"/>
            <w:vAlign w:val="center"/>
          </w:tcPr>
          <w:p w14:paraId="2A3D2FB7">
            <w:pPr>
              <w:snapToGrid w:val="0"/>
              <w:jc w:val="center"/>
              <w:rPr>
                <w:rFonts w:hint="eastAsia" w:ascii="宋体" w:hAnsi="宋体" w:eastAsia="宋体" w:cs="宋体"/>
                <w:i w:val="0"/>
                <w:iCs w:val="0"/>
                <w:color w:val="000000"/>
                <w:sz w:val="18"/>
                <w:szCs w:val="18"/>
                <w:u w:val="none"/>
              </w:rPr>
            </w:pPr>
          </w:p>
        </w:tc>
        <w:tc>
          <w:tcPr>
            <w:tcW w:w="1481" w:type="dxa"/>
            <w:vMerge w:val="continue"/>
            <w:tcBorders>
              <w:left w:val="single" w:color="000000" w:sz="4" w:space="0"/>
              <w:right w:val="single" w:color="000000" w:sz="4" w:space="0"/>
            </w:tcBorders>
            <w:shd w:val="clear" w:color="auto" w:fill="auto"/>
            <w:vAlign w:val="center"/>
          </w:tcPr>
          <w:p w14:paraId="0CD9DCFC">
            <w:pPr>
              <w:snapToGrid w:val="0"/>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32506">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温度</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EB3A3">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0410E">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工艺管道、设备重要节点</w:t>
            </w:r>
          </w:p>
        </w:tc>
      </w:tr>
      <w:tr w14:paraId="58732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continue"/>
            <w:tcBorders>
              <w:left w:val="single" w:color="000000" w:sz="4" w:space="0"/>
              <w:right w:val="single" w:color="000000" w:sz="4" w:space="0"/>
            </w:tcBorders>
            <w:shd w:val="clear" w:color="auto" w:fill="auto"/>
            <w:vAlign w:val="center"/>
          </w:tcPr>
          <w:p w14:paraId="21C5A70F">
            <w:pPr>
              <w:snapToGrid w:val="0"/>
              <w:jc w:val="center"/>
              <w:rPr>
                <w:rFonts w:hint="eastAsia" w:ascii="宋体" w:hAnsi="宋体" w:eastAsia="宋体" w:cs="宋体"/>
                <w:i w:val="0"/>
                <w:iCs w:val="0"/>
                <w:color w:val="000000"/>
                <w:sz w:val="18"/>
                <w:szCs w:val="18"/>
                <w:u w:val="none"/>
              </w:rPr>
            </w:pPr>
          </w:p>
        </w:tc>
        <w:tc>
          <w:tcPr>
            <w:tcW w:w="1481" w:type="dxa"/>
            <w:vMerge w:val="continue"/>
            <w:tcBorders>
              <w:left w:val="single" w:color="000000" w:sz="4" w:space="0"/>
              <w:right w:val="single" w:color="000000" w:sz="4" w:space="0"/>
            </w:tcBorders>
            <w:shd w:val="clear" w:color="auto" w:fill="auto"/>
            <w:vAlign w:val="center"/>
          </w:tcPr>
          <w:p w14:paraId="1D1A54C1">
            <w:pPr>
              <w:snapToGrid w:val="0"/>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558D8">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流量</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DF09E">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83313">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工艺装置区</w:t>
            </w:r>
          </w:p>
        </w:tc>
      </w:tr>
      <w:tr w14:paraId="23E0E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continue"/>
            <w:tcBorders>
              <w:left w:val="single" w:color="000000" w:sz="4" w:space="0"/>
              <w:right w:val="single" w:color="000000" w:sz="4" w:space="0"/>
            </w:tcBorders>
            <w:shd w:val="clear" w:color="auto" w:fill="auto"/>
            <w:vAlign w:val="center"/>
          </w:tcPr>
          <w:p w14:paraId="350AD05D">
            <w:pPr>
              <w:snapToGrid w:val="0"/>
              <w:jc w:val="center"/>
              <w:rPr>
                <w:rFonts w:hint="eastAsia" w:ascii="宋体" w:hAnsi="宋体" w:eastAsia="宋体" w:cs="宋体"/>
                <w:i w:val="0"/>
                <w:iCs w:val="0"/>
                <w:color w:val="000000"/>
                <w:sz w:val="18"/>
                <w:szCs w:val="18"/>
                <w:u w:val="none"/>
              </w:rPr>
            </w:pPr>
          </w:p>
        </w:tc>
        <w:tc>
          <w:tcPr>
            <w:tcW w:w="1481" w:type="dxa"/>
            <w:vMerge w:val="continue"/>
            <w:tcBorders>
              <w:left w:val="single" w:color="000000" w:sz="4" w:space="0"/>
              <w:right w:val="single" w:color="000000" w:sz="4" w:space="0"/>
            </w:tcBorders>
            <w:shd w:val="clear" w:color="auto" w:fill="auto"/>
            <w:vAlign w:val="center"/>
          </w:tcPr>
          <w:p w14:paraId="6E90F049">
            <w:pPr>
              <w:snapToGrid w:val="0"/>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848E4">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管道电位</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2582D">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63C94">
            <w:pPr>
              <w:keepNext w:val="0"/>
              <w:keepLines w:val="0"/>
              <w:widowControl/>
              <w:suppressLineNumbers w:val="0"/>
              <w:snapToGrid w:val="0"/>
              <w:spacing w:line="240" w:lineRule="auto"/>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站内管道、出站管道（绝缘接头前后）</w:t>
            </w:r>
          </w:p>
        </w:tc>
      </w:tr>
      <w:tr w14:paraId="55443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continue"/>
            <w:tcBorders>
              <w:left w:val="single" w:color="000000" w:sz="4" w:space="0"/>
              <w:bottom w:val="single" w:color="000000" w:sz="4" w:space="0"/>
              <w:right w:val="single" w:color="000000" w:sz="4" w:space="0"/>
            </w:tcBorders>
            <w:shd w:val="clear" w:color="auto" w:fill="auto"/>
            <w:vAlign w:val="center"/>
          </w:tcPr>
          <w:p w14:paraId="0F8B9A6B">
            <w:pPr>
              <w:snapToGrid w:val="0"/>
              <w:jc w:val="center"/>
              <w:rPr>
                <w:rFonts w:hint="eastAsia" w:ascii="宋体" w:hAnsi="宋体" w:eastAsia="宋体" w:cs="宋体"/>
                <w:i w:val="0"/>
                <w:iCs w:val="0"/>
                <w:color w:val="000000"/>
                <w:sz w:val="18"/>
                <w:szCs w:val="18"/>
                <w:u w:val="none"/>
              </w:rPr>
            </w:pPr>
          </w:p>
        </w:tc>
        <w:tc>
          <w:tcPr>
            <w:tcW w:w="1481" w:type="dxa"/>
            <w:vMerge w:val="continue"/>
            <w:tcBorders>
              <w:left w:val="single" w:color="000000" w:sz="4" w:space="0"/>
              <w:bottom w:val="single" w:color="000000" w:sz="4" w:space="0"/>
              <w:right w:val="single" w:color="000000" w:sz="4" w:space="0"/>
            </w:tcBorders>
            <w:shd w:val="clear" w:color="auto" w:fill="auto"/>
            <w:vAlign w:val="center"/>
          </w:tcPr>
          <w:p w14:paraId="6A18F1DE">
            <w:pPr>
              <w:snapToGrid w:val="0"/>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DD7F6">
            <w:pPr>
              <w:keepNext w:val="0"/>
              <w:keepLines w:val="0"/>
              <w:widowControl/>
              <w:suppressLineNumbers w:val="0"/>
              <w:snapToGrid w:val="0"/>
              <w:spacing w:line="240" w:lineRule="auto"/>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加臭比例</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020AC">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28073">
            <w:pPr>
              <w:keepNext w:val="0"/>
              <w:keepLines w:val="0"/>
              <w:widowControl/>
              <w:suppressLineNumbers w:val="0"/>
              <w:snapToGrid w:val="0"/>
              <w:spacing w:line="240" w:lineRule="auto"/>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工艺装置出口总管</w:t>
            </w:r>
          </w:p>
        </w:tc>
      </w:tr>
      <w:tr w14:paraId="4633D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4707FC">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4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DC89C6">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调压计量站</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5AC78">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可燃气体浓度</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27036">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96A5F">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爆炸危险区</w:t>
            </w:r>
          </w:p>
        </w:tc>
      </w:tr>
      <w:tr w14:paraId="3CD82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D4839">
            <w:pPr>
              <w:snapToGrid w:val="0"/>
              <w:jc w:val="center"/>
              <w:rPr>
                <w:rFonts w:hint="eastAsia" w:ascii="宋体" w:hAnsi="宋体" w:eastAsia="宋体" w:cs="宋体"/>
                <w:i w:val="0"/>
                <w:iCs w:val="0"/>
                <w:color w:val="000000"/>
                <w:sz w:val="18"/>
                <w:szCs w:val="18"/>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22C07">
            <w:pPr>
              <w:snapToGrid w:val="0"/>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F8F1E">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压力</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875FF">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6E058">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工艺管道、设备重要节点</w:t>
            </w:r>
          </w:p>
        </w:tc>
      </w:tr>
      <w:tr w14:paraId="12FE3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82678">
            <w:pPr>
              <w:snapToGrid w:val="0"/>
              <w:jc w:val="center"/>
              <w:rPr>
                <w:rFonts w:hint="eastAsia" w:ascii="宋体" w:hAnsi="宋体" w:eastAsia="宋体" w:cs="宋体"/>
                <w:i w:val="0"/>
                <w:iCs w:val="0"/>
                <w:color w:val="000000"/>
                <w:sz w:val="18"/>
                <w:szCs w:val="18"/>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16302">
            <w:pPr>
              <w:snapToGrid w:val="0"/>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64D7A">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视频监控</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97C30">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8ABD2">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周界、进出站口、主要生产设施</w:t>
            </w:r>
          </w:p>
        </w:tc>
      </w:tr>
      <w:tr w14:paraId="4B11A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432DA">
            <w:pPr>
              <w:snapToGrid w:val="0"/>
              <w:jc w:val="center"/>
              <w:rPr>
                <w:rFonts w:hint="eastAsia" w:ascii="宋体" w:hAnsi="宋体" w:eastAsia="宋体" w:cs="宋体"/>
                <w:i w:val="0"/>
                <w:iCs w:val="0"/>
                <w:color w:val="000000"/>
                <w:sz w:val="18"/>
                <w:szCs w:val="18"/>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AC9B9">
            <w:pPr>
              <w:snapToGrid w:val="0"/>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A4F58">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温度</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A7ACC">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59F57">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工艺管道、设备重要节点</w:t>
            </w:r>
          </w:p>
        </w:tc>
      </w:tr>
      <w:tr w14:paraId="356D8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409EB">
            <w:pPr>
              <w:snapToGrid w:val="0"/>
              <w:jc w:val="center"/>
              <w:rPr>
                <w:rFonts w:hint="eastAsia" w:ascii="宋体" w:hAnsi="宋体" w:eastAsia="宋体" w:cs="宋体"/>
                <w:i w:val="0"/>
                <w:iCs w:val="0"/>
                <w:color w:val="000000"/>
                <w:sz w:val="18"/>
                <w:szCs w:val="18"/>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53708">
            <w:pPr>
              <w:snapToGrid w:val="0"/>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7D8E8">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流量</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AAB77">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E797E">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工艺装置区</w:t>
            </w:r>
          </w:p>
        </w:tc>
      </w:tr>
      <w:tr w14:paraId="2E19D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20B2D">
            <w:pPr>
              <w:snapToGrid w:val="0"/>
              <w:jc w:val="center"/>
              <w:rPr>
                <w:rFonts w:hint="eastAsia" w:ascii="宋体" w:hAnsi="宋体" w:eastAsia="宋体" w:cs="宋体"/>
                <w:i w:val="0"/>
                <w:iCs w:val="0"/>
                <w:color w:val="000000"/>
                <w:sz w:val="18"/>
                <w:szCs w:val="18"/>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6B77A">
            <w:pPr>
              <w:snapToGrid w:val="0"/>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C6F94">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管道电位</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A109F">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4ACEF">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站内管道、出站管道（绝缘接头前后）</w:t>
            </w:r>
          </w:p>
        </w:tc>
      </w:tr>
      <w:tr w14:paraId="776C9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4EABD3">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C9DA33">
            <w:pPr>
              <w:keepNext w:val="0"/>
              <w:keepLines w:val="0"/>
              <w:widowControl/>
              <w:suppressLineNumbers w:val="0"/>
              <w:snapToGrid w:val="0"/>
              <w:spacing w:line="240" w:lineRule="auto"/>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LNG</w:t>
            </w:r>
            <w:r>
              <w:rPr>
                <w:rFonts w:hint="eastAsia" w:ascii="宋体" w:hAnsi="宋体" w:eastAsia="宋体" w:cs="宋体"/>
                <w:i w:val="0"/>
                <w:iCs w:val="0"/>
                <w:color w:val="000000"/>
                <w:kern w:val="0"/>
                <w:sz w:val="18"/>
                <w:szCs w:val="18"/>
                <w:u w:val="none"/>
                <w:lang w:val="en-US" w:eastAsia="zh-CN" w:bidi="ar"/>
              </w:rPr>
              <w:t>气化站</w:t>
            </w:r>
            <w:r>
              <w:rPr>
                <w:rFonts w:hint="eastAsia" w:ascii="宋体" w:hAnsi="宋体" w:cs="宋体"/>
                <w:i w:val="0"/>
                <w:iCs w:val="0"/>
                <w:color w:val="000000"/>
                <w:kern w:val="0"/>
                <w:sz w:val="18"/>
                <w:szCs w:val="18"/>
                <w:u w:val="none"/>
                <w:lang w:val="en-US" w:eastAsia="zh-CN" w:bidi="ar"/>
              </w:rPr>
              <w:t>/</w:t>
            </w:r>
          </w:p>
          <w:p w14:paraId="2AB30313">
            <w:pPr>
              <w:keepNext w:val="0"/>
              <w:keepLines w:val="0"/>
              <w:widowControl/>
              <w:suppressLineNumbers w:val="0"/>
              <w:snapToGrid w:val="0"/>
              <w:spacing w:line="240" w:lineRule="auto"/>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LNG储备站</w:t>
            </w:r>
          </w:p>
          <w:p w14:paraId="640D93AE">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503B9">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可燃气体浓度</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323EA">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EB84C">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爆炸危险区</w:t>
            </w:r>
          </w:p>
        </w:tc>
      </w:tr>
      <w:tr w14:paraId="0B2D8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2AE205">
            <w:pPr>
              <w:snapToGrid w:val="0"/>
              <w:jc w:val="center"/>
              <w:rPr>
                <w:rFonts w:hint="eastAsia" w:ascii="宋体" w:hAnsi="宋体" w:eastAsia="宋体" w:cs="宋体"/>
                <w:i w:val="0"/>
                <w:iCs w:val="0"/>
                <w:color w:val="000000"/>
                <w:sz w:val="18"/>
                <w:szCs w:val="18"/>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AA82C">
            <w:pPr>
              <w:snapToGrid w:val="0"/>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BF216">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压力</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3B3D4">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65AAF">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工艺管道、设备重要节点</w:t>
            </w:r>
          </w:p>
        </w:tc>
      </w:tr>
      <w:tr w14:paraId="672F4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A01C0">
            <w:pPr>
              <w:snapToGrid w:val="0"/>
              <w:jc w:val="center"/>
              <w:rPr>
                <w:rFonts w:hint="eastAsia" w:ascii="宋体" w:hAnsi="宋体" w:eastAsia="宋体" w:cs="宋体"/>
                <w:i w:val="0"/>
                <w:iCs w:val="0"/>
                <w:color w:val="000000"/>
                <w:sz w:val="18"/>
                <w:szCs w:val="18"/>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BB690">
            <w:pPr>
              <w:snapToGrid w:val="0"/>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26C19">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视频监控</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99A90">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15037">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周界、进出站口、主要生产设施</w:t>
            </w:r>
          </w:p>
        </w:tc>
      </w:tr>
      <w:tr w14:paraId="25619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4A159">
            <w:pPr>
              <w:snapToGrid w:val="0"/>
              <w:jc w:val="center"/>
              <w:rPr>
                <w:rFonts w:hint="eastAsia" w:ascii="宋体" w:hAnsi="宋体" w:eastAsia="宋体" w:cs="宋体"/>
                <w:i w:val="0"/>
                <w:iCs w:val="0"/>
                <w:color w:val="000000"/>
                <w:sz w:val="18"/>
                <w:szCs w:val="18"/>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B5C75">
            <w:pPr>
              <w:snapToGrid w:val="0"/>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E8D4E">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温度</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AEC05">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25BE9">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工艺管道、设备重要节点</w:t>
            </w:r>
          </w:p>
        </w:tc>
      </w:tr>
      <w:tr w14:paraId="25F06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AC401">
            <w:pPr>
              <w:snapToGrid w:val="0"/>
              <w:jc w:val="center"/>
              <w:rPr>
                <w:rFonts w:hint="eastAsia" w:ascii="宋体" w:hAnsi="宋体" w:eastAsia="宋体" w:cs="宋体"/>
                <w:i w:val="0"/>
                <w:iCs w:val="0"/>
                <w:color w:val="000000"/>
                <w:sz w:val="18"/>
                <w:szCs w:val="18"/>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000B4">
            <w:pPr>
              <w:snapToGrid w:val="0"/>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32F66">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流量</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127B1">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7FDFF">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工艺装置区</w:t>
            </w:r>
          </w:p>
        </w:tc>
      </w:tr>
      <w:tr w14:paraId="11526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92709">
            <w:pPr>
              <w:snapToGrid w:val="0"/>
              <w:jc w:val="center"/>
              <w:rPr>
                <w:rFonts w:hint="eastAsia" w:ascii="宋体" w:hAnsi="宋体" w:eastAsia="宋体" w:cs="宋体"/>
                <w:i w:val="0"/>
                <w:iCs w:val="0"/>
                <w:color w:val="000000"/>
                <w:sz w:val="18"/>
                <w:szCs w:val="18"/>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7DF3D">
            <w:pPr>
              <w:snapToGrid w:val="0"/>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43CF6">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液位</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B0B52">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55B3D">
            <w:pPr>
              <w:keepNext w:val="0"/>
              <w:keepLines w:val="0"/>
              <w:widowControl/>
              <w:suppressLineNumbers w:val="0"/>
              <w:snapToGrid w:val="0"/>
              <w:spacing w:line="240" w:lineRule="auto"/>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液体储罐</w:t>
            </w:r>
          </w:p>
        </w:tc>
      </w:tr>
      <w:tr w14:paraId="62382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A6D63">
            <w:pPr>
              <w:snapToGrid w:val="0"/>
              <w:jc w:val="center"/>
              <w:rPr>
                <w:rFonts w:hint="eastAsia" w:ascii="宋体" w:hAnsi="宋体" w:eastAsia="宋体" w:cs="宋体"/>
                <w:i w:val="0"/>
                <w:iCs w:val="0"/>
                <w:color w:val="000000"/>
                <w:sz w:val="18"/>
                <w:szCs w:val="18"/>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53709">
            <w:pPr>
              <w:snapToGrid w:val="0"/>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0F92D">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管道电位</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5A38B">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4D473">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站内管道、出站管道（绝缘接头前后）</w:t>
            </w:r>
          </w:p>
        </w:tc>
      </w:tr>
      <w:tr w14:paraId="5C4ED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7E3488">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4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981F64">
            <w:pPr>
              <w:keepNext w:val="0"/>
              <w:keepLines w:val="0"/>
              <w:widowControl/>
              <w:suppressLineNumbers w:val="0"/>
              <w:snapToGrid w:val="0"/>
              <w:spacing w:line="240" w:lineRule="auto"/>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LPG储存站/</w:t>
            </w:r>
          </w:p>
          <w:p w14:paraId="1556B11D">
            <w:pPr>
              <w:keepNext w:val="0"/>
              <w:keepLines w:val="0"/>
              <w:widowControl/>
              <w:suppressLineNumbers w:val="0"/>
              <w:snapToGrid w:val="0"/>
              <w:spacing w:line="240" w:lineRule="auto"/>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LPG</w:t>
            </w:r>
            <w:r>
              <w:rPr>
                <w:rFonts w:hint="eastAsia" w:ascii="宋体" w:hAnsi="宋体" w:eastAsia="宋体" w:cs="宋体"/>
                <w:i w:val="0"/>
                <w:iCs w:val="0"/>
                <w:color w:val="000000"/>
                <w:kern w:val="0"/>
                <w:sz w:val="18"/>
                <w:szCs w:val="18"/>
                <w:u w:val="none"/>
                <w:lang w:val="en-US" w:eastAsia="zh-CN" w:bidi="ar"/>
              </w:rPr>
              <w:t>储配站</w:t>
            </w:r>
            <w:r>
              <w:rPr>
                <w:rFonts w:hint="eastAsia" w:ascii="宋体" w:hAnsi="宋体" w:cs="宋体"/>
                <w:i w:val="0"/>
                <w:iCs w:val="0"/>
                <w:color w:val="000000"/>
                <w:kern w:val="0"/>
                <w:sz w:val="18"/>
                <w:szCs w:val="18"/>
                <w:u w:val="none"/>
                <w:lang w:val="en-US" w:eastAsia="zh-CN" w:bidi="ar"/>
              </w:rPr>
              <w:t>/</w:t>
            </w:r>
          </w:p>
          <w:p w14:paraId="099C43A9">
            <w:pPr>
              <w:keepNext w:val="0"/>
              <w:keepLines w:val="0"/>
              <w:widowControl/>
              <w:suppressLineNumbers w:val="0"/>
              <w:snapToGrid w:val="0"/>
              <w:spacing w:line="240" w:lineRule="auto"/>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LPG灌装站</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158F9">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可燃气体浓度</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169B4">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C82EB">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爆炸危险区</w:t>
            </w:r>
          </w:p>
        </w:tc>
      </w:tr>
      <w:tr w14:paraId="3A66D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84BCE">
            <w:pPr>
              <w:snapToGrid w:val="0"/>
              <w:jc w:val="center"/>
              <w:rPr>
                <w:rFonts w:hint="eastAsia" w:ascii="宋体" w:hAnsi="宋体" w:eastAsia="宋体" w:cs="宋体"/>
                <w:i w:val="0"/>
                <w:iCs w:val="0"/>
                <w:color w:val="000000"/>
                <w:sz w:val="18"/>
                <w:szCs w:val="18"/>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0AA1F">
            <w:pPr>
              <w:snapToGrid w:val="0"/>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2FBC7">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压力</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F41D4">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80F0A">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工艺管道、设备重要节点</w:t>
            </w:r>
          </w:p>
        </w:tc>
      </w:tr>
      <w:tr w14:paraId="0CF68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79FB2">
            <w:pPr>
              <w:snapToGrid w:val="0"/>
              <w:jc w:val="center"/>
              <w:rPr>
                <w:rFonts w:hint="eastAsia" w:ascii="宋体" w:hAnsi="宋体" w:eastAsia="宋体" w:cs="宋体"/>
                <w:i w:val="0"/>
                <w:iCs w:val="0"/>
                <w:color w:val="000000"/>
                <w:sz w:val="18"/>
                <w:szCs w:val="18"/>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132F1">
            <w:pPr>
              <w:snapToGrid w:val="0"/>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71AB2">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视频监控</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4CEFA">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D4647">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周界、进出站口、主要生产设施</w:t>
            </w:r>
          </w:p>
        </w:tc>
      </w:tr>
      <w:tr w14:paraId="11A5F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55294">
            <w:pPr>
              <w:snapToGrid w:val="0"/>
              <w:jc w:val="center"/>
              <w:rPr>
                <w:rFonts w:hint="eastAsia" w:ascii="宋体" w:hAnsi="宋体" w:eastAsia="宋体" w:cs="宋体"/>
                <w:i w:val="0"/>
                <w:iCs w:val="0"/>
                <w:color w:val="000000"/>
                <w:sz w:val="18"/>
                <w:szCs w:val="18"/>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B998C">
            <w:pPr>
              <w:snapToGrid w:val="0"/>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6F8F8">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温度</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33751">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BC5BB">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液体储罐</w:t>
            </w:r>
          </w:p>
        </w:tc>
      </w:tr>
      <w:tr w14:paraId="384C8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A6466">
            <w:pPr>
              <w:snapToGrid w:val="0"/>
              <w:jc w:val="center"/>
              <w:rPr>
                <w:rFonts w:hint="eastAsia" w:ascii="宋体" w:hAnsi="宋体" w:eastAsia="宋体" w:cs="宋体"/>
                <w:i w:val="0"/>
                <w:iCs w:val="0"/>
                <w:color w:val="000000"/>
                <w:sz w:val="18"/>
                <w:szCs w:val="18"/>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6E593">
            <w:pPr>
              <w:snapToGrid w:val="0"/>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0760B">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液位</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3CCA7">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8E255">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液体储罐</w:t>
            </w:r>
          </w:p>
        </w:tc>
      </w:tr>
      <w:tr w14:paraId="63814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restart"/>
            <w:tcBorders>
              <w:top w:val="single" w:color="000000" w:sz="4" w:space="0"/>
              <w:left w:val="single" w:color="000000" w:sz="4" w:space="0"/>
              <w:right w:val="single" w:color="000000" w:sz="4" w:space="0"/>
            </w:tcBorders>
            <w:shd w:val="clear" w:color="auto" w:fill="auto"/>
            <w:vAlign w:val="center"/>
          </w:tcPr>
          <w:p w14:paraId="657DD6F5">
            <w:pPr>
              <w:snapToGrid w:val="0"/>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1481" w:type="dxa"/>
            <w:vMerge w:val="restart"/>
            <w:tcBorders>
              <w:top w:val="single" w:color="000000" w:sz="4" w:space="0"/>
              <w:left w:val="single" w:color="000000" w:sz="4" w:space="0"/>
              <w:right w:val="single" w:color="000000" w:sz="4" w:space="0"/>
            </w:tcBorders>
            <w:shd w:val="clear" w:color="auto" w:fill="auto"/>
            <w:vAlign w:val="center"/>
          </w:tcPr>
          <w:p w14:paraId="14E48020">
            <w:pPr>
              <w:snapToGrid w:val="0"/>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LPG瓶装供应站</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8BFBD">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可燃气体浓度</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0A157">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8FC0F">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爆炸危险区</w:t>
            </w:r>
          </w:p>
        </w:tc>
      </w:tr>
      <w:tr w14:paraId="3A648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continue"/>
            <w:tcBorders>
              <w:left w:val="single" w:color="000000" w:sz="4" w:space="0"/>
              <w:bottom w:val="single" w:color="000000" w:sz="4" w:space="0"/>
              <w:right w:val="single" w:color="000000" w:sz="4" w:space="0"/>
            </w:tcBorders>
            <w:shd w:val="clear" w:color="auto" w:fill="auto"/>
            <w:vAlign w:val="center"/>
          </w:tcPr>
          <w:p w14:paraId="253B9B4F">
            <w:pPr>
              <w:snapToGrid w:val="0"/>
              <w:jc w:val="center"/>
              <w:rPr>
                <w:rFonts w:hint="eastAsia" w:ascii="宋体" w:hAnsi="宋体" w:eastAsia="宋体" w:cs="宋体"/>
                <w:i w:val="0"/>
                <w:iCs w:val="0"/>
                <w:color w:val="000000"/>
                <w:sz w:val="18"/>
                <w:szCs w:val="18"/>
                <w:u w:val="none"/>
              </w:rPr>
            </w:pPr>
          </w:p>
        </w:tc>
        <w:tc>
          <w:tcPr>
            <w:tcW w:w="1481" w:type="dxa"/>
            <w:vMerge w:val="continue"/>
            <w:tcBorders>
              <w:left w:val="single" w:color="000000" w:sz="4" w:space="0"/>
              <w:bottom w:val="single" w:color="000000" w:sz="4" w:space="0"/>
              <w:right w:val="single" w:color="000000" w:sz="4" w:space="0"/>
            </w:tcBorders>
            <w:shd w:val="clear" w:color="auto" w:fill="auto"/>
            <w:vAlign w:val="center"/>
          </w:tcPr>
          <w:p w14:paraId="703D7B69">
            <w:pPr>
              <w:snapToGrid w:val="0"/>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79A63">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视频监控</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E52B6">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680CB">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周界、进出站口、瓶库</w:t>
            </w:r>
          </w:p>
        </w:tc>
      </w:tr>
      <w:tr w14:paraId="664A5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27FB3E">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4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C323E6">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加气站</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76DB1">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可燃气体浓度</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B3A2C">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A8430">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工艺装置区</w:t>
            </w:r>
          </w:p>
        </w:tc>
      </w:tr>
      <w:tr w14:paraId="380EC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DE46B">
            <w:pPr>
              <w:snapToGrid w:val="0"/>
              <w:jc w:val="center"/>
              <w:rPr>
                <w:rFonts w:hint="eastAsia" w:ascii="宋体" w:hAnsi="宋体" w:eastAsia="宋体" w:cs="宋体"/>
                <w:i w:val="0"/>
                <w:iCs w:val="0"/>
                <w:color w:val="000000"/>
                <w:sz w:val="18"/>
                <w:szCs w:val="18"/>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632D7">
            <w:pPr>
              <w:snapToGrid w:val="0"/>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2D5F1">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压力</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AC65">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9C645">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mc:AlternateContent>
                <mc:Choice Requires="wps">
                  <w:drawing>
                    <wp:anchor distT="0" distB="0" distL="114300" distR="114300" simplePos="0" relativeHeight="251669504" behindDoc="0" locked="0" layoutInCell="1" allowOverlap="1">
                      <wp:simplePos x="0" y="0"/>
                      <wp:positionH relativeFrom="column">
                        <wp:posOffset>691515</wp:posOffset>
                      </wp:positionH>
                      <wp:positionV relativeFrom="paragraph">
                        <wp:posOffset>-593090</wp:posOffset>
                      </wp:positionV>
                      <wp:extent cx="542290" cy="344170"/>
                      <wp:effectExtent l="0" t="0" r="10160" b="17780"/>
                      <wp:wrapNone/>
                      <wp:docPr id="27" name="文本框 27"/>
                      <wp:cNvGraphicFramePr/>
                      <a:graphic xmlns:a="http://schemas.openxmlformats.org/drawingml/2006/main">
                        <a:graphicData uri="http://schemas.microsoft.com/office/word/2010/wordprocessingShape">
                          <wps:wsp>
                            <wps:cNvSpPr txBox="1"/>
                            <wps:spPr>
                              <a:xfrm>
                                <a:off x="0" y="0"/>
                                <a:ext cx="542290" cy="344170"/>
                              </a:xfrm>
                              <a:prstGeom prst="rect">
                                <a:avLst/>
                              </a:prstGeom>
                              <a:solidFill>
                                <a:srgbClr val="FFFFFF"/>
                              </a:solidFill>
                              <a:ln>
                                <a:noFill/>
                              </a:ln>
                            </wps:spPr>
                            <wps:txbx>
                              <w:txbxContent>
                                <w:p w14:paraId="051FA6C0">
                                  <w:pPr>
                                    <w:rPr>
                                      <w:rFonts w:hint="eastAsia" w:ascii="黑体" w:hAnsi="黑体" w:eastAsia="黑体" w:cs="黑体"/>
                                    </w:rPr>
                                  </w:pPr>
                                  <w:r>
                                    <w:rPr>
                                      <w:rFonts w:hint="eastAsia" w:ascii="黑体" w:hAnsi="黑体" w:eastAsia="黑体" w:cs="黑体"/>
                                    </w:rPr>
                                    <w:t>（续）</w:t>
                                  </w:r>
                                </w:p>
                              </w:txbxContent>
                            </wps:txbx>
                            <wps:bodyPr upright="1"/>
                          </wps:wsp>
                        </a:graphicData>
                      </a:graphic>
                    </wp:anchor>
                  </w:drawing>
                </mc:Choice>
                <mc:Fallback>
                  <w:pict>
                    <v:shape id="_x0000_s1026" o:spid="_x0000_s1026" o:spt="202" type="#_x0000_t202" style="position:absolute;left:0pt;margin-left:54.45pt;margin-top:-46.7pt;height:27.1pt;width:42.7pt;z-index:251669504;mso-width-relative:page;mso-height-relative:page;" fillcolor="#FFFFFF" filled="t" stroked="f" coordsize="21600,21600" o:gfxdata="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AHRLADYAAAACwEAAA8AAAAAAAAAAQAgAAAAIgAAAGRycy9kb3ducmV2&#10;LnhtbFBLAQIUABQAAAAIAIdO4kCjzODowwEAAHgDAAAOAAAAAAAAAAEAIAAAACcBAABkcnMvZTJv&#10;RG9jLnhtbFBLBQYAAAAABgAGAFkBAABcBQAAAAA=&#10;">
                      <v:fill on="t" focussize="0,0"/>
                      <v:stroke on="f"/>
                      <v:imagedata o:title=""/>
                      <o:lock v:ext="edit" aspectratio="f"/>
                      <v:textbox>
                        <w:txbxContent>
                          <w:p w14:paraId="051FA6C0">
                            <w:pPr>
                              <w:rPr>
                                <w:rFonts w:hint="eastAsia" w:ascii="黑体" w:hAnsi="黑体" w:eastAsia="黑体" w:cs="黑体"/>
                              </w:rPr>
                            </w:pPr>
                            <w:r>
                              <w:rPr>
                                <w:rFonts w:hint="eastAsia" w:ascii="黑体" w:hAnsi="黑体" w:eastAsia="黑体" w:cs="黑体"/>
                              </w:rPr>
                              <w:t>（续）</w:t>
                            </w:r>
                          </w:p>
                        </w:txbxContent>
                      </v:textbox>
                    </v:shape>
                  </w:pict>
                </mc:Fallback>
              </mc:AlternateContent>
            </w:r>
            <w:r>
              <w:rPr>
                <w:rFonts w:hint="eastAsia" w:ascii="宋体" w:hAnsi="宋体" w:eastAsia="宋体" w:cs="宋体"/>
                <w:i w:val="0"/>
                <w:iCs w:val="0"/>
                <w:color w:val="000000"/>
                <w:kern w:val="0"/>
                <w:sz w:val="18"/>
                <w:szCs w:val="18"/>
                <w:u w:val="none"/>
                <w:lang w:val="en-US" w:eastAsia="zh-CN" w:bidi="ar"/>
              </w:rPr>
              <w:t>上下游分别</w:t>
            </w:r>
            <w:r>
              <w:rPr>
                <w:rFonts w:hint="eastAsia" w:ascii="宋体" w:hAnsi="宋体" w:cs="宋体"/>
                <w:i w:val="0"/>
                <w:iCs w:val="0"/>
                <w:color w:val="000000"/>
                <w:kern w:val="0"/>
                <w:sz w:val="18"/>
                <w:szCs w:val="18"/>
                <w:u w:val="none"/>
                <w:lang w:val="en-US" w:eastAsia="zh-CN" w:bidi="ar"/>
              </w:rPr>
              <w:t>不低于</w:t>
            </w:r>
            <w:r>
              <w:rPr>
                <w:rFonts w:hint="eastAsia" w:ascii="宋体" w:hAnsi="宋体" w:eastAsia="宋体" w:cs="宋体"/>
                <w:i w:val="0"/>
                <w:iCs w:val="0"/>
                <w:color w:val="000000"/>
                <w:kern w:val="0"/>
                <w:sz w:val="18"/>
                <w:szCs w:val="18"/>
                <w:u w:val="none"/>
                <w:lang w:val="en-US" w:eastAsia="zh-CN" w:bidi="ar"/>
              </w:rPr>
              <w:t>1处</w:t>
            </w:r>
          </w:p>
        </w:tc>
      </w:tr>
      <w:tr w14:paraId="601F3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4A834">
            <w:pPr>
              <w:snapToGrid w:val="0"/>
              <w:jc w:val="center"/>
              <w:rPr>
                <w:rFonts w:hint="eastAsia" w:ascii="宋体" w:hAnsi="宋体" w:eastAsia="宋体" w:cs="宋体"/>
                <w:i w:val="0"/>
                <w:iCs w:val="0"/>
                <w:color w:val="000000"/>
                <w:sz w:val="18"/>
                <w:szCs w:val="18"/>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EAE10">
            <w:pPr>
              <w:snapToGrid w:val="0"/>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E9165">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视频监控</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2B72B">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93AE5">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根据设备性能达到无监测盲区效果</w:t>
            </w:r>
          </w:p>
        </w:tc>
      </w:tr>
      <w:tr w14:paraId="2A2BB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07A15">
            <w:pPr>
              <w:snapToGrid w:val="0"/>
              <w:jc w:val="center"/>
              <w:rPr>
                <w:rFonts w:hint="eastAsia" w:ascii="宋体" w:hAnsi="宋体" w:eastAsia="宋体" w:cs="宋体"/>
                <w:i w:val="0"/>
                <w:iCs w:val="0"/>
                <w:color w:val="000000"/>
                <w:sz w:val="18"/>
                <w:szCs w:val="18"/>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9269F">
            <w:pPr>
              <w:snapToGrid w:val="0"/>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4C0E7">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温度</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8370C">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615B1">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燃气温度</w:t>
            </w:r>
          </w:p>
        </w:tc>
      </w:tr>
      <w:tr w14:paraId="5A550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C6913">
            <w:pPr>
              <w:snapToGrid w:val="0"/>
              <w:jc w:val="center"/>
              <w:rPr>
                <w:rFonts w:hint="eastAsia" w:ascii="宋体" w:hAnsi="宋体" w:eastAsia="宋体" w:cs="宋体"/>
                <w:i w:val="0"/>
                <w:iCs w:val="0"/>
                <w:color w:val="000000"/>
                <w:sz w:val="18"/>
                <w:szCs w:val="18"/>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2D4E9">
            <w:pPr>
              <w:snapToGrid w:val="0"/>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8E25B">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液位</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A0474">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B7D9F">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液体储罐</w:t>
            </w:r>
          </w:p>
        </w:tc>
      </w:tr>
      <w:tr w14:paraId="11A50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3251E">
            <w:pPr>
              <w:snapToGrid w:val="0"/>
              <w:jc w:val="center"/>
              <w:rPr>
                <w:rFonts w:hint="eastAsia" w:ascii="宋体" w:hAnsi="宋体" w:eastAsia="宋体" w:cs="宋体"/>
                <w:i w:val="0"/>
                <w:iCs w:val="0"/>
                <w:color w:val="000000"/>
                <w:sz w:val="18"/>
                <w:szCs w:val="18"/>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2DA5F">
            <w:pPr>
              <w:snapToGrid w:val="0"/>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5DA36">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管道电位</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D264F">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92D1A">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采用具备数据远传功能的智能监测设备</w:t>
            </w:r>
          </w:p>
        </w:tc>
      </w:tr>
      <w:tr w14:paraId="582EE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4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737E5B">
            <w:pPr>
              <w:pStyle w:val="146"/>
              <w:jc w:val="left"/>
              <w:rPr>
                <w:rFonts w:cs="宋体"/>
                <w:bCs/>
                <w:sz w:val="18"/>
                <w:szCs w:val="18"/>
              </w:rPr>
            </w:pPr>
            <w:r>
              <w:rPr>
                <w:rFonts w:hint="eastAsia" w:cs="宋体"/>
                <w:bCs/>
                <w:sz w:val="18"/>
                <w:szCs w:val="18"/>
              </w:rPr>
              <w:t>注：</w:t>
            </w:r>
            <w:r>
              <w:rPr>
                <w:rFonts w:cs="宋体"/>
                <w:bCs/>
                <w:sz w:val="18"/>
                <w:szCs w:val="18"/>
              </w:rPr>
              <w:t>1.</w:t>
            </w:r>
            <w:r>
              <w:rPr>
                <w:rFonts w:hint="eastAsia" w:cs="宋体"/>
                <w:bCs/>
                <w:sz w:val="18"/>
                <w:szCs w:val="18"/>
              </w:rPr>
              <w:t>“●”表示必选监测项、“◎”表示宜选监测项、“○”表示可选监测项；</w:t>
            </w:r>
          </w:p>
          <w:p w14:paraId="261C2BF5">
            <w:pPr>
              <w:keepNext w:val="0"/>
              <w:keepLines w:val="0"/>
              <w:widowControl/>
              <w:suppressLineNumbers w:val="0"/>
              <w:snapToGrid w:val="0"/>
              <w:spacing w:line="240" w:lineRule="auto"/>
              <w:ind w:firstLine="360" w:firstLineChars="200"/>
              <w:jc w:val="left"/>
              <w:textAlignment w:val="center"/>
              <w:rPr>
                <w:rFonts w:hint="eastAsia" w:ascii="宋体" w:hAnsi="宋体" w:eastAsia="宋体" w:cs="宋体"/>
                <w:i w:val="0"/>
                <w:iCs w:val="0"/>
                <w:color w:val="000000"/>
                <w:kern w:val="0"/>
                <w:sz w:val="18"/>
                <w:szCs w:val="18"/>
                <w:u w:val="none"/>
                <w:lang w:val="en-US" w:eastAsia="zh-CN" w:bidi="ar"/>
              </w:rPr>
            </w:pPr>
            <w:r>
              <w:rPr>
                <w:rFonts w:cs="宋体"/>
                <w:bCs/>
                <w:sz w:val="18"/>
                <w:szCs w:val="18"/>
              </w:rPr>
              <w:t>2.</w:t>
            </w:r>
            <w:r>
              <w:rPr>
                <w:rFonts w:hint="eastAsia" w:cs="宋体"/>
                <w:bCs/>
                <w:sz w:val="18"/>
                <w:szCs w:val="18"/>
              </w:rPr>
              <w:t>“―”表示</w:t>
            </w:r>
            <w:r>
              <w:rPr>
                <w:rFonts w:hint="eastAsia" w:cs="宋体"/>
                <w:bCs/>
                <w:sz w:val="18"/>
                <w:szCs w:val="18"/>
                <w:lang w:val="en-US" w:eastAsia="zh-CN"/>
              </w:rPr>
              <w:t>监</w:t>
            </w:r>
            <w:r>
              <w:rPr>
                <w:rFonts w:hint="eastAsia" w:cs="宋体"/>
                <w:bCs/>
                <w:sz w:val="18"/>
                <w:szCs w:val="18"/>
              </w:rPr>
              <w:t>测点布设可根据现场情况选择适当位置</w:t>
            </w:r>
            <w:r>
              <w:rPr>
                <w:rFonts w:hint="eastAsia" w:cs="宋体"/>
                <w:bCs/>
                <w:sz w:val="18"/>
                <w:szCs w:val="18"/>
                <w:lang w:eastAsia="zh-CN"/>
              </w:rPr>
              <w:t>。</w:t>
            </w:r>
          </w:p>
        </w:tc>
      </w:tr>
    </w:tbl>
    <w:p w14:paraId="59AFD500">
      <w:pPr>
        <w:pStyle w:val="98"/>
        <w:spacing w:before="24" w:after="24"/>
        <w:jc w:val="center"/>
        <w:rPr>
          <w:rFonts w:hint="eastAsia" w:ascii="黑体" w:hAnsi="黑体" w:eastAsia="黑体"/>
          <w:bCs/>
          <w:color w:val="auto"/>
          <w:lang w:val="en-US" w:eastAsia="zh-CN"/>
        </w:rPr>
      </w:pPr>
    </w:p>
    <w:p w14:paraId="609EC9FF">
      <w:pPr>
        <w:rPr>
          <w:rFonts w:hint="eastAsia" w:ascii="黑体" w:hAnsi="黑体" w:eastAsia="黑体"/>
          <w:bCs/>
          <w:color w:val="auto"/>
          <w:lang w:val="en-US" w:eastAsia="zh-CN"/>
        </w:rPr>
      </w:pPr>
      <w:r>
        <w:rPr>
          <w:rFonts w:hint="eastAsia"/>
          <w:b w:val="0"/>
          <w:bCs w:val="0"/>
          <w:lang w:val="en-US" w:eastAsia="zh-CN"/>
        </w:rPr>
        <w:t>燃气管道监测布点要求见表B.1.2。</w:t>
      </w:r>
    </w:p>
    <w:p w14:paraId="23E3A407">
      <w:pPr>
        <w:pStyle w:val="98"/>
        <w:spacing w:before="24" w:after="24"/>
        <w:jc w:val="center"/>
        <w:rPr>
          <w:rFonts w:ascii="黑体" w:hAnsi="黑体" w:eastAsia="黑体"/>
          <w:bCs/>
          <w:color w:val="auto"/>
        </w:rPr>
      </w:pPr>
      <w:r>
        <w:rPr>
          <w:rFonts w:hint="eastAsia" w:ascii="黑体" w:hAnsi="黑体" w:eastAsia="黑体"/>
          <w:bCs/>
          <w:color w:val="auto"/>
          <w:lang w:val="en-US" w:eastAsia="zh-CN"/>
        </w:rPr>
        <w:t>B.1.2</w:t>
      </w:r>
      <w:r>
        <w:rPr>
          <w:rFonts w:hint="eastAsia" w:ascii="黑体" w:hAnsi="黑体" w:eastAsia="黑体"/>
          <w:bCs/>
          <w:color w:val="auto"/>
        </w:rPr>
        <w:t xml:space="preserve"> 燃气管道监测布点要求</w:t>
      </w:r>
    </w:p>
    <w:tbl>
      <w:tblPr>
        <w:tblStyle w:val="35"/>
        <w:tblW w:w="8527"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2767"/>
        <w:gridCol w:w="1005"/>
        <w:gridCol w:w="1035"/>
        <w:gridCol w:w="2993"/>
      </w:tblGrid>
      <w:tr w14:paraId="09368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7" w:type="dxa"/>
            <w:vAlign w:val="center"/>
          </w:tcPr>
          <w:p w14:paraId="4A346D47">
            <w:pPr>
              <w:widowControl/>
              <w:adjustRightInd w:val="0"/>
              <w:snapToGrid w:val="0"/>
              <w:spacing w:before="24" w:after="24" w:line="240" w:lineRule="auto"/>
              <w:jc w:val="center"/>
              <w:textAlignment w:val="center"/>
              <w:rPr>
                <w:rFonts w:ascii="宋体" w:hAnsi="宋体" w:cs="宋体"/>
                <w:color w:val="000000"/>
                <w:sz w:val="18"/>
                <w:szCs w:val="18"/>
              </w:rPr>
            </w:pPr>
            <w:r>
              <w:rPr>
                <w:rFonts w:hint="eastAsia" w:ascii="宋体" w:hAnsi="宋体" w:cs="宋体"/>
                <w:color w:val="000000"/>
                <w:kern w:val="0"/>
                <w:sz w:val="18"/>
                <w:szCs w:val="18"/>
              </w:rPr>
              <w:t>序号</w:t>
            </w:r>
          </w:p>
        </w:tc>
        <w:tc>
          <w:tcPr>
            <w:tcW w:w="2767" w:type="dxa"/>
            <w:vAlign w:val="center"/>
          </w:tcPr>
          <w:p w14:paraId="6D097F0B">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监测对象</w:t>
            </w:r>
          </w:p>
        </w:tc>
        <w:tc>
          <w:tcPr>
            <w:tcW w:w="1005" w:type="dxa"/>
            <w:vAlign w:val="center"/>
          </w:tcPr>
          <w:p w14:paraId="768C5313">
            <w:pPr>
              <w:widowControl/>
              <w:adjustRightInd w:val="0"/>
              <w:snapToGrid w:val="0"/>
              <w:spacing w:before="24" w:after="24" w:line="240" w:lineRule="auto"/>
              <w:jc w:val="center"/>
              <w:textAlignment w:val="center"/>
              <w:rPr>
                <w:rFonts w:ascii="宋体" w:hAnsi="宋体" w:cs="宋体"/>
                <w:color w:val="000000"/>
                <w:sz w:val="18"/>
                <w:szCs w:val="18"/>
              </w:rPr>
            </w:pPr>
            <w:r>
              <w:rPr>
                <w:rFonts w:hint="eastAsia" w:ascii="宋体" w:hAnsi="宋体" w:cs="宋体"/>
                <w:color w:val="000000"/>
                <w:kern w:val="0"/>
                <w:sz w:val="18"/>
                <w:szCs w:val="18"/>
              </w:rPr>
              <w:t>监测指标</w:t>
            </w:r>
          </w:p>
        </w:tc>
        <w:tc>
          <w:tcPr>
            <w:tcW w:w="1035" w:type="dxa"/>
            <w:vAlign w:val="center"/>
          </w:tcPr>
          <w:p w14:paraId="0426D12E">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监测要求</w:t>
            </w:r>
          </w:p>
        </w:tc>
        <w:tc>
          <w:tcPr>
            <w:tcW w:w="2993" w:type="dxa"/>
            <w:vAlign w:val="center"/>
          </w:tcPr>
          <w:p w14:paraId="23CC9B8D">
            <w:pPr>
              <w:widowControl/>
              <w:adjustRightInd w:val="0"/>
              <w:snapToGrid w:val="0"/>
              <w:spacing w:before="24" w:after="24" w:line="240" w:lineRule="auto"/>
              <w:jc w:val="center"/>
              <w:textAlignment w:val="center"/>
              <w:rPr>
                <w:rFonts w:ascii="宋体" w:hAnsi="宋体" w:cs="宋体"/>
                <w:color w:val="000000"/>
                <w:sz w:val="18"/>
                <w:szCs w:val="18"/>
              </w:rPr>
            </w:pPr>
            <w:r>
              <w:rPr>
                <w:rFonts w:hint="eastAsia" w:ascii="宋体" w:hAnsi="宋体" w:cs="宋体"/>
                <w:color w:val="000000"/>
                <w:kern w:val="0"/>
                <w:sz w:val="18"/>
                <w:szCs w:val="18"/>
              </w:rPr>
              <w:t>监测</w:t>
            </w:r>
            <w:r>
              <w:rPr>
                <w:rFonts w:hint="eastAsia" w:ascii="宋体" w:hAnsi="宋体" w:cs="宋体"/>
                <w:color w:val="000000"/>
                <w:kern w:val="0"/>
                <w:sz w:val="18"/>
                <w:szCs w:val="18"/>
                <w:lang w:val="en-US" w:eastAsia="zh-CN"/>
              </w:rPr>
              <w:t>布点</w:t>
            </w:r>
            <w:r>
              <w:rPr>
                <w:rFonts w:hint="eastAsia" w:ascii="宋体" w:hAnsi="宋体" w:cs="宋体"/>
                <w:color w:val="000000"/>
                <w:kern w:val="0"/>
                <w:sz w:val="18"/>
                <w:szCs w:val="18"/>
              </w:rPr>
              <w:t>要求</w:t>
            </w:r>
          </w:p>
        </w:tc>
      </w:tr>
      <w:tr w14:paraId="520F3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7" w:type="dxa"/>
            <w:vMerge w:val="restart"/>
            <w:vAlign w:val="center"/>
          </w:tcPr>
          <w:p w14:paraId="419ED3B7">
            <w:pPr>
              <w:widowControl/>
              <w:adjustRightInd w:val="0"/>
              <w:snapToGrid w:val="0"/>
              <w:spacing w:before="24" w:after="24" w:line="240" w:lineRule="auto"/>
              <w:jc w:val="center"/>
              <w:textAlignment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kern w:val="2"/>
                <w:sz w:val="18"/>
                <w:szCs w:val="18"/>
                <w:lang w:val="en-US" w:eastAsia="zh-CN" w:bidi="ar-SA"/>
              </w:rPr>
              <w:t>1</w:t>
            </w:r>
          </w:p>
        </w:tc>
        <w:tc>
          <w:tcPr>
            <w:tcW w:w="2767" w:type="dxa"/>
            <w:vMerge w:val="restart"/>
            <w:shd w:val="clear" w:color="auto" w:fill="auto"/>
            <w:vAlign w:val="center"/>
          </w:tcPr>
          <w:p w14:paraId="38FD2714">
            <w:pPr>
              <w:widowControl/>
              <w:adjustRightInd w:val="0"/>
              <w:snapToGrid w:val="0"/>
              <w:spacing w:before="24" w:after="24" w:line="240" w:lineRule="auto"/>
              <w:jc w:val="left"/>
              <w:textAlignment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kern w:val="2"/>
                <w:sz w:val="18"/>
                <w:szCs w:val="18"/>
                <w:lang w:val="en-US" w:eastAsia="zh-CN" w:bidi="ar-SA"/>
              </w:rPr>
              <w:t>风险评估判定为较大风险及以上等级燃气管道</w:t>
            </w:r>
          </w:p>
        </w:tc>
        <w:tc>
          <w:tcPr>
            <w:tcW w:w="1005" w:type="dxa"/>
            <w:vAlign w:val="center"/>
          </w:tcPr>
          <w:p w14:paraId="3E7FE263">
            <w:pPr>
              <w:widowControl/>
              <w:adjustRightInd w:val="0"/>
              <w:snapToGrid w:val="0"/>
              <w:spacing w:before="24" w:after="24" w:line="240" w:lineRule="auto"/>
              <w:jc w:val="center"/>
              <w:textAlignment w:val="center"/>
              <w:rPr>
                <w:rFonts w:hint="default" w:ascii="宋体" w:hAnsi="宋体" w:eastAsia="宋体" w:cs="宋体"/>
                <w:bCs/>
                <w:color w:val="auto"/>
                <w:kern w:val="2"/>
                <w:sz w:val="18"/>
                <w:szCs w:val="18"/>
                <w:lang w:val="en-US" w:eastAsia="zh-CN" w:bidi="ar-SA"/>
              </w:rPr>
            </w:pPr>
            <w:r>
              <w:rPr>
                <w:rFonts w:hint="eastAsia" w:ascii="宋体" w:hAnsi="宋体" w:cs="宋体"/>
                <w:bCs/>
                <w:color w:val="auto"/>
                <w:kern w:val="2"/>
                <w:sz w:val="18"/>
                <w:szCs w:val="18"/>
                <w:lang w:val="en-US" w:eastAsia="zh-CN" w:bidi="ar-SA"/>
              </w:rPr>
              <w:t>可燃气体浓度</w:t>
            </w:r>
          </w:p>
        </w:tc>
        <w:tc>
          <w:tcPr>
            <w:tcW w:w="1035" w:type="dxa"/>
            <w:shd w:val="clear" w:color="auto" w:fill="auto"/>
            <w:vAlign w:val="center"/>
          </w:tcPr>
          <w:p w14:paraId="20B562BB">
            <w:pPr>
              <w:pStyle w:val="146"/>
              <w:rPr>
                <w:rFonts w:hint="eastAsia" w:cs="宋体"/>
                <w:bCs/>
                <w:sz w:val="18"/>
                <w:szCs w:val="18"/>
              </w:rPr>
            </w:pPr>
            <w:r>
              <w:rPr>
                <w:rFonts w:hint="eastAsia" w:cs="宋体"/>
                <w:bCs/>
                <w:sz w:val="18"/>
                <w:szCs w:val="18"/>
              </w:rPr>
              <w:t>●</w:t>
            </w:r>
          </w:p>
        </w:tc>
        <w:tc>
          <w:tcPr>
            <w:tcW w:w="2993" w:type="dxa"/>
            <w:vAlign w:val="center"/>
          </w:tcPr>
          <w:p w14:paraId="159E8FFB">
            <w:pPr>
              <w:widowControl/>
              <w:adjustRightInd w:val="0"/>
              <w:snapToGrid w:val="0"/>
              <w:spacing w:before="24" w:after="24" w:line="240" w:lineRule="auto"/>
              <w:jc w:val="left"/>
              <w:textAlignment w:val="center"/>
              <w:rPr>
                <w:rFonts w:hint="default" w:ascii="宋体" w:hAnsi="宋体" w:eastAsia="宋体" w:cs="宋体"/>
                <w:bCs/>
                <w:color w:val="auto"/>
                <w:kern w:val="2"/>
                <w:sz w:val="18"/>
                <w:szCs w:val="18"/>
                <w:lang w:val="en-US" w:eastAsia="zh-CN" w:bidi="ar-SA"/>
              </w:rPr>
            </w:pPr>
            <w:r>
              <w:rPr>
                <w:rFonts w:hint="eastAsia" w:ascii="宋体" w:hAnsi="宋体" w:cs="宋体"/>
                <w:bCs/>
                <w:color w:val="auto"/>
                <w:kern w:val="2"/>
                <w:sz w:val="18"/>
                <w:szCs w:val="18"/>
                <w:lang w:val="en-US" w:eastAsia="zh-CN" w:bidi="ar-SA"/>
              </w:rPr>
              <w:t>布点间距宜不低于2处/100m，优先在管道阀门井（要求见表B.1.3）、燃气管道相邻空间（要求见表B.1.6）布点</w:t>
            </w:r>
          </w:p>
        </w:tc>
      </w:tr>
      <w:tr w14:paraId="56021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727" w:type="dxa"/>
            <w:vMerge w:val="continue"/>
            <w:vAlign w:val="center"/>
          </w:tcPr>
          <w:p w14:paraId="31B79C03">
            <w:pPr>
              <w:widowControl/>
              <w:adjustRightInd w:val="0"/>
              <w:snapToGrid w:val="0"/>
              <w:spacing w:before="24" w:after="24" w:line="240" w:lineRule="auto"/>
              <w:jc w:val="center"/>
              <w:textAlignment w:val="center"/>
              <w:rPr>
                <w:rFonts w:hint="eastAsia" w:ascii="宋体" w:hAnsi="宋体" w:eastAsia="宋体" w:cs="宋体"/>
                <w:bCs/>
                <w:color w:val="auto"/>
                <w:kern w:val="2"/>
                <w:sz w:val="18"/>
                <w:szCs w:val="18"/>
                <w:lang w:val="en-US" w:eastAsia="zh-CN" w:bidi="ar-SA"/>
              </w:rPr>
            </w:pPr>
          </w:p>
        </w:tc>
        <w:tc>
          <w:tcPr>
            <w:tcW w:w="2767" w:type="dxa"/>
            <w:vMerge w:val="continue"/>
            <w:shd w:val="clear" w:color="auto" w:fill="auto"/>
            <w:vAlign w:val="center"/>
          </w:tcPr>
          <w:p w14:paraId="3C9BD046">
            <w:pPr>
              <w:widowControl/>
              <w:adjustRightInd w:val="0"/>
              <w:snapToGrid w:val="0"/>
              <w:spacing w:before="24" w:after="24" w:line="240" w:lineRule="auto"/>
              <w:jc w:val="left"/>
              <w:textAlignment w:val="center"/>
              <w:rPr>
                <w:rFonts w:hint="eastAsia" w:ascii="宋体" w:hAnsi="宋体" w:eastAsia="宋体" w:cs="宋体"/>
                <w:bCs/>
                <w:color w:val="auto"/>
                <w:kern w:val="2"/>
                <w:sz w:val="18"/>
                <w:szCs w:val="18"/>
                <w:lang w:val="en-US" w:eastAsia="zh-CN" w:bidi="ar-SA"/>
              </w:rPr>
            </w:pPr>
          </w:p>
        </w:tc>
        <w:tc>
          <w:tcPr>
            <w:tcW w:w="1005" w:type="dxa"/>
            <w:vAlign w:val="center"/>
          </w:tcPr>
          <w:p w14:paraId="47F3AF5D">
            <w:pPr>
              <w:widowControl/>
              <w:adjustRightInd w:val="0"/>
              <w:snapToGrid w:val="0"/>
              <w:spacing w:before="24" w:after="24" w:line="240" w:lineRule="auto"/>
              <w:jc w:val="center"/>
              <w:textAlignment w:val="center"/>
              <w:rPr>
                <w:rFonts w:hint="eastAsia" w:ascii="宋体" w:hAnsi="宋体" w:eastAsia="宋体" w:cs="宋体"/>
                <w:bCs/>
                <w:color w:val="auto"/>
                <w:kern w:val="2"/>
                <w:sz w:val="18"/>
                <w:szCs w:val="18"/>
                <w:lang w:val="en-US" w:eastAsia="zh-CN" w:bidi="ar-SA"/>
              </w:rPr>
            </w:pPr>
            <w:r>
              <w:rPr>
                <w:rFonts w:hint="eastAsia" w:ascii="宋体" w:hAnsi="宋体" w:cs="宋体"/>
                <w:bCs/>
                <w:color w:val="auto"/>
                <w:kern w:val="2"/>
                <w:sz w:val="18"/>
                <w:szCs w:val="18"/>
                <w:lang w:val="en-US" w:eastAsia="zh-CN" w:bidi="ar-SA"/>
              </w:rPr>
              <w:t>视频监控</w:t>
            </w:r>
          </w:p>
        </w:tc>
        <w:tc>
          <w:tcPr>
            <w:tcW w:w="1035" w:type="dxa"/>
            <w:shd w:val="clear" w:color="auto" w:fill="auto"/>
            <w:vAlign w:val="center"/>
          </w:tcPr>
          <w:p w14:paraId="76A43D39">
            <w:pPr>
              <w:pStyle w:val="146"/>
              <w:rPr>
                <w:rFonts w:hint="eastAsia" w:ascii="Times New Roman" w:hAnsi="Times New Roman" w:eastAsia="宋体" w:cs="宋体"/>
                <w:bCs/>
                <w:kern w:val="2"/>
                <w:sz w:val="18"/>
                <w:szCs w:val="18"/>
                <w:lang w:val="en-US" w:eastAsia="zh-CN" w:bidi="ar-SA"/>
              </w:rPr>
            </w:pPr>
            <w:r>
              <w:rPr>
                <w:rFonts w:hint="eastAsia" w:cs="宋体"/>
                <w:bCs/>
                <w:sz w:val="18"/>
                <w:szCs w:val="18"/>
              </w:rPr>
              <w:t>○</w:t>
            </w:r>
          </w:p>
        </w:tc>
        <w:tc>
          <w:tcPr>
            <w:tcW w:w="2993" w:type="dxa"/>
            <w:vAlign w:val="center"/>
          </w:tcPr>
          <w:p w14:paraId="10E9E290">
            <w:pPr>
              <w:widowControl/>
              <w:adjustRightInd w:val="0"/>
              <w:snapToGrid w:val="0"/>
              <w:spacing w:before="24" w:after="24" w:line="240" w:lineRule="auto"/>
              <w:jc w:val="left"/>
              <w:textAlignment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kern w:val="2"/>
                <w:sz w:val="18"/>
                <w:szCs w:val="18"/>
                <w:lang w:val="en-US" w:eastAsia="zh-CN" w:bidi="ar-SA"/>
              </w:rPr>
              <w:t>根据设备性能达到无监测盲区效果</w:t>
            </w:r>
          </w:p>
        </w:tc>
      </w:tr>
      <w:tr w14:paraId="68807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7" w:type="dxa"/>
            <w:vMerge w:val="restart"/>
            <w:vAlign w:val="center"/>
          </w:tcPr>
          <w:p w14:paraId="0B58883E">
            <w:pPr>
              <w:widowControl/>
              <w:adjustRightInd w:val="0"/>
              <w:snapToGrid w:val="0"/>
              <w:spacing w:before="24" w:after="24" w:line="240" w:lineRule="auto"/>
              <w:jc w:val="center"/>
              <w:textAlignment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kern w:val="2"/>
                <w:sz w:val="18"/>
                <w:szCs w:val="18"/>
                <w:lang w:val="en-US" w:eastAsia="zh-CN" w:bidi="ar-SA"/>
              </w:rPr>
              <w:t>2</w:t>
            </w:r>
          </w:p>
        </w:tc>
        <w:tc>
          <w:tcPr>
            <w:tcW w:w="2767" w:type="dxa"/>
            <w:vMerge w:val="restart"/>
            <w:shd w:val="clear" w:color="auto" w:fill="auto"/>
            <w:vAlign w:val="center"/>
          </w:tcPr>
          <w:p w14:paraId="791795CC">
            <w:pPr>
              <w:widowControl/>
              <w:adjustRightInd w:val="0"/>
              <w:snapToGrid w:val="0"/>
              <w:spacing w:before="24" w:after="24" w:line="240" w:lineRule="auto"/>
              <w:jc w:val="left"/>
              <w:textAlignment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kern w:val="2"/>
                <w:sz w:val="18"/>
                <w:szCs w:val="18"/>
                <w:lang w:val="en-US" w:eastAsia="zh-CN" w:bidi="ar-SA"/>
              </w:rPr>
              <w:t>重大安全隐患燃气管道</w:t>
            </w:r>
          </w:p>
        </w:tc>
        <w:tc>
          <w:tcPr>
            <w:tcW w:w="1005" w:type="dxa"/>
            <w:vAlign w:val="center"/>
          </w:tcPr>
          <w:p w14:paraId="492B49D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bCs/>
                <w:color w:val="auto"/>
                <w:kern w:val="2"/>
                <w:sz w:val="18"/>
                <w:szCs w:val="18"/>
                <w:lang w:val="en-US" w:eastAsia="zh-CN" w:bidi="ar-SA"/>
              </w:rPr>
              <w:t>可燃气体浓度</w:t>
            </w:r>
          </w:p>
        </w:tc>
        <w:tc>
          <w:tcPr>
            <w:tcW w:w="1035" w:type="dxa"/>
            <w:shd w:val="clear" w:color="auto" w:fill="auto"/>
            <w:vAlign w:val="center"/>
          </w:tcPr>
          <w:p w14:paraId="576188F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cs="宋体"/>
                <w:bCs/>
                <w:sz w:val="18"/>
                <w:szCs w:val="18"/>
              </w:rPr>
              <w:t>●</w:t>
            </w:r>
          </w:p>
        </w:tc>
        <w:tc>
          <w:tcPr>
            <w:tcW w:w="2993" w:type="dxa"/>
            <w:vAlign w:val="center"/>
          </w:tcPr>
          <w:p w14:paraId="5633889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bCs/>
                <w:color w:val="auto"/>
                <w:kern w:val="2"/>
                <w:sz w:val="18"/>
                <w:szCs w:val="18"/>
                <w:lang w:val="en-US" w:eastAsia="zh-CN" w:bidi="ar-SA"/>
              </w:rPr>
              <w:t>布点间距宜不低于2处/100m，优先在管道阀门井（要求见表B.1.3）、燃气管道相邻空间（要求见表B.1.6）布点</w:t>
            </w:r>
          </w:p>
        </w:tc>
      </w:tr>
      <w:tr w14:paraId="22A7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7" w:type="dxa"/>
            <w:vMerge w:val="continue"/>
            <w:vAlign w:val="center"/>
          </w:tcPr>
          <w:p w14:paraId="0B87D813">
            <w:pPr>
              <w:widowControl/>
              <w:adjustRightInd w:val="0"/>
              <w:snapToGrid w:val="0"/>
              <w:spacing w:before="24" w:after="24" w:line="240" w:lineRule="auto"/>
              <w:jc w:val="center"/>
              <w:textAlignment w:val="center"/>
              <w:rPr>
                <w:rFonts w:hint="eastAsia" w:ascii="宋体" w:hAnsi="宋体" w:eastAsia="宋体" w:cs="宋体"/>
                <w:bCs/>
                <w:color w:val="auto"/>
                <w:kern w:val="2"/>
                <w:sz w:val="18"/>
                <w:szCs w:val="18"/>
                <w:lang w:val="en-US" w:eastAsia="zh-CN" w:bidi="ar-SA"/>
              </w:rPr>
            </w:pPr>
          </w:p>
        </w:tc>
        <w:tc>
          <w:tcPr>
            <w:tcW w:w="2767" w:type="dxa"/>
            <w:vMerge w:val="continue"/>
            <w:shd w:val="clear" w:color="auto" w:fill="auto"/>
            <w:vAlign w:val="center"/>
          </w:tcPr>
          <w:p w14:paraId="73474CDD">
            <w:pPr>
              <w:widowControl/>
              <w:adjustRightInd w:val="0"/>
              <w:snapToGrid w:val="0"/>
              <w:spacing w:before="24" w:after="24" w:line="240" w:lineRule="auto"/>
              <w:jc w:val="left"/>
              <w:textAlignment w:val="center"/>
              <w:rPr>
                <w:rFonts w:hint="eastAsia" w:ascii="宋体" w:hAnsi="宋体" w:eastAsia="宋体" w:cs="宋体"/>
                <w:bCs/>
                <w:color w:val="auto"/>
                <w:kern w:val="2"/>
                <w:sz w:val="18"/>
                <w:szCs w:val="18"/>
                <w:lang w:val="en-US" w:eastAsia="zh-CN" w:bidi="ar-SA"/>
              </w:rPr>
            </w:pPr>
          </w:p>
        </w:tc>
        <w:tc>
          <w:tcPr>
            <w:tcW w:w="1005" w:type="dxa"/>
            <w:vAlign w:val="center"/>
          </w:tcPr>
          <w:p w14:paraId="535CBF0B">
            <w:pPr>
              <w:widowControl/>
              <w:adjustRightInd w:val="0"/>
              <w:snapToGrid w:val="0"/>
              <w:spacing w:before="24" w:after="24" w:line="240" w:lineRule="auto"/>
              <w:jc w:val="center"/>
              <w:textAlignment w:val="center"/>
              <w:rPr>
                <w:rFonts w:hint="eastAsia" w:ascii="宋体" w:hAnsi="宋体" w:eastAsia="宋体" w:cs="宋体"/>
                <w:bCs/>
                <w:color w:val="auto"/>
                <w:kern w:val="2"/>
                <w:sz w:val="18"/>
                <w:szCs w:val="18"/>
                <w:lang w:val="en-US" w:eastAsia="zh-CN" w:bidi="ar-SA"/>
              </w:rPr>
            </w:pPr>
            <w:r>
              <w:rPr>
                <w:rFonts w:hint="eastAsia" w:ascii="宋体" w:hAnsi="宋体" w:cs="宋体"/>
                <w:bCs/>
                <w:color w:val="auto"/>
                <w:kern w:val="2"/>
                <w:sz w:val="18"/>
                <w:szCs w:val="18"/>
                <w:lang w:val="en-US" w:eastAsia="zh-CN" w:bidi="ar-SA"/>
              </w:rPr>
              <w:t>视频监控</w:t>
            </w:r>
          </w:p>
        </w:tc>
        <w:tc>
          <w:tcPr>
            <w:tcW w:w="1035" w:type="dxa"/>
            <w:shd w:val="clear" w:color="auto" w:fill="auto"/>
            <w:vAlign w:val="center"/>
          </w:tcPr>
          <w:p w14:paraId="364250E9">
            <w:pPr>
              <w:pStyle w:val="146"/>
              <w:rPr>
                <w:rFonts w:hint="eastAsia" w:ascii="Times New Roman" w:hAnsi="Times New Roman" w:eastAsia="宋体" w:cs="宋体"/>
                <w:bCs/>
                <w:kern w:val="2"/>
                <w:sz w:val="18"/>
                <w:szCs w:val="18"/>
                <w:lang w:val="en-US" w:eastAsia="zh-CN" w:bidi="ar-SA"/>
              </w:rPr>
            </w:pPr>
            <w:r>
              <w:rPr>
                <w:rFonts w:hint="eastAsia" w:cs="宋体"/>
                <w:bCs/>
                <w:sz w:val="18"/>
                <w:szCs w:val="18"/>
              </w:rPr>
              <w:t>○</w:t>
            </w:r>
          </w:p>
        </w:tc>
        <w:tc>
          <w:tcPr>
            <w:tcW w:w="2993" w:type="dxa"/>
            <w:vAlign w:val="center"/>
          </w:tcPr>
          <w:p w14:paraId="53B01106">
            <w:pPr>
              <w:widowControl/>
              <w:adjustRightInd w:val="0"/>
              <w:snapToGrid w:val="0"/>
              <w:spacing w:before="24" w:after="24" w:line="240" w:lineRule="auto"/>
              <w:jc w:val="left"/>
              <w:textAlignment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kern w:val="2"/>
                <w:sz w:val="18"/>
                <w:szCs w:val="18"/>
                <w:lang w:val="en-US" w:eastAsia="zh-CN" w:bidi="ar-SA"/>
              </w:rPr>
              <w:t>根据设备性能达到无监测盲区效果</w:t>
            </w:r>
          </w:p>
        </w:tc>
      </w:tr>
      <w:tr w14:paraId="46C15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7" w:type="dxa"/>
            <w:vMerge w:val="restart"/>
            <w:vAlign w:val="center"/>
          </w:tcPr>
          <w:p w14:paraId="27F1B024">
            <w:pPr>
              <w:widowControl/>
              <w:adjustRightInd w:val="0"/>
              <w:snapToGrid w:val="0"/>
              <w:spacing w:before="24" w:after="24" w:line="240" w:lineRule="auto"/>
              <w:jc w:val="center"/>
              <w:textAlignment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kern w:val="2"/>
                <w:sz w:val="18"/>
                <w:szCs w:val="18"/>
                <w:lang w:val="en-US" w:eastAsia="zh-CN" w:bidi="ar-SA"/>
              </w:rPr>
              <w:t>3</w:t>
            </w:r>
          </w:p>
        </w:tc>
        <w:tc>
          <w:tcPr>
            <w:tcW w:w="2767" w:type="dxa"/>
            <w:vMerge w:val="restart"/>
            <w:shd w:val="clear" w:color="auto" w:fill="auto"/>
            <w:vAlign w:val="center"/>
          </w:tcPr>
          <w:p w14:paraId="6A7E5D56">
            <w:pPr>
              <w:widowControl/>
              <w:adjustRightInd w:val="0"/>
              <w:snapToGrid w:val="0"/>
              <w:spacing w:before="24" w:after="24" w:line="240" w:lineRule="auto"/>
              <w:jc w:val="left"/>
              <w:textAlignment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kern w:val="2"/>
                <w:sz w:val="18"/>
                <w:szCs w:val="18"/>
                <w:lang w:val="en-US" w:eastAsia="zh-CN" w:bidi="ar-SA"/>
              </w:rPr>
              <w:t>重点区域燃气管道</w:t>
            </w:r>
          </w:p>
        </w:tc>
        <w:tc>
          <w:tcPr>
            <w:tcW w:w="1005" w:type="dxa"/>
            <w:vAlign w:val="center"/>
          </w:tcPr>
          <w:p w14:paraId="7C5F6228">
            <w:pPr>
              <w:widowControl/>
              <w:adjustRightInd w:val="0"/>
              <w:snapToGrid w:val="0"/>
              <w:spacing w:before="24" w:after="24" w:line="240" w:lineRule="auto"/>
              <w:jc w:val="center"/>
              <w:textAlignment w:val="center"/>
              <w:rPr>
                <w:rFonts w:hint="eastAsia" w:ascii="宋体" w:hAnsi="宋体" w:eastAsia="宋体" w:cs="宋体"/>
                <w:bCs/>
                <w:color w:val="auto"/>
                <w:kern w:val="2"/>
                <w:sz w:val="18"/>
                <w:szCs w:val="18"/>
                <w:lang w:val="en-US" w:eastAsia="zh-CN" w:bidi="ar-SA"/>
              </w:rPr>
            </w:pPr>
            <w:r>
              <w:rPr>
                <w:rFonts w:hint="eastAsia" w:ascii="宋体" w:hAnsi="宋体" w:cs="宋体"/>
                <w:bCs/>
                <w:color w:val="auto"/>
                <w:kern w:val="2"/>
                <w:sz w:val="18"/>
                <w:szCs w:val="18"/>
                <w:lang w:val="en-US" w:eastAsia="zh-CN" w:bidi="ar-SA"/>
              </w:rPr>
              <w:t>可燃气体浓度</w:t>
            </w:r>
          </w:p>
        </w:tc>
        <w:tc>
          <w:tcPr>
            <w:tcW w:w="1035" w:type="dxa"/>
            <w:shd w:val="clear" w:color="auto" w:fill="auto"/>
            <w:vAlign w:val="center"/>
          </w:tcPr>
          <w:p w14:paraId="164E8CBD">
            <w:pPr>
              <w:pStyle w:val="146"/>
              <w:rPr>
                <w:rFonts w:hint="eastAsia" w:cs="宋体"/>
                <w:bCs/>
                <w:sz w:val="18"/>
                <w:szCs w:val="18"/>
              </w:rPr>
            </w:pPr>
            <w:r>
              <w:rPr>
                <w:rFonts w:hint="eastAsia" w:cs="宋体"/>
                <w:bCs/>
                <w:sz w:val="18"/>
                <w:szCs w:val="18"/>
              </w:rPr>
              <w:t>●</w:t>
            </w:r>
          </w:p>
        </w:tc>
        <w:tc>
          <w:tcPr>
            <w:tcW w:w="2993" w:type="dxa"/>
            <w:vAlign w:val="center"/>
          </w:tcPr>
          <w:p w14:paraId="14661C79">
            <w:pPr>
              <w:widowControl/>
              <w:adjustRightInd w:val="0"/>
              <w:snapToGrid w:val="0"/>
              <w:spacing w:before="24" w:after="24" w:line="240" w:lineRule="auto"/>
              <w:jc w:val="left"/>
              <w:textAlignment w:val="center"/>
              <w:rPr>
                <w:rFonts w:hint="eastAsia" w:ascii="宋体" w:hAnsi="宋体" w:eastAsia="宋体" w:cs="宋体"/>
                <w:bCs/>
                <w:color w:val="auto"/>
                <w:kern w:val="2"/>
                <w:sz w:val="18"/>
                <w:szCs w:val="18"/>
                <w:lang w:val="en-US" w:eastAsia="zh-CN" w:bidi="ar-SA"/>
              </w:rPr>
            </w:pPr>
            <w:r>
              <w:rPr>
                <w:rFonts w:hint="eastAsia" w:ascii="宋体" w:hAnsi="宋体" w:cs="宋体"/>
                <w:bCs/>
                <w:color w:val="auto"/>
                <w:kern w:val="2"/>
                <w:sz w:val="18"/>
                <w:szCs w:val="18"/>
                <w:lang w:val="en-US" w:eastAsia="zh-CN" w:bidi="ar-SA"/>
              </w:rPr>
              <w:t>布点间距宜不低于2处/100m，优先在管道阀门井（要求见表B.1.3）、燃气管道相邻空间（要求见表B.1.6）布点</w:t>
            </w:r>
          </w:p>
        </w:tc>
      </w:tr>
      <w:tr w14:paraId="6743B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7" w:type="dxa"/>
            <w:vMerge w:val="continue"/>
            <w:vAlign w:val="center"/>
          </w:tcPr>
          <w:p w14:paraId="6A92BACB">
            <w:pPr>
              <w:widowControl/>
              <w:adjustRightInd w:val="0"/>
              <w:snapToGrid w:val="0"/>
              <w:spacing w:before="24" w:after="24" w:line="240" w:lineRule="auto"/>
              <w:jc w:val="center"/>
              <w:textAlignment w:val="center"/>
              <w:rPr>
                <w:rFonts w:hint="eastAsia" w:ascii="宋体" w:hAnsi="宋体" w:eastAsia="宋体" w:cs="宋体"/>
                <w:bCs/>
                <w:color w:val="auto"/>
                <w:kern w:val="2"/>
                <w:sz w:val="18"/>
                <w:szCs w:val="18"/>
                <w:lang w:val="en-US" w:eastAsia="zh-CN" w:bidi="ar-SA"/>
              </w:rPr>
            </w:pPr>
          </w:p>
        </w:tc>
        <w:tc>
          <w:tcPr>
            <w:tcW w:w="2767" w:type="dxa"/>
            <w:vMerge w:val="continue"/>
            <w:shd w:val="clear" w:color="auto" w:fill="auto"/>
            <w:vAlign w:val="center"/>
          </w:tcPr>
          <w:p w14:paraId="06FD04F8">
            <w:pPr>
              <w:widowControl/>
              <w:adjustRightInd w:val="0"/>
              <w:snapToGrid w:val="0"/>
              <w:spacing w:before="24" w:after="24" w:line="240" w:lineRule="auto"/>
              <w:jc w:val="left"/>
              <w:textAlignment w:val="center"/>
              <w:rPr>
                <w:rFonts w:hint="eastAsia" w:ascii="宋体" w:hAnsi="宋体" w:eastAsia="宋体" w:cs="宋体"/>
                <w:bCs/>
                <w:color w:val="auto"/>
                <w:kern w:val="2"/>
                <w:sz w:val="18"/>
                <w:szCs w:val="18"/>
                <w:lang w:val="en-US" w:eastAsia="zh-CN" w:bidi="ar-SA"/>
              </w:rPr>
            </w:pPr>
          </w:p>
        </w:tc>
        <w:tc>
          <w:tcPr>
            <w:tcW w:w="1005" w:type="dxa"/>
            <w:vAlign w:val="center"/>
          </w:tcPr>
          <w:p w14:paraId="1B38AFBB">
            <w:pPr>
              <w:widowControl/>
              <w:adjustRightInd w:val="0"/>
              <w:snapToGrid w:val="0"/>
              <w:spacing w:before="24" w:after="24" w:line="240" w:lineRule="auto"/>
              <w:jc w:val="center"/>
              <w:textAlignment w:val="center"/>
              <w:rPr>
                <w:rFonts w:hint="eastAsia" w:ascii="宋体" w:hAnsi="宋体" w:eastAsia="宋体" w:cs="宋体"/>
                <w:bCs/>
                <w:color w:val="auto"/>
                <w:kern w:val="2"/>
                <w:sz w:val="18"/>
                <w:szCs w:val="18"/>
                <w:lang w:val="en-US" w:eastAsia="zh-CN" w:bidi="ar-SA"/>
              </w:rPr>
            </w:pPr>
            <w:r>
              <w:rPr>
                <w:rFonts w:hint="eastAsia" w:ascii="宋体" w:hAnsi="宋体" w:cs="宋体"/>
                <w:bCs/>
                <w:color w:val="auto"/>
                <w:kern w:val="2"/>
                <w:sz w:val="18"/>
                <w:szCs w:val="18"/>
                <w:lang w:val="en-US" w:eastAsia="zh-CN" w:bidi="ar-SA"/>
              </w:rPr>
              <w:t>视频监控</w:t>
            </w:r>
          </w:p>
        </w:tc>
        <w:tc>
          <w:tcPr>
            <w:tcW w:w="1035" w:type="dxa"/>
            <w:shd w:val="clear" w:color="auto" w:fill="auto"/>
            <w:vAlign w:val="center"/>
          </w:tcPr>
          <w:p w14:paraId="7F42E509">
            <w:pPr>
              <w:pStyle w:val="146"/>
              <w:rPr>
                <w:rFonts w:hint="eastAsia" w:ascii="Times New Roman" w:hAnsi="Times New Roman" w:eastAsia="宋体" w:cs="宋体"/>
                <w:bCs/>
                <w:kern w:val="2"/>
                <w:sz w:val="18"/>
                <w:szCs w:val="18"/>
                <w:lang w:val="en-US" w:eastAsia="zh-CN" w:bidi="ar-SA"/>
              </w:rPr>
            </w:pPr>
            <w:r>
              <w:rPr>
                <w:rFonts w:hint="eastAsia" w:cs="宋体"/>
                <w:bCs/>
                <w:sz w:val="18"/>
                <w:szCs w:val="18"/>
              </w:rPr>
              <w:t>◎</w:t>
            </w:r>
          </w:p>
        </w:tc>
        <w:tc>
          <w:tcPr>
            <w:tcW w:w="2993" w:type="dxa"/>
            <w:vAlign w:val="center"/>
          </w:tcPr>
          <w:p w14:paraId="74660A0F">
            <w:pPr>
              <w:widowControl/>
              <w:adjustRightInd w:val="0"/>
              <w:snapToGrid w:val="0"/>
              <w:spacing w:before="24" w:after="24" w:line="240" w:lineRule="auto"/>
              <w:jc w:val="left"/>
              <w:textAlignment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kern w:val="2"/>
                <w:sz w:val="18"/>
                <w:szCs w:val="18"/>
                <w:lang w:val="en-US" w:eastAsia="zh-CN" w:bidi="ar-SA"/>
              </w:rPr>
              <w:t>根据设备性能达到无监测盲区效果</w:t>
            </w:r>
          </w:p>
        </w:tc>
      </w:tr>
      <w:tr w14:paraId="33B6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7" w:type="dxa"/>
            <w:vMerge w:val="restart"/>
            <w:vAlign w:val="center"/>
          </w:tcPr>
          <w:p w14:paraId="42C88B80">
            <w:pPr>
              <w:widowControl/>
              <w:adjustRightInd w:val="0"/>
              <w:snapToGrid w:val="0"/>
              <w:spacing w:before="24" w:after="24" w:line="240" w:lineRule="auto"/>
              <w:jc w:val="center"/>
              <w:textAlignment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kern w:val="2"/>
                <w:sz w:val="18"/>
                <w:szCs w:val="18"/>
                <w:lang w:val="en-US" w:eastAsia="zh-CN" w:bidi="ar-SA"/>
              </w:rPr>
              <w:t>4</w:t>
            </w:r>
          </w:p>
        </w:tc>
        <w:tc>
          <w:tcPr>
            <w:tcW w:w="2767" w:type="dxa"/>
            <w:vMerge w:val="restart"/>
            <w:shd w:val="clear" w:color="auto" w:fill="auto"/>
            <w:vAlign w:val="center"/>
          </w:tcPr>
          <w:p w14:paraId="1C2A2875">
            <w:pPr>
              <w:widowControl/>
              <w:adjustRightInd w:val="0"/>
              <w:snapToGrid w:val="0"/>
              <w:spacing w:before="24" w:after="24" w:line="240" w:lineRule="auto"/>
              <w:jc w:val="left"/>
              <w:textAlignment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kern w:val="2"/>
                <w:sz w:val="18"/>
                <w:szCs w:val="18"/>
                <w:lang w:val="en-US" w:eastAsia="zh-CN" w:bidi="ar-SA"/>
              </w:rPr>
              <w:t>超高压、高压、次高压管道</w:t>
            </w:r>
          </w:p>
        </w:tc>
        <w:tc>
          <w:tcPr>
            <w:tcW w:w="1005" w:type="dxa"/>
            <w:vAlign w:val="center"/>
          </w:tcPr>
          <w:p w14:paraId="7762604F">
            <w:pPr>
              <w:widowControl/>
              <w:adjustRightInd w:val="0"/>
              <w:snapToGrid w:val="0"/>
              <w:spacing w:before="24" w:after="24" w:line="240" w:lineRule="auto"/>
              <w:jc w:val="center"/>
              <w:textAlignment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kern w:val="2"/>
                <w:sz w:val="18"/>
                <w:szCs w:val="18"/>
                <w:lang w:val="en-US" w:eastAsia="zh-CN" w:bidi="ar-SA"/>
              </w:rPr>
              <w:t>管道电位</w:t>
            </w:r>
          </w:p>
        </w:tc>
        <w:tc>
          <w:tcPr>
            <w:tcW w:w="1035" w:type="dxa"/>
            <w:vAlign w:val="center"/>
          </w:tcPr>
          <w:p w14:paraId="29E7A84E">
            <w:pPr>
              <w:widowControl/>
              <w:adjustRightInd w:val="0"/>
              <w:snapToGrid w:val="0"/>
              <w:spacing w:before="24" w:after="24" w:line="240" w:lineRule="auto"/>
              <w:jc w:val="center"/>
              <w:textAlignment w:val="center"/>
              <w:rPr>
                <w:rFonts w:hint="eastAsia" w:ascii="宋体" w:hAnsi="宋体" w:eastAsia="宋体" w:cs="宋体"/>
                <w:bCs/>
                <w:color w:val="auto"/>
                <w:kern w:val="2"/>
                <w:sz w:val="18"/>
                <w:szCs w:val="18"/>
                <w:lang w:val="en-US" w:eastAsia="zh-CN" w:bidi="ar-SA"/>
              </w:rPr>
            </w:pPr>
            <w:r>
              <w:rPr>
                <w:rFonts w:hint="eastAsia" w:cs="宋体"/>
                <w:bCs/>
                <w:sz w:val="18"/>
                <w:szCs w:val="18"/>
              </w:rPr>
              <w:t>●</w:t>
            </w:r>
          </w:p>
        </w:tc>
        <w:tc>
          <w:tcPr>
            <w:tcW w:w="2993" w:type="dxa"/>
            <w:vAlign w:val="center"/>
          </w:tcPr>
          <w:p w14:paraId="57944171">
            <w:pPr>
              <w:widowControl/>
              <w:adjustRightInd w:val="0"/>
              <w:snapToGrid w:val="0"/>
              <w:spacing w:before="24" w:after="24" w:line="240" w:lineRule="auto"/>
              <w:jc w:val="left"/>
              <w:textAlignment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kern w:val="2"/>
                <w:sz w:val="18"/>
                <w:szCs w:val="18"/>
                <w:lang w:val="en-US" w:eastAsia="zh-CN" w:bidi="ar-SA"/>
              </w:rPr>
              <w:t>采用具备数据远传功能的智能监测设备</w:t>
            </w:r>
          </w:p>
        </w:tc>
      </w:tr>
      <w:tr w14:paraId="4FE78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27" w:type="dxa"/>
            <w:vMerge w:val="continue"/>
            <w:vAlign w:val="center"/>
          </w:tcPr>
          <w:p w14:paraId="0F1A328E">
            <w:pPr>
              <w:widowControl/>
              <w:adjustRightInd w:val="0"/>
              <w:snapToGrid w:val="0"/>
              <w:spacing w:before="24" w:after="24" w:line="240" w:lineRule="auto"/>
              <w:jc w:val="center"/>
              <w:textAlignment w:val="center"/>
              <w:rPr>
                <w:rFonts w:hint="eastAsia" w:ascii="宋体" w:hAnsi="宋体" w:eastAsia="宋体" w:cs="宋体"/>
                <w:bCs/>
                <w:color w:val="auto"/>
                <w:kern w:val="2"/>
                <w:sz w:val="18"/>
                <w:szCs w:val="18"/>
                <w:lang w:val="en-US" w:eastAsia="zh-CN" w:bidi="ar-SA"/>
              </w:rPr>
            </w:pPr>
          </w:p>
        </w:tc>
        <w:tc>
          <w:tcPr>
            <w:tcW w:w="2767" w:type="dxa"/>
            <w:vMerge w:val="continue"/>
            <w:shd w:val="clear" w:color="auto" w:fill="auto"/>
            <w:vAlign w:val="center"/>
          </w:tcPr>
          <w:p w14:paraId="372ABBE0">
            <w:pPr>
              <w:widowControl/>
              <w:adjustRightInd w:val="0"/>
              <w:snapToGrid w:val="0"/>
              <w:spacing w:before="24" w:after="24" w:line="240" w:lineRule="auto"/>
              <w:jc w:val="left"/>
              <w:textAlignment w:val="center"/>
              <w:rPr>
                <w:rFonts w:hint="eastAsia" w:ascii="宋体" w:hAnsi="宋体" w:eastAsia="宋体" w:cs="宋体"/>
                <w:bCs/>
                <w:color w:val="auto"/>
                <w:kern w:val="2"/>
                <w:sz w:val="18"/>
                <w:szCs w:val="18"/>
                <w:lang w:val="en-US" w:eastAsia="zh-CN" w:bidi="ar-SA"/>
              </w:rPr>
            </w:pPr>
          </w:p>
        </w:tc>
        <w:tc>
          <w:tcPr>
            <w:tcW w:w="1005" w:type="dxa"/>
            <w:shd w:val="clear" w:color="auto" w:fill="auto"/>
            <w:vAlign w:val="center"/>
          </w:tcPr>
          <w:p w14:paraId="4876F752">
            <w:pPr>
              <w:widowControl/>
              <w:adjustRightInd w:val="0"/>
              <w:snapToGrid w:val="0"/>
              <w:spacing w:before="24" w:after="24" w:line="240" w:lineRule="auto"/>
              <w:jc w:val="center"/>
              <w:textAlignment w:val="center"/>
              <w:rPr>
                <w:rFonts w:hint="default" w:ascii="宋体" w:hAnsi="宋体" w:eastAsia="宋体" w:cs="宋体"/>
                <w:bCs/>
                <w:color w:val="auto"/>
                <w:kern w:val="2"/>
                <w:sz w:val="18"/>
                <w:szCs w:val="18"/>
                <w:lang w:val="en-US" w:eastAsia="zh-CN" w:bidi="ar-SA"/>
              </w:rPr>
            </w:pPr>
            <w:r>
              <w:rPr>
                <w:rFonts w:hint="eastAsia" w:ascii="宋体" w:hAnsi="宋体" w:cs="宋体"/>
                <w:bCs/>
                <w:color w:val="auto"/>
                <w:kern w:val="2"/>
                <w:sz w:val="18"/>
                <w:szCs w:val="18"/>
                <w:lang w:val="en-US" w:eastAsia="zh-CN" w:bidi="ar-SA"/>
              </w:rPr>
              <w:t>可燃气体浓度</w:t>
            </w:r>
          </w:p>
        </w:tc>
        <w:tc>
          <w:tcPr>
            <w:tcW w:w="1035" w:type="dxa"/>
            <w:shd w:val="clear" w:color="auto" w:fill="auto"/>
            <w:vAlign w:val="center"/>
          </w:tcPr>
          <w:p w14:paraId="6211AF59">
            <w:pPr>
              <w:pStyle w:val="146"/>
              <w:rPr>
                <w:rFonts w:hint="eastAsia" w:ascii="Times New Roman" w:hAnsi="Times New Roman" w:eastAsia="宋体" w:cs="宋体"/>
                <w:bCs/>
                <w:kern w:val="2"/>
                <w:sz w:val="18"/>
                <w:szCs w:val="18"/>
                <w:lang w:val="en-US" w:eastAsia="zh-CN" w:bidi="ar-SA"/>
              </w:rPr>
            </w:pPr>
            <w:r>
              <w:rPr>
                <w:rFonts w:hint="eastAsia" w:cs="宋体"/>
                <w:bCs/>
                <w:sz w:val="18"/>
                <w:szCs w:val="18"/>
              </w:rPr>
              <w:t>●</w:t>
            </w:r>
          </w:p>
        </w:tc>
        <w:tc>
          <w:tcPr>
            <w:tcW w:w="2993" w:type="dxa"/>
            <w:shd w:val="clear" w:color="auto" w:fill="auto"/>
            <w:vAlign w:val="center"/>
          </w:tcPr>
          <w:p w14:paraId="0E654C21">
            <w:pPr>
              <w:widowControl/>
              <w:adjustRightInd w:val="0"/>
              <w:snapToGrid w:val="0"/>
              <w:spacing w:before="24" w:after="24" w:line="240" w:lineRule="auto"/>
              <w:jc w:val="left"/>
              <w:textAlignment w:val="center"/>
              <w:rPr>
                <w:rFonts w:hint="default" w:ascii="宋体" w:hAnsi="宋体" w:eastAsia="宋体" w:cs="宋体"/>
                <w:bCs/>
                <w:color w:val="auto"/>
                <w:kern w:val="2"/>
                <w:sz w:val="18"/>
                <w:szCs w:val="18"/>
                <w:lang w:val="en-US" w:eastAsia="zh-CN" w:bidi="ar-SA"/>
              </w:rPr>
            </w:pPr>
            <w:r>
              <w:rPr>
                <w:rFonts w:hint="eastAsia" w:ascii="宋体" w:hAnsi="宋体" w:cs="宋体"/>
                <w:bCs/>
                <w:color w:val="auto"/>
                <w:kern w:val="2"/>
                <w:sz w:val="18"/>
                <w:szCs w:val="18"/>
                <w:lang w:val="en-US" w:eastAsia="zh-CN" w:bidi="ar-SA"/>
              </w:rPr>
              <w:t>布设在管道阀门井（要求见表B.1.3）</w:t>
            </w:r>
          </w:p>
        </w:tc>
      </w:tr>
      <w:tr w14:paraId="293ED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7" w:type="dxa"/>
            <w:vAlign w:val="center"/>
          </w:tcPr>
          <w:p w14:paraId="7EA1CB1E">
            <w:pPr>
              <w:widowControl/>
              <w:adjustRightInd w:val="0"/>
              <w:snapToGrid w:val="0"/>
              <w:spacing w:before="24" w:after="24" w:line="240" w:lineRule="auto"/>
              <w:jc w:val="center"/>
              <w:textAlignment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kern w:val="2"/>
                <w:sz w:val="18"/>
                <w:szCs w:val="18"/>
                <w:lang w:val="en-US" w:eastAsia="zh-CN" w:bidi="ar-SA"/>
              </w:rPr>
              <w:t>5</w:t>
            </w:r>
          </w:p>
        </w:tc>
        <w:tc>
          <w:tcPr>
            <w:tcW w:w="2767" w:type="dxa"/>
            <w:shd w:val="clear" w:color="auto" w:fill="auto"/>
            <w:vAlign w:val="center"/>
          </w:tcPr>
          <w:p w14:paraId="632C144D">
            <w:pPr>
              <w:widowControl/>
              <w:adjustRightInd w:val="0"/>
              <w:snapToGrid w:val="0"/>
              <w:spacing w:before="24" w:after="24" w:line="240" w:lineRule="auto"/>
              <w:jc w:val="left"/>
              <w:textAlignment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kern w:val="2"/>
                <w:sz w:val="18"/>
                <w:szCs w:val="18"/>
                <w:lang w:val="en-US" w:eastAsia="zh-CN" w:bidi="ar-SA"/>
              </w:rPr>
              <w:t>地形复杂、巡检人员及车辆不易到达区域的燃气管道</w:t>
            </w:r>
          </w:p>
        </w:tc>
        <w:tc>
          <w:tcPr>
            <w:tcW w:w="1005" w:type="dxa"/>
            <w:vAlign w:val="center"/>
          </w:tcPr>
          <w:p w14:paraId="13468622">
            <w:pPr>
              <w:widowControl/>
              <w:adjustRightInd w:val="0"/>
              <w:snapToGrid w:val="0"/>
              <w:spacing w:before="24" w:after="24" w:line="240" w:lineRule="auto"/>
              <w:jc w:val="center"/>
              <w:textAlignment w:val="center"/>
              <w:rPr>
                <w:rFonts w:hint="eastAsia" w:ascii="宋体" w:hAnsi="宋体" w:eastAsia="宋体" w:cs="宋体"/>
                <w:bCs/>
                <w:color w:val="auto"/>
                <w:kern w:val="2"/>
                <w:sz w:val="18"/>
                <w:szCs w:val="18"/>
                <w:lang w:val="en-US" w:eastAsia="zh-CN" w:bidi="ar-SA"/>
              </w:rPr>
            </w:pPr>
            <w:r>
              <w:rPr>
                <w:rFonts w:hint="eastAsia" w:ascii="宋体" w:hAnsi="宋体" w:cs="宋体"/>
                <w:bCs/>
                <w:color w:val="auto"/>
                <w:kern w:val="2"/>
                <w:sz w:val="18"/>
                <w:szCs w:val="18"/>
                <w:lang w:val="en-US" w:eastAsia="zh-CN" w:bidi="ar-SA"/>
              </w:rPr>
              <w:t>视频监控</w:t>
            </w:r>
          </w:p>
        </w:tc>
        <w:tc>
          <w:tcPr>
            <w:tcW w:w="1035" w:type="dxa"/>
            <w:vAlign w:val="center"/>
          </w:tcPr>
          <w:p w14:paraId="34DA0001">
            <w:pPr>
              <w:widowControl/>
              <w:adjustRightInd w:val="0"/>
              <w:snapToGrid w:val="0"/>
              <w:spacing w:before="24" w:after="24" w:line="240" w:lineRule="auto"/>
              <w:jc w:val="center"/>
              <w:textAlignment w:val="center"/>
              <w:rPr>
                <w:rFonts w:hint="eastAsia" w:ascii="宋体" w:hAnsi="宋体" w:eastAsia="宋体" w:cs="宋体"/>
                <w:bCs/>
                <w:color w:val="auto"/>
                <w:kern w:val="2"/>
                <w:sz w:val="18"/>
                <w:szCs w:val="18"/>
                <w:lang w:val="en-US" w:eastAsia="zh-CN" w:bidi="ar-SA"/>
              </w:rPr>
            </w:pPr>
            <w:r>
              <w:rPr>
                <w:rFonts w:hint="eastAsia" w:cs="宋体"/>
                <w:bCs/>
                <w:sz w:val="18"/>
                <w:szCs w:val="18"/>
              </w:rPr>
              <w:t>◎</w:t>
            </w:r>
          </w:p>
        </w:tc>
        <w:tc>
          <w:tcPr>
            <w:tcW w:w="2993" w:type="dxa"/>
            <w:vAlign w:val="center"/>
          </w:tcPr>
          <w:p w14:paraId="38319F77">
            <w:pPr>
              <w:widowControl/>
              <w:adjustRightInd w:val="0"/>
              <w:snapToGrid w:val="0"/>
              <w:spacing w:before="24" w:after="24" w:line="240" w:lineRule="auto"/>
              <w:jc w:val="left"/>
              <w:textAlignment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kern w:val="2"/>
                <w:sz w:val="18"/>
                <w:szCs w:val="18"/>
                <w:lang w:val="en-US" w:eastAsia="zh-CN" w:bidi="ar-SA"/>
              </w:rPr>
              <w:t>根据设备性能达到无监测盲区效果</w:t>
            </w:r>
          </w:p>
        </w:tc>
      </w:tr>
      <w:tr w14:paraId="4283E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7" w:type="dxa"/>
            <w:vAlign w:val="center"/>
          </w:tcPr>
          <w:p w14:paraId="75DBCB5C">
            <w:pPr>
              <w:widowControl/>
              <w:adjustRightInd w:val="0"/>
              <w:snapToGrid w:val="0"/>
              <w:spacing w:before="24" w:after="24" w:line="240" w:lineRule="auto"/>
              <w:jc w:val="center"/>
              <w:textAlignment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kern w:val="2"/>
                <w:sz w:val="18"/>
                <w:szCs w:val="18"/>
                <w:lang w:val="en-US" w:eastAsia="zh-CN" w:bidi="ar-SA"/>
              </w:rPr>
              <w:t>6</w:t>
            </w:r>
          </w:p>
        </w:tc>
        <w:tc>
          <w:tcPr>
            <w:tcW w:w="2767" w:type="dxa"/>
            <w:shd w:val="clear" w:color="auto" w:fill="auto"/>
            <w:vAlign w:val="center"/>
          </w:tcPr>
          <w:p w14:paraId="6EBD6038">
            <w:pPr>
              <w:widowControl/>
              <w:adjustRightInd w:val="0"/>
              <w:snapToGrid w:val="0"/>
              <w:spacing w:before="24" w:after="24" w:line="240" w:lineRule="auto"/>
              <w:jc w:val="left"/>
              <w:textAlignment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kern w:val="2"/>
                <w:sz w:val="18"/>
                <w:szCs w:val="18"/>
                <w:lang w:val="en-US" w:eastAsia="zh-CN" w:bidi="ar-SA"/>
              </w:rPr>
              <w:t>敷设于地表沉降高风险区、地质灾害高发区的管道</w:t>
            </w:r>
          </w:p>
        </w:tc>
        <w:tc>
          <w:tcPr>
            <w:tcW w:w="1005" w:type="dxa"/>
            <w:vAlign w:val="center"/>
          </w:tcPr>
          <w:p w14:paraId="21D41545">
            <w:pPr>
              <w:widowControl/>
              <w:adjustRightInd w:val="0"/>
              <w:snapToGrid w:val="0"/>
              <w:spacing w:before="24" w:after="24" w:line="240" w:lineRule="auto"/>
              <w:jc w:val="center"/>
              <w:textAlignment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kern w:val="2"/>
                <w:sz w:val="18"/>
                <w:szCs w:val="18"/>
                <w:lang w:val="en-US" w:eastAsia="zh-CN" w:bidi="ar-SA"/>
              </w:rPr>
              <w:t>管道位移</w:t>
            </w:r>
          </w:p>
        </w:tc>
        <w:tc>
          <w:tcPr>
            <w:tcW w:w="1035" w:type="dxa"/>
            <w:vAlign w:val="center"/>
          </w:tcPr>
          <w:p w14:paraId="5121DE46">
            <w:pPr>
              <w:widowControl/>
              <w:adjustRightInd w:val="0"/>
              <w:snapToGrid w:val="0"/>
              <w:spacing w:before="24" w:after="24" w:line="240" w:lineRule="auto"/>
              <w:jc w:val="center"/>
              <w:textAlignment w:val="center"/>
              <w:rPr>
                <w:rFonts w:hint="eastAsia" w:ascii="宋体" w:hAnsi="宋体" w:eastAsia="宋体" w:cs="宋体"/>
                <w:bCs/>
                <w:color w:val="auto"/>
                <w:kern w:val="2"/>
                <w:sz w:val="18"/>
                <w:szCs w:val="18"/>
                <w:lang w:val="en-US" w:eastAsia="zh-CN" w:bidi="ar-SA"/>
              </w:rPr>
            </w:pPr>
            <w:r>
              <w:rPr>
                <w:rFonts w:hint="eastAsia" w:cs="宋体"/>
                <w:bCs/>
                <w:sz w:val="18"/>
                <w:szCs w:val="18"/>
              </w:rPr>
              <w:t>●</w:t>
            </w:r>
          </w:p>
        </w:tc>
        <w:tc>
          <w:tcPr>
            <w:tcW w:w="2993" w:type="dxa"/>
            <w:vAlign w:val="center"/>
          </w:tcPr>
          <w:p w14:paraId="40965CBF">
            <w:pPr>
              <w:widowControl/>
              <w:adjustRightInd w:val="0"/>
              <w:snapToGrid w:val="0"/>
              <w:spacing w:before="24" w:after="24" w:line="240" w:lineRule="auto"/>
              <w:jc w:val="left"/>
              <w:textAlignment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kern w:val="2"/>
                <w:sz w:val="18"/>
                <w:szCs w:val="18"/>
                <w:lang w:val="en-US" w:eastAsia="zh-CN" w:bidi="ar-SA"/>
              </w:rPr>
              <w:t>线型监测设备应沿管道全线布设，点式监控设备布设</w:t>
            </w:r>
            <w:r>
              <w:rPr>
                <w:rFonts w:hint="eastAsia" w:ascii="宋体" w:hAnsi="宋体" w:cs="宋体"/>
                <w:bCs/>
                <w:color w:val="auto"/>
                <w:kern w:val="2"/>
                <w:sz w:val="18"/>
                <w:szCs w:val="18"/>
                <w:lang w:val="en-US" w:eastAsia="zh-CN" w:bidi="ar-SA"/>
              </w:rPr>
              <w:t>不低于</w:t>
            </w:r>
            <w:r>
              <w:rPr>
                <w:rFonts w:hint="eastAsia" w:ascii="宋体" w:hAnsi="宋体" w:eastAsia="宋体" w:cs="宋体"/>
                <w:bCs/>
                <w:color w:val="auto"/>
                <w:kern w:val="2"/>
                <w:sz w:val="18"/>
                <w:szCs w:val="18"/>
                <w:lang w:val="en-US" w:eastAsia="zh-CN" w:bidi="ar-SA"/>
              </w:rPr>
              <w:t>2处/km</w:t>
            </w:r>
          </w:p>
        </w:tc>
      </w:tr>
      <w:tr w14:paraId="0F018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727" w:type="dxa"/>
            <w:vMerge w:val="restart"/>
            <w:vAlign w:val="center"/>
          </w:tcPr>
          <w:p w14:paraId="23333F94">
            <w:pPr>
              <w:widowControl/>
              <w:adjustRightInd w:val="0"/>
              <w:snapToGrid w:val="0"/>
              <w:spacing w:before="24" w:after="24" w:line="240" w:lineRule="auto"/>
              <w:jc w:val="center"/>
              <w:textAlignment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kern w:val="2"/>
                <w:sz w:val="18"/>
                <w:szCs w:val="18"/>
                <w:lang w:val="en-US" w:eastAsia="zh-CN" w:bidi="ar-SA"/>
              </w:rPr>
              <w:t>7</w:t>
            </w:r>
          </w:p>
        </w:tc>
        <w:tc>
          <w:tcPr>
            <w:tcW w:w="2767" w:type="dxa"/>
            <w:vMerge w:val="restart"/>
            <w:shd w:val="clear" w:color="auto" w:fill="auto"/>
            <w:vAlign w:val="center"/>
          </w:tcPr>
          <w:p w14:paraId="6F330DF5">
            <w:pPr>
              <w:widowControl/>
              <w:adjustRightInd w:val="0"/>
              <w:snapToGrid w:val="0"/>
              <w:spacing w:before="24" w:after="24" w:line="240" w:lineRule="auto"/>
              <w:jc w:val="left"/>
              <w:textAlignment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kern w:val="2"/>
                <w:sz w:val="18"/>
                <w:szCs w:val="18"/>
                <w:lang w:val="en-US" w:eastAsia="zh-CN" w:bidi="ar-SA"/>
              </w:rPr>
              <w:t>第三方</w:t>
            </w:r>
            <w:r>
              <w:rPr>
                <w:rFonts w:hint="eastAsia" w:ascii="宋体" w:hAnsi="宋体" w:cs="宋体"/>
                <w:bCs/>
                <w:color w:val="auto"/>
                <w:kern w:val="2"/>
                <w:sz w:val="18"/>
                <w:szCs w:val="18"/>
                <w:lang w:val="en-US" w:eastAsia="zh-CN" w:bidi="ar-SA"/>
              </w:rPr>
              <w:t>施工</w:t>
            </w:r>
            <w:r>
              <w:rPr>
                <w:rFonts w:hint="eastAsia" w:ascii="宋体" w:hAnsi="宋体" w:eastAsia="宋体" w:cs="宋体"/>
                <w:bCs/>
                <w:color w:val="auto"/>
                <w:kern w:val="2"/>
                <w:sz w:val="18"/>
                <w:szCs w:val="18"/>
                <w:lang w:val="en-US" w:eastAsia="zh-CN" w:bidi="ar-SA"/>
              </w:rPr>
              <w:t>损坏风险较高的燃气管道</w:t>
            </w:r>
          </w:p>
        </w:tc>
        <w:tc>
          <w:tcPr>
            <w:tcW w:w="1005" w:type="dxa"/>
            <w:vAlign w:val="center"/>
          </w:tcPr>
          <w:p w14:paraId="08E02907">
            <w:pPr>
              <w:widowControl/>
              <w:adjustRightInd w:val="0"/>
              <w:snapToGrid w:val="0"/>
              <w:spacing w:before="24" w:after="24" w:line="240" w:lineRule="auto"/>
              <w:jc w:val="center"/>
              <w:textAlignment w:val="center"/>
              <w:rPr>
                <w:rFonts w:hint="eastAsia" w:ascii="宋体" w:hAnsi="宋体" w:eastAsia="宋体" w:cs="宋体"/>
                <w:bCs/>
                <w:color w:val="auto"/>
                <w:kern w:val="2"/>
                <w:sz w:val="18"/>
                <w:szCs w:val="18"/>
                <w:lang w:val="en-US" w:eastAsia="zh-CN" w:bidi="ar-SA"/>
              </w:rPr>
            </w:pPr>
            <w:r>
              <w:rPr>
                <w:rFonts w:hint="eastAsia" w:ascii="宋体" w:hAnsi="宋体" w:cs="宋体"/>
                <w:bCs/>
                <w:color w:val="auto"/>
                <w:kern w:val="2"/>
                <w:sz w:val="18"/>
                <w:szCs w:val="18"/>
                <w:lang w:val="en-US" w:eastAsia="zh-CN" w:bidi="ar-SA"/>
              </w:rPr>
              <w:t>视频监控</w:t>
            </w:r>
          </w:p>
        </w:tc>
        <w:tc>
          <w:tcPr>
            <w:tcW w:w="1035" w:type="dxa"/>
            <w:vAlign w:val="center"/>
          </w:tcPr>
          <w:p w14:paraId="093921A6">
            <w:pPr>
              <w:widowControl/>
              <w:adjustRightInd w:val="0"/>
              <w:snapToGrid w:val="0"/>
              <w:spacing w:before="24" w:after="24" w:line="240" w:lineRule="auto"/>
              <w:jc w:val="center"/>
              <w:textAlignment w:val="center"/>
              <w:rPr>
                <w:rFonts w:hint="eastAsia" w:ascii="宋体" w:hAnsi="宋体" w:eastAsia="宋体" w:cs="宋体"/>
                <w:bCs/>
                <w:color w:val="auto"/>
                <w:kern w:val="2"/>
                <w:sz w:val="18"/>
                <w:szCs w:val="18"/>
                <w:lang w:val="en-US" w:eastAsia="zh-CN" w:bidi="ar-SA"/>
              </w:rPr>
            </w:pPr>
            <w:r>
              <w:rPr>
                <w:rFonts w:hint="eastAsia" w:cs="宋体"/>
                <w:bCs/>
                <w:sz w:val="18"/>
                <w:szCs w:val="18"/>
              </w:rPr>
              <w:t>●</w:t>
            </w:r>
          </w:p>
        </w:tc>
        <w:tc>
          <w:tcPr>
            <w:tcW w:w="2993" w:type="dxa"/>
            <w:vAlign w:val="center"/>
          </w:tcPr>
          <w:p w14:paraId="4713D2FD">
            <w:pPr>
              <w:widowControl/>
              <w:adjustRightInd w:val="0"/>
              <w:snapToGrid w:val="0"/>
              <w:spacing w:before="24" w:after="24" w:line="240" w:lineRule="auto"/>
              <w:jc w:val="left"/>
              <w:textAlignment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kern w:val="2"/>
                <w:sz w:val="18"/>
                <w:szCs w:val="18"/>
                <w:lang w:val="en-US" w:eastAsia="zh-CN" w:bidi="ar-SA"/>
              </w:rPr>
              <w:t>根据设备性能达到</w:t>
            </w:r>
            <w:r>
              <w:rPr>
                <w:rFonts w:hint="eastAsia" w:ascii="宋体" w:hAnsi="宋体" w:cs="宋体"/>
                <w:bCs/>
                <w:color w:val="auto"/>
                <w:kern w:val="2"/>
                <w:sz w:val="18"/>
                <w:szCs w:val="18"/>
                <w:lang w:val="en-US" w:eastAsia="zh-CN" w:bidi="ar-SA"/>
              </w:rPr>
              <w:t>施工区</w:t>
            </w:r>
            <w:r>
              <w:rPr>
                <w:rFonts w:hint="eastAsia" w:ascii="宋体" w:hAnsi="宋体" w:eastAsia="宋体" w:cs="宋体"/>
                <w:bCs/>
                <w:color w:val="auto"/>
                <w:kern w:val="2"/>
                <w:sz w:val="18"/>
                <w:szCs w:val="18"/>
                <w:lang w:val="en-US" w:eastAsia="zh-CN" w:bidi="ar-SA"/>
              </w:rPr>
              <w:t>无监测盲区效果</w:t>
            </w:r>
          </w:p>
        </w:tc>
      </w:tr>
      <w:tr w14:paraId="56FDC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727" w:type="dxa"/>
            <w:vMerge w:val="continue"/>
            <w:vAlign w:val="center"/>
          </w:tcPr>
          <w:p w14:paraId="7A25633D">
            <w:pPr>
              <w:widowControl/>
              <w:adjustRightInd w:val="0"/>
              <w:snapToGrid w:val="0"/>
              <w:spacing w:before="24" w:after="24" w:line="240" w:lineRule="auto"/>
              <w:jc w:val="center"/>
              <w:textAlignment w:val="center"/>
              <w:rPr>
                <w:sz w:val="18"/>
                <w:szCs w:val="18"/>
              </w:rPr>
            </w:pPr>
          </w:p>
        </w:tc>
        <w:tc>
          <w:tcPr>
            <w:tcW w:w="2767" w:type="dxa"/>
            <w:vMerge w:val="continue"/>
            <w:vAlign w:val="center"/>
          </w:tcPr>
          <w:p w14:paraId="08D2913D">
            <w:pPr>
              <w:widowControl/>
              <w:adjustRightInd w:val="0"/>
              <w:snapToGrid w:val="0"/>
              <w:spacing w:before="24" w:after="24" w:line="240" w:lineRule="auto"/>
              <w:jc w:val="center"/>
              <w:textAlignment w:val="center"/>
              <w:rPr>
                <w:sz w:val="18"/>
                <w:szCs w:val="18"/>
              </w:rPr>
            </w:pPr>
          </w:p>
        </w:tc>
        <w:tc>
          <w:tcPr>
            <w:tcW w:w="1005" w:type="dxa"/>
            <w:vAlign w:val="center"/>
          </w:tcPr>
          <w:p w14:paraId="214D9BF8">
            <w:pPr>
              <w:widowControl/>
              <w:adjustRightInd w:val="0"/>
              <w:snapToGrid w:val="0"/>
              <w:spacing w:before="24" w:after="24" w:line="240" w:lineRule="auto"/>
              <w:jc w:val="center"/>
              <w:textAlignment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kern w:val="2"/>
                <w:sz w:val="18"/>
                <w:szCs w:val="18"/>
                <w:lang w:val="en-US" w:eastAsia="zh-CN" w:bidi="ar-SA"/>
              </w:rPr>
              <w:t>管道振动</w:t>
            </w:r>
          </w:p>
        </w:tc>
        <w:tc>
          <w:tcPr>
            <w:tcW w:w="1035" w:type="dxa"/>
            <w:vAlign w:val="center"/>
          </w:tcPr>
          <w:p w14:paraId="0003C250">
            <w:pPr>
              <w:widowControl/>
              <w:adjustRightInd w:val="0"/>
              <w:snapToGrid w:val="0"/>
              <w:spacing w:before="24" w:after="24" w:line="240" w:lineRule="auto"/>
              <w:jc w:val="center"/>
              <w:textAlignment w:val="center"/>
              <w:rPr>
                <w:rFonts w:hint="eastAsia" w:ascii="宋体" w:hAnsi="宋体" w:eastAsia="宋体" w:cs="宋体"/>
                <w:bCs/>
                <w:color w:val="auto"/>
                <w:kern w:val="2"/>
                <w:sz w:val="18"/>
                <w:szCs w:val="18"/>
                <w:lang w:val="en-US" w:eastAsia="zh-CN" w:bidi="ar-SA"/>
              </w:rPr>
            </w:pPr>
            <w:r>
              <w:rPr>
                <w:rFonts w:hint="eastAsia" w:cs="宋体"/>
                <w:bCs/>
                <w:sz w:val="18"/>
                <w:szCs w:val="18"/>
              </w:rPr>
              <w:t>○</w:t>
            </w:r>
          </w:p>
        </w:tc>
        <w:tc>
          <w:tcPr>
            <w:tcW w:w="2993" w:type="dxa"/>
            <w:vAlign w:val="center"/>
          </w:tcPr>
          <w:p w14:paraId="69808AE1">
            <w:pPr>
              <w:widowControl/>
              <w:adjustRightInd w:val="0"/>
              <w:snapToGrid w:val="0"/>
              <w:spacing w:before="24" w:after="24" w:line="240" w:lineRule="auto"/>
              <w:jc w:val="center"/>
              <w:textAlignment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kern w:val="2"/>
                <w:sz w:val="18"/>
                <w:szCs w:val="18"/>
                <w:lang w:val="en-US" w:eastAsia="zh-CN" w:bidi="ar-SA"/>
              </w:rPr>
              <w:t>线型监测设备沿管道全线布设，点式监控设备布设</w:t>
            </w:r>
            <w:r>
              <w:rPr>
                <w:rFonts w:hint="eastAsia" w:ascii="宋体" w:hAnsi="宋体" w:cs="宋体"/>
                <w:bCs/>
                <w:color w:val="auto"/>
                <w:kern w:val="2"/>
                <w:sz w:val="18"/>
                <w:szCs w:val="18"/>
                <w:lang w:val="en-US" w:eastAsia="zh-CN" w:bidi="ar-SA"/>
              </w:rPr>
              <w:t>不低于</w:t>
            </w:r>
            <w:r>
              <w:rPr>
                <w:rFonts w:hint="eastAsia" w:ascii="宋体" w:hAnsi="宋体" w:eastAsia="宋体" w:cs="宋体"/>
                <w:bCs/>
                <w:color w:val="auto"/>
                <w:kern w:val="2"/>
                <w:sz w:val="18"/>
                <w:szCs w:val="18"/>
                <w:lang w:val="en-US" w:eastAsia="zh-CN" w:bidi="ar-SA"/>
              </w:rPr>
              <w:t>2处/km</w:t>
            </w:r>
          </w:p>
        </w:tc>
      </w:tr>
      <w:tr w14:paraId="660B6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8527" w:type="dxa"/>
            <w:gridSpan w:val="5"/>
            <w:vAlign w:val="center"/>
          </w:tcPr>
          <w:p w14:paraId="7494F35E">
            <w:pPr>
              <w:pStyle w:val="146"/>
              <w:jc w:val="left"/>
              <w:rPr>
                <w:rFonts w:cs="宋体"/>
                <w:bCs/>
                <w:sz w:val="18"/>
                <w:szCs w:val="18"/>
              </w:rPr>
            </w:pPr>
            <w:r>
              <w:rPr>
                <w:rFonts w:hint="eastAsia" w:cs="宋体"/>
                <w:bCs/>
                <w:sz w:val="18"/>
                <w:szCs w:val="18"/>
              </w:rPr>
              <w:t>注：</w:t>
            </w:r>
            <w:r>
              <w:rPr>
                <w:rFonts w:cs="宋体"/>
                <w:bCs/>
                <w:sz w:val="18"/>
                <w:szCs w:val="18"/>
              </w:rPr>
              <w:t>1.</w:t>
            </w:r>
            <w:r>
              <w:rPr>
                <w:rFonts w:hint="eastAsia" w:cs="宋体"/>
                <w:bCs/>
                <w:sz w:val="18"/>
                <w:szCs w:val="18"/>
              </w:rPr>
              <w:t>“●”表示必选监测项、“◎”表示宜选监测项、“○”表示可选监测项；</w:t>
            </w:r>
          </w:p>
          <w:p w14:paraId="2E23A4A1">
            <w:pPr>
              <w:widowControl/>
              <w:adjustRightInd w:val="0"/>
              <w:snapToGrid w:val="0"/>
              <w:spacing w:before="24" w:after="24" w:line="240" w:lineRule="auto"/>
              <w:ind w:firstLine="360" w:firstLineChars="200"/>
              <w:jc w:val="both"/>
              <w:textAlignment w:val="center"/>
              <w:rPr>
                <w:rFonts w:hint="eastAsia" w:cs="宋体"/>
                <w:bCs/>
                <w:sz w:val="18"/>
                <w:szCs w:val="18"/>
                <w:lang w:eastAsia="zh-CN"/>
              </w:rPr>
            </w:pPr>
            <w:r>
              <w:rPr>
                <w:rFonts w:cs="宋体"/>
                <w:bCs/>
                <w:sz w:val="18"/>
                <w:szCs w:val="18"/>
              </w:rPr>
              <w:t>2.</w:t>
            </w:r>
            <w:r>
              <w:rPr>
                <w:rFonts w:hint="eastAsia" w:cs="宋体"/>
                <w:bCs/>
                <w:sz w:val="18"/>
                <w:szCs w:val="18"/>
              </w:rPr>
              <w:t>“―”表示</w:t>
            </w:r>
            <w:r>
              <w:rPr>
                <w:rFonts w:hint="eastAsia" w:cs="宋体"/>
                <w:bCs/>
                <w:sz w:val="18"/>
                <w:szCs w:val="18"/>
                <w:lang w:val="en-US" w:eastAsia="zh-CN"/>
              </w:rPr>
              <w:t>监</w:t>
            </w:r>
            <w:r>
              <w:rPr>
                <w:rFonts w:hint="eastAsia" w:cs="宋体"/>
                <w:bCs/>
                <w:sz w:val="18"/>
                <w:szCs w:val="18"/>
              </w:rPr>
              <w:t>测点布设可根据现场情况选择适当位置</w:t>
            </w:r>
            <w:r>
              <w:rPr>
                <w:rFonts w:hint="eastAsia" w:cs="宋体"/>
                <w:bCs/>
                <w:sz w:val="18"/>
                <w:szCs w:val="18"/>
                <w:lang w:eastAsia="zh-CN"/>
              </w:rPr>
              <w:t>。</w:t>
            </w:r>
          </w:p>
        </w:tc>
      </w:tr>
    </w:tbl>
    <w:p w14:paraId="7ED5259D">
      <w:pPr>
        <w:pStyle w:val="98"/>
        <w:spacing w:before="24" w:after="24"/>
        <w:jc w:val="center"/>
        <w:rPr>
          <w:rFonts w:hint="eastAsia" w:ascii="黑体" w:hAnsi="黑体" w:eastAsia="黑体"/>
          <w:bCs/>
          <w:color w:val="auto"/>
          <w:lang w:val="en-US" w:eastAsia="zh-CN"/>
        </w:rPr>
      </w:pPr>
    </w:p>
    <w:p w14:paraId="70672CB0">
      <w:pPr>
        <w:rPr>
          <w:rFonts w:hint="eastAsia"/>
          <w:b w:val="0"/>
          <w:bCs w:val="0"/>
          <w:lang w:val="en-US" w:eastAsia="zh-CN"/>
        </w:rPr>
      </w:pPr>
    </w:p>
    <w:p w14:paraId="410ADB65">
      <w:pPr>
        <w:rPr>
          <w:rFonts w:hint="eastAsia"/>
          <w:b w:val="0"/>
          <w:bCs w:val="0"/>
          <w:lang w:val="en-US" w:eastAsia="zh-CN"/>
        </w:rPr>
      </w:pPr>
    </w:p>
    <w:p w14:paraId="685C130D">
      <w:pPr>
        <w:rPr>
          <w:rFonts w:hint="eastAsia"/>
          <w:b w:val="0"/>
          <w:bCs w:val="0"/>
          <w:lang w:val="en-US" w:eastAsia="zh-CN"/>
        </w:rPr>
      </w:pPr>
      <w:r>
        <w:rPr>
          <w:rFonts w:hint="eastAsia"/>
          <w:b w:val="0"/>
          <w:bCs w:val="0"/>
          <w:lang w:val="en-US" w:eastAsia="zh-CN"/>
        </w:rPr>
        <w:t>燃气管道阀门井（室）监测布点要求见表B.1.3。</w:t>
      </w:r>
    </w:p>
    <w:p w14:paraId="21D484C5">
      <w:pPr>
        <w:pStyle w:val="98"/>
        <w:spacing w:before="24" w:after="24"/>
        <w:jc w:val="center"/>
        <w:rPr>
          <w:rFonts w:hint="eastAsia" w:ascii="黑体" w:hAnsi="黑体" w:eastAsia="黑体"/>
          <w:bCs/>
          <w:color w:val="auto"/>
        </w:rPr>
      </w:pPr>
      <w:r>
        <w:rPr>
          <w:rFonts w:hint="eastAsia" w:ascii="黑体" w:hAnsi="黑体" w:eastAsia="黑体"/>
          <w:bCs/>
          <w:color w:val="auto"/>
          <w:lang w:val="en-US" w:eastAsia="zh-CN"/>
        </w:rPr>
        <w:t>B.1.3</w:t>
      </w:r>
      <w:r>
        <w:rPr>
          <w:rFonts w:hint="eastAsia" w:ascii="黑体" w:hAnsi="黑体" w:eastAsia="黑体"/>
          <w:bCs/>
          <w:color w:val="auto"/>
        </w:rPr>
        <w:t xml:space="preserve">  燃气</w:t>
      </w:r>
      <w:r>
        <w:rPr>
          <w:rFonts w:hint="eastAsia" w:ascii="黑体" w:hAnsi="黑体" w:eastAsia="黑体"/>
          <w:bCs/>
          <w:color w:val="auto"/>
          <w:lang w:val="en-US" w:eastAsia="zh-CN"/>
        </w:rPr>
        <w:t>管道</w:t>
      </w:r>
      <w:r>
        <w:rPr>
          <w:rFonts w:hint="eastAsia" w:ascii="黑体" w:hAnsi="黑体" w:eastAsia="黑体"/>
          <w:bCs/>
          <w:color w:val="auto"/>
        </w:rPr>
        <w:t>阀井（室）监测布点要求</w:t>
      </w:r>
    </w:p>
    <w:tbl>
      <w:tblPr>
        <w:tblStyle w:val="35"/>
        <w:tblW w:w="4879" w:type="pct"/>
        <w:tblInd w:w="11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9"/>
        <w:gridCol w:w="2918"/>
        <w:gridCol w:w="1023"/>
        <w:gridCol w:w="968"/>
        <w:gridCol w:w="2891"/>
      </w:tblGrid>
      <w:tr w14:paraId="21E20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16" w:type="pct"/>
            <w:tcBorders>
              <w:top w:val="single" w:color="000000" w:sz="8" w:space="0"/>
              <w:left w:val="single" w:color="000000" w:sz="8" w:space="0"/>
              <w:bottom w:val="nil"/>
              <w:right w:val="single" w:color="000000" w:sz="8" w:space="0"/>
            </w:tcBorders>
            <w:shd w:val="clear" w:color="auto" w:fill="auto"/>
            <w:vAlign w:val="center"/>
          </w:tcPr>
          <w:p w14:paraId="4FFE4C4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714" w:type="pct"/>
            <w:tcBorders>
              <w:top w:val="single" w:color="000000" w:sz="8" w:space="0"/>
              <w:left w:val="nil"/>
              <w:bottom w:val="nil"/>
              <w:right w:val="single" w:color="000000" w:sz="8" w:space="0"/>
            </w:tcBorders>
            <w:shd w:val="clear" w:color="auto" w:fill="auto"/>
            <w:vAlign w:val="center"/>
          </w:tcPr>
          <w:p w14:paraId="240F46E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监测对象</w:t>
            </w:r>
          </w:p>
        </w:tc>
        <w:tc>
          <w:tcPr>
            <w:tcW w:w="601" w:type="pct"/>
            <w:tcBorders>
              <w:top w:val="single" w:color="000000" w:sz="8" w:space="0"/>
              <w:left w:val="single" w:color="000000" w:sz="8" w:space="0"/>
              <w:bottom w:val="nil"/>
              <w:right w:val="nil"/>
            </w:tcBorders>
            <w:shd w:val="clear" w:color="auto" w:fill="auto"/>
            <w:vAlign w:val="center"/>
          </w:tcPr>
          <w:p w14:paraId="7FE831B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监测指标</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856D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监测要求</w:t>
            </w:r>
          </w:p>
        </w:tc>
        <w:tc>
          <w:tcPr>
            <w:tcW w:w="1698" w:type="pct"/>
            <w:tcBorders>
              <w:top w:val="single" w:color="000000" w:sz="8" w:space="0"/>
              <w:left w:val="nil"/>
              <w:bottom w:val="nil"/>
              <w:right w:val="single" w:color="000000" w:sz="8" w:space="0"/>
            </w:tcBorders>
            <w:shd w:val="clear" w:color="auto" w:fill="auto"/>
            <w:vAlign w:val="center"/>
          </w:tcPr>
          <w:p w14:paraId="5EF421E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监测</w:t>
            </w:r>
            <w:r>
              <w:rPr>
                <w:rFonts w:hint="eastAsia" w:ascii="宋体" w:hAnsi="宋体" w:cs="宋体"/>
                <w:i w:val="0"/>
                <w:iCs w:val="0"/>
                <w:color w:val="000000"/>
                <w:kern w:val="0"/>
                <w:sz w:val="18"/>
                <w:szCs w:val="18"/>
                <w:u w:val="none"/>
                <w:lang w:val="en-US" w:eastAsia="zh-CN" w:bidi="ar"/>
              </w:rPr>
              <w:t>布点</w:t>
            </w:r>
            <w:r>
              <w:rPr>
                <w:rFonts w:hint="eastAsia" w:ascii="宋体" w:hAnsi="宋体" w:eastAsia="宋体" w:cs="宋体"/>
                <w:i w:val="0"/>
                <w:iCs w:val="0"/>
                <w:color w:val="000000"/>
                <w:kern w:val="0"/>
                <w:sz w:val="18"/>
                <w:szCs w:val="18"/>
                <w:u w:val="none"/>
                <w:lang w:val="en-US" w:eastAsia="zh-CN" w:bidi="ar"/>
              </w:rPr>
              <w:t>要求</w:t>
            </w:r>
          </w:p>
        </w:tc>
      </w:tr>
      <w:tr w14:paraId="26D24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0268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AF10D">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风险评估结果为较大及以上风险的燃气管道阀井（室）</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210F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可燃气体浓度</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50E9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DC27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不低于</w:t>
            </w:r>
            <w:r>
              <w:rPr>
                <w:rFonts w:hint="eastAsia" w:ascii="宋体" w:hAnsi="宋体" w:eastAsia="宋体" w:cs="宋体"/>
                <w:i w:val="0"/>
                <w:iCs w:val="0"/>
                <w:color w:val="000000"/>
                <w:kern w:val="0"/>
                <w:sz w:val="18"/>
                <w:szCs w:val="18"/>
                <w:u w:val="none"/>
                <w:lang w:val="en-US" w:eastAsia="zh-CN" w:bidi="ar"/>
              </w:rPr>
              <w:t>1处</w:t>
            </w:r>
          </w:p>
        </w:tc>
      </w:tr>
      <w:tr w14:paraId="62F8B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BCA5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3A3C6">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重大安全隐患燃气管道阀井（室）</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8ADA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可燃气体浓度</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1F6B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BB83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不低于</w:t>
            </w:r>
            <w:r>
              <w:rPr>
                <w:rFonts w:hint="eastAsia" w:ascii="宋体" w:hAnsi="宋体" w:eastAsia="宋体" w:cs="宋体"/>
                <w:i w:val="0"/>
                <w:iCs w:val="0"/>
                <w:color w:val="000000"/>
                <w:kern w:val="0"/>
                <w:sz w:val="18"/>
                <w:szCs w:val="18"/>
                <w:u w:val="none"/>
                <w:lang w:val="en-US" w:eastAsia="zh-CN" w:bidi="ar"/>
              </w:rPr>
              <w:t>1处</w:t>
            </w:r>
          </w:p>
        </w:tc>
      </w:tr>
      <w:tr w14:paraId="24BB5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16" w:type="pct"/>
            <w:tcBorders>
              <w:top w:val="single" w:color="000000" w:sz="4" w:space="0"/>
              <w:left w:val="single" w:color="000000" w:sz="4" w:space="0"/>
              <w:bottom w:val="single" w:color="auto" w:sz="4" w:space="0"/>
              <w:right w:val="single" w:color="000000" w:sz="4" w:space="0"/>
            </w:tcBorders>
            <w:shd w:val="clear" w:color="auto" w:fill="auto"/>
            <w:vAlign w:val="center"/>
          </w:tcPr>
          <w:p w14:paraId="156026A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714" w:type="pct"/>
            <w:tcBorders>
              <w:top w:val="single" w:color="000000" w:sz="4" w:space="0"/>
              <w:left w:val="single" w:color="000000" w:sz="4" w:space="0"/>
              <w:bottom w:val="single" w:color="auto" w:sz="4" w:space="0"/>
              <w:right w:val="single" w:color="000000" w:sz="4" w:space="0"/>
            </w:tcBorders>
            <w:shd w:val="clear" w:color="auto" w:fill="auto"/>
            <w:vAlign w:val="center"/>
          </w:tcPr>
          <w:p w14:paraId="221CBE9D">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重点区域范围内的燃气阀井（室）</w:t>
            </w:r>
          </w:p>
        </w:tc>
        <w:tc>
          <w:tcPr>
            <w:tcW w:w="601" w:type="pct"/>
            <w:tcBorders>
              <w:top w:val="single" w:color="000000" w:sz="4" w:space="0"/>
              <w:left w:val="single" w:color="000000" w:sz="4" w:space="0"/>
              <w:bottom w:val="single" w:color="auto" w:sz="4" w:space="0"/>
              <w:right w:val="single" w:color="000000" w:sz="4" w:space="0"/>
            </w:tcBorders>
            <w:shd w:val="clear" w:color="auto" w:fill="auto"/>
            <w:vAlign w:val="center"/>
          </w:tcPr>
          <w:p w14:paraId="33EB796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可燃气体浓度</w:t>
            </w:r>
          </w:p>
        </w:tc>
        <w:tc>
          <w:tcPr>
            <w:tcW w:w="568" w:type="pct"/>
            <w:tcBorders>
              <w:top w:val="single" w:color="000000" w:sz="4" w:space="0"/>
              <w:left w:val="single" w:color="000000" w:sz="4" w:space="0"/>
              <w:bottom w:val="single" w:color="auto" w:sz="4" w:space="0"/>
              <w:right w:val="single" w:color="000000" w:sz="4" w:space="0"/>
            </w:tcBorders>
            <w:shd w:val="clear" w:color="auto" w:fill="auto"/>
            <w:vAlign w:val="center"/>
          </w:tcPr>
          <w:p w14:paraId="7CE9329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698" w:type="pct"/>
            <w:tcBorders>
              <w:top w:val="single" w:color="000000" w:sz="4" w:space="0"/>
              <w:left w:val="single" w:color="000000" w:sz="4" w:space="0"/>
              <w:bottom w:val="single" w:color="auto" w:sz="4" w:space="0"/>
              <w:right w:val="single" w:color="000000" w:sz="4" w:space="0"/>
            </w:tcBorders>
            <w:shd w:val="clear" w:color="auto" w:fill="auto"/>
            <w:vAlign w:val="center"/>
          </w:tcPr>
          <w:p w14:paraId="5703904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不低于</w:t>
            </w:r>
            <w:r>
              <w:rPr>
                <w:rFonts w:hint="eastAsia" w:ascii="宋体" w:hAnsi="宋体" w:eastAsia="宋体" w:cs="宋体"/>
                <w:i w:val="0"/>
                <w:iCs w:val="0"/>
                <w:color w:val="000000"/>
                <w:kern w:val="0"/>
                <w:sz w:val="18"/>
                <w:szCs w:val="18"/>
                <w:u w:val="none"/>
                <w:lang w:val="en-US" w:eastAsia="zh-CN" w:bidi="ar"/>
              </w:rPr>
              <w:t>1处</w:t>
            </w:r>
          </w:p>
        </w:tc>
      </w:tr>
      <w:tr w14:paraId="11F4C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1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D90FB4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714" w:type="pct"/>
            <w:vMerge w:val="restart"/>
            <w:tcBorders>
              <w:top w:val="single" w:color="auto" w:sz="4" w:space="0"/>
              <w:left w:val="single" w:color="auto" w:sz="4" w:space="0"/>
              <w:right w:val="single" w:color="auto" w:sz="4" w:space="0"/>
            </w:tcBorders>
            <w:shd w:val="clear" w:color="auto" w:fill="auto"/>
            <w:vAlign w:val="center"/>
          </w:tcPr>
          <w:p w14:paraId="39F6234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超高压、高压、次高压管道阀井（室）</w:t>
            </w:r>
          </w:p>
        </w:tc>
        <w:tc>
          <w:tcPr>
            <w:tcW w:w="601" w:type="pct"/>
            <w:tcBorders>
              <w:top w:val="single" w:color="auto" w:sz="4" w:space="0"/>
              <w:left w:val="single" w:color="auto" w:sz="4" w:space="0"/>
              <w:bottom w:val="single" w:color="auto" w:sz="4" w:space="0"/>
              <w:right w:val="single" w:color="auto" w:sz="4" w:space="0"/>
            </w:tcBorders>
            <w:shd w:val="clear" w:color="auto" w:fill="auto"/>
            <w:vAlign w:val="center"/>
          </w:tcPr>
          <w:p w14:paraId="100A125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可燃气体浓度</w:t>
            </w:r>
          </w:p>
        </w:tc>
        <w:tc>
          <w:tcPr>
            <w:tcW w:w="568" w:type="pct"/>
            <w:tcBorders>
              <w:top w:val="single" w:color="auto" w:sz="4" w:space="0"/>
              <w:left w:val="single" w:color="auto" w:sz="4" w:space="0"/>
              <w:bottom w:val="single" w:color="auto" w:sz="4" w:space="0"/>
              <w:right w:val="single" w:color="auto" w:sz="4" w:space="0"/>
            </w:tcBorders>
            <w:shd w:val="clear" w:color="auto" w:fill="auto"/>
            <w:vAlign w:val="center"/>
          </w:tcPr>
          <w:p w14:paraId="1B32417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698" w:type="pct"/>
            <w:tcBorders>
              <w:top w:val="single" w:color="auto" w:sz="4" w:space="0"/>
              <w:left w:val="single" w:color="auto" w:sz="4" w:space="0"/>
              <w:bottom w:val="single" w:color="auto" w:sz="4" w:space="0"/>
              <w:right w:val="single" w:color="auto" w:sz="4" w:space="0"/>
            </w:tcBorders>
            <w:shd w:val="clear" w:color="auto" w:fill="auto"/>
            <w:vAlign w:val="center"/>
          </w:tcPr>
          <w:p w14:paraId="2A13DBA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不低于1</w:t>
            </w:r>
            <w:r>
              <w:rPr>
                <w:rFonts w:hint="eastAsia" w:ascii="宋体" w:hAnsi="宋体" w:eastAsia="宋体" w:cs="宋体"/>
                <w:i w:val="0"/>
                <w:iCs w:val="0"/>
                <w:color w:val="000000"/>
                <w:kern w:val="0"/>
                <w:sz w:val="18"/>
                <w:szCs w:val="18"/>
                <w:u w:val="none"/>
                <w:lang w:val="en-US" w:eastAsia="zh-CN" w:bidi="ar"/>
              </w:rPr>
              <w:t>处</w:t>
            </w:r>
          </w:p>
        </w:tc>
      </w:tr>
      <w:tr w14:paraId="10EED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1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BAF7CC">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18"/>
                <w:szCs w:val="18"/>
                <w:u w:val="none"/>
              </w:rPr>
            </w:pPr>
          </w:p>
        </w:tc>
        <w:tc>
          <w:tcPr>
            <w:tcW w:w="1714" w:type="pct"/>
            <w:vMerge w:val="continue"/>
            <w:tcBorders>
              <w:left w:val="single" w:color="auto" w:sz="4" w:space="0"/>
              <w:right w:val="single" w:color="auto" w:sz="4" w:space="0"/>
            </w:tcBorders>
            <w:shd w:val="clear" w:color="auto" w:fill="auto"/>
            <w:vAlign w:val="center"/>
          </w:tcPr>
          <w:p w14:paraId="64EEA0AA">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18"/>
                <w:szCs w:val="18"/>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27702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压力</w:t>
            </w:r>
          </w:p>
        </w:tc>
        <w:tc>
          <w:tcPr>
            <w:tcW w:w="568" w:type="pct"/>
            <w:tcBorders>
              <w:top w:val="single" w:color="auto" w:sz="4" w:space="0"/>
              <w:left w:val="single" w:color="auto" w:sz="4" w:space="0"/>
              <w:bottom w:val="single" w:color="auto" w:sz="4" w:space="0"/>
              <w:right w:val="single" w:color="auto" w:sz="4" w:space="0"/>
            </w:tcBorders>
            <w:shd w:val="clear" w:color="auto" w:fill="auto"/>
            <w:vAlign w:val="center"/>
          </w:tcPr>
          <w:p w14:paraId="09C6A66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69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3782F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上下游分别不低于1</w:t>
            </w:r>
            <w:r>
              <w:rPr>
                <w:rFonts w:hint="eastAsia" w:ascii="宋体" w:hAnsi="宋体" w:eastAsia="宋体" w:cs="宋体"/>
                <w:i w:val="0"/>
                <w:iCs w:val="0"/>
                <w:color w:val="000000"/>
                <w:sz w:val="18"/>
                <w:szCs w:val="18"/>
                <w:u w:val="none"/>
                <w:lang w:val="en-US" w:eastAsia="zh-CN"/>
              </w:rPr>
              <w:t>处</w:t>
            </w:r>
          </w:p>
        </w:tc>
      </w:tr>
      <w:tr w14:paraId="650E8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1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8862F9">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18"/>
                <w:szCs w:val="18"/>
                <w:u w:val="none"/>
              </w:rPr>
            </w:pPr>
          </w:p>
        </w:tc>
        <w:tc>
          <w:tcPr>
            <w:tcW w:w="1714" w:type="pct"/>
            <w:vMerge w:val="continue"/>
            <w:tcBorders>
              <w:left w:val="single" w:color="auto" w:sz="4" w:space="0"/>
              <w:bottom w:val="single" w:color="auto" w:sz="4" w:space="0"/>
              <w:right w:val="single" w:color="auto" w:sz="4" w:space="0"/>
            </w:tcBorders>
            <w:shd w:val="clear" w:color="auto" w:fill="auto"/>
            <w:vAlign w:val="center"/>
          </w:tcPr>
          <w:p w14:paraId="7FDAF50B">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18"/>
                <w:szCs w:val="18"/>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41D02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视频监控</w:t>
            </w:r>
          </w:p>
        </w:tc>
        <w:tc>
          <w:tcPr>
            <w:tcW w:w="56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F7949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69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A9647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不低于</w:t>
            </w:r>
            <w:r>
              <w:rPr>
                <w:rFonts w:hint="eastAsia" w:ascii="宋体" w:hAnsi="宋体" w:eastAsia="宋体" w:cs="宋体"/>
                <w:i w:val="0"/>
                <w:iCs w:val="0"/>
                <w:color w:val="000000"/>
                <w:sz w:val="18"/>
                <w:szCs w:val="18"/>
                <w:u w:val="none"/>
                <w:lang w:val="en-US" w:eastAsia="zh-CN"/>
              </w:rPr>
              <w:t>1处</w:t>
            </w:r>
          </w:p>
        </w:tc>
      </w:tr>
      <w:tr w14:paraId="04483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1B8B5973">
            <w:pPr>
              <w:pStyle w:val="146"/>
              <w:jc w:val="left"/>
              <w:rPr>
                <w:rFonts w:cs="宋体"/>
                <w:bCs/>
                <w:sz w:val="18"/>
                <w:szCs w:val="18"/>
              </w:rPr>
            </w:pPr>
            <w:r>
              <w:rPr>
                <w:rFonts w:hint="eastAsia" w:cs="宋体"/>
                <w:bCs/>
                <w:sz w:val="18"/>
                <w:szCs w:val="18"/>
              </w:rPr>
              <w:t>注：</w:t>
            </w:r>
            <w:r>
              <w:rPr>
                <w:rFonts w:cs="宋体"/>
                <w:bCs/>
                <w:sz w:val="18"/>
                <w:szCs w:val="18"/>
              </w:rPr>
              <w:t>1.</w:t>
            </w:r>
            <w:r>
              <w:rPr>
                <w:rFonts w:hint="eastAsia" w:cs="宋体"/>
                <w:bCs/>
                <w:sz w:val="18"/>
                <w:szCs w:val="18"/>
              </w:rPr>
              <w:t>“●”表示必选监测项、“◎”表示宜选监测项、“○”表示可选监测项；</w:t>
            </w:r>
          </w:p>
          <w:p w14:paraId="38776756">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18"/>
                <w:szCs w:val="18"/>
                <w:u w:val="none"/>
                <w:lang w:val="en-US" w:eastAsia="zh-CN" w:bidi="ar"/>
              </w:rPr>
            </w:pPr>
            <w:r>
              <w:rPr>
                <w:rFonts w:cs="宋体"/>
                <w:bCs/>
                <w:sz w:val="18"/>
                <w:szCs w:val="18"/>
              </w:rPr>
              <w:t>2.</w:t>
            </w:r>
            <w:r>
              <w:rPr>
                <w:rFonts w:hint="eastAsia" w:cs="宋体"/>
                <w:bCs/>
                <w:sz w:val="18"/>
                <w:szCs w:val="18"/>
              </w:rPr>
              <w:t>“―”表示</w:t>
            </w:r>
            <w:r>
              <w:rPr>
                <w:rFonts w:hint="eastAsia" w:cs="宋体"/>
                <w:bCs/>
                <w:sz w:val="18"/>
                <w:szCs w:val="18"/>
                <w:lang w:val="en-US" w:eastAsia="zh-CN"/>
              </w:rPr>
              <w:t>监</w:t>
            </w:r>
            <w:r>
              <w:rPr>
                <w:rFonts w:hint="eastAsia" w:cs="宋体"/>
                <w:bCs/>
                <w:sz w:val="18"/>
                <w:szCs w:val="18"/>
              </w:rPr>
              <w:t>测点布设可根据现场情况选择适当位置</w:t>
            </w:r>
            <w:r>
              <w:rPr>
                <w:rFonts w:hint="eastAsia" w:cs="宋体"/>
                <w:bCs/>
                <w:sz w:val="18"/>
                <w:szCs w:val="18"/>
                <w:lang w:eastAsia="zh-CN"/>
              </w:rPr>
              <w:t>。</w:t>
            </w:r>
          </w:p>
        </w:tc>
      </w:tr>
    </w:tbl>
    <w:p w14:paraId="528DA818">
      <w:pPr>
        <w:pStyle w:val="98"/>
        <w:spacing w:before="24" w:after="24"/>
        <w:jc w:val="center"/>
        <w:rPr>
          <w:rFonts w:hint="eastAsia" w:ascii="黑体" w:hAnsi="黑体" w:eastAsia="黑体"/>
          <w:bCs/>
          <w:color w:val="auto"/>
          <w:lang w:val="en-US" w:eastAsia="zh-CN"/>
        </w:rPr>
      </w:pPr>
    </w:p>
    <w:p w14:paraId="1EFD483B">
      <w:pPr>
        <w:rPr>
          <w:rFonts w:hint="eastAsia" w:ascii="黑体" w:hAnsi="黑体" w:eastAsia="黑体"/>
          <w:bCs/>
          <w:color w:val="auto"/>
          <w:lang w:val="en-US" w:eastAsia="zh-CN"/>
        </w:rPr>
      </w:pPr>
      <w:r>
        <w:rPr>
          <w:rFonts w:hint="eastAsia"/>
          <w:b w:val="0"/>
          <w:bCs w:val="0"/>
          <w:lang w:val="en-US" w:eastAsia="zh-CN"/>
        </w:rPr>
        <w:t>燃气调压设施监测布点要求见表B.1.4。</w:t>
      </w:r>
    </w:p>
    <w:p w14:paraId="5DCB3265">
      <w:pPr>
        <w:pStyle w:val="98"/>
        <w:spacing w:before="24" w:after="24"/>
        <w:jc w:val="center"/>
        <w:rPr>
          <w:rFonts w:hint="eastAsia" w:ascii="黑体" w:hAnsi="黑体" w:eastAsia="黑体"/>
          <w:bCs/>
          <w:color w:val="auto"/>
        </w:rPr>
      </w:pPr>
      <w:r>
        <w:rPr>
          <w:rFonts w:hint="eastAsia" w:ascii="黑体" w:hAnsi="黑体" w:eastAsia="黑体"/>
          <w:bCs/>
          <w:color w:val="auto"/>
          <w:lang w:val="en-US" w:eastAsia="zh-CN"/>
        </w:rPr>
        <w:t>B.1.4</w:t>
      </w:r>
      <w:r>
        <w:rPr>
          <w:rFonts w:hint="eastAsia" w:ascii="黑体" w:hAnsi="黑体" w:eastAsia="黑体"/>
          <w:bCs/>
          <w:color w:val="auto"/>
        </w:rPr>
        <w:t xml:space="preserve">  燃气</w:t>
      </w:r>
      <w:r>
        <w:rPr>
          <w:rFonts w:hint="eastAsia" w:ascii="黑体" w:hAnsi="黑体" w:eastAsia="黑体"/>
          <w:bCs/>
          <w:color w:val="auto"/>
          <w:lang w:eastAsia="zh-CN"/>
        </w:rPr>
        <w:t>调压设施</w:t>
      </w:r>
      <w:r>
        <w:rPr>
          <w:rFonts w:hint="eastAsia" w:ascii="黑体" w:hAnsi="黑体" w:eastAsia="黑体"/>
          <w:bCs/>
          <w:color w:val="auto"/>
        </w:rPr>
        <w:t>监测布点要求</w:t>
      </w:r>
    </w:p>
    <w:tbl>
      <w:tblPr>
        <w:tblStyle w:val="35"/>
        <w:tblW w:w="8512" w:type="dxa"/>
        <w:tblInd w:w="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12"/>
        <w:gridCol w:w="2900"/>
        <w:gridCol w:w="1039"/>
        <w:gridCol w:w="954"/>
        <w:gridCol w:w="2907"/>
      </w:tblGrid>
      <w:tr w14:paraId="79A84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712" w:type="dxa"/>
            <w:shd w:val="clear" w:color="auto" w:fill="auto"/>
            <w:vAlign w:val="center"/>
          </w:tcPr>
          <w:p w14:paraId="12A76C11">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2900" w:type="dxa"/>
            <w:shd w:val="clear" w:color="auto" w:fill="auto"/>
            <w:vAlign w:val="center"/>
          </w:tcPr>
          <w:p w14:paraId="6DA2C57B">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监测对象</w:t>
            </w:r>
          </w:p>
        </w:tc>
        <w:tc>
          <w:tcPr>
            <w:tcW w:w="1039" w:type="dxa"/>
            <w:shd w:val="clear" w:color="auto" w:fill="auto"/>
            <w:vAlign w:val="center"/>
          </w:tcPr>
          <w:p w14:paraId="15D87F95">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监测指标</w:t>
            </w:r>
          </w:p>
        </w:tc>
        <w:tc>
          <w:tcPr>
            <w:tcW w:w="954" w:type="dxa"/>
            <w:shd w:val="clear" w:color="auto" w:fill="auto"/>
            <w:noWrap/>
            <w:vAlign w:val="center"/>
          </w:tcPr>
          <w:p w14:paraId="1AE4F6EF">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监测要求</w:t>
            </w:r>
          </w:p>
        </w:tc>
        <w:tc>
          <w:tcPr>
            <w:tcW w:w="2907" w:type="dxa"/>
            <w:shd w:val="clear" w:color="auto" w:fill="auto"/>
            <w:vAlign w:val="center"/>
          </w:tcPr>
          <w:p w14:paraId="25262E2E">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监测</w:t>
            </w:r>
            <w:r>
              <w:rPr>
                <w:rFonts w:hint="eastAsia" w:ascii="宋体" w:hAnsi="宋体" w:cs="宋体"/>
                <w:i w:val="0"/>
                <w:iCs w:val="0"/>
                <w:color w:val="000000"/>
                <w:kern w:val="0"/>
                <w:sz w:val="18"/>
                <w:szCs w:val="18"/>
                <w:u w:val="none"/>
                <w:lang w:val="en-US" w:eastAsia="zh-CN" w:bidi="ar"/>
              </w:rPr>
              <w:t>布点</w:t>
            </w:r>
            <w:r>
              <w:rPr>
                <w:rFonts w:hint="eastAsia" w:ascii="宋体" w:hAnsi="宋体" w:eastAsia="宋体" w:cs="宋体"/>
                <w:i w:val="0"/>
                <w:iCs w:val="0"/>
                <w:color w:val="000000"/>
                <w:kern w:val="0"/>
                <w:sz w:val="18"/>
                <w:szCs w:val="18"/>
                <w:u w:val="none"/>
                <w:lang w:val="en-US" w:eastAsia="zh-CN" w:bidi="ar"/>
              </w:rPr>
              <w:t>要求</w:t>
            </w:r>
          </w:p>
        </w:tc>
      </w:tr>
      <w:tr w14:paraId="52A14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12" w:type="dxa"/>
            <w:vMerge w:val="restart"/>
            <w:shd w:val="clear" w:color="auto" w:fill="auto"/>
            <w:vAlign w:val="center"/>
          </w:tcPr>
          <w:p w14:paraId="650D6181">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900" w:type="dxa"/>
            <w:vMerge w:val="restart"/>
            <w:shd w:val="clear" w:color="auto" w:fill="auto"/>
            <w:vAlign w:val="center"/>
          </w:tcPr>
          <w:p w14:paraId="336A3731">
            <w:pPr>
              <w:keepNext w:val="0"/>
              <w:keepLines w:val="0"/>
              <w:pageBreakBefore w:val="0"/>
              <w:widowControl/>
              <w:suppressLineNumbers w:val="0"/>
              <w:kinsoku/>
              <w:wordWrap/>
              <w:overflowPunct/>
              <w:topLinePunct w:val="0"/>
              <w:autoSpaceDE/>
              <w:autoSpaceDN/>
              <w:bidi w:val="0"/>
              <w:snapToGrid w:val="0"/>
              <w:spacing w:line="24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未设置防止燃气出口压力超过下游压力允许值安全保护措施的调压设施</w:t>
            </w:r>
          </w:p>
        </w:tc>
        <w:tc>
          <w:tcPr>
            <w:tcW w:w="1039" w:type="dxa"/>
            <w:shd w:val="clear" w:color="auto" w:fill="auto"/>
            <w:vAlign w:val="center"/>
          </w:tcPr>
          <w:p w14:paraId="4B79398B">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压力</w:t>
            </w:r>
          </w:p>
        </w:tc>
        <w:tc>
          <w:tcPr>
            <w:tcW w:w="954" w:type="dxa"/>
            <w:shd w:val="clear" w:color="auto" w:fill="auto"/>
            <w:vAlign w:val="center"/>
          </w:tcPr>
          <w:p w14:paraId="0A4FEE59">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907" w:type="dxa"/>
            <w:shd w:val="clear" w:color="auto" w:fill="auto"/>
            <w:vAlign w:val="center"/>
          </w:tcPr>
          <w:p w14:paraId="5035DA03">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不低于</w:t>
            </w:r>
            <w:r>
              <w:rPr>
                <w:rFonts w:hint="eastAsia" w:ascii="宋体" w:hAnsi="宋体" w:eastAsia="宋体" w:cs="宋体"/>
                <w:i w:val="0"/>
                <w:iCs w:val="0"/>
                <w:color w:val="000000"/>
                <w:sz w:val="18"/>
                <w:szCs w:val="18"/>
                <w:u w:val="none"/>
                <w:lang w:val="en-US" w:eastAsia="zh-CN"/>
              </w:rPr>
              <w:t>1处</w:t>
            </w:r>
          </w:p>
        </w:tc>
      </w:tr>
      <w:tr w14:paraId="2C0BD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12" w:type="dxa"/>
            <w:vMerge w:val="continue"/>
            <w:shd w:val="clear" w:color="auto" w:fill="auto"/>
            <w:vAlign w:val="center"/>
          </w:tcPr>
          <w:p w14:paraId="0D247A04">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p>
        </w:tc>
        <w:tc>
          <w:tcPr>
            <w:tcW w:w="2900" w:type="dxa"/>
            <w:vMerge w:val="continue"/>
            <w:shd w:val="clear" w:color="auto" w:fill="auto"/>
            <w:vAlign w:val="center"/>
          </w:tcPr>
          <w:p w14:paraId="7C1F520F">
            <w:pPr>
              <w:keepNext w:val="0"/>
              <w:keepLines w:val="0"/>
              <w:pageBreakBefore w:val="0"/>
              <w:widowControl/>
              <w:suppressLineNumbers w:val="0"/>
              <w:kinsoku/>
              <w:wordWrap/>
              <w:overflowPunct/>
              <w:topLinePunct w:val="0"/>
              <w:autoSpaceDE/>
              <w:autoSpaceDN/>
              <w:bidi w:val="0"/>
              <w:snapToGrid w:val="0"/>
              <w:spacing w:line="240" w:lineRule="auto"/>
              <w:jc w:val="left"/>
              <w:textAlignment w:val="center"/>
              <w:rPr>
                <w:rFonts w:hint="eastAsia" w:ascii="宋体" w:hAnsi="宋体" w:eastAsia="宋体" w:cs="宋体"/>
                <w:i w:val="0"/>
                <w:iCs w:val="0"/>
                <w:color w:val="000000"/>
                <w:kern w:val="0"/>
                <w:sz w:val="18"/>
                <w:szCs w:val="18"/>
                <w:u w:val="none"/>
                <w:lang w:val="en-US" w:eastAsia="zh-CN" w:bidi="ar"/>
              </w:rPr>
            </w:pPr>
          </w:p>
        </w:tc>
        <w:tc>
          <w:tcPr>
            <w:tcW w:w="1039" w:type="dxa"/>
            <w:shd w:val="clear" w:color="auto" w:fill="auto"/>
            <w:vAlign w:val="center"/>
          </w:tcPr>
          <w:p w14:paraId="37340531">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可燃气体浓度</w:t>
            </w:r>
          </w:p>
        </w:tc>
        <w:tc>
          <w:tcPr>
            <w:tcW w:w="954" w:type="dxa"/>
            <w:shd w:val="clear" w:color="auto" w:fill="auto"/>
            <w:vAlign w:val="center"/>
          </w:tcPr>
          <w:p w14:paraId="2ABDA33C">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2907" w:type="dxa"/>
            <w:shd w:val="clear" w:color="auto" w:fill="auto"/>
            <w:vAlign w:val="center"/>
          </w:tcPr>
          <w:p w14:paraId="72BA0ECE">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不低于</w:t>
            </w:r>
            <w:r>
              <w:rPr>
                <w:rFonts w:hint="eastAsia" w:ascii="宋体" w:hAnsi="宋体" w:eastAsia="宋体" w:cs="宋体"/>
                <w:i w:val="0"/>
                <w:iCs w:val="0"/>
                <w:color w:val="000000"/>
                <w:kern w:val="0"/>
                <w:sz w:val="18"/>
                <w:szCs w:val="18"/>
                <w:u w:val="none"/>
                <w:lang w:val="en-US" w:eastAsia="zh-CN" w:bidi="ar"/>
              </w:rPr>
              <w:t>1处</w:t>
            </w:r>
          </w:p>
        </w:tc>
      </w:tr>
      <w:tr w14:paraId="0E167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12" w:type="dxa"/>
            <w:vMerge w:val="restart"/>
            <w:shd w:val="clear" w:color="auto" w:fill="auto"/>
            <w:vAlign w:val="center"/>
          </w:tcPr>
          <w:p w14:paraId="5C217564">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900" w:type="dxa"/>
            <w:vMerge w:val="restart"/>
            <w:shd w:val="clear" w:color="auto" w:fill="auto"/>
            <w:vAlign w:val="center"/>
          </w:tcPr>
          <w:p w14:paraId="73DAA60C">
            <w:pPr>
              <w:keepNext w:val="0"/>
              <w:keepLines w:val="0"/>
              <w:pageBreakBefore w:val="0"/>
              <w:widowControl/>
              <w:suppressLineNumbers w:val="0"/>
              <w:kinsoku/>
              <w:wordWrap/>
              <w:overflowPunct/>
              <w:topLinePunct w:val="0"/>
              <w:autoSpaceDE/>
              <w:autoSpaceDN/>
              <w:bidi w:val="0"/>
              <w:snapToGrid w:val="0"/>
              <w:spacing w:line="240" w:lineRule="auto"/>
              <w:jc w:val="left"/>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向不可中断用户供气的调压设施</w:t>
            </w:r>
            <w:r>
              <w:rPr>
                <w:rFonts w:hint="eastAsia" w:ascii="宋体" w:hAnsi="宋体" w:cs="宋体"/>
                <w:i w:val="0"/>
                <w:iCs w:val="0"/>
                <w:color w:val="000000"/>
                <w:kern w:val="0"/>
                <w:sz w:val="18"/>
                <w:szCs w:val="18"/>
                <w:u w:val="none"/>
                <w:lang w:val="en-US" w:eastAsia="zh-CN" w:bidi="ar"/>
              </w:rPr>
              <w:t>；</w:t>
            </w:r>
          </w:p>
          <w:p w14:paraId="653DD04C">
            <w:pPr>
              <w:keepNext w:val="0"/>
              <w:keepLines w:val="0"/>
              <w:pageBreakBefore w:val="0"/>
              <w:widowControl/>
              <w:suppressLineNumbers w:val="0"/>
              <w:kinsoku/>
              <w:wordWrap/>
              <w:overflowPunct/>
              <w:topLinePunct w:val="0"/>
              <w:autoSpaceDE/>
              <w:autoSpaceDN/>
              <w:bidi w:val="0"/>
              <w:snapToGrid w:val="0"/>
              <w:spacing w:line="240" w:lineRule="auto"/>
              <w:jc w:val="left"/>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供应重要公共建筑用户的调压设施</w:t>
            </w:r>
            <w:r>
              <w:rPr>
                <w:rFonts w:hint="eastAsia" w:ascii="宋体" w:hAnsi="宋体" w:cs="宋体"/>
                <w:i w:val="0"/>
                <w:iCs w:val="0"/>
                <w:color w:val="000000"/>
                <w:kern w:val="0"/>
                <w:sz w:val="18"/>
                <w:szCs w:val="18"/>
                <w:u w:val="none"/>
                <w:lang w:val="en-US" w:eastAsia="zh-CN" w:bidi="ar"/>
              </w:rPr>
              <w:t>；</w:t>
            </w:r>
          </w:p>
          <w:p w14:paraId="1904B4CF">
            <w:pPr>
              <w:keepNext w:val="0"/>
              <w:keepLines w:val="0"/>
              <w:pageBreakBefore w:val="0"/>
              <w:widowControl/>
              <w:suppressLineNumbers w:val="0"/>
              <w:kinsoku/>
              <w:wordWrap/>
              <w:overflowPunct/>
              <w:topLinePunct w:val="0"/>
              <w:autoSpaceDE/>
              <w:autoSpaceDN/>
              <w:bidi w:val="0"/>
              <w:snapToGrid w:val="0"/>
              <w:spacing w:line="24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单台设计流量大于等于1000Nm</w:t>
            </w:r>
            <w:r>
              <w:rPr>
                <w:rFonts w:hint="eastAsia" w:ascii="宋体" w:hAnsi="宋体" w:eastAsia="宋体" w:cs="宋体"/>
                <w:i w:val="0"/>
                <w:iCs w:val="0"/>
                <w:color w:val="000000"/>
                <w:kern w:val="0"/>
                <w:sz w:val="18"/>
                <w:szCs w:val="18"/>
                <w:u w:val="none"/>
                <w:vertAlign w:val="superscript"/>
                <w:lang w:val="en-US" w:eastAsia="zh-CN" w:bidi="ar"/>
              </w:rPr>
              <w:t>3</w:t>
            </w:r>
            <w:r>
              <w:rPr>
                <w:rFonts w:hint="eastAsia" w:ascii="宋体" w:hAnsi="宋体" w:eastAsia="宋体" w:cs="宋体"/>
                <w:i w:val="0"/>
                <w:iCs w:val="0"/>
                <w:color w:val="000000"/>
                <w:kern w:val="0"/>
                <w:sz w:val="18"/>
                <w:szCs w:val="18"/>
                <w:u w:val="none"/>
                <w:lang w:val="en-US" w:eastAsia="zh-CN" w:bidi="ar"/>
              </w:rPr>
              <w:t>/h的调压设施</w:t>
            </w:r>
          </w:p>
        </w:tc>
        <w:tc>
          <w:tcPr>
            <w:tcW w:w="1039" w:type="dxa"/>
            <w:shd w:val="clear" w:color="auto" w:fill="auto"/>
            <w:vAlign w:val="center"/>
          </w:tcPr>
          <w:p w14:paraId="1E926348">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压力</w:t>
            </w:r>
          </w:p>
        </w:tc>
        <w:tc>
          <w:tcPr>
            <w:tcW w:w="954" w:type="dxa"/>
            <w:shd w:val="clear" w:color="auto" w:fill="auto"/>
            <w:vAlign w:val="center"/>
          </w:tcPr>
          <w:p w14:paraId="5CFCCF8B">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907" w:type="dxa"/>
            <w:shd w:val="clear" w:color="auto" w:fill="auto"/>
            <w:vAlign w:val="center"/>
          </w:tcPr>
          <w:p w14:paraId="67D9786C">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不低于</w:t>
            </w:r>
            <w:r>
              <w:rPr>
                <w:rFonts w:hint="eastAsia" w:ascii="宋体" w:hAnsi="宋体" w:eastAsia="宋体" w:cs="宋体"/>
                <w:i w:val="0"/>
                <w:iCs w:val="0"/>
                <w:color w:val="000000"/>
                <w:sz w:val="18"/>
                <w:szCs w:val="18"/>
                <w:u w:val="none"/>
                <w:lang w:val="en-US" w:eastAsia="zh-CN"/>
              </w:rPr>
              <w:t>1处</w:t>
            </w:r>
          </w:p>
        </w:tc>
      </w:tr>
      <w:tr w14:paraId="37CA2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12" w:type="dxa"/>
            <w:vMerge w:val="continue"/>
            <w:shd w:val="clear" w:color="auto" w:fill="auto"/>
            <w:vAlign w:val="center"/>
          </w:tcPr>
          <w:p w14:paraId="3FFAE5B1">
            <w:pPr>
              <w:keepNext w:val="0"/>
              <w:keepLines w:val="0"/>
              <w:pageBreakBefore w:val="0"/>
              <w:widowControl/>
              <w:kinsoku/>
              <w:wordWrap/>
              <w:overflowPunct/>
              <w:topLinePunct w:val="0"/>
              <w:autoSpaceDE/>
              <w:autoSpaceDN/>
              <w:bidi w:val="0"/>
              <w:snapToGrid w:val="0"/>
              <w:spacing w:line="240" w:lineRule="auto"/>
              <w:jc w:val="center"/>
              <w:rPr>
                <w:rFonts w:hint="eastAsia" w:ascii="宋体" w:hAnsi="宋体" w:eastAsia="宋体" w:cs="宋体"/>
                <w:i w:val="0"/>
                <w:iCs w:val="0"/>
                <w:color w:val="000000"/>
                <w:sz w:val="18"/>
                <w:szCs w:val="18"/>
                <w:u w:val="none"/>
              </w:rPr>
            </w:pPr>
          </w:p>
        </w:tc>
        <w:tc>
          <w:tcPr>
            <w:tcW w:w="2900" w:type="dxa"/>
            <w:vMerge w:val="continue"/>
            <w:shd w:val="clear" w:color="auto" w:fill="auto"/>
            <w:vAlign w:val="center"/>
          </w:tcPr>
          <w:p w14:paraId="69B5CA70">
            <w:pPr>
              <w:keepNext w:val="0"/>
              <w:keepLines w:val="0"/>
              <w:pageBreakBefore w:val="0"/>
              <w:widowControl/>
              <w:kinsoku/>
              <w:wordWrap/>
              <w:overflowPunct/>
              <w:topLinePunct w:val="0"/>
              <w:autoSpaceDE/>
              <w:autoSpaceDN/>
              <w:bidi w:val="0"/>
              <w:snapToGrid w:val="0"/>
              <w:spacing w:line="240" w:lineRule="auto"/>
              <w:jc w:val="left"/>
              <w:rPr>
                <w:rFonts w:hint="eastAsia" w:ascii="宋体" w:hAnsi="宋体" w:eastAsia="宋体" w:cs="宋体"/>
                <w:i w:val="0"/>
                <w:iCs w:val="0"/>
                <w:color w:val="000000"/>
                <w:sz w:val="18"/>
                <w:szCs w:val="18"/>
                <w:u w:val="none"/>
              </w:rPr>
            </w:pPr>
          </w:p>
        </w:tc>
        <w:tc>
          <w:tcPr>
            <w:tcW w:w="1039" w:type="dxa"/>
            <w:shd w:val="clear" w:color="auto" w:fill="auto"/>
            <w:vAlign w:val="center"/>
          </w:tcPr>
          <w:p w14:paraId="66D4DF96">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可燃气体浓度</w:t>
            </w:r>
          </w:p>
        </w:tc>
        <w:tc>
          <w:tcPr>
            <w:tcW w:w="954" w:type="dxa"/>
            <w:shd w:val="clear" w:color="auto" w:fill="auto"/>
            <w:vAlign w:val="center"/>
          </w:tcPr>
          <w:p w14:paraId="43DE267C">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907" w:type="dxa"/>
            <w:shd w:val="clear" w:color="auto" w:fill="auto"/>
            <w:vAlign w:val="center"/>
          </w:tcPr>
          <w:p w14:paraId="5095B7AC">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不低于</w:t>
            </w:r>
            <w:r>
              <w:rPr>
                <w:rFonts w:hint="eastAsia" w:ascii="宋体" w:hAnsi="宋体" w:eastAsia="宋体" w:cs="宋体"/>
                <w:i w:val="0"/>
                <w:iCs w:val="0"/>
                <w:color w:val="000000"/>
                <w:kern w:val="0"/>
                <w:sz w:val="18"/>
                <w:szCs w:val="18"/>
                <w:u w:val="none"/>
                <w:lang w:val="en-US" w:eastAsia="zh-CN" w:bidi="ar"/>
              </w:rPr>
              <w:t>1处</w:t>
            </w:r>
          </w:p>
        </w:tc>
      </w:tr>
      <w:tr w14:paraId="478AA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8512" w:type="dxa"/>
            <w:gridSpan w:val="5"/>
            <w:shd w:val="clear" w:color="auto" w:fill="auto"/>
            <w:noWrap/>
            <w:vAlign w:val="center"/>
          </w:tcPr>
          <w:p w14:paraId="32231327">
            <w:pPr>
              <w:pStyle w:val="146"/>
              <w:keepNext w:val="0"/>
              <w:keepLines w:val="0"/>
              <w:pageBreakBefore w:val="0"/>
              <w:widowControl/>
              <w:kinsoku/>
              <w:wordWrap/>
              <w:overflowPunct/>
              <w:topLinePunct w:val="0"/>
              <w:autoSpaceDE/>
              <w:autoSpaceDN/>
              <w:bidi w:val="0"/>
              <w:snapToGrid w:val="0"/>
              <w:spacing w:line="240" w:lineRule="auto"/>
              <w:jc w:val="both"/>
              <w:rPr>
                <w:rFonts w:cs="宋体"/>
                <w:bCs/>
                <w:sz w:val="18"/>
                <w:szCs w:val="18"/>
              </w:rPr>
            </w:pPr>
            <w:r>
              <w:rPr>
                <w:rFonts w:hint="eastAsia" w:cs="宋体"/>
                <w:bCs/>
                <w:sz w:val="18"/>
                <w:szCs w:val="18"/>
              </w:rPr>
              <w:t>注：</w:t>
            </w:r>
            <w:r>
              <w:rPr>
                <w:rFonts w:cs="宋体"/>
                <w:bCs/>
                <w:sz w:val="18"/>
                <w:szCs w:val="18"/>
              </w:rPr>
              <w:t>1.</w:t>
            </w:r>
            <w:r>
              <w:rPr>
                <w:rFonts w:hint="eastAsia" w:cs="宋体"/>
                <w:bCs/>
                <w:sz w:val="18"/>
                <w:szCs w:val="18"/>
              </w:rPr>
              <w:t>“●”表示必选监测项、“◎”表示宜选监测项、“○”表示可选监测项；</w:t>
            </w:r>
          </w:p>
          <w:p w14:paraId="09D1B039">
            <w:pPr>
              <w:keepNext w:val="0"/>
              <w:keepLines w:val="0"/>
              <w:pageBreakBefore w:val="0"/>
              <w:widowControl/>
              <w:kinsoku/>
              <w:wordWrap/>
              <w:overflowPunct/>
              <w:topLinePunct w:val="0"/>
              <w:autoSpaceDE/>
              <w:autoSpaceDN/>
              <w:bidi w:val="0"/>
              <w:snapToGrid w:val="0"/>
              <w:spacing w:line="240" w:lineRule="auto"/>
              <w:jc w:val="both"/>
              <w:rPr>
                <w:rFonts w:hint="eastAsia" w:ascii="宋体" w:hAnsi="宋体" w:eastAsia="宋体" w:cs="宋体"/>
                <w:i w:val="0"/>
                <w:iCs w:val="0"/>
                <w:color w:val="000000"/>
                <w:sz w:val="18"/>
                <w:szCs w:val="18"/>
                <w:u w:val="none"/>
              </w:rPr>
            </w:pPr>
            <w:r>
              <w:rPr>
                <w:rFonts w:cs="宋体"/>
                <w:bCs/>
                <w:sz w:val="18"/>
                <w:szCs w:val="18"/>
              </w:rPr>
              <w:t>2.</w:t>
            </w:r>
            <w:r>
              <w:rPr>
                <w:rFonts w:hint="eastAsia" w:cs="宋体"/>
                <w:bCs/>
                <w:sz w:val="18"/>
                <w:szCs w:val="18"/>
              </w:rPr>
              <w:t>“―”表示</w:t>
            </w:r>
            <w:r>
              <w:rPr>
                <w:rFonts w:hint="eastAsia" w:cs="宋体"/>
                <w:bCs/>
                <w:sz w:val="18"/>
                <w:szCs w:val="18"/>
                <w:lang w:val="en-US" w:eastAsia="zh-CN"/>
              </w:rPr>
              <w:t>监</w:t>
            </w:r>
            <w:r>
              <w:rPr>
                <w:rFonts w:hint="eastAsia" w:cs="宋体"/>
                <w:bCs/>
                <w:sz w:val="18"/>
                <w:szCs w:val="18"/>
              </w:rPr>
              <w:t>测点布设可根据现场情况选择适当位置</w:t>
            </w:r>
            <w:r>
              <w:rPr>
                <w:rFonts w:hint="eastAsia" w:cs="宋体"/>
                <w:bCs/>
                <w:sz w:val="18"/>
                <w:szCs w:val="18"/>
                <w:lang w:eastAsia="zh-CN"/>
              </w:rPr>
              <w:t>。</w:t>
            </w:r>
          </w:p>
        </w:tc>
      </w:tr>
    </w:tbl>
    <w:p w14:paraId="0196D100">
      <w:pPr>
        <w:pStyle w:val="98"/>
        <w:spacing w:before="24" w:after="24"/>
        <w:jc w:val="center"/>
        <w:rPr>
          <w:rFonts w:hint="eastAsia" w:ascii="黑体" w:hAnsi="黑体" w:eastAsia="黑体"/>
          <w:bCs/>
          <w:color w:val="auto"/>
          <w:lang w:val="en-US" w:eastAsia="zh-CN"/>
        </w:rPr>
      </w:pPr>
    </w:p>
    <w:p w14:paraId="0FFC88C0">
      <w:pPr>
        <w:rPr>
          <w:rFonts w:hint="eastAsia" w:ascii="黑体" w:hAnsi="黑体" w:eastAsia="黑体"/>
          <w:bCs/>
          <w:color w:val="auto"/>
          <w:lang w:val="en-US" w:eastAsia="zh-CN"/>
        </w:rPr>
      </w:pPr>
      <w:r>
        <w:rPr>
          <w:rFonts w:hint="eastAsia"/>
          <w:b w:val="0"/>
          <w:bCs w:val="0"/>
          <w:lang w:val="en-US" w:eastAsia="zh-CN"/>
        </w:rPr>
        <w:t>燃气用气场所监测布点要求见表B.1.5。</w:t>
      </w:r>
    </w:p>
    <w:p w14:paraId="17B72E53">
      <w:pPr>
        <w:pStyle w:val="98"/>
        <w:spacing w:before="24" w:after="24"/>
        <w:jc w:val="center"/>
        <w:rPr>
          <w:rFonts w:hint="eastAsia" w:ascii="黑体" w:hAnsi="黑体" w:eastAsia="黑体"/>
          <w:bCs/>
          <w:color w:val="auto"/>
        </w:rPr>
      </w:pPr>
      <w:r>
        <w:rPr>
          <w:rFonts w:hint="eastAsia" w:ascii="黑体" w:hAnsi="黑体" w:eastAsia="黑体"/>
          <w:bCs/>
          <w:color w:val="auto"/>
          <w:lang w:val="en-US" w:eastAsia="zh-CN"/>
        </w:rPr>
        <w:t>B.1.5</w:t>
      </w:r>
      <w:r>
        <w:rPr>
          <w:rFonts w:hint="eastAsia" w:ascii="黑体" w:hAnsi="黑体" w:eastAsia="黑体"/>
          <w:bCs/>
          <w:color w:val="auto"/>
        </w:rPr>
        <w:t xml:space="preserve">  燃气</w:t>
      </w:r>
      <w:r>
        <w:rPr>
          <w:rFonts w:hint="eastAsia" w:ascii="黑体" w:hAnsi="黑体" w:eastAsia="黑体"/>
          <w:bCs/>
          <w:color w:val="auto"/>
          <w:lang w:val="en-US" w:eastAsia="zh-CN"/>
        </w:rPr>
        <w:t>用气</w:t>
      </w:r>
      <w:r>
        <w:rPr>
          <w:rFonts w:hint="eastAsia" w:ascii="黑体" w:hAnsi="黑体" w:eastAsia="黑体"/>
          <w:bCs/>
          <w:color w:val="auto"/>
        </w:rPr>
        <w:t>场所监测布点要求</w:t>
      </w:r>
    </w:p>
    <w:tbl>
      <w:tblPr>
        <w:tblStyle w:val="35"/>
        <w:tblW w:w="8523"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3"/>
        <w:gridCol w:w="2899"/>
        <w:gridCol w:w="1018"/>
        <w:gridCol w:w="996"/>
        <w:gridCol w:w="2887"/>
      </w:tblGrid>
      <w:tr w14:paraId="3B3E3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ABF1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C9EA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监测对象</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1031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监测指标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F0DB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监测要求</w:t>
            </w:r>
          </w:p>
        </w:tc>
        <w:tc>
          <w:tcPr>
            <w:tcW w:w="2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1CCA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监测</w:t>
            </w:r>
            <w:r>
              <w:rPr>
                <w:rFonts w:hint="eastAsia" w:ascii="宋体" w:hAnsi="宋体" w:cs="宋体"/>
                <w:i w:val="0"/>
                <w:iCs w:val="0"/>
                <w:color w:val="000000"/>
                <w:kern w:val="0"/>
                <w:sz w:val="18"/>
                <w:szCs w:val="18"/>
                <w:u w:val="none"/>
                <w:lang w:val="en-US" w:eastAsia="zh-CN" w:bidi="ar"/>
              </w:rPr>
              <w:t>布点</w:t>
            </w:r>
            <w:r>
              <w:rPr>
                <w:rFonts w:hint="eastAsia" w:ascii="宋体" w:hAnsi="宋体" w:eastAsia="宋体" w:cs="宋体"/>
                <w:i w:val="0"/>
                <w:iCs w:val="0"/>
                <w:color w:val="000000"/>
                <w:kern w:val="0"/>
                <w:sz w:val="18"/>
                <w:szCs w:val="18"/>
                <w:u w:val="none"/>
                <w:lang w:val="en-US" w:eastAsia="zh-CN" w:bidi="ar"/>
              </w:rPr>
              <w:t>要求</w:t>
            </w:r>
          </w:p>
        </w:tc>
      </w:tr>
      <w:tr w14:paraId="73F7D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B7C7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FC477">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工商业用户</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9A6C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可燃气体浓度</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1218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1A86F">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每处用气场所应布设</w:t>
            </w:r>
            <w:r>
              <w:rPr>
                <w:rFonts w:hint="eastAsia" w:ascii="宋体" w:hAnsi="宋体" w:cs="宋体"/>
                <w:i w:val="0"/>
                <w:iCs w:val="0"/>
                <w:color w:val="000000"/>
                <w:kern w:val="0"/>
                <w:sz w:val="18"/>
                <w:szCs w:val="18"/>
                <w:u w:val="none"/>
                <w:lang w:val="en-US" w:eastAsia="zh-CN" w:bidi="ar"/>
              </w:rPr>
              <w:t>不低于</w:t>
            </w:r>
            <w:r>
              <w:rPr>
                <w:rFonts w:hint="eastAsia" w:ascii="宋体" w:hAnsi="宋体" w:eastAsia="宋体" w:cs="宋体"/>
                <w:i w:val="0"/>
                <w:iCs w:val="0"/>
                <w:color w:val="000000"/>
                <w:kern w:val="0"/>
                <w:sz w:val="18"/>
                <w:szCs w:val="18"/>
                <w:u w:val="none"/>
                <w:lang w:val="en-US" w:eastAsia="zh-CN" w:bidi="ar"/>
              </w:rPr>
              <w:t>1处</w:t>
            </w:r>
            <w:r>
              <w:rPr>
                <w:rFonts w:hint="eastAsia" w:ascii="宋体" w:hAnsi="宋体" w:cs="宋体"/>
                <w:i w:val="0"/>
                <w:iCs w:val="0"/>
                <w:color w:val="000000"/>
                <w:kern w:val="0"/>
                <w:sz w:val="18"/>
                <w:szCs w:val="18"/>
                <w:u w:val="none"/>
                <w:lang w:val="en-US" w:eastAsia="zh-CN" w:bidi="ar"/>
              </w:rPr>
              <w:t>可燃气体</w:t>
            </w:r>
            <w:r>
              <w:rPr>
                <w:rFonts w:hint="eastAsia" w:ascii="宋体" w:hAnsi="宋体" w:eastAsia="宋体" w:cs="宋体"/>
                <w:i w:val="0"/>
                <w:iCs w:val="0"/>
                <w:color w:val="000000"/>
                <w:kern w:val="0"/>
                <w:sz w:val="18"/>
                <w:szCs w:val="18"/>
                <w:u w:val="none"/>
                <w:lang w:val="en-US" w:eastAsia="zh-CN" w:bidi="ar"/>
              </w:rPr>
              <w:t>浓度监测</w:t>
            </w:r>
          </w:p>
        </w:tc>
      </w:tr>
      <w:tr w14:paraId="50E9A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E5A6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B1766">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超高层建筑内居民用户</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37F6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可燃气体浓度</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1C78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B57F1">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每处用气场所应布设</w:t>
            </w:r>
            <w:r>
              <w:rPr>
                <w:rFonts w:hint="eastAsia" w:ascii="宋体" w:hAnsi="宋体" w:cs="宋体"/>
                <w:i w:val="0"/>
                <w:iCs w:val="0"/>
                <w:color w:val="000000"/>
                <w:kern w:val="0"/>
                <w:sz w:val="18"/>
                <w:szCs w:val="18"/>
                <w:u w:val="none"/>
                <w:lang w:val="en-US" w:eastAsia="zh-CN" w:bidi="ar"/>
              </w:rPr>
              <w:t>不低于</w:t>
            </w:r>
            <w:r>
              <w:rPr>
                <w:rFonts w:hint="eastAsia" w:ascii="宋体" w:hAnsi="宋体" w:eastAsia="宋体" w:cs="宋体"/>
                <w:i w:val="0"/>
                <w:iCs w:val="0"/>
                <w:color w:val="000000"/>
                <w:kern w:val="0"/>
                <w:sz w:val="18"/>
                <w:szCs w:val="18"/>
                <w:u w:val="none"/>
                <w:lang w:val="en-US" w:eastAsia="zh-CN" w:bidi="ar"/>
              </w:rPr>
              <w:t>1处</w:t>
            </w:r>
            <w:r>
              <w:rPr>
                <w:rFonts w:hint="eastAsia" w:ascii="宋体" w:hAnsi="宋体" w:cs="宋体"/>
                <w:i w:val="0"/>
                <w:iCs w:val="0"/>
                <w:color w:val="000000"/>
                <w:kern w:val="0"/>
                <w:sz w:val="18"/>
                <w:szCs w:val="18"/>
                <w:u w:val="none"/>
                <w:lang w:val="en-US" w:eastAsia="zh-CN" w:bidi="ar"/>
              </w:rPr>
              <w:t>可燃气体浓度</w:t>
            </w:r>
            <w:r>
              <w:rPr>
                <w:rFonts w:hint="eastAsia" w:ascii="宋体" w:hAnsi="宋体" w:eastAsia="宋体" w:cs="宋体"/>
                <w:i w:val="0"/>
                <w:iCs w:val="0"/>
                <w:color w:val="000000"/>
                <w:kern w:val="0"/>
                <w:sz w:val="18"/>
                <w:szCs w:val="18"/>
                <w:u w:val="none"/>
                <w:lang w:val="en-US" w:eastAsia="zh-CN" w:bidi="ar"/>
              </w:rPr>
              <w:t>监测</w:t>
            </w:r>
          </w:p>
        </w:tc>
      </w:tr>
      <w:tr w14:paraId="38967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52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A0E76">
            <w:pPr>
              <w:pStyle w:val="146"/>
              <w:keepNext w:val="0"/>
              <w:keepLines w:val="0"/>
              <w:pageBreakBefore w:val="0"/>
              <w:widowControl/>
              <w:kinsoku/>
              <w:wordWrap/>
              <w:overflowPunct/>
              <w:topLinePunct w:val="0"/>
              <w:autoSpaceDE/>
              <w:autoSpaceDN/>
              <w:bidi w:val="0"/>
              <w:snapToGrid w:val="0"/>
              <w:spacing w:line="240" w:lineRule="auto"/>
              <w:jc w:val="left"/>
              <w:rPr>
                <w:rFonts w:cs="宋体"/>
                <w:bCs/>
                <w:sz w:val="18"/>
                <w:szCs w:val="18"/>
              </w:rPr>
            </w:pPr>
            <w:r>
              <w:rPr>
                <w:rFonts w:hint="eastAsia" w:cs="宋体"/>
                <w:bCs/>
                <w:sz w:val="18"/>
                <w:szCs w:val="18"/>
              </w:rPr>
              <w:t>注：</w:t>
            </w:r>
            <w:r>
              <w:rPr>
                <w:rFonts w:cs="宋体"/>
                <w:bCs/>
                <w:sz w:val="18"/>
                <w:szCs w:val="18"/>
              </w:rPr>
              <w:t>1.</w:t>
            </w:r>
            <w:r>
              <w:rPr>
                <w:rFonts w:hint="eastAsia" w:cs="宋体"/>
                <w:bCs/>
                <w:sz w:val="18"/>
                <w:szCs w:val="18"/>
              </w:rPr>
              <w:t>“●”表示必选监测项、“◎”表示宜选监测项、“○”表示可选监测项；</w:t>
            </w:r>
          </w:p>
          <w:p w14:paraId="2FC0C2E0">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18"/>
                <w:szCs w:val="18"/>
                <w:u w:val="none"/>
              </w:rPr>
            </w:pPr>
            <w:r>
              <w:rPr>
                <w:rFonts w:cs="宋体"/>
                <w:bCs/>
                <w:sz w:val="18"/>
                <w:szCs w:val="18"/>
              </w:rPr>
              <w:t>2.</w:t>
            </w:r>
            <w:r>
              <w:rPr>
                <w:rFonts w:hint="eastAsia" w:cs="宋体"/>
                <w:bCs/>
                <w:sz w:val="18"/>
                <w:szCs w:val="18"/>
              </w:rPr>
              <w:t>“―”表示</w:t>
            </w:r>
            <w:r>
              <w:rPr>
                <w:rFonts w:hint="eastAsia" w:cs="宋体"/>
                <w:bCs/>
                <w:sz w:val="18"/>
                <w:szCs w:val="18"/>
                <w:lang w:val="en-US" w:eastAsia="zh-CN"/>
              </w:rPr>
              <w:t>监</w:t>
            </w:r>
            <w:r>
              <w:rPr>
                <w:rFonts w:hint="eastAsia" w:cs="宋体"/>
                <w:bCs/>
                <w:sz w:val="18"/>
                <w:szCs w:val="18"/>
              </w:rPr>
              <w:t>测点布设可根据现场情况选择适当位置</w:t>
            </w:r>
            <w:r>
              <w:rPr>
                <w:rFonts w:hint="eastAsia" w:cs="宋体"/>
                <w:bCs/>
                <w:sz w:val="18"/>
                <w:szCs w:val="18"/>
                <w:lang w:eastAsia="zh-CN"/>
              </w:rPr>
              <w:t>。</w:t>
            </w:r>
          </w:p>
        </w:tc>
      </w:tr>
    </w:tbl>
    <w:p w14:paraId="68BAF810">
      <w:pPr>
        <w:pStyle w:val="98"/>
        <w:spacing w:before="24" w:after="24"/>
        <w:jc w:val="center"/>
        <w:rPr>
          <w:rFonts w:hint="eastAsia" w:ascii="黑体" w:hAnsi="黑体" w:eastAsia="黑体"/>
          <w:bCs/>
          <w:color w:val="auto"/>
          <w:lang w:val="en-US" w:eastAsia="zh-CN"/>
        </w:rPr>
      </w:pPr>
    </w:p>
    <w:p w14:paraId="5EFDC01F">
      <w:pPr>
        <w:rPr>
          <w:rFonts w:hint="eastAsia" w:ascii="黑体" w:hAnsi="黑体" w:eastAsia="黑体"/>
          <w:bCs/>
          <w:color w:val="auto"/>
          <w:lang w:val="en-US" w:eastAsia="zh-CN"/>
        </w:rPr>
      </w:pPr>
      <w:r>
        <w:rPr>
          <w:rFonts w:hint="eastAsia"/>
          <w:b w:val="0"/>
          <w:bCs w:val="0"/>
          <w:lang w:val="en-US" w:eastAsia="zh-CN"/>
        </w:rPr>
        <w:t>燃气管道相邻空间监测布点要求见表B.1.6。</w:t>
      </w:r>
    </w:p>
    <w:p w14:paraId="6CA54496">
      <w:pPr>
        <w:pStyle w:val="98"/>
        <w:spacing w:before="24" w:after="24"/>
        <w:jc w:val="center"/>
        <w:rPr>
          <w:rFonts w:ascii="黑体" w:hAnsi="黑体" w:eastAsia="黑体"/>
          <w:bCs/>
          <w:color w:val="auto"/>
        </w:rPr>
      </w:pPr>
      <w:r>
        <w:rPr>
          <w:rFonts w:hint="eastAsia" w:ascii="黑体" w:hAnsi="黑体" w:eastAsia="黑体"/>
          <w:bCs/>
          <w:color w:val="auto"/>
          <w:lang w:val="en-US" w:eastAsia="zh-CN"/>
        </w:rPr>
        <w:t>B.1.6</w:t>
      </w:r>
      <w:r>
        <w:rPr>
          <w:rFonts w:hint="eastAsia" w:ascii="黑体" w:hAnsi="黑体" w:eastAsia="黑体"/>
          <w:bCs/>
          <w:color w:val="auto"/>
        </w:rPr>
        <w:t xml:space="preserve"> 燃气</w:t>
      </w:r>
      <w:r>
        <w:rPr>
          <w:rFonts w:hint="eastAsia" w:ascii="黑体" w:hAnsi="黑体" w:eastAsia="黑体"/>
          <w:bCs/>
          <w:color w:val="auto"/>
          <w:lang w:val="en-US" w:eastAsia="zh-CN"/>
        </w:rPr>
        <w:t>管道相邻空间</w:t>
      </w:r>
      <w:r>
        <w:rPr>
          <w:rFonts w:hint="eastAsia" w:ascii="黑体" w:hAnsi="黑体" w:eastAsia="黑体"/>
          <w:bCs/>
          <w:color w:val="auto"/>
        </w:rPr>
        <w:t>监测布点要求</w:t>
      </w:r>
    </w:p>
    <w:tbl>
      <w:tblPr>
        <w:tblStyle w:val="35"/>
        <w:tblW w:w="854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44"/>
        <w:gridCol w:w="2896"/>
        <w:gridCol w:w="1007"/>
        <w:gridCol w:w="1007"/>
        <w:gridCol w:w="2890"/>
      </w:tblGrid>
      <w:tr w14:paraId="2A3D5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trPr>
        <w:tc>
          <w:tcPr>
            <w:tcW w:w="744" w:type="dxa"/>
            <w:shd w:val="clear" w:color="auto" w:fill="auto"/>
            <w:vAlign w:val="center"/>
          </w:tcPr>
          <w:p w14:paraId="71CA799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2896" w:type="dxa"/>
            <w:shd w:val="clear" w:color="auto" w:fill="auto"/>
            <w:vAlign w:val="center"/>
          </w:tcPr>
          <w:p w14:paraId="6A5A09B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监测对象</w:t>
            </w:r>
          </w:p>
        </w:tc>
        <w:tc>
          <w:tcPr>
            <w:tcW w:w="1007" w:type="dxa"/>
            <w:shd w:val="clear" w:color="auto" w:fill="auto"/>
            <w:vAlign w:val="center"/>
          </w:tcPr>
          <w:p w14:paraId="70A748C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监测指标</w:t>
            </w:r>
          </w:p>
        </w:tc>
        <w:tc>
          <w:tcPr>
            <w:tcW w:w="1007" w:type="dxa"/>
            <w:shd w:val="clear" w:color="auto" w:fill="auto"/>
            <w:noWrap/>
            <w:vAlign w:val="center"/>
          </w:tcPr>
          <w:p w14:paraId="3B95D14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监测要求</w:t>
            </w:r>
          </w:p>
        </w:tc>
        <w:tc>
          <w:tcPr>
            <w:tcW w:w="2890" w:type="dxa"/>
            <w:shd w:val="clear" w:color="auto" w:fill="auto"/>
            <w:vAlign w:val="center"/>
          </w:tcPr>
          <w:p w14:paraId="097409D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监测</w:t>
            </w:r>
            <w:r>
              <w:rPr>
                <w:rFonts w:hint="eastAsia" w:ascii="宋体" w:hAnsi="宋体" w:cs="宋体"/>
                <w:i w:val="0"/>
                <w:iCs w:val="0"/>
                <w:color w:val="000000"/>
                <w:kern w:val="0"/>
                <w:sz w:val="18"/>
                <w:szCs w:val="18"/>
                <w:u w:val="none"/>
                <w:lang w:val="en-US" w:eastAsia="zh-CN" w:bidi="ar"/>
              </w:rPr>
              <w:t>布点</w:t>
            </w:r>
            <w:r>
              <w:rPr>
                <w:rFonts w:hint="eastAsia" w:ascii="宋体" w:hAnsi="宋体" w:eastAsia="宋体" w:cs="宋体"/>
                <w:i w:val="0"/>
                <w:iCs w:val="0"/>
                <w:color w:val="000000"/>
                <w:kern w:val="0"/>
                <w:sz w:val="18"/>
                <w:szCs w:val="18"/>
                <w:u w:val="none"/>
                <w:lang w:val="en-US" w:eastAsia="zh-CN" w:bidi="ar"/>
              </w:rPr>
              <w:t>要求</w:t>
            </w:r>
          </w:p>
        </w:tc>
      </w:tr>
      <w:tr w14:paraId="714E7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44" w:type="dxa"/>
            <w:shd w:val="clear" w:color="auto" w:fill="auto"/>
            <w:vAlign w:val="center"/>
          </w:tcPr>
          <w:p w14:paraId="0929F29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896" w:type="dxa"/>
            <w:shd w:val="clear" w:color="auto" w:fill="auto"/>
            <w:vAlign w:val="center"/>
          </w:tcPr>
          <w:p w14:paraId="2CDA7AC4">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燃气管道相邻的雨水、污水地下管道、管沟、管道井</w:t>
            </w:r>
          </w:p>
        </w:tc>
        <w:tc>
          <w:tcPr>
            <w:tcW w:w="1007" w:type="dxa"/>
            <w:shd w:val="clear" w:color="auto" w:fill="auto"/>
            <w:vAlign w:val="center"/>
          </w:tcPr>
          <w:p w14:paraId="7502E78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可燃气体浓度</w:t>
            </w:r>
          </w:p>
        </w:tc>
        <w:tc>
          <w:tcPr>
            <w:tcW w:w="1007" w:type="dxa"/>
            <w:shd w:val="clear" w:color="auto" w:fill="auto"/>
            <w:vAlign w:val="center"/>
          </w:tcPr>
          <w:p w14:paraId="601E36B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890" w:type="dxa"/>
            <w:shd w:val="clear" w:color="auto" w:fill="auto"/>
            <w:vAlign w:val="center"/>
          </w:tcPr>
          <w:p w14:paraId="3C9EA5AA">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每处空间布设</w:t>
            </w:r>
            <w:r>
              <w:rPr>
                <w:rFonts w:hint="eastAsia" w:ascii="宋体" w:hAnsi="宋体" w:cs="宋体"/>
                <w:i w:val="0"/>
                <w:iCs w:val="0"/>
                <w:color w:val="000000"/>
                <w:kern w:val="0"/>
                <w:sz w:val="18"/>
                <w:szCs w:val="18"/>
                <w:u w:val="none"/>
                <w:lang w:val="en-US" w:eastAsia="zh-CN" w:bidi="ar"/>
              </w:rPr>
              <w:t>不低于</w:t>
            </w:r>
            <w:r>
              <w:rPr>
                <w:rFonts w:hint="eastAsia" w:ascii="宋体" w:hAnsi="宋体" w:eastAsia="宋体" w:cs="宋体"/>
                <w:i w:val="0"/>
                <w:iCs w:val="0"/>
                <w:color w:val="000000"/>
                <w:kern w:val="0"/>
                <w:sz w:val="18"/>
                <w:szCs w:val="18"/>
                <w:u w:val="none"/>
                <w:lang w:val="en-US" w:eastAsia="zh-CN" w:bidi="ar"/>
              </w:rPr>
              <w:t>1处</w:t>
            </w:r>
          </w:p>
        </w:tc>
      </w:tr>
      <w:tr w14:paraId="15540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44" w:type="dxa"/>
            <w:shd w:val="clear" w:color="auto" w:fill="auto"/>
            <w:vAlign w:val="center"/>
          </w:tcPr>
          <w:p w14:paraId="1A3A7F2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2</w:t>
            </w:r>
          </w:p>
        </w:tc>
        <w:tc>
          <w:tcPr>
            <w:tcW w:w="2896" w:type="dxa"/>
            <w:shd w:val="clear" w:color="auto" w:fill="auto"/>
            <w:vAlign w:val="center"/>
          </w:tcPr>
          <w:p w14:paraId="1CB68489">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燃气管道相邻的电力、通信等地下管道、管道井</w:t>
            </w:r>
          </w:p>
        </w:tc>
        <w:tc>
          <w:tcPr>
            <w:tcW w:w="1007" w:type="dxa"/>
            <w:shd w:val="clear" w:color="auto" w:fill="auto"/>
            <w:vAlign w:val="center"/>
          </w:tcPr>
          <w:p w14:paraId="2650B92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可燃气体浓度</w:t>
            </w:r>
          </w:p>
        </w:tc>
        <w:tc>
          <w:tcPr>
            <w:tcW w:w="1007" w:type="dxa"/>
            <w:shd w:val="clear" w:color="auto" w:fill="auto"/>
            <w:vAlign w:val="center"/>
          </w:tcPr>
          <w:p w14:paraId="14B8021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2890" w:type="dxa"/>
            <w:shd w:val="clear" w:color="auto" w:fill="auto"/>
            <w:vAlign w:val="center"/>
          </w:tcPr>
          <w:p w14:paraId="5871E69D">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每处空间布设</w:t>
            </w:r>
            <w:r>
              <w:rPr>
                <w:rFonts w:hint="eastAsia" w:ascii="宋体" w:hAnsi="宋体" w:cs="宋体"/>
                <w:i w:val="0"/>
                <w:iCs w:val="0"/>
                <w:color w:val="000000"/>
                <w:kern w:val="0"/>
                <w:sz w:val="18"/>
                <w:szCs w:val="18"/>
                <w:u w:val="none"/>
                <w:lang w:val="en-US" w:eastAsia="zh-CN" w:bidi="ar"/>
              </w:rPr>
              <w:t>不低于</w:t>
            </w:r>
            <w:r>
              <w:rPr>
                <w:rFonts w:hint="eastAsia" w:ascii="宋体" w:hAnsi="宋体" w:eastAsia="宋体" w:cs="宋体"/>
                <w:i w:val="0"/>
                <w:iCs w:val="0"/>
                <w:color w:val="000000"/>
                <w:kern w:val="0"/>
                <w:sz w:val="18"/>
                <w:szCs w:val="18"/>
                <w:u w:val="none"/>
                <w:lang w:val="en-US" w:eastAsia="zh-CN" w:bidi="ar"/>
              </w:rPr>
              <w:t>1处</w:t>
            </w:r>
          </w:p>
        </w:tc>
      </w:tr>
      <w:tr w14:paraId="6A9F1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44" w:type="dxa"/>
            <w:shd w:val="clear" w:color="auto" w:fill="auto"/>
            <w:vAlign w:val="center"/>
          </w:tcPr>
          <w:p w14:paraId="00E18D3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3</w:t>
            </w:r>
          </w:p>
        </w:tc>
        <w:tc>
          <w:tcPr>
            <w:tcW w:w="2896" w:type="dxa"/>
            <w:shd w:val="clear" w:color="auto" w:fill="auto"/>
            <w:vAlign w:val="center"/>
          </w:tcPr>
          <w:p w14:paraId="3EFC7D42">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燃气管道相邻的地下建（构）筑物、地下密闭夹层等密闭、半密闭空间</w:t>
            </w:r>
          </w:p>
        </w:tc>
        <w:tc>
          <w:tcPr>
            <w:tcW w:w="1007" w:type="dxa"/>
            <w:shd w:val="clear" w:color="auto" w:fill="auto"/>
            <w:vAlign w:val="center"/>
          </w:tcPr>
          <w:p w14:paraId="1732738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可燃气体浓度</w:t>
            </w:r>
          </w:p>
        </w:tc>
        <w:tc>
          <w:tcPr>
            <w:tcW w:w="1007" w:type="dxa"/>
            <w:shd w:val="clear" w:color="auto" w:fill="auto"/>
            <w:vAlign w:val="center"/>
          </w:tcPr>
          <w:p w14:paraId="77D6E9B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890" w:type="dxa"/>
            <w:shd w:val="clear" w:color="auto" w:fill="auto"/>
            <w:vAlign w:val="center"/>
          </w:tcPr>
          <w:p w14:paraId="43C93A1F">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每处空间布设</w:t>
            </w:r>
            <w:r>
              <w:rPr>
                <w:rFonts w:hint="eastAsia" w:ascii="宋体" w:hAnsi="宋体" w:cs="宋体"/>
                <w:i w:val="0"/>
                <w:iCs w:val="0"/>
                <w:color w:val="000000"/>
                <w:kern w:val="0"/>
                <w:sz w:val="18"/>
                <w:szCs w:val="18"/>
                <w:u w:val="none"/>
                <w:lang w:val="en-US" w:eastAsia="zh-CN" w:bidi="ar"/>
              </w:rPr>
              <w:t>不低于</w:t>
            </w:r>
            <w:r>
              <w:rPr>
                <w:rFonts w:hint="eastAsia" w:ascii="宋体" w:hAnsi="宋体" w:eastAsia="宋体" w:cs="宋体"/>
                <w:i w:val="0"/>
                <w:iCs w:val="0"/>
                <w:color w:val="000000"/>
                <w:kern w:val="0"/>
                <w:sz w:val="18"/>
                <w:szCs w:val="18"/>
                <w:u w:val="none"/>
                <w:lang w:val="en-US" w:eastAsia="zh-CN" w:bidi="ar"/>
              </w:rPr>
              <w:t>1处</w:t>
            </w:r>
          </w:p>
        </w:tc>
      </w:tr>
      <w:tr w14:paraId="3B353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544" w:type="dxa"/>
            <w:gridSpan w:val="5"/>
            <w:shd w:val="clear" w:color="auto" w:fill="auto"/>
            <w:noWrap/>
            <w:vAlign w:val="center"/>
          </w:tcPr>
          <w:p w14:paraId="445CD49D">
            <w:pPr>
              <w:pStyle w:val="146"/>
              <w:keepNext w:val="0"/>
              <w:keepLines w:val="0"/>
              <w:pageBreakBefore w:val="0"/>
              <w:widowControl/>
              <w:kinsoku/>
              <w:wordWrap/>
              <w:overflowPunct/>
              <w:topLinePunct w:val="0"/>
              <w:autoSpaceDE/>
              <w:autoSpaceDN/>
              <w:bidi w:val="0"/>
              <w:snapToGrid w:val="0"/>
              <w:spacing w:line="240" w:lineRule="auto"/>
              <w:jc w:val="both"/>
              <w:rPr>
                <w:rFonts w:cs="宋体"/>
                <w:bCs/>
                <w:sz w:val="18"/>
                <w:szCs w:val="18"/>
              </w:rPr>
            </w:pPr>
            <w:r>
              <w:rPr>
                <w:rFonts w:hint="eastAsia" w:cs="宋体"/>
                <w:bCs/>
                <w:sz w:val="18"/>
                <w:szCs w:val="18"/>
              </w:rPr>
              <w:t>注：</w:t>
            </w:r>
            <w:r>
              <w:rPr>
                <w:rFonts w:cs="宋体"/>
                <w:bCs/>
                <w:sz w:val="18"/>
                <w:szCs w:val="18"/>
              </w:rPr>
              <w:t>1.</w:t>
            </w:r>
            <w:r>
              <w:rPr>
                <w:rFonts w:hint="eastAsia" w:cs="宋体"/>
                <w:bCs/>
                <w:sz w:val="18"/>
                <w:szCs w:val="18"/>
              </w:rPr>
              <w:t>“●”表示必选监测项、“◎”表示宜选监测项、“○”表示可选监测项；</w:t>
            </w:r>
          </w:p>
          <w:p w14:paraId="0FFCF384">
            <w:pPr>
              <w:keepNext w:val="0"/>
              <w:keepLines w:val="0"/>
              <w:pageBreakBefore w:val="0"/>
              <w:widowControl/>
              <w:numPr>
                <w:ilvl w:val="0"/>
                <w:numId w:val="0"/>
              </w:numPr>
              <w:kinsoku/>
              <w:wordWrap/>
              <w:overflowPunct/>
              <w:topLinePunct w:val="0"/>
              <w:autoSpaceDE/>
              <w:autoSpaceDN/>
              <w:bidi w:val="0"/>
              <w:adjustRightInd/>
              <w:snapToGrid w:val="0"/>
              <w:spacing w:line="240" w:lineRule="auto"/>
              <w:ind w:firstLine="360" w:firstLineChars="200"/>
              <w:jc w:val="both"/>
              <w:rPr>
                <w:rFonts w:hint="eastAsia" w:cs="宋体"/>
                <w:bCs/>
                <w:sz w:val="18"/>
                <w:szCs w:val="18"/>
                <w:lang w:eastAsia="zh-CN"/>
              </w:rPr>
            </w:pPr>
            <w:r>
              <w:rPr>
                <w:rFonts w:hint="eastAsia" w:cs="宋体"/>
                <w:bCs/>
                <w:sz w:val="18"/>
                <w:szCs w:val="18"/>
                <w:lang w:val="en-US" w:eastAsia="zh-CN"/>
              </w:rPr>
              <w:t>2.</w:t>
            </w:r>
            <w:r>
              <w:rPr>
                <w:rFonts w:hint="eastAsia" w:cs="宋体"/>
                <w:bCs/>
                <w:sz w:val="18"/>
                <w:szCs w:val="18"/>
              </w:rPr>
              <w:t>“―”表示</w:t>
            </w:r>
            <w:r>
              <w:rPr>
                <w:rFonts w:hint="eastAsia" w:cs="宋体"/>
                <w:bCs/>
                <w:sz w:val="18"/>
                <w:szCs w:val="18"/>
                <w:lang w:val="en-US" w:eastAsia="zh-CN"/>
              </w:rPr>
              <w:t>监</w:t>
            </w:r>
            <w:r>
              <w:rPr>
                <w:rFonts w:hint="eastAsia" w:cs="宋体"/>
                <w:bCs/>
                <w:sz w:val="18"/>
                <w:szCs w:val="18"/>
              </w:rPr>
              <w:t>测点布设可根据现场情况选择适当位置</w:t>
            </w:r>
            <w:r>
              <w:rPr>
                <w:rFonts w:hint="eastAsia" w:cs="宋体"/>
                <w:bCs/>
                <w:sz w:val="18"/>
                <w:szCs w:val="18"/>
                <w:lang w:eastAsia="zh-CN"/>
              </w:rPr>
              <w:t>。</w:t>
            </w:r>
          </w:p>
          <w:p w14:paraId="77887200">
            <w:pPr>
              <w:keepNext w:val="0"/>
              <w:keepLines w:val="0"/>
              <w:pageBreakBefore w:val="0"/>
              <w:widowControl/>
              <w:numPr>
                <w:ilvl w:val="0"/>
                <w:numId w:val="0"/>
              </w:numPr>
              <w:kinsoku/>
              <w:wordWrap/>
              <w:overflowPunct/>
              <w:topLinePunct w:val="0"/>
              <w:autoSpaceDE/>
              <w:autoSpaceDN/>
              <w:bidi w:val="0"/>
              <w:adjustRightInd/>
              <w:snapToGrid w:val="0"/>
              <w:spacing w:line="240" w:lineRule="auto"/>
              <w:ind w:firstLine="360" w:firstLineChars="200"/>
              <w:jc w:val="both"/>
              <w:rPr>
                <w:rFonts w:hint="eastAsia" w:cs="宋体"/>
                <w:bCs/>
                <w:sz w:val="18"/>
                <w:szCs w:val="18"/>
                <w:lang w:eastAsia="zh-CN"/>
              </w:rPr>
            </w:pPr>
            <w:r>
              <w:rPr>
                <w:rFonts w:hint="eastAsia" w:cs="宋体"/>
                <w:bCs/>
                <w:sz w:val="18"/>
                <w:szCs w:val="18"/>
                <w:lang w:val="en-US" w:eastAsia="zh-CN"/>
              </w:rPr>
              <w:t>3.仅对较大风险及以上等级燃气管道、重大安全隐患燃气管道、重点区域燃气管道相邻空间进行监测。</w:t>
            </w:r>
          </w:p>
        </w:tc>
      </w:tr>
    </w:tbl>
    <w:p w14:paraId="6169E5B5">
      <w:pPr>
        <w:rPr>
          <w:rFonts w:hint="eastAsia"/>
          <w:lang w:val="en-US" w:eastAsia="zh-CN"/>
        </w:rPr>
      </w:pPr>
    </w:p>
    <w:p w14:paraId="010E3D26">
      <w:pPr>
        <w:rPr>
          <w:rFonts w:hint="eastAsia"/>
          <w:lang w:eastAsia="zh-CN"/>
        </w:rPr>
      </w:pPr>
      <w:r>
        <w:rPr>
          <w:rFonts w:hint="eastAsia"/>
          <w:lang w:eastAsia="zh-CN"/>
        </w:rPr>
        <w:br w:type="page"/>
      </w:r>
    </w:p>
    <w:p w14:paraId="3FA7F510">
      <w:pPr>
        <w:pStyle w:val="2"/>
        <w:keepNext w:val="0"/>
        <w:tabs>
          <w:tab w:val="left" w:pos="454"/>
        </w:tabs>
        <w:spacing w:before="312" w:beforeLines="100" w:after="312" w:afterLines="100"/>
        <w:rPr>
          <w:rFonts w:hint="eastAsia" w:ascii="宋体" w:hAnsi="宋体"/>
          <w:szCs w:val="21"/>
          <w:lang w:val="en-US" w:eastAsia="zh-CN"/>
        </w:rPr>
      </w:pPr>
      <w:bookmarkStart w:id="168" w:name="_Toc2320"/>
      <w:r>
        <w:rPr>
          <w:rFonts w:hint="eastAsia" w:ascii="宋体" w:hAnsi="宋体"/>
          <w:szCs w:val="21"/>
          <w:lang w:val="en-US" w:eastAsia="zh-CN"/>
        </w:rPr>
        <w:t>B.2供水监测布点要求</w:t>
      </w:r>
      <w:bookmarkEnd w:id="168"/>
    </w:p>
    <w:p w14:paraId="5BAF75E5">
      <w:pPr>
        <w:rPr>
          <w:rFonts w:hint="eastAsia" w:ascii="黑体" w:hAnsi="黑体" w:eastAsia="黑体"/>
          <w:bCs/>
          <w:color w:val="auto"/>
          <w:lang w:val="en-US" w:eastAsia="zh-CN"/>
        </w:rPr>
      </w:pPr>
      <w:r>
        <w:rPr>
          <w:rFonts w:hint="eastAsia"/>
          <w:b w:val="0"/>
          <w:bCs w:val="0"/>
          <w:lang w:val="en-US" w:eastAsia="zh-CN"/>
        </w:rPr>
        <w:t>水源地监测布点要求见表B.2.1。</w:t>
      </w:r>
    </w:p>
    <w:p w14:paraId="74C08E64">
      <w:pPr>
        <w:pStyle w:val="98"/>
        <w:spacing w:before="24" w:after="24"/>
        <w:jc w:val="center"/>
        <w:rPr>
          <w:rFonts w:hint="eastAsia" w:ascii="黑体" w:hAnsi="黑体" w:eastAsia="黑体"/>
          <w:bCs/>
          <w:color w:val="auto"/>
        </w:rPr>
      </w:pPr>
      <w:r>
        <w:rPr>
          <w:rFonts w:hint="eastAsia" w:ascii="黑体" w:hAnsi="黑体" w:eastAsia="黑体"/>
          <w:bCs/>
          <w:color w:val="auto"/>
          <w:lang w:val="en-US" w:eastAsia="zh-CN"/>
        </w:rPr>
        <w:t>B.2.1</w:t>
      </w:r>
      <w:r>
        <w:rPr>
          <w:rFonts w:hint="eastAsia" w:ascii="黑体" w:hAnsi="黑体" w:eastAsia="黑体"/>
          <w:bCs/>
          <w:color w:val="auto"/>
        </w:rPr>
        <w:t xml:space="preserve"> 水源地监测布点要求</w:t>
      </w:r>
    </w:p>
    <w:tbl>
      <w:tblPr>
        <w:tblStyle w:val="35"/>
        <w:tblW w:w="84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1793"/>
        <w:gridCol w:w="1762"/>
        <w:gridCol w:w="5"/>
        <w:gridCol w:w="965"/>
        <w:gridCol w:w="3230"/>
      </w:tblGrid>
      <w:tr w14:paraId="21824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6" w:type="dxa"/>
            <w:vAlign w:val="center"/>
          </w:tcPr>
          <w:p w14:paraId="35556F5F">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序号</w:t>
            </w:r>
          </w:p>
        </w:tc>
        <w:tc>
          <w:tcPr>
            <w:tcW w:w="1793" w:type="dxa"/>
            <w:vAlign w:val="center"/>
          </w:tcPr>
          <w:p w14:paraId="7855B91D">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监测对象</w:t>
            </w:r>
          </w:p>
        </w:tc>
        <w:tc>
          <w:tcPr>
            <w:tcW w:w="1762" w:type="dxa"/>
            <w:vAlign w:val="center"/>
          </w:tcPr>
          <w:p w14:paraId="2EB73DAF">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监测指标</w:t>
            </w:r>
          </w:p>
        </w:tc>
        <w:tc>
          <w:tcPr>
            <w:tcW w:w="970" w:type="dxa"/>
            <w:gridSpan w:val="2"/>
            <w:vAlign w:val="center"/>
          </w:tcPr>
          <w:p w14:paraId="51E5A85D">
            <w:pPr>
              <w:widowControl/>
              <w:adjustRightInd w:val="0"/>
              <w:snapToGrid w:val="0"/>
              <w:spacing w:before="24" w:after="24" w:line="240" w:lineRule="auto"/>
              <w:jc w:val="center"/>
              <w:textAlignment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highlight w:val="none"/>
                <w:lang w:val="en-US" w:eastAsia="zh-CN"/>
              </w:rPr>
              <w:t>监测要求</w:t>
            </w:r>
          </w:p>
        </w:tc>
        <w:tc>
          <w:tcPr>
            <w:tcW w:w="3230" w:type="dxa"/>
            <w:vAlign w:val="center"/>
          </w:tcPr>
          <w:p w14:paraId="6FD16F04">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监测布</w:t>
            </w:r>
            <w:r>
              <w:rPr>
                <w:rFonts w:hint="eastAsia" w:ascii="宋体" w:hAnsi="宋体" w:cs="宋体"/>
                <w:color w:val="000000"/>
                <w:kern w:val="0"/>
                <w:sz w:val="18"/>
                <w:szCs w:val="18"/>
                <w:lang w:val="en-US" w:eastAsia="zh-CN"/>
              </w:rPr>
              <w:t>点</w:t>
            </w:r>
            <w:r>
              <w:rPr>
                <w:rFonts w:hint="eastAsia" w:ascii="宋体" w:hAnsi="宋体" w:cs="宋体"/>
                <w:color w:val="000000"/>
                <w:kern w:val="0"/>
                <w:sz w:val="18"/>
                <w:szCs w:val="18"/>
              </w:rPr>
              <w:t>要求</w:t>
            </w:r>
          </w:p>
        </w:tc>
      </w:tr>
      <w:tr w14:paraId="1BAFD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736" w:type="dxa"/>
            <w:vMerge w:val="restart"/>
            <w:vAlign w:val="center"/>
          </w:tcPr>
          <w:p w14:paraId="75C230E3">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1793" w:type="dxa"/>
            <w:vMerge w:val="restart"/>
            <w:vAlign w:val="center"/>
          </w:tcPr>
          <w:p w14:paraId="49479CE6">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取水口（湖库水源地、江河水源地、地下水水源地）</w:t>
            </w:r>
          </w:p>
        </w:tc>
        <w:tc>
          <w:tcPr>
            <w:tcW w:w="1767" w:type="dxa"/>
            <w:gridSpan w:val="2"/>
            <w:shd w:val="clear" w:color="auto" w:fill="auto"/>
            <w:vAlign w:val="center"/>
          </w:tcPr>
          <w:p w14:paraId="7BAA9AA1">
            <w:pPr>
              <w:keepNext w:val="0"/>
              <w:keepLines w:val="0"/>
              <w:widowControl/>
              <w:suppressLineNumbers w:val="0"/>
              <w:adjustRightInd w:val="0"/>
              <w:snapToGrid w:val="0"/>
              <w:spacing w:before="24" w:after="24" w:line="240" w:lineRule="auto"/>
              <w:jc w:val="both"/>
              <w:textAlignment w:val="center"/>
              <w:rPr>
                <w:rFonts w:hint="eastAsia" w:ascii="宋体" w:hAnsi="宋体" w:eastAsia="宋体" w:cs="宋体"/>
                <w:color w:val="000000"/>
                <w:kern w:val="0"/>
                <w:sz w:val="18"/>
                <w:szCs w:val="18"/>
                <w:lang w:val="en-US" w:eastAsia="zh-CN" w:bidi="ar-SA"/>
              </w:rPr>
            </w:pPr>
            <w:r>
              <w:rPr>
                <w:rFonts w:hint="eastAsia" w:ascii="宋体" w:hAnsi="宋体"/>
                <w:bCs/>
                <w:color w:val="auto"/>
                <w:sz w:val="18"/>
                <w:szCs w:val="18"/>
              </w:rPr>
              <w:t>水质（</w:t>
            </w:r>
            <w:r>
              <w:rPr>
                <w:rFonts w:hint="eastAsia" w:ascii="宋体" w:hAnsi="宋体"/>
                <w:bCs/>
                <w:color w:val="auto"/>
                <w:sz w:val="18"/>
                <w:szCs w:val="18"/>
                <w:lang w:val="en-US" w:eastAsia="zh-CN"/>
              </w:rPr>
              <w:t>水温、溶解氧、pH、浑浊度、电导率、高锰酸盐指数、氨氮</w:t>
            </w:r>
            <w:r>
              <w:rPr>
                <w:rFonts w:hint="eastAsia" w:ascii="宋体" w:hAnsi="宋体"/>
                <w:bCs/>
                <w:color w:val="auto"/>
                <w:sz w:val="18"/>
                <w:szCs w:val="18"/>
              </w:rPr>
              <w:t>）</w:t>
            </w:r>
          </w:p>
        </w:tc>
        <w:tc>
          <w:tcPr>
            <w:tcW w:w="965" w:type="dxa"/>
            <w:shd w:val="clear" w:color="auto" w:fill="auto"/>
            <w:vAlign w:val="center"/>
          </w:tcPr>
          <w:p w14:paraId="22113B97">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cs="宋体"/>
                <w:bCs/>
                <w:sz w:val="18"/>
                <w:szCs w:val="18"/>
              </w:rPr>
              <w:t>●</w:t>
            </w:r>
          </w:p>
        </w:tc>
        <w:tc>
          <w:tcPr>
            <w:tcW w:w="3230" w:type="dxa"/>
            <w:vMerge w:val="restart"/>
            <w:vAlign w:val="center"/>
          </w:tcPr>
          <w:p w14:paraId="750019AF">
            <w:pPr>
              <w:keepNext w:val="0"/>
              <w:keepLines w:val="0"/>
              <w:widowControl/>
              <w:suppressLineNumbers w:val="0"/>
              <w:adjustRightInd w:val="0"/>
              <w:snapToGrid w:val="0"/>
              <w:spacing w:before="24" w:after="24" w:line="240" w:lineRule="auto"/>
              <w:jc w:val="both"/>
              <w:textAlignment w:val="center"/>
              <w:rPr>
                <w:rFonts w:ascii="宋体" w:hAnsi="宋体" w:cs="宋体"/>
                <w:color w:val="000000"/>
                <w:kern w:val="0"/>
                <w:sz w:val="18"/>
                <w:szCs w:val="18"/>
              </w:rPr>
            </w:pPr>
            <w:r>
              <w:rPr>
                <w:rFonts w:hint="eastAsia" w:ascii="宋体" w:hAnsi="宋体" w:cs="宋体"/>
                <w:color w:val="000000"/>
                <w:kern w:val="0"/>
                <w:sz w:val="18"/>
                <w:szCs w:val="18"/>
              </w:rPr>
              <w:t>湖库水源地、江河水源地结合现场情况按</w:t>
            </w:r>
            <w:r>
              <w:rPr>
                <w:rFonts w:hint="eastAsia" w:ascii="宋体" w:hAnsi="宋体" w:cs="宋体"/>
                <w:color w:val="000000"/>
                <w:kern w:val="0"/>
                <w:sz w:val="18"/>
                <w:szCs w:val="18"/>
                <w:lang w:eastAsia="zh-CN"/>
              </w:rPr>
              <w:t>标准要求</w:t>
            </w:r>
            <w:r>
              <w:rPr>
                <w:rFonts w:hint="eastAsia" w:ascii="宋体" w:hAnsi="宋体" w:cs="宋体"/>
                <w:color w:val="000000"/>
                <w:kern w:val="0"/>
                <w:sz w:val="18"/>
                <w:szCs w:val="18"/>
              </w:rPr>
              <w:t>应布设</w:t>
            </w:r>
            <w:r>
              <w:rPr>
                <w:rFonts w:hint="eastAsia" w:ascii="宋体" w:hAnsi="宋体" w:cs="宋体"/>
                <w:color w:val="000000"/>
                <w:kern w:val="0"/>
                <w:sz w:val="18"/>
                <w:szCs w:val="18"/>
                <w:lang w:eastAsia="zh-CN"/>
              </w:rPr>
              <w:t>不低于</w:t>
            </w:r>
            <w:r>
              <w:rPr>
                <w:rFonts w:hint="eastAsia" w:ascii="宋体" w:hAnsi="宋体" w:cs="宋体"/>
                <w:color w:val="000000"/>
                <w:kern w:val="0"/>
                <w:sz w:val="18"/>
                <w:szCs w:val="18"/>
              </w:rPr>
              <w:t>1处</w:t>
            </w:r>
            <w:r>
              <w:rPr>
                <w:rFonts w:hint="eastAsia" w:ascii="宋体" w:hAnsi="宋体" w:cs="宋体"/>
                <w:color w:val="000000"/>
                <w:kern w:val="0"/>
                <w:sz w:val="18"/>
                <w:szCs w:val="18"/>
                <w:lang w:eastAsia="zh-CN"/>
              </w:rPr>
              <w:t>视频监控</w:t>
            </w:r>
            <w:r>
              <w:rPr>
                <w:rFonts w:hint="eastAsia" w:ascii="宋体" w:hAnsi="宋体" w:cs="宋体"/>
                <w:color w:val="000000"/>
                <w:kern w:val="0"/>
                <w:sz w:val="18"/>
                <w:szCs w:val="18"/>
              </w:rPr>
              <w:t>设备、1处水质监测点（</w:t>
            </w:r>
            <w:r>
              <w:rPr>
                <w:rFonts w:hint="eastAsia" w:ascii="宋体" w:hAnsi="宋体" w:cs="宋体"/>
                <w:color w:val="000000"/>
                <w:kern w:val="0"/>
                <w:sz w:val="18"/>
                <w:szCs w:val="18"/>
                <w:lang w:val="en-US" w:eastAsia="zh-CN"/>
              </w:rPr>
              <w:t>水温、溶解氧、pH、浑浊度、电导率、高锰酸盐指数、氨氮</w:t>
            </w:r>
            <w:r>
              <w:rPr>
                <w:rFonts w:hint="eastAsia" w:ascii="宋体" w:hAnsi="宋体" w:cs="宋体"/>
                <w:color w:val="000000"/>
                <w:kern w:val="0"/>
                <w:sz w:val="18"/>
                <w:szCs w:val="18"/>
              </w:rPr>
              <w:t>）；地下水水源地应布设</w:t>
            </w:r>
            <w:r>
              <w:rPr>
                <w:rFonts w:hint="eastAsia" w:ascii="宋体" w:hAnsi="宋体" w:cs="宋体"/>
                <w:color w:val="000000"/>
                <w:kern w:val="0"/>
                <w:sz w:val="18"/>
                <w:szCs w:val="18"/>
                <w:lang w:eastAsia="zh-CN"/>
              </w:rPr>
              <w:t>不低于</w:t>
            </w:r>
            <w:r>
              <w:rPr>
                <w:rFonts w:hint="eastAsia" w:ascii="宋体" w:hAnsi="宋体" w:cs="宋体"/>
                <w:color w:val="000000"/>
                <w:kern w:val="0"/>
                <w:sz w:val="18"/>
                <w:szCs w:val="18"/>
              </w:rPr>
              <w:t>1处</w:t>
            </w:r>
            <w:r>
              <w:rPr>
                <w:rFonts w:hint="eastAsia" w:ascii="宋体" w:hAnsi="宋体" w:cs="宋体"/>
                <w:color w:val="000000"/>
                <w:kern w:val="0"/>
                <w:sz w:val="18"/>
                <w:szCs w:val="18"/>
                <w:lang w:eastAsia="zh-CN"/>
              </w:rPr>
              <w:t>视频监控</w:t>
            </w:r>
            <w:r>
              <w:rPr>
                <w:rFonts w:hint="eastAsia" w:ascii="宋体" w:hAnsi="宋体" w:cs="宋体"/>
                <w:color w:val="000000"/>
                <w:kern w:val="0"/>
                <w:sz w:val="18"/>
                <w:szCs w:val="18"/>
              </w:rPr>
              <w:t>点；水源地</w:t>
            </w:r>
            <w:r>
              <w:rPr>
                <w:rFonts w:hint="eastAsia" w:ascii="宋体" w:hAnsi="宋体" w:cs="宋体"/>
                <w:color w:val="000000"/>
                <w:kern w:val="0"/>
                <w:sz w:val="18"/>
                <w:szCs w:val="18"/>
                <w:lang w:val="en-US" w:eastAsia="zh-CN"/>
              </w:rPr>
              <w:t>宜</w:t>
            </w:r>
            <w:r>
              <w:rPr>
                <w:rFonts w:hint="eastAsia" w:ascii="宋体" w:hAnsi="宋体" w:cs="宋体"/>
                <w:color w:val="000000"/>
                <w:kern w:val="0"/>
                <w:sz w:val="18"/>
                <w:szCs w:val="18"/>
              </w:rPr>
              <w:t>布置</w:t>
            </w:r>
            <w:r>
              <w:rPr>
                <w:rFonts w:hint="eastAsia" w:ascii="宋体" w:hAnsi="宋体" w:cs="宋体"/>
                <w:color w:val="000000"/>
                <w:kern w:val="0"/>
                <w:sz w:val="18"/>
                <w:szCs w:val="18"/>
                <w:lang w:eastAsia="zh-CN"/>
              </w:rPr>
              <w:t>不低于</w:t>
            </w:r>
            <w:r>
              <w:rPr>
                <w:rFonts w:hint="eastAsia" w:ascii="宋体" w:hAnsi="宋体" w:cs="宋体"/>
                <w:color w:val="000000"/>
                <w:kern w:val="0"/>
                <w:sz w:val="18"/>
                <w:szCs w:val="18"/>
              </w:rPr>
              <w:t>1处液位监测点；水源存在重金属污染风险时，应增加重金属指标。</w:t>
            </w:r>
          </w:p>
        </w:tc>
      </w:tr>
      <w:tr w14:paraId="25431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36" w:type="dxa"/>
            <w:vMerge w:val="continue"/>
            <w:vAlign w:val="center"/>
          </w:tcPr>
          <w:p w14:paraId="39E7ECA8">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793" w:type="dxa"/>
            <w:vMerge w:val="continue"/>
            <w:vAlign w:val="center"/>
          </w:tcPr>
          <w:p w14:paraId="4DC0E1E7">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767" w:type="dxa"/>
            <w:gridSpan w:val="2"/>
            <w:shd w:val="clear" w:color="auto" w:fill="auto"/>
            <w:vAlign w:val="center"/>
          </w:tcPr>
          <w:p w14:paraId="4D0D145B">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eastAsia="zh-CN"/>
              </w:rPr>
              <w:t>视频监控</w:t>
            </w:r>
          </w:p>
        </w:tc>
        <w:tc>
          <w:tcPr>
            <w:tcW w:w="965" w:type="dxa"/>
            <w:shd w:val="clear" w:color="auto" w:fill="auto"/>
            <w:vAlign w:val="center"/>
          </w:tcPr>
          <w:p w14:paraId="1CE967B8">
            <w:pPr>
              <w:widowControl/>
              <w:adjustRightInd w:val="0"/>
              <w:snapToGrid w:val="0"/>
              <w:spacing w:before="24" w:after="24" w:line="240" w:lineRule="auto"/>
              <w:jc w:val="center"/>
              <w:textAlignment w:val="center"/>
              <w:rPr>
                <w:rFonts w:hint="eastAsia" w:ascii="Times New Roman" w:hAnsi="Times New Roman" w:eastAsia="宋体" w:cs="Times New Roman"/>
                <w:kern w:val="2"/>
                <w:sz w:val="18"/>
                <w:szCs w:val="18"/>
                <w:lang w:val="en-US" w:eastAsia="zh-CN" w:bidi="ar-SA"/>
              </w:rPr>
            </w:pPr>
            <w:r>
              <w:rPr>
                <w:rFonts w:hint="eastAsia" w:cs="宋体"/>
                <w:bCs/>
                <w:sz w:val="18"/>
                <w:szCs w:val="18"/>
              </w:rPr>
              <w:t>◎</w:t>
            </w:r>
          </w:p>
        </w:tc>
        <w:tc>
          <w:tcPr>
            <w:tcW w:w="3230" w:type="dxa"/>
            <w:vMerge w:val="continue"/>
            <w:vAlign w:val="center"/>
          </w:tcPr>
          <w:p w14:paraId="1FC91FB1">
            <w:pPr>
              <w:widowControl/>
              <w:adjustRightInd w:val="0"/>
              <w:snapToGrid w:val="0"/>
              <w:spacing w:before="24" w:after="24" w:line="240" w:lineRule="auto"/>
              <w:jc w:val="left"/>
              <w:textAlignment w:val="center"/>
              <w:rPr>
                <w:rFonts w:hint="eastAsia" w:ascii="宋体" w:hAnsi="宋体" w:cs="宋体"/>
                <w:color w:val="000000"/>
                <w:kern w:val="0"/>
                <w:sz w:val="18"/>
                <w:szCs w:val="18"/>
              </w:rPr>
            </w:pPr>
          </w:p>
        </w:tc>
      </w:tr>
      <w:tr w14:paraId="01B9B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736" w:type="dxa"/>
            <w:vMerge w:val="continue"/>
            <w:vAlign w:val="center"/>
          </w:tcPr>
          <w:p w14:paraId="5ADB0E0E">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793" w:type="dxa"/>
            <w:vMerge w:val="continue"/>
            <w:vAlign w:val="center"/>
          </w:tcPr>
          <w:p w14:paraId="5C261B1F">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767" w:type="dxa"/>
            <w:gridSpan w:val="2"/>
            <w:shd w:val="clear" w:color="auto" w:fill="auto"/>
            <w:vAlign w:val="center"/>
          </w:tcPr>
          <w:p w14:paraId="3139C839">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rPr>
              <w:t>水位（</w:t>
            </w:r>
            <w:r>
              <w:rPr>
                <w:rFonts w:hint="eastAsia" w:ascii="宋体" w:hAnsi="宋体" w:cs="宋体"/>
                <w:color w:val="000000"/>
                <w:kern w:val="0"/>
                <w:sz w:val="18"/>
                <w:szCs w:val="18"/>
              </w:rPr>
              <w:t>液位</w:t>
            </w:r>
            <w:r>
              <w:rPr>
                <w:rFonts w:hint="eastAsia" w:ascii="宋体" w:hAnsi="宋体" w:cs="宋体"/>
                <w:color w:val="000000"/>
                <w:kern w:val="0"/>
                <w:sz w:val="18"/>
                <w:szCs w:val="18"/>
                <w:lang w:eastAsia="zh-CN"/>
              </w:rPr>
              <w:t>）</w:t>
            </w:r>
          </w:p>
        </w:tc>
        <w:tc>
          <w:tcPr>
            <w:tcW w:w="965" w:type="dxa"/>
            <w:shd w:val="clear" w:color="auto" w:fill="auto"/>
            <w:vAlign w:val="center"/>
          </w:tcPr>
          <w:p w14:paraId="61FC6C61">
            <w:pPr>
              <w:widowControl/>
              <w:adjustRightInd w:val="0"/>
              <w:snapToGrid w:val="0"/>
              <w:spacing w:before="24" w:after="24" w:line="240" w:lineRule="auto"/>
              <w:jc w:val="center"/>
              <w:textAlignment w:val="center"/>
              <w:rPr>
                <w:rFonts w:hint="eastAsia" w:ascii="Times New Roman" w:hAnsi="Times New Roman" w:eastAsia="宋体" w:cs="Times New Roman"/>
                <w:kern w:val="2"/>
                <w:sz w:val="18"/>
                <w:szCs w:val="18"/>
                <w:lang w:val="en-US" w:eastAsia="zh-CN" w:bidi="ar-SA"/>
              </w:rPr>
            </w:pPr>
            <w:r>
              <w:rPr>
                <w:rFonts w:hint="eastAsia" w:cs="宋体"/>
                <w:bCs/>
                <w:sz w:val="18"/>
                <w:szCs w:val="18"/>
              </w:rPr>
              <w:t>◎</w:t>
            </w:r>
          </w:p>
        </w:tc>
        <w:tc>
          <w:tcPr>
            <w:tcW w:w="3230" w:type="dxa"/>
            <w:vMerge w:val="continue"/>
            <w:vAlign w:val="center"/>
          </w:tcPr>
          <w:p w14:paraId="2DA9CDA2">
            <w:pPr>
              <w:widowControl/>
              <w:adjustRightInd w:val="0"/>
              <w:snapToGrid w:val="0"/>
              <w:spacing w:before="24" w:after="24" w:line="240" w:lineRule="auto"/>
              <w:jc w:val="left"/>
              <w:textAlignment w:val="center"/>
              <w:rPr>
                <w:rFonts w:hint="eastAsia" w:ascii="宋体" w:hAnsi="宋体" w:cs="宋体"/>
                <w:color w:val="000000"/>
                <w:kern w:val="0"/>
                <w:sz w:val="18"/>
                <w:szCs w:val="18"/>
              </w:rPr>
            </w:pPr>
          </w:p>
        </w:tc>
      </w:tr>
      <w:tr w14:paraId="3140F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36" w:type="dxa"/>
            <w:vMerge w:val="continue"/>
            <w:vAlign w:val="center"/>
          </w:tcPr>
          <w:p w14:paraId="41CC599B">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793" w:type="dxa"/>
            <w:vMerge w:val="continue"/>
            <w:vAlign w:val="center"/>
          </w:tcPr>
          <w:p w14:paraId="588AACEB">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767" w:type="dxa"/>
            <w:gridSpan w:val="2"/>
            <w:shd w:val="clear" w:color="auto" w:fill="auto"/>
            <w:vAlign w:val="center"/>
          </w:tcPr>
          <w:p w14:paraId="35AE7E0B">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ascii="宋体" w:hAnsi="宋体" w:cs="宋体"/>
                <w:color w:val="000000"/>
                <w:kern w:val="0"/>
                <w:sz w:val="18"/>
                <w:szCs w:val="18"/>
              </w:rPr>
              <w:t>重金属指标</w:t>
            </w:r>
          </w:p>
        </w:tc>
        <w:tc>
          <w:tcPr>
            <w:tcW w:w="965" w:type="dxa"/>
            <w:vAlign w:val="center"/>
          </w:tcPr>
          <w:p w14:paraId="1B6972D3">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cs="宋体"/>
                <w:bCs/>
                <w:sz w:val="18"/>
                <w:szCs w:val="18"/>
              </w:rPr>
              <w:t>●</w:t>
            </w:r>
          </w:p>
        </w:tc>
        <w:tc>
          <w:tcPr>
            <w:tcW w:w="3230" w:type="dxa"/>
            <w:vMerge w:val="continue"/>
            <w:vAlign w:val="center"/>
          </w:tcPr>
          <w:p w14:paraId="27C914F2">
            <w:pPr>
              <w:widowControl/>
              <w:adjustRightInd w:val="0"/>
              <w:snapToGrid w:val="0"/>
              <w:spacing w:before="24" w:after="24" w:line="240" w:lineRule="auto"/>
              <w:jc w:val="left"/>
              <w:textAlignment w:val="center"/>
              <w:rPr>
                <w:rFonts w:hint="eastAsia" w:ascii="宋体" w:hAnsi="宋体" w:cs="宋体"/>
                <w:color w:val="000000"/>
                <w:kern w:val="0"/>
                <w:sz w:val="18"/>
                <w:szCs w:val="18"/>
              </w:rPr>
            </w:pPr>
          </w:p>
        </w:tc>
      </w:tr>
      <w:tr w14:paraId="3306C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36" w:type="dxa"/>
            <w:vMerge w:val="restart"/>
            <w:vAlign w:val="center"/>
          </w:tcPr>
          <w:p w14:paraId="5DD3298F">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1793" w:type="dxa"/>
            <w:vMerge w:val="restart"/>
            <w:vAlign w:val="center"/>
          </w:tcPr>
          <w:p w14:paraId="7BEB6E2E">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取水泵房</w:t>
            </w:r>
          </w:p>
        </w:tc>
        <w:tc>
          <w:tcPr>
            <w:tcW w:w="1767" w:type="dxa"/>
            <w:gridSpan w:val="2"/>
            <w:vAlign w:val="center"/>
          </w:tcPr>
          <w:p w14:paraId="12BADC6B">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视频监控</w:t>
            </w:r>
          </w:p>
        </w:tc>
        <w:tc>
          <w:tcPr>
            <w:tcW w:w="965" w:type="dxa"/>
            <w:vAlign w:val="center"/>
          </w:tcPr>
          <w:p w14:paraId="44AB95BC">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cs="宋体"/>
                <w:bCs/>
                <w:sz w:val="18"/>
                <w:szCs w:val="18"/>
              </w:rPr>
              <w:t>●</w:t>
            </w:r>
          </w:p>
        </w:tc>
        <w:tc>
          <w:tcPr>
            <w:tcW w:w="3230" w:type="dxa"/>
            <w:vMerge w:val="restart"/>
            <w:vAlign w:val="center"/>
          </w:tcPr>
          <w:p w14:paraId="4F173DDE">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每座泵房结合现场情况按</w:t>
            </w:r>
            <w:r>
              <w:rPr>
                <w:rFonts w:hint="eastAsia" w:ascii="宋体" w:hAnsi="宋体" w:cs="宋体"/>
                <w:color w:val="000000"/>
                <w:kern w:val="0"/>
                <w:sz w:val="18"/>
                <w:szCs w:val="18"/>
                <w:lang w:eastAsia="zh-CN"/>
              </w:rPr>
              <w:t>标准要求</w:t>
            </w:r>
            <w:r>
              <w:rPr>
                <w:rFonts w:hint="eastAsia" w:ascii="宋体" w:hAnsi="宋体" w:cs="宋体"/>
                <w:color w:val="000000"/>
                <w:kern w:val="0"/>
                <w:sz w:val="18"/>
                <w:szCs w:val="18"/>
              </w:rPr>
              <w:t>应布设</w:t>
            </w:r>
            <w:r>
              <w:rPr>
                <w:rFonts w:hint="eastAsia" w:ascii="宋体" w:hAnsi="宋体" w:cs="宋体"/>
                <w:color w:val="000000"/>
                <w:kern w:val="0"/>
                <w:sz w:val="18"/>
                <w:szCs w:val="18"/>
                <w:lang w:eastAsia="zh-CN"/>
              </w:rPr>
              <w:t>不低于</w:t>
            </w:r>
            <w:r>
              <w:rPr>
                <w:rFonts w:hint="eastAsia" w:ascii="宋体" w:hAnsi="宋体" w:cs="宋体"/>
                <w:color w:val="000000"/>
                <w:kern w:val="0"/>
                <w:sz w:val="18"/>
                <w:szCs w:val="18"/>
              </w:rPr>
              <w:t>1处</w:t>
            </w:r>
            <w:r>
              <w:rPr>
                <w:rFonts w:hint="eastAsia" w:ascii="宋体" w:hAnsi="宋体" w:cs="宋体"/>
                <w:color w:val="000000"/>
                <w:kern w:val="0"/>
                <w:sz w:val="18"/>
                <w:szCs w:val="18"/>
                <w:lang w:eastAsia="zh-CN"/>
              </w:rPr>
              <w:t>视频监控</w:t>
            </w:r>
            <w:r>
              <w:rPr>
                <w:rFonts w:hint="eastAsia" w:ascii="宋体" w:hAnsi="宋体" w:cs="宋体"/>
                <w:color w:val="000000"/>
                <w:kern w:val="0"/>
                <w:sz w:val="18"/>
                <w:szCs w:val="18"/>
              </w:rPr>
              <w:t>点、1处液位监测设备及1处流量监测点。</w:t>
            </w:r>
          </w:p>
        </w:tc>
      </w:tr>
      <w:tr w14:paraId="6940D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736" w:type="dxa"/>
            <w:vMerge w:val="continue"/>
            <w:vAlign w:val="center"/>
          </w:tcPr>
          <w:p w14:paraId="49E5953B">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793" w:type="dxa"/>
            <w:vMerge w:val="continue"/>
            <w:vAlign w:val="center"/>
          </w:tcPr>
          <w:p w14:paraId="4041A44D">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767" w:type="dxa"/>
            <w:gridSpan w:val="2"/>
            <w:shd w:val="clear" w:color="auto" w:fill="auto"/>
            <w:vAlign w:val="center"/>
          </w:tcPr>
          <w:p w14:paraId="41A8BC2D">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ascii="宋体" w:hAnsi="宋体" w:cs="宋体"/>
                <w:color w:val="000000"/>
                <w:kern w:val="0"/>
                <w:sz w:val="18"/>
                <w:szCs w:val="18"/>
              </w:rPr>
              <w:t>液位</w:t>
            </w:r>
          </w:p>
        </w:tc>
        <w:tc>
          <w:tcPr>
            <w:tcW w:w="965" w:type="dxa"/>
            <w:shd w:val="clear" w:color="auto" w:fill="auto"/>
            <w:vAlign w:val="center"/>
          </w:tcPr>
          <w:p w14:paraId="1B18FEBD">
            <w:pPr>
              <w:widowControl/>
              <w:adjustRightInd w:val="0"/>
              <w:snapToGrid w:val="0"/>
              <w:spacing w:before="24" w:after="24" w:line="240" w:lineRule="auto"/>
              <w:jc w:val="center"/>
              <w:textAlignment w:val="center"/>
              <w:rPr>
                <w:rFonts w:hint="eastAsia" w:ascii="Times New Roman" w:hAnsi="Times New Roman" w:eastAsia="宋体" w:cs="Times New Roman"/>
                <w:kern w:val="2"/>
                <w:sz w:val="18"/>
                <w:szCs w:val="18"/>
                <w:lang w:val="en-US" w:eastAsia="zh-CN" w:bidi="ar-SA"/>
              </w:rPr>
            </w:pPr>
            <w:r>
              <w:rPr>
                <w:rFonts w:hint="eastAsia" w:cs="宋体"/>
                <w:bCs/>
                <w:sz w:val="18"/>
                <w:szCs w:val="18"/>
              </w:rPr>
              <w:t>●</w:t>
            </w:r>
          </w:p>
        </w:tc>
        <w:tc>
          <w:tcPr>
            <w:tcW w:w="3230" w:type="dxa"/>
            <w:vMerge w:val="continue"/>
            <w:vAlign w:val="center"/>
          </w:tcPr>
          <w:p w14:paraId="5FB44E4C">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r>
      <w:tr w14:paraId="753B6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736" w:type="dxa"/>
            <w:vMerge w:val="continue"/>
            <w:vAlign w:val="center"/>
          </w:tcPr>
          <w:p w14:paraId="3658DC42">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793" w:type="dxa"/>
            <w:vMerge w:val="continue"/>
            <w:vAlign w:val="center"/>
          </w:tcPr>
          <w:p w14:paraId="64893E7B">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767" w:type="dxa"/>
            <w:gridSpan w:val="2"/>
            <w:vAlign w:val="center"/>
          </w:tcPr>
          <w:p w14:paraId="11ADC3D4">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流量</w:t>
            </w:r>
          </w:p>
        </w:tc>
        <w:tc>
          <w:tcPr>
            <w:tcW w:w="965" w:type="dxa"/>
            <w:vAlign w:val="center"/>
          </w:tcPr>
          <w:p w14:paraId="3525A6EC">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cs="宋体"/>
                <w:bCs/>
                <w:sz w:val="18"/>
                <w:szCs w:val="18"/>
              </w:rPr>
              <w:t>●</w:t>
            </w:r>
          </w:p>
        </w:tc>
        <w:tc>
          <w:tcPr>
            <w:tcW w:w="3230" w:type="dxa"/>
            <w:vMerge w:val="continue"/>
            <w:vAlign w:val="center"/>
          </w:tcPr>
          <w:p w14:paraId="704E1F84">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r>
      <w:tr w14:paraId="17B36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36" w:type="dxa"/>
            <w:vAlign w:val="center"/>
          </w:tcPr>
          <w:p w14:paraId="6B74F81D">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1793" w:type="dxa"/>
            <w:vAlign w:val="center"/>
          </w:tcPr>
          <w:p w14:paraId="24873003">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危险物品存放处</w:t>
            </w:r>
          </w:p>
        </w:tc>
        <w:tc>
          <w:tcPr>
            <w:tcW w:w="1767" w:type="dxa"/>
            <w:gridSpan w:val="2"/>
            <w:vAlign w:val="center"/>
          </w:tcPr>
          <w:p w14:paraId="53250448">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视频监控</w:t>
            </w:r>
          </w:p>
        </w:tc>
        <w:tc>
          <w:tcPr>
            <w:tcW w:w="965" w:type="dxa"/>
            <w:vAlign w:val="center"/>
          </w:tcPr>
          <w:p w14:paraId="1A2CDFE5">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cs="宋体"/>
                <w:bCs/>
                <w:sz w:val="18"/>
                <w:szCs w:val="18"/>
              </w:rPr>
              <w:t>●</w:t>
            </w:r>
          </w:p>
        </w:tc>
        <w:tc>
          <w:tcPr>
            <w:tcW w:w="3230" w:type="dxa"/>
            <w:vAlign w:val="center"/>
          </w:tcPr>
          <w:p w14:paraId="7CAC034B">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每处结合现场情况按</w:t>
            </w:r>
            <w:r>
              <w:rPr>
                <w:rFonts w:hint="eastAsia" w:ascii="宋体" w:hAnsi="宋体" w:cs="宋体"/>
                <w:color w:val="000000"/>
                <w:kern w:val="0"/>
                <w:sz w:val="18"/>
                <w:szCs w:val="18"/>
                <w:lang w:eastAsia="zh-CN"/>
              </w:rPr>
              <w:t>标准要求</w:t>
            </w:r>
            <w:r>
              <w:rPr>
                <w:rFonts w:hint="eastAsia" w:ascii="宋体" w:hAnsi="宋体" w:cs="宋体"/>
                <w:color w:val="000000"/>
                <w:kern w:val="0"/>
                <w:sz w:val="18"/>
                <w:szCs w:val="18"/>
                <w:lang w:val="en-US" w:eastAsia="zh-CN"/>
              </w:rPr>
              <w:t>应</w:t>
            </w:r>
            <w:r>
              <w:rPr>
                <w:rFonts w:hint="eastAsia" w:ascii="宋体" w:hAnsi="宋体" w:cs="宋体"/>
                <w:color w:val="000000"/>
                <w:kern w:val="0"/>
                <w:sz w:val="18"/>
                <w:szCs w:val="18"/>
              </w:rPr>
              <w:t>布设</w:t>
            </w:r>
            <w:r>
              <w:rPr>
                <w:rFonts w:hint="eastAsia" w:ascii="宋体" w:hAnsi="宋体" w:cs="宋体"/>
                <w:color w:val="000000"/>
                <w:kern w:val="0"/>
                <w:sz w:val="18"/>
                <w:szCs w:val="18"/>
                <w:lang w:eastAsia="zh-CN"/>
              </w:rPr>
              <w:t>不低于</w:t>
            </w:r>
            <w:r>
              <w:rPr>
                <w:rFonts w:hint="eastAsia" w:ascii="宋体" w:hAnsi="宋体" w:cs="宋体"/>
                <w:color w:val="000000"/>
                <w:kern w:val="0"/>
                <w:sz w:val="18"/>
                <w:szCs w:val="18"/>
              </w:rPr>
              <w:t>1处</w:t>
            </w:r>
            <w:r>
              <w:rPr>
                <w:rFonts w:hint="eastAsia" w:ascii="宋体" w:hAnsi="宋体" w:cs="宋体"/>
                <w:color w:val="000000"/>
                <w:kern w:val="0"/>
                <w:sz w:val="18"/>
                <w:szCs w:val="18"/>
                <w:lang w:eastAsia="zh-CN"/>
              </w:rPr>
              <w:t>视频监控</w:t>
            </w:r>
            <w:r>
              <w:rPr>
                <w:rFonts w:hint="eastAsia" w:ascii="宋体" w:hAnsi="宋体" w:cs="宋体"/>
                <w:color w:val="000000"/>
                <w:kern w:val="0"/>
                <w:sz w:val="18"/>
                <w:szCs w:val="18"/>
              </w:rPr>
              <w:t>点。</w:t>
            </w:r>
          </w:p>
        </w:tc>
      </w:tr>
      <w:tr w14:paraId="68307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36" w:type="dxa"/>
            <w:vAlign w:val="center"/>
          </w:tcPr>
          <w:p w14:paraId="74D44E71">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1793" w:type="dxa"/>
            <w:vAlign w:val="center"/>
          </w:tcPr>
          <w:p w14:paraId="60F7C7B3">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应急物资存放处</w:t>
            </w:r>
          </w:p>
        </w:tc>
        <w:tc>
          <w:tcPr>
            <w:tcW w:w="1767" w:type="dxa"/>
            <w:gridSpan w:val="2"/>
            <w:vAlign w:val="center"/>
          </w:tcPr>
          <w:p w14:paraId="443044AF">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视频监控</w:t>
            </w:r>
          </w:p>
        </w:tc>
        <w:tc>
          <w:tcPr>
            <w:tcW w:w="965" w:type="dxa"/>
            <w:vAlign w:val="center"/>
          </w:tcPr>
          <w:p w14:paraId="4D95B66A">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cs="宋体"/>
                <w:bCs/>
                <w:sz w:val="18"/>
                <w:szCs w:val="18"/>
              </w:rPr>
              <w:t>●</w:t>
            </w:r>
          </w:p>
        </w:tc>
        <w:tc>
          <w:tcPr>
            <w:tcW w:w="3230" w:type="dxa"/>
            <w:vAlign w:val="center"/>
          </w:tcPr>
          <w:p w14:paraId="4741F380">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每处结合现场情况按</w:t>
            </w:r>
            <w:r>
              <w:rPr>
                <w:rFonts w:hint="eastAsia" w:ascii="宋体" w:hAnsi="宋体" w:cs="宋体"/>
                <w:color w:val="000000"/>
                <w:kern w:val="0"/>
                <w:sz w:val="18"/>
                <w:szCs w:val="18"/>
                <w:lang w:eastAsia="zh-CN"/>
              </w:rPr>
              <w:t>标准要求</w:t>
            </w:r>
            <w:r>
              <w:rPr>
                <w:rFonts w:hint="eastAsia" w:ascii="宋体" w:hAnsi="宋体" w:cs="宋体"/>
                <w:color w:val="000000"/>
                <w:kern w:val="0"/>
                <w:sz w:val="18"/>
                <w:szCs w:val="18"/>
              </w:rPr>
              <w:t>应布设</w:t>
            </w:r>
            <w:r>
              <w:rPr>
                <w:rFonts w:hint="eastAsia" w:ascii="宋体" w:hAnsi="宋体" w:cs="宋体"/>
                <w:color w:val="000000"/>
                <w:kern w:val="0"/>
                <w:sz w:val="18"/>
                <w:szCs w:val="18"/>
                <w:lang w:eastAsia="zh-CN"/>
              </w:rPr>
              <w:t>不低于</w:t>
            </w:r>
            <w:r>
              <w:rPr>
                <w:rFonts w:hint="eastAsia" w:ascii="宋体" w:hAnsi="宋体" w:cs="宋体"/>
                <w:color w:val="000000"/>
                <w:kern w:val="0"/>
                <w:sz w:val="18"/>
                <w:szCs w:val="18"/>
              </w:rPr>
              <w:t>1处</w:t>
            </w:r>
            <w:r>
              <w:rPr>
                <w:rFonts w:hint="eastAsia" w:ascii="宋体" w:hAnsi="宋体" w:cs="宋体"/>
                <w:color w:val="000000"/>
                <w:kern w:val="0"/>
                <w:sz w:val="18"/>
                <w:szCs w:val="18"/>
                <w:lang w:eastAsia="zh-CN"/>
              </w:rPr>
              <w:t>视频监控</w:t>
            </w:r>
            <w:r>
              <w:rPr>
                <w:rFonts w:hint="eastAsia" w:ascii="宋体" w:hAnsi="宋体" w:cs="宋体"/>
                <w:color w:val="000000"/>
                <w:kern w:val="0"/>
                <w:sz w:val="18"/>
                <w:szCs w:val="18"/>
              </w:rPr>
              <w:t>点。</w:t>
            </w:r>
          </w:p>
        </w:tc>
      </w:tr>
      <w:tr w14:paraId="4198D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491" w:type="dxa"/>
            <w:gridSpan w:val="6"/>
            <w:vAlign w:val="center"/>
          </w:tcPr>
          <w:p w14:paraId="783D6668">
            <w:pPr>
              <w:pStyle w:val="146"/>
              <w:keepNext w:val="0"/>
              <w:keepLines w:val="0"/>
              <w:pageBreakBefore w:val="0"/>
              <w:widowControl/>
              <w:kinsoku/>
              <w:wordWrap/>
              <w:overflowPunct/>
              <w:topLinePunct w:val="0"/>
              <w:autoSpaceDE/>
              <w:autoSpaceDN/>
              <w:bidi w:val="0"/>
              <w:snapToGrid w:val="0"/>
              <w:spacing w:line="240" w:lineRule="auto"/>
              <w:jc w:val="both"/>
              <w:rPr>
                <w:rFonts w:cs="宋体"/>
                <w:bCs/>
                <w:sz w:val="18"/>
                <w:szCs w:val="18"/>
              </w:rPr>
            </w:pPr>
            <w:r>
              <w:rPr>
                <w:rFonts w:hint="eastAsia" w:cs="宋体"/>
                <w:bCs/>
                <w:sz w:val="18"/>
                <w:szCs w:val="18"/>
              </w:rPr>
              <w:t>注：</w:t>
            </w:r>
            <w:r>
              <w:rPr>
                <w:rFonts w:cs="宋体"/>
                <w:bCs/>
                <w:sz w:val="18"/>
                <w:szCs w:val="18"/>
              </w:rPr>
              <w:t>1.</w:t>
            </w:r>
            <w:r>
              <w:rPr>
                <w:rFonts w:hint="eastAsia" w:cs="宋体"/>
                <w:bCs/>
                <w:sz w:val="18"/>
                <w:szCs w:val="18"/>
              </w:rPr>
              <w:t>“●”表示必选监测项、“◎”表示宜选监测项、“○”表示可选监测项；</w:t>
            </w:r>
          </w:p>
          <w:p w14:paraId="767A338B">
            <w:pPr>
              <w:widowControl/>
              <w:adjustRightInd w:val="0"/>
              <w:snapToGrid w:val="0"/>
              <w:spacing w:before="24" w:after="24" w:line="240" w:lineRule="auto"/>
              <w:ind w:firstLine="360" w:firstLineChars="200"/>
              <w:jc w:val="both"/>
              <w:textAlignment w:val="center"/>
              <w:rPr>
                <w:rFonts w:hint="eastAsia" w:ascii="宋体" w:hAnsi="宋体" w:cs="宋体"/>
                <w:color w:val="000000"/>
                <w:kern w:val="0"/>
                <w:sz w:val="18"/>
                <w:szCs w:val="18"/>
              </w:rPr>
            </w:pPr>
            <w:r>
              <w:rPr>
                <w:rFonts w:hint="eastAsia" w:cs="宋体"/>
                <w:bCs/>
                <w:sz w:val="18"/>
                <w:szCs w:val="18"/>
                <w:lang w:val="en-US" w:eastAsia="zh-CN"/>
              </w:rPr>
              <w:t>2.</w:t>
            </w:r>
            <w:r>
              <w:rPr>
                <w:rFonts w:hint="eastAsia" w:cs="宋体"/>
                <w:bCs/>
                <w:sz w:val="18"/>
                <w:szCs w:val="18"/>
              </w:rPr>
              <w:t>“―”表示</w:t>
            </w:r>
            <w:r>
              <w:rPr>
                <w:rFonts w:hint="eastAsia" w:cs="宋体"/>
                <w:bCs/>
                <w:sz w:val="18"/>
                <w:szCs w:val="18"/>
                <w:lang w:val="en-US" w:eastAsia="zh-CN"/>
              </w:rPr>
              <w:t>监</w:t>
            </w:r>
            <w:r>
              <w:rPr>
                <w:rFonts w:hint="eastAsia" w:cs="宋体"/>
                <w:bCs/>
                <w:sz w:val="18"/>
                <w:szCs w:val="18"/>
              </w:rPr>
              <w:t>测点布设可根据现场情况选择适当位置</w:t>
            </w:r>
            <w:r>
              <w:rPr>
                <w:rFonts w:hint="eastAsia" w:cs="宋体"/>
                <w:bCs/>
                <w:sz w:val="18"/>
                <w:szCs w:val="18"/>
                <w:lang w:eastAsia="zh-CN"/>
              </w:rPr>
              <w:t>。</w:t>
            </w:r>
          </w:p>
        </w:tc>
      </w:tr>
    </w:tbl>
    <w:p w14:paraId="382DF9EF">
      <w:pPr>
        <w:pStyle w:val="98"/>
        <w:keepNext/>
        <w:keepLines/>
        <w:spacing w:before="24" w:after="24"/>
        <w:jc w:val="center"/>
        <w:rPr>
          <w:rFonts w:hint="eastAsia" w:ascii="黑体" w:hAnsi="黑体" w:eastAsia="黑体"/>
          <w:bCs/>
          <w:color w:val="auto"/>
          <w:lang w:val="en-US" w:eastAsia="zh-CN"/>
        </w:rPr>
      </w:pPr>
    </w:p>
    <w:p w14:paraId="4B93EFAF">
      <w:pPr>
        <w:rPr>
          <w:rFonts w:hint="eastAsia" w:ascii="黑体" w:hAnsi="黑体" w:eastAsia="黑体"/>
          <w:bCs/>
          <w:color w:val="auto"/>
          <w:lang w:val="en-US" w:eastAsia="zh-CN"/>
        </w:rPr>
      </w:pPr>
      <w:r>
        <w:rPr>
          <w:rFonts w:hint="eastAsia"/>
          <w:b w:val="0"/>
          <w:bCs w:val="0"/>
          <w:lang w:val="en-US" w:eastAsia="zh-CN"/>
        </w:rPr>
        <w:t>供水管道监测布点要求见表B.2.2。</w:t>
      </w:r>
    </w:p>
    <w:tbl>
      <w:tblPr>
        <w:tblStyle w:val="35"/>
        <w:tblW w:w="8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2168"/>
        <w:gridCol w:w="1320"/>
        <w:gridCol w:w="969"/>
        <w:gridCol w:w="3316"/>
      </w:tblGrid>
      <w:tr w14:paraId="1504D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blHeader/>
          <w:jc w:val="center"/>
        </w:trPr>
        <w:tc>
          <w:tcPr>
            <w:tcW w:w="8580" w:type="dxa"/>
            <w:gridSpan w:val="5"/>
            <w:tcBorders>
              <w:top w:val="nil"/>
              <w:left w:val="nil"/>
              <w:right w:val="nil"/>
            </w:tcBorders>
            <w:vAlign w:val="center"/>
          </w:tcPr>
          <w:p w14:paraId="40A7EE66">
            <w:pPr>
              <w:pStyle w:val="98"/>
              <w:keepNext/>
              <w:keepLines/>
              <w:spacing w:before="24" w:after="24"/>
              <w:jc w:val="center"/>
              <w:rPr>
                <w:rFonts w:hint="eastAsia" w:ascii="宋体" w:hAnsi="宋体" w:cs="宋体"/>
                <w:color w:val="000000"/>
                <w:kern w:val="0"/>
                <w:sz w:val="18"/>
                <w:szCs w:val="18"/>
              </w:rPr>
            </w:pPr>
            <w:r>
              <w:rPr>
                <w:rFonts w:hint="eastAsia" w:ascii="黑体" w:hAnsi="黑体" w:eastAsia="黑体"/>
                <w:bCs/>
                <w:color w:val="auto"/>
                <w:lang w:val="en-US" w:eastAsia="zh-CN"/>
              </w:rPr>
              <w:t>B.2.2</w:t>
            </w:r>
            <w:r>
              <w:rPr>
                <w:rFonts w:hint="eastAsia" w:ascii="黑体" w:hAnsi="黑体" w:eastAsia="黑体"/>
                <w:bCs/>
                <w:color w:val="auto"/>
              </w:rPr>
              <w:t xml:space="preserve"> 供水管道监测布点要求</w:t>
            </w:r>
          </w:p>
        </w:tc>
      </w:tr>
      <w:tr w14:paraId="4567D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807" w:type="dxa"/>
            <w:vAlign w:val="center"/>
          </w:tcPr>
          <w:p w14:paraId="6CE3D704">
            <w:pPr>
              <w:keepNext/>
              <w:keepLines/>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序号</w:t>
            </w:r>
          </w:p>
        </w:tc>
        <w:tc>
          <w:tcPr>
            <w:tcW w:w="2168" w:type="dxa"/>
            <w:vAlign w:val="center"/>
          </w:tcPr>
          <w:p w14:paraId="460FB49B">
            <w:pPr>
              <w:keepNext/>
              <w:keepLines/>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监测对象</w:t>
            </w:r>
          </w:p>
        </w:tc>
        <w:tc>
          <w:tcPr>
            <w:tcW w:w="1320" w:type="dxa"/>
            <w:vAlign w:val="center"/>
          </w:tcPr>
          <w:p w14:paraId="46131FF9">
            <w:pPr>
              <w:keepNext/>
              <w:keepLines/>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监测指标</w:t>
            </w:r>
          </w:p>
        </w:tc>
        <w:tc>
          <w:tcPr>
            <w:tcW w:w="969" w:type="dxa"/>
            <w:vAlign w:val="center"/>
          </w:tcPr>
          <w:p w14:paraId="458C8616">
            <w:pPr>
              <w:keepNext/>
              <w:keepLines/>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highlight w:val="none"/>
                <w:lang w:val="en-US" w:eastAsia="zh-CN"/>
              </w:rPr>
              <w:t>监测要求</w:t>
            </w:r>
          </w:p>
        </w:tc>
        <w:tc>
          <w:tcPr>
            <w:tcW w:w="3316" w:type="dxa"/>
            <w:vAlign w:val="center"/>
          </w:tcPr>
          <w:p w14:paraId="3BB7DA48">
            <w:pPr>
              <w:keepNext/>
              <w:keepLines/>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监测</w:t>
            </w:r>
            <w:r>
              <w:rPr>
                <w:rFonts w:hint="eastAsia" w:ascii="宋体" w:hAnsi="宋体" w:cs="宋体"/>
                <w:color w:val="000000"/>
                <w:kern w:val="0"/>
                <w:sz w:val="18"/>
                <w:szCs w:val="18"/>
                <w:lang w:val="en-US" w:eastAsia="zh-CN"/>
              </w:rPr>
              <w:t>布点</w:t>
            </w:r>
            <w:r>
              <w:rPr>
                <w:rFonts w:hint="eastAsia" w:ascii="宋体" w:hAnsi="宋体" w:cs="宋体"/>
                <w:color w:val="000000"/>
                <w:kern w:val="0"/>
                <w:sz w:val="18"/>
                <w:szCs w:val="18"/>
              </w:rPr>
              <w:t>要求</w:t>
            </w:r>
          </w:p>
        </w:tc>
      </w:tr>
      <w:tr w14:paraId="0165D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07" w:type="dxa"/>
            <w:vMerge w:val="restart"/>
            <w:vAlign w:val="center"/>
          </w:tcPr>
          <w:p w14:paraId="5ECB01B7">
            <w:pPr>
              <w:keepNext/>
              <w:keepLines/>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2168" w:type="dxa"/>
            <w:vMerge w:val="restart"/>
            <w:vAlign w:val="center"/>
          </w:tcPr>
          <w:p w14:paraId="29F2A41B">
            <w:pPr>
              <w:keepNext/>
              <w:keepLines/>
              <w:widowControl/>
              <w:adjustRightInd w:val="0"/>
              <w:snapToGrid w:val="0"/>
              <w:spacing w:before="24" w:after="24" w:line="240" w:lineRule="auto"/>
              <w:jc w:val="center"/>
              <w:textAlignment w:val="center"/>
              <w:rPr>
                <w:rFonts w:hint="eastAsia" w:ascii="宋体" w:hAnsi="宋体" w:cs="宋体"/>
                <w:color w:val="000000"/>
                <w:kern w:val="0"/>
                <w:sz w:val="18"/>
                <w:szCs w:val="18"/>
                <w:lang w:eastAsia="zh-CN"/>
              </w:rPr>
            </w:pPr>
            <w:r>
              <w:rPr>
                <w:rFonts w:hint="eastAsia" w:ascii="宋体" w:hAnsi="宋体" w:cs="宋体"/>
                <w:color w:val="000000"/>
                <w:kern w:val="0"/>
                <w:sz w:val="18"/>
                <w:szCs w:val="18"/>
              </w:rPr>
              <w:t>核心输水管道</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rPr>
              <w:t>水厂原水管道、清水出厂管道、向独立计量区域输水的管道</w:t>
            </w:r>
            <w:r>
              <w:rPr>
                <w:rFonts w:hint="eastAsia" w:ascii="宋体" w:hAnsi="宋体" w:cs="宋体"/>
                <w:color w:val="000000"/>
                <w:kern w:val="0"/>
                <w:sz w:val="18"/>
                <w:szCs w:val="18"/>
                <w:lang w:eastAsia="zh-CN"/>
              </w:rPr>
              <w:t>）；</w:t>
            </w:r>
          </w:p>
          <w:p w14:paraId="4249AE85">
            <w:pPr>
              <w:keepNext/>
              <w:keepLines/>
              <w:widowControl/>
              <w:adjustRightInd w:val="0"/>
              <w:snapToGrid w:val="0"/>
              <w:spacing w:before="24" w:after="24" w:line="240" w:lineRule="auto"/>
              <w:jc w:val="center"/>
              <w:textAlignment w:val="center"/>
              <w:rPr>
                <w:rFonts w:hint="eastAsia" w:ascii="宋体" w:hAnsi="宋体" w:cs="宋体"/>
                <w:color w:val="000000"/>
                <w:kern w:val="0"/>
                <w:sz w:val="18"/>
                <w:szCs w:val="18"/>
                <w:lang w:eastAsia="zh-CN"/>
              </w:rPr>
            </w:pPr>
            <w:r>
              <w:rPr>
                <w:rFonts w:hint="eastAsia" w:ascii="宋体" w:hAnsi="宋体" w:cs="宋体"/>
                <w:color w:val="000000"/>
                <w:kern w:val="0"/>
                <w:sz w:val="18"/>
                <w:szCs w:val="18"/>
              </w:rPr>
              <w:t>供水爆管漏失影响</w:t>
            </w:r>
            <w:r>
              <w:rPr>
                <w:rFonts w:hint="eastAsia" w:ascii="宋体" w:hAnsi="宋体" w:cs="宋体"/>
                <w:color w:val="000000"/>
                <w:kern w:val="0"/>
                <w:sz w:val="18"/>
                <w:szCs w:val="18"/>
                <w:lang w:val="en-US" w:eastAsia="zh-CN"/>
              </w:rPr>
              <w:t>范围广</w:t>
            </w:r>
            <w:r>
              <w:rPr>
                <w:rFonts w:hint="eastAsia" w:ascii="宋体" w:hAnsi="宋体" w:cs="宋体"/>
                <w:color w:val="000000"/>
                <w:kern w:val="0"/>
                <w:sz w:val="18"/>
                <w:szCs w:val="18"/>
              </w:rPr>
              <w:t>、后果严重的供水管道</w:t>
            </w:r>
            <w:r>
              <w:rPr>
                <w:rFonts w:hint="eastAsia" w:ascii="宋体" w:hAnsi="宋体" w:cs="宋体"/>
                <w:color w:val="000000"/>
                <w:kern w:val="0"/>
                <w:sz w:val="18"/>
                <w:szCs w:val="18"/>
                <w:lang w:eastAsia="zh-CN"/>
              </w:rPr>
              <w:t>；</w:t>
            </w:r>
          </w:p>
          <w:p w14:paraId="32798942">
            <w:pPr>
              <w:keepNext/>
              <w:keepLines/>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城市重点公共基础设施旁边的供水管道</w:t>
            </w:r>
          </w:p>
        </w:tc>
        <w:tc>
          <w:tcPr>
            <w:tcW w:w="1320" w:type="dxa"/>
            <w:vAlign w:val="center"/>
          </w:tcPr>
          <w:p w14:paraId="2F9253F0">
            <w:pPr>
              <w:keepNext/>
              <w:keepLines/>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水质（浑浊度，余氯）</w:t>
            </w:r>
          </w:p>
        </w:tc>
        <w:tc>
          <w:tcPr>
            <w:tcW w:w="969" w:type="dxa"/>
            <w:vAlign w:val="center"/>
          </w:tcPr>
          <w:p w14:paraId="0F6C41D0">
            <w:pPr>
              <w:keepNext/>
              <w:keepLines/>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cs="宋体"/>
                <w:bCs/>
                <w:sz w:val="18"/>
                <w:szCs w:val="18"/>
              </w:rPr>
              <w:t>●</w:t>
            </w:r>
          </w:p>
        </w:tc>
        <w:tc>
          <w:tcPr>
            <w:tcW w:w="3316" w:type="dxa"/>
            <w:vMerge w:val="restart"/>
            <w:vAlign w:val="center"/>
          </w:tcPr>
          <w:p w14:paraId="706F4210">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eastAsia="宋体" w:cs="宋体"/>
                <w:color w:val="000000"/>
                <w:kern w:val="0"/>
                <w:sz w:val="18"/>
                <w:szCs w:val="18"/>
                <w:lang w:bidi="ar"/>
              </w:rPr>
              <w:t>每段核心管道</w:t>
            </w:r>
            <w:r>
              <w:rPr>
                <w:rFonts w:hint="eastAsia" w:ascii="宋体" w:hAnsi="宋体" w:eastAsia="宋体" w:cs="宋体"/>
                <w:color w:val="000000"/>
                <w:kern w:val="0"/>
                <w:sz w:val="18"/>
                <w:szCs w:val="18"/>
                <w:lang w:val="en-US" w:eastAsia="zh-CN" w:bidi="ar"/>
              </w:rPr>
              <w:t>间隔2～3Km</w:t>
            </w:r>
            <w:r>
              <w:rPr>
                <w:rFonts w:hint="eastAsia" w:ascii="宋体" w:hAnsi="宋体" w:eastAsia="宋体" w:cs="宋体"/>
                <w:color w:val="000000"/>
                <w:kern w:val="0"/>
                <w:sz w:val="18"/>
                <w:szCs w:val="18"/>
                <w:lang w:bidi="ar"/>
              </w:rPr>
              <w:t>布设</w:t>
            </w:r>
            <w:r>
              <w:rPr>
                <w:rFonts w:hint="eastAsia" w:ascii="宋体" w:hAnsi="宋体" w:cs="宋体"/>
                <w:color w:val="000000"/>
                <w:kern w:val="0"/>
                <w:sz w:val="18"/>
                <w:szCs w:val="18"/>
                <w:lang w:eastAsia="zh-CN" w:bidi="ar"/>
              </w:rPr>
              <w:t>不低于</w:t>
            </w:r>
            <w:r>
              <w:rPr>
                <w:rFonts w:hint="eastAsia" w:ascii="宋体" w:hAnsi="宋体" w:eastAsia="宋体" w:cs="宋体"/>
                <w:color w:val="000000"/>
                <w:kern w:val="0"/>
                <w:sz w:val="18"/>
                <w:szCs w:val="18"/>
                <w:lang w:bidi="ar"/>
              </w:rPr>
              <w:t xml:space="preserve"> 1 处</w:t>
            </w:r>
            <w:r>
              <w:rPr>
                <w:rFonts w:hint="eastAsia" w:ascii="宋体" w:hAnsi="宋体" w:eastAsia="宋体" w:cs="宋体"/>
                <w:color w:val="000000"/>
                <w:kern w:val="0"/>
                <w:sz w:val="18"/>
                <w:szCs w:val="18"/>
                <w:lang w:val="en-US" w:eastAsia="zh-CN" w:bidi="ar"/>
              </w:rPr>
              <w:t>流量</w:t>
            </w:r>
            <w:r>
              <w:rPr>
                <w:rFonts w:hint="eastAsia" w:ascii="宋体" w:hAnsi="宋体" w:eastAsia="宋体" w:cs="宋体"/>
                <w:color w:val="000000"/>
                <w:kern w:val="0"/>
                <w:sz w:val="18"/>
                <w:szCs w:val="18"/>
                <w:lang w:bidi="ar"/>
              </w:rPr>
              <w:t>、</w:t>
            </w:r>
            <w:r>
              <w:rPr>
                <w:rFonts w:hint="eastAsia" w:ascii="宋体" w:hAnsi="宋体" w:eastAsia="宋体" w:cs="宋体"/>
                <w:color w:val="000000"/>
                <w:kern w:val="0"/>
                <w:sz w:val="18"/>
                <w:szCs w:val="18"/>
                <w:lang w:val="en-US" w:eastAsia="zh-CN" w:bidi="ar"/>
              </w:rPr>
              <w:t>压力</w:t>
            </w:r>
            <w:r>
              <w:rPr>
                <w:rFonts w:hint="eastAsia" w:ascii="宋体" w:hAnsi="宋体" w:eastAsia="宋体" w:cs="宋体"/>
                <w:color w:val="000000"/>
                <w:kern w:val="0"/>
                <w:sz w:val="18"/>
                <w:szCs w:val="18"/>
                <w:lang w:bidi="ar"/>
              </w:rPr>
              <w:t>监测点；重点公共基础设施旁管道增设</w:t>
            </w:r>
            <w:r>
              <w:rPr>
                <w:rFonts w:hint="eastAsia" w:ascii="宋体" w:hAnsi="宋体" w:cs="宋体"/>
                <w:color w:val="000000"/>
                <w:kern w:val="0"/>
                <w:sz w:val="18"/>
                <w:szCs w:val="18"/>
                <w:lang w:eastAsia="zh-CN" w:bidi="ar"/>
              </w:rPr>
              <w:t>视频监控</w:t>
            </w:r>
            <w:r>
              <w:rPr>
                <w:rFonts w:hint="eastAsia" w:ascii="宋体" w:hAnsi="宋体" w:eastAsia="宋体" w:cs="宋体"/>
                <w:color w:val="000000"/>
                <w:kern w:val="0"/>
                <w:sz w:val="18"/>
                <w:szCs w:val="18"/>
                <w:lang w:bidi="ar"/>
              </w:rPr>
              <w:t>（</w:t>
            </w:r>
            <w:r>
              <w:rPr>
                <w:rFonts w:hint="eastAsia" w:ascii="宋体" w:hAnsi="宋体" w:cs="宋体"/>
                <w:color w:val="000000"/>
                <w:kern w:val="0"/>
                <w:sz w:val="18"/>
                <w:szCs w:val="18"/>
                <w:lang w:eastAsia="zh-CN" w:bidi="ar"/>
              </w:rPr>
              <w:t>不低于</w:t>
            </w:r>
            <w:r>
              <w:rPr>
                <w:rFonts w:hint="eastAsia" w:ascii="宋体" w:hAnsi="宋体" w:eastAsia="宋体" w:cs="宋体"/>
                <w:color w:val="000000"/>
                <w:kern w:val="0"/>
                <w:sz w:val="18"/>
                <w:szCs w:val="18"/>
                <w:lang w:bidi="ar"/>
              </w:rPr>
              <w:t xml:space="preserve"> 1 处）； 爆管风险极高段宜布设</w:t>
            </w:r>
            <w:r>
              <w:rPr>
                <w:rFonts w:hint="eastAsia" w:ascii="宋体" w:hAnsi="宋体" w:cs="宋体"/>
                <w:color w:val="000000"/>
                <w:kern w:val="0"/>
                <w:sz w:val="18"/>
                <w:szCs w:val="18"/>
                <w:lang w:eastAsia="zh-CN" w:bidi="ar"/>
              </w:rPr>
              <w:t>漏水声波</w:t>
            </w:r>
            <w:r>
              <w:rPr>
                <w:rFonts w:hint="eastAsia" w:ascii="宋体" w:hAnsi="宋体" w:eastAsia="宋体" w:cs="宋体"/>
                <w:color w:val="000000"/>
                <w:kern w:val="0"/>
                <w:sz w:val="18"/>
                <w:szCs w:val="18"/>
                <w:lang w:bidi="ar"/>
              </w:rPr>
              <w:t>监测设备；水质监测点按</w:t>
            </w:r>
            <w:r>
              <w:rPr>
                <w:rFonts w:hint="eastAsia" w:ascii="宋体" w:hAnsi="宋体" w:cs="宋体"/>
                <w:color w:val="000000"/>
                <w:kern w:val="0"/>
                <w:sz w:val="18"/>
                <w:szCs w:val="18"/>
                <w:lang w:eastAsia="zh-CN" w:bidi="ar"/>
              </w:rPr>
              <w:t>标准</w:t>
            </w:r>
            <w:r>
              <w:rPr>
                <w:rFonts w:hint="eastAsia" w:ascii="宋体" w:hAnsi="宋体" w:eastAsia="宋体" w:cs="宋体"/>
                <w:color w:val="000000"/>
                <w:kern w:val="0"/>
                <w:sz w:val="18"/>
                <w:szCs w:val="18"/>
                <w:lang w:bidi="ar"/>
              </w:rPr>
              <w:t>间隔设置，交汇区域、关键节点应加密。</w:t>
            </w:r>
          </w:p>
        </w:tc>
      </w:tr>
      <w:tr w14:paraId="20A7B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807" w:type="dxa"/>
            <w:vMerge w:val="continue"/>
            <w:vAlign w:val="center"/>
          </w:tcPr>
          <w:p w14:paraId="1BE7F1F8">
            <w:pPr>
              <w:keepNext/>
              <w:keepLines/>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2168" w:type="dxa"/>
            <w:vMerge w:val="continue"/>
            <w:vAlign w:val="center"/>
          </w:tcPr>
          <w:p w14:paraId="23A956C1">
            <w:pPr>
              <w:keepNext/>
              <w:keepLines/>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320" w:type="dxa"/>
            <w:vAlign w:val="center"/>
          </w:tcPr>
          <w:p w14:paraId="38D91B65">
            <w:pPr>
              <w:keepNext/>
              <w:keepLines/>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流量</w:t>
            </w:r>
          </w:p>
        </w:tc>
        <w:tc>
          <w:tcPr>
            <w:tcW w:w="969" w:type="dxa"/>
            <w:vAlign w:val="center"/>
          </w:tcPr>
          <w:p w14:paraId="1A666C71">
            <w:pPr>
              <w:keepNext/>
              <w:keepLines/>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cs="宋体"/>
                <w:bCs/>
                <w:sz w:val="18"/>
                <w:szCs w:val="18"/>
              </w:rPr>
              <w:t>●</w:t>
            </w:r>
          </w:p>
        </w:tc>
        <w:tc>
          <w:tcPr>
            <w:tcW w:w="3316" w:type="dxa"/>
            <w:vMerge w:val="continue"/>
            <w:vAlign w:val="center"/>
          </w:tcPr>
          <w:p w14:paraId="7B528EEA">
            <w:pPr>
              <w:keepNext w:val="0"/>
              <w:keepLines w:val="0"/>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r>
      <w:tr w14:paraId="1BE77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07" w:type="dxa"/>
            <w:vMerge w:val="continue"/>
            <w:vAlign w:val="center"/>
          </w:tcPr>
          <w:p w14:paraId="6F63DD27">
            <w:pPr>
              <w:keepNext/>
              <w:keepLines/>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2168" w:type="dxa"/>
            <w:vMerge w:val="continue"/>
            <w:vAlign w:val="center"/>
          </w:tcPr>
          <w:p w14:paraId="543C576A">
            <w:pPr>
              <w:keepNext/>
              <w:keepLines/>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320" w:type="dxa"/>
            <w:vAlign w:val="center"/>
          </w:tcPr>
          <w:p w14:paraId="7A49C117">
            <w:pPr>
              <w:keepNext/>
              <w:keepLines/>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压力</w:t>
            </w:r>
          </w:p>
        </w:tc>
        <w:tc>
          <w:tcPr>
            <w:tcW w:w="969" w:type="dxa"/>
            <w:vAlign w:val="center"/>
          </w:tcPr>
          <w:p w14:paraId="5191BC64">
            <w:pPr>
              <w:keepNext/>
              <w:keepLines/>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cs="宋体"/>
                <w:bCs/>
                <w:sz w:val="18"/>
                <w:szCs w:val="18"/>
              </w:rPr>
              <w:t>●</w:t>
            </w:r>
          </w:p>
        </w:tc>
        <w:tc>
          <w:tcPr>
            <w:tcW w:w="3316" w:type="dxa"/>
            <w:vMerge w:val="continue"/>
            <w:vAlign w:val="center"/>
          </w:tcPr>
          <w:p w14:paraId="7CEEE2B7">
            <w:pPr>
              <w:keepNext w:val="0"/>
              <w:keepLines w:val="0"/>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r>
      <w:tr w14:paraId="7A0A3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07" w:type="dxa"/>
            <w:vMerge w:val="continue"/>
            <w:vAlign w:val="center"/>
          </w:tcPr>
          <w:p w14:paraId="51B2728A">
            <w:pPr>
              <w:keepNext/>
              <w:keepLines/>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2168" w:type="dxa"/>
            <w:vMerge w:val="continue"/>
            <w:vAlign w:val="center"/>
          </w:tcPr>
          <w:p w14:paraId="6D684751">
            <w:pPr>
              <w:keepNext/>
              <w:keepLines/>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320" w:type="dxa"/>
            <w:vAlign w:val="center"/>
          </w:tcPr>
          <w:p w14:paraId="7850E941">
            <w:pPr>
              <w:keepNext/>
              <w:keepLines/>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漏水声波</w:t>
            </w:r>
          </w:p>
        </w:tc>
        <w:tc>
          <w:tcPr>
            <w:tcW w:w="969" w:type="dxa"/>
            <w:vAlign w:val="center"/>
          </w:tcPr>
          <w:p w14:paraId="557C4295">
            <w:pPr>
              <w:keepNext/>
              <w:keepLines/>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cs="宋体"/>
                <w:bCs/>
                <w:sz w:val="18"/>
                <w:szCs w:val="18"/>
              </w:rPr>
              <w:t>◎</w:t>
            </w:r>
          </w:p>
        </w:tc>
        <w:tc>
          <w:tcPr>
            <w:tcW w:w="3316" w:type="dxa"/>
            <w:vMerge w:val="continue"/>
            <w:vAlign w:val="center"/>
          </w:tcPr>
          <w:p w14:paraId="4BD4CF92">
            <w:pPr>
              <w:keepNext w:val="0"/>
              <w:keepLines w:val="0"/>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r>
      <w:tr w14:paraId="47DD5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7" w:type="dxa"/>
            <w:vMerge w:val="continue"/>
            <w:vAlign w:val="center"/>
          </w:tcPr>
          <w:p w14:paraId="7BD25B87">
            <w:pPr>
              <w:keepNext/>
              <w:keepLines/>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2168" w:type="dxa"/>
            <w:vMerge w:val="continue"/>
            <w:vAlign w:val="center"/>
          </w:tcPr>
          <w:p w14:paraId="21D6A015">
            <w:pPr>
              <w:keepNext/>
              <w:keepLines/>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320" w:type="dxa"/>
            <w:vAlign w:val="center"/>
          </w:tcPr>
          <w:p w14:paraId="1CEC393D">
            <w:pPr>
              <w:keepNext/>
              <w:keepLines/>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视频监控</w:t>
            </w:r>
          </w:p>
        </w:tc>
        <w:tc>
          <w:tcPr>
            <w:tcW w:w="969" w:type="dxa"/>
            <w:vAlign w:val="center"/>
          </w:tcPr>
          <w:p w14:paraId="747EF75B">
            <w:pPr>
              <w:keepNext/>
              <w:keepLines/>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cs="宋体"/>
                <w:bCs/>
                <w:sz w:val="18"/>
                <w:szCs w:val="18"/>
              </w:rPr>
              <w:t>○</w:t>
            </w:r>
          </w:p>
        </w:tc>
        <w:tc>
          <w:tcPr>
            <w:tcW w:w="3316" w:type="dxa"/>
            <w:vMerge w:val="continue"/>
            <w:vAlign w:val="center"/>
          </w:tcPr>
          <w:p w14:paraId="59092972">
            <w:pPr>
              <w:keepNext w:val="0"/>
              <w:keepLines w:val="0"/>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r>
      <w:tr w14:paraId="3AA89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807" w:type="dxa"/>
            <w:vMerge w:val="restart"/>
            <w:vAlign w:val="center"/>
          </w:tcPr>
          <w:p w14:paraId="421749DE">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2168" w:type="dxa"/>
            <w:vMerge w:val="restart"/>
            <w:vAlign w:val="center"/>
          </w:tcPr>
          <w:p w14:paraId="772F2F26">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薄弱管道：流速偏快（超过 2 m/s）、管材不佳、管龄较长（超过 20 年）的管道，以及周边地质（土质）条件差、承载力弱、存在工程交叉影响或地质灾害影响的供水管道。</w:t>
            </w:r>
          </w:p>
        </w:tc>
        <w:tc>
          <w:tcPr>
            <w:tcW w:w="1320" w:type="dxa"/>
            <w:vAlign w:val="center"/>
          </w:tcPr>
          <w:p w14:paraId="5F16EF01">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压力</w:t>
            </w:r>
          </w:p>
        </w:tc>
        <w:tc>
          <w:tcPr>
            <w:tcW w:w="969" w:type="dxa"/>
            <w:shd w:val="clear" w:color="auto" w:fill="auto"/>
            <w:vAlign w:val="center"/>
          </w:tcPr>
          <w:p w14:paraId="677421F5">
            <w:pPr>
              <w:keepNext/>
              <w:keepLines/>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cs="宋体"/>
                <w:bCs/>
                <w:sz w:val="18"/>
                <w:szCs w:val="18"/>
              </w:rPr>
              <w:t>●</w:t>
            </w:r>
          </w:p>
        </w:tc>
        <w:tc>
          <w:tcPr>
            <w:tcW w:w="3316" w:type="dxa"/>
            <w:vMerge w:val="restart"/>
            <w:vAlign w:val="center"/>
          </w:tcPr>
          <w:p w14:paraId="3831C104">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eastAsia="宋体" w:cs="宋体"/>
                <w:color w:val="000000"/>
                <w:kern w:val="0"/>
                <w:sz w:val="18"/>
                <w:szCs w:val="18"/>
                <w:lang w:val="en-US" w:eastAsia="zh-CN" w:bidi="ar"/>
              </w:rPr>
              <w:t>每段薄弱管道间隔2～3Km布设</w:t>
            </w:r>
            <w:r>
              <w:rPr>
                <w:rFonts w:hint="eastAsia" w:ascii="宋体" w:hAnsi="宋体" w:cs="宋体"/>
                <w:color w:val="000000"/>
                <w:kern w:val="0"/>
                <w:sz w:val="18"/>
                <w:szCs w:val="18"/>
                <w:lang w:val="en-US" w:eastAsia="zh-CN" w:bidi="ar"/>
              </w:rPr>
              <w:t>不低于</w:t>
            </w:r>
            <w:r>
              <w:rPr>
                <w:rFonts w:hint="eastAsia" w:ascii="宋体" w:hAnsi="宋体" w:eastAsia="宋体" w:cs="宋体"/>
                <w:color w:val="000000"/>
                <w:kern w:val="0"/>
                <w:sz w:val="18"/>
                <w:szCs w:val="18"/>
                <w:lang w:val="en-US" w:eastAsia="zh-CN" w:bidi="ar"/>
              </w:rPr>
              <w:t xml:space="preserve"> 1 处压力、</w:t>
            </w:r>
            <w:r>
              <w:rPr>
                <w:rFonts w:hint="eastAsia" w:ascii="宋体" w:hAnsi="宋体" w:cs="宋体"/>
                <w:color w:val="000000"/>
                <w:kern w:val="0"/>
                <w:sz w:val="18"/>
                <w:szCs w:val="18"/>
                <w:lang w:val="en-US" w:eastAsia="zh-CN" w:bidi="ar"/>
              </w:rPr>
              <w:t>漏水声波</w:t>
            </w:r>
            <w:r>
              <w:rPr>
                <w:rFonts w:hint="eastAsia" w:ascii="宋体" w:hAnsi="宋体" w:eastAsia="宋体" w:cs="宋体"/>
                <w:color w:val="000000"/>
                <w:kern w:val="0"/>
                <w:sz w:val="18"/>
                <w:szCs w:val="18"/>
                <w:lang w:val="en-US" w:eastAsia="zh-CN" w:bidi="ar"/>
              </w:rPr>
              <w:t>监测点。</w:t>
            </w:r>
          </w:p>
        </w:tc>
      </w:tr>
      <w:tr w14:paraId="5E3AE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807" w:type="dxa"/>
            <w:vMerge w:val="continue"/>
            <w:vAlign w:val="center"/>
          </w:tcPr>
          <w:p w14:paraId="29B86E21">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2168" w:type="dxa"/>
            <w:vMerge w:val="continue"/>
            <w:vAlign w:val="center"/>
          </w:tcPr>
          <w:p w14:paraId="124C060F">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320" w:type="dxa"/>
            <w:vAlign w:val="center"/>
          </w:tcPr>
          <w:p w14:paraId="66AC3F1F">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漏水声波</w:t>
            </w:r>
          </w:p>
        </w:tc>
        <w:tc>
          <w:tcPr>
            <w:tcW w:w="969" w:type="dxa"/>
            <w:shd w:val="clear" w:color="auto" w:fill="auto"/>
            <w:vAlign w:val="center"/>
          </w:tcPr>
          <w:p w14:paraId="0F47441B">
            <w:pPr>
              <w:keepNext/>
              <w:keepLines/>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cs="宋体"/>
                <w:bCs/>
                <w:sz w:val="18"/>
                <w:szCs w:val="18"/>
              </w:rPr>
              <w:t>●</w:t>
            </w:r>
          </w:p>
        </w:tc>
        <w:tc>
          <w:tcPr>
            <w:tcW w:w="3316" w:type="dxa"/>
            <w:vMerge w:val="continue"/>
            <w:vAlign w:val="center"/>
          </w:tcPr>
          <w:p w14:paraId="091FB4DD">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
              </w:rPr>
            </w:pPr>
          </w:p>
        </w:tc>
      </w:tr>
      <w:tr w14:paraId="09656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07" w:type="dxa"/>
            <w:vMerge w:val="restart"/>
            <w:vAlign w:val="center"/>
          </w:tcPr>
          <w:p w14:paraId="056C876D">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2168" w:type="dxa"/>
            <w:vMerge w:val="restart"/>
            <w:vAlign w:val="center"/>
          </w:tcPr>
          <w:p w14:paraId="00C2A420">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重要管道：穿（跨）越重要交通、核心商（服）圈的管道、大管段交叉处。</w:t>
            </w:r>
          </w:p>
        </w:tc>
        <w:tc>
          <w:tcPr>
            <w:tcW w:w="1320" w:type="dxa"/>
            <w:vAlign w:val="center"/>
          </w:tcPr>
          <w:p w14:paraId="2155313C">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水质（浑浊度，余氯）</w:t>
            </w:r>
          </w:p>
        </w:tc>
        <w:tc>
          <w:tcPr>
            <w:tcW w:w="969" w:type="dxa"/>
            <w:vAlign w:val="center"/>
          </w:tcPr>
          <w:p w14:paraId="786550AA">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cs="宋体"/>
                <w:bCs/>
                <w:sz w:val="18"/>
                <w:szCs w:val="18"/>
              </w:rPr>
              <w:t>◎</w:t>
            </w:r>
          </w:p>
        </w:tc>
        <w:tc>
          <w:tcPr>
            <w:tcW w:w="3316" w:type="dxa"/>
            <w:vMerge w:val="restart"/>
            <w:vAlign w:val="center"/>
          </w:tcPr>
          <w:p w14:paraId="6F9CA52A">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
              </w:rPr>
            </w:pPr>
            <w:r>
              <mc:AlternateContent>
                <mc:Choice Requires="wps">
                  <w:drawing>
                    <wp:anchor distT="0" distB="0" distL="114300" distR="114300" simplePos="0" relativeHeight="251670528" behindDoc="0" locked="0" layoutInCell="1" allowOverlap="1">
                      <wp:simplePos x="0" y="0"/>
                      <wp:positionH relativeFrom="column">
                        <wp:posOffset>238760</wp:posOffset>
                      </wp:positionH>
                      <wp:positionV relativeFrom="paragraph">
                        <wp:posOffset>-593090</wp:posOffset>
                      </wp:positionV>
                      <wp:extent cx="542290" cy="344170"/>
                      <wp:effectExtent l="0" t="0" r="10160" b="17780"/>
                      <wp:wrapNone/>
                      <wp:docPr id="28" name="文本框 28"/>
                      <wp:cNvGraphicFramePr/>
                      <a:graphic xmlns:a="http://schemas.openxmlformats.org/drawingml/2006/main">
                        <a:graphicData uri="http://schemas.microsoft.com/office/word/2010/wordprocessingShape">
                          <wps:wsp>
                            <wps:cNvSpPr txBox="1"/>
                            <wps:spPr>
                              <a:xfrm>
                                <a:off x="0" y="0"/>
                                <a:ext cx="542290" cy="344170"/>
                              </a:xfrm>
                              <a:prstGeom prst="rect">
                                <a:avLst/>
                              </a:prstGeom>
                              <a:solidFill>
                                <a:srgbClr val="FFFFFF"/>
                              </a:solidFill>
                              <a:ln>
                                <a:noFill/>
                              </a:ln>
                            </wps:spPr>
                            <wps:txbx>
                              <w:txbxContent>
                                <w:p w14:paraId="0D562A3C">
                                  <w:pPr>
                                    <w:rPr>
                                      <w:rFonts w:hint="eastAsia" w:ascii="黑体" w:hAnsi="黑体" w:eastAsia="黑体" w:cs="黑体"/>
                                    </w:rPr>
                                  </w:pPr>
                                  <w:r>
                                    <w:rPr>
                                      <w:rFonts w:hint="eastAsia" w:ascii="黑体" w:hAnsi="黑体" w:eastAsia="黑体" w:cs="黑体"/>
                                    </w:rPr>
                                    <w:t>（续）</w:t>
                                  </w:r>
                                </w:p>
                              </w:txbxContent>
                            </wps:txbx>
                            <wps:bodyPr upright="1"/>
                          </wps:wsp>
                        </a:graphicData>
                      </a:graphic>
                    </wp:anchor>
                  </w:drawing>
                </mc:Choice>
                <mc:Fallback>
                  <w:pict>
                    <v:shape id="_x0000_s1026" o:spid="_x0000_s1026" o:spt="202" type="#_x0000_t202" style="position:absolute;left:0pt;margin-left:18.8pt;margin-top:-46.7pt;height:27.1pt;width:42.7pt;z-index:251670528;mso-width-relative:page;mso-height-relative:page;" fillcolor="#FFFFFF" filled="t" stroked="f" coordsize="21600,21600" o:gfxdata="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HdfPdgAAAAKAQAADwAAAAAAAAABACAAAAAiAAAAZHJzL2Rvd25yZXYu&#10;eG1sUEsBAhQAFAAAAAgAh07iQH7DDojCAQAAeAMAAA4AAAAAAAAAAQAgAAAAJwEAAGRycy9lMm9E&#10;b2MueG1sUEsFBgAAAAAGAAYAWQEAAFsFAAAAAA==&#10;">
                      <v:fill on="t" focussize="0,0"/>
                      <v:stroke on="f"/>
                      <v:imagedata o:title=""/>
                      <o:lock v:ext="edit" aspectratio="f"/>
                      <v:textbox>
                        <w:txbxContent>
                          <w:p w14:paraId="0D562A3C">
                            <w:pPr>
                              <w:rPr>
                                <w:rFonts w:hint="eastAsia" w:ascii="黑体" w:hAnsi="黑体" w:eastAsia="黑体" w:cs="黑体"/>
                              </w:rPr>
                            </w:pPr>
                            <w:r>
                              <w:rPr>
                                <w:rFonts w:hint="eastAsia" w:ascii="黑体" w:hAnsi="黑体" w:eastAsia="黑体" w:cs="黑体"/>
                              </w:rPr>
                              <w:t>（续）</w:t>
                            </w:r>
                          </w:p>
                        </w:txbxContent>
                      </v:textbox>
                    </v:shape>
                  </w:pict>
                </mc:Fallback>
              </mc:AlternateContent>
            </w:r>
            <w:r>
              <w:rPr>
                <w:rFonts w:hint="eastAsia" w:ascii="宋体" w:hAnsi="宋体" w:cs="宋体"/>
                <w:bCs w:val="0"/>
                <w:color w:val="000000"/>
                <w:kern w:val="0"/>
                <w:sz w:val="18"/>
                <w:szCs w:val="18"/>
              </w:rPr>
              <w:t>穿（跨）越重要交通、核心商（服）</w:t>
            </w:r>
            <w:r>
              <w:rPr>
                <w:rFonts w:hint="eastAsia" w:ascii="宋体" w:hAnsi="宋体" w:eastAsia="宋体" w:cs="宋体"/>
                <w:bCs w:val="0"/>
                <w:color w:val="000000"/>
                <w:kern w:val="0"/>
                <w:sz w:val="18"/>
                <w:szCs w:val="18"/>
              </w:rPr>
              <w:t>圈的管道、大管段交叉处</w:t>
            </w:r>
            <w:r>
              <w:rPr>
                <w:rFonts w:hint="eastAsia" w:ascii="宋体" w:hAnsi="宋体" w:eastAsia="宋体" w:cs="宋体"/>
                <w:color w:val="000000"/>
                <w:kern w:val="0"/>
                <w:sz w:val="18"/>
                <w:szCs w:val="18"/>
                <w:lang w:val="en-US" w:eastAsia="zh-CN" w:bidi="ar"/>
              </w:rPr>
              <w:t>布设</w:t>
            </w:r>
            <w:r>
              <w:rPr>
                <w:rFonts w:hint="eastAsia" w:ascii="宋体" w:hAnsi="宋体" w:cs="宋体"/>
                <w:color w:val="000000"/>
                <w:kern w:val="0"/>
                <w:sz w:val="18"/>
                <w:szCs w:val="18"/>
                <w:lang w:val="en-US" w:eastAsia="zh-CN" w:bidi="ar"/>
              </w:rPr>
              <w:t>不低于</w:t>
            </w:r>
            <w:r>
              <w:rPr>
                <w:rFonts w:hint="eastAsia" w:ascii="宋体" w:hAnsi="宋体" w:eastAsia="宋体" w:cs="宋体"/>
                <w:color w:val="000000"/>
                <w:kern w:val="0"/>
                <w:sz w:val="18"/>
                <w:szCs w:val="18"/>
                <w:lang w:val="en-US" w:eastAsia="zh-CN" w:bidi="ar"/>
              </w:rPr>
              <w:t xml:space="preserve"> 1 处流量、压力监测点；</w:t>
            </w:r>
          </w:p>
          <w:p w14:paraId="28196E8B">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eastAsia="宋体" w:cs="宋体"/>
                <w:color w:val="000000"/>
                <w:kern w:val="0"/>
                <w:sz w:val="18"/>
                <w:szCs w:val="18"/>
                <w:lang w:val="en-US" w:eastAsia="zh-CN" w:bidi="ar"/>
              </w:rPr>
              <w:t xml:space="preserve"> 水质监测点按交汇区域规范布设。</w:t>
            </w:r>
          </w:p>
        </w:tc>
      </w:tr>
      <w:tr w14:paraId="4B918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807" w:type="dxa"/>
            <w:vMerge w:val="continue"/>
            <w:vAlign w:val="center"/>
          </w:tcPr>
          <w:p w14:paraId="77FA16A1">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2168" w:type="dxa"/>
            <w:vMerge w:val="continue"/>
            <w:vAlign w:val="center"/>
          </w:tcPr>
          <w:p w14:paraId="1B85BE70">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320" w:type="dxa"/>
            <w:vAlign w:val="center"/>
          </w:tcPr>
          <w:p w14:paraId="266C78D2">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流量</w:t>
            </w:r>
          </w:p>
        </w:tc>
        <w:tc>
          <w:tcPr>
            <w:tcW w:w="969" w:type="dxa"/>
            <w:vAlign w:val="center"/>
          </w:tcPr>
          <w:p w14:paraId="066469A9">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cs="宋体"/>
                <w:bCs/>
                <w:sz w:val="18"/>
                <w:szCs w:val="18"/>
              </w:rPr>
              <w:t>●</w:t>
            </w:r>
          </w:p>
        </w:tc>
        <w:tc>
          <w:tcPr>
            <w:tcW w:w="3316" w:type="dxa"/>
            <w:vMerge w:val="continue"/>
            <w:vAlign w:val="center"/>
          </w:tcPr>
          <w:p w14:paraId="22308320">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
              </w:rPr>
            </w:pPr>
          </w:p>
        </w:tc>
      </w:tr>
      <w:tr w14:paraId="73687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807" w:type="dxa"/>
            <w:vMerge w:val="continue"/>
            <w:vAlign w:val="center"/>
          </w:tcPr>
          <w:p w14:paraId="3DF91838">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2168" w:type="dxa"/>
            <w:vMerge w:val="continue"/>
            <w:vAlign w:val="center"/>
          </w:tcPr>
          <w:p w14:paraId="4ECF65F1">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320" w:type="dxa"/>
            <w:vAlign w:val="center"/>
          </w:tcPr>
          <w:p w14:paraId="2A941050">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压力</w:t>
            </w:r>
          </w:p>
        </w:tc>
        <w:tc>
          <w:tcPr>
            <w:tcW w:w="969" w:type="dxa"/>
            <w:vAlign w:val="center"/>
          </w:tcPr>
          <w:p w14:paraId="2906FCEA">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cs="宋体"/>
                <w:bCs/>
                <w:sz w:val="18"/>
                <w:szCs w:val="18"/>
              </w:rPr>
              <w:t>●</w:t>
            </w:r>
          </w:p>
        </w:tc>
        <w:tc>
          <w:tcPr>
            <w:tcW w:w="3316" w:type="dxa"/>
            <w:vMerge w:val="continue"/>
            <w:vAlign w:val="center"/>
          </w:tcPr>
          <w:p w14:paraId="7BAAC0CD">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
              </w:rPr>
            </w:pPr>
          </w:p>
        </w:tc>
      </w:tr>
      <w:tr w14:paraId="29C86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807" w:type="dxa"/>
            <w:vMerge w:val="restart"/>
            <w:vAlign w:val="center"/>
          </w:tcPr>
          <w:p w14:paraId="55DEE6D4">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2168" w:type="dxa"/>
            <w:vMerge w:val="restart"/>
            <w:vAlign w:val="center"/>
          </w:tcPr>
          <w:p w14:paraId="3131EFD8">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供水水力最不利区域的管道：管网末梢点、用水集中区、城市最高点处的管道、供水管网水力分界线以及供水生产调度水力模型校验点等。</w:t>
            </w:r>
          </w:p>
        </w:tc>
        <w:tc>
          <w:tcPr>
            <w:tcW w:w="1320" w:type="dxa"/>
            <w:vAlign w:val="center"/>
          </w:tcPr>
          <w:p w14:paraId="37020865">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水质（浑浊度，余氯）</w:t>
            </w:r>
          </w:p>
        </w:tc>
        <w:tc>
          <w:tcPr>
            <w:tcW w:w="969" w:type="dxa"/>
            <w:vAlign w:val="center"/>
          </w:tcPr>
          <w:p w14:paraId="0D7937B1">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cs="宋体"/>
                <w:bCs/>
                <w:sz w:val="18"/>
                <w:szCs w:val="18"/>
              </w:rPr>
              <w:t>◎</w:t>
            </w:r>
          </w:p>
        </w:tc>
        <w:tc>
          <w:tcPr>
            <w:tcW w:w="3316" w:type="dxa"/>
            <w:vMerge w:val="restart"/>
            <w:vAlign w:val="center"/>
          </w:tcPr>
          <w:p w14:paraId="2EEC9512">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每个水力最不利点布设</w:t>
            </w:r>
            <w:r>
              <w:rPr>
                <w:rFonts w:hint="eastAsia" w:ascii="宋体" w:hAnsi="宋体" w:cs="宋体"/>
                <w:color w:val="000000"/>
                <w:kern w:val="0"/>
                <w:sz w:val="18"/>
                <w:szCs w:val="18"/>
                <w:lang w:eastAsia="zh-CN" w:bidi="ar"/>
              </w:rPr>
              <w:t>不低于</w:t>
            </w:r>
            <w:r>
              <w:rPr>
                <w:rFonts w:hint="eastAsia" w:ascii="宋体" w:hAnsi="宋体" w:cs="宋体"/>
                <w:color w:val="000000"/>
                <w:kern w:val="0"/>
                <w:sz w:val="18"/>
                <w:szCs w:val="18"/>
                <w:lang w:bidi="ar"/>
              </w:rPr>
              <w:t xml:space="preserve"> 1 处压力</w:t>
            </w:r>
            <w:r>
              <w:rPr>
                <w:rFonts w:hint="eastAsia" w:ascii="宋体" w:hAnsi="宋体" w:cs="宋体"/>
                <w:color w:val="000000"/>
                <w:kern w:val="0"/>
                <w:sz w:val="18"/>
                <w:szCs w:val="18"/>
                <w:lang w:val="en-US" w:eastAsia="zh-CN" w:bidi="ar"/>
              </w:rPr>
              <w:t>监测点</w:t>
            </w:r>
            <w:r>
              <w:rPr>
                <w:rFonts w:hint="eastAsia" w:ascii="宋体" w:hAnsi="宋体" w:cs="宋体"/>
                <w:color w:val="000000"/>
                <w:kern w:val="0"/>
                <w:sz w:val="18"/>
                <w:szCs w:val="18"/>
                <w:lang w:eastAsia="zh-CN" w:bidi="ar"/>
              </w:rPr>
              <w:t>，</w:t>
            </w:r>
            <w:r>
              <w:rPr>
                <w:rFonts w:hint="eastAsia" w:ascii="宋体" w:hAnsi="宋体" w:cs="宋体"/>
                <w:color w:val="000000"/>
                <w:kern w:val="0"/>
                <w:sz w:val="18"/>
                <w:szCs w:val="18"/>
                <w:lang w:val="en-US" w:eastAsia="zh-CN" w:bidi="ar"/>
              </w:rPr>
              <w:t>其中管网</w:t>
            </w:r>
            <w:r>
              <w:rPr>
                <w:rFonts w:hint="eastAsia" w:ascii="宋体" w:hAnsi="宋体" w:eastAsia="宋体" w:cs="宋体"/>
                <w:bCs w:val="0"/>
                <w:color w:val="000000"/>
                <w:kern w:val="0"/>
                <w:sz w:val="18"/>
                <w:szCs w:val="18"/>
              </w:rPr>
              <w:t>末梢点</w:t>
            </w:r>
            <w:r>
              <w:rPr>
                <w:rFonts w:hint="eastAsia" w:ascii="宋体" w:hAnsi="宋体" w:eastAsia="宋体" w:cs="宋体"/>
                <w:bCs w:val="0"/>
                <w:color w:val="000000"/>
                <w:kern w:val="0"/>
                <w:sz w:val="18"/>
                <w:szCs w:val="18"/>
                <w:lang w:val="en-US" w:eastAsia="zh-CN"/>
              </w:rPr>
              <w:t>布设</w:t>
            </w:r>
            <w:r>
              <w:rPr>
                <w:rFonts w:hint="eastAsia" w:ascii="宋体" w:hAnsi="宋体" w:cs="宋体"/>
                <w:color w:val="000000"/>
                <w:kern w:val="0"/>
                <w:sz w:val="18"/>
                <w:szCs w:val="18"/>
                <w:lang w:bidi="ar"/>
              </w:rPr>
              <w:t>水质监测点（浑浊度、</w:t>
            </w:r>
            <w:r>
              <w:rPr>
                <w:rFonts w:hint="eastAsia" w:ascii="宋体" w:hAnsi="宋体" w:cs="宋体"/>
                <w:color w:val="000000"/>
                <w:kern w:val="0"/>
                <w:sz w:val="18"/>
                <w:szCs w:val="18"/>
                <w:lang w:val="en-US" w:eastAsia="zh-CN" w:bidi="ar"/>
              </w:rPr>
              <w:t>余氯</w:t>
            </w:r>
            <w:r>
              <w:rPr>
                <w:rFonts w:hint="eastAsia" w:ascii="宋体" w:hAnsi="宋体" w:cs="宋体"/>
                <w:color w:val="000000"/>
                <w:kern w:val="0"/>
                <w:sz w:val="18"/>
                <w:szCs w:val="18"/>
                <w:lang w:bidi="ar"/>
              </w:rPr>
              <w:t>）</w:t>
            </w:r>
            <w:r>
              <w:rPr>
                <w:rFonts w:hint="eastAsia" w:ascii="宋体" w:hAnsi="宋体" w:cs="宋体"/>
                <w:color w:val="000000"/>
                <w:kern w:val="0"/>
                <w:sz w:val="18"/>
                <w:szCs w:val="18"/>
                <w:lang w:eastAsia="zh-CN" w:bidi="ar"/>
              </w:rPr>
              <w:t>。</w:t>
            </w:r>
          </w:p>
        </w:tc>
      </w:tr>
      <w:tr w14:paraId="2428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807" w:type="dxa"/>
            <w:vMerge w:val="continue"/>
            <w:vAlign w:val="center"/>
          </w:tcPr>
          <w:p w14:paraId="53AE7EA6">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2168" w:type="dxa"/>
            <w:vMerge w:val="continue"/>
            <w:vAlign w:val="center"/>
          </w:tcPr>
          <w:p w14:paraId="3181146F">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320" w:type="dxa"/>
            <w:vAlign w:val="center"/>
          </w:tcPr>
          <w:p w14:paraId="373B288F">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压力</w:t>
            </w:r>
          </w:p>
        </w:tc>
        <w:tc>
          <w:tcPr>
            <w:tcW w:w="969" w:type="dxa"/>
            <w:vAlign w:val="center"/>
          </w:tcPr>
          <w:p w14:paraId="29CDD46C">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cs="宋体"/>
                <w:bCs/>
                <w:sz w:val="18"/>
                <w:szCs w:val="18"/>
              </w:rPr>
              <w:t>●</w:t>
            </w:r>
          </w:p>
        </w:tc>
        <w:tc>
          <w:tcPr>
            <w:tcW w:w="3316" w:type="dxa"/>
            <w:vMerge w:val="continue"/>
            <w:vAlign w:val="center"/>
          </w:tcPr>
          <w:p w14:paraId="26188CD4">
            <w:pPr>
              <w:widowControl/>
              <w:adjustRightInd w:val="0"/>
              <w:snapToGrid w:val="0"/>
              <w:spacing w:before="24" w:after="24" w:line="240" w:lineRule="auto"/>
              <w:jc w:val="center"/>
              <w:textAlignment w:val="center"/>
              <w:rPr>
                <w:rFonts w:hint="eastAsia" w:ascii="宋体" w:hAnsi="宋体" w:cs="宋体"/>
                <w:color w:val="000000"/>
                <w:kern w:val="0"/>
                <w:sz w:val="18"/>
                <w:szCs w:val="18"/>
                <w:lang w:bidi="ar"/>
              </w:rPr>
            </w:pPr>
          </w:p>
        </w:tc>
      </w:tr>
      <w:tr w14:paraId="7282E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807" w:type="dxa"/>
            <w:vMerge w:val="restart"/>
            <w:vAlign w:val="center"/>
          </w:tcPr>
          <w:p w14:paraId="1562098B">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2168" w:type="dxa"/>
            <w:vMerge w:val="restart"/>
            <w:vAlign w:val="center"/>
          </w:tcPr>
          <w:p w14:paraId="45AD4B11">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重要施工场</w:t>
            </w:r>
            <w:r>
              <w:rPr>
                <w:rFonts w:hint="eastAsia" w:ascii="宋体" w:hAnsi="宋体" w:cs="宋体"/>
                <w:color w:val="000000"/>
                <w:kern w:val="0"/>
                <w:sz w:val="18"/>
                <w:szCs w:val="18"/>
                <w:lang w:val="en-US" w:eastAsia="zh-CN"/>
              </w:rPr>
              <w:t>所</w:t>
            </w:r>
            <w:r>
              <w:rPr>
                <w:rFonts w:hint="eastAsia" w:ascii="宋体" w:hAnsi="宋体" w:cs="宋体"/>
                <w:color w:val="000000"/>
                <w:kern w:val="0"/>
                <w:sz w:val="18"/>
                <w:szCs w:val="18"/>
              </w:rPr>
              <w:t>管道：月用水量超过5000m³的施工场所的管道，以及施工作业对管道运行安全有较大影响的施工场所的输水管道。</w:t>
            </w:r>
          </w:p>
        </w:tc>
        <w:tc>
          <w:tcPr>
            <w:tcW w:w="1320" w:type="dxa"/>
            <w:vAlign w:val="center"/>
          </w:tcPr>
          <w:p w14:paraId="3BF084D3">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流量</w:t>
            </w:r>
          </w:p>
        </w:tc>
        <w:tc>
          <w:tcPr>
            <w:tcW w:w="969" w:type="dxa"/>
            <w:shd w:val="clear" w:color="auto" w:fill="auto"/>
            <w:vAlign w:val="center"/>
          </w:tcPr>
          <w:p w14:paraId="7228A520">
            <w:pPr>
              <w:keepNext/>
              <w:keepLines/>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cs="宋体"/>
                <w:bCs/>
                <w:sz w:val="18"/>
                <w:szCs w:val="18"/>
              </w:rPr>
              <w:t>●</w:t>
            </w:r>
          </w:p>
        </w:tc>
        <w:tc>
          <w:tcPr>
            <w:tcW w:w="3316" w:type="dxa"/>
            <w:vMerge w:val="restart"/>
            <w:vAlign w:val="center"/>
          </w:tcPr>
          <w:p w14:paraId="1F1426FD">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eastAsia="宋体" w:cs="宋体"/>
                <w:color w:val="000000"/>
                <w:kern w:val="0"/>
                <w:sz w:val="18"/>
                <w:szCs w:val="18"/>
                <w:lang w:val="en-US" w:eastAsia="zh-CN" w:bidi="ar"/>
              </w:rPr>
              <w:t>每处施工场所管道布设</w:t>
            </w:r>
            <w:r>
              <w:rPr>
                <w:rFonts w:hint="eastAsia" w:ascii="宋体" w:hAnsi="宋体" w:cs="宋体"/>
                <w:color w:val="000000"/>
                <w:kern w:val="0"/>
                <w:sz w:val="18"/>
                <w:szCs w:val="18"/>
                <w:lang w:val="en-US" w:eastAsia="zh-CN" w:bidi="ar"/>
              </w:rPr>
              <w:t>不低于</w:t>
            </w:r>
            <w:r>
              <w:rPr>
                <w:rFonts w:hint="eastAsia" w:ascii="宋体" w:hAnsi="宋体" w:eastAsia="宋体" w:cs="宋体"/>
                <w:color w:val="000000"/>
                <w:kern w:val="0"/>
                <w:sz w:val="18"/>
                <w:szCs w:val="18"/>
                <w:lang w:val="en-US" w:eastAsia="zh-CN" w:bidi="ar"/>
              </w:rPr>
              <w:t xml:space="preserve"> 1 处流量、压力监测点。</w:t>
            </w:r>
          </w:p>
        </w:tc>
      </w:tr>
      <w:tr w14:paraId="7D96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807" w:type="dxa"/>
            <w:vMerge w:val="continue"/>
            <w:vAlign w:val="center"/>
          </w:tcPr>
          <w:p w14:paraId="34DE4287">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2168" w:type="dxa"/>
            <w:vMerge w:val="continue"/>
            <w:vAlign w:val="center"/>
          </w:tcPr>
          <w:p w14:paraId="60D38052">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320" w:type="dxa"/>
            <w:vAlign w:val="center"/>
          </w:tcPr>
          <w:p w14:paraId="1EA57BCB">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压力</w:t>
            </w:r>
          </w:p>
        </w:tc>
        <w:tc>
          <w:tcPr>
            <w:tcW w:w="969" w:type="dxa"/>
            <w:shd w:val="clear" w:color="auto" w:fill="auto"/>
            <w:vAlign w:val="center"/>
          </w:tcPr>
          <w:p w14:paraId="6746FB20">
            <w:pPr>
              <w:keepNext/>
              <w:keepLines/>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cs="宋体"/>
                <w:bCs/>
                <w:sz w:val="18"/>
                <w:szCs w:val="18"/>
              </w:rPr>
              <w:t>●</w:t>
            </w:r>
          </w:p>
        </w:tc>
        <w:tc>
          <w:tcPr>
            <w:tcW w:w="3316" w:type="dxa"/>
            <w:vMerge w:val="continue"/>
            <w:vAlign w:val="center"/>
          </w:tcPr>
          <w:p w14:paraId="5E12E4D6">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
              </w:rPr>
            </w:pPr>
          </w:p>
        </w:tc>
      </w:tr>
      <w:tr w14:paraId="05C4C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807" w:type="dxa"/>
            <w:vMerge w:val="restart"/>
            <w:vAlign w:val="center"/>
          </w:tcPr>
          <w:p w14:paraId="2AD794A0">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6</w:t>
            </w:r>
          </w:p>
        </w:tc>
        <w:tc>
          <w:tcPr>
            <w:tcW w:w="2168" w:type="dxa"/>
            <w:vMerge w:val="restart"/>
            <w:vAlign w:val="center"/>
          </w:tcPr>
          <w:p w14:paraId="69860C74">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市政消火栓和阀门井盖：人员密集区域主干道路上的市政消火栓和阀门井盖等。</w:t>
            </w:r>
          </w:p>
        </w:tc>
        <w:tc>
          <w:tcPr>
            <w:tcW w:w="1320" w:type="dxa"/>
            <w:vAlign w:val="center"/>
          </w:tcPr>
          <w:p w14:paraId="58C39134">
            <w:pPr>
              <w:keepNext/>
              <w:keepLines/>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流量</w:t>
            </w:r>
          </w:p>
        </w:tc>
        <w:tc>
          <w:tcPr>
            <w:tcW w:w="969" w:type="dxa"/>
            <w:vAlign w:val="center"/>
          </w:tcPr>
          <w:p w14:paraId="054A1CDF">
            <w:pPr>
              <w:keepNext/>
              <w:keepLines/>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cs="宋体"/>
                <w:bCs/>
                <w:sz w:val="18"/>
                <w:szCs w:val="18"/>
              </w:rPr>
              <w:t>●</w:t>
            </w:r>
          </w:p>
        </w:tc>
        <w:tc>
          <w:tcPr>
            <w:tcW w:w="3316" w:type="dxa"/>
            <w:vMerge w:val="restart"/>
            <w:vAlign w:val="center"/>
          </w:tcPr>
          <w:p w14:paraId="0EF10ADC">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eastAsia="宋体" w:cs="宋体"/>
                <w:color w:val="000000"/>
                <w:kern w:val="0"/>
                <w:sz w:val="18"/>
                <w:szCs w:val="18"/>
                <w:lang w:val="en-US" w:eastAsia="zh-CN" w:bidi="ar"/>
              </w:rPr>
              <w:t>人员密集区域主干道路上的消火栓布设</w:t>
            </w:r>
            <w:r>
              <w:rPr>
                <w:rFonts w:hint="eastAsia" w:ascii="宋体" w:hAnsi="宋体" w:cs="宋体"/>
                <w:color w:val="000000"/>
                <w:kern w:val="0"/>
                <w:sz w:val="18"/>
                <w:szCs w:val="18"/>
                <w:lang w:val="en-US" w:eastAsia="zh-CN" w:bidi="ar"/>
              </w:rPr>
              <w:t>不低于</w:t>
            </w:r>
            <w:r>
              <w:rPr>
                <w:rFonts w:hint="eastAsia" w:ascii="宋体" w:hAnsi="宋体" w:eastAsia="宋体" w:cs="宋体"/>
                <w:color w:val="000000"/>
                <w:kern w:val="0"/>
                <w:sz w:val="18"/>
                <w:szCs w:val="18"/>
                <w:lang w:val="en-US" w:eastAsia="zh-CN" w:bidi="ar"/>
              </w:rPr>
              <w:t xml:space="preserve"> 1 处压力监测点和1 处流量监测（或智能消火栓）；关键阀门井盖布设状态监测设备。</w:t>
            </w:r>
          </w:p>
        </w:tc>
      </w:tr>
      <w:tr w14:paraId="29927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07" w:type="dxa"/>
            <w:vMerge w:val="continue"/>
            <w:vAlign w:val="center"/>
          </w:tcPr>
          <w:p w14:paraId="0B2461DF">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2168" w:type="dxa"/>
            <w:vMerge w:val="continue"/>
            <w:vAlign w:val="center"/>
          </w:tcPr>
          <w:p w14:paraId="1EBC9405">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320" w:type="dxa"/>
            <w:vAlign w:val="center"/>
          </w:tcPr>
          <w:p w14:paraId="503FA728">
            <w:pPr>
              <w:keepNext/>
              <w:keepLines/>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压力</w:t>
            </w:r>
          </w:p>
        </w:tc>
        <w:tc>
          <w:tcPr>
            <w:tcW w:w="969" w:type="dxa"/>
            <w:vAlign w:val="center"/>
          </w:tcPr>
          <w:p w14:paraId="202E2CAA">
            <w:pPr>
              <w:keepNext/>
              <w:keepLines/>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cs="宋体"/>
                <w:bCs/>
                <w:sz w:val="18"/>
                <w:szCs w:val="18"/>
              </w:rPr>
              <w:t>●</w:t>
            </w:r>
          </w:p>
        </w:tc>
        <w:tc>
          <w:tcPr>
            <w:tcW w:w="3316" w:type="dxa"/>
            <w:vMerge w:val="continue"/>
            <w:vAlign w:val="center"/>
          </w:tcPr>
          <w:p w14:paraId="53D3D391">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
              </w:rPr>
            </w:pPr>
          </w:p>
        </w:tc>
      </w:tr>
      <w:tr w14:paraId="09591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807" w:type="dxa"/>
            <w:vMerge w:val="continue"/>
            <w:vAlign w:val="center"/>
          </w:tcPr>
          <w:p w14:paraId="11319D30">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2168" w:type="dxa"/>
            <w:vMerge w:val="continue"/>
            <w:vAlign w:val="center"/>
          </w:tcPr>
          <w:p w14:paraId="3B2A264A">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320" w:type="dxa"/>
            <w:vAlign w:val="center"/>
          </w:tcPr>
          <w:p w14:paraId="4F3C88F0">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井盖监测</w:t>
            </w:r>
          </w:p>
        </w:tc>
        <w:tc>
          <w:tcPr>
            <w:tcW w:w="969" w:type="dxa"/>
            <w:vAlign w:val="center"/>
          </w:tcPr>
          <w:p w14:paraId="2EF3A801">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cs="宋体"/>
                <w:bCs/>
                <w:sz w:val="18"/>
                <w:szCs w:val="18"/>
              </w:rPr>
              <w:t>◎</w:t>
            </w:r>
          </w:p>
        </w:tc>
        <w:tc>
          <w:tcPr>
            <w:tcW w:w="3316" w:type="dxa"/>
            <w:vMerge w:val="continue"/>
            <w:vAlign w:val="center"/>
          </w:tcPr>
          <w:p w14:paraId="7393A6AB">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
              </w:rPr>
            </w:pPr>
          </w:p>
        </w:tc>
      </w:tr>
      <w:tr w14:paraId="3FDCA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7" w:type="dxa"/>
            <w:vMerge w:val="restart"/>
            <w:vAlign w:val="center"/>
          </w:tcPr>
          <w:p w14:paraId="507F62FF">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7</w:t>
            </w:r>
          </w:p>
        </w:tc>
        <w:tc>
          <w:tcPr>
            <w:tcW w:w="2168" w:type="dxa"/>
            <w:vMerge w:val="restart"/>
            <w:vAlign w:val="center"/>
          </w:tcPr>
          <w:p w14:paraId="4AD089D9">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重点供水用户</w:t>
            </w:r>
            <w:r>
              <w:rPr>
                <w:rFonts w:hint="eastAsia" w:ascii="宋体" w:hAnsi="宋体" w:cs="宋体"/>
                <w:color w:val="000000"/>
                <w:kern w:val="0"/>
                <w:sz w:val="18"/>
                <w:szCs w:val="18"/>
                <w:lang w:val="en-US" w:eastAsia="zh-CN"/>
              </w:rPr>
              <w:t>的管道</w:t>
            </w:r>
          </w:p>
        </w:tc>
        <w:tc>
          <w:tcPr>
            <w:tcW w:w="1320" w:type="dxa"/>
            <w:shd w:val="clear" w:color="auto" w:fill="auto"/>
            <w:vAlign w:val="center"/>
          </w:tcPr>
          <w:p w14:paraId="2A356DC0">
            <w:pPr>
              <w:keepNext/>
              <w:keepLines/>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ascii="宋体" w:hAnsi="宋体" w:cs="宋体"/>
                <w:color w:val="000000"/>
                <w:kern w:val="0"/>
                <w:sz w:val="18"/>
                <w:szCs w:val="18"/>
              </w:rPr>
              <w:t>水质（浑浊度，余氯）</w:t>
            </w:r>
          </w:p>
        </w:tc>
        <w:tc>
          <w:tcPr>
            <w:tcW w:w="969" w:type="dxa"/>
            <w:shd w:val="clear" w:color="auto" w:fill="auto"/>
            <w:vAlign w:val="center"/>
          </w:tcPr>
          <w:p w14:paraId="26220E3D">
            <w:pPr>
              <w:keepNext/>
              <w:keepLines/>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cs="宋体"/>
                <w:bCs/>
                <w:sz w:val="18"/>
                <w:szCs w:val="18"/>
              </w:rPr>
              <w:t>●</w:t>
            </w:r>
          </w:p>
        </w:tc>
        <w:tc>
          <w:tcPr>
            <w:tcW w:w="3316" w:type="dxa"/>
            <w:vMerge w:val="restart"/>
            <w:vAlign w:val="center"/>
          </w:tcPr>
          <w:p w14:paraId="219951FA">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bCs/>
                <w:color w:val="auto"/>
                <w:sz w:val="21"/>
                <w:szCs w:val="21"/>
                <w:lang w:val="en-US" w:eastAsia="zh-CN"/>
              </w:rPr>
              <w:t>每处</w:t>
            </w:r>
            <w:r>
              <w:rPr>
                <w:rFonts w:hint="eastAsia" w:ascii="宋体" w:hAnsi="宋体" w:eastAsia="宋体"/>
                <w:bCs/>
                <w:color w:val="auto"/>
                <w:sz w:val="21"/>
                <w:szCs w:val="21"/>
              </w:rPr>
              <w:t>重点供水用户</w:t>
            </w:r>
            <w:r>
              <w:rPr>
                <w:rFonts w:hint="eastAsia" w:ascii="宋体" w:hAnsi="宋体"/>
                <w:bCs/>
                <w:color w:val="auto"/>
                <w:sz w:val="21"/>
                <w:szCs w:val="21"/>
                <w:lang w:val="en-US" w:eastAsia="zh-CN"/>
              </w:rPr>
              <w:t>的管道</w:t>
            </w:r>
            <w:r>
              <w:rPr>
                <w:rFonts w:hint="eastAsia" w:ascii="宋体" w:hAnsi="宋体"/>
                <w:bCs/>
                <w:color w:val="auto"/>
                <w:szCs w:val="21"/>
                <w:lang w:eastAsia="zh-CN"/>
              </w:rPr>
              <w:t>，</w:t>
            </w:r>
            <w:r>
              <w:rPr>
                <w:rFonts w:hint="eastAsia" w:ascii="宋体" w:hAnsi="宋体" w:eastAsia="宋体" w:cs="宋体"/>
                <w:color w:val="000000"/>
                <w:kern w:val="0"/>
                <w:sz w:val="18"/>
                <w:szCs w:val="18"/>
                <w:lang w:bidi="ar"/>
              </w:rPr>
              <w:t>布设</w:t>
            </w:r>
            <w:r>
              <w:rPr>
                <w:rFonts w:hint="eastAsia" w:ascii="宋体" w:hAnsi="宋体" w:cs="宋体"/>
                <w:color w:val="000000"/>
                <w:kern w:val="0"/>
                <w:sz w:val="18"/>
                <w:szCs w:val="18"/>
                <w:lang w:eastAsia="zh-CN" w:bidi="ar"/>
              </w:rPr>
              <w:t>不低于</w:t>
            </w:r>
            <w:r>
              <w:rPr>
                <w:rFonts w:hint="eastAsia" w:ascii="宋体" w:hAnsi="宋体" w:eastAsia="宋体" w:cs="宋体"/>
                <w:color w:val="000000"/>
                <w:kern w:val="0"/>
                <w:sz w:val="18"/>
                <w:szCs w:val="18"/>
                <w:lang w:bidi="ar"/>
              </w:rPr>
              <w:t xml:space="preserve"> 1 处</w:t>
            </w:r>
            <w:r>
              <w:rPr>
                <w:rFonts w:hint="eastAsia" w:ascii="宋体" w:hAnsi="宋体" w:cs="宋体"/>
                <w:color w:val="000000"/>
                <w:kern w:val="0"/>
                <w:sz w:val="18"/>
                <w:szCs w:val="18"/>
              </w:rPr>
              <w:t>（浑浊度，余氯）</w:t>
            </w:r>
            <w:r>
              <w:rPr>
                <w:rFonts w:hint="eastAsia" w:ascii="宋体" w:hAnsi="宋体" w:eastAsia="宋体" w:cs="宋体"/>
                <w:color w:val="000000"/>
                <w:kern w:val="0"/>
                <w:sz w:val="18"/>
                <w:szCs w:val="18"/>
                <w:lang w:bidi="ar"/>
              </w:rPr>
              <w:t>、</w:t>
            </w:r>
            <w:r>
              <w:rPr>
                <w:rFonts w:hint="eastAsia" w:ascii="宋体" w:hAnsi="宋体" w:cs="宋体"/>
                <w:color w:val="000000"/>
                <w:kern w:val="0"/>
                <w:sz w:val="18"/>
                <w:szCs w:val="18"/>
                <w:lang w:val="en-US" w:eastAsia="zh-CN" w:bidi="ar"/>
              </w:rPr>
              <w:t>水质</w:t>
            </w:r>
            <w:r>
              <w:rPr>
                <w:rFonts w:hint="eastAsia" w:ascii="宋体" w:hAnsi="宋体" w:eastAsia="宋体" w:cs="宋体"/>
                <w:color w:val="000000"/>
                <w:kern w:val="0"/>
                <w:sz w:val="18"/>
                <w:szCs w:val="18"/>
                <w:lang w:val="en-US" w:eastAsia="zh-CN" w:bidi="ar"/>
              </w:rPr>
              <w:t>流量</w:t>
            </w:r>
            <w:r>
              <w:rPr>
                <w:rFonts w:hint="eastAsia" w:ascii="宋体" w:hAnsi="宋体" w:eastAsia="宋体" w:cs="宋体"/>
                <w:color w:val="000000"/>
                <w:kern w:val="0"/>
                <w:sz w:val="18"/>
                <w:szCs w:val="18"/>
                <w:lang w:bidi="ar"/>
              </w:rPr>
              <w:t>、</w:t>
            </w:r>
            <w:r>
              <w:rPr>
                <w:rFonts w:hint="eastAsia" w:ascii="宋体" w:hAnsi="宋体" w:eastAsia="宋体" w:cs="宋体"/>
                <w:color w:val="000000"/>
                <w:kern w:val="0"/>
                <w:sz w:val="18"/>
                <w:szCs w:val="18"/>
                <w:lang w:val="en-US" w:eastAsia="zh-CN" w:bidi="ar"/>
              </w:rPr>
              <w:t>压力</w:t>
            </w:r>
            <w:r>
              <w:rPr>
                <w:rFonts w:hint="eastAsia" w:ascii="宋体" w:hAnsi="宋体" w:eastAsia="宋体" w:cs="宋体"/>
                <w:color w:val="000000"/>
                <w:kern w:val="0"/>
                <w:sz w:val="18"/>
                <w:szCs w:val="18"/>
                <w:lang w:bidi="ar"/>
              </w:rPr>
              <w:t>监测点</w:t>
            </w:r>
            <w:r>
              <w:rPr>
                <w:rFonts w:hint="eastAsia" w:ascii="宋体" w:hAnsi="宋体" w:cs="宋体"/>
                <w:color w:val="000000"/>
                <w:kern w:val="0"/>
                <w:sz w:val="18"/>
                <w:szCs w:val="18"/>
                <w:lang w:eastAsia="zh-CN" w:bidi="ar"/>
              </w:rPr>
              <w:t>。</w:t>
            </w:r>
          </w:p>
        </w:tc>
      </w:tr>
      <w:tr w14:paraId="65197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07" w:type="dxa"/>
            <w:vMerge w:val="continue"/>
            <w:vAlign w:val="center"/>
          </w:tcPr>
          <w:p w14:paraId="56DFCF8A">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2168" w:type="dxa"/>
            <w:vMerge w:val="continue"/>
            <w:vAlign w:val="center"/>
          </w:tcPr>
          <w:p w14:paraId="4037F4AD">
            <w:pPr>
              <w:widowControl/>
              <w:adjustRightInd w:val="0"/>
              <w:snapToGrid w:val="0"/>
              <w:spacing w:before="24" w:after="24" w:line="240" w:lineRule="auto"/>
              <w:jc w:val="center"/>
              <w:textAlignment w:val="center"/>
              <w:rPr>
                <w:rFonts w:hint="eastAsia" w:ascii="宋体" w:hAnsi="宋体" w:eastAsia="宋体"/>
                <w:bCs/>
                <w:color w:val="auto"/>
                <w:sz w:val="21"/>
                <w:szCs w:val="21"/>
              </w:rPr>
            </w:pPr>
          </w:p>
        </w:tc>
        <w:tc>
          <w:tcPr>
            <w:tcW w:w="1320" w:type="dxa"/>
            <w:shd w:val="clear" w:color="auto" w:fill="auto"/>
            <w:vAlign w:val="center"/>
          </w:tcPr>
          <w:p w14:paraId="534A9E67">
            <w:pPr>
              <w:keepNext/>
              <w:keepLines/>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ascii="宋体" w:hAnsi="宋体" w:cs="宋体"/>
                <w:color w:val="000000"/>
                <w:kern w:val="0"/>
                <w:sz w:val="18"/>
                <w:szCs w:val="18"/>
              </w:rPr>
              <w:t>流量</w:t>
            </w:r>
          </w:p>
        </w:tc>
        <w:tc>
          <w:tcPr>
            <w:tcW w:w="969" w:type="dxa"/>
            <w:shd w:val="clear" w:color="auto" w:fill="auto"/>
            <w:vAlign w:val="center"/>
          </w:tcPr>
          <w:p w14:paraId="389C4B41">
            <w:pPr>
              <w:keepNext/>
              <w:keepLines/>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cs="宋体"/>
                <w:bCs/>
                <w:sz w:val="18"/>
                <w:szCs w:val="18"/>
              </w:rPr>
              <w:t>●</w:t>
            </w:r>
          </w:p>
        </w:tc>
        <w:tc>
          <w:tcPr>
            <w:tcW w:w="3316" w:type="dxa"/>
            <w:vMerge w:val="continue"/>
            <w:vAlign w:val="center"/>
          </w:tcPr>
          <w:p w14:paraId="5DC77D97">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
              </w:rPr>
            </w:pPr>
          </w:p>
        </w:tc>
      </w:tr>
      <w:tr w14:paraId="02370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807" w:type="dxa"/>
            <w:vMerge w:val="continue"/>
            <w:vAlign w:val="center"/>
          </w:tcPr>
          <w:p w14:paraId="0FF3376F">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2168" w:type="dxa"/>
            <w:vMerge w:val="continue"/>
            <w:vAlign w:val="center"/>
          </w:tcPr>
          <w:p w14:paraId="7D930D69">
            <w:pPr>
              <w:widowControl/>
              <w:adjustRightInd w:val="0"/>
              <w:snapToGrid w:val="0"/>
              <w:spacing w:before="24" w:after="24" w:line="240" w:lineRule="auto"/>
              <w:jc w:val="center"/>
              <w:textAlignment w:val="center"/>
              <w:rPr>
                <w:rFonts w:hint="eastAsia" w:ascii="宋体" w:hAnsi="宋体" w:eastAsia="宋体"/>
                <w:bCs/>
                <w:color w:val="auto"/>
                <w:sz w:val="21"/>
                <w:szCs w:val="21"/>
              </w:rPr>
            </w:pPr>
          </w:p>
        </w:tc>
        <w:tc>
          <w:tcPr>
            <w:tcW w:w="1320" w:type="dxa"/>
            <w:shd w:val="clear" w:color="auto" w:fill="auto"/>
            <w:vAlign w:val="center"/>
          </w:tcPr>
          <w:p w14:paraId="774C3CC7">
            <w:pPr>
              <w:keepNext/>
              <w:keepLines/>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ascii="宋体" w:hAnsi="宋体" w:cs="宋体"/>
                <w:color w:val="000000"/>
                <w:kern w:val="0"/>
                <w:sz w:val="18"/>
                <w:szCs w:val="18"/>
              </w:rPr>
              <w:t>压力</w:t>
            </w:r>
          </w:p>
        </w:tc>
        <w:tc>
          <w:tcPr>
            <w:tcW w:w="969" w:type="dxa"/>
            <w:shd w:val="clear" w:color="auto" w:fill="auto"/>
            <w:vAlign w:val="center"/>
          </w:tcPr>
          <w:p w14:paraId="2AE30DF3">
            <w:pPr>
              <w:keepNext/>
              <w:keepLines/>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cs="宋体"/>
                <w:bCs/>
                <w:sz w:val="18"/>
                <w:szCs w:val="18"/>
              </w:rPr>
              <w:t>●</w:t>
            </w:r>
          </w:p>
        </w:tc>
        <w:tc>
          <w:tcPr>
            <w:tcW w:w="3316" w:type="dxa"/>
            <w:vMerge w:val="continue"/>
            <w:vAlign w:val="center"/>
          </w:tcPr>
          <w:p w14:paraId="7916B87E">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
              </w:rPr>
            </w:pPr>
          </w:p>
        </w:tc>
      </w:tr>
      <w:tr w14:paraId="07ED4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580" w:type="dxa"/>
            <w:gridSpan w:val="5"/>
            <w:vAlign w:val="center"/>
          </w:tcPr>
          <w:p w14:paraId="1A75D312">
            <w:pPr>
              <w:pStyle w:val="146"/>
              <w:keepNext w:val="0"/>
              <w:keepLines w:val="0"/>
              <w:pageBreakBefore w:val="0"/>
              <w:widowControl/>
              <w:kinsoku/>
              <w:wordWrap/>
              <w:overflowPunct/>
              <w:topLinePunct w:val="0"/>
              <w:autoSpaceDE/>
              <w:autoSpaceDN/>
              <w:bidi w:val="0"/>
              <w:snapToGrid w:val="0"/>
              <w:spacing w:line="240" w:lineRule="auto"/>
              <w:jc w:val="both"/>
              <w:rPr>
                <w:rFonts w:cs="宋体"/>
                <w:bCs/>
                <w:sz w:val="18"/>
                <w:szCs w:val="18"/>
              </w:rPr>
            </w:pPr>
            <w:r>
              <w:rPr>
                <w:rFonts w:hint="eastAsia" w:cs="宋体"/>
                <w:bCs/>
                <w:sz w:val="18"/>
                <w:szCs w:val="18"/>
              </w:rPr>
              <w:t>注：</w:t>
            </w:r>
            <w:r>
              <w:rPr>
                <w:rFonts w:cs="宋体"/>
                <w:bCs/>
                <w:sz w:val="18"/>
                <w:szCs w:val="18"/>
              </w:rPr>
              <w:t>1.</w:t>
            </w:r>
            <w:r>
              <w:rPr>
                <w:rFonts w:hint="eastAsia" w:cs="宋体"/>
                <w:bCs/>
                <w:sz w:val="18"/>
                <w:szCs w:val="18"/>
              </w:rPr>
              <w:t>“●”表示必选监测项、“◎”表示宜选监测项、“○”表示可选监测项；</w:t>
            </w:r>
          </w:p>
          <w:p w14:paraId="785F5AE2">
            <w:pPr>
              <w:widowControl/>
              <w:adjustRightInd w:val="0"/>
              <w:snapToGrid w:val="0"/>
              <w:spacing w:before="24" w:after="24" w:line="240" w:lineRule="auto"/>
              <w:ind w:firstLine="360" w:firstLineChars="200"/>
              <w:jc w:val="both"/>
              <w:textAlignment w:val="center"/>
              <w:rPr>
                <w:rFonts w:hint="eastAsia" w:ascii="宋体" w:hAnsi="宋体" w:eastAsia="宋体" w:cs="宋体"/>
                <w:color w:val="000000"/>
                <w:kern w:val="0"/>
                <w:sz w:val="18"/>
                <w:szCs w:val="18"/>
                <w:lang w:val="en-US" w:eastAsia="zh-CN" w:bidi="ar"/>
              </w:rPr>
            </w:pPr>
            <w:r>
              <w:rPr>
                <w:rFonts w:hint="eastAsia" w:cs="宋体"/>
                <w:bCs/>
                <w:sz w:val="18"/>
                <w:szCs w:val="18"/>
                <w:lang w:val="en-US" w:eastAsia="zh-CN"/>
              </w:rPr>
              <w:t>2.</w:t>
            </w:r>
            <w:r>
              <w:rPr>
                <w:rFonts w:hint="eastAsia" w:cs="宋体"/>
                <w:bCs/>
                <w:sz w:val="18"/>
                <w:szCs w:val="18"/>
              </w:rPr>
              <w:t>“―”表示</w:t>
            </w:r>
            <w:r>
              <w:rPr>
                <w:rFonts w:hint="eastAsia" w:cs="宋体"/>
                <w:bCs/>
                <w:sz w:val="18"/>
                <w:szCs w:val="18"/>
                <w:lang w:val="en-US" w:eastAsia="zh-CN"/>
              </w:rPr>
              <w:t>监</w:t>
            </w:r>
            <w:r>
              <w:rPr>
                <w:rFonts w:hint="eastAsia" w:cs="宋体"/>
                <w:bCs/>
                <w:sz w:val="18"/>
                <w:szCs w:val="18"/>
              </w:rPr>
              <w:t>测点布设可根据</w:t>
            </w:r>
            <w:r>
              <w:rPr>
                <w:rFonts w:hint="eastAsia" w:cs="宋体"/>
                <w:bCs/>
                <w:sz w:val="18"/>
                <w:szCs w:val="18"/>
                <w:lang w:eastAsia="zh-CN"/>
              </w:rPr>
              <w:t>现场情况</w:t>
            </w:r>
            <w:r>
              <w:rPr>
                <w:rFonts w:hint="eastAsia" w:cs="宋体"/>
                <w:bCs/>
                <w:sz w:val="18"/>
                <w:szCs w:val="18"/>
              </w:rPr>
              <w:t>选择适当位置</w:t>
            </w:r>
            <w:r>
              <w:rPr>
                <w:rFonts w:hint="eastAsia" w:cs="宋体"/>
                <w:bCs/>
                <w:sz w:val="18"/>
                <w:szCs w:val="18"/>
                <w:lang w:eastAsia="zh-CN"/>
              </w:rPr>
              <w:t>。</w:t>
            </w:r>
          </w:p>
        </w:tc>
      </w:tr>
    </w:tbl>
    <w:p w14:paraId="7A80DD42">
      <w:pPr>
        <w:pStyle w:val="98"/>
        <w:spacing w:before="24" w:after="24"/>
        <w:jc w:val="center"/>
        <w:rPr>
          <w:rFonts w:hint="eastAsia" w:ascii="黑体" w:hAnsi="黑体" w:eastAsia="黑体"/>
          <w:bCs/>
          <w:color w:val="auto"/>
          <w:lang w:val="en-US" w:eastAsia="zh-CN"/>
        </w:rPr>
      </w:pPr>
    </w:p>
    <w:p w14:paraId="352093ED">
      <w:pPr>
        <w:rPr>
          <w:rFonts w:hint="eastAsia" w:ascii="黑体" w:hAnsi="黑体" w:eastAsia="黑体"/>
          <w:bCs/>
          <w:color w:val="auto"/>
          <w:lang w:val="en-US" w:eastAsia="zh-CN"/>
        </w:rPr>
      </w:pPr>
      <w:r>
        <w:rPr>
          <w:rFonts w:hint="eastAsia"/>
          <w:b w:val="0"/>
          <w:bCs w:val="0"/>
          <w:lang w:val="en-US" w:eastAsia="zh-CN"/>
        </w:rPr>
        <w:t>二次供水设施监测布点要求见表B.2.3。</w:t>
      </w:r>
    </w:p>
    <w:p w14:paraId="4381093C">
      <w:pPr>
        <w:pStyle w:val="98"/>
        <w:spacing w:before="24" w:after="24"/>
        <w:jc w:val="center"/>
        <w:rPr>
          <w:rFonts w:ascii="黑体" w:hAnsi="黑体" w:eastAsia="黑体"/>
          <w:bCs/>
          <w:color w:val="auto"/>
        </w:rPr>
      </w:pPr>
      <w:r>
        <w:rPr>
          <w:rFonts w:hint="eastAsia" w:ascii="黑体" w:hAnsi="黑体" w:eastAsia="黑体"/>
          <w:bCs/>
          <w:color w:val="auto"/>
          <w:lang w:val="en-US" w:eastAsia="zh-CN"/>
        </w:rPr>
        <w:t xml:space="preserve">B.2.3 </w:t>
      </w:r>
      <w:r>
        <w:rPr>
          <w:rFonts w:hint="eastAsia" w:ascii="黑体" w:hAnsi="黑体" w:eastAsia="黑体"/>
          <w:bCs/>
          <w:color w:val="auto"/>
        </w:rPr>
        <w:t>二次供水设施</w:t>
      </w:r>
      <w:r>
        <w:rPr>
          <w:rFonts w:hint="eastAsia" w:ascii="黑体" w:hAnsi="黑体" w:eastAsia="黑体"/>
          <w:bCs/>
          <w:color w:val="auto"/>
          <w:lang w:val="en-US" w:eastAsia="zh-CN"/>
        </w:rPr>
        <w:t>监测</w:t>
      </w:r>
      <w:r>
        <w:rPr>
          <w:rFonts w:hint="eastAsia" w:ascii="黑体" w:hAnsi="黑体" w:eastAsia="黑体"/>
          <w:bCs/>
          <w:color w:val="auto"/>
        </w:rPr>
        <w:t>布点要求</w:t>
      </w:r>
    </w:p>
    <w:tbl>
      <w:tblPr>
        <w:tblStyle w:val="35"/>
        <w:tblW w:w="87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2155"/>
        <w:gridCol w:w="1251"/>
        <w:gridCol w:w="1039"/>
        <w:gridCol w:w="3314"/>
      </w:tblGrid>
      <w:tr w14:paraId="15383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6" w:type="dxa"/>
            <w:vAlign w:val="center"/>
          </w:tcPr>
          <w:p w14:paraId="2063A311">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序号</w:t>
            </w:r>
          </w:p>
        </w:tc>
        <w:tc>
          <w:tcPr>
            <w:tcW w:w="2155" w:type="dxa"/>
            <w:vAlign w:val="center"/>
          </w:tcPr>
          <w:p w14:paraId="01518ED3">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监测对象</w:t>
            </w:r>
          </w:p>
        </w:tc>
        <w:tc>
          <w:tcPr>
            <w:tcW w:w="1251" w:type="dxa"/>
            <w:vAlign w:val="center"/>
          </w:tcPr>
          <w:p w14:paraId="1669D12F">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监测指标</w:t>
            </w:r>
          </w:p>
        </w:tc>
        <w:tc>
          <w:tcPr>
            <w:tcW w:w="1039" w:type="dxa"/>
            <w:vAlign w:val="center"/>
          </w:tcPr>
          <w:p w14:paraId="6296987C">
            <w:pPr>
              <w:widowControl/>
              <w:adjustRightInd w:val="0"/>
              <w:snapToGrid w:val="0"/>
              <w:spacing w:before="24" w:after="24" w:line="240" w:lineRule="auto"/>
              <w:jc w:val="center"/>
              <w:textAlignment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监测要求</w:t>
            </w:r>
          </w:p>
        </w:tc>
        <w:tc>
          <w:tcPr>
            <w:tcW w:w="3314" w:type="dxa"/>
            <w:vAlign w:val="center"/>
          </w:tcPr>
          <w:p w14:paraId="47CF772B">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监测</w:t>
            </w:r>
            <w:r>
              <w:rPr>
                <w:rFonts w:hint="eastAsia" w:ascii="宋体" w:hAnsi="宋体" w:cs="宋体"/>
                <w:color w:val="000000"/>
                <w:kern w:val="0"/>
                <w:sz w:val="18"/>
                <w:szCs w:val="18"/>
                <w:lang w:val="en-US" w:eastAsia="zh-CN"/>
              </w:rPr>
              <w:t>布点</w:t>
            </w:r>
            <w:r>
              <w:rPr>
                <w:rFonts w:hint="eastAsia" w:ascii="宋体" w:hAnsi="宋体" w:cs="宋体"/>
                <w:color w:val="000000"/>
                <w:kern w:val="0"/>
                <w:sz w:val="18"/>
                <w:szCs w:val="18"/>
              </w:rPr>
              <w:t>要求</w:t>
            </w:r>
          </w:p>
        </w:tc>
      </w:tr>
      <w:tr w14:paraId="691A3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036" w:type="dxa"/>
            <w:vMerge w:val="restart"/>
            <w:vAlign w:val="center"/>
          </w:tcPr>
          <w:p w14:paraId="3443F8F2">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2155" w:type="dxa"/>
            <w:vMerge w:val="restart"/>
            <w:vAlign w:val="center"/>
          </w:tcPr>
          <w:p w14:paraId="7639044C">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重点防护目标的二次供水设施和发生过水质污染事件的二次供水设施。</w:t>
            </w:r>
          </w:p>
        </w:tc>
        <w:tc>
          <w:tcPr>
            <w:tcW w:w="1251" w:type="dxa"/>
            <w:shd w:val="clear" w:color="auto" w:fill="auto"/>
            <w:vAlign w:val="center"/>
          </w:tcPr>
          <w:p w14:paraId="160B9DB7">
            <w:pPr>
              <w:keepNext/>
              <w:keepLines/>
              <w:widowControl/>
              <w:adjustRightInd w:val="0"/>
              <w:snapToGrid w:val="0"/>
              <w:spacing w:before="24" w:after="24" w:line="240" w:lineRule="auto"/>
              <w:jc w:val="center"/>
              <w:textAlignment w:val="center"/>
              <w:rPr>
                <w:rFonts w:ascii="宋体" w:hAnsi="宋体" w:eastAsia="宋体" w:cs="宋体"/>
                <w:color w:val="000000"/>
                <w:kern w:val="0"/>
                <w:sz w:val="18"/>
                <w:szCs w:val="18"/>
                <w:lang w:val="en-US" w:eastAsia="zh-CN" w:bidi="ar-SA"/>
              </w:rPr>
            </w:pPr>
            <w:r>
              <w:rPr>
                <w:rFonts w:hint="eastAsia" w:ascii="宋体" w:hAnsi="宋体" w:cs="宋体"/>
                <w:color w:val="000000"/>
                <w:kern w:val="0"/>
                <w:sz w:val="18"/>
                <w:szCs w:val="18"/>
              </w:rPr>
              <w:t>水质（浑浊度，余氯）</w:t>
            </w:r>
          </w:p>
        </w:tc>
        <w:tc>
          <w:tcPr>
            <w:tcW w:w="1039" w:type="dxa"/>
            <w:shd w:val="clear" w:color="auto" w:fill="auto"/>
            <w:vAlign w:val="center"/>
          </w:tcPr>
          <w:p w14:paraId="1195CF72">
            <w:pPr>
              <w:keepNext/>
              <w:keepLines/>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cs="宋体"/>
                <w:bCs/>
                <w:sz w:val="18"/>
                <w:szCs w:val="18"/>
              </w:rPr>
              <w:t>●</w:t>
            </w:r>
          </w:p>
        </w:tc>
        <w:tc>
          <w:tcPr>
            <w:tcW w:w="3314" w:type="dxa"/>
            <w:vMerge w:val="restart"/>
            <w:vAlign w:val="center"/>
          </w:tcPr>
          <w:p w14:paraId="16FE47E2">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二次供水设施应布设</w:t>
            </w:r>
            <w:r>
              <w:rPr>
                <w:rFonts w:hint="eastAsia" w:ascii="宋体" w:hAnsi="宋体" w:cs="宋体"/>
                <w:color w:val="000000"/>
                <w:kern w:val="0"/>
                <w:sz w:val="18"/>
                <w:szCs w:val="18"/>
                <w:lang w:eastAsia="zh-CN"/>
              </w:rPr>
              <w:t>不低于</w:t>
            </w:r>
            <w:r>
              <w:rPr>
                <w:rFonts w:hint="eastAsia" w:ascii="宋体" w:hAnsi="宋体" w:cs="宋体"/>
                <w:color w:val="000000"/>
                <w:kern w:val="0"/>
                <w:sz w:val="18"/>
                <w:szCs w:val="18"/>
              </w:rPr>
              <w:t xml:space="preserve"> 1 处水质监测点（浑浊度、余氯）；二次供水设施水箱（水池）应布设液位监测点；二次供水设施进出水管应分别布设压力、流量监测点；设施周边</w:t>
            </w:r>
            <w:r>
              <w:rPr>
                <w:rFonts w:hint="eastAsia" w:ascii="宋体" w:hAnsi="宋体" w:cs="宋体"/>
                <w:color w:val="000000"/>
                <w:kern w:val="0"/>
                <w:sz w:val="18"/>
                <w:szCs w:val="18"/>
                <w:lang w:val="en-US" w:eastAsia="zh-CN"/>
              </w:rPr>
              <w:t>宜</w:t>
            </w:r>
            <w:r>
              <w:rPr>
                <w:rFonts w:hint="eastAsia" w:ascii="宋体" w:hAnsi="宋体" w:cs="宋体"/>
                <w:color w:val="000000"/>
                <w:kern w:val="0"/>
                <w:sz w:val="18"/>
                <w:szCs w:val="18"/>
              </w:rPr>
              <w:t>布设</w:t>
            </w:r>
            <w:r>
              <w:rPr>
                <w:rFonts w:hint="eastAsia" w:ascii="宋体" w:hAnsi="宋体" w:cs="宋体"/>
                <w:color w:val="000000"/>
                <w:kern w:val="0"/>
                <w:sz w:val="18"/>
                <w:szCs w:val="18"/>
                <w:lang w:eastAsia="zh-CN"/>
              </w:rPr>
              <w:t>视频监控</w:t>
            </w:r>
            <w:r>
              <w:rPr>
                <w:rFonts w:hint="eastAsia" w:ascii="宋体" w:hAnsi="宋体" w:cs="宋体"/>
                <w:color w:val="000000"/>
                <w:kern w:val="0"/>
                <w:sz w:val="18"/>
                <w:szCs w:val="18"/>
              </w:rPr>
              <w:t>（</w:t>
            </w:r>
            <w:r>
              <w:rPr>
                <w:rFonts w:hint="eastAsia" w:ascii="宋体" w:hAnsi="宋体" w:cs="宋体"/>
                <w:color w:val="000000"/>
                <w:kern w:val="0"/>
                <w:sz w:val="18"/>
                <w:szCs w:val="18"/>
                <w:lang w:eastAsia="zh-CN"/>
              </w:rPr>
              <w:t>不低于</w:t>
            </w:r>
            <w:r>
              <w:rPr>
                <w:rFonts w:hint="eastAsia" w:ascii="宋体" w:hAnsi="宋体" w:cs="宋体"/>
                <w:color w:val="000000"/>
                <w:kern w:val="0"/>
                <w:sz w:val="18"/>
                <w:szCs w:val="18"/>
              </w:rPr>
              <w:t xml:space="preserve"> 1 处），实时监测设施运行及防护情况。</w:t>
            </w:r>
          </w:p>
        </w:tc>
      </w:tr>
      <w:tr w14:paraId="2BA6C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6" w:type="dxa"/>
            <w:vMerge w:val="continue"/>
            <w:vAlign w:val="center"/>
          </w:tcPr>
          <w:p w14:paraId="017A2ED5">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2155" w:type="dxa"/>
            <w:vMerge w:val="continue"/>
            <w:vAlign w:val="center"/>
          </w:tcPr>
          <w:p w14:paraId="2E042176">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251" w:type="dxa"/>
            <w:shd w:val="clear" w:color="auto" w:fill="auto"/>
            <w:vAlign w:val="center"/>
          </w:tcPr>
          <w:p w14:paraId="1F667521">
            <w:pPr>
              <w:keepNext/>
              <w:keepLines/>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ascii="宋体" w:hAnsi="宋体" w:cs="宋体"/>
                <w:color w:val="000000"/>
                <w:kern w:val="0"/>
                <w:sz w:val="18"/>
                <w:szCs w:val="18"/>
              </w:rPr>
              <w:t>流量</w:t>
            </w:r>
          </w:p>
        </w:tc>
        <w:tc>
          <w:tcPr>
            <w:tcW w:w="1039" w:type="dxa"/>
            <w:shd w:val="clear" w:color="auto" w:fill="auto"/>
            <w:vAlign w:val="center"/>
          </w:tcPr>
          <w:p w14:paraId="5FEFEB9E">
            <w:pPr>
              <w:keepNext/>
              <w:keepLines/>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cs="宋体"/>
                <w:bCs/>
                <w:sz w:val="18"/>
                <w:szCs w:val="18"/>
              </w:rPr>
              <w:t>●</w:t>
            </w:r>
          </w:p>
        </w:tc>
        <w:tc>
          <w:tcPr>
            <w:tcW w:w="3314" w:type="dxa"/>
            <w:vMerge w:val="continue"/>
            <w:vAlign w:val="center"/>
          </w:tcPr>
          <w:p w14:paraId="4CCF2F50">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r>
      <w:tr w14:paraId="45BF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036" w:type="dxa"/>
            <w:vMerge w:val="continue"/>
            <w:vAlign w:val="center"/>
          </w:tcPr>
          <w:p w14:paraId="073C9EA8">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2155" w:type="dxa"/>
            <w:vMerge w:val="continue"/>
            <w:vAlign w:val="center"/>
          </w:tcPr>
          <w:p w14:paraId="79276432">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251" w:type="dxa"/>
            <w:shd w:val="clear" w:color="auto" w:fill="auto"/>
            <w:vAlign w:val="center"/>
          </w:tcPr>
          <w:p w14:paraId="36EC07F5">
            <w:pPr>
              <w:keepNext/>
              <w:keepLines/>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ascii="宋体" w:hAnsi="宋体" w:cs="宋体"/>
                <w:color w:val="000000"/>
                <w:kern w:val="0"/>
                <w:sz w:val="18"/>
                <w:szCs w:val="18"/>
              </w:rPr>
              <w:t>压力</w:t>
            </w:r>
          </w:p>
        </w:tc>
        <w:tc>
          <w:tcPr>
            <w:tcW w:w="1039" w:type="dxa"/>
            <w:shd w:val="clear" w:color="auto" w:fill="auto"/>
            <w:vAlign w:val="center"/>
          </w:tcPr>
          <w:p w14:paraId="5A138677">
            <w:pPr>
              <w:keepNext/>
              <w:keepLines/>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cs="宋体"/>
                <w:bCs/>
                <w:sz w:val="18"/>
                <w:szCs w:val="18"/>
              </w:rPr>
              <w:t>●</w:t>
            </w:r>
          </w:p>
        </w:tc>
        <w:tc>
          <w:tcPr>
            <w:tcW w:w="3314" w:type="dxa"/>
            <w:vMerge w:val="continue"/>
            <w:vAlign w:val="center"/>
          </w:tcPr>
          <w:p w14:paraId="1D13BD97">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r>
      <w:tr w14:paraId="143ED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1036" w:type="dxa"/>
            <w:vMerge w:val="continue"/>
            <w:vAlign w:val="center"/>
          </w:tcPr>
          <w:p w14:paraId="6BBF330E">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2155" w:type="dxa"/>
            <w:vMerge w:val="continue"/>
            <w:vAlign w:val="center"/>
          </w:tcPr>
          <w:p w14:paraId="21CFE88D">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251" w:type="dxa"/>
            <w:shd w:val="clear" w:color="auto" w:fill="auto"/>
            <w:vAlign w:val="center"/>
          </w:tcPr>
          <w:p w14:paraId="1B440839">
            <w:pPr>
              <w:keepNext/>
              <w:keepLines/>
              <w:widowControl/>
              <w:adjustRightInd w:val="0"/>
              <w:snapToGrid w:val="0"/>
              <w:spacing w:before="24" w:after="24" w:line="240" w:lineRule="auto"/>
              <w:jc w:val="center"/>
              <w:textAlignment w:val="center"/>
              <w:rPr>
                <w:rFonts w:hint="default"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bidi="ar-SA"/>
              </w:rPr>
              <w:t>液位</w:t>
            </w:r>
          </w:p>
        </w:tc>
        <w:tc>
          <w:tcPr>
            <w:tcW w:w="1039" w:type="dxa"/>
            <w:shd w:val="clear" w:color="auto" w:fill="auto"/>
            <w:vAlign w:val="center"/>
          </w:tcPr>
          <w:p w14:paraId="297B2336">
            <w:pPr>
              <w:keepNext/>
              <w:keepLines/>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cs="宋体"/>
                <w:bCs/>
                <w:sz w:val="18"/>
                <w:szCs w:val="18"/>
              </w:rPr>
              <w:t>●</w:t>
            </w:r>
          </w:p>
        </w:tc>
        <w:tc>
          <w:tcPr>
            <w:tcW w:w="3314" w:type="dxa"/>
            <w:vMerge w:val="continue"/>
            <w:vAlign w:val="center"/>
          </w:tcPr>
          <w:p w14:paraId="1243F975">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r>
      <w:tr w14:paraId="3C676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036" w:type="dxa"/>
            <w:vMerge w:val="continue"/>
            <w:vAlign w:val="center"/>
          </w:tcPr>
          <w:p w14:paraId="3640123F">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2155" w:type="dxa"/>
            <w:vMerge w:val="continue"/>
            <w:vAlign w:val="center"/>
          </w:tcPr>
          <w:p w14:paraId="6C16ACF5">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251" w:type="dxa"/>
            <w:shd w:val="clear" w:color="auto" w:fill="auto"/>
            <w:vAlign w:val="center"/>
          </w:tcPr>
          <w:p w14:paraId="1D0008D6">
            <w:pPr>
              <w:keepNext/>
              <w:keepLines/>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eastAsia="zh-CN"/>
              </w:rPr>
              <w:t>视频监控</w:t>
            </w:r>
          </w:p>
        </w:tc>
        <w:tc>
          <w:tcPr>
            <w:tcW w:w="1039" w:type="dxa"/>
            <w:shd w:val="clear" w:color="auto" w:fill="auto"/>
            <w:vAlign w:val="center"/>
          </w:tcPr>
          <w:p w14:paraId="2F31CB79">
            <w:pPr>
              <w:keepNext/>
              <w:keepLines/>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cs="宋体"/>
                <w:bCs/>
                <w:sz w:val="18"/>
                <w:szCs w:val="18"/>
              </w:rPr>
              <w:t>◎</w:t>
            </w:r>
          </w:p>
        </w:tc>
        <w:tc>
          <w:tcPr>
            <w:tcW w:w="3314" w:type="dxa"/>
            <w:vMerge w:val="continue"/>
            <w:vAlign w:val="center"/>
          </w:tcPr>
          <w:p w14:paraId="28946606">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r>
      <w:tr w14:paraId="76435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8795" w:type="dxa"/>
            <w:gridSpan w:val="5"/>
            <w:vAlign w:val="center"/>
          </w:tcPr>
          <w:p w14:paraId="23422E5E">
            <w:pPr>
              <w:pStyle w:val="146"/>
              <w:keepNext w:val="0"/>
              <w:keepLines w:val="0"/>
              <w:pageBreakBefore w:val="0"/>
              <w:widowControl/>
              <w:kinsoku/>
              <w:wordWrap/>
              <w:overflowPunct/>
              <w:topLinePunct w:val="0"/>
              <w:autoSpaceDE/>
              <w:autoSpaceDN/>
              <w:bidi w:val="0"/>
              <w:snapToGrid w:val="0"/>
              <w:spacing w:line="240" w:lineRule="auto"/>
              <w:jc w:val="both"/>
              <w:rPr>
                <w:rFonts w:cs="宋体"/>
                <w:bCs/>
                <w:sz w:val="18"/>
                <w:szCs w:val="18"/>
              </w:rPr>
            </w:pPr>
            <w:r>
              <w:rPr>
                <w:rFonts w:hint="eastAsia" w:cs="宋体"/>
                <w:bCs/>
                <w:sz w:val="18"/>
                <w:szCs w:val="18"/>
              </w:rPr>
              <w:t>注：</w:t>
            </w:r>
            <w:r>
              <w:rPr>
                <w:rFonts w:cs="宋体"/>
                <w:bCs/>
                <w:sz w:val="18"/>
                <w:szCs w:val="18"/>
              </w:rPr>
              <w:t>1.</w:t>
            </w:r>
            <w:r>
              <w:rPr>
                <w:rFonts w:hint="eastAsia" w:cs="宋体"/>
                <w:bCs/>
                <w:sz w:val="18"/>
                <w:szCs w:val="18"/>
              </w:rPr>
              <w:t>“●”表示必选监测项、“◎”表示宜选监测项、“○”表示可选监测项；</w:t>
            </w:r>
          </w:p>
          <w:p w14:paraId="1B0495F5">
            <w:pPr>
              <w:widowControl/>
              <w:adjustRightInd w:val="0"/>
              <w:snapToGrid w:val="0"/>
              <w:spacing w:before="24" w:after="24" w:line="240" w:lineRule="auto"/>
              <w:ind w:firstLine="360" w:firstLineChars="200"/>
              <w:jc w:val="both"/>
              <w:textAlignment w:val="center"/>
              <w:rPr>
                <w:rFonts w:hint="eastAsia" w:ascii="宋体" w:hAnsi="宋体" w:cs="宋体"/>
                <w:color w:val="000000"/>
                <w:kern w:val="0"/>
                <w:sz w:val="18"/>
                <w:szCs w:val="18"/>
              </w:rPr>
            </w:pPr>
            <w:r>
              <w:rPr>
                <w:rFonts w:hint="eastAsia" w:cs="宋体"/>
                <w:bCs/>
                <w:sz w:val="18"/>
                <w:szCs w:val="18"/>
                <w:lang w:val="en-US" w:eastAsia="zh-CN"/>
              </w:rPr>
              <w:t>2.</w:t>
            </w:r>
            <w:r>
              <w:rPr>
                <w:rFonts w:hint="eastAsia" w:cs="宋体"/>
                <w:bCs/>
                <w:sz w:val="18"/>
                <w:szCs w:val="18"/>
              </w:rPr>
              <w:t>“―”表示</w:t>
            </w:r>
            <w:r>
              <w:rPr>
                <w:rFonts w:hint="eastAsia" w:cs="宋体"/>
                <w:bCs/>
                <w:sz w:val="18"/>
                <w:szCs w:val="18"/>
                <w:lang w:val="en-US" w:eastAsia="zh-CN"/>
              </w:rPr>
              <w:t>监</w:t>
            </w:r>
            <w:r>
              <w:rPr>
                <w:rFonts w:hint="eastAsia" w:cs="宋体"/>
                <w:bCs/>
                <w:sz w:val="18"/>
                <w:szCs w:val="18"/>
              </w:rPr>
              <w:t>测点布设可根据</w:t>
            </w:r>
            <w:r>
              <w:rPr>
                <w:rFonts w:hint="eastAsia" w:cs="宋体"/>
                <w:bCs/>
                <w:sz w:val="18"/>
                <w:szCs w:val="18"/>
                <w:lang w:eastAsia="zh-CN"/>
              </w:rPr>
              <w:t>现场情况</w:t>
            </w:r>
            <w:r>
              <w:rPr>
                <w:rFonts w:hint="eastAsia" w:cs="宋体"/>
                <w:bCs/>
                <w:sz w:val="18"/>
                <w:szCs w:val="18"/>
              </w:rPr>
              <w:t>选择适当位置</w:t>
            </w:r>
            <w:r>
              <w:rPr>
                <w:rFonts w:hint="eastAsia" w:cs="宋体"/>
                <w:bCs/>
                <w:sz w:val="18"/>
                <w:szCs w:val="18"/>
                <w:lang w:eastAsia="zh-CN"/>
              </w:rPr>
              <w:t>。</w:t>
            </w:r>
          </w:p>
        </w:tc>
      </w:tr>
    </w:tbl>
    <w:p w14:paraId="7703B54F">
      <w:pPr>
        <w:pStyle w:val="2"/>
        <w:pageBreakBefore/>
        <w:tabs>
          <w:tab w:val="left" w:pos="454"/>
        </w:tabs>
        <w:spacing w:beforeLines="100" w:afterLines="100"/>
        <w:rPr>
          <w:rFonts w:hint="eastAsia" w:ascii="宋体" w:hAnsi="宋体"/>
          <w:szCs w:val="21"/>
          <w:lang w:val="en-US" w:eastAsia="zh-CN"/>
        </w:rPr>
      </w:pPr>
      <w:bookmarkStart w:id="169" w:name="_Toc13218"/>
      <w:r>
        <w:rPr>
          <w:rFonts w:hint="eastAsia" w:ascii="宋体" w:hAnsi="宋体"/>
          <w:szCs w:val="21"/>
          <w:lang w:val="en-US" w:eastAsia="zh-CN"/>
        </w:rPr>
        <w:t>B.3排水监测布点要求</w:t>
      </w:r>
      <w:bookmarkEnd w:id="169"/>
    </w:p>
    <w:p w14:paraId="1A96973A">
      <w:pPr>
        <w:rPr>
          <w:rFonts w:hint="eastAsia" w:ascii="黑体" w:hAnsi="黑体" w:eastAsia="黑体"/>
          <w:bCs/>
          <w:color w:val="auto"/>
          <w:lang w:val="en-US" w:eastAsia="zh-CN"/>
        </w:rPr>
      </w:pPr>
      <w:r>
        <w:rPr>
          <w:rFonts w:hint="eastAsia"/>
          <w:b w:val="0"/>
          <w:bCs w:val="0"/>
          <w:lang w:val="en-US" w:eastAsia="zh-CN"/>
        </w:rPr>
        <w:t>雨水系统监测布点要求见表B.3.1。</w:t>
      </w:r>
    </w:p>
    <w:p w14:paraId="54507DD4">
      <w:pPr>
        <w:pStyle w:val="98"/>
        <w:spacing w:before="24" w:after="24"/>
        <w:jc w:val="center"/>
        <w:rPr>
          <w:rFonts w:hint="eastAsia" w:ascii="黑体" w:hAnsi="黑体" w:eastAsia="黑体"/>
          <w:bCs/>
          <w:color w:val="auto"/>
        </w:rPr>
      </w:pPr>
      <w:r>
        <w:rPr>
          <w:rFonts w:hint="eastAsia" w:ascii="黑体" w:hAnsi="黑体" w:eastAsia="黑体"/>
          <w:bCs/>
          <w:color w:val="auto"/>
          <w:lang w:val="en-US" w:eastAsia="zh-CN"/>
        </w:rPr>
        <w:t>B.3.1</w:t>
      </w:r>
      <w:r>
        <w:rPr>
          <w:rFonts w:hint="eastAsia" w:ascii="黑体" w:hAnsi="黑体" w:eastAsia="黑体"/>
          <w:bCs/>
          <w:color w:val="auto"/>
        </w:rPr>
        <w:t xml:space="preserve"> 雨水系统监测布点要求</w:t>
      </w:r>
    </w:p>
    <w:tbl>
      <w:tblPr>
        <w:tblStyle w:val="35"/>
        <w:tblW w:w="85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3237"/>
        <w:gridCol w:w="1338"/>
        <w:gridCol w:w="950"/>
        <w:gridCol w:w="2327"/>
      </w:tblGrid>
      <w:tr w14:paraId="1575E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45" w:type="dxa"/>
            <w:vAlign w:val="center"/>
          </w:tcPr>
          <w:p w14:paraId="17F9AD02">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序号</w:t>
            </w:r>
          </w:p>
        </w:tc>
        <w:tc>
          <w:tcPr>
            <w:tcW w:w="3237" w:type="dxa"/>
            <w:vAlign w:val="center"/>
          </w:tcPr>
          <w:p w14:paraId="6BC7919F">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监测对象</w:t>
            </w:r>
          </w:p>
        </w:tc>
        <w:tc>
          <w:tcPr>
            <w:tcW w:w="1338" w:type="dxa"/>
            <w:vAlign w:val="center"/>
          </w:tcPr>
          <w:p w14:paraId="4702651F">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监测指标</w:t>
            </w:r>
          </w:p>
        </w:tc>
        <w:tc>
          <w:tcPr>
            <w:tcW w:w="950" w:type="dxa"/>
            <w:vAlign w:val="center"/>
          </w:tcPr>
          <w:p w14:paraId="0441DC6D">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监测要求</w:t>
            </w:r>
          </w:p>
        </w:tc>
        <w:tc>
          <w:tcPr>
            <w:tcW w:w="2327" w:type="dxa"/>
            <w:vAlign w:val="center"/>
          </w:tcPr>
          <w:p w14:paraId="1BE676B4">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监测布</w:t>
            </w:r>
            <w:r>
              <w:rPr>
                <w:rFonts w:hint="eastAsia" w:ascii="宋体" w:hAnsi="宋体" w:cs="宋体"/>
                <w:color w:val="000000"/>
                <w:kern w:val="0"/>
                <w:sz w:val="18"/>
                <w:szCs w:val="18"/>
                <w:lang w:val="en-US" w:eastAsia="zh-CN"/>
              </w:rPr>
              <w:t>点</w:t>
            </w:r>
            <w:r>
              <w:rPr>
                <w:rFonts w:hint="eastAsia" w:ascii="宋体" w:hAnsi="宋体" w:cs="宋体"/>
                <w:color w:val="000000"/>
                <w:kern w:val="0"/>
                <w:sz w:val="18"/>
                <w:szCs w:val="18"/>
              </w:rPr>
              <w:t>要求</w:t>
            </w:r>
          </w:p>
        </w:tc>
      </w:tr>
      <w:tr w14:paraId="3FFD9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745" w:type="dxa"/>
            <w:vMerge w:val="restart"/>
            <w:vAlign w:val="center"/>
          </w:tcPr>
          <w:p w14:paraId="5FDDB786">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3237" w:type="dxa"/>
            <w:vMerge w:val="restart"/>
            <w:vAlign w:val="center"/>
          </w:tcPr>
          <w:p w14:paraId="3B055436">
            <w:pPr>
              <w:widowControl/>
              <w:adjustRightInd w:val="0"/>
              <w:snapToGrid w:val="0"/>
              <w:spacing w:before="24" w:after="24" w:line="240" w:lineRule="auto"/>
              <w:jc w:val="both"/>
              <w:textAlignment w:val="center"/>
              <w:rPr>
                <w:rFonts w:ascii="宋体" w:hAnsi="宋体"/>
                <w:color w:val="000000"/>
                <w:kern w:val="0"/>
                <w:sz w:val="18"/>
                <w:szCs w:val="18"/>
              </w:rPr>
            </w:pPr>
            <w:r>
              <w:rPr>
                <w:rFonts w:hint="eastAsia" w:ascii="宋体" w:hAnsi="宋体" w:cs="宋体"/>
                <w:color w:val="000000"/>
                <w:kern w:val="0"/>
                <w:sz w:val="18"/>
                <w:szCs w:val="18"/>
              </w:rPr>
              <w:t>城市易发生积淹水和内涝的区域及周边地区、排涝泵站等排水设施关键节点</w:t>
            </w:r>
          </w:p>
        </w:tc>
        <w:tc>
          <w:tcPr>
            <w:tcW w:w="1338" w:type="dxa"/>
            <w:vAlign w:val="center"/>
          </w:tcPr>
          <w:p w14:paraId="0B28A6C2">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视频监控</w:t>
            </w:r>
          </w:p>
        </w:tc>
        <w:tc>
          <w:tcPr>
            <w:tcW w:w="950" w:type="dxa"/>
            <w:vAlign w:val="center"/>
          </w:tcPr>
          <w:p w14:paraId="442E184E">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cs="宋体"/>
                <w:bCs/>
                <w:sz w:val="18"/>
                <w:szCs w:val="18"/>
              </w:rPr>
              <w:t>●</w:t>
            </w:r>
          </w:p>
        </w:tc>
        <w:tc>
          <w:tcPr>
            <w:tcW w:w="2327" w:type="dxa"/>
            <w:vMerge w:val="restart"/>
            <w:vAlign w:val="center"/>
          </w:tcPr>
          <w:p w14:paraId="4BCAEF73">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总计</w:t>
            </w:r>
            <w:r>
              <w:rPr>
                <w:rFonts w:hint="eastAsia" w:ascii="宋体" w:hAnsi="宋体" w:cs="宋体"/>
                <w:color w:val="000000"/>
                <w:kern w:val="0"/>
                <w:sz w:val="18"/>
                <w:szCs w:val="18"/>
                <w:lang w:eastAsia="zh-CN"/>
              </w:rPr>
              <w:t>不低于</w:t>
            </w:r>
            <w:r>
              <w:rPr>
                <w:rFonts w:hint="eastAsia" w:ascii="宋体" w:hAnsi="宋体" w:cs="宋体"/>
                <w:color w:val="000000"/>
                <w:kern w:val="0"/>
                <w:sz w:val="18"/>
                <w:szCs w:val="18"/>
              </w:rPr>
              <w:t>1处雨量监测设备，液位，</w:t>
            </w:r>
            <w:r>
              <w:rPr>
                <w:rFonts w:hint="eastAsia" w:ascii="宋体" w:hAnsi="宋体" w:cs="宋体"/>
                <w:color w:val="000000"/>
                <w:kern w:val="0"/>
                <w:sz w:val="18"/>
                <w:szCs w:val="18"/>
                <w:lang w:eastAsia="zh-CN"/>
              </w:rPr>
              <w:t>视频监控</w:t>
            </w:r>
            <w:r>
              <w:rPr>
                <w:rFonts w:hint="eastAsia" w:ascii="宋体" w:hAnsi="宋体" w:cs="宋体"/>
                <w:color w:val="000000"/>
                <w:kern w:val="0"/>
                <w:sz w:val="18"/>
                <w:szCs w:val="18"/>
              </w:rPr>
              <w:t>每个关键节点至少设置1处</w:t>
            </w:r>
          </w:p>
        </w:tc>
      </w:tr>
      <w:tr w14:paraId="598C5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745" w:type="dxa"/>
            <w:vMerge w:val="continue"/>
            <w:vAlign w:val="center"/>
          </w:tcPr>
          <w:p w14:paraId="2967521D">
            <w:pPr>
              <w:widowControl/>
              <w:adjustRightInd w:val="0"/>
              <w:snapToGrid w:val="0"/>
              <w:spacing w:before="24" w:after="24" w:line="240" w:lineRule="auto"/>
              <w:jc w:val="center"/>
              <w:textAlignment w:val="center"/>
            </w:pPr>
          </w:p>
        </w:tc>
        <w:tc>
          <w:tcPr>
            <w:tcW w:w="3237" w:type="dxa"/>
            <w:vMerge w:val="continue"/>
            <w:vAlign w:val="center"/>
          </w:tcPr>
          <w:p w14:paraId="53EDAC26">
            <w:pPr>
              <w:widowControl/>
              <w:adjustRightInd w:val="0"/>
              <w:snapToGrid w:val="0"/>
              <w:spacing w:before="24" w:after="24" w:line="240" w:lineRule="auto"/>
              <w:jc w:val="center"/>
              <w:textAlignment w:val="center"/>
            </w:pPr>
          </w:p>
        </w:tc>
        <w:tc>
          <w:tcPr>
            <w:tcW w:w="1338" w:type="dxa"/>
            <w:vAlign w:val="center"/>
          </w:tcPr>
          <w:p w14:paraId="0FC70B05">
            <w:pPr>
              <w:widowControl/>
              <w:adjustRightInd w:val="0"/>
              <w:snapToGrid w:val="0"/>
              <w:spacing w:before="24" w:after="24" w:line="240" w:lineRule="auto"/>
              <w:jc w:val="center"/>
              <w:textAlignment w:val="center"/>
            </w:pPr>
            <w:r>
              <w:rPr>
                <w:rFonts w:hint="eastAsia" w:ascii="宋体" w:hAnsi="宋体" w:cs="宋体"/>
                <w:color w:val="000000"/>
                <w:kern w:val="0"/>
                <w:sz w:val="18"/>
                <w:szCs w:val="18"/>
              </w:rPr>
              <w:t>液位</w:t>
            </w:r>
          </w:p>
        </w:tc>
        <w:tc>
          <w:tcPr>
            <w:tcW w:w="950" w:type="dxa"/>
            <w:vAlign w:val="center"/>
          </w:tcPr>
          <w:p w14:paraId="0B347E90">
            <w:pPr>
              <w:widowControl/>
              <w:adjustRightInd w:val="0"/>
              <w:snapToGrid w:val="0"/>
              <w:spacing w:before="24" w:after="24" w:line="240" w:lineRule="auto"/>
              <w:jc w:val="center"/>
              <w:textAlignment w:val="center"/>
            </w:pPr>
            <w:r>
              <w:rPr>
                <w:rFonts w:hint="eastAsia" w:cs="宋体"/>
                <w:bCs/>
                <w:sz w:val="18"/>
                <w:szCs w:val="18"/>
              </w:rPr>
              <w:t>●</w:t>
            </w:r>
          </w:p>
        </w:tc>
        <w:tc>
          <w:tcPr>
            <w:tcW w:w="2327" w:type="dxa"/>
            <w:vMerge w:val="continue"/>
            <w:vAlign w:val="center"/>
          </w:tcPr>
          <w:p w14:paraId="05F72C54">
            <w:pPr>
              <w:widowControl/>
              <w:adjustRightInd w:val="0"/>
              <w:snapToGrid w:val="0"/>
              <w:spacing w:before="24" w:after="24" w:line="240" w:lineRule="auto"/>
              <w:jc w:val="center"/>
              <w:textAlignment w:val="center"/>
            </w:pPr>
          </w:p>
        </w:tc>
      </w:tr>
      <w:tr w14:paraId="34418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745" w:type="dxa"/>
            <w:vMerge w:val="continue"/>
            <w:vAlign w:val="center"/>
          </w:tcPr>
          <w:p w14:paraId="11B5C67E">
            <w:pPr>
              <w:widowControl/>
              <w:adjustRightInd w:val="0"/>
              <w:snapToGrid w:val="0"/>
              <w:spacing w:before="24" w:after="24" w:line="240" w:lineRule="auto"/>
              <w:jc w:val="center"/>
              <w:textAlignment w:val="center"/>
            </w:pPr>
          </w:p>
        </w:tc>
        <w:tc>
          <w:tcPr>
            <w:tcW w:w="3237" w:type="dxa"/>
            <w:vMerge w:val="continue"/>
            <w:vAlign w:val="center"/>
          </w:tcPr>
          <w:p w14:paraId="51F29CD9">
            <w:pPr>
              <w:widowControl/>
              <w:adjustRightInd w:val="0"/>
              <w:snapToGrid w:val="0"/>
              <w:spacing w:before="24" w:after="24" w:line="240" w:lineRule="auto"/>
              <w:jc w:val="center"/>
              <w:textAlignment w:val="center"/>
            </w:pPr>
          </w:p>
        </w:tc>
        <w:tc>
          <w:tcPr>
            <w:tcW w:w="1338" w:type="dxa"/>
            <w:vAlign w:val="center"/>
          </w:tcPr>
          <w:p w14:paraId="53EE4905">
            <w:pPr>
              <w:widowControl/>
              <w:adjustRightInd w:val="0"/>
              <w:snapToGrid w:val="0"/>
              <w:spacing w:before="24" w:after="24" w:line="240" w:lineRule="auto"/>
              <w:jc w:val="center"/>
              <w:textAlignment w:val="center"/>
            </w:pPr>
            <w:r>
              <w:rPr>
                <w:rFonts w:hint="eastAsia" w:ascii="宋体" w:hAnsi="宋体" w:cs="宋体"/>
                <w:color w:val="000000"/>
                <w:kern w:val="0"/>
                <w:sz w:val="18"/>
                <w:szCs w:val="18"/>
              </w:rPr>
              <w:t>雨量</w:t>
            </w:r>
          </w:p>
        </w:tc>
        <w:tc>
          <w:tcPr>
            <w:tcW w:w="950" w:type="dxa"/>
            <w:vAlign w:val="center"/>
          </w:tcPr>
          <w:p w14:paraId="1AB92C3F">
            <w:pPr>
              <w:widowControl/>
              <w:adjustRightInd w:val="0"/>
              <w:snapToGrid w:val="0"/>
              <w:spacing w:before="24" w:after="24" w:line="240" w:lineRule="auto"/>
              <w:jc w:val="center"/>
              <w:textAlignment w:val="center"/>
            </w:pPr>
            <w:r>
              <w:rPr>
                <w:rFonts w:hint="eastAsia" w:cs="宋体"/>
                <w:bCs/>
                <w:sz w:val="18"/>
                <w:szCs w:val="18"/>
              </w:rPr>
              <w:t>○</w:t>
            </w:r>
          </w:p>
        </w:tc>
        <w:tc>
          <w:tcPr>
            <w:tcW w:w="2327" w:type="dxa"/>
            <w:vMerge w:val="continue"/>
            <w:vAlign w:val="center"/>
          </w:tcPr>
          <w:p w14:paraId="7B2B1581">
            <w:pPr>
              <w:widowControl/>
              <w:adjustRightInd w:val="0"/>
              <w:snapToGrid w:val="0"/>
              <w:spacing w:before="24" w:after="24" w:line="240" w:lineRule="auto"/>
              <w:jc w:val="center"/>
              <w:textAlignment w:val="center"/>
            </w:pPr>
          </w:p>
        </w:tc>
      </w:tr>
      <w:tr w14:paraId="7419D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jc w:val="center"/>
        </w:trPr>
        <w:tc>
          <w:tcPr>
            <w:tcW w:w="745" w:type="dxa"/>
            <w:vMerge w:val="restart"/>
            <w:vAlign w:val="center"/>
          </w:tcPr>
          <w:p w14:paraId="21B0554C">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3237" w:type="dxa"/>
            <w:vMerge w:val="restart"/>
            <w:vAlign w:val="center"/>
          </w:tcPr>
          <w:p w14:paraId="5AC13CD4">
            <w:pPr>
              <w:widowControl/>
              <w:adjustRightInd w:val="0"/>
              <w:snapToGrid w:val="0"/>
              <w:spacing w:before="24" w:after="24" w:line="240" w:lineRule="auto"/>
              <w:jc w:val="both"/>
              <w:textAlignment w:val="center"/>
              <w:rPr>
                <w:rFonts w:ascii="宋体" w:hAnsi="宋体" w:cs="宋体"/>
                <w:color w:val="000000"/>
                <w:kern w:val="0"/>
                <w:sz w:val="18"/>
                <w:szCs w:val="18"/>
              </w:rPr>
            </w:pPr>
            <w:r>
              <w:rPr>
                <w:rFonts w:hint="eastAsia" w:ascii="宋体" w:hAnsi="宋体" w:cs="宋体"/>
                <w:color w:val="000000"/>
                <w:kern w:val="0"/>
                <w:sz w:val="18"/>
                <w:szCs w:val="18"/>
              </w:rPr>
              <w:t>雨水主干管网重要节点、雨水泵站、雨水闸门、调蓄设施</w:t>
            </w:r>
          </w:p>
        </w:tc>
        <w:tc>
          <w:tcPr>
            <w:tcW w:w="1338" w:type="dxa"/>
            <w:vAlign w:val="center"/>
          </w:tcPr>
          <w:p w14:paraId="16FABDDC">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液位</w:t>
            </w:r>
          </w:p>
        </w:tc>
        <w:tc>
          <w:tcPr>
            <w:tcW w:w="950" w:type="dxa"/>
            <w:vAlign w:val="center"/>
          </w:tcPr>
          <w:p w14:paraId="5979B28C">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cs="宋体"/>
                <w:bCs/>
                <w:sz w:val="18"/>
                <w:szCs w:val="18"/>
              </w:rPr>
              <w:t>●</w:t>
            </w:r>
          </w:p>
        </w:tc>
        <w:tc>
          <w:tcPr>
            <w:tcW w:w="2327" w:type="dxa"/>
            <w:vMerge w:val="restart"/>
            <w:vAlign w:val="center"/>
          </w:tcPr>
          <w:p w14:paraId="0BC2820D">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入口处设置液位，流量监测，可燃气体浓度按需设置</w:t>
            </w:r>
          </w:p>
        </w:tc>
      </w:tr>
      <w:tr w14:paraId="6D7EA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jc w:val="center"/>
        </w:trPr>
        <w:tc>
          <w:tcPr>
            <w:tcW w:w="745" w:type="dxa"/>
            <w:vMerge w:val="continue"/>
            <w:vAlign w:val="center"/>
          </w:tcPr>
          <w:p w14:paraId="78E199E9">
            <w:pPr>
              <w:widowControl/>
              <w:adjustRightInd w:val="0"/>
              <w:snapToGrid w:val="0"/>
              <w:spacing w:before="24" w:after="24" w:line="240" w:lineRule="auto"/>
              <w:jc w:val="center"/>
              <w:textAlignment w:val="center"/>
            </w:pPr>
          </w:p>
        </w:tc>
        <w:tc>
          <w:tcPr>
            <w:tcW w:w="3237" w:type="dxa"/>
            <w:vMerge w:val="continue"/>
            <w:vAlign w:val="center"/>
          </w:tcPr>
          <w:p w14:paraId="7AA63BBD">
            <w:pPr>
              <w:widowControl/>
              <w:adjustRightInd w:val="0"/>
              <w:snapToGrid w:val="0"/>
              <w:spacing w:before="24" w:after="24" w:line="240" w:lineRule="auto"/>
              <w:jc w:val="center"/>
              <w:textAlignment w:val="center"/>
            </w:pPr>
          </w:p>
        </w:tc>
        <w:tc>
          <w:tcPr>
            <w:tcW w:w="1338" w:type="dxa"/>
            <w:vAlign w:val="center"/>
          </w:tcPr>
          <w:p w14:paraId="6C4EB3BF">
            <w:pPr>
              <w:widowControl/>
              <w:adjustRightInd w:val="0"/>
              <w:snapToGrid w:val="0"/>
              <w:spacing w:before="24" w:after="24" w:line="240" w:lineRule="auto"/>
              <w:jc w:val="center"/>
              <w:textAlignment w:val="center"/>
            </w:pPr>
            <w:r>
              <w:rPr>
                <w:rFonts w:hint="eastAsia" w:ascii="宋体" w:hAnsi="宋体" w:cs="宋体"/>
                <w:color w:val="000000"/>
                <w:kern w:val="0"/>
                <w:sz w:val="18"/>
                <w:szCs w:val="18"/>
              </w:rPr>
              <w:t>流量</w:t>
            </w:r>
          </w:p>
        </w:tc>
        <w:tc>
          <w:tcPr>
            <w:tcW w:w="950" w:type="dxa"/>
            <w:vAlign w:val="center"/>
          </w:tcPr>
          <w:p w14:paraId="535F1AA6">
            <w:pPr>
              <w:widowControl/>
              <w:adjustRightInd w:val="0"/>
              <w:snapToGrid w:val="0"/>
              <w:spacing w:before="24" w:after="24" w:line="240" w:lineRule="auto"/>
              <w:jc w:val="center"/>
              <w:textAlignment w:val="center"/>
            </w:pPr>
            <w:r>
              <w:rPr>
                <w:rFonts w:hint="eastAsia" w:cs="宋体"/>
                <w:bCs/>
                <w:sz w:val="18"/>
                <w:szCs w:val="18"/>
              </w:rPr>
              <w:t>◎</w:t>
            </w:r>
          </w:p>
        </w:tc>
        <w:tc>
          <w:tcPr>
            <w:tcW w:w="2327" w:type="dxa"/>
            <w:vMerge w:val="continue"/>
            <w:vAlign w:val="center"/>
          </w:tcPr>
          <w:p w14:paraId="043F21CC">
            <w:pPr>
              <w:widowControl/>
              <w:adjustRightInd w:val="0"/>
              <w:snapToGrid w:val="0"/>
              <w:spacing w:before="24" w:after="24" w:line="240" w:lineRule="auto"/>
              <w:jc w:val="center"/>
              <w:textAlignment w:val="center"/>
            </w:pPr>
          </w:p>
        </w:tc>
      </w:tr>
      <w:tr w14:paraId="1966F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jc w:val="center"/>
        </w:trPr>
        <w:tc>
          <w:tcPr>
            <w:tcW w:w="745" w:type="dxa"/>
            <w:vMerge w:val="continue"/>
            <w:vAlign w:val="center"/>
          </w:tcPr>
          <w:p w14:paraId="66E20BA4">
            <w:pPr>
              <w:widowControl/>
              <w:adjustRightInd w:val="0"/>
              <w:snapToGrid w:val="0"/>
              <w:spacing w:before="24" w:after="24" w:line="240" w:lineRule="auto"/>
              <w:jc w:val="center"/>
              <w:textAlignment w:val="center"/>
            </w:pPr>
          </w:p>
        </w:tc>
        <w:tc>
          <w:tcPr>
            <w:tcW w:w="3237" w:type="dxa"/>
            <w:vMerge w:val="continue"/>
            <w:vAlign w:val="center"/>
          </w:tcPr>
          <w:p w14:paraId="734C78C8">
            <w:pPr>
              <w:widowControl/>
              <w:adjustRightInd w:val="0"/>
              <w:snapToGrid w:val="0"/>
              <w:spacing w:before="24" w:after="24" w:line="240" w:lineRule="auto"/>
              <w:jc w:val="center"/>
              <w:textAlignment w:val="center"/>
            </w:pPr>
          </w:p>
        </w:tc>
        <w:tc>
          <w:tcPr>
            <w:tcW w:w="1338" w:type="dxa"/>
            <w:vAlign w:val="center"/>
          </w:tcPr>
          <w:p w14:paraId="142E6F16">
            <w:pPr>
              <w:widowControl/>
              <w:adjustRightInd w:val="0"/>
              <w:snapToGrid w:val="0"/>
              <w:spacing w:before="24" w:after="24" w:line="240" w:lineRule="auto"/>
              <w:jc w:val="center"/>
              <w:textAlignment w:val="center"/>
            </w:pPr>
            <w:r>
              <w:rPr>
                <w:rFonts w:hint="eastAsia" w:ascii="宋体" w:hAnsi="宋体" w:cs="宋体"/>
                <w:color w:val="000000"/>
                <w:kern w:val="0"/>
                <w:sz w:val="18"/>
                <w:szCs w:val="18"/>
              </w:rPr>
              <w:t>可燃气体浓度</w:t>
            </w:r>
          </w:p>
        </w:tc>
        <w:tc>
          <w:tcPr>
            <w:tcW w:w="950" w:type="dxa"/>
            <w:vAlign w:val="center"/>
          </w:tcPr>
          <w:p w14:paraId="7FD340D1">
            <w:pPr>
              <w:widowControl/>
              <w:adjustRightInd w:val="0"/>
              <w:snapToGrid w:val="0"/>
              <w:spacing w:before="24" w:after="24" w:line="240" w:lineRule="auto"/>
              <w:jc w:val="center"/>
              <w:textAlignment w:val="center"/>
            </w:pPr>
            <w:r>
              <w:rPr>
                <w:rFonts w:hint="eastAsia" w:cs="宋体"/>
                <w:bCs/>
                <w:sz w:val="18"/>
                <w:szCs w:val="18"/>
              </w:rPr>
              <w:t>○</w:t>
            </w:r>
          </w:p>
        </w:tc>
        <w:tc>
          <w:tcPr>
            <w:tcW w:w="2327" w:type="dxa"/>
            <w:vMerge w:val="continue"/>
            <w:vAlign w:val="center"/>
          </w:tcPr>
          <w:p w14:paraId="435D057B">
            <w:pPr>
              <w:widowControl/>
              <w:adjustRightInd w:val="0"/>
              <w:snapToGrid w:val="0"/>
              <w:spacing w:before="24" w:after="24" w:line="240" w:lineRule="auto"/>
              <w:jc w:val="center"/>
              <w:textAlignment w:val="center"/>
            </w:pPr>
          </w:p>
        </w:tc>
      </w:tr>
      <w:tr w14:paraId="3974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45" w:type="dxa"/>
            <w:vMerge w:val="restart"/>
            <w:vAlign w:val="center"/>
          </w:tcPr>
          <w:p w14:paraId="74E68BEF">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3237" w:type="dxa"/>
            <w:vMerge w:val="restart"/>
            <w:vAlign w:val="center"/>
          </w:tcPr>
          <w:p w14:paraId="2E9F0463">
            <w:pPr>
              <w:widowControl/>
              <w:adjustRightInd w:val="0"/>
              <w:snapToGrid w:val="0"/>
              <w:spacing w:before="24" w:after="24" w:line="240" w:lineRule="auto"/>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道路易积水点、下穿立交、涵洞、隧道、城市地下轨道交通及地下空间等薄弱环节；重要保障对象</w:t>
            </w:r>
          </w:p>
        </w:tc>
        <w:tc>
          <w:tcPr>
            <w:tcW w:w="1338" w:type="dxa"/>
            <w:vAlign w:val="center"/>
          </w:tcPr>
          <w:p w14:paraId="6B605A01">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液位</w:t>
            </w:r>
          </w:p>
        </w:tc>
        <w:tc>
          <w:tcPr>
            <w:tcW w:w="950" w:type="dxa"/>
            <w:shd w:val="clear" w:color="auto" w:fill="auto"/>
            <w:vAlign w:val="center"/>
          </w:tcPr>
          <w:p w14:paraId="5040AFC6">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cs="宋体"/>
                <w:bCs/>
                <w:sz w:val="18"/>
                <w:szCs w:val="18"/>
              </w:rPr>
              <w:t>●</w:t>
            </w:r>
          </w:p>
        </w:tc>
        <w:tc>
          <w:tcPr>
            <w:tcW w:w="2327" w:type="dxa"/>
            <w:vMerge w:val="restart"/>
            <w:vAlign w:val="center"/>
          </w:tcPr>
          <w:p w14:paraId="3813CA4B">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最低处至少设置1处</w:t>
            </w:r>
          </w:p>
        </w:tc>
      </w:tr>
      <w:tr w14:paraId="0A0A8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45" w:type="dxa"/>
            <w:vMerge w:val="continue"/>
            <w:vAlign w:val="center"/>
          </w:tcPr>
          <w:p w14:paraId="0C45FE24">
            <w:pPr>
              <w:widowControl/>
              <w:adjustRightInd w:val="0"/>
              <w:snapToGrid w:val="0"/>
              <w:spacing w:before="24" w:after="24" w:line="240" w:lineRule="auto"/>
              <w:jc w:val="center"/>
              <w:textAlignment w:val="center"/>
            </w:pPr>
          </w:p>
        </w:tc>
        <w:tc>
          <w:tcPr>
            <w:tcW w:w="3237" w:type="dxa"/>
            <w:vMerge w:val="continue"/>
            <w:vAlign w:val="center"/>
          </w:tcPr>
          <w:p w14:paraId="188C5946">
            <w:pPr>
              <w:widowControl/>
              <w:adjustRightInd w:val="0"/>
              <w:snapToGrid w:val="0"/>
              <w:spacing w:before="24" w:after="24" w:line="240" w:lineRule="auto"/>
              <w:jc w:val="center"/>
              <w:textAlignment w:val="center"/>
            </w:pPr>
          </w:p>
        </w:tc>
        <w:tc>
          <w:tcPr>
            <w:tcW w:w="1338" w:type="dxa"/>
            <w:vAlign w:val="center"/>
          </w:tcPr>
          <w:p w14:paraId="7200B93B">
            <w:pPr>
              <w:widowControl/>
              <w:adjustRightInd w:val="0"/>
              <w:snapToGrid w:val="0"/>
              <w:spacing w:before="24" w:after="24" w:line="240" w:lineRule="auto"/>
              <w:jc w:val="center"/>
              <w:textAlignment w:val="center"/>
              <w:rPr>
                <w:rFonts w:hint="eastAsia" w:eastAsia="宋体"/>
                <w:lang w:eastAsia="zh-CN"/>
              </w:rPr>
            </w:pPr>
            <w:r>
              <w:rPr>
                <w:rFonts w:hint="eastAsia" w:ascii="宋体" w:hAnsi="宋体" w:cs="宋体"/>
                <w:color w:val="000000"/>
                <w:kern w:val="0"/>
                <w:sz w:val="18"/>
                <w:szCs w:val="18"/>
                <w:lang w:eastAsia="zh-CN"/>
              </w:rPr>
              <w:t>视频监控</w:t>
            </w:r>
          </w:p>
        </w:tc>
        <w:tc>
          <w:tcPr>
            <w:tcW w:w="950" w:type="dxa"/>
            <w:shd w:val="clear" w:color="auto" w:fill="auto"/>
            <w:vAlign w:val="center"/>
          </w:tcPr>
          <w:p w14:paraId="52EE53AA">
            <w:pPr>
              <w:widowControl/>
              <w:adjustRightInd w:val="0"/>
              <w:snapToGrid w:val="0"/>
              <w:spacing w:before="24" w:after="24" w:line="240" w:lineRule="auto"/>
              <w:jc w:val="center"/>
              <w:textAlignment w:val="center"/>
              <w:rPr>
                <w:rFonts w:ascii="Times New Roman" w:hAnsi="Times New Roman" w:eastAsia="宋体" w:cs="Times New Roman"/>
                <w:kern w:val="2"/>
                <w:sz w:val="21"/>
                <w:lang w:val="en-US" w:eastAsia="zh-CN" w:bidi="ar-SA"/>
              </w:rPr>
            </w:pPr>
            <w:r>
              <w:rPr>
                <w:rFonts w:hint="eastAsia" w:cs="宋体"/>
                <w:bCs/>
                <w:sz w:val="18"/>
                <w:szCs w:val="18"/>
              </w:rPr>
              <w:t>●</w:t>
            </w:r>
          </w:p>
        </w:tc>
        <w:tc>
          <w:tcPr>
            <w:tcW w:w="2327" w:type="dxa"/>
            <w:vMerge w:val="continue"/>
            <w:vAlign w:val="center"/>
          </w:tcPr>
          <w:p w14:paraId="5691EB91">
            <w:pPr>
              <w:widowControl/>
              <w:adjustRightInd w:val="0"/>
              <w:snapToGrid w:val="0"/>
              <w:spacing w:before="24" w:after="24" w:line="240" w:lineRule="auto"/>
              <w:jc w:val="center"/>
              <w:textAlignment w:val="center"/>
            </w:pPr>
          </w:p>
        </w:tc>
      </w:tr>
      <w:tr w14:paraId="1957C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45" w:type="dxa"/>
            <w:vAlign w:val="center"/>
          </w:tcPr>
          <w:p w14:paraId="4F290321">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3237" w:type="dxa"/>
            <w:vAlign w:val="center"/>
          </w:tcPr>
          <w:p w14:paraId="7AEF96FD">
            <w:pPr>
              <w:pStyle w:val="98"/>
              <w:spacing w:before="24" w:after="24"/>
              <w:rPr>
                <w:rFonts w:ascii="宋体" w:hAnsi="宋体"/>
                <w:color w:val="000000"/>
                <w:kern w:val="0"/>
                <w:sz w:val="18"/>
                <w:szCs w:val="18"/>
              </w:rPr>
            </w:pPr>
            <w:r>
              <w:rPr>
                <w:rFonts w:hint="eastAsia" w:ascii="宋体" w:hAnsi="宋体"/>
                <w:color w:val="000000"/>
                <w:kern w:val="0"/>
                <w:sz w:val="18"/>
                <w:szCs w:val="18"/>
              </w:rPr>
              <w:t>河道、入河排口（出水口）</w:t>
            </w:r>
          </w:p>
        </w:tc>
        <w:tc>
          <w:tcPr>
            <w:tcW w:w="1338" w:type="dxa"/>
            <w:vAlign w:val="center"/>
          </w:tcPr>
          <w:p w14:paraId="109A7FD2">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水位</w:t>
            </w:r>
          </w:p>
        </w:tc>
        <w:tc>
          <w:tcPr>
            <w:tcW w:w="950" w:type="dxa"/>
            <w:vAlign w:val="center"/>
          </w:tcPr>
          <w:p w14:paraId="18CF5515">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cs="宋体"/>
                <w:bCs/>
                <w:sz w:val="18"/>
                <w:szCs w:val="18"/>
              </w:rPr>
              <w:t>◎</w:t>
            </w:r>
          </w:p>
        </w:tc>
        <w:tc>
          <w:tcPr>
            <w:tcW w:w="2327" w:type="dxa"/>
            <w:vAlign w:val="center"/>
          </w:tcPr>
          <w:p w14:paraId="7C7D267D">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在有顶托和倒灌风险时设置</w:t>
            </w:r>
          </w:p>
        </w:tc>
      </w:tr>
      <w:tr w14:paraId="2B77C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745" w:type="dxa"/>
            <w:vMerge w:val="restart"/>
            <w:vAlign w:val="center"/>
          </w:tcPr>
          <w:p w14:paraId="1413B381">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3237" w:type="dxa"/>
            <w:vMerge w:val="restart"/>
            <w:vAlign w:val="center"/>
          </w:tcPr>
          <w:p w14:paraId="215EFC49">
            <w:pPr>
              <w:widowControl/>
              <w:adjustRightInd w:val="0"/>
              <w:snapToGrid w:val="0"/>
              <w:spacing w:before="24" w:after="24" w:line="240" w:lineRule="auto"/>
              <w:jc w:val="both"/>
              <w:textAlignment w:val="center"/>
              <w:rPr>
                <w:rFonts w:ascii="宋体" w:hAnsi="宋体" w:cs="宋体"/>
                <w:color w:val="000000"/>
                <w:kern w:val="0"/>
                <w:sz w:val="18"/>
                <w:szCs w:val="18"/>
              </w:rPr>
            </w:pPr>
            <w:r>
              <w:rPr>
                <w:rFonts w:hint="eastAsia" w:ascii="宋体" w:hAnsi="宋体" w:cs="宋体"/>
                <w:color w:val="000000"/>
                <w:kern w:val="0"/>
                <w:sz w:val="18"/>
                <w:szCs w:val="18"/>
              </w:rPr>
              <w:t>对暂时不具备改造条件的，人员密集区域主干道路，老旧、有三四级缺陷暂未整改的排水主干管、易涝点的井盖；外部作业影响区域的排水管线</w:t>
            </w:r>
          </w:p>
        </w:tc>
        <w:tc>
          <w:tcPr>
            <w:tcW w:w="1338" w:type="dxa"/>
            <w:vAlign w:val="center"/>
          </w:tcPr>
          <w:p w14:paraId="460B2733">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液位</w:t>
            </w:r>
          </w:p>
        </w:tc>
        <w:tc>
          <w:tcPr>
            <w:tcW w:w="950" w:type="dxa"/>
            <w:vAlign w:val="center"/>
          </w:tcPr>
          <w:p w14:paraId="15F1E264">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cs="宋体"/>
                <w:bCs/>
                <w:sz w:val="18"/>
                <w:szCs w:val="18"/>
              </w:rPr>
              <w:t>●</w:t>
            </w:r>
          </w:p>
        </w:tc>
        <w:tc>
          <w:tcPr>
            <w:tcW w:w="2327" w:type="dxa"/>
            <w:vMerge w:val="restart"/>
            <w:vAlign w:val="center"/>
          </w:tcPr>
          <w:p w14:paraId="73FB280B">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每个排水系统至少设置1处，有需要可以加密布置</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rPr>
              <w:t>老旧、有三四级缺陷暂未整改的排水主干管</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最长不超过1km</w:t>
            </w:r>
          </w:p>
        </w:tc>
      </w:tr>
      <w:tr w14:paraId="23A12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745" w:type="dxa"/>
            <w:vMerge w:val="continue"/>
            <w:vAlign w:val="center"/>
          </w:tcPr>
          <w:p w14:paraId="4E724EBD">
            <w:pPr>
              <w:widowControl/>
              <w:adjustRightInd w:val="0"/>
              <w:snapToGrid w:val="0"/>
              <w:spacing w:before="24" w:after="24" w:line="240" w:lineRule="auto"/>
              <w:jc w:val="center"/>
              <w:textAlignment w:val="center"/>
            </w:pPr>
          </w:p>
        </w:tc>
        <w:tc>
          <w:tcPr>
            <w:tcW w:w="3237" w:type="dxa"/>
            <w:vMerge w:val="continue"/>
            <w:vAlign w:val="center"/>
          </w:tcPr>
          <w:p w14:paraId="7825C8CF">
            <w:pPr>
              <w:widowControl/>
              <w:adjustRightInd w:val="0"/>
              <w:snapToGrid w:val="0"/>
              <w:spacing w:before="24" w:after="24" w:line="240" w:lineRule="auto"/>
              <w:jc w:val="center"/>
              <w:textAlignment w:val="center"/>
            </w:pPr>
          </w:p>
        </w:tc>
        <w:tc>
          <w:tcPr>
            <w:tcW w:w="1338" w:type="dxa"/>
            <w:vAlign w:val="center"/>
          </w:tcPr>
          <w:p w14:paraId="3556517F">
            <w:pPr>
              <w:widowControl/>
              <w:adjustRightInd w:val="0"/>
              <w:snapToGrid w:val="0"/>
              <w:spacing w:before="24" w:after="24" w:line="240" w:lineRule="auto"/>
              <w:jc w:val="center"/>
              <w:textAlignment w:val="center"/>
            </w:pPr>
            <w:r>
              <w:rPr>
                <w:rFonts w:hint="eastAsia" w:ascii="宋体" w:hAnsi="宋体" w:cs="宋体"/>
                <w:color w:val="000000"/>
                <w:kern w:val="0"/>
                <w:sz w:val="18"/>
                <w:szCs w:val="18"/>
              </w:rPr>
              <w:t>流量</w:t>
            </w:r>
          </w:p>
        </w:tc>
        <w:tc>
          <w:tcPr>
            <w:tcW w:w="950" w:type="dxa"/>
            <w:vAlign w:val="center"/>
          </w:tcPr>
          <w:p w14:paraId="5D24E183">
            <w:pPr>
              <w:widowControl/>
              <w:adjustRightInd w:val="0"/>
              <w:snapToGrid w:val="0"/>
              <w:spacing w:before="24" w:after="24" w:line="240" w:lineRule="auto"/>
              <w:jc w:val="center"/>
              <w:textAlignment w:val="center"/>
            </w:pPr>
            <w:r>
              <w:rPr>
                <w:rFonts w:hint="eastAsia" w:cs="宋体"/>
                <w:bCs/>
                <w:sz w:val="18"/>
                <w:szCs w:val="18"/>
              </w:rPr>
              <w:t>◎</w:t>
            </w:r>
          </w:p>
        </w:tc>
        <w:tc>
          <w:tcPr>
            <w:tcW w:w="2327" w:type="dxa"/>
            <w:vMerge w:val="continue"/>
            <w:vAlign w:val="center"/>
          </w:tcPr>
          <w:p w14:paraId="636B18FD">
            <w:pPr>
              <w:widowControl/>
              <w:adjustRightInd w:val="0"/>
              <w:snapToGrid w:val="0"/>
              <w:spacing w:before="24" w:after="24" w:line="240" w:lineRule="auto"/>
              <w:jc w:val="center"/>
              <w:textAlignment w:val="center"/>
            </w:pPr>
          </w:p>
        </w:tc>
      </w:tr>
      <w:tr w14:paraId="76FC8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597" w:type="dxa"/>
            <w:gridSpan w:val="5"/>
            <w:vAlign w:val="center"/>
          </w:tcPr>
          <w:p w14:paraId="0015532A">
            <w:pPr>
              <w:pStyle w:val="146"/>
              <w:keepNext w:val="0"/>
              <w:keepLines w:val="0"/>
              <w:pageBreakBefore w:val="0"/>
              <w:widowControl/>
              <w:kinsoku/>
              <w:wordWrap/>
              <w:overflowPunct/>
              <w:topLinePunct w:val="0"/>
              <w:autoSpaceDE/>
              <w:autoSpaceDN/>
              <w:bidi w:val="0"/>
              <w:snapToGrid w:val="0"/>
              <w:spacing w:line="240" w:lineRule="auto"/>
              <w:jc w:val="both"/>
              <w:rPr>
                <w:rFonts w:cs="宋体"/>
                <w:bCs/>
                <w:sz w:val="18"/>
                <w:szCs w:val="18"/>
              </w:rPr>
            </w:pPr>
            <w:r>
              <w:rPr>
                <w:rFonts w:hint="eastAsia" w:cs="宋体"/>
                <w:bCs/>
                <w:sz w:val="18"/>
                <w:szCs w:val="18"/>
              </w:rPr>
              <w:t>注：</w:t>
            </w:r>
            <w:r>
              <w:rPr>
                <w:rFonts w:cs="宋体"/>
                <w:bCs/>
                <w:sz w:val="18"/>
                <w:szCs w:val="18"/>
              </w:rPr>
              <w:t>1.</w:t>
            </w:r>
            <w:r>
              <w:rPr>
                <w:rFonts w:hint="eastAsia" w:cs="宋体"/>
                <w:bCs/>
                <w:sz w:val="18"/>
                <w:szCs w:val="18"/>
              </w:rPr>
              <w:t>“●”表示必选监测项、“◎”表示宜选监测项、“○”表示可选监测项；</w:t>
            </w:r>
          </w:p>
          <w:p w14:paraId="43F3C666">
            <w:pPr>
              <w:keepNext w:val="0"/>
              <w:keepLines w:val="0"/>
              <w:pageBreakBefore w:val="0"/>
              <w:widowControl/>
              <w:numPr>
                <w:ilvl w:val="0"/>
                <w:numId w:val="0"/>
              </w:numPr>
              <w:kinsoku/>
              <w:wordWrap/>
              <w:overflowPunct/>
              <w:topLinePunct w:val="0"/>
              <w:autoSpaceDE/>
              <w:autoSpaceDN/>
              <w:bidi w:val="0"/>
              <w:adjustRightInd/>
              <w:snapToGrid w:val="0"/>
              <w:spacing w:line="240" w:lineRule="auto"/>
              <w:ind w:firstLine="360" w:firstLineChars="200"/>
              <w:jc w:val="both"/>
              <w:rPr>
                <w:rFonts w:hint="eastAsia" w:ascii="宋体" w:hAnsi="宋体" w:cs="宋体"/>
                <w:color w:val="000000"/>
                <w:kern w:val="0"/>
                <w:sz w:val="18"/>
                <w:szCs w:val="18"/>
              </w:rPr>
            </w:pPr>
            <w:r>
              <w:rPr>
                <w:rFonts w:hint="eastAsia" w:cs="宋体"/>
                <w:bCs/>
                <w:sz w:val="18"/>
                <w:szCs w:val="18"/>
                <w:lang w:val="en-US" w:eastAsia="zh-CN"/>
              </w:rPr>
              <w:t>2.</w:t>
            </w:r>
            <w:r>
              <w:rPr>
                <w:rFonts w:hint="eastAsia" w:cs="宋体"/>
                <w:bCs/>
                <w:sz w:val="18"/>
                <w:szCs w:val="18"/>
              </w:rPr>
              <w:t>“―”表示</w:t>
            </w:r>
            <w:r>
              <w:rPr>
                <w:rFonts w:hint="eastAsia" w:cs="宋体"/>
                <w:bCs/>
                <w:sz w:val="18"/>
                <w:szCs w:val="18"/>
                <w:lang w:val="en-US" w:eastAsia="zh-CN"/>
              </w:rPr>
              <w:t>监</w:t>
            </w:r>
            <w:r>
              <w:rPr>
                <w:rFonts w:hint="eastAsia" w:cs="宋体"/>
                <w:bCs/>
                <w:sz w:val="18"/>
                <w:szCs w:val="18"/>
              </w:rPr>
              <w:t>测点布设可根据</w:t>
            </w:r>
            <w:r>
              <w:rPr>
                <w:rFonts w:hint="eastAsia" w:cs="宋体"/>
                <w:bCs/>
                <w:sz w:val="18"/>
                <w:szCs w:val="18"/>
                <w:lang w:eastAsia="zh-CN"/>
              </w:rPr>
              <w:t>现场情况</w:t>
            </w:r>
            <w:r>
              <w:rPr>
                <w:rFonts w:hint="eastAsia" w:cs="宋体"/>
                <w:bCs/>
                <w:sz w:val="18"/>
                <w:szCs w:val="18"/>
              </w:rPr>
              <w:t>选择适当位置</w:t>
            </w:r>
            <w:r>
              <w:rPr>
                <w:rFonts w:hint="eastAsia" w:cs="宋体"/>
                <w:bCs/>
                <w:sz w:val="18"/>
                <w:szCs w:val="18"/>
                <w:lang w:eastAsia="zh-CN"/>
              </w:rPr>
              <w:t>。</w:t>
            </w:r>
          </w:p>
        </w:tc>
      </w:tr>
    </w:tbl>
    <w:p w14:paraId="08C74691">
      <w:pPr>
        <w:pStyle w:val="98"/>
        <w:spacing w:before="24" w:after="24"/>
        <w:jc w:val="center"/>
        <w:rPr>
          <w:rFonts w:hint="eastAsia" w:ascii="黑体" w:hAnsi="黑体" w:eastAsia="黑体"/>
          <w:bCs/>
          <w:color w:val="auto"/>
        </w:rPr>
      </w:pPr>
    </w:p>
    <w:p w14:paraId="1B533FD7">
      <w:pPr>
        <w:rPr>
          <w:rFonts w:hint="eastAsia" w:ascii="黑体" w:hAnsi="黑体" w:eastAsia="黑体"/>
          <w:bCs/>
          <w:color w:val="auto"/>
          <w:lang w:val="en-US" w:eastAsia="zh-CN"/>
        </w:rPr>
      </w:pPr>
      <w:r>
        <w:rPr>
          <w:rFonts w:hint="eastAsia"/>
          <w:b w:val="0"/>
          <w:bCs w:val="0"/>
          <w:lang w:val="en-US" w:eastAsia="zh-CN"/>
        </w:rPr>
        <w:t>污水系统监测布点要求见表B.3.2。</w:t>
      </w:r>
    </w:p>
    <w:p w14:paraId="7DFE553E">
      <w:pPr>
        <w:pStyle w:val="98"/>
        <w:spacing w:before="24" w:after="24"/>
        <w:jc w:val="center"/>
        <w:rPr>
          <w:rFonts w:ascii="黑体" w:hAnsi="黑体" w:eastAsia="黑体"/>
          <w:bCs/>
          <w:color w:val="auto"/>
        </w:rPr>
      </w:pPr>
      <w:r>
        <w:rPr>
          <w:rFonts w:hint="eastAsia" w:ascii="黑体" w:hAnsi="黑体" w:eastAsia="黑体"/>
          <w:bCs/>
          <w:color w:val="auto"/>
          <w:lang w:val="en-US" w:eastAsia="zh-CN"/>
        </w:rPr>
        <w:t>B.3.2</w:t>
      </w:r>
      <w:r>
        <w:rPr>
          <w:rFonts w:hint="eastAsia" w:ascii="黑体" w:hAnsi="黑体" w:eastAsia="黑体"/>
          <w:bCs/>
          <w:color w:val="auto"/>
        </w:rPr>
        <w:t xml:space="preserve"> 污水系统监测布点要求</w:t>
      </w:r>
    </w:p>
    <w:tbl>
      <w:tblPr>
        <w:tblStyle w:val="35"/>
        <w:tblW w:w="86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2851"/>
        <w:gridCol w:w="1019"/>
        <w:gridCol w:w="1010"/>
        <w:gridCol w:w="2993"/>
      </w:tblGrid>
      <w:tr w14:paraId="5ECCA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93" w:type="dxa"/>
            <w:vAlign w:val="center"/>
          </w:tcPr>
          <w:p w14:paraId="77FDD613">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序号</w:t>
            </w:r>
          </w:p>
        </w:tc>
        <w:tc>
          <w:tcPr>
            <w:tcW w:w="2851" w:type="dxa"/>
            <w:vAlign w:val="center"/>
          </w:tcPr>
          <w:p w14:paraId="37FC9306">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监测对象</w:t>
            </w:r>
          </w:p>
        </w:tc>
        <w:tc>
          <w:tcPr>
            <w:tcW w:w="1019" w:type="dxa"/>
            <w:vAlign w:val="center"/>
          </w:tcPr>
          <w:p w14:paraId="78A148D8">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监测指标</w:t>
            </w:r>
          </w:p>
        </w:tc>
        <w:tc>
          <w:tcPr>
            <w:tcW w:w="1010" w:type="dxa"/>
            <w:vAlign w:val="center"/>
          </w:tcPr>
          <w:p w14:paraId="6C4ADAB8">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监测要求</w:t>
            </w:r>
          </w:p>
        </w:tc>
        <w:tc>
          <w:tcPr>
            <w:tcW w:w="2993" w:type="dxa"/>
            <w:vAlign w:val="center"/>
          </w:tcPr>
          <w:p w14:paraId="2198209A">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监测布</w:t>
            </w:r>
            <w:r>
              <w:rPr>
                <w:rFonts w:hint="eastAsia" w:ascii="宋体" w:hAnsi="宋体" w:cs="宋体"/>
                <w:color w:val="000000"/>
                <w:kern w:val="0"/>
                <w:sz w:val="18"/>
                <w:szCs w:val="18"/>
                <w:lang w:val="en-US" w:eastAsia="zh-CN"/>
              </w:rPr>
              <w:t>点</w:t>
            </w:r>
            <w:r>
              <w:rPr>
                <w:rFonts w:hint="eastAsia" w:ascii="宋体" w:hAnsi="宋体" w:cs="宋体"/>
                <w:color w:val="000000"/>
                <w:kern w:val="0"/>
                <w:sz w:val="18"/>
                <w:szCs w:val="18"/>
              </w:rPr>
              <w:t>要求</w:t>
            </w:r>
          </w:p>
        </w:tc>
      </w:tr>
      <w:tr w14:paraId="22C73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793" w:type="dxa"/>
            <w:vMerge w:val="restart"/>
            <w:vAlign w:val="center"/>
          </w:tcPr>
          <w:p w14:paraId="604188A8">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2851" w:type="dxa"/>
            <w:vMerge w:val="restart"/>
            <w:vAlign w:val="center"/>
          </w:tcPr>
          <w:p w14:paraId="474BEF9F">
            <w:pPr>
              <w:widowControl/>
              <w:adjustRightInd w:val="0"/>
              <w:snapToGrid w:val="0"/>
              <w:spacing w:before="24" w:after="24" w:line="240" w:lineRule="auto"/>
              <w:textAlignment w:val="center"/>
              <w:rPr>
                <w:rFonts w:ascii="宋体" w:hAnsi="宋体" w:cs="宋体"/>
                <w:color w:val="000000"/>
                <w:kern w:val="0"/>
                <w:sz w:val="18"/>
                <w:szCs w:val="18"/>
              </w:rPr>
            </w:pPr>
            <w:r>
              <w:rPr>
                <w:rFonts w:hint="eastAsia" w:ascii="宋体" w:hAnsi="宋体" w:cs="宋体"/>
                <w:color w:val="000000"/>
                <w:kern w:val="0"/>
                <w:sz w:val="18"/>
                <w:szCs w:val="18"/>
              </w:rPr>
              <w:t>城市水体的干支流、上中下游，河道跨区县断面</w:t>
            </w:r>
          </w:p>
        </w:tc>
        <w:tc>
          <w:tcPr>
            <w:tcW w:w="1019" w:type="dxa"/>
            <w:vAlign w:val="center"/>
          </w:tcPr>
          <w:p w14:paraId="5F65DABC">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视频监控</w:t>
            </w:r>
          </w:p>
        </w:tc>
        <w:tc>
          <w:tcPr>
            <w:tcW w:w="1010" w:type="dxa"/>
            <w:shd w:val="clear" w:color="auto" w:fill="auto"/>
            <w:vAlign w:val="center"/>
          </w:tcPr>
          <w:p w14:paraId="44907B8E">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cs="宋体"/>
                <w:bCs/>
                <w:sz w:val="18"/>
                <w:szCs w:val="18"/>
              </w:rPr>
              <w:t>◎</w:t>
            </w:r>
          </w:p>
        </w:tc>
        <w:tc>
          <w:tcPr>
            <w:tcW w:w="2993" w:type="dxa"/>
            <w:vMerge w:val="restart"/>
            <w:vAlign w:val="center"/>
          </w:tcPr>
          <w:p w14:paraId="0826EAC7">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支流汇入处，行政区划分界处上游</w:t>
            </w:r>
          </w:p>
        </w:tc>
      </w:tr>
      <w:tr w14:paraId="61B6D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793" w:type="dxa"/>
            <w:vMerge w:val="continue"/>
            <w:vAlign w:val="center"/>
          </w:tcPr>
          <w:p w14:paraId="57D61A55">
            <w:pPr>
              <w:widowControl/>
              <w:adjustRightInd w:val="0"/>
              <w:snapToGrid w:val="0"/>
              <w:spacing w:before="24" w:after="24" w:line="240" w:lineRule="auto"/>
              <w:jc w:val="center"/>
              <w:textAlignment w:val="center"/>
            </w:pPr>
          </w:p>
        </w:tc>
        <w:tc>
          <w:tcPr>
            <w:tcW w:w="2851" w:type="dxa"/>
            <w:vMerge w:val="continue"/>
            <w:vAlign w:val="center"/>
          </w:tcPr>
          <w:p w14:paraId="4AEDCC0D">
            <w:pPr>
              <w:widowControl/>
              <w:adjustRightInd w:val="0"/>
              <w:snapToGrid w:val="0"/>
              <w:spacing w:before="24" w:after="24" w:line="240" w:lineRule="auto"/>
              <w:jc w:val="center"/>
              <w:textAlignment w:val="center"/>
            </w:pPr>
          </w:p>
        </w:tc>
        <w:tc>
          <w:tcPr>
            <w:tcW w:w="1019" w:type="dxa"/>
            <w:vAlign w:val="center"/>
          </w:tcPr>
          <w:p w14:paraId="5706696F">
            <w:pPr>
              <w:widowControl/>
              <w:adjustRightInd w:val="0"/>
              <w:snapToGrid w:val="0"/>
              <w:spacing w:before="24" w:after="24" w:line="240" w:lineRule="auto"/>
              <w:jc w:val="center"/>
              <w:textAlignment w:val="center"/>
            </w:pPr>
            <w:r>
              <w:rPr>
                <w:rFonts w:hint="eastAsia" w:ascii="宋体" w:hAnsi="宋体" w:cs="宋体"/>
                <w:color w:val="000000"/>
                <w:kern w:val="0"/>
                <w:sz w:val="18"/>
                <w:szCs w:val="18"/>
              </w:rPr>
              <w:t>水质</w:t>
            </w:r>
          </w:p>
        </w:tc>
        <w:tc>
          <w:tcPr>
            <w:tcW w:w="1010" w:type="dxa"/>
            <w:shd w:val="clear" w:color="auto" w:fill="auto"/>
            <w:vAlign w:val="center"/>
          </w:tcPr>
          <w:p w14:paraId="4D3C741B">
            <w:pPr>
              <w:widowControl/>
              <w:adjustRightInd w:val="0"/>
              <w:snapToGrid w:val="0"/>
              <w:spacing w:before="24" w:after="24" w:line="240" w:lineRule="auto"/>
              <w:jc w:val="center"/>
              <w:textAlignment w:val="center"/>
              <w:rPr>
                <w:rFonts w:ascii="Times New Roman" w:hAnsi="Times New Roman" w:eastAsia="宋体" w:cs="Times New Roman"/>
                <w:kern w:val="2"/>
                <w:sz w:val="21"/>
                <w:lang w:val="en-US" w:eastAsia="zh-CN" w:bidi="ar-SA"/>
              </w:rPr>
            </w:pPr>
            <w:r>
              <w:rPr>
                <w:rFonts w:hint="eastAsia" w:cs="宋体"/>
                <w:bCs/>
                <w:sz w:val="18"/>
                <w:szCs w:val="18"/>
              </w:rPr>
              <w:t>○</w:t>
            </w:r>
          </w:p>
        </w:tc>
        <w:tc>
          <w:tcPr>
            <w:tcW w:w="2993" w:type="dxa"/>
            <w:vMerge w:val="continue"/>
            <w:vAlign w:val="center"/>
          </w:tcPr>
          <w:p w14:paraId="2641C0F8">
            <w:pPr>
              <w:widowControl/>
              <w:adjustRightInd w:val="0"/>
              <w:snapToGrid w:val="0"/>
              <w:spacing w:before="24" w:after="24" w:line="240" w:lineRule="auto"/>
              <w:jc w:val="center"/>
              <w:textAlignment w:val="center"/>
            </w:pPr>
          </w:p>
        </w:tc>
      </w:tr>
      <w:tr w14:paraId="1D927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 w:hRule="atLeast"/>
          <w:jc w:val="center"/>
        </w:trPr>
        <w:tc>
          <w:tcPr>
            <w:tcW w:w="793" w:type="dxa"/>
            <w:vMerge w:val="restart"/>
            <w:vAlign w:val="center"/>
          </w:tcPr>
          <w:p w14:paraId="367E1C82">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2851" w:type="dxa"/>
            <w:vMerge w:val="restart"/>
            <w:vAlign w:val="center"/>
          </w:tcPr>
          <w:p w14:paraId="276F2116">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入河排口、排口附近上游管网重要节点，污水泵站、截流设施、污水处理厂等截污控源设施</w:t>
            </w:r>
          </w:p>
        </w:tc>
        <w:tc>
          <w:tcPr>
            <w:tcW w:w="1019" w:type="dxa"/>
            <w:vAlign w:val="center"/>
          </w:tcPr>
          <w:p w14:paraId="58851904">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液位</w:t>
            </w:r>
          </w:p>
        </w:tc>
        <w:tc>
          <w:tcPr>
            <w:tcW w:w="1010" w:type="dxa"/>
            <w:vAlign w:val="center"/>
          </w:tcPr>
          <w:p w14:paraId="6C3FC8CE">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cs="宋体"/>
                <w:bCs/>
                <w:sz w:val="18"/>
                <w:szCs w:val="18"/>
              </w:rPr>
              <w:t>●</w:t>
            </w:r>
          </w:p>
        </w:tc>
        <w:tc>
          <w:tcPr>
            <w:tcW w:w="2993" w:type="dxa"/>
            <w:vMerge w:val="restart"/>
            <w:vAlign w:val="center"/>
          </w:tcPr>
          <w:p w14:paraId="7BC86C1F">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结合是否存在环保风险，按需设置</w:t>
            </w:r>
          </w:p>
        </w:tc>
      </w:tr>
      <w:tr w14:paraId="28CA3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 w:hRule="atLeast"/>
          <w:jc w:val="center"/>
        </w:trPr>
        <w:tc>
          <w:tcPr>
            <w:tcW w:w="793" w:type="dxa"/>
            <w:vMerge w:val="continue"/>
            <w:vAlign w:val="center"/>
          </w:tcPr>
          <w:p w14:paraId="5A1A482F">
            <w:pPr>
              <w:widowControl/>
              <w:adjustRightInd w:val="0"/>
              <w:snapToGrid w:val="0"/>
              <w:spacing w:before="24" w:after="24" w:line="240" w:lineRule="auto"/>
              <w:jc w:val="center"/>
              <w:textAlignment w:val="center"/>
            </w:pPr>
          </w:p>
        </w:tc>
        <w:tc>
          <w:tcPr>
            <w:tcW w:w="2851" w:type="dxa"/>
            <w:vMerge w:val="continue"/>
            <w:vAlign w:val="center"/>
          </w:tcPr>
          <w:p w14:paraId="17C663F6">
            <w:pPr>
              <w:widowControl/>
              <w:adjustRightInd w:val="0"/>
              <w:snapToGrid w:val="0"/>
              <w:spacing w:before="24" w:after="24" w:line="240" w:lineRule="auto"/>
              <w:jc w:val="center"/>
              <w:textAlignment w:val="center"/>
            </w:pPr>
          </w:p>
        </w:tc>
        <w:tc>
          <w:tcPr>
            <w:tcW w:w="1019" w:type="dxa"/>
            <w:vAlign w:val="center"/>
          </w:tcPr>
          <w:p w14:paraId="16CEC1A9">
            <w:pPr>
              <w:widowControl/>
              <w:adjustRightInd w:val="0"/>
              <w:snapToGrid w:val="0"/>
              <w:spacing w:before="24" w:after="24" w:line="240" w:lineRule="auto"/>
              <w:jc w:val="center"/>
              <w:textAlignment w:val="center"/>
              <w:rPr>
                <w:rFonts w:hint="eastAsia" w:eastAsia="宋体"/>
                <w:lang w:val="en-US" w:eastAsia="zh-CN"/>
              </w:rPr>
            </w:pPr>
            <w:r>
              <w:rPr>
                <w:rFonts w:hint="eastAsia" w:ascii="宋体" w:hAnsi="宋体" w:cs="宋体"/>
                <w:color w:val="000000"/>
                <w:kern w:val="0"/>
                <w:sz w:val="18"/>
                <w:szCs w:val="18"/>
              </w:rPr>
              <w:t>流量</w:t>
            </w:r>
          </w:p>
        </w:tc>
        <w:tc>
          <w:tcPr>
            <w:tcW w:w="1010" w:type="dxa"/>
            <w:vAlign w:val="center"/>
          </w:tcPr>
          <w:p w14:paraId="276E27AD">
            <w:pPr>
              <w:widowControl/>
              <w:adjustRightInd w:val="0"/>
              <w:snapToGrid w:val="0"/>
              <w:spacing w:before="24" w:after="24" w:line="240" w:lineRule="auto"/>
              <w:jc w:val="center"/>
              <w:textAlignment w:val="center"/>
            </w:pPr>
            <w:r>
              <w:rPr>
                <w:rFonts w:hint="eastAsia" w:cs="宋体"/>
                <w:bCs/>
                <w:sz w:val="18"/>
                <w:szCs w:val="18"/>
              </w:rPr>
              <w:t>◎</w:t>
            </w:r>
          </w:p>
        </w:tc>
        <w:tc>
          <w:tcPr>
            <w:tcW w:w="2993" w:type="dxa"/>
            <w:vMerge w:val="continue"/>
            <w:vAlign w:val="center"/>
          </w:tcPr>
          <w:p w14:paraId="36CE113D">
            <w:pPr>
              <w:widowControl/>
              <w:adjustRightInd w:val="0"/>
              <w:snapToGrid w:val="0"/>
              <w:spacing w:before="24" w:after="24" w:line="240" w:lineRule="auto"/>
              <w:jc w:val="center"/>
              <w:textAlignment w:val="center"/>
            </w:pPr>
          </w:p>
        </w:tc>
      </w:tr>
      <w:tr w14:paraId="79B26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 w:hRule="atLeast"/>
          <w:jc w:val="center"/>
        </w:trPr>
        <w:tc>
          <w:tcPr>
            <w:tcW w:w="793" w:type="dxa"/>
            <w:vMerge w:val="continue"/>
            <w:vAlign w:val="center"/>
          </w:tcPr>
          <w:p w14:paraId="3EF56044">
            <w:pPr>
              <w:widowControl/>
              <w:adjustRightInd w:val="0"/>
              <w:snapToGrid w:val="0"/>
              <w:spacing w:before="24" w:after="24" w:line="240" w:lineRule="auto"/>
              <w:jc w:val="center"/>
              <w:textAlignment w:val="center"/>
            </w:pPr>
          </w:p>
        </w:tc>
        <w:tc>
          <w:tcPr>
            <w:tcW w:w="2851" w:type="dxa"/>
            <w:vMerge w:val="continue"/>
            <w:vAlign w:val="center"/>
          </w:tcPr>
          <w:p w14:paraId="5FA4F951">
            <w:pPr>
              <w:widowControl/>
              <w:adjustRightInd w:val="0"/>
              <w:snapToGrid w:val="0"/>
              <w:spacing w:before="24" w:after="24" w:line="240" w:lineRule="auto"/>
              <w:jc w:val="center"/>
              <w:textAlignment w:val="center"/>
            </w:pPr>
          </w:p>
        </w:tc>
        <w:tc>
          <w:tcPr>
            <w:tcW w:w="1019" w:type="dxa"/>
            <w:vAlign w:val="center"/>
          </w:tcPr>
          <w:p w14:paraId="63C2D093">
            <w:pPr>
              <w:widowControl/>
              <w:adjustRightInd w:val="0"/>
              <w:snapToGrid w:val="0"/>
              <w:spacing w:before="24" w:after="24" w:line="240" w:lineRule="auto"/>
              <w:jc w:val="center"/>
              <w:textAlignment w:val="center"/>
              <w:rPr>
                <w:rFonts w:hint="eastAsia" w:eastAsia="宋体"/>
                <w:lang w:eastAsia="zh-CN"/>
              </w:rPr>
            </w:pPr>
            <w:r>
              <w:rPr>
                <w:rFonts w:hint="eastAsia" w:ascii="宋体" w:hAnsi="宋体" w:cs="宋体"/>
                <w:color w:val="000000"/>
                <w:kern w:val="0"/>
                <w:sz w:val="18"/>
                <w:szCs w:val="18"/>
                <w:lang w:eastAsia="zh-CN"/>
              </w:rPr>
              <w:t>视频监控</w:t>
            </w:r>
          </w:p>
        </w:tc>
        <w:tc>
          <w:tcPr>
            <w:tcW w:w="1010" w:type="dxa"/>
            <w:vAlign w:val="center"/>
          </w:tcPr>
          <w:p w14:paraId="3FAB3DF4">
            <w:pPr>
              <w:widowControl/>
              <w:adjustRightInd w:val="0"/>
              <w:snapToGrid w:val="0"/>
              <w:spacing w:before="24" w:after="24" w:line="240" w:lineRule="auto"/>
              <w:jc w:val="center"/>
              <w:textAlignment w:val="center"/>
            </w:pPr>
            <w:r>
              <w:rPr>
                <w:rFonts w:hint="eastAsia" w:cs="宋体"/>
                <w:bCs/>
                <w:sz w:val="18"/>
                <w:szCs w:val="18"/>
              </w:rPr>
              <w:t>◎</w:t>
            </w:r>
          </w:p>
        </w:tc>
        <w:tc>
          <w:tcPr>
            <w:tcW w:w="2993" w:type="dxa"/>
            <w:vMerge w:val="continue"/>
            <w:vAlign w:val="center"/>
          </w:tcPr>
          <w:p w14:paraId="020C6908">
            <w:pPr>
              <w:widowControl/>
              <w:adjustRightInd w:val="0"/>
              <w:snapToGrid w:val="0"/>
              <w:spacing w:before="24" w:after="24" w:line="240" w:lineRule="auto"/>
              <w:jc w:val="center"/>
              <w:textAlignment w:val="center"/>
            </w:pPr>
          </w:p>
        </w:tc>
      </w:tr>
      <w:tr w14:paraId="3E65E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 w:hRule="atLeast"/>
          <w:jc w:val="center"/>
        </w:trPr>
        <w:tc>
          <w:tcPr>
            <w:tcW w:w="793" w:type="dxa"/>
            <w:vMerge w:val="continue"/>
            <w:vAlign w:val="center"/>
          </w:tcPr>
          <w:p w14:paraId="46040722">
            <w:pPr>
              <w:widowControl/>
              <w:adjustRightInd w:val="0"/>
              <w:snapToGrid w:val="0"/>
              <w:spacing w:before="24" w:after="24" w:line="240" w:lineRule="auto"/>
              <w:jc w:val="center"/>
              <w:textAlignment w:val="center"/>
            </w:pPr>
          </w:p>
        </w:tc>
        <w:tc>
          <w:tcPr>
            <w:tcW w:w="2851" w:type="dxa"/>
            <w:vMerge w:val="continue"/>
            <w:vAlign w:val="center"/>
          </w:tcPr>
          <w:p w14:paraId="1CF73B06">
            <w:pPr>
              <w:widowControl/>
              <w:adjustRightInd w:val="0"/>
              <w:snapToGrid w:val="0"/>
              <w:spacing w:before="24" w:after="24" w:line="240" w:lineRule="auto"/>
              <w:jc w:val="center"/>
              <w:textAlignment w:val="center"/>
            </w:pPr>
          </w:p>
        </w:tc>
        <w:tc>
          <w:tcPr>
            <w:tcW w:w="1019" w:type="dxa"/>
            <w:vAlign w:val="center"/>
          </w:tcPr>
          <w:p w14:paraId="352D6E97">
            <w:pPr>
              <w:widowControl/>
              <w:adjustRightInd w:val="0"/>
              <w:snapToGrid w:val="0"/>
              <w:spacing w:before="24" w:after="24" w:line="240" w:lineRule="auto"/>
              <w:jc w:val="center"/>
              <w:textAlignment w:val="center"/>
            </w:pPr>
            <w:r>
              <w:rPr>
                <w:rFonts w:hint="eastAsia" w:ascii="宋体" w:hAnsi="宋体" w:cs="宋体"/>
                <w:color w:val="000000"/>
                <w:kern w:val="0"/>
                <w:sz w:val="18"/>
                <w:szCs w:val="18"/>
              </w:rPr>
              <w:t>水质</w:t>
            </w:r>
          </w:p>
        </w:tc>
        <w:tc>
          <w:tcPr>
            <w:tcW w:w="1010" w:type="dxa"/>
            <w:vAlign w:val="center"/>
          </w:tcPr>
          <w:p w14:paraId="48B2F573">
            <w:pPr>
              <w:widowControl/>
              <w:adjustRightInd w:val="0"/>
              <w:snapToGrid w:val="0"/>
              <w:spacing w:before="24" w:after="24" w:line="240" w:lineRule="auto"/>
              <w:jc w:val="center"/>
              <w:textAlignment w:val="center"/>
            </w:pPr>
            <w:r>
              <w:rPr>
                <w:rFonts w:hint="eastAsia" w:cs="宋体"/>
                <w:bCs/>
                <w:sz w:val="18"/>
                <w:szCs w:val="18"/>
              </w:rPr>
              <w:t>◎</w:t>
            </w:r>
          </w:p>
        </w:tc>
        <w:tc>
          <w:tcPr>
            <w:tcW w:w="2993" w:type="dxa"/>
            <w:vMerge w:val="continue"/>
            <w:vAlign w:val="center"/>
          </w:tcPr>
          <w:p w14:paraId="641A8DCB">
            <w:pPr>
              <w:widowControl/>
              <w:adjustRightInd w:val="0"/>
              <w:snapToGrid w:val="0"/>
              <w:spacing w:before="24" w:after="24" w:line="240" w:lineRule="auto"/>
              <w:jc w:val="center"/>
              <w:textAlignment w:val="center"/>
            </w:pPr>
          </w:p>
        </w:tc>
      </w:tr>
      <w:tr w14:paraId="22F77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93" w:type="dxa"/>
            <w:vAlign w:val="center"/>
          </w:tcPr>
          <w:p w14:paraId="664BA663">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2851" w:type="dxa"/>
            <w:vAlign w:val="center"/>
          </w:tcPr>
          <w:p w14:paraId="33D79E03">
            <w:pPr>
              <w:pStyle w:val="98"/>
              <w:widowControl/>
              <w:adjustRightInd w:val="0"/>
              <w:snapToGrid w:val="0"/>
              <w:spacing w:before="24" w:after="24"/>
              <w:rPr>
                <w:rFonts w:ascii="宋体" w:hAnsi="宋体"/>
                <w:color w:val="000000"/>
                <w:kern w:val="0"/>
                <w:sz w:val="18"/>
                <w:szCs w:val="18"/>
              </w:rPr>
            </w:pPr>
            <w:r>
              <w:rPr>
                <w:rFonts w:hint="eastAsia" w:ascii="宋体" w:hAnsi="宋体"/>
                <w:color w:val="000000"/>
                <w:kern w:val="0"/>
                <w:sz w:val="18"/>
                <w:szCs w:val="18"/>
              </w:rPr>
              <w:t>沼气堆积的污水井及其联通空间</w:t>
            </w:r>
          </w:p>
        </w:tc>
        <w:tc>
          <w:tcPr>
            <w:tcW w:w="1019" w:type="dxa"/>
            <w:vAlign w:val="center"/>
          </w:tcPr>
          <w:p w14:paraId="6EE55C25">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可燃气体浓度</w:t>
            </w:r>
          </w:p>
        </w:tc>
        <w:tc>
          <w:tcPr>
            <w:tcW w:w="1010" w:type="dxa"/>
            <w:vAlign w:val="center"/>
          </w:tcPr>
          <w:p w14:paraId="6E757ED7">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cs="宋体"/>
                <w:bCs/>
                <w:sz w:val="18"/>
                <w:szCs w:val="18"/>
              </w:rPr>
              <w:t>●</w:t>
            </w:r>
          </w:p>
        </w:tc>
        <w:tc>
          <w:tcPr>
            <w:tcW w:w="2993" w:type="dxa"/>
            <w:vAlign w:val="center"/>
          </w:tcPr>
          <w:p w14:paraId="74D9C051">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根据风险评估，按需设置</w:t>
            </w:r>
          </w:p>
        </w:tc>
      </w:tr>
      <w:tr w14:paraId="25AAC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93" w:type="dxa"/>
            <w:vMerge w:val="restart"/>
            <w:vAlign w:val="center"/>
          </w:tcPr>
          <w:p w14:paraId="5640E1B4">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2851" w:type="dxa"/>
            <w:vMerge w:val="restart"/>
            <w:vAlign w:val="center"/>
          </w:tcPr>
          <w:p w14:paraId="6D6C3420">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人员密集区域主干管网；老旧、有三四级缺陷暂未整改的污水主干管，高水位运行、溢流风险较高的节点；外部作业影响区域的排水管线</w:t>
            </w:r>
          </w:p>
        </w:tc>
        <w:tc>
          <w:tcPr>
            <w:tcW w:w="1019" w:type="dxa"/>
            <w:vAlign w:val="center"/>
          </w:tcPr>
          <w:p w14:paraId="17D54234">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液位</w:t>
            </w:r>
          </w:p>
        </w:tc>
        <w:tc>
          <w:tcPr>
            <w:tcW w:w="1010" w:type="dxa"/>
            <w:shd w:val="clear" w:color="auto" w:fill="auto"/>
            <w:vAlign w:val="center"/>
          </w:tcPr>
          <w:p w14:paraId="136C9C97">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cs="宋体"/>
                <w:bCs/>
                <w:sz w:val="18"/>
                <w:szCs w:val="18"/>
              </w:rPr>
              <w:t>●</w:t>
            </w:r>
          </w:p>
        </w:tc>
        <w:tc>
          <w:tcPr>
            <w:tcW w:w="2993" w:type="dxa"/>
            <w:vMerge w:val="restart"/>
            <w:vAlign w:val="center"/>
          </w:tcPr>
          <w:p w14:paraId="0B2FBF6C">
            <w:pPr>
              <w:widowControl/>
              <w:adjustRightInd w:val="0"/>
              <w:snapToGrid w:val="0"/>
              <w:spacing w:before="24" w:after="24" w:line="240" w:lineRule="auto"/>
              <w:jc w:val="center"/>
              <w:textAlignment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每个污水系统至少设置1处，</w:t>
            </w:r>
            <w:r>
              <w:rPr>
                <w:rFonts w:hint="eastAsia" w:ascii="宋体" w:hAnsi="宋体" w:cs="宋体"/>
                <w:color w:val="000000"/>
                <w:kern w:val="0"/>
                <w:sz w:val="18"/>
                <w:szCs w:val="18"/>
                <w:lang w:val="en-US" w:eastAsia="zh-CN"/>
              </w:rPr>
              <w:t>倒虹井，主干交汇处</w:t>
            </w:r>
            <w:r>
              <w:rPr>
                <w:rFonts w:hint="eastAsia" w:ascii="宋体" w:hAnsi="宋体" w:cs="宋体"/>
                <w:color w:val="000000"/>
                <w:kern w:val="0"/>
                <w:sz w:val="18"/>
                <w:szCs w:val="18"/>
              </w:rPr>
              <w:t>有需要可以加密布置</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rPr>
              <w:t>老旧、有三四级缺陷暂未整改的污水主干管</w:t>
            </w:r>
            <w:r>
              <w:rPr>
                <w:rFonts w:hint="eastAsia" w:ascii="宋体" w:hAnsi="宋体" w:cs="宋体"/>
                <w:color w:val="000000"/>
                <w:kern w:val="0"/>
                <w:sz w:val="18"/>
                <w:szCs w:val="18"/>
                <w:lang w:val="en-US" w:eastAsia="zh-CN"/>
              </w:rPr>
              <w:t>在次干管汇入点前设置不低于1处，最长不超过5km</w:t>
            </w:r>
          </w:p>
        </w:tc>
      </w:tr>
      <w:tr w14:paraId="3BC7F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93" w:type="dxa"/>
            <w:vMerge w:val="continue"/>
            <w:vAlign w:val="center"/>
          </w:tcPr>
          <w:p w14:paraId="5666B8AE">
            <w:pPr>
              <w:widowControl/>
              <w:adjustRightInd w:val="0"/>
              <w:snapToGrid w:val="0"/>
              <w:spacing w:before="24" w:after="24" w:line="240" w:lineRule="auto"/>
              <w:jc w:val="center"/>
              <w:textAlignment w:val="center"/>
            </w:pPr>
          </w:p>
        </w:tc>
        <w:tc>
          <w:tcPr>
            <w:tcW w:w="2851" w:type="dxa"/>
            <w:vMerge w:val="continue"/>
            <w:vAlign w:val="center"/>
          </w:tcPr>
          <w:p w14:paraId="3AAD2558">
            <w:pPr>
              <w:widowControl/>
              <w:adjustRightInd w:val="0"/>
              <w:snapToGrid w:val="0"/>
              <w:spacing w:before="24" w:after="24" w:line="240" w:lineRule="auto"/>
              <w:jc w:val="center"/>
              <w:textAlignment w:val="center"/>
            </w:pPr>
          </w:p>
        </w:tc>
        <w:tc>
          <w:tcPr>
            <w:tcW w:w="1019" w:type="dxa"/>
            <w:vAlign w:val="center"/>
          </w:tcPr>
          <w:p w14:paraId="34A78D6E">
            <w:pPr>
              <w:widowControl/>
              <w:adjustRightInd w:val="0"/>
              <w:snapToGrid w:val="0"/>
              <w:spacing w:before="24" w:after="24" w:line="240" w:lineRule="auto"/>
              <w:jc w:val="center"/>
              <w:textAlignment w:val="center"/>
            </w:pPr>
            <w:r>
              <w:rPr>
                <w:rFonts w:hint="eastAsia" w:ascii="宋体" w:hAnsi="宋体" w:cs="宋体"/>
                <w:color w:val="000000"/>
                <w:kern w:val="0"/>
                <w:sz w:val="18"/>
                <w:szCs w:val="18"/>
              </w:rPr>
              <w:t>流量</w:t>
            </w:r>
          </w:p>
        </w:tc>
        <w:tc>
          <w:tcPr>
            <w:tcW w:w="1010" w:type="dxa"/>
            <w:shd w:val="clear" w:color="auto" w:fill="auto"/>
            <w:vAlign w:val="center"/>
          </w:tcPr>
          <w:p w14:paraId="180732F2">
            <w:pPr>
              <w:widowControl/>
              <w:adjustRightInd w:val="0"/>
              <w:snapToGrid w:val="0"/>
              <w:spacing w:before="24" w:after="24" w:line="240" w:lineRule="auto"/>
              <w:jc w:val="center"/>
              <w:textAlignment w:val="center"/>
              <w:rPr>
                <w:rFonts w:ascii="Times New Roman" w:hAnsi="Times New Roman" w:eastAsia="宋体" w:cs="Times New Roman"/>
                <w:kern w:val="2"/>
                <w:sz w:val="21"/>
                <w:lang w:val="en-US" w:eastAsia="zh-CN" w:bidi="ar-SA"/>
              </w:rPr>
            </w:pPr>
            <w:r>
              <w:rPr>
                <w:rFonts w:hint="eastAsia" w:cs="宋体"/>
                <w:bCs/>
                <w:sz w:val="18"/>
                <w:szCs w:val="18"/>
              </w:rPr>
              <w:t>◎</w:t>
            </w:r>
          </w:p>
        </w:tc>
        <w:tc>
          <w:tcPr>
            <w:tcW w:w="2993" w:type="dxa"/>
            <w:vMerge w:val="continue"/>
            <w:vAlign w:val="center"/>
          </w:tcPr>
          <w:p w14:paraId="47DD7C63">
            <w:pPr>
              <w:widowControl/>
              <w:adjustRightInd w:val="0"/>
              <w:snapToGrid w:val="0"/>
              <w:spacing w:before="24" w:after="24" w:line="240" w:lineRule="auto"/>
              <w:jc w:val="center"/>
              <w:textAlignment w:val="center"/>
            </w:pPr>
          </w:p>
        </w:tc>
      </w:tr>
      <w:tr w14:paraId="5A9D5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93" w:type="dxa"/>
            <w:vMerge w:val="continue"/>
            <w:vAlign w:val="center"/>
          </w:tcPr>
          <w:p w14:paraId="7EEA60E4">
            <w:pPr>
              <w:widowControl/>
              <w:adjustRightInd w:val="0"/>
              <w:snapToGrid w:val="0"/>
              <w:spacing w:before="24" w:after="24" w:line="240" w:lineRule="auto"/>
              <w:jc w:val="center"/>
              <w:textAlignment w:val="center"/>
            </w:pPr>
          </w:p>
        </w:tc>
        <w:tc>
          <w:tcPr>
            <w:tcW w:w="2851" w:type="dxa"/>
            <w:vMerge w:val="continue"/>
            <w:vAlign w:val="center"/>
          </w:tcPr>
          <w:p w14:paraId="3D5C596D">
            <w:pPr>
              <w:widowControl/>
              <w:adjustRightInd w:val="0"/>
              <w:snapToGrid w:val="0"/>
              <w:spacing w:before="24" w:after="24" w:line="240" w:lineRule="auto"/>
              <w:jc w:val="center"/>
              <w:textAlignment w:val="center"/>
            </w:pPr>
          </w:p>
        </w:tc>
        <w:tc>
          <w:tcPr>
            <w:tcW w:w="1019" w:type="dxa"/>
            <w:vAlign w:val="center"/>
          </w:tcPr>
          <w:p w14:paraId="0D6CE90C">
            <w:pPr>
              <w:widowControl/>
              <w:adjustRightInd w:val="0"/>
              <w:snapToGrid w:val="0"/>
              <w:spacing w:before="24" w:after="24" w:line="240" w:lineRule="auto"/>
              <w:jc w:val="center"/>
              <w:textAlignment w:val="center"/>
            </w:pPr>
            <w:r>
              <w:rPr>
                <w:rFonts w:hint="eastAsia" w:ascii="宋体" w:hAnsi="宋体" w:cs="宋体"/>
                <w:color w:val="000000"/>
                <w:kern w:val="0"/>
                <w:sz w:val="18"/>
                <w:szCs w:val="18"/>
              </w:rPr>
              <w:t>水质</w:t>
            </w:r>
          </w:p>
        </w:tc>
        <w:tc>
          <w:tcPr>
            <w:tcW w:w="1010" w:type="dxa"/>
            <w:vAlign w:val="center"/>
          </w:tcPr>
          <w:p w14:paraId="76BFA777">
            <w:pPr>
              <w:widowControl/>
              <w:adjustRightInd w:val="0"/>
              <w:snapToGrid w:val="0"/>
              <w:spacing w:before="24" w:after="24" w:line="240" w:lineRule="auto"/>
              <w:jc w:val="center"/>
              <w:textAlignment w:val="center"/>
            </w:pPr>
            <w:r>
              <w:rPr>
                <w:rFonts w:hint="eastAsia" w:cs="宋体"/>
                <w:bCs/>
                <w:sz w:val="18"/>
                <w:szCs w:val="18"/>
              </w:rPr>
              <w:t>○</w:t>
            </w:r>
          </w:p>
        </w:tc>
        <w:tc>
          <w:tcPr>
            <w:tcW w:w="2993" w:type="dxa"/>
            <w:vMerge w:val="continue"/>
            <w:vAlign w:val="center"/>
          </w:tcPr>
          <w:p w14:paraId="53EAB0FB">
            <w:pPr>
              <w:widowControl/>
              <w:adjustRightInd w:val="0"/>
              <w:snapToGrid w:val="0"/>
              <w:spacing w:before="24" w:after="24" w:line="240" w:lineRule="auto"/>
              <w:jc w:val="center"/>
              <w:textAlignment w:val="center"/>
            </w:pPr>
          </w:p>
        </w:tc>
      </w:tr>
      <w:tr w14:paraId="3FBCC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93" w:type="dxa"/>
            <w:vMerge w:val="restart"/>
            <w:vAlign w:val="center"/>
          </w:tcPr>
          <w:p w14:paraId="19BEE3E6">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2851" w:type="dxa"/>
            <w:vMerge w:val="restart"/>
            <w:vAlign w:val="center"/>
          </w:tcPr>
          <w:p w14:paraId="3895C7E9">
            <w:pPr>
              <w:widowControl/>
              <w:adjustRightInd w:val="0"/>
              <w:snapToGrid w:val="0"/>
              <w:spacing w:before="24" w:after="24" w:line="240" w:lineRule="auto"/>
              <w:jc w:val="center"/>
              <w:textAlignment w:val="center"/>
              <w:rPr>
                <w:rFonts w:ascii="宋体" w:hAnsi="宋体"/>
                <w:color w:val="000000"/>
                <w:kern w:val="0"/>
                <w:sz w:val="18"/>
                <w:szCs w:val="18"/>
              </w:rPr>
            </w:pPr>
            <w:r>
              <w:rPr>
                <w:rFonts w:hint="eastAsia" w:ascii="宋体" w:hAnsi="宋体" w:cs="宋体"/>
                <w:color w:val="000000"/>
                <w:kern w:val="0"/>
                <w:sz w:val="18"/>
                <w:szCs w:val="18"/>
              </w:rPr>
              <w:t>排口数量清晰、排水量大、存在超标超限排放风险的排水户接入市政管网的接户井</w:t>
            </w:r>
          </w:p>
        </w:tc>
        <w:tc>
          <w:tcPr>
            <w:tcW w:w="1019" w:type="dxa"/>
            <w:vAlign w:val="center"/>
          </w:tcPr>
          <w:p w14:paraId="2F697602">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流量</w:t>
            </w:r>
          </w:p>
        </w:tc>
        <w:tc>
          <w:tcPr>
            <w:tcW w:w="1010" w:type="dxa"/>
            <w:vAlign w:val="center"/>
          </w:tcPr>
          <w:p w14:paraId="679E5113">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cs="宋体"/>
                <w:bCs/>
                <w:sz w:val="18"/>
                <w:szCs w:val="18"/>
              </w:rPr>
              <w:t>◎</w:t>
            </w:r>
          </w:p>
        </w:tc>
        <w:tc>
          <w:tcPr>
            <w:tcW w:w="2993" w:type="dxa"/>
            <w:vMerge w:val="restart"/>
            <w:vAlign w:val="center"/>
          </w:tcPr>
          <w:p w14:paraId="55268AF9">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结合是否存在环保风险，按需设置</w:t>
            </w:r>
          </w:p>
        </w:tc>
      </w:tr>
      <w:tr w14:paraId="46B57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93" w:type="dxa"/>
            <w:vMerge w:val="continue"/>
            <w:vAlign w:val="center"/>
          </w:tcPr>
          <w:p w14:paraId="2B8BBD72">
            <w:pPr>
              <w:widowControl/>
              <w:adjustRightInd w:val="0"/>
              <w:snapToGrid w:val="0"/>
              <w:spacing w:before="24" w:after="24" w:line="240" w:lineRule="auto"/>
              <w:jc w:val="center"/>
              <w:textAlignment w:val="center"/>
            </w:pPr>
          </w:p>
        </w:tc>
        <w:tc>
          <w:tcPr>
            <w:tcW w:w="2851" w:type="dxa"/>
            <w:vMerge w:val="continue"/>
            <w:vAlign w:val="center"/>
          </w:tcPr>
          <w:p w14:paraId="7F91DBCD">
            <w:pPr>
              <w:widowControl/>
              <w:adjustRightInd w:val="0"/>
              <w:snapToGrid w:val="0"/>
              <w:spacing w:before="24" w:after="24" w:line="240" w:lineRule="auto"/>
              <w:jc w:val="center"/>
              <w:textAlignment w:val="center"/>
            </w:pPr>
          </w:p>
        </w:tc>
        <w:tc>
          <w:tcPr>
            <w:tcW w:w="1019" w:type="dxa"/>
            <w:vAlign w:val="center"/>
          </w:tcPr>
          <w:p w14:paraId="6DF822A9">
            <w:pPr>
              <w:widowControl/>
              <w:adjustRightInd w:val="0"/>
              <w:snapToGrid w:val="0"/>
              <w:spacing w:before="24" w:after="24" w:line="240" w:lineRule="auto"/>
              <w:jc w:val="center"/>
              <w:textAlignment w:val="center"/>
            </w:pPr>
            <w:r>
              <w:rPr>
                <w:rFonts w:hint="eastAsia" w:ascii="宋体" w:hAnsi="宋体" w:cs="宋体"/>
                <w:color w:val="000000"/>
                <w:kern w:val="0"/>
                <w:sz w:val="18"/>
                <w:szCs w:val="18"/>
              </w:rPr>
              <w:t>水质</w:t>
            </w:r>
          </w:p>
        </w:tc>
        <w:tc>
          <w:tcPr>
            <w:tcW w:w="1010" w:type="dxa"/>
            <w:vAlign w:val="center"/>
          </w:tcPr>
          <w:p w14:paraId="48D861BE">
            <w:pPr>
              <w:widowControl/>
              <w:adjustRightInd w:val="0"/>
              <w:snapToGrid w:val="0"/>
              <w:spacing w:before="24" w:after="24" w:line="240" w:lineRule="auto"/>
              <w:jc w:val="center"/>
              <w:textAlignment w:val="center"/>
            </w:pPr>
            <w:r>
              <w:rPr>
                <w:rFonts w:hint="eastAsia" w:cs="宋体"/>
                <w:bCs/>
                <w:sz w:val="18"/>
                <w:szCs w:val="18"/>
              </w:rPr>
              <w:t>◎</w:t>
            </w:r>
          </w:p>
        </w:tc>
        <w:tc>
          <w:tcPr>
            <w:tcW w:w="2993" w:type="dxa"/>
            <w:vMerge w:val="continue"/>
            <w:vAlign w:val="center"/>
          </w:tcPr>
          <w:p w14:paraId="2C5D618A">
            <w:pPr>
              <w:widowControl/>
              <w:adjustRightInd w:val="0"/>
              <w:snapToGrid w:val="0"/>
              <w:spacing w:before="24" w:after="24" w:line="240" w:lineRule="auto"/>
              <w:jc w:val="center"/>
              <w:textAlignment w:val="center"/>
            </w:pPr>
          </w:p>
        </w:tc>
      </w:tr>
      <w:tr w14:paraId="26D64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666" w:type="dxa"/>
            <w:gridSpan w:val="5"/>
            <w:vAlign w:val="center"/>
          </w:tcPr>
          <w:p w14:paraId="317C077F">
            <w:pPr>
              <w:pStyle w:val="146"/>
              <w:keepNext w:val="0"/>
              <w:keepLines w:val="0"/>
              <w:pageBreakBefore w:val="0"/>
              <w:widowControl/>
              <w:kinsoku/>
              <w:wordWrap/>
              <w:overflowPunct/>
              <w:topLinePunct w:val="0"/>
              <w:autoSpaceDE/>
              <w:autoSpaceDN/>
              <w:bidi w:val="0"/>
              <w:snapToGrid w:val="0"/>
              <w:spacing w:line="240" w:lineRule="auto"/>
              <w:jc w:val="both"/>
              <w:rPr>
                <w:rFonts w:cs="宋体"/>
                <w:bCs/>
                <w:sz w:val="18"/>
                <w:szCs w:val="18"/>
              </w:rPr>
            </w:pPr>
            <w:r>
              <w:rPr>
                <w:rFonts w:hint="eastAsia" w:cs="宋体"/>
                <w:bCs/>
                <w:sz w:val="18"/>
                <w:szCs w:val="18"/>
              </w:rPr>
              <w:t>注：</w:t>
            </w:r>
            <w:r>
              <w:rPr>
                <w:rFonts w:cs="宋体"/>
                <w:bCs/>
                <w:sz w:val="18"/>
                <w:szCs w:val="18"/>
              </w:rPr>
              <w:t>1.</w:t>
            </w:r>
            <w:r>
              <w:rPr>
                <w:rFonts w:hint="eastAsia" w:cs="宋体"/>
                <w:bCs/>
                <w:sz w:val="18"/>
                <w:szCs w:val="18"/>
              </w:rPr>
              <w:t>“●”表示必选监测项、“◎”表示宜选监测项、“○”表示可选监测项；</w:t>
            </w:r>
          </w:p>
          <w:p w14:paraId="26872DE7">
            <w:pPr>
              <w:widowControl/>
              <w:adjustRightInd w:val="0"/>
              <w:snapToGrid w:val="0"/>
              <w:spacing w:before="24" w:after="24" w:line="240" w:lineRule="auto"/>
              <w:ind w:firstLine="360" w:firstLineChars="200"/>
              <w:jc w:val="both"/>
              <w:textAlignment w:val="center"/>
            </w:pPr>
            <w:r>
              <w:rPr>
                <w:rFonts w:hint="eastAsia" w:cs="宋体"/>
                <w:bCs/>
                <w:sz w:val="18"/>
                <w:szCs w:val="18"/>
                <w:lang w:val="en-US" w:eastAsia="zh-CN"/>
              </w:rPr>
              <w:t>2.</w:t>
            </w:r>
            <w:r>
              <w:rPr>
                <w:rFonts w:hint="eastAsia" w:cs="宋体"/>
                <w:bCs/>
                <w:sz w:val="18"/>
                <w:szCs w:val="18"/>
              </w:rPr>
              <w:t>“―”表示</w:t>
            </w:r>
            <w:r>
              <w:rPr>
                <w:rFonts w:hint="eastAsia" w:cs="宋体"/>
                <w:bCs/>
                <w:sz w:val="18"/>
                <w:szCs w:val="18"/>
                <w:lang w:val="en-US" w:eastAsia="zh-CN"/>
              </w:rPr>
              <w:t>监</w:t>
            </w:r>
            <w:r>
              <w:rPr>
                <w:rFonts w:hint="eastAsia" w:cs="宋体"/>
                <w:bCs/>
                <w:sz w:val="18"/>
                <w:szCs w:val="18"/>
              </w:rPr>
              <w:t>测点布设可根据</w:t>
            </w:r>
            <w:r>
              <w:rPr>
                <w:rFonts w:hint="eastAsia" w:cs="宋体"/>
                <w:bCs/>
                <w:sz w:val="18"/>
                <w:szCs w:val="18"/>
                <w:lang w:eastAsia="zh-CN"/>
              </w:rPr>
              <w:t>现场情况</w:t>
            </w:r>
            <w:r>
              <w:rPr>
                <w:rFonts w:hint="eastAsia" w:cs="宋体"/>
                <w:bCs/>
                <w:sz w:val="18"/>
                <w:szCs w:val="18"/>
              </w:rPr>
              <w:t>选择适当位置</w:t>
            </w:r>
            <w:r>
              <w:rPr>
                <w:rFonts w:hint="eastAsia" w:cs="宋体"/>
                <w:bCs/>
                <w:sz w:val="18"/>
                <w:szCs w:val="18"/>
                <w:lang w:eastAsia="zh-CN"/>
              </w:rPr>
              <w:t>。</w:t>
            </w:r>
          </w:p>
        </w:tc>
      </w:tr>
    </w:tbl>
    <w:p w14:paraId="612EDDF8">
      <w:pPr>
        <w:pStyle w:val="2"/>
        <w:pageBreakBefore/>
        <w:tabs>
          <w:tab w:val="left" w:pos="454"/>
        </w:tabs>
        <w:spacing w:beforeLines="100" w:afterLines="100"/>
        <w:rPr>
          <w:rFonts w:hint="eastAsia" w:ascii="宋体" w:hAnsi="宋体"/>
          <w:szCs w:val="21"/>
          <w:lang w:val="en-US" w:eastAsia="zh-CN"/>
        </w:rPr>
      </w:pPr>
      <w:bookmarkStart w:id="170" w:name="_Toc2962"/>
      <w:r>
        <w:rPr>
          <w:rFonts w:hint="eastAsia" w:ascii="宋体" w:hAnsi="宋体"/>
          <w:szCs w:val="21"/>
          <w:lang w:val="en-US" w:eastAsia="zh-CN"/>
        </w:rPr>
        <w:t>B</w:t>
      </w:r>
      <w:r>
        <w:rPr>
          <w:rFonts w:hint="eastAsia" w:ascii="宋体" w:hAnsi="宋体"/>
          <w:szCs w:val="21"/>
        </w:rPr>
        <w:t>.</w:t>
      </w:r>
      <w:r>
        <w:rPr>
          <w:rFonts w:hint="eastAsia" w:ascii="宋体" w:hAnsi="宋体"/>
          <w:szCs w:val="21"/>
          <w:lang w:val="en-US" w:eastAsia="zh-CN"/>
        </w:rPr>
        <w:t>4热力</w:t>
      </w:r>
      <w:r>
        <w:rPr>
          <w:rFonts w:hint="eastAsia" w:ascii="宋体" w:hAnsi="宋体"/>
          <w:szCs w:val="21"/>
        </w:rPr>
        <w:t>监测</w:t>
      </w:r>
      <w:r>
        <w:rPr>
          <w:rFonts w:hint="eastAsia" w:ascii="宋体" w:hAnsi="宋体"/>
          <w:szCs w:val="21"/>
          <w:lang w:val="en-US" w:eastAsia="zh-CN"/>
        </w:rPr>
        <w:t>布点要求</w:t>
      </w:r>
      <w:bookmarkEnd w:id="170"/>
    </w:p>
    <w:p w14:paraId="3A1EC220">
      <w:pPr>
        <w:rPr>
          <w:rFonts w:hint="eastAsia" w:ascii="黑体" w:hAnsi="黑体" w:eastAsia="黑体"/>
          <w:bCs/>
          <w:color w:val="auto"/>
          <w:lang w:val="en-US" w:eastAsia="zh-CN"/>
        </w:rPr>
      </w:pPr>
      <w:r>
        <w:rPr>
          <w:rFonts w:hint="eastAsia"/>
          <w:b w:val="0"/>
          <w:bCs w:val="0"/>
          <w:lang w:val="en-US" w:eastAsia="zh-CN"/>
        </w:rPr>
        <w:t>热力管道监测布点要求见表B.4.1。</w:t>
      </w:r>
    </w:p>
    <w:p w14:paraId="61F15C01">
      <w:pPr>
        <w:pStyle w:val="98"/>
        <w:spacing w:before="24" w:after="24"/>
        <w:jc w:val="center"/>
        <w:rPr>
          <w:rFonts w:ascii="黑体" w:hAnsi="黑体" w:eastAsia="黑体"/>
          <w:bCs/>
          <w:color w:val="auto"/>
        </w:rPr>
      </w:pPr>
      <w:r>
        <w:rPr>
          <w:rFonts w:hint="eastAsia" w:ascii="黑体" w:hAnsi="黑体" w:eastAsia="黑体"/>
          <w:bCs/>
          <w:color w:val="auto"/>
          <w:lang w:val="en-US" w:eastAsia="zh-CN"/>
        </w:rPr>
        <w:t>B.4.1</w:t>
      </w:r>
      <w:r>
        <w:rPr>
          <w:rFonts w:hint="eastAsia" w:ascii="黑体" w:hAnsi="黑体" w:eastAsia="黑体"/>
          <w:bCs/>
          <w:color w:val="auto"/>
        </w:rPr>
        <w:t xml:space="preserve"> 热力管道监测布点要求</w:t>
      </w:r>
    </w:p>
    <w:tbl>
      <w:tblPr>
        <w:tblStyle w:val="35"/>
        <w:tblW w:w="8517"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3034"/>
        <w:gridCol w:w="1027"/>
        <w:gridCol w:w="938"/>
        <w:gridCol w:w="2838"/>
      </w:tblGrid>
      <w:tr w14:paraId="5EF4B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80" w:type="dxa"/>
            <w:vAlign w:val="center"/>
          </w:tcPr>
          <w:p w14:paraId="4F3973E4">
            <w:pPr>
              <w:widowControl/>
              <w:adjustRightInd w:val="0"/>
              <w:snapToGrid w:val="0"/>
              <w:spacing w:before="24" w:after="24" w:line="240" w:lineRule="auto"/>
              <w:jc w:val="center"/>
              <w:textAlignment w:val="center"/>
              <w:rPr>
                <w:rFonts w:ascii="宋体" w:hAnsi="宋体" w:cs="宋体"/>
                <w:color w:val="000000"/>
                <w:sz w:val="18"/>
                <w:szCs w:val="18"/>
              </w:rPr>
            </w:pPr>
            <w:r>
              <w:rPr>
                <w:rFonts w:hint="eastAsia" w:ascii="宋体" w:hAnsi="宋体" w:cs="宋体"/>
                <w:color w:val="000000"/>
                <w:kern w:val="0"/>
                <w:sz w:val="18"/>
                <w:szCs w:val="18"/>
              </w:rPr>
              <w:t>序号</w:t>
            </w:r>
          </w:p>
        </w:tc>
        <w:tc>
          <w:tcPr>
            <w:tcW w:w="3034" w:type="dxa"/>
            <w:vAlign w:val="center"/>
          </w:tcPr>
          <w:p w14:paraId="27B5B0DE">
            <w:pPr>
              <w:widowControl/>
              <w:adjustRightInd w:val="0"/>
              <w:snapToGrid w:val="0"/>
              <w:spacing w:before="24" w:after="24" w:line="240" w:lineRule="auto"/>
              <w:jc w:val="center"/>
              <w:textAlignment w:val="center"/>
              <w:rPr>
                <w:rFonts w:ascii="宋体" w:hAnsi="宋体" w:cs="宋体"/>
                <w:color w:val="000000"/>
                <w:sz w:val="18"/>
                <w:szCs w:val="18"/>
              </w:rPr>
            </w:pPr>
            <w:r>
              <w:rPr>
                <w:rFonts w:hint="eastAsia" w:ascii="宋体" w:hAnsi="宋体" w:cs="宋体"/>
                <w:color w:val="000000"/>
                <w:kern w:val="0"/>
                <w:sz w:val="18"/>
                <w:szCs w:val="18"/>
              </w:rPr>
              <w:t>监测对象</w:t>
            </w:r>
          </w:p>
        </w:tc>
        <w:tc>
          <w:tcPr>
            <w:tcW w:w="1027" w:type="dxa"/>
            <w:shd w:val="clear" w:color="auto" w:fill="auto"/>
            <w:vAlign w:val="center"/>
          </w:tcPr>
          <w:p w14:paraId="09B52123">
            <w:pPr>
              <w:widowControl/>
              <w:adjustRightInd w:val="0"/>
              <w:snapToGrid w:val="0"/>
              <w:spacing w:before="24" w:after="24" w:line="240" w:lineRule="auto"/>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cs="宋体"/>
                <w:color w:val="000000"/>
                <w:kern w:val="0"/>
                <w:sz w:val="18"/>
                <w:szCs w:val="18"/>
              </w:rPr>
              <w:t>监测指标</w:t>
            </w:r>
          </w:p>
        </w:tc>
        <w:tc>
          <w:tcPr>
            <w:tcW w:w="938" w:type="dxa"/>
            <w:vAlign w:val="center"/>
          </w:tcPr>
          <w:p w14:paraId="07E77F07">
            <w:pPr>
              <w:widowControl/>
              <w:adjustRightInd w:val="0"/>
              <w:snapToGrid w:val="0"/>
              <w:spacing w:before="24" w:after="24" w:line="240" w:lineRule="auto"/>
              <w:jc w:val="center"/>
              <w:textAlignment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监测要求</w:t>
            </w:r>
          </w:p>
        </w:tc>
        <w:tc>
          <w:tcPr>
            <w:tcW w:w="2838" w:type="dxa"/>
            <w:vAlign w:val="center"/>
          </w:tcPr>
          <w:p w14:paraId="3E010C3F">
            <w:pPr>
              <w:widowControl/>
              <w:adjustRightInd w:val="0"/>
              <w:snapToGrid w:val="0"/>
              <w:spacing w:before="24" w:after="24" w:line="240" w:lineRule="auto"/>
              <w:jc w:val="center"/>
              <w:textAlignment w:val="center"/>
              <w:rPr>
                <w:rFonts w:ascii="宋体" w:hAnsi="宋体" w:cs="宋体"/>
                <w:color w:val="000000"/>
                <w:sz w:val="18"/>
                <w:szCs w:val="18"/>
              </w:rPr>
            </w:pPr>
            <w:r>
              <w:rPr>
                <w:rFonts w:hint="eastAsia" w:ascii="宋体" w:hAnsi="宋体" w:cs="宋体"/>
                <w:color w:val="000000"/>
                <w:kern w:val="0"/>
                <w:sz w:val="18"/>
                <w:szCs w:val="18"/>
              </w:rPr>
              <w:t>监测布</w:t>
            </w:r>
            <w:r>
              <w:rPr>
                <w:rFonts w:hint="eastAsia" w:ascii="宋体" w:hAnsi="宋体" w:cs="宋体"/>
                <w:color w:val="000000"/>
                <w:kern w:val="0"/>
                <w:sz w:val="18"/>
                <w:szCs w:val="18"/>
                <w:lang w:val="en-US" w:eastAsia="zh-CN"/>
              </w:rPr>
              <w:t>点</w:t>
            </w:r>
            <w:r>
              <w:rPr>
                <w:rFonts w:hint="eastAsia" w:ascii="宋体" w:hAnsi="宋体" w:cs="宋体"/>
                <w:color w:val="000000"/>
                <w:kern w:val="0"/>
                <w:sz w:val="18"/>
                <w:szCs w:val="18"/>
              </w:rPr>
              <w:t>要求</w:t>
            </w:r>
          </w:p>
        </w:tc>
      </w:tr>
      <w:tr w14:paraId="2899E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80" w:type="dxa"/>
            <w:vAlign w:val="center"/>
          </w:tcPr>
          <w:p w14:paraId="140D0E6A">
            <w:pPr>
              <w:widowControl/>
              <w:adjustRightInd w:val="0"/>
              <w:snapToGrid w:val="0"/>
              <w:spacing w:before="24" w:after="24" w:line="240" w:lineRule="auto"/>
              <w:jc w:val="center"/>
              <w:textAlignment w:val="center"/>
              <w:rPr>
                <w:rFonts w:ascii="宋体" w:hAnsi="宋体" w:cs="宋体"/>
                <w:color w:val="000000"/>
                <w:sz w:val="18"/>
                <w:szCs w:val="18"/>
              </w:rPr>
            </w:pPr>
            <w:r>
              <w:rPr>
                <w:rFonts w:hint="eastAsia" w:ascii="宋体" w:hAnsi="宋体" w:cs="宋体"/>
                <w:color w:val="000000"/>
                <w:kern w:val="0"/>
                <w:sz w:val="18"/>
                <w:szCs w:val="18"/>
              </w:rPr>
              <w:t>1</w:t>
            </w:r>
          </w:p>
        </w:tc>
        <w:tc>
          <w:tcPr>
            <w:tcW w:w="3034" w:type="dxa"/>
            <w:vAlign w:val="center"/>
          </w:tcPr>
          <w:p w14:paraId="3D2CB87A">
            <w:pPr>
              <w:widowControl/>
              <w:adjustRightInd w:val="0"/>
              <w:snapToGrid w:val="0"/>
              <w:spacing w:before="24" w:after="24" w:line="240" w:lineRule="auto"/>
              <w:jc w:val="left"/>
              <w:textAlignment w:val="center"/>
              <w:rPr>
                <w:rFonts w:ascii="宋体" w:hAnsi="宋体" w:cs="宋体"/>
                <w:color w:val="000000"/>
                <w:sz w:val="18"/>
                <w:szCs w:val="18"/>
              </w:rPr>
            </w:pPr>
            <w:r>
              <w:rPr>
                <w:rFonts w:hint="eastAsia" w:ascii="宋体" w:hAnsi="宋体" w:cs="宋体"/>
                <w:color w:val="000000"/>
                <w:kern w:val="0"/>
                <w:sz w:val="18"/>
                <w:szCs w:val="18"/>
              </w:rPr>
              <w:t>敷设于地铁沿线输电线路等杂散电流影响区域的直埋蒸汽外护管</w:t>
            </w:r>
          </w:p>
        </w:tc>
        <w:tc>
          <w:tcPr>
            <w:tcW w:w="1027" w:type="dxa"/>
            <w:shd w:val="clear" w:color="auto" w:fill="auto"/>
            <w:vAlign w:val="center"/>
          </w:tcPr>
          <w:p w14:paraId="215A1F3E">
            <w:pPr>
              <w:widowControl/>
              <w:adjustRightInd w:val="0"/>
              <w:snapToGrid w:val="0"/>
              <w:spacing w:before="24" w:after="24" w:line="240" w:lineRule="auto"/>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cs="宋体"/>
                <w:color w:val="000000"/>
                <w:kern w:val="0"/>
                <w:sz w:val="18"/>
                <w:szCs w:val="18"/>
              </w:rPr>
              <w:t>管道电位</w:t>
            </w:r>
          </w:p>
        </w:tc>
        <w:tc>
          <w:tcPr>
            <w:tcW w:w="938" w:type="dxa"/>
            <w:vAlign w:val="center"/>
          </w:tcPr>
          <w:p w14:paraId="68433B11">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cs="宋体"/>
                <w:bCs/>
                <w:sz w:val="18"/>
                <w:szCs w:val="18"/>
              </w:rPr>
              <w:t>●</w:t>
            </w:r>
          </w:p>
        </w:tc>
        <w:tc>
          <w:tcPr>
            <w:tcW w:w="2838" w:type="dxa"/>
            <w:vAlign w:val="center"/>
          </w:tcPr>
          <w:p w14:paraId="30B10459">
            <w:pPr>
              <w:widowControl/>
              <w:adjustRightInd w:val="0"/>
              <w:snapToGrid w:val="0"/>
              <w:spacing w:before="24" w:after="24" w:line="240" w:lineRule="auto"/>
              <w:jc w:val="center"/>
              <w:textAlignment w:val="center"/>
              <w:rPr>
                <w:rFonts w:ascii="宋体" w:hAnsi="宋体" w:cs="宋体"/>
                <w:color w:val="000000"/>
                <w:sz w:val="18"/>
                <w:szCs w:val="18"/>
              </w:rPr>
            </w:pPr>
            <w:r>
              <w:rPr>
                <w:rFonts w:hint="eastAsia" w:ascii="宋体" w:hAnsi="宋体" w:cs="宋体"/>
                <w:color w:val="000000"/>
                <w:kern w:val="0"/>
                <w:sz w:val="18"/>
                <w:szCs w:val="18"/>
              </w:rPr>
              <w:t>管道阴极保护监测设备布设应满足相关</w:t>
            </w:r>
            <w:r>
              <w:rPr>
                <w:rFonts w:hint="eastAsia" w:ascii="宋体" w:hAnsi="宋体" w:cs="宋体"/>
                <w:color w:val="000000"/>
                <w:kern w:val="0"/>
                <w:sz w:val="18"/>
                <w:szCs w:val="18"/>
                <w:lang w:eastAsia="zh-CN"/>
              </w:rPr>
              <w:t>标准要求</w:t>
            </w:r>
            <w:r>
              <w:rPr>
                <w:rFonts w:hint="eastAsia" w:ascii="宋体" w:hAnsi="宋体" w:cs="宋体"/>
                <w:color w:val="000000"/>
                <w:kern w:val="0"/>
                <w:sz w:val="18"/>
                <w:szCs w:val="18"/>
              </w:rPr>
              <w:t>，应采用具备数据远程功能智能监测设备</w:t>
            </w:r>
          </w:p>
        </w:tc>
      </w:tr>
      <w:tr w14:paraId="4BD06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80" w:type="dxa"/>
            <w:vAlign w:val="center"/>
          </w:tcPr>
          <w:p w14:paraId="6559E839">
            <w:pPr>
              <w:widowControl/>
              <w:adjustRightInd w:val="0"/>
              <w:snapToGrid w:val="0"/>
              <w:spacing w:before="24" w:after="24" w:line="240" w:lineRule="auto"/>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3034" w:type="dxa"/>
            <w:vAlign w:val="center"/>
          </w:tcPr>
          <w:p w14:paraId="547DE3F2">
            <w:pPr>
              <w:widowControl/>
              <w:adjustRightInd w:val="0"/>
              <w:snapToGrid w:val="0"/>
              <w:spacing w:before="24" w:after="24" w:line="240" w:lineRule="auto"/>
              <w:jc w:val="center"/>
              <w:textAlignment w:val="center"/>
              <w:rPr>
                <w:rFonts w:ascii="宋体" w:hAnsi="宋体" w:cs="宋体"/>
                <w:color w:val="000000"/>
                <w:sz w:val="18"/>
                <w:szCs w:val="18"/>
              </w:rPr>
            </w:pPr>
            <w:r>
              <w:rPr>
                <w:rFonts w:hint="eastAsia" w:ascii="宋体" w:hAnsi="宋体" w:cs="宋体"/>
                <w:color w:val="000000"/>
                <w:kern w:val="0"/>
                <w:sz w:val="18"/>
                <w:szCs w:val="18"/>
              </w:rPr>
              <w:t>敷设于地表沉降高风险区、地质灾害高发区的管道</w:t>
            </w:r>
          </w:p>
        </w:tc>
        <w:tc>
          <w:tcPr>
            <w:tcW w:w="1027" w:type="dxa"/>
            <w:shd w:val="clear" w:color="auto" w:fill="auto"/>
            <w:vAlign w:val="center"/>
          </w:tcPr>
          <w:p w14:paraId="44BFD800">
            <w:pPr>
              <w:widowControl/>
              <w:adjustRightInd w:val="0"/>
              <w:snapToGrid w:val="0"/>
              <w:spacing w:before="24" w:after="24" w:line="240" w:lineRule="auto"/>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cs="宋体"/>
                <w:color w:val="000000"/>
                <w:kern w:val="0"/>
                <w:sz w:val="18"/>
                <w:szCs w:val="18"/>
              </w:rPr>
              <w:t>管道位移</w:t>
            </w:r>
          </w:p>
        </w:tc>
        <w:tc>
          <w:tcPr>
            <w:tcW w:w="938" w:type="dxa"/>
            <w:vAlign w:val="center"/>
          </w:tcPr>
          <w:p w14:paraId="528D4113">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cs="宋体"/>
                <w:bCs/>
                <w:sz w:val="18"/>
                <w:szCs w:val="18"/>
              </w:rPr>
              <w:t>◎</w:t>
            </w:r>
          </w:p>
        </w:tc>
        <w:tc>
          <w:tcPr>
            <w:tcW w:w="2838" w:type="dxa"/>
            <w:vAlign w:val="center"/>
          </w:tcPr>
          <w:p w14:paraId="76F8BC36">
            <w:pPr>
              <w:widowControl/>
              <w:adjustRightInd w:val="0"/>
              <w:snapToGrid w:val="0"/>
              <w:spacing w:before="24" w:after="24" w:line="240" w:lineRule="auto"/>
              <w:jc w:val="center"/>
              <w:textAlignment w:val="center"/>
              <w:rPr>
                <w:rFonts w:ascii="宋体" w:hAnsi="宋体" w:cs="宋体"/>
                <w:color w:val="000000"/>
                <w:sz w:val="18"/>
                <w:szCs w:val="18"/>
              </w:rPr>
            </w:pPr>
            <w:r>
              <w:rPr>
                <w:rFonts w:hint="eastAsia" w:ascii="宋体" w:hAnsi="宋体" w:cs="宋体"/>
                <w:color w:val="000000"/>
                <w:kern w:val="0"/>
                <w:sz w:val="18"/>
                <w:szCs w:val="18"/>
              </w:rPr>
              <w:t>线型监测设备宜沿管道全线布设、点式监控设备布设</w:t>
            </w:r>
            <w:r>
              <w:rPr>
                <w:rFonts w:hint="eastAsia" w:ascii="宋体" w:hAnsi="宋体" w:cs="宋体"/>
                <w:color w:val="000000"/>
                <w:kern w:val="0"/>
                <w:sz w:val="18"/>
                <w:szCs w:val="18"/>
                <w:lang w:eastAsia="zh-CN"/>
              </w:rPr>
              <w:t>不低于</w:t>
            </w:r>
            <w:r>
              <w:rPr>
                <w:rFonts w:hint="eastAsia" w:ascii="宋体" w:hAnsi="宋体" w:cs="宋体"/>
                <w:color w:val="000000"/>
                <w:kern w:val="0"/>
                <w:sz w:val="18"/>
                <w:szCs w:val="18"/>
              </w:rPr>
              <w:t>2处/km</w:t>
            </w:r>
          </w:p>
        </w:tc>
      </w:tr>
      <w:tr w14:paraId="41E92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80" w:type="dxa"/>
            <w:vAlign w:val="center"/>
          </w:tcPr>
          <w:p w14:paraId="16A77A61">
            <w:pPr>
              <w:widowControl/>
              <w:adjustRightInd w:val="0"/>
              <w:snapToGrid w:val="0"/>
              <w:spacing w:before="24" w:after="24" w:line="240" w:lineRule="auto"/>
              <w:jc w:val="center"/>
              <w:textAlignment w:val="center"/>
              <w:rPr>
                <w:rFonts w:ascii="宋体" w:hAnsi="宋体" w:cs="宋体"/>
                <w:color w:val="000000"/>
                <w:sz w:val="18"/>
                <w:szCs w:val="18"/>
              </w:rPr>
            </w:pPr>
            <w:r>
              <w:rPr>
                <w:rFonts w:hint="eastAsia" w:ascii="宋体" w:hAnsi="宋体" w:cs="宋体"/>
                <w:color w:val="000000"/>
                <w:kern w:val="0"/>
                <w:sz w:val="18"/>
                <w:szCs w:val="18"/>
              </w:rPr>
              <w:t>3</w:t>
            </w:r>
          </w:p>
        </w:tc>
        <w:tc>
          <w:tcPr>
            <w:tcW w:w="3034" w:type="dxa"/>
            <w:vAlign w:val="center"/>
          </w:tcPr>
          <w:p w14:paraId="6DB20228">
            <w:pPr>
              <w:widowControl/>
              <w:adjustRightInd w:val="0"/>
              <w:snapToGrid w:val="0"/>
              <w:spacing w:before="24" w:after="24" w:line="240" w:lineRule="auto"/>
              <w:jc w:val="center"/>
              <w:textAlignment w:val="center"/>
              <w:rPr>
                <w:rFonts w:ascii="宋体" w:hAnsi="宋体" w:cs="宋体"/>
                <w:color w:val="000000"/>
                <w:sz w:val="18"/>
                <w:szCs w:val="18"/>
              </w:rPr>
            </w:pPr>
            <w:r>
              <w:rPr>
                <w:rFonts w:hint="eastAsia" w:ascii="宋体" w:hAnsi="宋体" w:cs="宋体"/>
                <w:color w:val="000000"/>
                <w:kern w:val="0"/>
                <w:sz w:val="18"/>
                <w:szCs w:val="18"/>
                <w:lang w:eastAsia="zh-CN"/>
              </w:rPr>
              <w:t>第三方损坏</w:t>
            </w:r>
            <w:r>
              <w:rPr>
                <w:rFonts w:hint="eastAsia" w:ascii="宋体" w:hAnsi="宋体" w:cs="宋体"/>
                <w:color w:val="000000"/>
                <w:kern w:val="0"/>
                <w:sz w:val="18"/>
                <w:szCs w:val="18"/>
              </w:rPr>
              <w:t>风险较高的管道</w:t>
            </w:r>
          </w:p>
        </w:tc>
        <w:tc>
          <w:tcPr>
            <w:tcW w:w="1027" w:type="dxa"/>
            <w:shd w:val="clear" w:color="auto" w:fill="auto"/>
            <w:vAlign w:val="center"/>
          </w:tcPr>
          <w:p w14:paraId="3A7F5EF9">
            <w:pPr>
              <w:widowControl/>
              <w:adjustRightInd w:val="0"/>
              <w:snapToGrid w:val="0"/>
              <w:spacing w:before="24" w:after="24" w:line="240" w:lineRule="auto"/>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cs="宋体"/>
                <w:color w:val="000000"/>
                <w:kern w:val="0"/>
                <w:sz w:val="18"/>
                <w:szCs w:val="18"/>
              </w:rPr>
              <w:t>管道振动</w:t>
            </w:r>
          </w:p>
        </w:tc>
        <w:tc>
          <w:tcPr>
            <w:tcW w:w="938" w:type="dxa"/>
            <w:vAlign w:val="center"/>
          </w:tcPr>
          <w:p w14:paraId="3AEE1DB7">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cs="宋体"/>
                <w:bCs/>
                <w:sz w:val="18"/>
                <w:szCs w:val="18"/>
              </w:rPr>
              <w:t>●</w:t>
            </w:r>
          </w:p>
        </w:tc>
        <w:tc>
          <w:tcPr>
            <w:tcW w:w="2838" w:type="dxa"/>
            <w:vAlign w:val="center"/>
          </w:tcPr>
          <w:p w14:paraId="47D0D05D">
            <w:pPr>
              <w:widowControl/>
              <w:adjustRightInd w:val="0"/>
              <w:snapToGrid w:val="0"/>
              <w:spacing w:before="24" w:after="24" w:line="240" w:lineRule="auto"/>
              <w:jc w:val="center"/>
              <w:textAlignment w:val="center"/>
              <w:rPr>
                <w:rFonts w:ascii="宋体" w:hAnsi="宋体" w:cs="宋体"/>
                <w:color w:val="000000"/>
                <w:sz w:val="18"/>
                <w:szCs w:val="18"/>
              </w:rPr>
            </w:pPr>
            <w:r>
              <w:rPr>
                <w:rFonts w:hint="eastAsia" w:ascii="宋体" w:hAnsi="宋体" w:cs="宋体"/>
                <w:color w:val="000000"/>
                <w:kern w:val="0"/>
                <w:sz w:val="18"/>
                <w:szCs w:val="18"/>
              </w:rPr>
              <w:t>线型监测设备应沿管道全线布设</w:t>
            </w:r>
          </w:p>
        </w:tc>
      </w:tr>
      <w:tr w14:paraId="2DBB7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80" w:type="dxa"/>
            <w:vAlign w:val="center"/>
          </w:tcPr>
          <w:p w14:paraId="6ADE7C1D">
            <w:pPr>
              <w:widowControl/>
              <w:adjustRightInd w:val="0"/>
              <w:snapToGrid w:val="0"/>
              <w:spacing w:before="24" w:after="24" w:line="240" w:lineRule="auto"/>
              <w:jc w:val="center"/>
              <w:textAlignment w:val="center"/>
              <w:rPr>
                <w:rFonts w:ascii="宋体" w:hAnsi="宋体" w:cs="宋体"/>
                <w:color w:val="000000"/>
                <w:sz w:val="18"/>
                <w:szCs w:val="18"/>
              </w:rPr>
            </w:pPr>
            <w:r>
              <w:rPr>
                <w:rFonts w:hint="eastAsia" w:ascii="宋体" w:hAnsi="宋体" w:cs="宋体"/>
                <w:color w:val="000000"/>
                <w:kern w:val="0"/>
                <w:sz w:val="18"/>
                <w:szCs w:val="18"/>
              </w:rPr>
              <w:t>4</w:t>
            </w:r>
          </w:p>
        </w:tc>
        <w:tc>
          <w:tcPr>
            <w:tcW w:w="3034" w:type="dxa"/>
            <w:vAlign w:val="center"/>
          </w:tcPr>
          <w:p w14:paraId="347E216E">
            <w:pPr>
              <w:widowControl/>
              <w:adjustRightInd w:val="0"/>
              <w:snapToGrid w:val="0"/>
              <w:spacing w:before="24" w:after="24" w:line="240" w:lineRule="auto"/>
              <w:jc w:val="center"/>
              <w:textAlignment w:val="center"/>
              <w:rPr>
                <w:rFonts w:ascii="宋体" w:hAnsi="宋体" w:cs="宋体"/>
                <w:color w:val="000000"/>
                <w:sz w:val="18"/>
                <w:szCs w:val="18"/>
              </w:rPr>
            </w:pPr>
            <w:r>
              <w:rPr>
                <w:rFonts w:hint="eastAsia" w:ascii="宋体" w:hAnsi="宋体" w:cs="宋体"/>
                <w:color w:val="000000"/>
                <w:sz w:val="18"/>
                <w:szCs w:val="18"/>
                <w:lang w:val="en-US" w:eastAsia="zh-CN"/>
              </w:rPr>
              <w:t>直埋高蒸汽管道、温热水管道外护层</w:t>
            </w:r>
            <w:r>
              <w:rPr>
                <w:rFonts w:hint="eastAsia" w:ascii="宋体" w:hAnsi="宋体" w:cs="宋体"/>
                <w:color w:val="000000"/>
                <w:sz w:val="18"/>
                <w:szCs w:val="18"/>
              </w:rPr>
              <w:t>表面</w:t>
            </w:r>
          </w:p>
        </w:tc>
        <w:tc>
          <w:tcPr>
            <w:tcW w:w="1027" w:type="dxa"/>
            <w:shd w:val="clear" w:color="auto" w:fill="auto"/>
            <w:vAlign w:val="center"/>
          </w:tcPr>
          <w:p w14:paraId="33801E70">
            <w:pPr>
              <w:widowControl/>
              <w:adjustRightInd w:val="0"/>
              <w:snapToGrid w:val="0"/>
              <w:spacing w:before="24" w:after="24" w:line="240" w:lineRule="auto"/>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cs="宋体"/>
                <w:color w:val="000000"/>
                <w:kern w:val="0"/>
                <w:sz w:val="18"/>
                <w:szCs w:val="18"/>
              </w:rPr>
              <w:t>温度</w:t>
            </w:r>
          </w:p>
        </w:tc>
        <w:tc>
          <w:tcPr>
            <w:tcW w:w="938" w:type="dxa"/>
            <w:vAlign w:val="center"/>
          </w:tcPr>
          <w:p w14:paraId="3E8C8214">
            <w:pPr>
              <w:widowControl/>
              <w:adjustRightInd w:val="0"/>
              <w:snapToGrid w:val="0"/>
              <w:spacing w:before="24" w:after="24" w:line="240" w:lineRule="auto"/>
              <w:jc w:val="center"/>
              <w:textAlignment w:val="center"/>
              <w:rPr>
                <w:rFonts w:hint="eastAsia" w:ascii="宋体" w:hAnsi="宋体" w:cs="宋体"/>
                <w:color w:val="000000"/>
                <w:sz w:val="18"/>
                <w:szCs w:val="18"/>
              </w:rPr>
            </w:pPr>
            <w:r>
              <w:rPr>
                <w:rFonts w:hint="eastAsia" w:cs="宋体"/>
                <w:bCs/>
                <w:sz w:val="18"/>
                <w:szCs w:val="18"/>
              </w:rPr>
              <w:t>●</w:t>
            </w:r>
          </w:p>
        </w:tc>
        <w:tc>
          <w:tcPr>
            <w:tcW w:w="2838" w:type="dxa"/>
            <w:vAlign w:val="center"/>
          </w:tcPr>
          <w:p w14:paraId="798B03FB">
            <w:pPr>
              <w:widowControl/>
              <w:adjustRightInd w:val="0"/>
              <w:snapToGrid w:val="0"/>
              <w:spacing w:before="24" w:after="24" w:line="240" w:lineRule="auto"/>
              <w:jc w:val="center"/>
              <w:textAlignment w:val="center"/>
              <w:rPr>
                <w:rFonts w:ascii="宋体" w:hAnsi="宋体" w:cs="宋体"/>
                <w:color w:val="000000"/>
                <w:sz w:val="18"/>
                <w:szCs w:val="18"/>
              </w:rPr>
            </w:pPr>
            <w:r>
              <w:rPr>
                <w:rFonts w:hint="eastAsia" w:ascii="宋体" w:hAnsi="宋体" w:cs="宋体"/>
                <w:color w:val="000000"/>
                <w:kern w:val="0"/>
                <w:sz w:val="18"/>
                <w:szCs w:val="18"/>
              </w:rPr>
              <w:t>线型监测设备应沿管道全线布设</w:t>
            </w:r>
          </w:p>
        </w:tc>
      </w:tr>
      <w:tr w14:paraId="3944B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517" w:type="dxa"/>
            <w:gridSpan w:val="5"/>
            <w:vAlign w:val="center"/>
          </w:tcPr>
          <w:p w14:paraId="04444F98">
            <w:pPr>
              <w:pStyle w:val="146"/>
              <w:jc w:val="left"/>
              <w:rPr>
                <w:rFonts w:hint="eastAsia" w:cs="宋体"/>
                <w:bCs/>
                <w:sz w:val="18"/>
                <w:szCs w:val="18"/>
              </w:rPr>
            </w:pPr>
            <w:r>
              <w:rPr>
                <w:rFonts w:hint="eastAsia" w:cs="宋体"/>
                <w:bCs/>
                <w:sz w:val="18"/>
                <w:szCs w:val="18"/>
              </w:rPr>
              <w:t>注：</w:t>
            </w:r>
            <w:r>
              <w:rPr>
                <w:rFonts w:cs="宋体"/>
                <w:bCs/>
                <w:sz w:val="18"/>
                <w:szCs w:val="18"/>
              </w:rPr>
              <w:t>1.</w:t>
            </w:r>
            <w:r>
              <w:rPr>
                <w:rFonts w:hint="eastAsia" w:cs="宋体"/>
                <w:bCs/>
                <w:sz w:val="18"/>
                <w:szCs w:val="18"/>
              </w:rPr>
              <w:t>“●”表示必选监测项、“◎”表示宜选监测项、“○”表示可选监测项；</w:t>
            </w:r>
          </w:p>
          <w:p w14:paraId="708C91FB">
            <w:pPr>
              <w:pStyle w:val="146"/>
              <w:ind w:firstLine="360" w:firstLineChars="200"/>
              <w:jc w:val="left"/>
              <w:rPr>
                <w:rFonts w:hint="eastAsia" w:ascii="宋体" w:hAnsi="宋体" w:cs="宋体"/>
                <w:color w:val="000000"/>
                <w:kern w:val="0"/>
                <w:sz w:val="18"/>
                <w:szCs w:val="18"/>
              </w:rPr>
            </w:pPr>
            <w:r>
              <w:rPr>
                <w:rFonts w:cs="宋体"/>
                <w:bCs/>
                <w:sz w:val="18"/>
                <w:szCs w:val="18"/>
              </w:rPr>
              <w:t>2.</w:t>
            </w:r>
            <w:r>
              <w:rPr>
                <w:rFonts w:hint="eastAsia" w:cs="宋体"/>
                <w:bCs/>
                <w:sz w:val="18"/>
                <w:szCs w:val="18"/>
              </w:rPr>
              <w:t>“―”表示</w:t>
            </w:r>
            <w:r>
              <w:rPr>
                <w:rFonts w:hint="eastAsia" w:cs="宋体"/>
                <w:bCs/>
                <w:sz w:val="18"/>
                <w:szCs w:val="18"/>
                <w:lang w:val="en-US" w:eastAsia="zh-CN"/>
              </w:rPr>
              <w:t>监</w:t>
            </w:r>
            <w:r>
              <w:rPr>
                <w:rFonts w:hint="eastAsia" w:cs="宋体"/>
                <w:bCs/>
                <w:sz w:val="18"/>
                <w:szCs w:val="18"/>
              </w:rPr>
              <w:t>测点布设可根据</w:t>
            </w:r>
            <w:r>
              <w:rPr>
                <w:rFonts w:hint="eastAsia" w:cs="宋体"/>
                <w:bCs/>
                <w:sz w:val="18"/>
                <w:szCs w:val="18"/>
                <w:lang w:eastAsia="zh-CN"/>
              </w:rPr>
              <w:t>现场情况</w:t>
            </w:r>
            <w:r>
              <w:rPr>
                <w:rFonts w:hint="eastAsia" w:cs="宋体"/>
                <w:bCs/>
                <w:sz w:val="18"/>
                <w:szCs w:val="18"/>
              </w:rPr>
              <w:t>选择适当位置；</w:t>
            </w:r>
          </w:p>
        </w:tc>
      </w:tr>
    </w:tbl>
    <w:p w14:paraId="53D6C8EA">
      <w:pPr>
        <w:pStyle w:val="98"/>
        <w:spacing w:before="24" w:after="24"/>
        <w:jc w:val="center"/>
        <w:rPr>
          <w:rFonts w:hint="eastAsia" w:ascii="黑体" w:hAnsi="黑体" w:eastAsia="黑体"/>
          <w:bCs/>
          <w:color w:val="auto"/>
          <w:lang w:val="en-US" w:eastAsia="zh-CN"/>
        </w:rPr>
      </w:pPr>
    </w:p>
    <w:p w14:paraId="2D204F47">
      <w:pPr>
        <w:rPr>
          <w:rFonts w:hint="eastAsia" w:ascii="黑体" w:hAnsi="黑体" w:eastAsia="黑体"/>
          <w:bCs/>
          <w:color w:val="auto"/>
          <w:lang w:val="en-US" w:eastAsia="zh-CN"/>
        </w:rPr>
      </w:pPr>
      <w:r>
        <w:rPr>
          <w:rFonts w:hint="eastAsia"/>
          <w:b w:val="0"/>
          <w:bCs w:val="0"/>
          <w:lang w:val="en-US" w:eastAsia="zh-CN"/>
        </w:rPr>
        <w:t>热力管道阀井（室）监测布点要求见表B.4.2。</w:t>
      </w:r>
    </w:p>
    <w:p w14:paraId="0C5B0A38">
      <w:pPr>
        <w:pStyle w:val="98"/>
        <w:spacing w:before="24" w:after="24"/>
        <w:jc w:val="center"/>
        <w:rPr>
          <w:rFonts w:ascii="黑体" w:hAnsi="黑体" w:eastAsia="黑体"/>
          <w:bCs/>
          <w:color w:val="auto"/>
        </w:rPr>
      </w:pPr>
      <w:r>
        <w:rPr>
          <w:rFonts w:hint="eastAsia" w:ascii="黑体" w:hAnsi="黑体" w:eastAsia="黑体"/>
          <w:bCs/>
          <w:color w:val="auto"/>
          <w:lang w:val="en-US" w:eastAsia="zh-CN"/>
        </w:rPr>
        <w:t>B.4.2</w:t>
      </w:r>
      <w:r>
        <w:rPr>
          <w:rFonts w:hint="eastAsia" w:ascii="黑体" w:hAnsi="黑体" w:eastAsia="黑体"/>
          <w:bCs/>
          <w:color w:val="auto"/>
        </w:rPr>
        <w:t xml:space="preserve"> 热力</w:t>
      </w:r>
      <w:r>
        <w:rPr>
          <w:rFonts w:hint="eastAsia" w:ascii="黑体" w:hAnsi="黑体" w:eastAsia="黑体"/>
          <w:bCs/>
          <w:color w:val="auto"/>
          <w:lang w:val="en-US" w:eastAsia="zh-CN"/>
        </w:rPr>
        <w:t>管道</w:t>
      </w:r>
      <w:r>
        <w:rPr>
          <w:rFonts w:hint="eastAsia" w:ascii="黑体" w:hAnsi="黑体" w:eastAsia="黑体"/>
          <w:bCs/>
          <w:color w:val="auto"/>
        </w:rPr>
        <w:t>阀井（室）监测布点要求</w:t>
      </w:r>
    </w:p>
    <w:tbl>
      <w:tblPr>
        <w:tblStyle w:val="35"/>
        <w:tblW w:w="8517"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1"/>
        <w:gridCol w:w="3024"/>
        <w:gridCol w:w="1026"/>
        <w:gridCol w:w="950"/>
        <w:gridCol w:w="2826"/>
      </w:tblGrid>
      <w:tr w14:paraId="528DE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91" w:type="dxa"/>
            <w:vAlign w:val="center"/>
          </w:tcPr>
          <w:p w14:paraId="38DDF813">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序号</w:t>
            </w:r>
          </w:p>
        </w:tc>
        <w:tc>
          <w:tcPr>
            <w:tcW w:w="3024" w:type="dxa"/>
            <w:vAlign w:val="center"/>
          </w:tcPr>
          <w:p w14:paraId="3435923C">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监测对象</w:t>
            </w:r>
          </w:p>
        </w:tc>
        <w:tc>
          <w:tcPr>
            <w:tcW w:w="1026" w:type="dxa"/>
            <w:vAlign w:val="center"/>
          </w:tcPr>
          <w:p w14:paraId="2D59F6AD">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监测指标</w:t>
            </w:r>
          </w:p>
        </w:tc>
        <w:tc>
          <w:tcPr>
            <w:tcW w:w="950" w:type="dxa"/>
            <w:shd w:val="clear" w:color="auto" w:fill="auto"/>
            <w:vAlign w:val="center"/>
          </w:tcPr>
          <w:p w14:paraId="70DA713D">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rPr>
              <w:t>监测要求</w:t>
            </w:r>
          </w:p>
        </w:tc>
        <w:tc>
          <w:tcPr>
            <w:tcW w:w="2826" w:type="dxa"/>
            <w:vAlign w:val="center"/>
          </w:tcPr>
          <w:p w14:paraId="4163EFF1">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监测布</w:t>
            </w:r>
            <w:r>
              <w:rPr>
                <w:rFonts w:hint="eastAsia" w:ascii="宋体" w:hAnsi="宋体" w:cs="宋体"/>
                <w:color w:val="000000"/>
                <w:kern w:val="0"/>
                <w:sz w:val="18"/>
                <w:szCs w:val="18"/>
                <w:lang w:val="en-US" w:eastAsia="zh-CN"/>
              </w:rPr>
              <w:t>点</w:t>
            </w:r>
            <w:r>
              <w:rPr>
                <w:rFonts w:hint="eastAsia" w:ascii="宋体" w:hAnsi="宋体" w:cs="宋体"/>
                <w:color w:val="000000"/>
                <w:kern w:val="0"/>
                <w:sz w:val="18"/>
                <w:szCs w:val="18"/>
              </w:rPr>
              <w:t>要求</w:t>
            </w:r>
          </w:p>
        </w:tc>
      </w:tr>
      <w:tr w14:paraId="3BE7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91" w:type="dxa"/>
            <w:vMerge w:val="restart"/>
            <w:vAlign w:val="center"/>
          </w:tcPr>
          <w:p w14:paraId="67AC350A">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3024" w:type="dxa"/>
            <w:vMerge w:val="restart"/>
            <w:vAlign w:val="center"/>
          </w:tcPr>
          <w:p w14:paraId="2ECC11EC">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对风险评估结果为较大及以上风险等级的热力阀井</w:t>
            </w:r>
          </w:p>
        </w:tc>
        <w:tc>
          <w:tcPr>
            <w:tcW w:w="1026" w:type="dxa"/>
            <w:vAlign w:val="center"/>
          </w:tcPr>
          <w:p w14:paraId="5F8BA625">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井（室）内温度</w:t>
            </w:r>
          </w:p>
        </w:tc>
        <w:tc>
          <w:tcPr>
            <w:tcW w:w="950" w:type="dxa"/>
            <w:shd w:val="clear" w:color="auto" w:fill="auto"/>
            <w:vAlign w:val="center"/>
          </w:tcPr>
          <w:p w14:paraId="6A987A45">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cs="宋体"/>
                <w:bCs/>
                <w:sz w:val="18"/>
                <w:szCs w:val="18"/>
              </w:rPr>
              <w:t>◎</w:t>
            </w:r>
          </w:p>
        </w:tc>
        <w:tc>
          <w:tcPr>
            <w:tcW w:w="2826" w:type="dxa"/>
            <w:vAlign w:val="center"/>
          </w:tcPr>
          <w:p w14:paraId="303E3436">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每座阀井（室）应布设</w:t>
            </w:r>
            <w:r>
              <w:rPr>
                <w:rStyle w:val="174"/>
                <w:rFonts w:hint="eastAsia" w:ascii="宋体" w:hAnsi="宋体" w:cs="宋体"/>
                <w:kern w:val="0"/>
                <w:sz w:val="18"/>
                <w:szCs w:val="18"/>
              </w:rPr>
              <w:t>1</w:t>
            </w:r>
            <w:r>
              <w:rPr>
                <w:rFonts w:hint="eastAsia" w:ascii="宋体" w:hAnsi="宋体" w:cs="宋体"/>
                <w:color w:val="000000"/>
                <w:kern w:val="0"/>
                <w:sz w:val="18"/>
                <w:szCs w:val="18"/>
              </w:rPr>
              <w:t>处</w:t>
            </w:r>
          </w:p>
        </w:tc>
      </w:tr>
      <w:tr w14:paraId="0CAAA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91" w:type="dxa"/>
            <w:vMerge w:val="continue"/>
            <w:vAlign w:val="center"/>
          </w:tcPr>
          <w:p w14:paraId="15919924">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3024" w:type="dxa"/>
            <w:vMerge w:val="continue"/>
            <w:vAlign w:val="center"/>
          </w:tcPr>
          <w:p w14:paraId="47B7B1A0">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026" w:type="dxa"/>
            <w:vAlign w:val="center"/>
          </w:tcPr>
          <w:p w14:paraId="667C288F">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介质温度</w:t>
            </w:r>
          </w:p>
        </w:tc>
        <w:tc>
          <w:tcPr>
            <w:tcW w:w="950" w:type="dxa"/>
            <w:shd w:val="clear" w:color="auto" w:fill="auto"/>
            <w:vAlign w:val="center"/>
          </w:tcPr>
          <w:p w14:paraId="287231A1">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cs="宋体"/>
                <w:bCs/>
                <w:sz w:val="18"/>
                <w:szCs w:val="18"/>
              </w:rPr>
              <w:t>○</w:t>
            </w:r>
          </w:p>
        </w:tc>
        <w:tc>
          <w:tcPr>
            <w:tcW w:w="2826" w:type="dxa"/>
            <w:vAlign w:val="center"/>
          </w:tcPr>
          <w:p w14:paraId="6456FB50">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每座阀井（室）应布设</w:t>
            </w:r>
            <w:r>
              <w:rPr>
                <w:rStyle w:val="174"/>
                <w:rFonts w:hint="eastAsia" w:ascii="宋体" w:hAnsi="宋体" w:cs="宋体"/>
                <w:kern w:val="0"/>
                <w:sz w:val="18"/>
                <w:szCs w:val="18"/>
              </w:rPr>
              <w:t>1</w:t>
            </w:r>
            <w:r>
              <w:rPr>
                <w:rFonts w:hint="eastAsia" w:ascii="宋体" w:hAnsi="宋体" w:cs="宋体"/>
                <w:color w:val="000000"/>
                <w:kern w:val="0"/>
                <w:sz w:val="18"/>
                <w:szCs w:val="18"/>
              </w:rPr>
              <w:t>处</w:t>
            </w:r>
          </w:p>
        </w:tc>
      </w:tr>
      <w:tr w14:paraId="15B7A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91" w:type="dxa"/>
            <w:vMerge w:val="continue"/>
            <w:vAlign w:val="center"/>
          </w:tcPr>
          <w:p w14:paraId="522AB67B">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3024" w:type="dxa"/>
            <w:vMerge w:val="continue"/>
            <w:vAlign w:val="center"/>
          </w:tcPr>
          <w:p w14:paraId="16F761CC">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026" w:type="dxa"/>
            <w:vAlign w:val="center"/>
          </w:tcPr>
          <w:p w14:paraId="30961AB0">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介质压力</w:t>
            </w:r>
          </w:p>
        </w:tc>
        <w:tc>
          <w:tcPr>
            <w:tcW w:w="950" w:type="dxa"/>
            <w:shd w:val="clear" w:color="auto" w:fill="auto"/>
            <w:vAlign w:val="center"/>
          </w:tcPr>
          <w:p w14:paraId="41497719">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cs="宋体"/>
                <w:bCs/>
                <w:sz w:val="18"/>
                <w:szCs w:val="18"/>
              </w:rPr>
              <w:t>●</w:t>
            </w:r>
          </w:p>
        </w:tc>
        <w:tc>
          <w:tcPr>
            <w:tcW w:w="2826" w:type="dxa"/>
            <w:vAlign w:val="center"/>
          </w:tcPr>
          <w:p w14:paraId="7D5FC940">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每座阀井（室）应布设</w:t>
            </w:r>
            <w:r>
              <w:rPr>
                <w:rStyle w:val="174"/>
                <w:rFonts w:hint="eastAsia" w:ascii="宋体" w:hAnsi="宋体" w:cs="宋体"/>
                <w:kern w:val="0"/>
                <w:sz w:val="18"/>
                <w:szCs w:val="18"/>
              </w:rPr>
              <w:t>1</w:t>
            </w:r>
            <w:r>
              <w:rPr>
                <w:rFonts w:hint="eastAsia" w:ascii="宋体" w:hAnsi="宋体" w:cs="宋体"/>
                <w:color w:val="000000"/>
                <w:kern w:val="0"/>
                <w:sz w:val="18"/>
                <w:szCs w:val="18"/>
              </w:rPr>
              <w:t>处</w:t>
            </w:r>
          </w:p>
        </w:tc>
      </w:tr>
      <w:tr w14:paraId="3191E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91" w:type="dxa"/>
            <w:vMerge w:val="restart"/>
            <w:vAlign w:val="center"/>
          </w:tcPr>
          <w:p w14:paraId="6E80A3E7">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3024" w:type="dxa"/>
            <w:vMerge w:val="restart"/>
            <w:vAlign w:val="center"/>
          </w:tcPr>
          <w:p w14:paraId="5B89FE9B">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人员密集区主干管道热力阀井（室）</w:t>
            </w:r>
          </w:p>
        </w:tc>
        <w:tc>
          <w:tcPr>
            <w:tcW w:w="1026" w:type="dxa"/>
            <w:vAlign w:val="center"/>
          </w:tcPr>
          <w:p w14:paraId="1C82C0B1">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井（室）内温度</w:t>
            </w:r>
          </w:p>
        </w:tc>
        <w:tc>
          <w:tcPr>
            <w:tcW w:w="950" w:type="dxa"/>
            <w:shd w:val="clear" w:color="auto" w:fill="auto"/>
            <w:vAlign w:val="center"/>
          </w:tcPr>
          <w:p w14:paraId="07A548E1">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cs="宋体"/>
                <w:bCs/>
                <w:sz w:val="18"/>
                <w:szCs w:val="18"/>
              </w:rPr>
              <w:t>◎</w:t>
            </w:r>
          </w:p>
        </w:tc>
        <w:tc>
          <w:tcPr>
            <w:tcW w:w="2826" w:type="dxa"/>
            <w:vAlign w:val="center"/>
          </w:tcPr>
          <w:p w14:paraId="28F92B7B">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每相邻3座阀井应布设</w:t>
            </w:r>
            <w:r>
              <w:rPr>
                <w:rFonts w:hint="eastAsia" w:ascii="宋体" w:hAnsi="宋体" w:cs="宋体"/>
                <w:color w:val="000000"/>
                <w:kern w:val="0"/>
                <w:sz w:val="18"/>
                <w:szCs w:val="18"/>
                <w:lang w:eastAsia="zh-CN"/>
              </w:rPr>
              <w:t>不低于</w:t>
            </w:r>
            <w:r>
              <w:rPr>
                <w:rStyle w:val="174"/>
                <w:rFonts w:hint="eastAsia" w:ascii="宋体" w:hAnsi="宋体" w:cs="宋体"/>
                <w:kern w:val="0"/>
                <w:sz w:val="18"/>
                <w:szCs w:val="18"/>
              </w:rPr>
              <w:t>1</w:t>
            </w:r>
            <w:r>
              <w:rPr>
                <w:rFonts w:hint="eastAsia" w:ascii="宋体" w:hAnsi="宋体" w:cs="宋体"/>
                <w:color w:val="000000"/>
                <w:kern w:val="0"/>
                <w:sz w:val="18"/>
                <w:szCs w:val="18"/>
              </w:rPr>
              <w:t>处</w:t>
            </w:r>
          </w:p>
        </w:tc>
      </w:tr>
      <w:tr w14:paraId="70D64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91" w:type="dxa"/>
            <w:vMerge w:val="continue"/>
            <w:vAlign w:val="center"/>
          </w:tcPr>
          <w:p w14:paraId="6A0E2B0A">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3024" w:type="dxa"/>
            <w:vMerge w:val="continue"/>
            <w:vAlign w:val="center"/>
          </w:tcPr>
          <w:p w14:paraId="3FCBAD55">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026" w:type="dxa"/>
            <w:vAlign w:val="center"/>
          </w:tcPr>
          <w:p w14:paraId="40B8178A">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介质温度</w:t>
            </w:r>
          </w:p>
        </w:tc>
        <w:tc>
          <w:tcPr>
            <w:tcW w:w="950" w:type="dxa"/>
            <w:shd w:val="clear" w:color="auto" w:fill="auto"/>
            <w:vAlign w:val="center"/>
          </w:tcPr>
          <w:p w14:paraId="7475E8E5">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cs="宋体"/>
                <w:bCs/>
                <w:sz w:val="18"/>
                <w:szCs w:val="18"/>
              </w:rPr>
              <w:t>○</w:t>
            </w:r>
          </w:p>
        </w:tc>
        <w:tc>
          <w:tcPr>
            <w:tcW w:w="2826" w:type="dxa"/>
            <w:vAlign w:val="center"/>
          </w:tcPr>
          <w:p w14:paraId="1965A9B7">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每相邻3座阀井应布设</w:t>
            </w:r>
            <w:r>
              <w:rPr>
                <w:rFonts w:hint="eastAsia" w:ascii="宋体" w:hAnsi="宋体" w:cs="宋体"/>
                <w:color w:val="000000"/>
                <w:kern w:val="0"/>
                <w:sz w:val="18"/>
                <w:szCs w:val="18"/>
                <w:lang w:eastAsia="zh-CN"/>
              </w:rPr>
              <w:t>不低于</w:t>
            </w:r>
            <w:r>
              <w:rPr>
                <w:rStyle w:val="174"/>
                <w:rFonts w:hint="eastAsia" w:ascii="宋体" w:hAnsi="宋体" w:cs="宋体"/>
                <w:kern w:val="0"/>
                <w:sz w:val="18"/>
                <w:szCs w:val="18"/>
              </w:rPr>
              <w:t>1</w:t>
            </w:r>
            <w:r>
              <w:rPr>
                <w:rFonts w:hint="eastAsia" w:ascii="宋体" w:hAnsi="宋体" w:cs="宋体"/>
                <w:color w:val="000000"/>
                <w:kern w:val="0"/>
                <w:sz w:val="18"/>
                <w:szCs w:val="18"/>
              </w:rPr>
              <w:t>处</w:t>
            </w:r>
          </w:p>
        </w:tc>
      </w:tr>
      <w:tr w14:paraId="6FC62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91" w:type="dxa"/>
            <w:vMerge w:val="continue"/>
            <w:vAlign w:val="center"/>
          </w:tcPr>
          <w:p w14:paraId="19759AC1">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3024" w:type="dxa"/>
            <w:vMerge w:val="continue"/>
            <w:vAlign w:val="center"/>
          </w:tcPr>
          <w:p w14:paraId="4536CCAE">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026" w:type="dxa"/>
            <w:vAlign w:val="center"/>
          </w:tcPr>
          <w:p w14:paraId="06CACCC8">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介质压力</w:t>
            </w:r>
          </w:p>
        </w:tc>
        <w:tc>
          <w:tcPr>
            <w:tcW w:w="950" w:type="dxa"/>
            <w:shd w:val="clear" w:color="auto" w:fill="auto"/>
            <w:vAlign w:val="center"/>
          </w:tcPr>
          <w:p w14:paraId="68C79D19">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cs="宋体"/>
                <w:bCs/>
                <w:sz w:val="18"/>
                <w:szCs w:val="18"/>
              </w:rPr>
              <w:t>●</w:t>
            </w:r>
          </w:p>
        </w:tc>
        <w:tc>
          <w:tcPr>
            <w:tcW w:w="2826" w:type="dxa"/>
            <w:vAlign w:val="center"/>
          </w:tcPr>
          <w:p w14:paraId="5007E85F">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每相邻3座阀井应布设</w:t>
            </w:r>
            <w:r>
              <w:rPr>
                <w:rFonts w:hint="eastAsia" w:ascii="宋体" w:hAnsi="宋体" w:cs="宋体"/>
                <w:color w:val="000000"/>
                <w:kern w:val="0"/>
                <w:sz w:val="18"/>
                <w:szCs w:val="18"/>
                <w:lang w:eastAsia="zh-CN"/>
              </w:rPr>
              <w:t>不低于</w:t>
            </w:r>
            <w:r>
              <w:rPr>
                <w:rStyle w:val="174"/>
                <w:rFonts w:hint="eastAsia" w:ascii="宋体" w:hAnsi="宋体" w:cs="宋体"/>
                <w:kern w:val="0"/>
                <w:sz w:val="18"/>
                <w:szCs w:val="18"/>
              </w:rPr>
              <w:t>1</w:t>
            </w:r>
            <w:r>
              <w:rPr>
                <w:rFonts w:hint="eastAsia" w:ascii="宋体" w:hAnsi="宋体" w:cs="宋体"/>
                <w:color w:val="000000"/>
                <w:kern w:val="0"/>
                <w:sz w:val="18"/>
                <w:szCs w:val="18"/>
              </w:rPr>
              <w:t>处</w:t>
            </w:r>
          </w:p>
        </w:tc>
      </w:tr>
      <w:tr w14:paraId="7FE2F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91" w:type="dxa"/>
            <w:vMerge w:val="restart"/>
            <w:vAlign w:val="center"/>
          </w:tcPr>
          <w:p w14:paraId="0000A186">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3024" w:type="dxa"/>
            <w:vMerge w:val="restart"/>
            <w:vAlign w:val="center"/>
          </w:tcPr>
          <w:p w14:paraId="400A828E">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并行敷设于铁路、高速公路、国道保护范围内的热力阀井（室）</w:t>
            </w:r>
          </w:p>
        </w:tc>
        <w:tc>
          <w:tcPr>
            <w:tcW w:w="1026" w:type="dxa"/>
            <w:vAlign w:val="center"/>
          </w:tcPr>
          <w:p w14:paraId="5FFBF668">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井（室）内温度</w:t>
            </w:r>
          </w:p>
        </w:tc>
        <w:tc>
          <w:tcPr>
            <w:tcW w:w="950" w:type="dxa"/>
            <w:shd w:val="clear" w:color="auto" w:fill="auto"/>
            <w:vAlign w:val="center"/>
          </w:tcPr>
          <w:p w14:paraId="375D2EF2">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cs="宋体"/>
                <w:bCs/>
                <w:sz w:val="18"/>
                <w:szCs w:val="18"/>
              </w:rPr>
              <w:t>◎</w:t>
            </w:r>
          </w:p>
        </w:tc>
        <w:tc>
          <w:tcPr>
            <w:tcW w:w="2826" w:type="dxa"/>
            <w:vAlign w:val="center"/>
          </w:tcPr>
          <w:p w14:paraId="27433DE0">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每相邻3座阀井应布设</w:t>
            </w:r>
            <w:r>
              <w:rPr>
                <w:rFonts w:hint="eastAsia" w:ascii="宋体" w:hAnsi="宋体" w:cs="宋体"/>
                <w:color w:val="000000"/>
                <w:kern w:val="0"/>
                <w:sz w:val="18"/>
                <w:szCs w:val="18"/>
                <w:lang w:eastAsia="zh-CN"/>
              </w:rPr>
              <w:t>不低于</w:t>
            </w:r>
            <w:r>
              <w:rPr>
                <w:rStyle w:val="174"/>
                <w:rFonts w:hint="eastAsia" w:ascii="宋体" w:hAnsi="宋体" w:cs="宋体"/>
                <w:kern w:val="0"/>
                <w:sz w:val="18"/>
                <w:szCs w:val="18"/>
              </w:rPr>
              <w:t>1</w:t>
            </w:r>
            <w:r>
              <w:rPr>
                <w:rFonts w:hint="eastAsia" w:ascii="宋体" w:hAnsi="宋体" w:cs="宋体"/>
                <w:color w:val="000000"/>
                <w:kern w:val="0"/>
                <w:sz w:val="18"/>
                <w:szCs w:val="18"/>
              </w:rPr>
              <w:t>处</w:t>
            </w:r>
          </w:p>
        </w:tc>
      </w:tr>
      <w:tr w14:paraId="067EF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91" w:type="dxa"/>
            <w:vMerge w:val="continue"/>
            <w:vAlign w:val="center"/>
          </w:tcPr>
          <w:p w14:paraId="314F9257">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3024" w:type="dxa"/>
            <w:vMerge w:val="continue"/>
            <w:vAlign w:val="center"/>
          </w:tcPr>
          <w:p w14:paraId="4389000F">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026" w:type="dxa"/>
            <w:vAlign w:val="center"/>
          </w:tcPr>
          <w:p w14:paraId="06EBF861">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介质温度</w:t>
            </w:r>
          </w:p>
        </w:tc>
        <w:tc>
          <w:tcPr>
            <w:tcW w:w="950" w:type="dxa"/>
            <w:shd w:val="clear" w:color="auto" w:fill="auto"/>
            <w:vAlign w:val="center"/>
          </w:tcPr>
          <w:p w14:paraId="0E6FDBF7">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cs="宋体"/>
                <w:bCs/>
                <w:sz w:val="18"/>
                <w:szCs w:val="18"/>
              </w:rPr>
              <w:t>○</w:t>
            </w:r>
          </w:p>
        </w:tc>
        <w:tc>
          <w:tcPr>
            <w:tcW w:w="2826" w:type="dxa"/>
            <w:vAlign w:val="center"/>
          </w:tcPr>
          <w:p w14:paraId="08D6822E">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每相邻3座阀井应布设</w:t>
            </w:r>
            <w:r>
              <w:rPr>
                <w:rFonts w:hint="eastAsia" w:ascii="宋体" w:hAnsi="宋体" w:cs="宋体"/>
                <w:color w:val="000000"/>
                <w:kern w:val="0"/>
                <w:sz w:val="18"/>
                <w:szCs w:val="18"/>
                <w:lang w:eastAsia="zh-CN"/>
              </w:rPr>
              <w:t>不低于</w:t>
            </w:r>
            <w:r>
              <w:rPr>
                <w:rStyle w:val="174"/>
                <w:rFonts w:hint="eastAsia" w:ascii="宋体" w:hAnsi="宋体" w:cs="宋体"/>
                <w:kern w:val="0"/>
                <w:sz w:val="18"/>
                <w:szCs w:val="18"/>
              </w:rPr>
              <w:t>1</w:t>
            </w:r>
            <w:r>
              <w:rPr>
                <w:rFonts w:hint="eastAsia" w:ascii="宋体" w:hAnsi="宋体" w:cs="宋体"/>
                <w:color w:val="000000"/>
                <w:kern w:val="0"/>
                <w:sz w:val="18"/>
                <w:szCs w:val="18"/>
              </w:rPr>
              <w:t>处</w:t>
            </w:r>
          </w:p>
        </w:tc>
      </w:tr>
      <w:tr w14:paraId="13929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91" w:type="dxa"/>
            <w:vMerge w:val="continue"/>
            <w:vAlign w:val="center"/>
          </w:tcPr>
          <w:p w14:paraId="1018238E">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3024" w:type="dxa"/>
            <w:vMerge w:val="continue"/>
            <w:vAlign w:val="center"/>
          </w:tcPr>
          <w:p w14:paraId="79131D2F">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026" w:type="dxa"/>
            <w:vAlign w:val="center"/>
          </w:tcPr>
          <w:p w14:paraId="2B9AC0B6">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介质压力</w:t>
            </w:r>
          </w:p>
        </w:tc>
        <w:tc>
          <w:tcPr>
            <w:tcW w:w="950" w:type="dxa"/>
            <w:shd w:val="clear" w:color="auto" w:fill="auto"/>
            <w:vAlign w:val="center"/>
          </w:tcPr>
          <w:p w14:paraId="2C3104A7">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cs="宋体"/>
                <w:bCs/>
                <w:sz w:val="18"/>
                <w:szCs w:val="18"/>
              </w:rPr>
              <w:t>●</w:t>
            </w:r>
          </w:p>
        </w:tc>
        <w:tc>
          <w:tcPr>
            <w:tcW w:w="2826" w:type="dxa"/>
            <w:vAlign w:val="center"/>
          </w:tcPr>
          <w:p w14:paraId="556102D2">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每相邻3座阀井应布设</w:t>
            </w:r>
            <w:r>
              <w:rPr>
                <w:rFonts w:hint="eastAsia" w:ascii="宋体" w:hAnsi="宋体" w:cs="宋体"/>
                <w:color w:val="000000"/>
                <w:kern w:val="0"/>
                <w:sz w:val="18"/>
                <w:szCs w:val="18"/>
                <w:lang w:eastAsia="zh-CN"/>
              </w:rPr>
              <w:t>不低于</w:t>
            </w:r>
            <w:r>
              <w:rPr>
                <w:rStyle w:val="174"/>
                <w:rFonts w:hint="eastAsia" w:ascii="宋体" w:hAnsi="宋体" w:cs="宋体"/>
                <w:kern w:val="0"/>
                <w:sz w:val="18"/>
                <w:szCs w:val="18"/>
              </w:rPr>
              <w:t>1</w:t>
            </w:r>
            <w:r>
              <w:rPr>
                <w:rFonts w:hint="eastAsia" w:ascii="宋体" w:hAnsi="宋体" w:cs="宋体"/>
                <w:color w:val="000000"/>
                <w:kern w:val="0"/>
                <w:sz w:val="18"/>
                <w:szCs w:val="18"/>
              </w:rPr>
              <w:t>处</w:t>
            </w:r>
          </w:p>
        </w:tc>
      </w:tr>
      <w:tr w14:paraId="5C0F6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91" w:type="dxa"/>
            <w:vMerge w:val="restart"/>
            <w:vAlign w:val="center"/>
          </w:tcPr>
          <w:p w14:paraId="559328E9">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6</w:t>
            </w:r>
          </w:p>
        </w:tc>
        <w:tc>
          <w:tcPr>
            <w:tcW w:w="3024" w:type="dxa"/>
            <w:vMerge w:val="restart"/>
            <w:vAlign w:val="center"/>
          </w:tcPr>
          <w:p w14:paraId="03946EF4">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压力管道检验结论为“落实安全措施，继续运行”和“限期改造”的热力管道阀井：</w:t>
            </w:r>
          </w:p>
        </w:tc>
        <w:tc>
          <w:tcPr>
            <w:tcW w:w="1026" w:type="dxa"/>
            <w:vAlign w:val="center"/>
          </w:tcPr>
          <w:p w14:paraId="0B4AF5E7">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井（室）内温度</w:t>
            </w:r>
          </w:p>
        </w:tc>
        <w:tc>
          <w:tcPr>
            <w:tcW w:w="950" w:type="dxa"/>
            <w:shd w:val="clear" w:color="auto" w:fill="auto"/>
            <w:vAlign w:val="center"/>
          </w:tcPr>
          <w:p w14:paraId="619BBD5B">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cs="宋体"/>
                <w:bCs/>
                <w:sz w:val="18"/>
                <w:szCs w:val="18"/>
              </w:rPr>
              <w:t>●</w:t>
            </w:r>
          </w:p>
        </w:tc>
        <w:tc>
          <w:tcPr>
            <w:tcW w:w="2826" w:type="dxa"/>
            <w:vAlign w:val="center"/>
          </w:tcPr>
          <w:p w14:paraId="0B57BF96">
            <w:pPr>
              <w:widowControl/>
              <w:adjustRightInd w:val="0"/>
              <w:snapToGrid w:val="0"/>
              <w:spacing w:before="24" w:after="24" w:line="24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每相邻2座阀井应布设</w:t>
            </w:r>
            <w:r>
              <w:rPr>
                <w:rFonts w:hint="eastAsia" w:ascii="宋体" w:hAnsi="宋体" w:cs="宋体"/>
                <w:color w:val="000000"/>
                <w:kern w:val="0"/>
                <w:sz w:val="18"/>
                <w:szCs w:val="18"/>
                <w:lang w:eastAsia="zh-CN"/>
              </w:rPr>
              <w:t>不低于</w:t>
            </w:r>
            <w:r>
              <w:rPr>
                <w:rStyle w:val="174"/>
                <w:rFonts w:hint="eastAsia" w:ascii="宋体" w:hAnsi="宋体" w:cs="宋体"/>
                <w:kern w:val="0"/>
                <w:sz w:val="18"/>
                <w:szCs w:val="18"/>
              </w:rPr>
              <w:t>1</w:t>
            </w:r>
            <w:r>
              <w:rPr>
                <w:rFonts w:hint="eastAsia" w:ascii="宋体" w:hAnsi="宋体" w:cs="宋体"/>
                <w:color w:val="000000"/>
                <w:kern w:val="0"/>
                <w:sz w:val="18"/>
                <w:szCs w:val="18"/>
              </w:rPr>
              <w:t>处</w:t>
            </w:r>
          </w:p>
        </w:tc>
      </w:tr>
      <w:tr w14:paraId="7E741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91" w:type="dxa"/>
            <w:vMerge w:val="continue"/>
            <w:vAlign w:val="center"/>
          </w:tcPr>
          <w:p w14:paraId="693917DD">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3024" w:type="dxa"/>
            <w:vMerge w:val="continue"/>
            <w:vAlign w:val="center"/>
          </w:tcPr>
          <w:p w14:paraId="4BE8B08F">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026" w:type="dxa"/>
            <w:vAlign w:val="center"/>
          </w:tcPr>
          <w:p w14:paraId="3AF9B3D4">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介质温度</w:t>
            </w:r>
          </w:p>
        </w:tc>
        <w:tc>
          <w:tcPr>
            <w:tcW w:w="950" w:type="dxa"/>
            <w:shd w:val="clear" w:color="auto" w:fill="auto"/>
            <w:vAlign w:val="center"/>
          </w:tcPr>
          <w:p w14:paraId="3081577B">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cs="宋体"/>
                <w:bCs/>
                <w:sz w:val="18"/>
                <w:szCs w:val="18"/>
              </w:rPr>
              <w:t>◎</w:t>
            </w:r>
          </w:p>
        </w:tc>
        <w:tc>
          <w:tcPr>
            <w:tcW w:w="2826" w:type="dxa"/>
            <w:vAlign w:val="center"/>
          </w:tcPr>
          <w:p w14:paraId="5313EE8A">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每相邻2座阀井应布设</w:t>
            </w:r>
            <w:r>
              <w:rPr>
                <w:rFonts w:hint="eastAsia" w:ascii="宋体" w:hAnsi="宋体" w:cs="宋体"/>
                <w:color w:val="000000"/>
                <w:kern w:val="0"/>
                <w:sz w:val="18"/>
                <w:szCs w:val="18"/>
                <w:lang w:eastAsia="zh-CN"/>
              </w:rPr>
              <w:t>不低于</w:t>
            </w:r>
            <w:r>
              <w:rPr>
                <w:rStyle w:val="174"/>
                <w:rFonts w:hint="eastAsia" w:ascii="宋体" w:hAnsi="宋体" w:cs="宋体"/>
                <w:kern w:val="0"/>
                <w:sz w:val="18"/>
                <w:szCs w:val="18"/>
              </w:rPr>
              <w:t>1</w:t>
            </w:r>
            <w:r>
              <w:rPr>
                <w:rFonts w:hint="eastAsia" w:ascii="宋体" w:hAnsi="宋体" w:cs="宋体"/>
                <w:color w:val="000000"/>
                <w:kern w:val="0"/>
                <w:sz w:val="18"/>
                <w:szCs w:val="18"/>
              </w:rPr>
              <w:t>处</w:t>
            </w:r>
          </w:p>
        </w:tc>
      </w:tr>
      <w:tr w14:paraId="4EAED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91" w:type="dxa"/>
            <w:vMerge w:val="continue"/>
            <w:vAlign w:val="center"/>
          </w:tcPr>
          <w:p w14:paraId="40ECE821">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3024" w:type="dxa"/>
            <w:vMerge w:val="continue"/>
            <w:vAlign w:val="center"/>
          </w:tcPr>
          <w:p w14:paraId="34B88DD8">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p>
        </w:tc>
        <w:tc>
          <w:tcPr>
            <w:tcW w:w="1026" w:type="dxa"/>
            <w:vAlign w:val="center"/>
          </w:tcPr>
          <w:p w14:paraId="0A1DC276">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介质压力</w:t>
            </w:r>
          </w:p>
        </w:tc>
        <w:tc>
          <w:tcPr>
            <w:tcW w:w="950" w:type="dxa"/>
            <w:shd w:val="clear" w:color="auto" w:fill="auto"/>
            <w:vAlign w:val="center"/>
          </w:tcPr>
          <w:p w14:paraId="49BF26DF">
            <w:pPr>
              <w:widowControl/>
              <w:adjustRightInd w:val="0"/>
              <w:snapToGrid w:val="0"/>
              <w:spacing w:before="24" w:after="24" w:line="240" w:lineRule="auto"/>
              <w:jc w:val="center"/>
              <w:textAlignment w:val="center"/>
              <w:rPr>
                <w:rFonts w:hint="eastAsia" w:ascii="宋体" w:hAnsi="宋体" w:eastAsia="宋体" w:cs="宋体"/>
                <w:color w:val="000000"/>
                <w:kern w:val="0"/>
                <w:sz w:val="18"/>
                <w:szCs w:val="18"/>
                <w:lang w:val="en-US" w:eastAsia="zh-CN" w:bidi="ar-SA"/>
              </w:rPr>
            </w:pPr>
            <w:r>
              <w:rPr>
                <w:rFonts w:hint="eastAsia" w:cs="宋体"/>
                <w:bCs/>
                <w:sz w:val="18"/>
                <w:szCs w:val="18"/>
              </w:rPr>
              <w:t>●</w:t>
            </w:r>
          </w:p>
        </w:tc>
        <w:tc>
          <w:tcPr>
            <w:tcW w:w="2826" w:type="dxa"/>
            <w:vAlign w:val="center"/>
          </w:tcPr>
          <w:p w14:paraId="4EC3BA92">
            <w:pPr>
              <w:widowControl/>
              <w:adjustRightInd w:val="0"/>
              <w:snapToGrid w:val="0"/>
              <w:spacing w:before="24" w:after="24" w:line="240" w:lineRule="auto"/>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每相邻2座阀井应布设</w:t>
            </w:r>
            <w:r>
              <w:rPr>
                <w:rFonts w:hint="eastAsia" w:ascii="宋体" w:hAnsi="宋体" w:cs="宋体"/>
                <w:color w:val="000000"/>
                <w:kern w:val="0"/>
                <w:sz w:val="18"/>
                <w:szCs w:val="18"/>
                <w:lang w:eastAsia="zh-CN"/>
              </w:rPr>
              <w:t>不低于</w:t>
            </w:r>
            <w:r>
              <w:rPr>
                <w:rStyle w:val="174"/>
                <w:rFonts w:hint="eastAsia" w:ascii="宋体" w:hAnsi="宋体" w:cs="宋体"/>
                <w:kern w:val="0"/>
                <w:sz w:val="18"/>
                <w:szCs w:val="18"/>
              </w:rPr>
              <w:t>1</w:t>
            </w:r>
            <w:r>
              <w:rPr>
                <w:rFonts w:hint="eastAsia" w:ascii="宋体" w:hAnsi="宋体" w:cs="宋体"/>
                <w:color w:val="000000"/>
                <w:kern w:val="0"/>
                <w:sz w:val="18"/>
                <w:szCs w:val="18"/>
              </w:rPr>
              <w:t>处</w:t>
            </w:r>
          </w:p>
        </w:tc>
      </w:tr>
      <w:tr w14:paraId="02B80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517" w:type="dxa"/>
            <w:gridSpan w:val="5"/>
            <w:vAlign w:val="center"/>
          </w:tcPr>
          <w:p w14:paraId="52825299">
            <w:pPr>
              <w:pStyle w:val="146"/>
              <w:jc w:val="left"/>
              <w:rPr>
                <w:rFonts w:hint="eastAsia" w:cs="宋体"/>
                <w:bCs/>
                <w:sz w:val="18"/>
                <w:szCs w:val="18"/>
              </w:rPr>
            </w:pPr>
            <w:r>
              <w:rPr>
                <w:rFonts w:hint="eastAsia" w:cs="宋体"/>
                <w:bCs/>
                <w:sz w:val="18"/>
                <w:szCs w:val="18"/>
              </w:rPr>
              <w:t>注：</w:t>
            </w:r>
            <w:r>
              <w:rPr>
                <w:rFonts w:cs="宋体"/>
                <w:bCs/>
                <w:sz w:val="18"/>
                <w:szCs w:val="18"/>
              </w:rPr>
              <w:t>1.</w:t>
            </w:r>
            <w:r>
              <w:rPr>
                <w:rFonts w:hint="eastAsia" w:cs="宋体"/>
                <w:bCs/>
                <w:sz w:val="18"/>
                <w:szCs w:val="18"/>
              </w:rPr>
              <w:t>“●”表示必选监测项、“◎”表示宜选监测项、“○”表示可选监测项；</w:t>
            </w:r>
          </w:p>
          <w:p w14:paraId="15331B3C">
            <w:pPr>
              <w:widowControl/>
              <w:adjustRightInd w:val="0"/>
              <w:snapToGrid w:val="0"/>
              <w:spacing w:before="24" w:after="24" w:line="240" w:lineRule="auto"/>
              <w:ind w:firstLine="360" w:firstLineChars="200"/>
              <w:jc w:val="left"/>
              <w:textAlignment w:val="center"/>
              <w:rPr>
                <w:rFonts w:hint="eastAsia" w:ascii="宋体" w:hAnsi="宋体" w:cs="宋体"/>
                <w:color w:val="000000"/>
                <w:kern w:val="0"/>
                <w:sz w:val="18"/>
                <w:szCs w:val="18"/>
              </w:rPr>
            </w:pPr>
            <w:r>
              <w:rPr>
                <w:rFonts w:cs="宋体"/>
                <w:bCs/>
                <w:sz w:val="18"/>
                <w:szCs w:val="18"/>
              </w:rPr>
              <w:t>2.</w:t>
            </w:r>
            <w:r>
              <w:rPr>
                <w:rFonts w:hint="eastAsia" w:cs="宋体"/>
                <w:bCs/>
                <w:sz w:val="18"/>
                <w:szCs w:val="18"/>
              </w:rPr>
              <w:t>“―”表示</w:t>
            </w:r>
            <w:r>
              <w:rPr>
                <w:rFonts w:hint="eastAsia" w:cs="宋体"/>
                <w:bCs/>
                <w:sz w:val="18"/>
                <w:szCs w:val="18"/>
                <w:lang w:val="en-US" w:eastAsia="zh-CN"/>
              </w:rPr>
              <w:t>监</w:t>
            </w:r>
            <w:r>
              <w:rPr>
                <w:rFonts w:hint="eastAsia" w:cs="宋体"/>
                <w:bCs/>
                <w:sz w:val="18"/>
                <w:szCs w:val="18"/>
              </w:rPr>
              <w:t>测点布设可根据</w:t>
            </w:r>
            <w:r>
              <w:rPr>
                <w:rFonts w:hint="eastAsia" w:cs="宋体"/>
                <w:bCs/>
                <w:sz w:val="18"/>
                <w:szCs w:val="18"/>
                <w:lang w:eastAsia="zh-CN"/>
              </w:rPr>
              <w:t>现场情况</w:t>
            </w:r>
            <w:r>
              <w:rPr>
                <w:rFonts w:hint="eastAsia" w:cs="宋体"/>
                <w:bCs/>
                <w:sz w:val="18"/>
                <w:szCs w:val="18"/>
              </w:rPr>
              <w:t>选择适当位置；</w:t>
            </w:r>
          </w:p>
        </w:tc>
      </w:tr>
    </w:tbl>
    <w:p w14:paraId="406D87B9">
      <w:pPr>
        <w:pStyle w:val="2"/>
        <w:pageBreakBefore/>
        <w:tabs>
          <w:tab w:val="left" w:pos="454"/>
        </w:tabs>
        <w:spacing w:beforeLines="100" w:afterLines="100"/>
        <w:rPr>
          <w:rFonts w:hint="eastAsia" w:ascii="宋体" w:hAnsi="宋体"/>
          <w:szCs w:val="21"/>
          <w:lang w:val="en-US" w:eastAsia="zh-CN"/>
        </w:rPr>
      </w:pPr>
      <w:bookmarkStart w:id="171" w:name="_Toc6011"/>
      <w:bookmarkStart w:id="172" w:name="_Ref187677066"/>
      <w:bookmarkStart w:id="173" w:name="_Ref187677060"/>
      <w:r>
        <w:rPr>
          <w:rFonts w:hint="eastAsia" w:ascii="宋体" w:hAnsi="宋体"/>
          <w:szCs w:val="21"/>
          <w:lang w:val="en-US" w:eastAsia="zh-CN"/>
        </w:rPr>
        <w:t>B</w:t>
      </w:r>
      <w:r>
        <w:rPr>
          <w:rFonts w:hint="eastAsia" w:ascii="宋体" w:hAnsi="宋体"/>
          <w:szCs w:val="21"/>
        </w:rPr>
        <w:t>.</w:t>
      </w:r>
      <w:r>
        <w:rPr>
          <w:rFonts w:hint="eastAsia" w:ascii="宋体" w:hAnsi="宋体"/>
          <w:szCs w:val="21"/>
          <w:lang w:val="en-US" w:eastAsia="zh-CN"/>
        </w:rPr>
        <w:t>5桥梁</w:t>
      </w:r>
      <w:r>
        <w:rPr>
          <w:rFonts w:hint="eastAsia" w:ascii="宋体" w:hAnsi="宋体"/>
          <w:szCs w:val="21"/>
        </w:rPr>
        <w:t>监测</w:t>
      </w:r>
      <w:r>
        <w:rPr>
          <w:rFonts w:hint="eastAsia" w:ascii="宋体" w:hAnsi="宋体"/>
          <w:szCs w:val="21"/>
          <w:lang w:val="en-US" w:eastAsia="zh-CN"/>
        </w:rPr>
        <w:t>布点要求</w:t>
      </w:r>
      <w:bookmarkEnd w:id="171"/>
    </w:p>
    <w:bookmarkEnd w:id="172"/>
    <w:bookmarkEnd w:id="173"/>
    <w:p w14:paraId="1EAFCE24">
      <w:pPr>
        <w:rPr>
          <w:rFonts w:hint="eastAsia" w:ascii="黑体" w:hAnsi="黑体" w:eastAsia="黑体"/>
          <w:bCs/>
          <w:color w:val="auto"/>
          <w:lang w:val="en-US" w:eastAsia="zh-CN"/>
        </w:rPr>
      </w:pPr>
      <w:r>
        <w:rPr>
          <w:rFonts w:hint="eastAsia"/>
          <w:b w:val="0"/>
          <w:bCs w:val="0"/>
          <w:lang w:val="en-US" w:eastAsia="zh-CN"/>
        </w:rPr>
        <w:t>简支桥梁监测布点要求见表B.5.1。</w:t>
      </w:r>
    </w:p>
    <w:p w14:paraId="031C0230">
      <w:pPr>
        <w:pStyle w:val="98"/>
        <w:spacing w:before="31" w:after="31"/>
        <w:jc w:val="center"/>
        <w:rPr>
          <w:rFonts w:hint="eastAsia" w:ascii="黑体" w:hAnsi="黑体" w:eastAsia="黑体"/>
          <w:bCs/>
          <w:color w:val="auto"/>
          <w:lang w:val="en-US" w:eastAsia="zh-CN"/>
        </w:rPr>
      </w:pPr>
      <w:r>
        <w:rPr>
          <w:rFonts w:hint="eastAsia" w:ascii="黑体" w:hAnsi="黑体" w:eastAsia="黑体"/>
          <w:bCs/>
          <w:color w:val="auto"/>
        </w:rPr>
        <w:t>B.5.1</w:t>
      </w:r>
      <w:r>
        <w:rPr>
          <w:rFonts w:ascii="黑体" w:hAnsi="黑体" w:eastAsia="黑体"/>
          <w:bCs/>
          <w:color w:val="auto"/>
        </w:rPr>
        <w:t xml:space="preserve"> </w:t>
      </w:r>
      <w:r>
        <w:rPr>
          <w:rFonts w:hint="eastAsia" w:ascii="黑体" w:hAnsi="黑体" w:eastAsia="黑体"/>
          <w:bCs/>
          <w:color w:val="auto"/>
        </w:rPr>
        <w:t>简支梁桥监测</w:t>
      </w:r>
      <w:r>
        <w:rPr>
          <w:rFonts w:hint="eastAsia" w:ascii="黑体" w:hAnsi="黑体" w:eastAsia="黑体"/>
          <w:bCs/>
          <w:color w:val="auto"/>
          <w:lang w:val="en-US" w:eastAsia="zh-CN"/>
        </w:rPr>
        <w:t>布点要求</w:t>
      </w:r>
    </w:p>
    <w:tbl>
      <w:tblPr>
        <w:tblStyle w:val="35"/>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655"/>
        <w:gridCol w:w="1128"/>
        <w:gridCol w:w="2022"/>
        <w:gridCol w:w="1010"/>
        <w:gridCol w:w="3013"/>
      </w:tblGrid>
      <w:tr w14:paraId="439CF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tcBorders>
              <w:top w:val="single" w:color="auto" w:sz="4" w:space="0"/>
              <w:left w:val="single" w:color="auto" w:sz="4" w:space="0"/>
              <w:bottom w:val="single" w:color="auto" w:sz="4" w:space="0"/>
              <w:right w:val="single" w:color="auto" w:sz="4" w:space="0"/>
            </w:tcBorders>
            <w:vAlign w:val="center"/>
          </w:tcPr>
          <w:p w14:paraId="576F0F72">
            <w:pPr>
              <w:pStyle w:val="146"/>
              <w:rPr>
                <w:rFonts w:hint="eastAsia" w:eastAsia="宋体" w:cs="宋体"/>
                <w:bCs/>
                <w:sz w:val="18"/>
                <w:szCs w:val="18"/>
                <w:lang w:val="en-US" w:eastAsia="zh-CN"/>
              </w:rPr>
            </w:pPr>
            <w:r>
              <w:rPr>
                <w:rFonts w:hint="eastAsia" w:cs="宋体"/>
                <w:bCs/>
                <w:sz w:val="18"/>
                <w:szCs w:val="18"/>
                <w:lang w:val="en-US" w:eastAsia="zh-CN"/>
              </w:rPr>
              <w:t>序号</w:t>
            </w:r>
          </w:p>
        </w:tc>
        <w:tc>
          <w:tcPr>
            <w:tcW w:w="1783" w:type="dxa"/>
            <w:gridSpan w:val="2"/>
            <w:tcBorders>
              <w:top w:val="single" w:color="auto" w:sz="4" w:space="0"/>
              <w:left w:val="single" w:color="auto" w:sz="4" w:space="0"/>
              <w:bottom w:val="single" w:color="auto" w:sz="4" w:space="0"/>
              <w:right w:val="single" w:color="auto" w:sz="4" w:space="0"/>
            </w:tcBorders>
            <w:vAlign w:val="center"/>
          </w:tcPr>
          <w:p w14:paraId="5BBCEBC6">
            <w:pPr>
              <w:pStyle w:val="146"/>
              <w:rPr>
                <w:rFonts w:hint="eastAsia" w:cs="宋体"/>
                <w:bCs/>
                <w:sz w:val="18"/>
                <w:szCs w:val="18"/>
              </w:rPr>
            </w:pPr>
            <w:r>
              <w:rPr>
                <w:rFonts w:hint="eastAsia" w:cs="宋体"/>
                <w:bCs/>
                <w:sz w:val="18"/>
                <w:szCs w:val="18"/>
              </w:rPr>
              <w:t>监测对象</w:t>
            </w:r>
          </w:p>
        </w:tc>
        <w:tc>
          <w:tcPr>
            <w:tcW w:w="2022" w:type="dxa"/>
            <w:tcBorders>
              <w:top w:val="single" w:color="auto" w:sz="4" w:space="0"/>
              <w:left w:val="single" w:color="auto" w:sz="4" w:space="0"/>
              <w:bottom w:val="single" w:color="auto" w:sz="4" w:space="0"/>
              <w:right w:val="single" w:color="auto" w:sz="4" w:space="0"/>
            </w:tcBorders>
            <w:vAlign w:val="center"/>
          </w:tcPr>
          <w:p w14:paraId="0F54088F">
            <w:pPr>
              <w:pStyle w:val="146"/>
              <w:rPr>
                <w:rFonts w:cs="宋体"/>
                <w:bCs/>
                <w:sz w:val="18"/>
                <w:szCs w:val="18"/>
              </w:rPr>
            </w:pPr>
            <w:r>
              <w:rPr>
                <w:rFonts w:hint="eastAsia" w:cs="宋体"/>
                <w:bCs/>
                <w:sz w:val="18"/>
                <w:szCs w:val="18"/>
              </w:rPr>
              <w:t>监测指标</w:t>
            </w:r>
          </w:p>
        </w:tc>
        <w:tc>
          <w:tcPr>
            <w:tcW w:w="1010" w:type="dxa"/>
            <w:tcBorders>
              <w:top w:val="single" w:color="auto" w:sz="4" w:space="0"/>
              <w:left w:val="single" w:color="auto" w:sz="4" w:space="0"/>
              <w:bottom w:val="single" w:color="auto" w:sz="4" w:space="0"/>
              <w:right w:val="single" w:color="auto" w:sz="4" w:space="0"/>
            </w:tcBorders>
            <w:vAlign w:val="center"/>
          </w:tcPr>
          <w:p w14:paraId="137A9BC7">
            <w:pPr>
              <w:pStyle w:val="146"/>
              <w:rPr>
                <w:rFonts w:cs="宋体"/>
                <w:bCs/>
                <w:sz w:val="18"/>
                <w:szCs w:val="18"/>
              </w:rPr>
            </w:pPr>
            <w:r>
              <w:rPr>
                <w:rFonts w:hint="eastAsia" w:cs="宋体"/>
                <w:bCs/>
                <w:sz w:val="18"/>
                <w:szCs w:val="18"/>
              </w:rPr>
              <w:t>监测要求</w:t>
            </w:r>
          </w:p>
        </w:tc>
        <w:tc>
          <w:tcPr>
            <w:tcW w:w="3013" w:type="dxa"/>
            <w:tcBorders>
              <w:top w:val="single" w:color="auto" w:sz="4" w:space="0"/>
              <w:left w:val="single" w:color="auto" w:sz="4" w:space="0"/>
              <w:bottom w:val="single" w:color="auto" w:sz="4" w:space="0"/>
              <w:right w:val="single" w:color="auto" w:sz="4" w:space="0"/>
            </w:tcBorders>
            <w:vAlign w:val="center"/>
          </w:tcPr>
          <w:p w14:paraId="22BA032C">
            <w:pPr>
              <w:pStyle w:val="146"/>
              <w:rPr>
                <w:rFonts w:cs="宋体"/>
                <w:bCs/>
                <w:sz w:val="18"/>
                <w:szCs w:val="18"/>
              </w:rPr>
            </w:pPr>
            <w:r>
              <w:rPr>
                <w:rFonts w:hint="eastAsia" w:ascii="宋体" w:hAnsi="宋体" w:cs="宋体"/>
                <w:color w:val="000000"/>
                <w:kern w:val="0"/>
                <w:sz w:val="18"/>
                <w:szCs w:val="18"/>
              </w:rPr>
              <w:t>监测布</w:t>
            </w:r>
            <w:r>
              <w:rPr>
                <w:rFonts w:hint="eastAsia" w:ascii="宋体" w:hAnsi="宋体" w:cs="宋体"/>
                <w:color w:val="000000"/>
                <w:kern w:val="0"/>
                <w:sz w:val="18"/>
                <w:szCs w:val="18"/>
                <w:lang w:val="en-US" w:eastAsia="zh-CN"/>
              </w:rPr>
              <w:t>点</w:t>
            </w:r>
            <w:r>
              <w:rPr>
                <w:rFonts w:hint="eastAsia" w:ascii="宋体" w:hAnsi="宋体" w:cs="宋体"/>
                <w:color w:val="000000"/>
                <w:kern w:val="0"/>
                <w:sz w:val="18"/>
                <w:szCs w:val="18"/>
              </w:rPr>
              <w:t>要求</w:t>
            </w:r>
          </w:p>
        </w:tc>
      </w:tr>
      <w:tr w14:paraId="07AE3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vMerge w:val="restart"/>
            <w:tcBorders>
              <w:top w:val="single" w:color="auto" w:sz="4" w:space="0"/>
              <w:left w:val="single" w:color="auto" w:sz="4" w:space="0"/>
              <w:right w:val="single" w:color="auto" w:sz="4" w:space="0"/>
            </w:tcBorders>
            <w:vAlign w:val="center"/>
          </w:tcPr>
          <w:p w14:paraId="691625DD">
            <w:pPr>
              <w:pStyle w:val="146"/>
              <w:rPr>
                <w:rFonts w:hint="eastAsia" w:eastAsia="宋体" w:cs="宋体"/>
                <w:bCs/>
                <w:sz w:val="18"/>
                <w:szCs w:val="18"/>
                <w:lang w:val="en-US" w:eastAsia="zh-CN"/>
              </w:rPr>
            </w:pPr>
            <w:bookmarkStart w:id="174" w:name="_Hlk237017971"/>
            <w:r>
              <w:rPr>
                <w:rFonts w:hint="eastAsia" w:cs="宋体"/>
                <w:bCs/>
                <w:sz w:val="18"/>
                <w:szCs w:val="18"/>
                <w:lang w:val="en-US" w:eastAsia="zh-CN"/>
              </w:rPr>
              <w:t>1</w:t>
            </w:r>
          </w:p>
        </w:tc>
        <w:tc>
          <w:tcPr>
            <w:tcW w:w="655" w:type="dxa"/>
            <w:vMerge w:val="restart"/>
            <w:tcBorders>
              <w:top w:val="single" w:color="auto" w:sz="4" w:space="0"/>
              <w:left w:val="single" w:color="auto" w:sz="4" w:space="0"/>
              <w:bottom w:val="single" w:color="auto" w:sz="4" w:space="0"/>
              <w:right w:val="single" w:color="auto" w:sz="4" w:space="0"/>
            </w:tcBorders>
            <w:vAlign w:val="center"/>
          </w:tcPr>
          <w:p w14:paraId="3DF686A5">
            <w:pPr>
              <w:pStyle w:val="146"/>
              <w:rPr>
                <w:rFonts w:hint="eastAsia" w:eastAsia="宋体" w:cs="宋体"/>
                <w:bCs/>
                <w:sz w:val="18"/>
                <w:szCs w:val="18"/>
                <w:lang w:eastAsia="zh-CN"/>
              </w:rPr>
            </w:pPr>
            <w:r>
              <w:rPr>
                <w:rFonts w:hint="eastAsia" w:cs="宋体"/>
                <w:bCs/>
                <w:sz w:val="18"/>
                <w:szCs w:val="18"/>
                <w:lang w:eastAsia="zh-CN"/>
              </w:rPr>
              <w:t>周边环境</w:t>
            </w:r>
          </w:p>
        </w:tc>
        <w:tc>
          <w:tcPr>
            <w:tcW w:w="1128" w:type="dxa"/>
            <w:vMerge w:val="restart"/>
            <w:tcBorders>
              <w:top w:val="single" w:color="auto" w:sz="4" w:space="0"/>
              <w:left w:val="single" w:color="auto" w:sz="4" w:space="0"/>
              <w:bottom w:val="single" w:color="auto" w:sz="4" w:space="0"/>
              <w:right w:val="single" w:color="auto" w:sz="4" w:space="0"/>
            </w:tcBorders>
            <w:vAlign w:val="center"/>
          </w:tcPr>
          <w:p w14:paraId="3CEDEA79">
            <w:pPr>
              <w:pStyle w:val="146"/>
              <w:rPr>
                <w:rFonts w:cs="宋体"/>
                <w:bCs/>
                <w:sz w:val="18"/>
                <w:szCs w:val="18"/>
              </w:rPr>
            </w:pPr>
            <w:r>
              <w:rPr>
                <w:rFonts w:hint="eastAsia" w:cs="宋体"/>
                <w:bCs/>
                <w:sz w:val="18"/>
                <w:szCs w:val="18"/>
              </w:rPr>
              <w:t>温度、湿度</w:t>
            </w:r>
          </w:p>
        </w:tc>
        <w:tc>
          <w:tcPr>
            <w:tcW w:w="2022" w:type="dxa"/>
            <w:tcBorders>
              <w:top w:val="single" w:color="auto" w:sz="4" w:space="0"/>
              <w:left w:val="single" w:color="auto" w:sz="4" w:space="0"/>
              <w:bottom w:val="single" w:color="auto" w:sz="4" w:space="0"/>
              <w:right w:val="single" w:color="auto" w:sz="4" w:space="0"/>
            </w:tcBorders>
            <w:vAlign w:val="center"/>
          </w:tcPr>
          <w:p w14:paraId="24D1E89B">
            <w:pPr>
              <w:pStyle w:val="146"/>
              <w:rPr>
                <w:rFonts w:cs="宋体"/>
                <w:bCs/>
                <w:sz w:val="18"/>
                <w:szCs w:val="18"/>
              </w:rPr>
            </w:pPr>
            <w:r>
              <w:rPr>
                <w:rFonts w:hint="eastAsia" w:cs="宋体"/>
                <w:bCs/>
                <w:sz w:val="18"/>
                <w:szCs w:val="18"/>
              </w:rPr>
              <w:t>桥址区环境温度、湿度</w:t>
            </w:r>
          </w:p>
        </w:tc>
        <w:tc>
          <w:tcPr>
            <w:tcW w:w="1010" w:type="dxa"/>
            <w:tcBorders>
              <w:top w:val="single" w:color="auto" w:sz="4" w:space="0"/>
              <w:left w:val="single" w:color="auto" w:sz="4" w:space="0"/>
              <w:bottom w:val="single" w:color="auto" w:sz="4" w:space="0"/>
              <w:right w:val="single" w:color="auto" w:sz="4" w:space="0"/>
            </w:tcBorders>
            <w:vAlign w:val="center"/>
          </w:tcPr>
          <w:p w14:paraId="2D2B8C46">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03F130BF">
            <w:pPr>
              <w:pStyle w:val="146"/>
              <w:rPr>
                <w:rFonts w:cs="宋体"/>
                <w:bCs/>
                <w:sz w:val="18"/>
                <w:szCs w:val="18"/>
              </w:rPr>
            </w:pPr>
            <w:r>
              <w:rPr>
                <w:rFonts w:hint="eastAsia" w:cs="宋体"/>
                <w:bCs/>
                <w:sz w:val="18"/>
                <w:szCs w:val="18"/>
              </w:rPr>
              <w:t>桥梁中部</w:t>
            </w:r>
            <w:r>
              <w:rPr>
                <w:rFonts w:cs="宋体"/>
                <w:bCs/>
                <w:sz w:val="18"/>
                <w:szCs w:val="18"/>
              </w:rPr>
              <w:t>-</w:t>
            </w:r>
          </w:p>
        </w:tc>
      </w:tr>
      <w:tr w14:paraId="7B0F4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vMerge w:val="continue"/>
            <w:tcBorders>
              <w:left w:val="single" w:color="auto" w:sz="4" w:space="0"/>
              <w:bottom w:val="single" w:color="auto" w:sz="4" w:space="0"/>
              <w:right w:val="single" w:color="auto" w:sz="4" w:space="0"/>
            </w:tcBorders>
            <w:vAlign w:val="center"/>
          </w:tcPr>
          <w:p w14:paraId="35A50D45">
            <w:pPr>
              <w:widowControl/>
              <w:spacing w:beforeLines="0" w:afterLines="0" w:line="240" w:lineRule="auto"/>
              <w:jc w:val="left"/>
              <w:rPr>
                <w:rFonts w:cs="宋体"/>
                <w:bCs/>
                <w:sz w:val="18"/>
                <w:szCs w:val="18"/>
              </w:rPr>
            </w:pP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668F8565">
            <w:pPr>
              <w:widowControl/>
              <w:spacing w:beforeLines="0" w:afterLines="0" w:line="240" w:lineRule="auto"/>
              <w:jc w:val="left"/>
              <w:rPr>
                <w:rFonts w:cs="宋体"/>
                <w:bCs/>
                <w:sz w:val="18"/>
                <w:szCs w:val="18"/>
              </w:rPr>
            </w:pPr>
          </w:p>
        </w:tc>
        <w:tc>
          <w:tcPr>
            <w:tcW w:w="1128" w:type="dxa"/>
            <w:vMerge w:val="continue"/>
            <w:tcBorders>
              <w:top w:val="single" w:color="auto" w:sz="4" w:space="0"/>
              <w:left w:val="single" w:color="auto" w:sz="4" w:space="0"/>
              <w:bottom w:val="single" w:color="auto" w:sz="4" w:space="0"/>
              <w:right w:val="single" w:color="auto" w:sz="4" w:space="0"/>
            </w:tcBorders>
            <w:vAlign w:val="center"/>
          </w:tcPr>
          <w:p w14:paraId="7C4A49AF">
            <w:pPr>
              <w:widowControl/>
              <w:spacing w:beforeLines="0" w:afterLines="0" w:line="240" w:lineRule="auto"/>
              <w:jc w:val="left"/>
              <w:rPr>
                <w:rFonts w:cs="宋体"/>
                <w:bCs/>
                <w:sz w:val="18"/>
                <w:szCs w:val="18"/>
              </w:rPr>
            </w:pPr>
          </w:p>
        </w:tc>
        <w:tc>
          <w:tcPr>
            <w:tcW w:w="2022" w:type="dxa"/>
            <w:tcBorders>
              <w:top w:val="single" w:color="auto" w:sz="4" w:space="0"/>
              <w:left w:val="single" w:color="auto" w:sz="4" w:space="0"/>
              <w:bottom w:val="single" w:color="auto" w:sz="4" w:space="0"/>
              <w:right w:val="single" w:color="auto" w:sz="4" w:space="0"/>
            </w:tcBorders>
            <w:vAlign w:val="center"/>
          </w:tcPr>
          <w:p w14:paraId="0BB3B75A">
            <w:pPr>
              <w:pStyle w:val="146"/>
              <w:rPr>
                <w:rFonts w:cs="宋体"/>
                <w:bCs/>
                <w:sz w:val="18"/>
                <w:szCs w:val="18"/>
              </w:rPr>
            </w:pPr>
            <w:r>
              <w:rPr>
                <w:rFonts w:hint="eastAsia" w:cs="宋体"/>
                <w:bCs/>
                <w:sz w:val="18"/>
                <w:szCs w:val="18"/>
              </w:rPr>
              <w:t>主梁内温度、湿度（封闭箱梁）</w:t>
            </w:r>
          </w:p>
        </w:tc>
        <w:tc>
          <w:tcPr>
            <w:tcW w:w="1010" w:type="dxa"/>
            <w:tcBorders>
              <w:top w:val="single" w:color="auto" w:sz="4" w:space="0"/>
              <w:left w:val="single" w:color="auto" w:sz="4" w:space="0"/>
              <w:bottom w:val="single" w:color="auto" w:sz="4" w:space="0"/>
              <w:right w:val="single" w:color="auto" w:sz="4" w:space="0"/>
            </w:tcBorders>
            <w:vAlign w:val="center"/>
          </w:tcPr>
          <w:p w14:paraId="3F5F202A">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19937B73">
            <w:pPr>
              <w:pStyle w:val="146"/>
              <w:rPr>
                <w:rFonts w:cs="宋体"/>
                <w:bCs/>
                <w:sz w:val="18"/>
                <w:szCs w:val="18"/>
              </w:rPr>
            </w:pPr>
            <w:r>
              <w:rPr>
                <w:rFonts w:cs="宋体"/>
                <w:bCs/>
                <w:sz w:val="18"/>
                <w:szCs w:val="18"/>
              </w:rPr>
              <w:t>布设在桥梁结构内、 外温度或湿度变化较大和对温度、湿度敏感的部位</w:t>
            </w:r>
          </w:p>
        </w:tc>
      </w:tr>
      <w:tr w14:paraId="40875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tcBorders>
              <w:top w:val="single" w:color="auto" w:sz="4" w:space="0"/>
              <w:left w:val="single" w:color="auto" w:sz="4" w:space="0"/>
              <w:bottom w:val="single" w:color="auto" w:sz="4" w:space="0"/>
              <w:right w:val="single" w:color="auto" w:sz="4" w:space="0"/>
            </w:tcBorders>
            <w:vAlign w:val="center"/>
          </w:tcPr>
          <w:p w14:paraId="3597C7B5">
            <w:pPr>
              <w:widowControl/>
              <w:spacing w:beforeLines="0" w:afterLines="0" w:line="240" w:lineRule="auto"/>
              <w:jc w:val="center"/>
              <w:rPr>
                <w:rFonts w:hint="eastAsia" w:eastAsia="宋体" w:cs="宋体"/>
                <w:bCs/>
                <w:sz w:val="18"/>
                <w:szCs w:val="18"/>
                <w:lang w:val="en-US" w:eastAsia="zh-CN"/>
              </w:rPr>
            </w:pPr>
            <w:r>
              <w:rPr>
                <w:rFonts w:hint="eastAsia" w:cs="宋体"/>
                <w:bCs/>
                <w:sz w:val="18"/>
                <w:szCs w:val="18"/>
                <w:lang w:val="en-US" w:eastAsia="zh-CN"/>
              </w:rPr>
              <w:t>2</w:t>
            </w: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2AC5C3FE">
            <w:pPr>
              <w:widowControl/>
              <w:spacing w:beforeLines="0" w:afterLines="0" w:line="240" w:lineRule="auto"/>
              <w:jc w:val="left"/>
              <w:rPr>
                <w:rFonts w:cs="宋体"/>
                <w:bCs/>
                <w:sz w:val="18"/>
                <w:szCs w:val="18"/>
              </w:rPr>
            </w:pPr>
          </w:p>
        </w:tc>
        <w:tc>
          <w:tcPr>
            <w:tcW w:w="1128" w:type="dxa"/>
            <w:tcBorders>
              <w:top w:val="single" w:color="auto" w:sz="4" w:space="0"/>
              <w:left w:val="single" w:color="auto" w:sz="4" w:space="0"/>
              <w:bottom w:val="single" w:color="auto" w:sz="4" w:space="0"/>
              <w:right w:val="single" w:color="auto" w:sz="4" w:space="0"/>
            </w:tcBorders>
            <w:vAlign w:val="center"/>
          </w:tcPr>
          <w:p w14:paraId="6E353D43">
            <w:pPr>
              <w:pStyle w:val="146"/>
              <w:rPr>
                <w:rFonts w:cs="宋体"/>
                <w:bCs/>
                <w:sz w:val="18"/>
                <w:szCs w:val="18"/>
              </w:rPr>
            </w:pPr>
            <w:r>
              <w:rPr>
                <w:rFonts w:hint="eastAsia" w:cs="宋体"/>
                <w:bCs/>
                <w:sz w:val="18"/>
                <w:szCs w:val="18"/>
              </w:rPr>
              <w:t>结冰</w:t>
            </w:r>
          </w:p>
        </w:tc>
        <w:tc>
          <w:tcPr>
            <w:tcW w:w="2022" w:type="dxa"/>
            <w:tcBorders>
              <w:top w:val="single" w:color="auto" w:sz="4" w:space="0"/>
              <w:left w:val="single" w:color="auto" w:sz="4" w:space="0"/>
              <w:bottom w:val="single" w:color="auto" w:sz="4" w:space="0"/>
              <w:right w:val="single" w:color="auto" w:sz="4" w:space="0"/>
            </w:tcBorders>
            <w:vAlign w:val="center"/>
          </w:tcPr>
          <w:p w14:paraId="3E20C20F">
            <w:pPr>
              <w:pStyle w:val="146"/>
              <w:rPr>
                <w:rFonts w:cs="宋体"/>
                <w:bCs/>
                <w:sz w:val="18"/>
                <w:szCs w:val="18"/>
              </w:rPr>
            </w:pPr>
            <w:r>
              <w:rPr>
                <w:rFonts w:hint="eastAsia" w:cs="宋体"/>
                <w:bCs/>
                <w:sz w:val="18"/>
                <w:szCs w:val="18"/>
              </w:rPr>
              <w:t>桥面结冰</w:t>
            </w:r>
          </w:p>
        </w:tc>
        <w:tc>
          <w:tcPr>
            <w:tcW w:w="1010" w:type="dxa"/>
            <w:tcBorders>
              <w:top w:val="single" w:color="auto" w:sz="4" w:space="0"/>
              <w:left w:val="single" w:color="auto" w:sz="4" w:space="0"/>
              <w:bottom w:val="single" w:color="auto" w:sz="4" w:space="0"/>
              <w:right w:val="single" w:color="auto" w:sz="4" w:space="0"/>
            </w:tcBorders>
            <w:vAlign w:val="center"/>
          </w:tcPr>
          <w:p w14:paraId="0941E440">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4675DA88">
            <w:pPr>
              <w:pStyle w:val="146"/>
              <w:rPr>
                <w:rFonts w:cs="宋体"/>
                <w:bCs/>
                <w:sz w:val="18"/>
                <w:szCs w:val="18"/>
              </w:rPr>
            </w:pPr>
            <w:r>
              <w:rPr>
                <w:rFonts w:hint="eastAsia" w:cs="宋体"/>
                <w:bCs/>
                <w:sz w:val="18"/>
                <w:szCs w:val="18"/>
              </w:rPr>
              <w:t>易结冰处</w:t>
            </w:r>
            <w:r>
              <w:rPr>
                <w:rFonts w:cs="宋体"/>
                <w:bCs/>
                <w:sz w:val="18"/>
                <w:szCs w:val="18"/>
              </w:rPr>
              <w:t>-</w:t>
            </w:r>
          </w:p>
        </w:tc>
      </w:tr>
      <w:tr w14:paraId="2E115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tcBorders>
              <w:top w:val="single" w:color="auto" w:sz="4" w:space="0"/>
              <w:left w:val="single" w:color="auto" w:sz="4" w:space="0"/>
              <w:bottom w:val="single" w:color="auto" w:sz="4" w:space="0"/>
              <w:right w:val="single" w:color="auto" w:sz="4" w:space="0"/>
            </w:tcBorders>
            <w:vAlign w:val="center"/>
          </w:tcPr>
          <w:p w14:paraId="78472790">
            <w:pPr>
              <w:widowControl/>
              <w:spacing w:beforeLines="0" w:afterLines="0" w:line="240" w:lineRule="auto"/>
              <w:jc w:val="center"/>
              <w:rPr>
                <w:rFonts w:hint="eastAsia" w:eastAsia="宋体" w:cs="宋体"/>
                <w:bCs/>
                <w:sz w:val="18"/>
                <w:szCs w:val="18"/>
                <w:lang w:val="en-US" w:eastAsia="zh-CN"/>
              </w:rPr>
            </w:pPr>
            <w:r>
              <w:rPr>
                <w:rFonts w:hint="eastAsia" w:cs="宋体"/>
                <w:bCs/>
                <w:sz w:val="18"/>
                <w:szCs w:val="18"/>
                <w:lang w:val="en-US" w:eastAsia="zh-CN"/>
              </w:rPr>
              <w:t>3</w:t>
            </w: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15F2C056">
            <w:pPr>
              <w:widowControl/>
              <w:spacing w:beforeLines="0" w:afterLines="0" w:line="240" w:lineRule="auto"/>
              <w:jc w:val="left"/>
              <w:rPr>
                <w:rFonts w:cs="宋体"/>
                <w:bCs/>
                <w:sz w:val="18"/>
                <w:szCs w:val="18"/>
              </w:rPr>
            </w:pPr>
          </w:p>
        </w:tc>
        <w:tc>
          <w:tcPr>
            <w:tcW w:w="1128" w:type="dxa"/>
            <w:tcBorders>
              <w:top w:val="single" w:color="auto" w:sz="4" w:space="0"/>
              <w:left w:val="single" w:color="auto" w:sz="4" w:space="0"/>
              <w:bottom w:val="single" w:color="auto" w:sz="4" w:space="0"/>
              <w:right w:val="single" w:color="auto" w:sz="4" w:space="0"/>
            </w:tcBorders>
            <w:vAlign w:val="center"/>
          </w:tcPr>
          <w:p w14:paraId="6E9E4F82">
            <w:pPr>
              <w:pStyle w:val="146"/>
              <w:rPr>
                <w:rFonts w:hint="eastAsia" w:ascii="宋体" w:hAnsi="宋体" w:cs="宋体"/>
                <w:sz w:val="18"/>
                <w:szCs w:val="18"/>
              </w:rPr>
            </w:pPr>
            <w:r>
              <w:rPr>
                <w:rFonts w:hint="eastAsia" w:ascii="宋体" w:hAnsi="宋体" w:cs="宋体"/>
                <w:sz w:val="18"/>
                <w:szCs w:val="18"/>
              </w:rPr>
              <w:t>雨量</w:t>
            </w:r>
          </w:p>
        </w:tc>
        <w:tc>
          <w:tcPr>
            <w:tcW w:w="2022" w:type="dxa"/>
            <w:tcBorders>
              <w:top w:val="single" w:color="auto" w:sz="4" w:space="0"/>
              <w:left w:val="single" w:color="auto" w:sz="4" w:space="0"/>
              <w:bottom w:val="single" w:color="auto" w:sz="4" w:space="0"/>
              <w:right w:val="single" w:color="auto" w:sz="4" w:space="0"/>
            </w:tcBorders>
            <w:vAlign w:val="center"/>
          </w:tcPr>
          <w:p w14:paraId="3DA7A9A5">
            <w:pPr>
              <w:pStyle w:val="146"/>
              <w:rPr>
                <w:rFonts w:hint="eastAsia" w:ascii="宋体" w:hAnsi="宋体" w:cs="宋体"/>
                <w:sz w:val="18"/>
                <w:szCs w:val="18"/>
              </w:rPr>
            </w:pPr>
            <w:r>
              <w:rPr>
                <w:rFonts w:hint="eastAsia" w:ascii="宋体" w:hAnsi="宋体" w:cs="宋体"/>
                <w:sz w:val="18"/>
                <w:szCs w:val="18"/>
              </w:rPr>
              <w:t>雨量</w:t>
            </w:r>
          </w:p>
        </w:tc>
        <w:tc>
          <w:tcPr>
            <w:tcW w:w="1010" w:type="dxa"/>
            <w:tcBorders>
              <w:top w:val="single" w:color="auto" w:sz="4" w:space="0"/>
              <w:left w:val="single" w:color="auto" w:sz="4" w:space="0"/>
              <w:bottom w:val="single" w:color="auto" w:sz="4" w:space="0"/>
              <w:right w:val="single" w:color="auto" w:sz="4" w:space="0"/>
            </w:tcBorders>
            <w:vAlign w:val="center"/>
          </w:tcPr>
          <w:p w14:paraId="3E8F7646">
            <w:pPr>
              <w:pStyle w:val="146"/>
              <w:rPr>
                <w:rFonts w:hint="eastAsia" w:ascii="宋体" w:hAnsi="宋体" w:cs="宋体"/>
                <w:sz w:val="18"/>
                <w:szCs w:val="18"/>
              </w:rPr>
            </w:pPr>
            <w:r>
              <w:rPr>
                <w:rFonts w:hint="eastAsia" w:ascii="宋体" w:hAnsi="宋体" w:cs="宋体"/>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1F0FE9B9">
            <w:pPr>
              <w:pStyle w:val="146"/>
              <w:rPr>
                <w:rFonts w:hint="eastAsia" w:ascii="宋体" w:hAnsi="宋体" w:cs="宋体"/>
                <w:sz w:val="18"/>
                <w:szCs w:val="18"/>
              </w:rPr>
            </w:pPr>
            <w:r>
              <w:rPr>
                <w:rFonts w:hint="eastAsia" w:ascii="宋体" w:hAnsi="宋体" w:cs="宋体"/>
                <w:sz w:val="18"/>
                <w:szCs w:val="18"/>
              </w:rPr>
              <w:t>-</w:t>
            </w:r>
          </w:p>
        </w:tc>
      </w:tr>
      <w:tr w14:paraId="15E2D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tcBorders>
              <w:top w:val="single" w:color="auto" w:sz="4" w:space="0"/>
              <w:left w:val="single" w:color="auto" w:sz="4" w:space="0"/>
              <w:bottom w:val="single" w:color="auto" w:sz="4" w:space="0"/>
              <w:right w:val="single" w:color="auto" w:sz="4" w:space="0"/>
            </w:tcBorders>
            <w:vAlign w:val="center"/>
          </w:tcPr>
          <w:p w14:paraId="65684C98">
            <w:pPr>
              <w:widowControl/>
              <w:spacing w:beforeLines="0" w:afterLines="0" w:line="240" w:lineRule="auto"/>
              <w:jc w:val="center"/>
              <w:rPr>
                <w:rFonts w:hint="eastAsia" w:eastAsia="宋体" w:cs="宋体"/>
                <w:bCs/>
                <w:sz w:val="18"/>
                <w:szCs w:val="18"/>
                <w:lang w:val="en-US" w:eastAsia="zh-CN"/>
              </w:rPr>
            </w:pPr>
            <w:r>
              <w:rPr>
                <w:rFonts w:hint="eastAsia" w:cs="宋体"/>
                <w:bCs/>
                <w:sz w:val="18"/>
                <w:szCs w:val="18"/>
                <w:lang w:val="en-US" w:eastAsia="zh-CN"/>
              </w:rPr>
              <w:t>4</w:t>
            </w: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230C9362">
            <w:pPr>
              <w:widowControl/>
              <w:spacing w:beforeLines="0" w:afterLines="0" w:line="240" w:lineRule="auto"/>
              <w:jc w:val="left"/>
              <w:rPr>
                <w:rFonts w:cs="宋体"/>
                <w:bCs/>
                <w:sz w:val="18"/>
                <w:szCs w:val="18"/>
              </w:rPr>
            </w:pPr>
          </w:p>
        </w:tc>
        <w:tc>
          <w:tcPr>
            <w:tcW w:w="1128" w:type="dxa"/>
            <w:tcBorders>
              <w:top w:val="single" w:color="auto" w:sz="4" w:space="0"/>
              <w:left w:val="single" w:color="auto" w:sz="4" w:space="0"/>
              <w:bottom w:val="single" w:color="auto" w:sz="4" w:space="0"/>
              <w:right w:val="single" w:color="auto" w:sz="4" w:space="0"/>
            </w:tcBorders>
            <w:vAlign w:val="center"/>
          </w:tcPr>
          <w:p w14:paraId="73411CEE">
            <w:pPr>
              <w:pStyle w:val="146"/>
              <w:rPr>
                <w:rFonts w:cs="宋体"/>
                <w:bCs/>
                <w:sz w:val="18"/>
                <w:szCs w:val="18"/>
              </w:rPr>
            </w:pPr>
            <w:r>
              <w:rPr>
                <w:rFonts w:hint="eastAsia" w:cs="宋体"/>
                <w:bCs/>
                <w:sz w:val="18"/>
                <w:szCs w:val="18"/>
              </w:rPr>
              <w:t>异常事件</w:t>
            </w:r>
          </w:p>
        </w:tc>
        <w:tc>
          <w:tcPr>
            <w:tcW w:w="2022" w:type="dxa"/>
            <w:tcBorders>
              <w:top w:val="single" w:color="auto" w:sz="4" w:space="0"/>
              <w:left w:val="single" w:color="auto" w:sz="4" w:space="0"/>
              <w:bottom w:val="single" w:color="auto" w:sz="4" w:space="0"/>
              <w:right w:val="single" w:color="auto" w:sz="4" w:space="0"/>
            </w:tcBorders>
            <w:vAlign w:val="center"/>
          </w:tcPr>
          <w:p w14:paraId="206F34CD">
            <w:pPr>
              <w:pStyle w:val="146"/>
              <w:rPr>
                <w:rFonts w:cs="宋体"/>
                <w:bCs/>
                <w:sz w:val="18"/>
                <w:szCs w:val="18"/>
              </w:rPr>
            </w:pPr>
            <w:r>
              <w:rPr>
                <w:rFonts w:hint="eastAsia" w:cs="宋体"/>
                <w:bCs/>
                <w:sz w:val="18"/>
                <w:szCs w:val="18"/>
              </w:rPr>
              <w:t>视频</w:t>
            </w:r>
            <w:r>
              <w:rPr>
                <w:rFonts w:hint="eastAsia" w:cs="宋体"/>
                <w:bCs/>
                <w:sz w:val="18"/>
                <w:szCs w:val="18"/>
                <w:lang w:val="en-US" w:eastAsia="zh-CN"/>
              </w:rPr>
              <w:t>监控</w:t>
            </w:r>
          </w:p>
        </w:tc>
        <w:tc>
          <w:tcPr>
            <w:tcW w:w="1010" w:type="dxa"/>
            <w:tcBorders>
              <w:top w:val="single" w:color="auto" w:sz="4" w:space="0"/>
              <w:left w:val="single" w:color="auto" w:sz="4" w:space="0"/>
              <w:bottom w:val="single" w:color="auto" w:sz="4" w:space="0"/>
              <w:right w:val="single" w:color="auto" w:sz="4" w:space="0"/>
            </w:tcBorders>
            <w:vAlign w:val="center"/>
          </w:tcPr>
          <w:p w14:paraId="1D9D6FC4">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0A7B69A2">
            <w:pPr>
              <w:pStyle w:val="146"/>
              <w:rPr>
                <w:rFonts w:cs="宋体"/>
                <w:bCs/>
                <w:sz w:val="18"/>
                <w:szCs w:val="18"/>
              </w:rPr>
            </w:pPr>
            <w:r>
              <w:rPr>
                <w:rFonts w:hint="eastAsia" w:ascii="宋体" w:hAnsi="宋体" w:cs="宋体"/>
                <w:bCs/>
                <w:sz w:val="18"/>
                <w:szCs w:val="18"/>
              </w:rPr>
              <w:t>根据设备性能达到无监测盲区效果</w:t>
            </w:r>
          </w:p>
        </w:tc>
      </w:tr>
      <w:tr w14:paraId="106E2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vMerge w:val="restart"/>
            <w:tcBorders>
              <w:top w:val="single" w:color="auto" w:sz="4" w:space="0"/>
              <w:left w:val="single" w:color="auto" w:sz="4" w:space="0"/>
              <w:right w:val="single" w:color="auto" w:sz="4" w:space="0"/>
            </w:tcBorders>
            <w:vAlign w:val="center"/>
          </w:tcPr>
          <w:p w14:paraId="4970AD2E">
            <w:pPr>
              <w:pStyle w:val="146"/>
              <w:rPr>
                <w:rFonts w:hint="eastAsia" w:eastAsia="宋体" w:cs="宋体"/>
                <w:bCs/>
                <w:sz w:val="18"/>
                <w:szCs w:val="18"/>
                <w:lang w:val="en-US" w:eastAsia="zh-CN"/>
              </w:rPr>
            </w:pPr>
            <w:r>
              <w:rPr>
                <w:rFonts w:hint="eastAsia" w:cs="宋体"/>
                <w:bCs/>
                <w:sz w:val="18"/>
                <w:szCs w:val="18"/>
                <w:lang w:val="en-US" w:eastAsia="zh-CN"/>
              </w:rPr>
              <w:t>5</w:t>
            </w:r>
          </w:p>
        </w:tc>
        <w:tc>
          <w:tcPr>
            <w:tcW w:w="655" w:type="dxa"/>
            <w:vMerge w:val="restart"/>
            <w:tcBorders>
              <w:top w:val="single" w:color="auto" w:sz="4" w:space="0"/>
              <w:left w:val="single" w:color="auto" w:sz="4" w:space="0"/>
              <w:bottom w:val="single" w:color="auto" w:sz="4" w:space="0"/>
              <w:right w:val="single" w:color="auto" w:sz="4" w:space="0"/>
            </w:tcBorders>
            <w:vAlign w:val="center"/>
          </w:tcPr>
          <w:p w14:paraId="577804E9">
            <w:pPr>
              <w:pStyle w:val="146"/>
              <w:rPr>
                <w:rFonts w:hint="eastAsia" w:cs="宋体"/>
                <w:bCs/>
                <w:sz w:val="18"/>
                <w:szCs w:val="18"/>
              </w:rPr>
            </w:pPr>
            <w:r>
              <w:rPr>
                <w:rFonts w:hint="eastAsia" w:cs="宋体"/>
                <w:bCs/>
                <w:sz w:val="18"/>
                <w:szCs w:val="18"/>
              </w:rPr>
              <w:t>外部作用</w:t>
            </w:r>
          </w:p>
        </w:tc>
        <w:tc>
          <w:tcPr>
            <w:tcW w:w="1128" w:type="dxa"/>
            <w:vMerge w:val="restart"/>
            <w:tcBorders>
              <w:top w:val="single" w:color="auto" w:sz="4" w:space="0"/>
              <w:left w:val="single" w:color="auto" w:sz="4" w:space="0"/>
              <w:bottom w:val="single" w:color="auto" w:sz="4" w:space="0"/>
              <w:right w:val="single" w:color="auto" w:sz="4" w:space="0"/>
            </w:tcBorders>
            <w:vAlign w:val="center"/>
          </w:tcPr>
          <w:p w14:paraId="6512729E">
            <w:pPr>
              <w:pStyle w:val="146"/>
              <w:rPr>
                <w:rFonts w:cs="宋体"/>
                <w:bCs/>
                <w:sz w:val="18"/>
                <w:szCs w:val="18"/>
              </w:rPr>
            </w:pPr>
            <w:r>
              <w:rPr>
                <w:rFonts w:hint="eastAsia" w:cs="宋体"/>
                <w:bCs/>
                <w:sz w:val="18"/>
                <w:szCs w:val="18"/>
              </w:rPr>
              <w:t>车辆荷载</w:t>
            </w:r>
          </w:p>
        </w:tc>
        <w:tc>
          <w:tcPr>
            <w:tcW w:w="2022" w:type="dxa"/>
            <w:tcBorders>
              <w:top w:val="single" w:color="auto" w:sz="4" w:space="0"/>
              <w:left w:val="single" w:color="auto" w:sz="4" w:space="0"/>
              <w:bottom w:val="single" w:color="auto" w:sz="4" w:space="0"/>
              <w:right w:val="single" w:color="auto" w:sz="4" w:space="0"/>
            </w:tcBorders>
            <w:vAlign w:val="center"/>
          </w:tcPr>
          <w:p w14:paraId="668B21FE">
            <w:pPr>
              <w:pStyle w:val="146"/>
              <w:rPr>
                <w:rFonts w:cs="宋体"/>
                <w:bCs/>
                <w:sz w:val="18"/>
                <w:szCs w:val="18"/>
              </w:rPr>
            </w:pPr>
            <w:r>
              <w:rPr>
                <w:rFonts w:hint="eastAsia" w:cs="宋体"/>
                <w:bCs/>
                <w:sz w:val="18"/>
                <w:szCs w:val="18"/>
              </w:rPr>
              <w:t>所有车道车重、轴重、轴数、车速</w:t>
            </w:r>
          </w:p>
        </w:tc>
        <w:tc>
          <w:tcPr>
            <w:tcW w:w="1010" w:type="dxa"/>
            <w:tcBorders>
              <w:top w:val="single" w:color="auto" w:sz="4" w:space="0"/>
              <w:left w:val="single" w:color="auto" w:sz="4" w:space="0"/>
              <w:bottom w:val="single" w:color="auto" w:sz="4" w:space="0"/>
              <w:right w:val="single" w:color="auto" w:sz="4" w:space="0"/>
            </w:tcBorders>
            <w:vAlign w:val="center"/>
          </w:tcPr>
          <w:p w14:paraId="36C6A024">
            <w:pPr>
              <w:pStyle w:val="146"/>
              <w:rPr>
                <w:rFonts w:cs="宋体"/>
                <w:bCs/>
                <w:sz w:val="18"/>
                <w:szCs w:val="18"/>
              </w:rPr>
            </w:pPr>
            <w:r>
              <w:rPr>
                <w:rFonts w:hint="eastAsia" w:cs="宋体"/>
                <w:bCs/>
                <w:sz w:val="18"/>
                <w:szCs w:val="18"/>
              </w:rPr>
              <w:t>◎</w:t>
            </w:r>
          </w:p>
        </w:tc>
        <w:tc>
          <w:tcPr>
            <w:tcW w:w="3013" w:type="dxa"/>
            <w:vMerge w:val="restart"/>
            <w:tcBorders>
              <w:top w:val="single" w:color="auto" w:sz="4" w:space="0"/>
              <w:left w:val="single" w:color="auto" w:sz="4" w:space="0"/>
              <w:bottom w:val="single" w:color="auto" w:sz="4" w:space="0"/>
              <w:right w:val="single" w:color="auto" w:sz="4" w:space="0"/>
            </w:tcBorders>
            <w:vAlign w:val="center"/>
          </w:tcPr>
          <w:p w14:paraId="115C1DAA">
            <w:pPr>
              <w:pStyle w:val="146"/>
              <w:rPr>
                <w:rFonts w:cs="宋体"/>
                <w:bCs/>
                <w:sz w:val="18"/>
                <w:szCs w:val="18"/>
              </w:rPr>
            </w:pPr>
            <w:r>
              <w:rPr>
                <w:rFonts w:hint="eastAsia" w:cs="宋体"/>
                <w:bCs/>
                <w:sz w:val="18"/>
                <w:szCs w:val="18"/>
              </w:rPr>
              <w:t>重载车道车道车流行进方向的前侧布设</w:t>
            </w:r>
            <w:r>
              <w:rPr>
                <w:rFonts w:cs="宋体"/>
                <w:bCs/>
                <w:sz w:val="18"/>
                <w:szCs w:val="18"/>
              </w:rPr>
              <w:t>-</w:t>
            </w:r>
          </w:p>
        </w:tc>
      </w:tr>
      <w:bookmarkEnd w:id="174"/>
      <w:tr w14:paraId="4E958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vMerge w:val="continue"/>
            <w:tcBorders>
              <w:left w:val="single" w:color="auto" w:sz="4" w:space="0"/>
              <w:right w:val="single" w:color="auto" w:sz="4" w:space="0"/>
            </w:tcBorders>
            <w:vAlign w:val="center"/>
          </w:tcPr>
          <w:p w14:paraId="03284111">
            <w:pPr>
              <w:widowControl/>
              <w:spacing w:beforeLines="0" w:afterLines="0" w:line="240" w:lineRule="auto"/>
              <w:jc w:val="left"/>
              <w:rPr>
                <w:rFonts w:cs="宋体"/>
                <w:bCs/>
                <w:sz w:val="18"/>
                <w:szCs w:val="18"/>
              </w:rPr>
            </w:pP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63D48DE8">
            <w:pPr>
              <w:widowControl/>
              <w:spacing w:beforeLines="0" w:afterLines="0" w:line="240" w:lineRule="auto"/>
              <w:jc w:val="left"/>
              <w:rPr>
                <w:rFonts w:cs="宋体"/>
                <w:bCs/>
                <w:sz w:val="18"/>
                <w:szCs w:val="18"/>
              </w:rPr>
            </w:pPr>
          </w:p>
        </w:tc>
        <w:tc>
          <w:tcPr>
            <w:tcW w:w="1128" w:type="dxa"/>
            <w:vMerge w:val="continue"/>
            <w:tcBorders>
              <w:top w:val="single" w:color="auto" w:sz="4" w:space="0"/>
              <w:left w:val="single" w:color="auto" w:sz="4" w:space="0"/>
              <w:bottom w:val="single" w:color="auto" w:sz="4" w:space="0"/>
              <w:right w:val="single" w:color="auto" w:sz="4" w:space="0"/>
            </w:tcBorders>
            <w:vAlign w:val="center"/>
          </w:tcPr>
          <w:p w14:paraId="2FC8F7BB">
            <w:pPr>
              <w:widowControl/>
              <w:spacing w:beforeLines="0" w:afterLines="0" w:line="240" w:lineRule="auto"/>
              <w:jc w:val="left"/>
              <w:rPr>
                <w:rFonts w:cs="宋体"/>
                <w:bCs/>
                <w:sz w:val="18"/>
                <w:szCs w:val="18"/>
              </w:rPr>
            </w:pPr>
          </w:p>
        </w:tc>
        <w:tc>
          <w:tcPr>
            <w:tcW w:w="2022" w:type="dxa"/>
            <w:tcBorders>
              <w:top w:val="single" w:color="auto" w:sz="4" w:space="0"/>
              <w:left w:val="single" w:color="auto" w:sz="4" w:space="0"/>
              <w:bottom w:val="single" w:color="auto" w:sz="4" w:space="0"/>
              <w:right w:val="single" w:color="auto" w:sz="4" w:space="0"/>
            </w:tcBorders>
            <w:vAlign w:val="center"/>
          </w:tcPr>
          <w:p w14:paraId="2FC16213">
            <w:pPr>
              <w:pStyle w:val="146"/>
              <w:rPr>
                <w:rFonts w:cs="宋体"/>
                <w:bCs/>
                <w:sz w:val="18"/>
                <w:szCs w:val="18"/>
              </w:rPr>
            </w:pPr>
            <w:r>
              <w:rPr>
                <w:rFonts w:hint="eastAsia" w:cs="宋体"/>
                <w:bCs/>
                <w:sz w:val="18"/>
                <w:szCs w:val="18"/>
              </w:rPr>
              <w:t>所有车道车流量</w:t>
            </w:r>
          </w:p>
        </w:tc>
        <w:tc>
          <w:tcPr>
            <w:tcW w:w="1010" w:type="dxa"/>
            <w:tcBorders>
              <w:top w:val="single" w:color="auto" w:sz="4" w:space="0"/>
              <w:left w:val="single" w:color="auto" w:sz="4" w:space="0"/>
              <w:bottom w:val="single" w:color="auto" w:sz="4" w:space="0"/>
              <w:right w:val="single" w:color="auto" w:sz="4" w:space="0"/>
            </w:tcBorders>
            <w:vAlign w:val="center"/>
          </w:tcPr>
          <w:p w14:paraId="576824A2">
            <w:pPr>
              <w:pStyle w:val="146"/>
              <w:rPr>
                <w:rFonts w:cs="宋体"/>
                <w:bCs/>
                <w:sz w:val="18"/>
                <w:szCs w:val="18"/>
              </w:rPr>
            </w:pPr>
            <w:r>
              <w:rPr>
                <w:rFonts w:hint="eastAsia" w:cs="宋体"/>
                <w:bCs/>
                <w:sz w:val="18"/>
                <w:szCs w:val="18"/>
              </w:rPr>
              <w:t>◎</w:t>
            </w:r>
          </w:p>
        </w:tc>
        <w:tc>
          <w:tcPr>
            <w:tcW w:w="3013" w:type="dxa"/>
            <w:vMerge w:val="continue"/>
            <w:tcBorders>
              <w:top w:val="single" w:color="auto" w:sz="4" w:space="0"/>
              <w:left w:val="single" w:color="auto" w:sz="4" w:space="0"/>
              <w:bottom w:val="single" w:color="auto" w:sz="4" w:space="0"/>
              <w:right w:val="single" w:color="auto" w:sz="4" w:space="0"/>
            </w:tcBorders>
            <w:vAlign w:val="center"/>
          </w:tcPr>
          <w:p w14:paraId="6233949C">
            <w:pPr>
              <w:widowControl/>
              <w:spacing w:beforeLines="0" w:afterLines="0" w:line="240" w:lineRule="auto"/>
              <w:jc w:val="left"/>
              <w:rPr>
                <w:rFonts w:cs="宋体"/>
                <w:bCs/>
                <w:sz w:val="18"/>
                <w:szCs w:val="18"/>
              </w:rPr>
            </w:pPr>
          </w:p>
        </w:tc>
      </w:tr>
      <w:tr w14:paraId="1A9B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vMerge w:val="continue"/>
            <w:tcBorders>
              <w:left w:val="single" w:color="auto" w:sz="4" w:space="0"/>
              <w:right w:val="single" w:color="auto" w:sz="4" w:space="0"/>
            </w:tcBorders>
            <w:vAlign w:val="center"/>
          </w:tcPr>
          <w:p w14:paraId="49448556">
            <w:pPr>
              <w:widowControl/>
              <w:spacing w:beforeLines="0" w:afterLines="0" w:line="240" w:lineRule="auto"/>
              <w:jc w:val="left"/>
              <w:rPr>
                <w:rFonts w:cs="宋体"/>
                <w:bCs/>
                <w:sz w:val="18"/>
                <w:szCs w:val="18"/>
              </w:rPr>
            </w:pP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7B9354B3">
            <w:pPr>
              <w:widowControl/>
              <w:spacing w:beforeLines="0" w:afterLines="0" w:line="240" w:lineRule="auto"/>
              <w:jc w:val="left"/>
              <w:rPr>
                <w:rFonts w:cs="宋体"/>
                <w:bCs/>
                <w:sz w:val="18"/>
                <w:szCs w:val="18"/>
              </w:rPr>
            </w:pPr>
          </w:p>
        </w:tc>
        <w:tc>
          <w:tcPr>
            <w:tcW w:w="1128" w:type="dxa"/>
            <w:vMerge w:val="continue"/>
            <w:tcBorders>
              <w:top w:val="single" w:color="auto" w:sz="4" w:space="0"/>
              <w:left w:val="single" w:color="auto" w:sz="4" w:space="0"/>
              <w:bottom w:val="single" w:color="auto" w:sz="4" w:space="0"/>
              <w:right w:val="single" w:color="auto" w:sz="4" w:space="0"/>
            </w:tcBorders>
            <w:vAlign w:val="center"/>
          </w:tcPr>
          <w:p w14:paraId="7676247A">
            <w:pPr>
              <w:widowControl/>
              <w:spacing w:beforeLines="0" w:afterLines="0" w:line="240" w:lineRule="auto"/>
              <w:jc w:val="left"/>
              <w:rPr>
                <w:rFonts w:cs="宋体"/>
                <w:bCs/>
                <w:sz w:val="18"/>
                <w:szCs w:val="18"/>
              </w:rPr>
            </w:pPr>
          </w:p>
        </w:tc>
        <w:tc>
          <w:tcPr>
            <w:tcW w:w="2022" w:type="dxa"/>
            <w:tcBorders>
              <w:top w:val="single" w:color="auto" w:sz="4" w:space="0"/>
              <w:left w:val="single" w:color="auto" w:sz="4" w:space="0"/>
              <w:bottom w:val="single" w:color="auto" w:sz="4" w:space="0"/>
              <w:right w:val="single" w:color="auto" w:sz="4" w:space="0"/>
            </w:tcBorders>
            <w:vAlign w:val="center"/>
          </w:tcPr>
          <w:p w14:paraId="1AE910C7">
            <w:pPr>
              <w:pStyle w:val="146"/>
              <w:rPr>
                <w:rFonts w:hint="eastAsia" w:eastAsia="宋体" w:cs="宋体"/>
                <w:bCs/>
                <w:sz w:val="18"/>
                <w:szCs w:val="18"/>
                <w:lang w:eastAsia="zh-CN"/>
              </w:rPr>
            </w:pPr>
            <w:r>
              <w:rPr>
                <w:rFonts w:hint="eastAsia" w:cs="宋体"/>
                <w:bCs/>
                <w:sz w:val="18"/>
                <w:szCs w:val="18"/>
              </w:rPr>
              <w:t>所有车道的车辆空间分布</w:t>
            </w:r>
            <w:r>
              <w:rPr>
                <w:rFonts w:hint="eastAsia" w:cs="宋体"/>
                <w:bCs/>
                <w:sz w:val="18"/>
                <w:szCs w:val="18"/>
                <w:lang w:eastAsia="zh-CN"/>
              </w:rPr>
              <w:t>视频监控</w:t>
            </w:r>
          </w:p>
        </w:tc>
        <w:tc>
          <w:tcPr>
            <w:tcW w:w="1010" w:type="dxa"/>
            <w:tcBorders>
              <w:top w:val="single" w:color="auto" w:sz="4" w:space="0"/>
              <w:left w:val="single" w:color="auto" w:sz="4" w:space="0"/>
              <w:bottom w:val="single" w:color="auto" w:sz="4" w:space="0"/>
              <w:right w:val="single" w:color="auto" w:sz="4" w:space="0"/>
            </w:tcBorders>
            <w:vAlign w:val="center"/>
          </w:tcPr>
          <w:p w14:paraId="3EDA3505">
            <w:pPr>
              <w:pStyle w:val="146"/>
              <w:rPr>
                <w:rFonts w:cs="宋体"/>
                <w:bCs/>
                <w:sz w:val="18"/>
                <w:szCs w:val="18"/>
              </w:rPr>
            </w:pPr>
            <w:r>
              <w:rPr>
                <w:rFonts w:hint="eastAsia" w:cs="宋体"/>
                <w:bCs/>
                <w:sz w:val="18"/>
                <w:szCs w:val="18"/>
              </w:rPr>
              <w:t>○</w:t>
            </w:r>
          </w:p>
        </w:tc>
        <w:tc>
          <w:tcPr>
            <w:tcW w:w="3013" w:type="dxa"/>
            <w:vMerge w:val="continue"/>
            <w:tcBorders>
              <w:top w:val="single" w:color="auto" w:sz="4" w:space="0"/>
              <w:left w:val="single" w:color="auto" w:sz="4" w:space="0"/>
              <w:bottom w:val="single" w:color="auto" w:sz="4" w:space="0"/>
              <w:right w:val="single" w:color="auto" w:sz="4" w:space="0"/>
            </w:tcBorders>
            <w:vAlign w:val="center"/>
          </w:tcPr>
          <w:p w14:paraId="79D5695C">
            <w:pPr>
              <w:widowControl/>
              <w:spacing w:beforeLines="0" w:afterLines="0" w:line="240" w:lineRule="auto"/>
              <w:jc w:val="left"/>
              <w:rPr>
                <w:rFonts w:cs="宋体"/>
                <w:bCs/>
                <w:sz w:val="18"/>
                <w:szCs w:val="18"/>
              </w:rPr>
            </w:pPr>
          </w:p>
        </w:tc>
      </w:tr>
      <w:tr w14:paraId="1F181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654" w:type="dxa"/>
            <w:tcBorders>
              <w:left w:val="single" w:color="auto" w:sz="4" w:space="0"/>
              <w:bottom w:val="single" w:color="auto" w:sz="4" w:space="0"/>
              <w:right w:val="single" w:color="auto" w:sz="4" w:space="0"/>
            </w:tcBorders>
            <w:vAlign w:val="center"/>
          </w:tcPr>
          <w:p w14:paraId="0FF35EA6">
            <w:pPr>
              <w:widowControl/>
              <w:spacing w:beforeLines="0" w:afterLines="0" w:line="240" w:lineRule="auto"/>
              <w:jc w:val="center"/>
              <w:rPr>
                <w:rFonts w:hint="eastAsia" w:eastAsia="宋体" w:cs="宋体"/>
                <w:bCs/>
                <w:sz w:val="18"/>
                <w:szCs w:val="18"/>
                <w:lang w:val="en-US" w:eastAsia="zh-CN"/>
              </w:rPr>
            </w:pPr>
            <w:r>
              <w:rPr>
                <w:rFonts w:hint="eastAsia" w:cs="宋体"/>
                <w:bCs/>
                <w:sz w:val="18"/>
                <w:szCs w:val="18"/>
                <w:lang w:val="en-US" w:eastAsia="zh-CN"/>
              </w:rPr>
              <w:t>6</w:t>
            </w: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10B864B7">
            <w:pPr>
              <w:widowControl/>
              <w:spacing w:beforeLines="0" w:afterLines="0" w:line="240" w:lineRule="auto"/>
              <w:jc w:val="left"/>
              <w:rPr>
                <w:rFonts w:cs="宋体"/>
                <w:bCs/>
                <w:sz w:val="18"/>
                <w:szCs w:val="18"/>
              </w:rPr>
            </w:pPr>
          </w:p>
        </w:tc>
        <w:tc>
          <w:tcPr>
            <w:tcW w:w="1128" w:type="dxa"/>
            <w:tcBorders>
              <w:top w:val="single" w:color="auto" w:sz="4" w:space="0"/>
              <w:left w:val="single" w:color="auto" w:sz="4" w:space="0"/>
              <w:bottom w:val="single" w:color="auto" w:sz="4" w:space="0"/>
              <w:right w:val="single" w:color="auto" w:sz="4" w:space="0"/>
            </w:tcBorders>
            <w:vAlign w:val="center"/>
          </w:tcPr>
          <w:p w14:paraId="4A5A1CBE">
            <w:pPr>
              <w:pStyle w:val="146"/>
              <w:rPr>
                <w:rFonts w:cs="宋体"/>
                <w:bCs/>
                <w:sz w:val="18"/>
                <w:szCs w:val="18"/>
              </w:rPr>
            </w:pPr>
            <w:r>
              <w:rPr>
                <w:rFonts w:hint="eastAsia" w:cs="宋体"/>
                <w:bCs/>
                <w:sz w:val="18"/>
                <w:szCs w:val="18"/>
              </w:rPr>
              <w:t>水位</w:t>
            </w:r>
          </w:p>
        </w:tc>
        <w:tc>
          <w:tcPr>
            <w:tcW w:w="2022" w:type="dxa"/>
            <w:tcBorders>
              <w:top w:val="single" w:color="auto" w:sz="4" w:space="0"/>
              <w:left w:val="single" w:color="auto" w:sz="4" w:space="0"/>
              <w:bottom w:val="single" w:color="auto" w:sz="4" w:space="0"/>
              <w:right w:val="single" w:color="auto" w:sz="4" w:space="0"/>
            </w:tcBorders>
            <w:vAlign w:val="center"/>
          </w:tcPr>
          <w:p w14:paraId="067B2833">
            <w:pPr>
              <w:pStyle w:val="146"/>
              <w:rPr>
                <w:rFonts w:cs="宋体"/>
                <w:bCs/>
                <w:sz w:val="18"/>
                <w:szCs w:val="18"/>
              </w:rPr>
            </w:pPr>
            <w:r>
              <w:rPr>
                <w:rFonts w:hint="eastAsia" w:cs="宋体"/>
                <w:bCs/>
                <w:sz w:val="18"/>
                <w:szCs w:val="18"/>
              </w:rPr>
              <w:t>水面至梁底的距离</w:t>
            </w:r>
          </w:p>
        </w:tc>
        <w:tc>
          <w:tcPr>
            <w:tcW w:w="1010" w:type="dxa"/>
            <w:tcBorders>
              <w:top w:val="single" w:color="auto" w:sz="4" w:space="0"/>
              <w:left w:val="single" w:color="auto" w:sz="4" w:space="0"/>
              <w:bottom w:val="single" w:color="auto" w:sz="4" w:space="0"/>
              <w:right w:val="single" w:color="auto" w:sz="4" w:space="0"/>
            </w:tcBorders>
            <w:vAlign w:val="center"/>
          </w:tcPr>
          <w:p w14:paraId="7D213321">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4879D57C">
            <w:pPr>
              <w:pStyle w:val="146"/>
              <w:rPr>
                <w:rFonts w:cs="宋体"/>
                <w:bCs/>
                <w:sz w:val="18"/>
                <w:szCs w:val="18"/>
              </w:rPr>
            </w:pPr>
            <w:bookmarkStart w:id="175" w:name="OLE_LINK32"/>
            <w:r>
              <w:rPr>
                <w:rFonts w:cs="宋体"/>
                <w:bCs/>
                <w:sz w:val="18"/>
                <w:szCs w:val="18"/>
              </w:rPr>
              <w:t>-</w:t>
            </w:r>
            <w:bookmarkEnd w:id="175"/>
          </w:p>
        </w:tc>
      </w:tr>
      <w:tr w14:paraId="214A4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54" w:type="dxa"/>
            <w:tcBorders>
              <w:top w:val="single" w:color="auto" w:sz="4" w:space="0"/>
              <w:left w:val="single" w:color="auto" w:sz="4" w:space="0"/>
              <w:right w:val="single" w:color="auto" w:sz="4" w:space="0"/>
            </w:tcBorders>
            <w:vAlign w:val="center"/>
          </w:tcPr>
          <w:p w14:paraId="2FF6F150">
            <w:pPr>
              <w:widowControl/>
              <w:spacing w:beforeLines="0" w:afterLines="0" w:line="240" w:lineRule="auto"/>
              <w:jc w:val="center"/>
              <w:rPr>
                <w:rFonts w:hint="eastAsia" w:eastAsia="宋体" w:cs="宋体"/>
                <w:bCs/>
                <w:sz w:val="18"/>
                <w:szCs w:val="18"/>
                <w:lang w:val="en-US" w:eastAsia="zh-CN"/>
              </w:rPr>
            </w:pPr>
            <w:r>
              <w:rPr>
                <w:rFonts w:hint="eastAsia" w:cs="宋体"/>
                <w:bCs/>
                <w:sz w:val="18"/>
                <w:szCs w:val="18"/>
                <w:lang w:val="en-US" w:eastAsia="zh-CN"/>
              </w:rPr>
              <w:t>7</w:t>
            </w: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30F97E88">
            <w:pPr>
              <w:widowControl/>
              <w:spacing w:beforeLines="0" w:afterLines="0" w:line="240" w:lineRule="auto"/>
              <w:jc w:val="left"/>
              <w:rPr>
                <w:rFonts w:cs="宋体"/>
                <w:bCs/>
                <w:sz w:val="18"/>
                <w:szCs w:val="18"/>
              </w:rPr>
            </w:pPr>
          </w:p>
        </w:tc>
        <w:tc>
          <w:tcPr>
            <w:tcW w:w="1128" w:type="dxa"/>
            <w:tcBorders>
              <w:top w:val="single" w:color="auto" w:sz="4" w:space="0"/>
              <w:left w:val="single" w:color="auto" w:sz="4" w:space="0"/>
              <w:bottom w:val="single" w:color="auto" w:sz="4" w:space="0"/>
              <w:right w:val="single" w:color="auto" w:sz="4" w:space="0"/>
            </w:tcBorders>
            <w:vAlign w:val="center"/>
          </w:tcPr>
          <w:p w14:paraId="44839B3C">
            <w:pPr>
              <w:pStyle w:val="146"/>
              <w:rPr>
                <w:rFonts w:cs="宋体"/>
                <w:bCs/>
                <w:sz w:val="18"/>
                <w:szCs w:val="18"/>
              </w:rPr>
            </w:pPr>
            <w:r>
              <w:rPr>
                <w:rFonts w:hint="eastAsia" w:cs="宋体"/>
                <w:bCs/>
                <w:sz w:val="18"/>
                <w:szCs w:val="18"/>
              </w:rPr>
              <w:t>流速</w:t>
            </w:r>
          </w:p>
        </w:tc>
        <w:tc>
          <w:tcPr>
            <w:tcW w:w="2022" w:type="dxa"/>
            <w:tcBorders>
              <w:top w:val="single" w:color="auto" w:sz="4" w:space="0"/>
              <w:left w:val="single" w:color="auto" w:sz="4" w:space="0"/>
              <w:bottom w:val="single" w:color="auto" w:sz="4" w:space="0"/>
              <w:right w:val="single" w:color="auto" w:sz="4" w:space="0"/>
            </w:tcBorders>
            <w:vAlign w:val="center"/>
          </w:tcPr>
          <w:p w14:paraId="09C6D0D7">
            <w:pPr>
              <w:pStyle w:val="146"/>
              <w:rPr>
                <w:rFonts w:cs="宋体"/>
                <w:bCs/>
                <w:sz w:val="18"/>
                <w:szCs w:val="18"/>
              </w:rPr>
            </w:pPr>
            <w:r>
              <w:rPr>
                <w:rFonts w:hint="eastAsia" w:cs="宋体"/>
                <w:bCs/>
                <w:sz w:val="18"/>
                <w:szCs w:val="18"/>
              </w:rPr>
              <w:t>水流流速</w:t>
            </w:r>
          </w:p>
        </w:tc>
        <w:tc>
          <w:tcPr>
            <w:tcW w:w="1010" w:type="dxa"/>
            <w:tcBorders>
              <w:top w:val="single" w:color="auto" w:sz="4" w:space="0"/>
              <w:left w:val="single" w:color="auto" w:sz="4" w:space="0"/>
              <w:bottom w:val="single" w:color="auto" w:sz="4" w:space="0"/>
              <w:right w:val="single" w:color="auto" w:sz="4" w:space="0"/>
            </w:tcBorders>
            <w:vAlign w:val="center"/>
          </w:tcPr>
          <w:p w14:paraId="63090477">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452D1898">
            <w:pPr>
              <w:pStyle w:val="146"/>
              <w:rPr>
                <w:rFonts w:cs="宋体"/>
                <w:bCs/>
                <w:sz w:val="18"/>
                <w:szCs w:val="18"/>
              </w:rPr>
            </w:pPr>
            <w:r>
              <w:rPr>
                <w:rFonts w:cs="宋体"/>
                <w:bCs/>
                <w:sz w:val="18"/>
                <w:szCs w:val="18"/>
              </w:rPr>
              <w:t>-</w:t>
            </w:r>
          </w:p>
        </w:tc>
      </w:tr>
      <w:tr w14:paraId="68703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tcBorders>
              <w:left w:val="single" w:color="auto" w:sz="4" w:space="0"/>
              <w:bottom w:val="single" w:color="auto" w:sz="4" w:space="0"/>
              <w:right w:val="single" w:color="auto" w:sz="4" w:space="0"/>
            </w:tcBorders>
            <w:vAlign w:val="center"/>
          </w:tcPr>
          <w:p w14:paraId="39F182BA">
            <w:pPr>
              <w:widowControl/>
              <w:spacing w:beforeLines="0" w:afterLines="0" w:line="240" w:lineRule="auto"/>
              <w:jc w:val="center"/>
              <w:rPr>
                <w:rFonts w:hint="eastAsia" w:eastAsia="宋体" w:cs="宋体"/>
                <w:bCs/>
                <w:sz w:val="18"/>
                <w:szCs w:val="18"/>
                <w:lang w:val="en-US" w:eastAsia="zh-CN"/>
              </w:rPr>
            </w:pPr>
            <w:r>
              <w:rPr>
                <w:rFonts w:hint="eastAsia" w:cs="宋体"/>
                <w:bCs/>
                <w:sz w:val="18"/>
                <w:szCs w:val="18"/>
                <w:lang w:val="en-US" w:eastAsia="zh-CN"/>
              </w:rPr>
              <w:t>8</w:t>
            </w: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49786F7F">
            <w:pPr>
              <w:widowControl/>
              <w:spacing w:beforeLines="0" w:afterLines="0" w:line="240" w:lineRule="auto"/>
              <w:jc w:val="left"/>
              <w:rPr>
                <w:rFonts w:cs="宋体"/>
                <w:bCs/>
                <w:sz w:val="18"/>
                <w:szCs w:val="18"/>
              </w:rPr>
            </w:pPr>
          </w:p>
        </w:tc>
        <w:tc>
          <w:tcPr>
            <w:tcW w:w="1128" w:type="dxa"/>
            <w:tcBorders>
              <w:top w:val="single" w:color="auto" w:sz="4" w:space="0"/>
              <w:left w:val="single" w:color="auto" w:sz="4" w:space="0"/>
              <w:bottom w:val="single" w:color="auto" w:sz="4" w:space="0"/>
              <w:right w:val="single" w:color="auto" w:sz="4" w:space="0"/>
            </w:tcBorders>
            <w:vAlign w:val="center"/>
          </w:tcPr>
          <w:p w14:paraId="541E1499">
            <w:pPr>
              <w:pStyle w:val="146"/>
              <w:rPr>
                <w:rFonts w:cs="宋体"/>
                <w:bCs/>
                <w:sz w:val="18"/>
                <w:szCs w:val="18"/>
              </w:rPr>
            </w:pPr>
            <w:r>
              <w:rPr>
                <w:rFonts w:hint="eastAsia" w:cs="宋体"/>
                <w:bCs/>
                <w:sz w:val="18"/>
                <w:szCs w:val="18"/>
              </w:rPr>
              <w:t>风速、风向</w:t>
            </w:r>
          </w:p>
        </w:tc>
        <w:tc>
          <w:tcPr>
            <w:tcW w:w="2022" w:type="dxa"/>
            <w:tcBorders>
              <w:top w:val="single" w:color="auto" w:sz="4" w:space="0"/>
              <w:left w:val="single" w:color="auto" w:sz="4" w:space="0"/>
              <w:bottom w:val="single" w:color="auto" w:sz="4" w:space="0"/>
              <w:right w:val="single" w:color="auto" w:sz="4" w:space="0"/>
            </w:tcBorders>
            <w:vAlign w:val="center"/>
          </w:tcPr>
          <w:p w14:paraId="2DC71ED4">
            <w:pPr>
              <w:pStyle w:val="146"/>
              <w:rPr>
                <w:rFonts w:cs="宋体"/>
                <w:bCs/>
                <w:sz w:val="18"/>
                <w:szCs w:val="18"/>
              </w:rPr>
            </w:pPr>
            <w:r>
              <w:rPr>
                <w:rFonts w:hint="eastAsia" w:cs="宋体"/>
                <w:bCs/>
                <w:sz w:val="18"/>
                <w:szCs w:val="18"/>
              </w:rPr>
              <w:t>桥面风速、风向</w:t>
            </w:r>
          </w:p>
        </w:tc>
        <w:tc>
          <w:tcPr>
            <w:tcW w:w="1010" w:type="dxa"/>
            <w:tcBorders>
              <w:top w:val="single" w:color="auto" w:sz="4" w:space="0"/>
              <w:left w:val="single" w:color="auto" w:sz="4" w:space="0"/>
              <w:bottom w:val="single" w:color="auto" w:sz="4" w:space="0"/>
              <w:right w:val="single" w:color="auto" w:sz="4" w:space="0"/>
            </w:tcBorders>
            <w:vAlign w:val="center"/>
          </w:tcPr>
          <w:p w14:paraId="4E76BA26">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05520EA1">
            <w:pPr>
              <w:pStyle w:val="146"/>
              <w:rPr>
                <w:rFonts w:cs="宋体"/>
                <w:bCs/>
                <w:sz w:val="18"/>
                <w:szCs w:val="18"/>
              </w:rPr>
            </w:pPr>
            <w:r>
              <w:rPr>
                <w:rFonts w:cs="宋体"/>
                <w:bCs/>
                <w:sz w:val="18"/>
                <w:szCs w:val="18"/>
              </w:rPr>
              <w:t>主要风向侧的桥面跨中处</w:t>
            </w:r>
            <w:r>
              <w:rPr>
                <w:rFonts w:hint="eastAsia" w:cs="宋体"/>
                <w:bCs/>
                <w:sz w:val="18"/>
                <w:szCs w:val="18"/>
              </w:rPr>
              <w:t>，</w:t>
            </w:r>
            <w:r>
              <w:rPr>
                <w:rFonts w:cs="宋体"/>
                <w:bCs/>
                <w:sz w:val="18"/>
                <w:szCs w:val="18"/>
              </w:rPr>
              <w:t>布设高度至少高于桥面2 m -</w:t>
            </w:r>
          </w:p>
        </w:tc>
      </w:tr>
      <w:tr w14:paraId="05AE3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vMerge w:val="restart"/>
            <w:tcBorders>
              <w:top w:val="single" w:color="auto" w:sz="4" w:space="0"/>
              <w:left w:val="single" w:color="auto" w:sz="4" w:space="0"/>
              <w:right w:val="single" w:color="auto" w:sz="4" w:space="0"/>
            </w:tcBorders>
            <w:vAlign w:val="center"/>
          </w:tcPr>
          <w:p w14:paraId="44527FDA">
            <w:pPr>
              <w:widowControl/>
              <w:spacing w:beforeLines="0" w:afterLines="0" w:line="240" w:lineRule="auto"/>
              <w:jc w:val="center"/>
              <w:rPr>
                <w:rFonts w:hint="eastAsia" w:eastAsia="宋体" w:cs="宋体"/>
                <w:bCs/>
                <w:sz w:val="18"/>
                <w:szCs w:val="18"/>
                <w:lang w:val="en-US" w:eastAsia="zh-CN"/>
              </w:rPr>
            </w:pPr>
            <w:r>
              <w:rPr>
                <w:rFonts w:hint="eastAsia" w:cs="宋体"/>
                <w:bCs/>
                <w:sz w:val="18"/>
                <w:szCs w:val="18"/>
                <w:lang w:val="en-US" w:eastAsia="zh-CN"/>
              </w:rPr>
              <w:t>9</w:t>
            </w: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578B47D5">
            <w:pPr>
              <w:widowControl/>
              <w:spacing w:beforeLines="0" w:afterLines="0" w:line="240" w:lineRule="auto"/>
              <w:jc w:val="left"/>
              <w:rPr>
                <w:rFonts w:cs="宋体"/>
                <w:bCs/>
                <w:sz w:val="18"/>
                <w:szCs w:val="18"/>
              </w:rPr>
            </w:pPr>
          </w:p>
        </w:tc>
        <w:tc>
          <w:tcPr>
            <w:tcW w:w="1128" w:type="dxa"/>
            <w:vMerge w:val="restart"/>
            <w:tcBorders>
              <w:top w:val="single" w:color="auto" w:sz="4" w:space="0"/>
              <w:left w:val="single" w:color="auto" w:sz="4" w:space="0"/>
              <w:bottom w:val="single" w:color="auto" w:sz="4" w:space="0"/>
              <w:right w:val="single" w:color="auto" w:sz="4" w:space="0"/>
            </w:tcBorders>
            <w:vAlign w:val="center"/>
          </w:tcPr>
          <w:p w14:paraId="6D29A973">
            <w:pPr>
              <w:pStyle w:val="146"/>
              <w:rPr>
                <w:rFonts w:cs="宋体"/>
                <w:bCs/>
                <w:sz w:val="18"/>
                <w:szCs w:val="18"/>
              </w:rPr>
            </w:pPr>
            <w:r>
              <w:rPr>
                <w:rFonts w:hint="eastAsia" w:cs="宋体"/>
                <w:bCs/>
                <w:sz w:val="18"/>
                <w:szCs w:val="18"/>
              </w:rPr>
              <w:t>结构温度</w:t>
            </w:r>
          </w:p>
        </w:tc>
        <w:tc>
          <w:tcPr>
            <w:tcW w:w="2022" w:type="dxa"/>
            <w:tcBorders>
              <w:top w:val="single" w:color="auto" w:sz="4" w:space="0"/>
              <w:left w:val="single" w:color="auto" w:sz="4" w:space="0"/>
              <w:bottom w:val="single" w:color="auto" w:sz="4" w:space="0"/>
              <w:right w:val="single" w:color="auto" w:sz="4" w:space="0"/>
            </w:tcBorders>
            <w:vAlign w:val="center"/>
          </w:tcPr>
          <w:p w14:paraId="0D8E80E3">
            <w:pPr>
              <w:pStyle w:val="146"/>
              <w:rPr>
                <w:rFonts w:cs="宋体"/>
                <w:bCs/>
                <w:sz w:val="18"/>
                <w:szCs w:val="18"/>
              </w:rPr>
            </w:pPr>
            <w:r>
              <w:rPr>
                <w:rFonts w:hint="eastAsia" w:cs="宋体"/>
                <w:bCs/>
                <w:sz w:val="18"/>
                <w:szCs w:val="18"/>
              </w:rPr>
              <w:t>混凝土或钢结构构件温度</w:t>
            </w:r>
          </w:p>
        </w:tc>
        <w:tc>
          <w:tcPr>
            <w:tcW w:w="1010" w:type="dxa"/>
            <w:tcBorders>
              <w:top w:val="single" w:color="auto" w:sz="4" w:space="0"/>
              <w:left w:val="single" w:color="auto" w:sz="4" w:space="0"/>
              <w:bottom w:val="single" w:color="auto" w:sz="4" w:space="0"/>
              <w:right w:val="single" w:color="auto" w:sz="4" w:space="0"/>
            </w:tcBorders>
            <w:vAlign w:val="center"/>
          </w:tcPr>
          <w:p w14:paraId="393188DE">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082E5EC5">
            <w:pPr>
              <w:pStyle w:val="146"/>
              <w:rPr>
                <w:rFonts w:cs="宋体"/>
                <w:bCs/>
                <w:sz w:val="18"/>
                <w:szCs w:val="18"/>
              </w:rPr>
            </w:pPr>
            <w:r>
              <w:rPr>
                <w:rFonts w:hint="eastAsia" w:cs="宋体"/>
                <w:bCs/>
                <w:sz w:val="18"/>
                <w:szCs w:val="18"/>
              </w:rPr>
              <w:t>跨中截面，</w:t>
            </w:r>
            <w:r>
              <w:rPr>
                <w:rFonts w:hint="eastAsia" w:cs="宋体"/>
                <w:bCs/>
                <w:sz w:val="18"/>
                <w:szCs w:val="18"/>
                <w:lang w:eastAsia="zh-CN"/>
              </w:rPr>
              <w:t>不低于</w:t>
            </w:r>
            <w:r>
              <w:rPr>
                <w:rFonts w:hint="eastAsia" w:cs="宋体"/>
                <w:bCs/>
                <w:sz w:val="18"/>
                <w:szCs w:val="18"/>
              </w:rPr>
              <w:t>2处</w:t>
            </w:r>
            <w:r>
              <w:rPr>
                <w:rFonts w:cs="宋体"/>
                <w:bCs/>
                <w:sz w:val="18"/>
                <w:szCs w:val="18"/>
              </w:rPr>
              <w:t>-</w:t>
            </w:r>
          </w:p>
        </w:tc>
      </w:tr>
      <w:tr w14:paraId="2052F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vMerge w:val="continue"/>
            <w:tcBorders>
              <w:left w:val="single" w:color="auto" w:sz="4" w:space="0"/>
              <w:bottom w:val="single" w:color="auto" w:sz="4" w:space="0"/>
              <w:right w:val="single" w:color="auto" w:sz="4" w:space="0"/>
            </w:tcBorders>
            <w:vAlign w:val="center"/>
          </w:tcPr>
          <w:p w14:paraId="783D3526">
            <w:pPr>
              <w:widowControl/>
              <w:spacing w:beforeLines="0" w:afterLines="0" w:line="240" w:lineRule="auto"/>
              <w:jc w:val="center"/>
              <w:rPr>
                <w:rFonts w:cs="宋体"/>
                <w:bCs/>
                <w:sz w:val="18"/>
                <w:szCs w:val="18"/>
              </w:rPr>
            </w:pP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18902088">
            <w:pPr>
              <w:widowControl/>
              <w:spacing w:beforeLines="0" w:afterLines="0" w:line="240" w:lineRule="auto"/>
              <w:jc w:val="left"/>
              <w:rPr>
                <w:rFonts w:cs="宋体"/>
                <w:bCs/>
                <w:sz w:val="18"/>
                <w:szCs w:val="18"/>
              </w:rPr>
            </w:pPr>
          </w:p>
        </w:tc>
        <w:tc>
          <w:tcPr>
            <w:tcW w:w="1128" w:type="dxa"/>
            <w:vMerge w:val="continue"/>
            <w:tcBorders>
              <w:top w:val="single" w:color="auto" w:sz="4" w:space="0"/>
              <w:left w:val="single" w:color="auto" w:sz="4" w:space="0"/>
              <w:bottom w:val="single" w:color="auto" w:sz="4" w:space="0"/>
              <w:right w:val="single" w:color="auto" w:sz="4" w:space="0"/>
            </w:tcBorders>
            <w:vAlign w:val="center"/>
          </w:tcPr>
          <w:p w14:paraId="4E607110">
            <w:pPr>
              <w:widowControl/>
              <w:spacing w:beforeLines="0" w:afterLines="0" w:line="240" w:lineRule="auto"/>
              <w:jc w:val="left"/>
              <w:rPr>
                <w:rFonts w:cs="宋体"/>
                <w:bCs/>
                <w:sz w:val="18"/>
                <w:szCs w:val="18"/>
              </w:rPr>
            </w:pPr>
          </w:p>
        </w:tc>
        <w:tc>
          <w:tcPr>
            <w:tcW w:w="2022" w:type="dxa"/>
            <w:tcBorders>
              <w:top w:val="single" w:color="auto" w:sz="4" w:space="0"/>
              <w:left w:val="single" w:color="auto" w:sz="4" w:space="0"/>
              <w:bottom w:val="single" w:color="auto" w:sz="4" w:space="0"/>
              <w:right w:val="single" w:color="auto" w:sz="4" w:space="0"/>
            </w:tcBorders>
            <w:vAlign w:val="center"/>
          </w:tcPr>
          <w:p w14:paraId="7C648B56">
            <w:pPr>
              <w:pStyle w:val="146"/>
              <w:rPr>
                <w:rFonts w:cs="宋体"/>
                <w:bCs/>
                <w:sz w:val="18"/>
                <w:szCs w:val="18"/>
              </w:rPr>
            </w:pPr>
            <w:r>
              <w:rPr>
                <w:rFonts w:hint="eastAsia" w:cs="宋体"/>
                <w:bCs/>
                <w:sz w:val="18"/>
                <w:szCs w:val="18"/>
              </w:rPr>
              <w:t>桥面铺装层温度</w:t>
            </w:r>
          </w:p>
        </w:tc>
        <w:tc>
          <w:tcPr>
            <w:tcW w:w="1010" w:type="dxa"/>
            <w:tcBorders>
              <w:top w:val="single" w:color="auto" w:sz="4" w:space="0"/>
              <w:left w:val="single" w:color="auto" w:sz="4" w:space="0"/>
              <w:bottom w:val="single" w:color="auto" w:sz="4" w:space="0"/>
              <w:right w:val="single" w:color="auto" w:sz="4" w:space="0"/>
            </w:tcBorders>
            <w:vAlign w:val="center"/>
          </w:tcPr>
          <w:p w14:paraId="15EBD71A">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34E3C1AB">
            <w:pPr>
              <w:pStyle w:val="146"/>
              <w:rPr>
                <w:rFonts w:cs="宋体"/>
                <w:bCs/>
                <w:sz w:val="18"/>
                <w:szCs w:val="18"/>
              </w:rPr>
            </w:pPr>
            <w:r>
              <w:rPr>
                <w:rFonts w:cs="宋体"/>
                <w:bCs/>
                <w:sz w:val="18"/>
                <w:szCs w:val="18"/>
              </w:rPr>
              <w:t>-</w:t>
            </w:r>
          </w:p>
        </w:tc>
      </w:tr>
      <w:tr w14:paraId="2D31B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vMerge w:val="restart"/>
            <w:tcBorders>
              <w:top w:val="single" w:color="auto" w:sz="4" w:space="0"/>
              <w:left w:val="single" w:color="auto" w:sz="4" w:space="0"/>
              <w:right w:val="single" w:color="auto" w:sz="4" w:space="0"/>
            </w:tcBorders>
            <w:vAlign w:val="center"/>
          </w:tcPr>
          <w:p w14:paraId="7E94F1C4">
            <w:pPr>
              <w:widowControl/>
              <w:spacing w:beforeLines="0" w:afterLines="0" w:line="240" w:lineRule="auto"/>
              <w:jc w:val="center"/>
              <w:rPr>
                <w:rFonts w:hint="default" w:eastAsia="宋体" w:cs="宋体"/>
                <w:bCs/>
                <w:sz w:val="18"/>
                <w:szCs w:val="18"/>
                <w:lang w:val="en-US" w:eastAsia="zh-CN"/>
              </w:rPr>
            </w:pPr>
            <w:r>
              <w:rPr>
                <w:rFonts w:hint="eastAsia" w:cs="宋体"/>
                <w:bCs/>
                <w:sz w:val="18"/>
                <w:szCs w:val="18"/>
                <w:lang w:val="en-US" w:eastAsia="zh-CN"/>
              </w:rPr>
              <w:t>10</w:t>
            </w: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1E72E0D4">
            <w:pPr>
              <w:widowControl/>
              <w:spacing w:beforeLines="0" w:afterLines="0" w:line="240" w:lineRule="auto"/>
              <w:jc w:val="left"/>
              <w:rPr>
                <w:rFonts w:cs="宋体"/>
                <w:bCs/>
                <w:sz w:val="18"/>
                <w:szCs w:val="18"/>
              </w:rPr>
            </w:pPr>
          </w:p>
        </w:tc>
        <w:tc>
          <w:tcPr>
            <w:tcW w:w="1128" w:type="dxa"/>
            <w:vMerge w:val="restart"/>
            <w:tcBorders>
              <w:top w:val="single" w:color="auto" w:sz="4" w:space="0"/>
              <w:left w:val="single" w:color="auto" w:sz="4" w:space="0"/>
              <w:bottom w:val="single" w:color="auto" w:sz="4" w:space="0"/>
              <w:right w:val="single" w:color="auto" w:sz="4" w:space="0"/>
            </w:tcBorders>
            <w:vAlign w:val="center"/>
          </w:tcPr>
          <w:p w14:paraId="7254E7F6">
            <w:pPr>
              <w:pStyle w:val="146"/>
              <w:rPr>
                <w:rFonts w:cs="宋体"/>
                <w:bCs/>
                <w:sz w:val="18"/>
                <w:szCs w:val="18"/>
              </w:rPr>
            </w:pPr>
            <w:r>
              <w:rPr>
                <w:rFonts w:hint="eastAsia" w:cs="宋体"/>
                <w:bCs/>
                <w:sz w:val="18"/>
                <w:szCs w:val="18"/>
              </w:rPr>
              <w:t>船舶撞击</w:t>
            </w:r>
          </w:p>
        </w:tc>
        <w:tc>
          <w:tcPr>
            <w:tcW w:w="2022" w:type="dxa"/>
            <w:tcBorders>
              <w:top w:val="single" w:color="auto" w:sz="4" w:space="0"/>
              <w:left w:val="single" w:color="auto" w:sz="4" w:space="0"/>
              <w:bottom w:val="single" w:color="auto" w:sz="4" w:space="0"/>
              <w:right w:val="single" w:color="auto" w:sz="4" w:space="0"/>
            </w:tcBorders>
            <w:vAlign w:val="center"/>
          </w:tcPr>
          <w:p w14:paraId="342D8B1D">
            <w:pPr>
              <w:pStyle w:val="146"/>
              <w:rPr>
                <w:rFonts w:cs="宋体"/>
                <w:bCs/>
                <w:sz w:val="18"/>
                <w:szCs w:val="18"/>
              </w:rPr>
            </w:pPr>
            <w:r>
              <w:rPr>
                <w:rFonts w:hint="eastAsia" w:cs="宋体"/>
                <w:bCs/>
                <w:sz w:val="18"/>
                <w:szCs w:val="18"/>
              </w:rPr>
              <w:t>桥墩加速度</w:t>
            </w:r>
          </w:p>
        </w:tc>
        <w:tc>
          <w:tcPr>
            <w:tcW w:w="1010" w:type="dxa"/>
            <w:tcBorders>
              <w:top w:val="single" w:color="auto" w:sz="4" w:space="0"/>
              <w:left w:val="single" w:color="auto" w:sz="4" w:space="0"/>
              <w:bottom w:val="single" w:color="auto" w:sz="4" w:space="0"/>
              <w:right w:val="single" w:color="auto" w:sz="4" w:space="0"/>
            </w:tcBorders>
            <w:vAlign w:val="center"/>
          </w:tcPr>
          <w:p w14:paraId="26B11ADA">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0D9845C7">
            <w:pPr>
              <w:pStyle w:val="146"/>
              <w:rPr>
                <w:rFonts w:cs="宋体"/>
                <w:bCs/>
                <w:sz w:val="18"/>
                <w:szCs w:val="18"/>
              </w:rPr>
            </w:pPr>
            <w:r>
              <w:rPr>
                <w:rFonts w:cs="宋体"/>
                <w:bCs/>
                <w:sz w:val="18"/>
                <w:szCs w:val="18"/>
              </w:rPr>
              <w:t>布设在有船撞风险</w:t>
            </w:r>
            <w:r>
              <w:rPr>
                <w:rFonts w:hint="eastAsia" w:cs="宋体"/>
                <w:bCs/>
                <w:sz w:val="18"/>
                <w:szCs w:val="18"/>
              </w:rPr>
              <w:t>的桥墩处</w:t>
            </w:r>
          </w:p>
        </w:tc>
      </w:tr>
      <w:tr w14:paraId="076B3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vMerge w:val="continue"/>
            <w:tcBorders>
              <w:left w:val="single" w:color="auto" w:sz="4" w:space="0"/>
              <w:bottom w:val="single" w:color="auto" w:sz="4" w:space="0"/>
              <w:right w:val="single" w:color="auto" w:sz="4" w:space="0"/>
            </w:tcBorders>
            <w:vAlign w:val="center"/>
          </w:tcPr>
          <w:p w14:paraId="6C114B85">
            <w:pPr>
              <w:widowControl/>
              <w:spacing w:beforeLines="0" w:afterLines="0" w:line="240" w:lineRule="auto"/>
              <w:jc w:val="center"/>
              <w:rPr>
                <w:rFonts w:cs="宋体"/>
                <w:bCs/>
                <w:sz w:val="18"/>
                <w:szCs w:val="18"/>
              </w:rPr>
            </w:pP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1B3BB085">
            <w:pPr>
              <w:widowControl/>
              <w:spacing w:beforeLines="0" w:afterLines="0" w:line="240" w:lineRule="auto"/>
              <w:jc w:val="left"/>
              <w:rPr>
                <w:rFonts w:cs="宋体"/>
                <w:bCs/>
                <w:sz w:val="18"/>
                <w:szCs w:val="18"/>
              </w:rPr>
            </w:pPr>
          </w:p>
        </w:tc>
        <w:tc>
          <w:tcPr>
            <w:tcW w:w="1128" w:type="dxa"/>
            <w:vMerge w:val="continue"/>
            <w:tcBorders>
              <w:top w:val="single" w:color="auto" w:sz="4" w:space="0"/>
              <w:left w:val="single" w:color="auto" w:sz="4" w:space="0"/>
              <w:bottom w:val="single" w:color="auto" w:sz="4" w:space="0"/>
              <w:right w:val="single" w:color="auto" w:sz="4" w:space="0"/>
            </w:tcBorders>
            <w:vAlign w:val="center"/>
          </w:tcPr>
          <w:p w14:paraId="28BBBC7C">
            <w:pPr>
              <w:widowControl/>
              <w:spacing w:beforeLines="0" w:afterLines="0" w:line="240" w:lineRule="auto"/>
              <w:jc w:val="left"/>
              <w:rPr>
                <w:rFonts w:cs="宋体"/>
                <w:bCs/>
                <w:sz w:val="18"/>
                <w:szCs w:val="18"/>
              </w:rPr>
            </w:pPr>
          </w:p>
        </w:tc>
        <w:tc>
          <w:tcPr>
            <w:tcW w:w="2022" w:type="dxa"/>
            <w:tcBorders>
              <w:top w:val="single" w:color="auto" w:sz="4" w:space="0"/>
              <w:left w:val="single" w:color="auto" w:sz="4" w:space="0"/>
              <w:bottom w:val="single" w:color="auto" w:sz="4" w:space="0"/>
              <w:right w:val="single" w:color="auto" w:sz="4" w:space="0"/>
            </w:tcBorders>
            <w:vAlign w:val="center"/>
          </w:tcPr>
          <w:p w14:paraId="76B38BA2">
            <w:pPr>
              <w:pStyle w:val="146"/>
              <w:rPr>
                <w:rFonts w:hint="eastAsia" w:eastAsia="宋体" w:cs="宋体"/>
                <w:bCs/>
                <w:sz w:val="18"/>
                <w:szCs w:val="18"/>
                <w:lang w:eastAsia="zh-CN"/>
              </w:rPr>
            </w:pPr>
            <w:r>
              <w:rPr>
                <w:rFonts w:hint="eastAsia" w:cs="宋体"/>
                <w:bCs/>
                <w:sz w:val="18"/>
                <w:szCs w:val="18"/>
                <w:lang w:eastAsia="zh-CN"/>
              </w:rPr>
              <w:t>视频监控</w:t>
            </w:r>
          </w:p>
        </w:tc>
        <w:tc>
          <w:tcPr>
            <w:tcW w:w="1010" w:type="dxa"/>
            <w:tcBorders>
              <w:top w:val="single" w:color="auto" w:sz="4" w:space="0"/>
              <w:left w:val="single" w:color="auto" w:sz="4" w:space="0"/>
              <w:bottom w:val="single" w:color="auto" w:sz="4" w:space="0"/>
              <w:right w:val="single" w:color="auto" w:sz="4" w:space="0"/>
            </w:tcBorders>
            <w:vAlign w:val="center"/>
          </w:tcPr>
          <w:p w14:paraId="4FDE0C38">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72878320">
            <w:pPr>
              <w:pStyle w:val="146"/>
              <w:rPr>
                <w:rFonts w:cs="宋体"/>
                <w:bCs/>
                <w:sz w:val="18"/>
                <w:szCs w:val="18"/>
              </w:rPr>
            </w:pPr>
            <w:r>
              <w:rPr>
                <w:rFonts w:cs="宋体"/>
                <w:bCs/>
                <w:sz w:val="18"/>
                <w:szCs w:val="18"/>
              </w:rPr>
              <w:t>布设在有船撞风险</w:t>
            </w:r>
            <w:r>
              <w:rPr>
                <w:rFonts w:hint="eastAsia" w:cs="宋体"/>
                <w:bCs/>
                <w:sz w:val="18"/>
                <w:szCs w:val="18"/>
              </w:rPr>
              <w:t>桥跨处</w:t>
            </w:r>
          </w:p>
        </w:tc>
      </w:tr>
      <w:tr w14:paraId="26CC2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vMerge w:val="restart"/>
            <w:tcBorders>
              <w:top w:val="single" w:color="auto" w:sz="4" w:space="0"/>
              <w:left w:val="single" w:color="auto" w:sz="4" w:space="0"/>
              <w:right w:val="single" w:color="auto" w:sz="4" w:space="0"/>
            </w:tcBorders>
            <w:vAlign w:val="center"/>
          </w:tcPr>
          <w:p w14:paraId="177F2926">
            <w:pPr>
              <w:widowControl/>
              <w:spacing w:beforeLines="0" w:afterLines="0" w:line="240" w:lineRule="auto"/>
              <w:jc w:val="center"/>
              <w:rPr>
                <w:rFonts w:hint="default" w:eastAsia="宋体" w:cs="宋体"/>
                <w:bCs/>
                <w:sz w:val="18"/>
                <w:szCs w:val="18"/>
                <w:lang w:val="en-US" w:eastAsia="zh-CN"/>
              </w:rPr>
            </w:pPr>
            <w:r>
              <w:rPr>
                <w:rFonts w:hint="eastAsia" w:cs="宋体"/>
                <w:bCs/>
                <w:sz w:val="18"/>
                <w:szCs w:val="18"/>
                <w:lang w:val="en-US" w:eastAsia="zh-CN"/>
              </w:rPr>
              <w:t>11</w:t>
            </w: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61F74A96">
            <w:pPr>
              <w:widowControl/>
              <w:spacing w:beforeLines="0" w:afterLines="0" w:line="240" w:lineRule="auto"/>
              <w:jc w:val="left"/>
              <w:rPr>
                <w:rFonts w:cs="宋体"/>
                <w:bCs/>
                <w:sz w:val="18"/>
                <w:szCs w:val="18"/>
              </w:rPr>
            </w:pPr>
          </w:p>
        </w:tc>
        <w:tc>
          <w:tcPr>
            <w:tcW w:w="1128" w:type="dxa"/>
            <w:vMerge w:val="restart"/>
            <w:tcBorders>
              <w:top w:val="single" w:color="auto" w:sz="4" w:space="0"/>
              <w:left w:val="single" w:color="auto" w:sz="4" w:space="0"/>
              <w:bottom w:val="single" w:color="auto" w:sz="4" w:space="0"/>
              <w:right w:val="single" w:color="auto" w:sz="4" w:space="0"/>
            </w:tcBorders>
            <w:vAlign w:val="center"/>
          </w:tcPr>
          <w:p w14:paraId="75A05AAA">
            <w:pPr>
              <w:pStyle w:val="146"/>
              <w:rPr>
                <w:rFonts w:cs="宋体"/>
                <w:bCs/>
                <w:sz w:val="18"/>
                <w:szCs w:val="18"/>
              </w:rPr>
            </w:pPr>
            <w:r>
              <w:rPr>
                <w:rFonts w:hint="eastAsia" w:cs="宋体"/>
                <w:bCs/>
                <w:sz w:val="18"/>
                <w:szCs w:val="18"/>
              </w:rPr>
              <w:t>车辆撞击</w:t>
            </w:r>
          </w:p>
        </w:tc>
        <w:tc>
          <w:tcPr>
            <w:tcW w:w="2022" w:type="dxa"/>
            <w:tcBorders>
              <w:top w:val="single" w:color="auto" w:sz="4" w:space="0"/>
              <w:left w:val="single" w:color="auto" w:sz="4" w:space="0"/>
              <w:bottom w:val="single" w:color="auto" w:sz="4" w:space="0"/>
              <w:right w:val="single" w:color="auto" w:sz="4" w:space="0"/>
            </w:tcBorders>
            <w:vAlign w:val="center"/>
          </w:tcPr>
          <w:p w14:paraId="5E9DF90A">
            <w:pPr>
              <w:pStyle w:val="146"/>
              <w:rPr>
                <w:rFonts w:cs="宋体"/>
                <w:bCs/>
                <w:sz w:val="18"/>
                <w:szCs w:val="18"/>
              </w:rPr>
            </w:pPr>
            <w:r>
              <w:rPr>
                <w:rFonts w:hint="eastAsia" w:cs="宋体"/>
                <w:bCs/>
                <w:sz w:val="18"/>
                <w:szCs w:val="18"/>
              </w:rPr>
              <w:t>桥墩加速度</w:t>
            </w:r>
          </w:p>
        </w:tc>
        <w:tc>
          <w:tcPr>
            <w:tcW w:w="1010" w:type="dxa"/>
            <w:tcBorders>
              <w:top w:val="single" w:color="auto" w:sz="4" w:space="0"/>
              <w:left w:val="single" w:color="auto" w:sz="4" w:space="0"/>
              <w:bottom w:val="single" w:color="auto" w:sz="4" w:space="0"/>
              <w:right w:val="single" w:color="auto" w:sz="4" w:space="0"/>
            </w:tcBorders>
            <w:vAlign w:val="center"/>
          </w:tcPr>
          <w:p w14:paraId="37A69DC0">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6D70E74F">
            <w:pPr>
              <w:pStyle w:val="146"/>
              <w:rPr>
                <w:rFonts w:cs="宋体"/>
                <w:bCs/>
                <w:sz w:val="18"/>
                <w:szCs w:val="18"/>
              </w:rPr>
            </w:pPr>
            <w:r>
              <w:rPr>
                <w:rFonts w:cs="宋体"/>
                <w:bCs/>
                <w:sz w:val="18"/>
                <w:szCs w:val="18"/>
              </w:rPr>
              <w:t>布设在有</w:t>
            </w:r>
            <w:r>
              <w:rPr>
                <w:rFonts w:hint="eastAsia" w:cs="宋体"/>
                <w:bCs/>
                <w:sz w:val="18"/>
                <w:szCs w:val="18"/>
              </w:rPr>
              <w:t>车</w:t>
            </w:r>
            <w:r>
              <w:rPr>
                <w:rFonts w:cs="宋体"/>
                <w:bCs/>
                <w:sz w:val="18"/>
                <w:szCs w:val="18"/>
              </w:rPr>
              <w:t>撞风险</w:t>
            </w:r>
            <w:r>
              <w:rPr>
                <w:rFonts w:hint="eastAsia" w:cs="宋体"/>
                <w:bCs/>
                <w:sz w:val="18"/>
                <w:szCs w:val="18"/>
              </w:rPr>
              <w:t>的桥墩处</w:t>
            </w:r>
          </w:p>
        </w:tc>
      </w:tr>
      <w:tr w14:paraId="2DE6F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vMerge w:val="continue"/>
            <w:tcBorders>
              <w:left w:val="single" w:color="auto" w:sz="4" w:space="0"/>
              <w:bottom w:val="single" w:color="auto" w:sz="4" w:space="0"/>
              <w:right w:val="single" w:color="auto" w:sz="4" w:space="0"/>
            </w:tcBorders>
            <w:vAlign w:val="center"/>
          </w:tcPr>
          <w:p w14:paraId="64525869">
            <w:pPr>
              <w:widowControl/>
              <w:spacing w:beforeLines="0" w:afterLines="0" w:line="240" w:lineRule="auto"/>
              <w:jc w:val="center"/>
              <w:rPr>
                <w:rFonts w:cs="宋体"/>
                <w:bCs/>
                <w:sz w:val="18"/>
                <w:szCs w:val="18"/>
              </w:rPr>
            </w:pP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0FD42EDA">
            <w:pPr>
              <w:widowControl/>
              <w:spacing w:beforeLines="0" w:afterLines="0" w:line="240" w:lineRule="auto"/>
              <w:jc w:val="left"/>
              <w:rPr>
                <w:rFonts w:cs="宋体"/>
                <w:bCs/>
                <w:sz w:val="18"/>
                <w:szCs w:val="18"/>
              </w:rPr>
            </w:pPr>
          </w:p>
        </w:tc>
        <w:tc>
          <w:tcPr>
            <w:tcW w:w="1128" w:type="dxa"/>
            <w:vMerge w:val="continue"/>
            <w:tcBorders>
              <w:top w:val="single" w:color="auto" w:sz="4" w:space="0"/>
              <w:left w:val="single" w:color="auto" w:sz="4" w:space="0"/>
              <w:bottom w:val="single" w:color="auto" w:sz="4" w:space="0"/>
              <w:right w:val="single" w:color="auto" w:sz="4" w:space="0"/>
            </w:tcBorders>
            <w:vAlign w:val="center"/>
          </w:tcPr>
          <w:p w14:paraId="22377751">
            <w:pPr>
              <w:widowControl/>
              <w:spacing w:beforeLines="0" w:afterLines="0" w:line="240" w:lineRule="auto"/>
              <w:jc w:val="left"/>
              <w:rPr>
                <w:rFonts w:cs="宋体"/>
                <w:bCs/>
                <w:sz w:val="18"/>
                <w:szCs w:val="18"/>
              </w:rPr>
            </w:pPr>
          </w:p>
        </w:tc>
        <w:tc>
          <w:tcPr>
            <w:tcW w:w="2022" w:type="dxa"/>
            <w:tcBorders>
              <w:top w:val="single" w:color="auto" w:sz="4" w:space="0"/>
              <w:left w:val="single" w:color="auto" w:sz="4" w:space="0"/>
              <w:bottom w:val="single" w:color="auto" w:sz="4" w:space="0"/>
              <w:right w:val="single" w:color="auto" w:sz="4" w:space="0"/>
            </w:tcBorders>
            <w:vAlign w:val="center"/>
          </w:tcPr>
          <w:p w14:paraId="50FBCA1C">
            <w:pPr>
              <w:pStyle w:val="146"/>
              <w:rPr>
                <w:rFonts w:hint="eastAsia" w:eastAsia="宋体" w:cs="宋体"/>
                <w:bCs/>
                <w:sz w:val="18"/>
                <w:szCs w:val="18"/>
                <w:lang w:eastAsia="zh-CN"/>
              </w:rPr>
            </w:pPr>
            <w:r>
              <w:rPr>
                <w:rFonts w:hint="eastAsia" w:cs="宋体"/>
                <w:bCs/>
                <w:sz w:val="18"/>
                <w:szCs w:val="18"/>
                <w:lang w:eastAsia="zh-CN"/>
              </w:rPr>
              <w:t>视频监控</w:t>
            </w:r>
          </w:p>
        </w:tc>
        <w:tc>
          <w:tcPr>
            <w:tcW w:w="1010" w:type="dxa"/>
            <w:tcBorders>
              <w:top w:val="single" w:color="auto" w:sz="4" w:space="0"/>
              <w:left w:val="single" w:color="auto" w:sz="4" w:space="0"/>
              <w:bottom w:val="single" w:color="auto" w:sz="4" w:space="0"/>
              <w:right w:val="single" w:color="auto" w:sz="4" w:space="0"/>
            </w:tcBorders>
            <w:vAlign w:val="center"/>
          </w:tcPr>
          <w:p w14:paraId="4530084D">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29C057C2">
            <w:pPr>
              <w:pStyle w:val="146"/>
              <w:rPr>
                <w:rFonts w:cs="宋体"/>
                <w:bCs/>
                <w:sz w:val="18"/>
                <w:szCs w:val="18"/>
              </w:rPr>
            </w:pPr>
            <w:r>
              <w:rPr>
                <w:rFonts w:cs="宋体"/>
                <w:bCs/>
                <w:sz w:val="18"/>
                <w:szCs w:val="18"/>
              </w:rPr>
              <w:t>布设在有船撞风险</w:t>
            </w:r>
            <w:r>
              <w:rPr>
                <w:rFonts w:hint="eastAsia" w:cs="宋体"/>
                <w:bCs/>
                <w:sz w:val="18"/>
                <w:szCs w:val="18"/>
              </w:rPr>
              <w:t>桥跨处</w:t>
            </w:r>
          </w:p>
        </w:tc>
      </w:tr>
      <w:tr w14:paraId="7CE4F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vMerge w:val="restart"/>
            <w:tcBorders>
              <w:top w:val="single" w:color="auto" w:sz="4" w:space="0"/>
              <w:left w:val="single" w:color="auto" w:sz="4" w:space="0"/>
              <w:right w:val="single" w:color="auto" w:sz="4" w:space="0"/>
            </w:tcBorders>
            <w:vAlign w:val="center"/>
          </w:tcPr>
          <w:p w14:paraId="1A905FB7">
            <w:pPr>
              <w:widowControl/>
              <w:spacing w:beforeLines="0" w:afterLines="0" w:line="240" w:lineRule="auto"/>
              <w:jc w:val="center"/>
              <w:rPr>
                <w:rFonts w:hint="default" w:eastAsia="宋体" w:cs="宋体"/>
                <w:bCs/>
                <w:sz w:val="18"/>
                <w:szCs w:val="18"/>
                <w:lang w:val="en-US" w:eastAsia="zh-CN"/>
              </w:rPr>
            </w:pPr>
            <w:r>
              <w:rPr>
                <w:rFonts w:hint="eastAsia" w:cs="宋体"/>
                <w:bCs/>
                <w:sz w:val="18"/>
                <w:szCs w:val="18"/>
                <w:lang w:val="en-US" w:eastAsia="zh-CN"/>
              </w:rPr>
              <w:t>12</w:t>
            </w: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4D428BCA">
            <w:pPr>
              <w:widowControl/>
              <w:spacing w:beforeLines="0" w:afterLines="0" w:line="240" w:lineRule="auto"/>
              <w:jc w:val="left"/>
              <w:rPr>
                <w:rFonts w:cs="宋体"/>
                <w:bCs/>
                <w:sz w:val="18"/>
                <w:szCs w:val="18"/>
              </w:rPr>
            </w:pPr>
          </w:p>
        </w:tc>
        <w:tc>
          <w:tcPr>
            <w:tcW w:w="1128" w:type="dxa"/>
            <w:vMerge w:val="restart"/>
            <w:tcBorders>
              <w:top w:val="single" w:color="auto" w:sz="4" w:space="0"/>
              <w:left w:val="single" w:color="auto" w:sz="4" w:space="0"/>
              <w:bottom w:val="single" w:color="auto" w:sz="4" w:space="0"/>
              <w:right w:val="single" w:color="auto" w:sz="4" w:space="0"/>
            </w:tcBorders>
            <w:vAlign w:val="center"/>
          </w:tcPr>
          <w:p w14:paraId="59990E56">
            <w:pPr>
              <w:pStyle w:val="146"/>
              <w:rPr>
                <w:rFonts w:cs="宋体"/>
                <w:bCs/>
                <w:sz w:val="18"/>
                <w:szCs w:val="18"/>
              </w:rPr>
            </w:pPr>
            <w:r>
              <w:rPr>
                <w:rFonts w:hint="eastAsia" w:cs="宋体"/>
                <w:bCs/>
                <w:sz w:val="18"/>
                <w:szCs w:val="18"/>
              </w:rPr>
              <w:t>地震</w:t>
            </w:r>
          </w:p>
        </w:tc>
        <w:tc>
          <w:tcPr>
            <w:tcW w:w="2022" w:type="dxa"/>
            <w:tcBorders>
              <w:top w:val="single" w:color="auto" w:sz="4" w:space="0"/>
              <w:left w:val="single" w:color="auto" w:sz="4" w:space="0"/>
              <w:bottom w:val="single" w:color="auto" w:sz="4" w:space="0"/>
              <w:right w:val="single" w:color="auto" w:sz="4" w:space="0"/>
            </w:tcBorders>
            <w:vAlign w:val="center"/>
          </w:tcPr>
          <w:p w14:paraId="5AD7FD52">
            <w:pPr>
              <w:pStyle w:val="146"/>
              <w:rPr>
                <w:rFonts w:cs="宋体"/>
                <w:bCs/>
                <w:sz w:val="18"/>
                <w:szCs w:val="18"/>
              </w:rPr>
            </w:pPr>
            <w:r>
              <w:rPr>
                <w:rFonts w:hint="eastAsia" w:cs="宋体"/>
                <w:bCs/>
                <w:sz w:val="18"/>
                <w:szCs w:val="18"/>
              </w:rPr>
              <w:t>桥岸地表场地加速度</w:t>
            </w:r>
          </w:p>
        </w:tc>
        <w:tc>
          <w:tcPr>
            <w:tcW w:w="1010" w:type="dxa"/>
            <w:tcBorders>
              <w:top w:val="single" w:color="auto" w:sz="4" w:space="0"/>
              <w:left w:val="single" w:color="auto" w:sz="4" w:space="0"/>
              <w:bottom w:val="single" w:color="auto" w:sz="4" w:space="0"/>
              <w:right w:val="single" w:color="auto" w:sz="4" w:space="0"/>
            </w:tcBorders>
            <w:vAlign w:val="center"/>
          </w:tcPr>
          <w:p w14:paraId="0C52F5B3">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3863D025">
            <w:pPr>
              <w:pStyle w:val="146"/>
              <w:rPr>
                <w:rFonts w:cs="宋体"/>
                <w:bCs/>
                <w:sz w:val="18"/>
                <w:szCs w:val="18"/>
              </w:rPr>
            </w:pPr>
            <w:r>
              <w:rPr>
                <w:rFonts w:hint="eastAsia" w:cs="宋体"/>
                <w:bCs/>
                <w:sz w:val="18"/>
                <w:szCs w:val="18"/>
              </w:rPr>
              <w:t>桥岸地表</w:t>
            </w:r>
          </w:p>
        </w:tc>
      </w:tr>
      <w:tr w14:paraId="4AD8F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vMerge w:val="continue"/>
            <w:tcBorders>
              <w:left w:val="single" w:color="auto" w:sz="4" w:space="0"/>
              <w:bottom w:val="single" w:color="auto" w:sz="4" w:space="0"/>
              <w:right w:val="single" w:color="auto" w:sz="4" w:space="0"/>
            </w:tcBorders>
            <w:vAlign w:val="center"/>
          </w:tcPr>
          <w:p w14:paraId="35BF1D08">
            <w:pPr>
              <w:widowControl/>
              <w:spacing w:beforeLines="0" w:afterLines="0" w:line="240" w:lineRule="auto"/>
              <w:jc w:val="left"/>
              <w:rPr>
                <w:rFonts w:cs="宋体"/>
                <w:bCs/>
                <w:sz w:val="18"/>
                <w:szCs w:val="18"/>
              </w:rPr>
            </w:pP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47E62C06">
            <w:pPr>
              <w:widowControl/>
              <w:spacing w:beforeLines="0" w:afterLines="0" w:line="240" w:lineRule="auto"/>
              <w:jc w:val="left"/>
              <w:rPr>
                <w:rFonts w:cs="宋体"/>
                <w:bCs/>
                <w:sz w:val="18"/>
                <w:szCs w:val="18"/>
              </w:rPr>
            </w:pPr>
          </w:p>
        </w:tc>
        <w:tc>
          <w:tcPr>
            <w:tcW w:w="1128" w:type="dxa"/>
            <w:vMerge w:val="continue"/>
            <w:tcBorders>
              <w:top w:val="single" w:color="auto" w:sz="4" w:space="0"/>
              <w:left w:val="single" w:color="auto" w:sz="4" w:space="0"/>
              <w:bottom w:val="single" w:color="auto" w:sz="4" w:space="0"/>
              <w:right w:val="single" w:color="auto" w:sz="4" w:space="0"/>
            </w:tcBorders>
            <w:vAlign w:val="center"/>
          </w:tcPr>
          <w:p w14:paraId="2915C57C">
            <w:pPr>
              <w:widowControl/>
              <w:spacing w:beforeLines="0" w:afterLines="0" w:line="240" w:lineRule="auto"/>
              <w:jc w:val="left"/>
              <w:rPr>
                <w:rFonts w:cs="宋体"/>
                <w:bCs/>
                <w:sz w:val="18"/>
                <w:szCs w:val="18"/>
              </w:rPr>
            </w:pPr>
          </w:p>
        </w:tc>
        <w:tc>
          <w:tcPr>
            <w:tcW w:w="2022" w:type="dxa"/>
            <w:tcBorders>
              <w:top w:val="single" w:color="auto" w:sz="4" w:space="0"/>
              <w:left w:val="single" w:color="auto" w:sz="4" w:space="0"/>
              <w:bottom w:val="single" w:color="auto" w:sz="4" w:space="0"/>
              <w:right w:val="single" w:color="auto" w:sz="4" w:space="0"/>
            </w:tcBorders>
            <w:vAlign w:val="center"/>
          </w:tcPr>
          <w:p w14:paraId="093623C1">
            <w:pPr>
              <w:pStyle w:val="146"/>
              <w:rPr>
                <w:rFonts w:cs="宋体"/>
                <w:bCs/>
                <w:sz w:val="18"/>
                <w:szCs w:val="18"/>
              </w:rPr>
            </w:pPr>
            <w:r>
              <w:rPr>
                <w:rFonts w:hint="eastAsia" w:cs="宋体"/>
                <w:bCs/>
                <w:sz w:val="18"/>
                <w:szCs w:val="18"/>
              </w:rPr>
              <w:t>承台顶或桥墩底部加速度</w:t>
            </w:r>
          </w:p>
        </w:tc>
        <w:tc>
          <w:tcPr>
            <w:tcW w:w="1010" w:type="dxa"/>
            <w:tcBorders>
              <w:top w:val="single" w:color="auto" w:sz="4" w:space="0"/>
              <w:left w:val="single" w:color="auto" w:sz="4" w:space="0"/>
              <w:bottom w:val="single" w:color="auto" w:sz="4" w:space="0"/>
              <w:right w:val="single" w:color="auto" w:sz="4" w:space="0"/>
            </w:tcBorders>
            <w:vAlign w:val="center"/>
          </w:tcPr>
          <w:p w14:paraId="17A1B506">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7E097449">
            <w:pPr>
              <w:pStyle w:val="146"/>
              <w:rPr>
                <w:rFonts w:cs="宋体"/>
                <w:bCs/>
                <w:sz w:val="18"/>
                <w:szCs w:val="18"/>
              </w:rPr>
            </w:pPr>
            <w:r>
              <w:rPr>
                <w:rFonts w:hint="eastAsia" w:cs="宋体"/>
                <w:bCs/>
                <w:sz w:val="18"/>
                <w:szCs w:val="18"/>
              </w:rPr>
              <w:t>承台顶或桥墩底部</w:t>
            </w:r>
          </w:p>
        </w:tc>
      </w:tr>
      <w:tr w14:paraId="4714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vMerge w:val="restart"/>
            <w:tcBorders>
              <w:top w:val="single" w:color="auto" w:sz="4" w:space="0"/>
              <w:left w:val="single" w:color="auto" w:sz="4" w:space="0"/>
              <w:right w:val="single" w:color="auto" w:sz="4" w:space="0"/>
            </w:tcBorders>
            <w:vAlign w:val="center"/>
          </w:tcPr>
          <w:p w14:paraId="1BBC462B">
            <w:pPr>
              <w:pStyle w:val="146"/>
              <w:rPr>
                <w:rFonts w:hint="default" w:eastAsia="宋体" w:cs="宋体"/>
                <w:bCs/>
                <w:sz w:val="18"/>
                <w:szCs w:val="18"/>
                <w:lang w:val="en-US" w:eastAsia="zh-CN"/>
              </w:rPr>
            </w:pPr>
            <w:r>
              <w:rPr>
                <w:rFonts w:hint="eastAsia" w:cs="宋体"/>
                <w:bCs/>
                <w:sz w:val="18"/>
                <w:szCs w:val="18"/>
                <w:lang w:val="en-US" w:eastAsia="zh-CN"/>
              </w:rPr>
              <w:t>13</w:t>
            </w:r>
          </w:p>
        </w:tc>
        <w:tc>
          <w:tcPr>
            <w:tcW w:w="655" w:type="dxa"/>
            <w:vMerge w:val="restart"/>
            <w:tcBorders>
              <w:top w:val="single" w:color="auto" w:sz="4" w:space="0"/>
              <w:left w:val="single" w:color="auto" w:sz="4" w:space="0"/>
              <w:bottom w:val="single" w:color="auto" w:sz="4" w:space="0"/>
              <w:right w:val="single" w:color="auto" w:sz="4" w:space="0"/>
            </w:tcBorders>
            <w:vAlign w:val="center"/>
          </w:tcPr>
          <w:p w14:paraId="0CA17DBD">
            <w:pPr>
              <w:pStyle w:val="146"/>
              <w:rPr>
                <w:rFonts w:hint="eastAsia" w:cs="宋体"/>
                <w:bCs/>
                <w:sz w:val="18"/>
                <w:szCs w:val="18"/>
              </w:rPr>
            </w:pPr>
            <w:r>
              <w:rPr>
                <w:rFonts w:hint="eastAsia" w:cs="宋体"/>
                <w:bCs/>
                <w:sz w:val="18"/>
                <w:szCs w:val="18"/>
              </w:rPr>
              <w:t>结构响应</w:t>
            </w:r>
          </w:p>
        </w:tc>
        <w:tc>
          <w:tcPr>
            <w:tcW w:w="1128" w:type="dxa"/>
            <w:vMerge w:val="restart"/>
            <w:tcBorders>
              <w:top w:val="single" w:color="auto" w:sz="4" w:space="0"/>
              <w:left w:val="single" w:color="auto" w:sz="4" w:space="0"/>
              <w:bottom w:val="single" w:color="auto" w:sz="4" w:space="0"/>
              <w:right w:val="single" w:color="auto" w:sz="4" w:space="0"/>
            </w:tcBorders>
            <w:vAlign w:val="center"/>
          </w:tcPr>
          <w:p w14:paraId="53B00A0E">
            <w:pPr>
              <w:pStyle w:val="146"/>
              <w:rPr>
                <w:rFonts w:cs="宋体"/>
                <w:bCs/>
                <w:sz w:val="18"/>
                <w:szCs w:val="18"/>
              </w:rPr>
            </w:pPr>
            <w:r>
              <w:rPr>
                <w:rFonts w:hint="eastAsia" w:cs="宋体"/>
                <w:bCs/>
                <w:sz w:val="18"/>
                <w:szCs w:val="18"/>
              </w:rPr>
              <w:t>位移</w:t>
            </w:r>
          </w:p>
        </w:tc>
        <w:tc>
          <w:tcPr>
            <w:tcW w:w="2022" w:type="dxa"/>
            <w:tcBorders>
              <w:top w:val="single" w:color="auto" w:sz="4" w:space="0"/>
              <w:left w:val="single" w:color="auto" w:sz="4" w:space="0"/>
              <w:bottom w:val="single" w:color="auto" w:sz="4" w:space="0"/>
              <w:right w:val="single" w:color="auto" w:sz="4" w:space="0"/>
            </w:tcBorders>
            <w:vAlign w:val="center"/>
          </w:tcPr>
          <w:p w14:paraId="7A50B36E">
            <w:pPr>
              <w:pStyle w:val="146"/>
              <w:rPr>
                <w:rFonts w:cs="宋体"/>
                <w:bCs/>
                <w:sz w:val="18"/>
                <w:szCs w:val="18"/>
              </w:rPr>
            </w:pPr>
            <w:r>
              <w:rPr>
                <w:rFonts w:hint="eastAsia" w:cs="宋体"/>
                <w:bCs/>
                <w:sz w:val="18"/>
                <w:szCs w:val="18"/>
              </w:rPr>
              <w:t>主梁竖向位移</w:t>
            </w:r>
          </w:p>
        </w:tc>
        <w:tc>
          <w:tcPr>
            <w:tcW w:w="1010" w:type="dxa"/>
            <w:tcBorders>
              <w:top w:val="single" w:color="auto" w:sz="4" w:space="0"/>
              <w:left w:val="single" w:color="auto" w:sz="4" w:space="0"/>
              <w:bottom w:val="single" w:color="auto" w:sz="4" w:space="0"/>
              <w:right w:val="single" w:color="auto" w:sz="4" w:space="0"/>
            </w:tcBorders>
            <w:vAlign w:val="center"/>
          </w:tcPr>
          <w:p w14:paraId="2BBDD3D4">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277725DD">
            <w:pPr>
              <w:pStyle w:val="146"/>
              <w:rPr>
                <w:rFonts w:cs="宋体"/>
                <w:bCs/>
                <w:sz w:val="18"/>
                <w:szCs w:val="18"/>
              </w:rPr>
            </w:pPr>
            <w:r>
              <w:rPr>
                <w:rFonts w:hint="eastAsia" w:cs="宋体"/>
                <w:bCs/>
                <w:sz w:val="18"/>
                <w:szCs w:val="18"/>
              </w:rPr>
              <w:t>跨中截面，宜布置于车道下方，</w:t>
            </w:r>
            <w:r>
              <w:rPr>
                <w:rFonts w:hint="eastAsia" w:cs="宋体"/>
                <w:bCs/>
                <w:sz w:val="18"/>
                <w:szCs w:val="18"/>
                <w:lang w:eastAsia="zh-CN"/>
              </w:rPr>
              <w:t>不低于</w:t>
            </w:r>
            <w:r>
              <w:rPr>
                <w:rFonts w:hint="eastAsia" w:cs="宋体"/>
                <w:bCs/>
                <w:sz w:val="18"/>
                <w:szCs w:val="18"/>
              </w:rPr>
              <w:t>2处</w:t>
            </w:r>
          </w:p>
        </w:tc>
      </w:tr>
      <w:tr w14:paraId="7F983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vMerge w:val="continue"/>
            <w:tcBorders>
              <w:left w:val="single" w:color="auto" w:sz="4" w:space="0"/>
              <w:right w:val="single" w:color="auto" w:sz="4" w:space="0"/>
            </w:tcBorders>
            <w:vAlign w:val="center"/>
          </w:tcPr>
          <w:p w14:paraId="27288474">
            <w:pPr>
              <w:widowControl/>
              <w:spacing w:beforeLines="0" w:afterLines="0" w:line="240" w:lineRule="auto"/>
              <w:jc w:val="left"/>
              <w:rPr>
                <w:rFonts w:cs="宋体"/>
                <w:bCs/>
                <w:sz w:val="18"/>
                <w:szCs w:val="18"/>
              </w:rPr>
            </w:pP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3D5FAD8C">
            <w:pPr>
              <w:widowControl/>
              <w:spacing w:beforeLines="0" w:afterLines="0" w:line="240" w:lineRule="auto"/>
              <w:jc w:val="left"/>
              <w:rPr>
                <w:rFonts w:cs="宋体"/>
                <w:bCs/>
                <w:sz w:val="18"/>
                <w:szCs w:val="18"/>
              </w:rPr>
            </w:pPr>
          </w:p>
        </w:tc>
        <w:tc>
          <w:tcPr>
            <w:tcW w:w="1128" w:type="dxa"/>
            <w:vMerge w:val="continue"/>
            <w:tcBorders>
              <w:top w:val="single" w:color="auto" w:sz="4" w:space="0"/>
              <w:left w:val="single" w:color="auto" w:sz="4" w:space="0"/>
              <w:bottom w:val="single" w:color="auto" w:sz="4" w:space="0"/>
              <w:right w:val="single" w:color="auto" w:sz="4" w:space="0"/>
            </w:tcBorders>
            <w:vAlign w:val="center"/>
          </w:tcPr>
          <w:p w14:paraId="38F03D28">
            <w:pPr>
              <w:widowControl/>
              <w:spacing w:beforeLines="0" w:afterLines="0" w:line="240" w:lineRule="auto"/>
              <w:jc w:val="left"/>
              <w:rPr>
                <w:rFonts w:cs="宋体"/>
                <w:bCs/>
                <w:sz w:val="18"/>
                <w:szCs w:val="18"/>
              </w:rPr>
            </w:pPr>
          </w:p>
        </w:tc>
        <w:tc>
          <w:tcPr>
            <w:tcW w:w="2022" w:type="dxa"/>
            <w:tcBorders>
              <w:top w:val="single" w:color="auto" w:sz="4" w:space="0"/>
              <w:left w:val="single" w:color="auto" w:sz="4" w:space="0"/>
              <w:bottom w:val="single" w:color="auto" w:sz="4" w:space="0"/>
              <w:right w:val="single" w:color="auto" w:sz="4" w:space="0"/>
            </w:tcBorders>
            <w:vAlign w:val="center"/>
          </w:tcPr>
          <w:p w14:paraId="3C54D2C8">
            <w:pPr>
              <w:pStyle w:val="146"/>
              <w:rPr>
                <w:rFonts w:cs="宋体"/>
                <w:bCs/>
                <w:sz w:val="18"/>
                <w:szCs w:val="18"/>
              </w:rPr>
            </w:pPr>
            <w:r>
              <w:rPr>
                <w:rFonts w:hint="eastAsia" w:cs="宋体"/>
                <w:bCs/>
                <w:sz w:val="18"/>
                <w:szCs w:val="18"/>
              </w:rPr>
              <w:t>主梁横向位移</w:t>
            </w:r>
          </w:p>
        </w:tc>
        <w:tc>
          <w:tcPr>
            <w:tcW w:w="1010" w:type="dxa"/>
            <w:tcBorders>
              <w:top w:val="single" w:color="auto" w:sz="4" w:space="0"/>
              <w:left w:val="single" w:color="auto" w:sz="4" w:space="0"/>
              <w:bottom w:val="single" w:color="auto" w:sz="4" w:space="0"/>
              <w:right w:val="single" w:color="auto" w:sz="4" w:space="0"/>
            </w:tcBorders>
            <w:vAlign w:val="center"/>
          </w:tcPr>
          <w:p w14:paraId="307CC0E4">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044B7ACF">
            <w:pPr>
              <w:pStyle w:val="146"/>
              <w:rPr>
                <w:rFonts w:cs="宋体"/>
                <w:bCs/>
                <w:sz w:val="18"/>
                <w:szCs w:val="18"/>
              </w:rPr>
            </w:pPr>
            <w:r>
              <w:rPr>
                <w:rFonts w:hint="eastAsia" w:cs="宋体"/>
                <w:bCs/>
                <w:sz w:val="18"/>
                <w:szCs w:val="18"/>
              </w:rPr>
              <w:t>梁端截面</w:t>
            </w:r>
          </w:p>
        </w:tc>
      </w:tr>
      <w:tr w14:paraId="2D733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vMerge w:val="continue"/>
            <w:tcBorders>
              <w:left w:val="single" w:color="auto" w:sz="4" w:space="0"/>
              <w:right w:val="single" w:color="auto" w:sz="4" w:space="0"/>
            </w:tcBorders>
            <w:vAlign w:val="center"/>
          </w:tcPr>
          <w:p w14:paraId="46F5A57A">
            <w:pPr>
              <w:widowControl/>
              <w:spacing w:beforeLines="0" w:afterLines="0" w:line="240" w:lineRule="auto"/>
              <w:jc w:val="left"/>
              <w:rPr>
                <w:rFonts w:cs="宋体"/>
                <w:bCs/>
                <w:sz w:val="18"/>
                <w:szCs w:val="18"/>
              </w:rPr>
            </w:pP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6B22C684">
            <w:pPr>
              <w:widowControl/>
              <w:spacing w:beforeLines="0" w:afterLines="0" w:line="240" w:lineRule="auto"/>
              <w:jc w:val="left"/>
              <w:rPr>
                <w:rFonts w:cs="宋体"/>
                <w:bCs/>
                <w:sz w:val="18"/>
                <w:szCs w:val="18"/>
              </w:rPr>
            </w:pPr>
          </w:p>
        </w:tc>
        <w:tc>
          <w:tcPr>
            <w:tcW w:w="1128" w:type="dxa"/>
            <w:vMerge w:val="continue"/>
            <w:tcBorders>
              <w:top w:val="single" w:color="auto" w:sz="4" w:space="0"/>
              <w:left w:val="single" w:color="auto" w:sz="4" w:space="0"/>
              <w:bottom w:val="single" w:color="auto" w:sz="4" w:space="0"/>
              <w:right w:val="single" w:color="auto" w:sz="4" w:space="0"/>
            </w:tcBorders>
            <w:vAlign w:val="center"/>
          </w:tcPr>
          <w:p w14:paraId="4C2BB32A">
            <w:pPr>
              <w:widowControl/>
              <w:spacing w:beforeLines="0" w:afterLines="0" w:line="240" w:lineRule="auto"/>
              <w:jc w:val="left"/>
              <w:rPr>
                <w:rFonts w:cs="宋体"/>
                <w:bCs/>
                <w:sz w:val="18"/>
                <w:szCs w:val="18"/>
              </w:rPr>
            </w:pPr>
          </w:p>
        </w:tc>
        <w:tc>
          <w:tcPr>
            <w:tcW w:w="2022" w:type="dxa"/>
            <w:tcBorders>
              <w:top w:val="single" w:color="auto" w:sz="4" w:space="0"/>
              <w:left w:val="single" w:color="auto" w:sz="4" w:space="0"/>
              <w:bottom w:val="single" w:color="auto" w:sz="4" w:space="0"/>
              <w:right w:val="single" w:color="auto" w:sz="4" w:space="0"/>
            </w:tcBorders>
            <w:vAlign w:val="center"/>
          </w:tcPr>
          <w:p w14:paraId="3AD2C386">
            <w:pPr>
              <w:pStyle w:val="146"/>
              <w:rPr>
                <w:rFonts w:cs="宋体"/>
                <w:bCs/>
                <w:sz w:val="18"/>
                <w:szCs w:val="18"/>
              </w:rPr>
            </w:pPr>
            <w:r>
              <w:rPr>
                <w:rFonts w:hint="eastAsia" w:cs="宋体"/>
                <w:bCs/>
                <w:sz w:val="18"/>
                <w:szCs w:val="18"/>
              </w:rPr>
              <w:t>支座位移</w:t>
            </w:r>
          </w:p>
        </w:tc>
        <w:tc>
          <w:tcPr>
            <w:tcW w:w="1010" w:type="dxa"/>
            <w:tcBorders>
              <w:top w:val="single" w:color="auto" w:sz="4" w:space="0"/>
              <w:left w:val="single" w:color="auto" w:sz="4" w:space="0"/>
              <w:bottom w:val="single" w:color="auto" w:sz="4" w:space="0"/>
              <w:right w:val="single" w:color="auto" w:sz="4" w:space="0"/>
            </w:tcBorders>
            <w:vAlign w:val="center"/>
          </w:tcPr>
          <w:p w14:paraId="6C312CE5">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6C418AE1">
            <w:pPr>
              <w:pStyle w:val="146"/>
              <w:rPr>
                <w:rFonts w:cs="宋体"/>
                <w:bCs/>
                <w:sz w:val="18"/>
                <w:szCs w:val="18"/>
              </w:rPr>
            </w:pPr>
            <w:r>
              <w:rPr>
                <w:rFonts w:cs="宋体"/>
                <w:bCs/>
                <w:sz w:val="18"/>
                <w:szCs w:val="18"/>
              </w:rPr>
              <w:t>-</w:t>
            </w:r>
          </w:p>
        </w:tc>
      </w:tr>
      <w:tr w14:paraId="107B3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vMerge w:val="continue"/>
            <w:tcBorders>
              <w:left w:val="single" w:color="auto" w:sz="4" w:space="0"/>
              <w:right w:val="single" w:color="auto" w:sz="4" w:space="0"/>
            </w:tcBorders>
            <w:vAlign w:val="center"/>
          </w:tcPr>
          <w:p w14:paraId="6C8C4D0A">
            <w:pPr>
              <w:widowControl/>
              <w:spacing w:beforeLines="0" w:afterLines="0" w:line="240" w:lineRule="auto"/>
              <w:jc w:val="left"/>
              <w:rPr>
                <w:rFonts w:cs="宋体"/>
                <w:bCs/>
                <w:sz w:val="18"/>
                <w:szCs w:val="18"/>
              </w:rPr>
            </w:pP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737D7809">
            <w:pPr>
              <w:widowControl/>
              <w:spacing w:beforeLines="0" w:afterLines="0" w:line="240" w:lineRule="auto"/>
              <w:jc w:val="left"/>
              <w:rPr>
                <w:rFonts w:cs="宋体"/>
                <w:bCs/>
                <w:sz w:val="18"/>
                <w:szCs w:val="18"/>
              </w:rPr>
            </w:pPr>
          </w:p>
        </w:tc>
        <w:tc>
          <w:tcPr>
            <w:tcW w:w="1128" w:type="dxa"/>
            <w:vMerge w:val="continue"/>
            <w:tcBorders>
              <w:top w:val="single" w:color="auto" w:sz="4" w:space="0"/>
              <w:left w:val="single" w:color="auto" w:sz="4" w:space="0"/>
              <w:bottom w:val="single" w:color="auto" w:sz="4" w:space="0"/>
              <w:right w:val="single" w:color="auto" w:sz="4" w:space="0"/>
            </w:tcBorders>
            <w:vAlign w:val="center"/>
          </w:tcPr>
          <w:p w14:paraId="03047D3F">
            <w:pPr>
              <w:widowControl/>
              <w:spacing w:beforeLines="0" w:afterLines="0" w:line="240" w:lineRule="auto"/>
              <w:jc w:val="left"/>
              <w:rPr>
                <w:rFonts w:cs="宋体"/>
                <w:bCs/>
                <w:sz w:val="18"/>
                <w:szCs w:val="18"/>
              </w:rPr>
            </w:pPr>
          </w:p>
        </w:tc>
        <w:tc>
          <w:tcPr>
            <w:tcW w:w="2022" w:type="dxa"/>
            <w:tcBorders>
              <w:top w:val="single" w:color="auto" w:sz="4" w:space="0"/>
              <w:left w:val="single" w:color="auto" w:sz="4" w:space="0"/>
              <w:bottom w:val="single" w:color="auto" w:sz="4" w:space="0"/>
              <w:right w:val="single" w:color="auto" w:sz="4" w:space="0"/>
            </w:tcBorders>
            <w:vAlign w:val="center"/>
          </w:tcPr>
          <w:p w14:paraId="45EFB39F">
            <w:pPr>
              <w:pStyle w:val="146"/>
              <w:rPr>
                <w:rFonts w:cs="宋体"/>
                <w:bCs/>
                <w:sz w:val="18"/>
                <w:szCs w:val="18"/>
              </w:rPr>
            </w:pPr>
            <w:r>
              <w:rPr>
                <w:rFonts w:hint="eastAsia" w:cs="宋体"/>
                <w:bCs/>
                <w:sz w:val="18"/>
                <w:szCs w:val="18"/>
              </w:rPr>
              <w:t>梁端纵向位移</w:t>
            </w:r>
          </w:p>
        </w:tc>
        <w:tc>
          <w:tcPr>
            <w:tcW w:w="1010" w:type="dxa"/>
            <w:tcBorders>
              <w:top w:val="single" w:color="auto" w:sz="4" w:space="0"/>
              <w:left w:val="single" w:color="auto" w:sz="4" w:space="0"/>
              <w:bottom w:val="single" w:color="auto" w:sz="4" w:space="0"/>
              <w:right w:val="single" w:color="auto" w:sz="4" w:space="0"/>
            </w:tcBorders>
            <w:vAlign w:val="center"/>
          </w:tcPr>
          <w:p w14:paraId="18608B51">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194F934D">
            <w:pPr>
              <w:pStyle w:val="146"/>
              <w:rPr>
                <w:rFonts w:cs="宋体"/>
                <w:bCs/>
                <w:sz w:val="18"/>
                <w:szCs w:val="18"/>
              </w:rPr>
            </w:pPr>
            <w:r>
              <w:rPr>
                <w:rFonts w:hint="eastAsia" w:cs="宋体"/>
                <w:bCs/>
                <w:sz w:val="18"/>
                <w:szCs w:val="18"/>
              </w:rPr>
              <w:t>主梁梁端</w:t>
            </w:r>
          </w:p>
        </w:tc>
      </w:tr>
      <w:tr w14:paraId="7207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vMerge w:val="continue"/>
            <w:tcBorders>
              <w:left w:val="single" w:color="auto" w:sz="4" w:space="0"/>
              <w:right w:val="single" w:color="auto" w:sz="4" w:space="0"/>
            </w:tcBorders>
            <w:vAlign w:val="center"/>
          </w:tcPr>
          <w:p w14:paraId="60F6F7FD">
            <w:pPr>
              <w:widowControl/>
              <w:spacing w:beforeLines="0" w:afterLines="0" w:line="240" w:lineRule="auto"/>
              <w:jc w:val="left"/>
              <w:rPr>
                <w:rFonts w:cs="宋体"/>
                <w:bCs/>
                <w:sz w:val="18"/>
                <w:szCs w:val="18"/>
              </w:rPr>
            </w:pP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57A36C23">
            <w:pPr>
              <w:widowControl/>
              <w:spacing w:beforeLines="0" w:afterLines="0" w:line="240" w:lineRule="auto"/>
              <w:jc w:val="left"/>
              <w:rPr>
                <w:rFonts w:cs="宋体"/>
                <w:bCs/>
                <w:sz w:val="18"/>
                <w:szCs w:val="18"/>
              </w:rPr>
            </w:pPr>
          </w:p>
        </w:tc>
        <w:tc>
          <w:tcPr>
            <w:tcW w:w="1128" w:type="dxa"/>
            <w:vMerge w:val="continue"/>
            <w:tcBorders>
              <w:top w:val="single" w:color="auto" w:sz="4" w:space="0"/>
              <w:left w:val="single" w:color="auto" w:sz="4" w:space="0"/>
              <w:bottom w:val="single" w:color="auto" w:sz="4" w:space="0"/>
              <w:right w:val="single" w:color="auto" w:sz="4" w:space="0"/>
            </w:tcBorders>
            <w:vAlign w:val="center"/>
          </w:tcPr>
          <w:p w14:paraId="3A0F1060">
            <w:pPr>
              <w:widowControl/>
              <w:spacing w:beforeLines="0" w:afterLines="0" w:line="240" w:lineRule="auto"/>
              <w:jc w:val="left"/>
              <w:rPr>
                <w:rFonts w:cs="宋体"/>
                <w:bCs/>
                <w:sz w:val="18"/>
                <w:szCs w:val="18"/>
              </w:rPr>
            </w:pPr>
          </w:p>
        </w:tc>
        <w:tc>
          <w:tcPr>
            <w:tcW w:w="2022" w:type="dxa"/>
            <w:tcBorders>
              <w:top w:val="single" w:color="auto" w:sz="4" w:space="0"/>
              <w:left w:val="single" w:color="auto" w:sz="4" w:space="0"/>
              <w:bottom w:val="single" w:color="auto" w:sz="4" w:space="0"/>
              <w:right w:val="single" w:color="auto" w:sz="4" w:space="0"/>
            </w:tcBorders>
            <w:vAlign w:val="center"/>
          </w:tcPr>
          <w:p w14:paraId="50125127">
            <w:pPr>
              <w:pStyle w:val="146"/>
              <w:rPr>
                <w:rFonts w:cs="宋体"/>
                <w:bCs/>
                <w:sz w:val="18"/>
                <w:szCs w:val="18"/>
              </w:rPr>
            </w:pPr>
            <w:r>
              <w:rPr>
                <w:rFonts w:hint="eastAsia" w:cs="宋体"/>
                <w:bCs/>
                <w:sz w:val="18"/>
                <w:szCs w:val="18"/>
              </w:rPr>
              <w:t>墩顶倾斜</w:t>
            </w:r>
          </w:p>
        </w:tc>
        <w:tc>
          <w:tcPr>
            <w:tcW w:w="1010" w:type="dxa"/>
            <w:tcBorders>
              <w:top w:val="single" w:color="auto" w:sz="4" w:space="0"/>
              <w:left w:val="single" w:color="auto" w:sz="4" w:space="0"/>
              <w:bottom w:val="single" w:color="auto" w:sz="4" w:space="0"/>
              <w:right w:val="single" w:color="auto" w:sz="4" w:space="0"/>
            </w:tcBorders>
            <w:vAlign w:val="center"/>
          </w:tcPr>
          <w:p w14:paraId="2E8CF0F5">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6E952F4C">
            <w:pPr>
              <w:pStyle w:val="146"/>
              <w:rPr>
                <w:rFonts w:cs="宋体"/>
                <w:bCs/>
                <w:sz w:val="18"/>
                <w:szCs w:val="18"/>
              </w:rPr>
            </w:pPr>
            <w:r>
              <w:rPr>
                <w:rFonts w:hint="eastAsia" w:cs="宋体"/>
                <w:bCs/>
                <w:sz w:val="18"/>
                <w:szCs w:val="18"/>
              </w:rPr>
              <w:t>桥墩顶部</w:t>
            </w:r>
          </w:p>
        </w:tc>
      </w:tr>
      <w:tr w14:paraId="57001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vMerge w:val="continue"/>
            <w:tcBorders>
              <w:left w:val="single" w:color="auto" w:sz="4" w:space="0"/>
              <w:bottom w:val="single" w:color="auto" w:sz="4" w:space="0"/>
              <w:right w:val="single" w:color="auto" w:sz="4" w:space="0"/>
            </w:tcBorders>
            <w:vAlign w:val="center"/>
          </w:tcPr>
          <w:p w14:paraId="6BE05ED6">
            <w:pPr>
              <w:widowControl/>
              <w:spacing w:beforeLines="0" w:afterLines="0" w:line="240" w:lineRule="auto"/>
              <w:jc w:val="left"/>
              <w:rPr>
                <w:rFonts w:cs="宋体"/>
                <w:bCs/>
                <w:sz w:val="18"/>
                <w:szCs w:val="18"/>
              </w:rPr>
            </w:pP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0CD8F7B4">
            <w:pPr>
              <w:widowControl/>
              <w:spacing w:beforeLines="0" w:afterLines="0" w:line="240" w:lineRule="auto"/>
              <w:jc w:val="left"/>
              <w:rPr>
                <w:rFonts w:cs="宋体"/>
                <w:bCs/>
                <w:sz w:val="18"/>
                <w:szCs w:val="18"/>
              </w:rPr>
            </w:pPr>
          </w:p>
        </w:tc>
        <w:tc>
          <w:tcPr>
            <w:tcW w:w="1128" w:type="dxa"/>
            <w:vMerge w:val="continue"/>
            <w:tcBorders>
              <w:top w:val="single" w:color="auto" w:sz="4" w:space="0"/>
              <w:left w:val="single" w:color="auto" w:sz="4" w:space="0"/>
              <w:bottom w:val="single" w:color="auto" w:sz="4" w:space="0"/>
              <w:right w:val="single" w:color="auto" w:sz="4" w:space="0"/>
            </w:tcBorders>
            <w:vAlign w:val="center"/>
          </w:tcPr>
          <w:p w14:paraId="57DA2AC4">
            <w:pPr>
              <w:widowControl/>
              <w:spacing w:beforeLines="0" w:afterLines="0" w:line="240" w:lineRule="auto"/>
              <w:jc w:val="left"/>
              <w:rPr>
                <w:rFonts w:cs="宋体"/>
                <w:bCs/>
                <w:sz w:val="18"/>
                <w:szCs w:val="18"/>
              </w:rPr>
            </w:pPr>
          </w:p>
        </w:tc>
        <w:tc>
          <w:tcPr>
            <w:tcW w:w="2022" w:type="dxa"/>
            <w:tcBorders>
              <w:top w:val="single" w:color="auto" w:sz="4" w:space="0"/>
              <w:left w:val="single" w:color="auto" w:sz="4" w:space="0"/>
              <w:bottom w:val="single" w:color="auto" w:sz="4" w:space="0"/>
              <w:right w:val="single" w:color="auto" w:sz="4" w:space="0"/>
            </w:tcBorders>
            <w:vAlign w:val="center"/>
          </w:tcPr>
          <w:p w14:paraId="462B97F9">
            <w:pPr>
              <w:pStyle w:val="146"/>
              <w:rPr>
                <w:rFonts w:cs="宋体"/>
                <w:bCs/>
                <w:sz w:val="18"/>
                <w:szCs w:val="18"/>
              </w:rPr>
            </w:pPr>
            <w:r>
              <w:rPr>
                <w:rFonts w:hint="eastAsia" w:cs="宋体"/>
                <w:bCs/>
                <w:sz w:val="18"/>
                <w:szCs w:val="18"/>
              </w:rPr>
              <w:t>桥台倾斜</w:t>
            </w:r>
          </w:p>
        </w:tc>
        <w:tc>
          <w:tcPr>
            <w:tcW w:w="1010" w:type="dxa"/>
            <w:tcBorders>
              <w:top w:val="single" w:color="auto" w:sz="4" w:space="0"/>
              <w:left w:val="single" w:color="auto" w:sz="4" w:space="0"/>
              <w:bottom w:val="single" w:color="auto" w:sz="4" w:space="0"/>
              <w:right w:val="single" w:color="auto" w:sz="4" w:space="0"/>
            </w:tcBorders>
            <w:vAlign w:val="center"/>
          </w:tcPr>
          <w:p w14:paraId="4412B952">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2988D1DF">
            <w:pPr>
              <w:pStyle w:val="146"/>
              <w:rPr>
                <w:rFonts w:cs="宋体"/>
                <w:bCs/>
                <w:sz w:val="18"/>
                <w:szCs w:val="18"/>
              </w:rPr>
            </w:pPr>
            <w:r>
              <w:rPr>
                <w:rFonts w:hint="eastAsia" w:cs="宋体"/>
                <w:bCs/>
                <w:sz w:val="18"/>
                <w:szCs w:val="18"/>
              </w:rPr>
              <w:t>桥台顶部</w:t>
            </w:r>
          </w:p>
        </w:tc>
      </w:tr>
      <w:tr w14:paraId="7669E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tcBorders>
              <w:top w:val="single" w:color="auto" w:sz="4" w:space="0"/>
              <w:left w:val="single" w:color="auto" w:sz="4" w:space="0"/>
              <w:bottom w:val="single" w:color="auto" w:sz="4" w:space="0"/>
              <w:right w:val="single" w:color="auto" w:sz="4" w:space="0"/>
            </w:tcBorders>
            <w:vAlign w:val="center"/>
          </w:tcPr>
          <w:p w14:paraId="4F9FE9D6">
            <w:pPr>
              <w:widowControl/>
              <w:spacing w:beforeLines="0" w:afterLines="0" w:line="240" w:lineRule="auto"/>
              <w:jc w:val="center"/>
              <w:rPr>
                <w:rFonts w:hint="default" w:eastAsia="宋体" w:cs="宋体"/>
                <w:bCs/>
                <w:sz w:val="18"/>
                <w:szCs w:val="18"/>
                <w:lang w:val="en-US" w:eastAsia="zh-CN"/>
              </w:rPr>
            </w:pPr>
            <w:r>
              <w:rPr>
                <w:rFonts w:hint="eastAsia" w:cs="宋体"/>
                <w:bCs/>
                <w:sz w:val="18"/>
                <w:szCs w:val="18"/>
                <w:lang w:val="en-US" w:eastAsia="zh-CN"/>
              </w:rPr>
              <w:t>14</w:t>
            </w: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1F780C61">
            <w:pPr>
              <w:widowControl/>
              <w:spacing w:beforeLines="0" w:afterLines="0" w:line="240" w:lineRule="auto"/>
              <w:jc w:val="left"/>
              <w:rPr>
                <w:rFonts w:cs="宋体"/>
                <w:bCs/>
                <w:sz w:val="18"/>
                <w:szCs w:val="18"/>
              </w:rPr>
            </w:pPr>
          </w:p>
        </w:tc>
        <w:tc>
          <w:tcPr>
            <w:tcW w:w="1128" w:type="dxa"/>
            <w:tcBorders>
              <w:top w:val="single" w:color="auto" w:sz="4" w:space="0"/>
              <w:left w:val="single" w:color="auto" w:sz="4" w:space="0"/>
              <w:bottom w:val="single" w:color="auto" w:sz="4" w:space="0"/>
              <w:right w:val="single" w:color="auto" w:sz="4" w:space="0"/>
            </w:tcBorders>
            <w:vAlign w:val="center"/>
          </w:tcPr>
          <w:p w14:paraId="383C8531">
            <w:pPr>
              <w:pStyle w:val="146"/>
              <w:rPr>
                <w:rFonts w:cs="宋体"/>
                <w:bCs/>
                <w:sz w:val="18"/>
                <w:szCs w:val="18"/>
              </w:rPr>
            </w:pPr>
            <w:r>
              <w:rPr>
                <w:rFonts w:hint="eastAsia" w:cs="宋体"/>
                <w:bCs/>
                <w:sz w:val="18"/>
                <w:szCs w:val="18"/>
              </w:rPr>
              <w:t>应变</w:t>
            </w:r>
          </w:p>
        </w:tc>
        <w:tc>
          <w:tcPr>
            <w:tcW w:w="2022" w:type="dxa"/>
            <w:tcBorders>
              <w:top w:val="single" w:color="auto" w:sz="4" w:space="0"/>
              <w:left w:val="single" w:color="auto" w:sz="4" w:space="0"/>
              <w:bottom w:val="single" w:color="auto" w:sz="4" w:space="0"/>
              <w:right w:val="single" w:color="auto" w:sz="4" w:space="0"/>
            </w:tcBorders>
            <w:vAlign w:val="center"/>
          </w:tcPr>
          <w:p w14:paraId="4AE30BF3">
            <w:pPr>
              <w:pStyle w:val="146"/>
              <w:rPr>
                <w:rFonts w:cs="宋体"/>
                <w:bCs/>
                <w:sz w:val="18"/>
                <w:szCs w:val="18"/>
              </w:rPr>
            </w:pPr>
            <w:r>
              <w:rPr>
                <w:rFonts w:hint="eastAsia" w:cs="宋体"/>
                <w:bCs/>
                <w:sz w:val="18"/>
                <w:szCs w:val="18"/>
              </w:rPr>
              <w:t>主梁关键截面应变</w:t>
            </w:r>
          </w:p>
        </w:tc>
        <w:tc>
          <w:tcPr>
            <w:tcW w:w="1010" w:type="dxa"/>
            <w:tcBorders>
              <w:top w:val="single" w:color="auto" w:sz="4" w:space="0"/>
              <w:left w:val="single" w:color="auto" w:sz="4" w:space="0"/>
              <w:bottom w:val="single" w:color="auto" w:sz="4" w:space="0"/>
              <w:right w:val="single" w:color="auto" w:sz="4" w:space="0"/>
            </w:tcBorders>
            <w:vAlign w:val="center"/>
          </w:tcPr>
          <w:p w14:paraId="207EBFC0">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344DF28B">
            <w:pPr>
              <w:pStyle w:val="146"/>
              <w:rPr>
                <w:rFonts w:cs="宋体"/>
                <w:bCs/>
                <w:sz w:val="18"/>
                <w:szCs w:val="18"/>
              </w:rPr>
            </w:pPr>
            <w:r>
              <w:rPr>
                <w:rFonts w:hint="eastAsia" w:cs="宋体"/>
                <w:bCs/>
                <w:sz w:val="18"/>
                <w:szCs w:val="18"/>
              </w:rPr>
              <w:t>跨中截面，宜布置于车道下方，</w:t>
            </w:r>
            <w:r>
              <w:rPr>
                <w:rFonts w:hint="eastAsia" w:cs="宋体"/>
                <w:bCs/>
                <w:sz w:val="18"/>
                <w:szCs w:val="18"/>
                <w:lang w:eastAsia="zh-CN"/>
              </w:rPr>
              <w:t>不低于</w:t>
            </w:r>
            <w:r>
              <w:rPr>
                <w:rFonts w:hint="eastAsia" w:cs="宋体"/>
                <w:bCs/>
                <w:sz w:val="18"/>
                <w:szCs w:val="18"/>
              </w:rPr>
              <w:t>2处</w:t>
            </w:r>
          </w:p>
        </w:tc>
      </w:tr>
      <w:tr w14:paraId="247D6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tcBorders>
              <w:top w:val="single" w:color="auto" w:sz="4" w:space="0"/>
              <w:left w:val="single" w:color="auto" w:sz="4" w:space="0"/>
              <w:bottom w:val="single" w:color="auto" w:sz="4" w:space="0"/>
              <w:right w:val="single" w:color="auto" w:sz="4" w:space="0"/>
            </w:tcBorders>
            <w:vAlign w:val="center"/>
          </w:tcPr>
          <w:p w14:paraId="18691BD9">
            <w:pPr>
              <w:widowControl/>
              <w:spacing w:beforeLines="0" w:afterLines="0" w:line="240" w:lineRule="auto"/>
              <w:jc w:val="center"/>
              <w:rPr>
                <w:rFonts w:hint="default" w:eastAsia="宋体" w:cs="宋体"/>
                <w:bCs/>
                <w:sz w:val="18"/>
                <w:szCs w:val="18"/>
                <w:lang w:val="en-US" w:eastAsia="zh-CN"/>
              </w:rPr>
            </w:pPr>
            <w:r>
              <w:rPr>
                <w:rFonts w:hint="eastAsia" w:cs="宋体"/>
                <w:bCs/>
                <w:sz w:val="18"/>
                <w:szCs w:val="18"/>
                <w:lang w:val="en-US" w:eastAsia="zh-CN"/>
              </w:rPr>
              <w:t>15</w:t>
            </w: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69A6510F">
            <w:pPr>
              <w:widowControl/>
              <w:spacing w:beforeLines="0" w:afterLines="0" w:line="240" w:lineRule="auto"/>
              <w:jc w:val="left"/>
              <w:rPr>
                <w:rFonts w:cs="宋体"/>
                <w:bCs/>
                <w:sz w:val="18"/>
                <w:szCs w:val="18"/>
              </w:rPr>
            </w:pPr>
          </w:p>
        </w:tc>
        <w:tc>
          <w:tcPr>
            <w:tcW w:w="1128" w:type="dxa"/>
            <w:tcBorders>
              <w:top w:val="single" w:color="auto" w:sz="4" w:space="0"/>
              <w:left w:val="single" w:color="auto" w:sz="4" w:space="0"/>
              <w:bottom w:val="single" w:color="auto" w:sz="4" w:space="0"/>
              <w:right w:val="single" w:color="auto" w:sz="4" w:space="0"/>
            </w:tcBorders>
            <w:vAlign w:val="center"/>
          </w:tcPr>
          <w:p w14:paraId="0190FEE2">
            <w:pPr>
              <w:pStyle w:val="146"/>
              <w:rPr>
                <w:rFonts w:cs="宋体"/>
                <w:bCs/>
                <w:sz w:val="18"/>
                <w:szCs w:val="18"/>
              </w:rPr>
            </w:pPr>
            <w:r>
              <w:rPr>
                <w:rFonts w:hint="eastAsia" w:cs="宋体"/>
                <w:bCs/>
                <w:sz w:val="18"/>
                <w:szCs w:val="18"/>
              </w:rPr>
              <w:t>支座反力</w:t>
            </w:r>
          </w:p>
        </w:tc>
        <w:tc>
          <w:tcPr>
            <w:tcW w:w="2022" w:type="dxa"/>
            <w:tcBorders>
              <w:top w:val="single" w:color="auto" w:sz="4" w:space="0"/>
              <w:left w:val="single" w:color="auto" w:sz="4" w:space="0"/>
              <w:bottom w:val="single" w:color="auto" w:sz="4" w:space="0"/>
              <w:right w:val="single" w:color="auto" w:sz="4" w:space="0"/>
            </w:tcBorders>
            <w:vAlign w:val="center"/>
          </w:tcPr>
          <w:p w14:paraId="206CC0CD">
            <w:pPr>
              <w:pStyle w:val="146"/>
              <w:rPr>
                <w:rFonts w:cs="宋体"/>
                <w:bCs/>
                <w:sz w:val="18"/>
                <w:szCs w:val="18"/>
              </w:rPr>
            </w:pPr>
            <w:r>
              <w:rPr>
                <w:rFonts w:hint="eastAsia" w:cs="宋体"/>
                <w:bCs/>
                <w:sz w:val="18"/>
                <w:szCs w:val="18"/>
              </w:rPr>
              <w:t>支座反力</w:t>
            </w:r>
          </w:p>
        </w:tc>
        <w:tc>
          <w:tcPr>
            <w:tcW w:w="1010" w:type="dxa"/>
            <w:tcBorders>
              <w:top w:val="single" w:color="auto" w:sz="4" w:space="0"/>
              <w:left w:val="single" w:color="auto" w:sz="4" w:space="0"/>
              <w:bottom w:val="single" w:color="auto" w:sz="4" w:space="0"/>
              <w:right w:val="single" w:color="auto" w:sz="4" w:space="0"/>
            </w:tcBorders>
            <w:vAlign w:val="center"/>
          </w:tcPr>
          <w:p w14:paraId="7C04F5DD">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48371B91">
            <w:pPr>
              <w:pStyle w:val="146"/>
              <w:rPr>
                <w:rFonts w:cs="宋体"/>
                <w:bCs/>
                <w:sz w:val="18"/>
                <w:szCs w:val="18"/>
              </w:rPr>
            </w:pPr>
            <w:r>
              <w:rPr>
                <w:rFonts w:hint="eastAsia" w:cs="宋体"/>
                <w:bCs/>
                <w:sz w:val="18"/>
                <w:szCs w:val="18"/>
              </w:rPr>
              <w:t>弯桥、斜桥、易倾覆的独柱墩、基础沉降的墩台</w:t>
            </w:r>
          </w:p>
        </w:tc>
      </w:tr>
      <w:tr w14:paraId="5C86B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vMerge w:val="restart"/>
            <w:tcBorders>
              <w:top w:val="single" w:color="auto" w:sz="4" w:space="0"/>
              <w:left w:val="single" w:color="auto" w:sz="4" w:space="0"/>
              <w:right w:val="single" w:color="auto" w:sz="4" w:space="0"/>
            </w:tcBorders>
            <w:vAlign w:val="center"/>
          </w:tcPr>
          <w:p w14:paraId="5312011F">
            <w:pPr>
              <w:widowControl/>
              <w:spacing w:beforeLines="0" w:afterLines="0" w:line="240" w:lineRule="auto"/>
              <w:jc w:val="center"/>
              <w:rPr>
                <w:rFonts w:hint="default" w:eastAsia="宋体" w:cs="宋体"/>
                <w:bCs/>
                <w:sz w:val="18"/>
                <w:szCs w:val="18"/>
                <w:lang w:val="en-US" w:eastAsia="zh-CN"/>
              </w:rPr>
            </w:pPr>
            <w:r>
              <w:rPr>
                <w:rFonts w:hint="eastAsia" w:cs="宋体"/>
                <w:bCs/>
                <w:sz w:val="18"/>
                <w:szCs w:val="18"/>
                <w:lang w:val="en-US" w:eastAsia="zh-CN"/>
              </w:rPr>
              <w:t>16</w:t>
            </w: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0CAAFE0E">
            <w:pPr>
              <w:widowControl/>
              <w:spacing w:beforeLines="0" w:afterLines="0" w:line="240" w:lineRule="auto"/>
              <w:jc w:val="left"/>
              <w:rPr>
                <w:rFonts w:cs="宋体"/>
                <w:bCs/>
                <w:sz w:val="18"/>
                <w:szCs w:val="18"/>
              </w:rPr>
            </w:pPr>
          </w:p>
        </w:tc>
        <w:tc>
          <w:tcPr>
            <w:tcW w:w="1128" w:type="dxa"/>
            <w:vMerge w:val="restart"/>
            <w:tcBorders>
              <w:top w:val="single" w:color="auto" w:sz="4" w:space="0"/>
              <w:left w:val="single" w:color="auto" w:sz="4" w:space="0"/>
              <w:bottom w:val="single" w:color="auto" w:sz="4" w:space="0"/>
              <w:right w:val="single" w:color="auto" w:sz="4" w:space="0"/>
            </w:tcBorders>
            <w:vAlign w:val="center"/>
          </w:tcPr>
          <w:p w14:paraId="5FF9D4EC">
            <w:pPr>
              <w:pStyle w:val="146"/>
              <w:rPr>
                <w:rFonts w:cs="宋体"/>
                <w:bCs/>
                <w:sz w:val="18"/>
                <w:szCs w:val="18"/>
              </w:rPr>
            </w:pPr>
            <w:r>
              <w:rPr>
                <w:rFonts w:hint="eastAsia" w:cs="宋体"/>
                <w:bCs/>
                <w:sz w:val="18"/>
                <w:szCs w:val="18"/>
              </w:rPr>
              <w:t>振动</w:t>
            </w:r>
          </w:p>
        </w:tc>
        <w:tc>
          <w:tcPr>
            <w:tcW w:w="2022" w:type="dxa"/>
            <w:tcBorders>
              <w:top w:val="single" w:color="auto" w:sz="4" w:space="0"/>
              <w:left w:val="single" w:color="auto" w:sz="4" w:space="0"/>
              <w:bottom w:val="single" w:color="auto" w:sz="4" w:space="0"/>
              <w:right w:val="single" w:color="auto" w:sz="4" w:space="0"/>
            </w:tcBorders>
            <w:vAlign w:val="center"/>
          </w:tcPr>
          <w:p w14:paraId="680C420C">
            <w:pPr>
              <w:pStyle w:val="146"/>
              <w:rPr>
                <w:rFonts w:cs="宋体"/>
                <w:bCs/>
                <w:sz w:val="18"/>
                <w:szCs w:val="18"/>
              </w:rPr>
            </w:pPr>
            <w:r>
              <w:rPr>
                <w:rFonts w:hint="eastAsia" w:cs="宋体"/>
                <w:bCs/>
                <w:sz w:val="18"/>
                <w:szCs w:val="18"/>
              </w:rPr>
              <w:t>主梁竖向振动加速度</w:t>
            </w:r>
          </w:p>
        </w:tc>
        <w:tc>
          <w:tcPr>
            <w:tcW w:w="1010" w:type="dxa"/>
            <w:tcBorders>
              <w:top w:val="single" w:color="auto" w:sz="4" w:space="0"/>
              <w:left w:val="single" w:color="auto" w:sz="4" w:space="0"/>
              <w:bottom w:val="single" w:color="auto" w:sz="4" w:space="0"/>
              <w:right w:val="single" w:color="auto" w:sz="4" w:space="0"/>
            </w:tcBorders>
            <w:vAlign w:val="center"/>
          </w:tcPr>
          <w:p w14:paraId="181D121E">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78B4044F">
            <w:pPr>
              <w:pStyle w:val="146"/>
              <w:rPr>
                <w:rFonts w:cs="宋体"/>
                <w:bCs/>
                <w:sz w:val="18"/>
                <w:szCs w:val="18"/>
              </w:rPr>
            </w:pPr>
            <w:r>
              <w:rPr>
                <w:rFonts w:hint="eastAsia" w:cs="宋体"/>
                <w:bCs/>
                <w:sz w:val="18"/>
                <w:szCs w:val="18"/>
              </w:rPr>
              <w:t>跨中截面，宜布置于车道下方，</w:t>
            </w:r>
            <w:r>
              <w:rPr>
                <w:rFonts w:hint="eastAsia" w:cs="宋体"/>
                <w:bCs/>
                <w:sz w:val="18"/>
                <w:szCs w:val="18"/>
                <w:lang w:eastAsia="zh-CN"/>
              </w:rPr>
              <w:t>不低于</w:t>
            </w:r>
            <w:r>
              <w:rPr>
                <w:rFonts w:hint="eastAsia" w:cs="宋体"/>
                <w:bCs/>
                <w:sz w:val="18"/>
                <w:szCs w:val="18"/>
              </w:rPr>
              <w:t>2处</w:t>
            </w:r>
          </w:p>
        </w:tc>
      </w:tr>
      <w:tr w14:paraId="63A7A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vMerge w:val="continue"/>
            <w:tcBorders>
              <w:left w:val="single" w:color="auto" w:sz="4" w:space="0"/>
              <w:right w:val="single" w:color="auto" w:sz="4" w:space="0"/>
            </w:tcBorders>
            <w:vAlign w:val="center"/>
          </w:tcPr>
          <w:p w14:paraId="19DA87BD">
            <w:pPr>
              <w:widowControl/>
              <w:spacing w:beforeLines="0" w:afterLines="0" w:line="240" w:lineRule="auto"/>
              <w:jc w:val="left"/>
              <w:rPr>
                <w:rFonts w:cs="宋体"/>
                <w:bCs/>
                <w:sz w:val="18"/>
                <w:szCs w:val="18"/>
              </w:rPr>
            </w:pP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51383029">
            <w:pPr>
              <w:widowControl/>
              <w:spacing w:beforeLines="0" w:afterLines="0" w:line="240" w:lineRule="auto"/>
              <w:jc w:val="left"/>
              <w:rPr>
                <w:rFonts w:cs="宋体"/>
                <w:bCs/>
                <w:sz w:val="18"/>
                <w:szCs w:val="18"/>
              </w:rPr>
            </w:pPr>
          </w:p>
        </w:tc>
        <w:tc>
          <w:tcPr>
            <w:tcW w:w="1128" w:type="dxa"/>
            <w:vMerge w:val="continue"/>
            <w:tcBorders>
              <w:top w:val="single" w:color="auto" w:sz="4" w:space="0"/>
              <w:left w:val="single" w:color="auto" w:sz="4" w:space="0"/>
              <w:bottom w:val="single" w:color="auto" w:sz="4" w:space="0"/>
              <w:right w:val="single" w:color="auto" w:sz="4" w:space="0"/>
            </w:tcBorders>
            <w:vAlign w:val="center"/>
          </w:tcPr>
          <w:p w14:paraId="4922AD31">
            <w:pPr>
              <w:widowControl/>
              <w:spacing w:beforeLines="0" w:afterLines="0" w:line="240" w:lineRule="auto"/>
              <w:jc w:val="left"/>
              <w:rPr>
                <w:rFonts w:cs="宋体"/>
                <w:bCs/>
                <w:sz w:val="18"/>
                <w:szCs w:val="18"/>
              </w:rPr>
            </w:pPr>
          </w:p>
        </w:tc>
        <w:tc>
          <w:tcPr>
            <w:tcW w:w="2022" w:type="dxa"/>
            <w:tcBorders>
              <w:top w:val="single" w:color="auto" w:sz="4" w:space="0"/>
              <w:left w:val="single" w:color="auto" w:sz="4" w:space="0"/>
              <w:bottom w:val="single" w:color="auto" w:sz="4" w:space="0"/>
              <w:right w:val="single" w:color="auto" w:sz="4" w:space="0"/>
            </w:tcBorders>
            <w:vAlign w:val="center"/>
          </w:tcPr>
          <w:p w14:paraId="32193F5D">
            <w:pPr>
              <w:pStyle w:val="146"/>
              <w:rPr>
                <w:rFonts w:cs="宋体"/>
                <w:bCs/>
                <w:sz w:val="18"/>
                <w:szCs w:val="18"/>
              </w:rPr>
            </w:pPr>
            <w:r>
              <w:rPr>
                <w:rFonts w:hint="eastAsia" w:cs="宋体"/>
                <w:bCs/>
                <w:sz w:val="18"/>
                <w:szCs w:val="18"/>
              </w:rPr>
              <w:t>主梁横向振动加速度</w:t>
            </w:r>
          </w:p>
        </w:tc>
        <w:tc>
          <w:tcPr>
            <w:tcW w:w="1010" w:type="dxa"/>
            <w:tcBorders>
              <w:top w:val="single" w:color="auto" w:sz="4" w:space="0"/>
              <w:left w:val="single" w:color="auto" w:sz="4" w:space="0"/>
              <w:bottom w:val="single" w:color="auto" w:sz="4" w:space="0"/>
              <w:right w:val="single" w:color="auto" w:sz="4" w:space="0"/>
            </w:tcBorders>
            <w:vAlign w:val="center"/>
          </w:tcPr>
          <w:p w14:paraId="1E3CD70E">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5E66CE7E">
            <w:pPr>
              <w:pStyle w:val="146"/>
              <w:rPr>
                <w:rFonts w:cs="宋体"/>
                <w:bCs/>
                <w:sz w:val="18"/>
                <w:szCs w:val="18"/>
              </w:rPr>
            </w:pPr>
            <w:r>
              <w:rPr>
                <w:rFonts w:hint="eastAsia" w:cs="宋体"/>
                <w:bCs/>
                <w:sz w:val="18"/>
                <w:szCs w:val="18"/>
              </w:rPr>
              <w:t>跨中截面</w:t>
            </w:r>
            <w:bookmarkStart w:id="176" w:name="OLE_LINK36"/>
            <w:r>
              <w:rPr>
                <w:rFonts w:hint="eastAsia" w:cs="宋体"/>
                <w:bCs/>
                <w:sz w:val="18"/>
                <w:szCs w:val="18"/>
              </w:rPr>
              <w:t>，</w:t>
            </w:r>
            <w:r>
              <w:rPr>
                <w:rFonts w:hint="eastAsia" w:cs="宋体"/>
                <w:bCs/>
                <w:sz w:val="18"/>
                <w:szCs w:val="18"/>
                <w:lang w:eastAsia="zh-CN"/>
              </w:rPr>
              <w:t>不低于</w:t>
            </w:r>
            <w:r>
              <w:rPr>
                <w:rFonts w:hint="eastAsia" w:cs="宋体"/>
                <w:bCs/>
                <w:sz w:val="18"/>
                <w:szCs w:val="18"/>
              </w:rPr>
              <w:t>1处</w:t>
            </w:r>
            <w:bookmarkEnd w:id="176"/>
          </w:p>
        </w:tc>
      </w:tr>
      <w:tr w14:paraId="3437A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vMerge w:val="continue"/>
            <w:tcBorders>
              <w:left w:val="single" w:color="auto" w:sz="4" w:space="0"/>
              <w:bottom w:val="single" w:color="auto" w:sz="4" w:space="0"/>
              <w:right w:val="single" w:color="auto" w:sz="4" w:space="0"/>
            </w:tcBorders>
            <w:vAlign w:val="center"/>
          </w:tcPr>
          <w:p w14:paraId="57F6DB8B">
            <w:pPr>
              <w:widowControl/>
              <w:spacing w:beforeLines="0" w:afterLines="0" w:line="240" w:lineRule="auto"/>
              <w:jc w:val="left"/>
              <w:rPr>
                <w:rFonts w:cs="宋体"/>
                <w:bCs/>
                <w:sz w:val="18"/>
                <w:szCs w:val="18"/>
              </w:rPr>
            </w:pP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73190851">
            <w:pPr>
              <w:widowControl/>
              <w:spacing w:beforeLines="0" w:afterLines="0" w:line="240" w:lineRule="auto"/>
              <w:jc w:val="left"/>
              <w:rPr>
                <w:rFonts w:cs="宋体"/>
                <w:bCs/>
                <w:sz w:val="18"/>
                <w:szCs w:val="18"/>
              </w:rPr>
            </w:pPr>
          </w:p>
        </w:tc>
        <w:tc>
          <w:tcPr>
            <w:tcW w:w="1128" w:type="dxa"/>
            <w:vMerge w:val="continue"/>
            <w:tcBorders>
              <w:top w:val="single" w:color="auto" w:sz="4" w:space="0"/>
              <w:left w:val="single" w:color="auto" w:sz="4" w:space="0"/>
              <w:bottom w:val="single" w:color="auto" w:sz="4" w:space="0"/>
              <w:right w:val="single" w:color="auto" w:sz="4" w:space="0"/>
            </w:tcBorders>
            <w:vAlign w:val="center"/>
          </w:tcPr>
          <w:p w14:paraId="707460B5">
            <w:pPr>
              <w:widowControl/>
              <w:spacing w:beforeLines="0" w:afterLines="0" w:line="240" w:lineRule="auto"/>
              <w:jc w:val="left"/>
              <w:rPr>
                <w:rFonts w:cs="宋体"/>
                <w:bCs/>
                <w:sz w:val="18"/>
                <w:szCs w:val="18"/>
              </w:rPr>
            </w:pPr>
          </w:p>
        </w:tc>
        <w:tc>
          <w:tcPr>
            <w:tcW w:w="2022" w:type="dxa"/>
            <w:tcBorders>
              <w:top w:val="single" w:color="auto" w:sz="4" w:space="0"/>
              <w:left w:val="single" w:color="auto" w:sz="4" w:space="0"/>
              <w:bottom w:val="single" w:color="auto" w:sz="4" w:space="0"/>
              <w:right w:val="single" w:color="auto" w:sz="4" w:space="0"/>
            </w:tcBorders>
            <w:vAlign w:val="center"/>
          </w:tcPr>
          <w:p w14:paraId="22DA0F4E">
            <w:pPr>
              <w:pStyle w:val="146"/>
              <w:rPr>
                <w:rFonts w:cs="宋体"/>
                <w:bCs/>
                <w:sz w:val="18"/>
                <w:szCs w:val="18"/>
              </w:rPr>
            </w:pPr>
            <w:r>
              <w:rPr>
                <w:rFonts w:hint="eastAsia" w:cs="宋体"/>
                <w:bCs/>
                <w:sz w:val="18"/>
                <w:szCs w:val="18"/>
              </w:rPr>
              <w:t>桥墩顶部纵向及横向振动加速度</w:t>
            </w:r>
          </w:p>
        </w:tc>
        <w:tc>
          <w:tcPr>
            <w:tcW w:w="1010" w:type="dxa"/>
            <w:tcBorders>
              <w:top w:val="single" w:color="auto" w:sz="4" w:space="0"/>
              <w:left w:val="single" w:color="auto" w:sz="4" w:space="0"/>
              <w:bottom w:val="single" w:color="auto" w:sz="4" w:space="0"/>
              <w:right w:val="single" w:color="auto" w:sz="4" w:space="0"/>
            </w:tcBorders>
            <w:vAlign w:val="center"/>
          </w:tcPr>
          <w:p w14:paraId="0B838FC1">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27E76898">
            <w:pPr>
              <w:pStyle w:val="146"/>
              <w:rPr>
                <w:rFonts w:cs="宋体"/>
                <w:bCs/>
                <w:sz w:val="18"/>
                <w:szCs w:val="18"/>
              </w:rPr>
            </w:pPr>
            <w:r>
              <w:rPr>
                <w:rFonts w:hint="eastAsia" w:cs="宋体"/>
                <w:bCs/>
                <w:sz w:val="18"/>
                <w:szCs w:val="18"/>
              </w:rPr>
              <w:t>桥墩顶部</w:t>
            </w:r>
          </w:p>
        </w:tc>
      </w:tr>
      <w:tr w14:paraId="09FCA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4" w:type="dxa"/>
            <w:tcBorders>
              <w:top w:val="single" w:color="auto" w:sz="4" w:space="0"/>
              <w:left w:val="single" w:color="auto" w:sz="4" w:space="0"/>
              <w:bottom w:val="single" w:color="auto" w:sz="4" w:space="0"/>
              <w:right w:val="single" w:color="auto" w:sz="4" w:space="0"/>
            </w:tcBorders>
            <w:vAlign w:val="center"/>
          </w:tcPr>
          <w:p w14:paraId="344F1BFA">
            <w:pPr>
              <w:pStyle w:val="146"/>
              <w:rPr>
                <w:rFonts w:hint="default" w:eastAsia="宋体" w:cs="宋体"/>
                <w:bCs/>
                <w:sz w:val="18"/>
                <w:szCs w:val="18"/>
                <w:lang w:val="en-US" w:eastAsia="zh-CN"/>
              </w:rPr>
            </w:pPr>
            <w:r>
              <w:rPr>
                <w:rFonts w:hint="eastAsia" w:cs="宋体"/>
                <w:bCs/>
                <w:sz w:val="18"/>
                <w:szCs w:val="18"/>
                <w:lang w:val="en-US" w:eastAsia="zh-CN"/>
              </w:rPr>
              <w:t>17</w:t>
            </w:r>
          </w:p>
        </w:tc>
        <w:tc>
          <w:tcPr>
            <w:tcW w:w="655" w:type="dxa"/>
            <w:vMerge w:val="restart"/>
            <w:tcBorders>
              <w:top w:val="single" w:color="auto" w:sz="4" w:space="0"/>
              <w:left w:val="single" w:color="auto" w:sz="4" w:space="0"/>
              <w:right w:val="single" w:color="auto" w:sz="4" w:space="0"/>
            </w:tcBorders>
            <w:vAlign w:val="center"/>
          </w:tcPr>
          <w:p w14:paraId="3CF18D8F">
            <w:pPr>
              <w:pStyle w:val="146"/>
              <w:rPr>
                <w:rFonts w:hint="eastAsia" w:cs="宋体"/>
                <w:bCs/>
                <w:sz w:val="18"/>
                <w:szCs w:val="18"/>
              </w:rPr>
            </w:pPr>
            <w:r>
              <w:rPr>
                <w:rFonts w:hint="eastAsia" w:cs="宋体"/>
                <w:bCs/>
                <w:sz w:val="18"/>
                <w:szCs w:val="18"/>
              </w:rPr>
              <w:t>结构变化</w:t>
            </w:r>
          </w:p>
        </w:tc>
        <w:tc>
          <w:tcPr>
            <w:tcW w:w="1128" w:type="dxa"/>
            <w:tcBorders>
              <w:top w:val="single" w:color="auto" w:sz="4" w:space="0"/>
              <w:left w:val="single" w:color="auto" w:sz="4" w:space="0"/>
              <w:bottom w:val="single" w:color="auto" w:sz="4" w:space="0"/>
              <w:right w:val="single" w:color="auto" w:sz="4" w:space="0"/>
            </w:tcBorders>
            <w:vAlign w:val="center"/>
          </w:tcPr>
          <w:p w14:paraId="1CD11167">
            <w:pPr>
              <w:pStyle w:val="146"/>
              <w:rPr>
                <w:rFonts w:cs="宋体"/>
                <w:bCs/>
                <w:sz w:val="18"/>
                <w:szCs w:val="18"/>
              </w:rPr>
            </w:pPr>
            <w:r>
              <w:rPr>
                <w:rFonts w:hint="eastAsia" w:cs="宋体"/>
                <w:bCs/>
                <w:sz w:val="18"/>
                <w:szCs w:val="18"/>
              </w:rPr>
              <w:t>基础冲刷</w:t>
            </w:r>
          </w:p>
        </w:tc>
        <w:tc>
          <w:tcPr>
            <w:tcW w:w="2022" w:type="dxa"/>
            <w:tcBorders>
              <w:top w:val="single" w:color="auto" w:sz="4" w:space="0"/>
              <w:left w:val="single" w:color="auto" w:sz="4" w:space="0"/>
              <w:bottom w:val="single" w:color="auto" w:sz="4" w:space="0"/>
              <w:right w:val="single" w:color="auto" w:sz="4" w:space="0"/>
            </w:tcBorders>
            <w:vAlign w:val="center"/>
          </w:tcPr>
          <w:p w14:paraId="106EBF5B">
            <w:pPr>
              <w:pStyle w:val="146"/>
              <w:rPr>
                <w:rFonts w:cs="宋体"/>
                <w:bCs/>
                <w:sz w:val="18"/>
                <w:szCs w:val="18"/>
              </w:rPr>
            </w:pPr>
            <w:r>
              <w:rPr>
                <w:rFonts w:hint="eastAsia" w:cs="宋体"/>
                <w:bCs/>
                <w:sz w:val="18"/>
                <w:szCs w:val="18"/>
              </w:rPr>
              <w:t>基础冲刷深度</w:t>
            </w:r>
          </w:p>
        </w:tc>
        <w:tc>
          <w:tcPr>
            <w:tcW w:w="1010" w:type="dxa"/>
            <w:tcBorders>
              <w:top w:val="single" w:color="auto" w:sz="4" w:space="0"/>
              <w:left w:val="single" w:color="auto" w:sz="4" w:space="0"/>
              <w:bottom w:val="single" w:color="auto" w:sz="4" w:space="0"/>
              <w:right w:val="single" w:color="auto" w:sz="4" w:space="0"/>
            </w:tcBorders>
            <w:vAlign w:val="center"/>
          </w:tcPr>
          <w:p w14:paraId="7B0B45B3">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10541C34">
            <w:pPr>
              <w:pStyle w:val="146"/>
              <w:rPr>
                <w:rFonts w:cs="宋体"/>
                <w:bCs/>
                <w:sz w:val="18"/>
                <w:szCs w:val="18"/>
              </w:rPr>
            </w:pPr>
            <w:r>
              <w:rPr>
                <w:rFonts w:cs="宋体"/>
                <w:bCs/>
                <w:sz w:val="18"/>
                <w:szCs w:val="18"/>
              </w:rPr>
              <w:t>-</w:t>
            </w:r>
          </w:p>
        </w:tc>
      </w:tr>
      <w:tr w14:paraId="24CDF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tcBorders>
              <w:top w:val="single" w:color="auto" w:sz="4" w:space="0"/>
              <w:left w:val="single" w:color="auto" w:sz="4" w:space="0"/>
              <w:bottom w:val="nil"/>
              <w:right w:val="single" w:color="auto" w:sz="4" w:space="0"/>
            </w:tcBorders>
            <w:vAlign w:val="center"/>
          </w:tcPr>
          <w:p w14:paraId="407C1ED7">
            <w:pPr>
              <w:widowControl/>
              <w:spacing w:beforeLines="0" w:afterLines="0" w:line="240" w:lineRule="auto"/>
              <w:jc w:val="center"/>
              <w:rPr>
                <w:rFonts w:hint="default" w:eastAsia="宋体" w:cs="宋体"/>
                <w:bCs/>
                <w:sz w:val="18"/>
                <w:szCs w:val="18"/>
                <w:lang w:val="en-US" w:eastAsia="zh-CN"/>
              </w:rPr>
            </w:pPr>
            <w:r>
              <w:rPr>
                <w:rFonts w:hint="eastAsia" w:cs="宋体"/>
                <w:bCs/>
                <w:sz w:val="18"/>
                <w:szCs w:val="18"/>
                <w:lang w:val="en-US" w:eastAsia="zh-CN"/>
              </w:rPr>
              <w:t>18</w:t>
            </w:r>
          </w:p>
        </w:tc>
        <w:tc>
          <w:tcPr>
            <w:tcW w:w="655" w:type="dxa"/>
            <w:vMerge w:val="continue"/>
            <w:tcBorders>
              <w:left w:val="single" w:color="auto" w:sz="4" w:space="0"/>
              <w:bottom w:val="nil"/>
              <w:right w:val="single" w:color="auto" w:sz="4" w:space="0"/>
            </w:tcBorders>
            <w:vAlign w:val="center"/>
          </w:tcPr>
          <w:p w14:paraId="1A9E7C19">
            <w:pPr>
              <w:widowControl/>
              <w:spacing w:beforeLines="0" w:afterLines="0" w:line="240" w:lineRule="auto"/>
              <w:jc w:val="left"/>
              <w:rPr>
                <w:rFonts w:cs="宋体"/>
                <w:bCs/>
                <w:sz w:val="18"/>
                <w:szCs w:val="18"/>
              </w:rPr>
            </w:pPr>
          </w:p>
        </w:tc>
        <w:tc>
          <w:tcPr>
            <w:tcW w:w="1128" w:type="dxa"/>
            <w:tcBorders>
              <w:top w:val="single" w:color="auto" w:sz="4" w:space="0"/>
              <w:left w:val="single" w:color="auto" w:sz="4" w:space="0"/>
              <w:bottom w:val="nil"/>
              <w:right w:val="single" w:color="auto" w:sz="4" w:space="0"/>
            </w:tcBorders>
            <w:vAlign w:val="center"/>
          </w:tcPr>
          <w:p w14:paraId="0C706817">
            <w:pPr>
              <w:pStyle w:val="146"/>
              <w:rPr>
                <w:rFonts w:cs="宋体"/>
                <w:bCs/>
                <w:sz w:val="18"/>
                <w:szCs w:val="18"/>
              </w:rPr>
            </w:pPr>
            <w:r>
              <w:rPr>
                <w:rFonts w:hint="eastAsia" w:cs="宋体"/>
                <w:bCs/>
                <w:sz w:val="18"/>
                <w:szCs w:val="18"/>
              </w:rPr>
              <w:t>结构变位</w:t>
            </w:r>
          </w:p>
        </w:tc>
        <w:tc>
          <w:tcPr>
            <w:tcW w:w="2022" w:type="dxa"/>
            <w:tcBorders>
              <w:top w:val="single" w:color="auto" w:sz="4" w:space="0"/>
              <w:left w:val="single" w:color="auto" w:sz="4" w:space="0"/>
              <w:bottom w:val="nil"/>
              <w:right w:val="single" w:color="auto" w:sz="4" w:space="0"/>
            </w:tcBorders>
            <w:vAlign w:val="center"/>
          </w:tcPr>
          <w:p w14:paraId="16775161">
            <w:pPr>
              <w:pStyle w:val="146"/>
              <w:rPr>
                <w:rFonts w:cs="宋体"/>
                <w:bCs/>
                <w:sz w:val="18"/>
                <w:szCs w:val="18"/>
              </w:rPr>
            </w:pPr>
            <w:r>
              <w:rPr>
                <w:rFonts w:hint="eastAsia" w:cs="宋体"/>
                <w:bCs/>
                <w:sz w:val="18"/>
                <w:szCs w:val="18"/>
              </w:rPr>
              <w:t>桥墩（台）沉降</w:t>
            </w:r>
          </w:p>
        </w:tc>
        <w:tc>
          <w:tcPr>
            <w:tcW w:w="1010" w:type="dxa"/>
            <w:tcBorders>
              <w:top w:val="single" w:color="auto" w:sz="4" w:space="0"/>
              <w:left w:val="single" w:color="auto" w:sz="4" w:space="0"/>
              <w:bottom w:val="nil"/>
              <w:right w:val="single" w:color="auto" w:sz="4" w:space="0"/>
            </w:tcBorders>
            <w:vAlign w:val="center"/>
          </w:tcPr>
          <w:p w14:paraId="1C8C7778">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nil"/>
              <w:right w:val="single" w:color="auto" w:sz="4" w:space="0"/>
            </w:tcBorders>
            <w:vAlign w:val="center"/>
          </w:tcPr>
          <w:p w14:paraId="1CB063AA">
            <w:pPr>
              <w:pStyle w:val="146"/>
              <w:rPr>
                <w:rFonts w:cs="宋体"/>
                <w:bCs/>
                <w:sz w:val="18"/>
                <w:szCs w:val="18"/>
              </w:rPr>
            </w:pPr>
            <w:r>
              <w:rPr>
                <w:rFonts w:cs="宋体"/>
                <w:bCs/>
                <w:sz w:val="18"/>
                <w:szCs w:val="18"/>
              </w:rPr>
              <w:t>-</w:t>
            </w:r>
          </w:p>
        </w:tc>
      </w:tr>
      <w:tr w14:paraId="1784B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8482" w:type="dxa"/>
            <w:gridSpan w:val="6"/>
            <w:tcBorders>
              <w:top w:val="nil"/>
              <w:left w:val="nil"/>
              <w:bottom w:val="single" w:color="auto" w:sz="4" w:space="0"/>
              <w:right w:val="nil"/>
            </w:tcBorders>
            <w:vAlign w:val="center"/>
          </w:tcPr>
          <w:p w14:paraId="62B4DED0">
            <w:pPr>
              <w:pStyle w:val="146"/>
              <w:rPr>
                <w:rFonts w:cs="宋体"/>
                <w:bCs/>
                <w:sz w:val="18"/>
                <w:szCs w:val="18"/>
              </w:rPr>
            </w:pPr>
            <w:r>
              <w:rPr>
                <w:rFonts w:hint="eastAsia" w:ascii="黑体" w:hAnsi="黑体" w:eastAsia="黑体"/>
                <w:bCs/>
                <w:color w:val="auto"/>
              </w:rPr>
              <w:t>B.5.1</w:t>
            </w:r>
            <w:r>
              <w:rPr>
                <w:rFonts w:ascii="黑体" w:hAnsi="黑体" w:eastAsia="黑体"/>
                <w:bCs/>
                <w:color w:val="auto"/>
              </w:rPr>
              <w:t xml:space="preserve"> </w:t>
            </w:r>
            <w:r>
              <w:rPr>
                <w:rFonts w:hint="eastAsia" w:ascii="黑体" w:hAnsi="黑体" w:eastAsia="黑体"/>
                <w:bCs/>
                <w:color w:val="auto"/>
              </w:rPr>
              <w:t>简支梁桥监测</w:t>
            </w:r>
            <w:r>
              <w:rPr>
                <w:rFonts w:hint="eastAsia" w:ascii="黑体" w:hAnsi="黑体" w:eastAsia="黑体"/>
                <w:bCs/>
                <w:color w:val="auto"/>
                <w:lang w:val="en-US" w:eastAsia="zh-CN"/>
              </w:rPr>
              <w:t>布点要求（续）</w:t>
            </w:r>
          </w:p>
        </w:tc>
      </w:tr>
      <w:tr w14:paraId="7E741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654" w:type="dxa"/>
            <w:tcBorders>
              <w:top w:val="single" w:color="auto" w:sz="4" w:space="0"/>
              <w:left w:val="single" w:color="auto" w:sz="4" w:space="0"/>
              <w:bottom w:val="single" w:color="auto" w:sz="4" w:space="0"/>
              <w:right w:val="single" w:color="auto" w:sz="4" w:space="0"/>
            </w:tcBorders>
            <w:vAlign w:val="center"/>
          </w:tcPr>
          <w:p w14:paraId="2EA551A7">
            <w:pPr>
              <w:pStyle w:val="146"/>
              <w:rPr>
                <w:rFonts w:hint="eastAsia" w:ascii="黑体" w:hAnsi="黑体" w:eastAsia="黑体"/>
                <w:bCs/>
                <w:color w:val="auto"/>
              </w:rPr>
            </w:pPr>
            <w:r>
              <w:rPr>
                <w:rFonts w:hint="eastAsia" w:cs="宋体"/>
                <w:bCs/>
                <w:sz w:val="18"/>
                <w:szCs w:val="18"/>
                <w:lang w:val="en-US" w:eastAsia="zh-CN"/>
              </w:rPr>
              <w:t>序号</w:t>
            </w:r>
          </w:p>
        </w:tc>
        <w:tc>
          <w:tcPr>
            <w:tcW w:w="1783" w:type="dxa"/>
            <w:gridSpan w:val="2"/>
            <w:tcBorders>
              <w:top w:val="single" w:color="auto" w:sz="4" w:space="0"/>
              <w:left w:val="single" w:color="auto" w:sz="4" w:space="0"/>
              <w:bottom w:val="single" w:color="auto" w:sz="4" w:space="0"/>
              <w:right w:val="single" w:color="auto" w:sz="4" w:space="0"/>
            </w:tcBorders>
            <w:vAlign w:val="center"/>
          </w:tcPr>
          <w:p w14:paraId="0FDBC176">
            <w:pPr>
              <w:pStyle w:val="146"/>
              <w:rPr>
                <w:rFonts w:hint="eastAsia" w:ascii="黑体" w:hAnsi="黑体" w:eastAsia="黑体"/>
                <w:bCs/>
                <w:color w:val="auto"/>
              </w:rPr>
            </w:pPr>
            <w:r>
              <w:rPr>
                <w:rFonts w:hint="eastAsia" w:cs="宋体"/>
                <w:bCs/>
                <w:sz w:val="18"/>
                <w:szCs w:val="18"/>
              </w:rPr>
              <w:t>监测对象</w:t>
            </w:r>
          </w:p>
        </w:tc>
        <w:tc>
          <w:tcPr>
            <w:tcW w:w="2022" w:type="dxa"/>
            <w:tcBorders>
              <w:top w:val="single" w:color="auto" w:sz="4" w:space="0"/>
              <w:left w:val="single" w:color="auto" w:sz="4" w:space="0"/>
              <w:bottom w:val="single" w:color="auto" w:sz="4" w:space="0"/>
              <w:right w:val="single" w:color="auto" w:sz="4" w:space="0"/>
            </w:tcBorders>
            <w:vAlign w:val="center"/>
          </w:tcPr>
          <w:p w14:paraId="654D210B">
            <w:pPr>
              <w:pStyle w:val="146"/>
              <w:rPr>
                <w:rFonts w:hint="eastAsia" w:ascii="黑体" w:hAnsi="黑体" w:eastAsia="黑体"/>
                <w:bCs/>
                <w:color w:val="auto"/>
              </w:rPr>
            </w:pPr>
            <w:r>
              <w:rPr>
                <w:rFonts w:hint="eastAsia" w:cs="宋体"/>
                <w:bCs/>
                <w:sz w:val="18"/>
                <w:szCs w:val="18"/>
              </w:rPr>
              <w:t>监测指标</w:t>
            </w:r>
          </w:p>
        </w:tc>
        <w:tc>
          <w:tcPr>
            <w:tcW w:w="1010" w:type="dxa"/>
            <w:tcBorders>
              <w:top w:val="single" w:color="auto" w:sz="4" w:space="0"/>
              <w:left w:val="single" w:color="auto" w:sz="4" w:space="0"/>
              <w:bottom w:val="single" w:color="auto" w:sz="4" w:space="0"/>
              <w:right w:val="single" w:color="auto" w:sz="4" w:space="0"/>
            </w:tcBorders>
            <w:vAlign w:val="center"/>
          </w:tcPr>
          <w:p w14:paraId="2E86D7ED">
            <w:pPr>
              <w:pStyle w:val="146"/>
              <w:rPr>
                <w:rFonts w:hint="eastAsia" w:ascii="黑体" w:hAnsi="黑体" w:eastAsia="黑体"/>
                <w:bCs/>
                <w:color w:val="auto"/>
              </w:rPr>
            </w:pPr>
            <w:r>
              <w:rPr>
                <w:rFonts w:hint="eastAsia" w:cs="宋体"/>
                <w:bCs/>
                <w:sz w:val="18"/>
                <w:szCs w:val="18"/>
              </w:rPr>
              <w:t>监测要求</w:t>
            </w:r>
          </w:p>
        </w:tc>
        <w:tc>
          <w:tcPr>
            <w:tcW w:w="3013" w:type="dxa"/>
            <w:tcBorders>
              <w:top w:val="single" w:color="auto" w:sz="4" w:space="0"/>
              <w:left w:val="single" w:color="auto" w:sz="4" w:space="0"/>
              <w:bottom w:val="single" w:color="auto" w:sz="4" w:space="0"/>
              <w:right w:val="single" w:color="auto" w:sz="4" w:space="0"/>
            </w:tcBorders>
            <w:vAlign w:val="center"/>
          </w:tcPr>
          <w:p w14:paraId="21290956">
            <w:pPr>
              <w:pStyle w:val="146"/>
              <w:rPr>
                <w:rFonts w:hint="eastAsia" w:ascii="黑体" w:hAnsi="黑体" w:eastAsia="黑体"/>
                <w:bCs/>
                <w:color w:val="auto"/>
              </w:rPr>
            </w:pPr>
            <w:r>
              <w:rPr>
                <w:rFonts w:hint="eastAsia" w:ascii="宋体" w:hAnsi="宋体" w:cs="宋体"/>
                <w:color w:val="000000"/>
                <w:kern w:val="0"/>
                <w:sz w:val="18"/>
                <w:szCs w:val="18"/>
              </w:rPr>
              <w:t>监测布</w:t>
            </w:r>
            <w:r>
              <w:rPr>
                <w:rFonts w:hint="eastAsia" w:ascii="宋体" w:hAnsi="宋体" w:cs="宋体"/>
                <w:color w:val="000000"/>
                <w:kern w:val="0"/>
                <w:sz w:val="18"/>
                <w:szCs w:val="18"/>
                <w:lang w:val="en-US" w:eastAsia="zh-CN"/>
              </w:rPr>
              <w:t>点</w:t>
            </w:r>
            <w:r>
              <w:rPr>
                <w:rFonts w:hint="eastAsia" w:ascii="宋体" w:hAnsi="宋体" w:cs="宋体"/>
                <w:color w:val="000000"/>
                <w:kern w:val="0"/>
                <w:sz w:val="18"/>
                <w:szCs w:val="18"/>
              </w:rPr>
              <w:t>要求</w:t>
            </w:r>
          </w:p>
        </w:tc>
      </w:tr>
      <w:tr w14:paraId="04CE0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654" w:type="dxa"/>
            <w:vMerge w:val="restart"/>
            <w:tcBorders>
              <w:top w:val="single" w:color="auto" w:sz="4" w:space="0"/>
              <w:left w:val="single" w:color="auto" w:sz="4" w:space="0"/>
              <w:bottom w:val="single" w:color="auto" w:sz="4" w:space="0"/>
              <w:right w:val="single" w:color="auto" w:sz="4" w:space="0"/>
            </w:tcBorders>
            <w:vAlign w:val="center"/>
          </w:tcPr>
          <w:p w14:paraId="70D8C9F3">
            <w:pPr>
              <w:widowControl/>
              <w:spacing w:beforeLines="0" w:afterLines="0" w:line="240" w:lineRule="auto"/>
              <w:jc w:val="center"/>
              <w:rPr>
                <w:rFonts w:hint="default" w:eastAsia="宋体" w:cs="宋体"/>
                <w:bCs/>
                <w:sz w:val="18"/>
                <w:szCs w:val="18"/>
                <w:lang w:val="en-US" w:eastAsia="zh-CN"/>
              </w:rPr>
            </w:pPr>
            <w:r>
              <w:rPr>
                <w:rFonts w:hint="eastAsia" w:cs="宋体"/>
                <w:bCs/>
                <w:sz w:val="18"/>
                <w:szCs w:val="18"/>
                <w:lang w:val="en-US" w:eastAsia="zh-CN"/>
              </w:rPr>
              <w:t>19</w:t>
            </w:r>
          </w:p>
        </w:tc>
        <w:tc>
          <w:tcPr>
            <w:tcW w:w="65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9AD638A">
            <w:pPr>
              <w:pStyle w:val="146"/>
              <w:rPr>
                <w:rFonts w:hint="eastAsia" w:ascii="Times New Roman" w:hAnsi="Times New Roman" w:eastAsia="宋体" w:cs="宋体"/>
                <w:bCs/>
                <w:kern w:val="2"/>
                <w:sz w:val="18"/>
                <w:szCs w:val="18"/>
                <w:lang w:val="en-US" w:eastAsia="zh-CN" w:bidi="ar-SA"/>
              </w:rPr>
            </w:pPr>
            <w:r>
              <w:rPr>
                <w:rFonts w:hint="eastAsia" w:cs="宋体"/>
                <w:bCs/>
                <w:sz w:val="18"/>
                <w:szCs w:val="18"/>
              </w:rPr>
              <w:t>结构变化</w:t>
            </w:r>
          </w:p>
        </w:tc>
        <w:tc>
          <w:tcPr>
            <w:tcW w:w="1128" w:type="dxa"/>
            <w:vMerge w:val="restart"/>
            <w:tcBorders>
              <w:top w:val="single" w:color="auto" w:sz="4" w:space="0"/>
              <w:left w:val="single" w:color="auto" w:sz="4" w:space="0"/>
              <w:bottom w:val="single" w:color="auto" w:sz="4" w:space="0"/>
              <w:right w:val="single" w:color="auto" w:sz="4" w:space="0"/>
            </w:tcBorders>
            <w:vAlign w:val="center"/>
          </w:tcPr>
          <w:p w14:paraId="6DBB3E89">
            <w:pPr>
              <w:pStyle w:val="146"/>
              <w:rPr>
                <w:rFonts w:cs="宋体"/>
                <w:bCs/>
                <w:sz w:val="18"/>
                <w:szCs w:val="18"/>
              </w:rPr>
            </w:pPr>
            <w:r>
              <w:rPr>
                <w:rFonts w:hint="eastAsia" w:cs="宋体"/>
                <w:bCs/>
                <w:sz w:val="18"/>
                <w:szCs w:val="18"/>
              </w:rPr>
              <w:t>裂缝</w:t>
            </w:r>
          </w:p>
        </w:tc>
        <w:tc>
          <w:tcPr>
            <w:tcW w:w="2022" w:type="dxa"/>
            <w:tcBorders>
              <w:top w:val="single" w:color="auto" w:sz="4" w:space="0"/>
              <w:left w:val="single" w:color="auto" w:sz="4" w:space="0"/>
              <w:bottom w:val="single" w:color="auto" w:sz="4" w:space="0"/>
              <w:right w:val="single" w:color="auto" w:sz="4" w:space="0"/>
            </w:tcBorders>
            <w:vAlign w:val="center"/>
          </w:tcPr>
          <w:p w14:paraId="4B22D32F">
            <w:pPr>
              <w:pStyle w:val="146"/>
              <w:rPr>
                <w:rFonts w:cs="宋体"/>
                <w:bCs/>
                <w:sz w:val="18"/>
                <w:szCs w:val="18"/>
              </w:rPr>
            </w:pPr>
            <w:r>
              <w:rPr>
                <w:rFonts w:hint="eastAsia" w:cs="宋体"/>
                <w:bCs/>
                <w:sz w:val="18"/>
                <w:szCs w:val="18"/>
              </w:rPr>
              <w:t>混凝土结构裂缝</w:t>
            </w:r>
          </w:p>
        </w:tc>
        <w:tc>
          <w:tcPr>
            <w:tcW w:w="1010" w:type="dxa"/>
            <w:tcBorders>
              <w:top w:val="single" w:color="auto" w:sz="4" w:space="0"/>
              <w:left w:val="single" w:color="auto" w:sz="4" w:space="0"/>
              <w:bottom w:val="single" w:color="auto" w:sz="4" w:space="0"/>
              <w:right w:val="single" w:color="auto" w:sz="4" w:space="0"/>
            </w:tcBorders>
            <w:vAlign w:val="center"/>
          </w:tcPr>
          <w:p w14:paraId="1E265937">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5AB5BB18">
            <w:pPr>
              <w:pStyle w:val="146"/>
              <w:rPr>
                <w:rFonts w:cs="宋体"/>
                <w:bCs/>
                <w:sz w:val="18"/>
                <w:szCs w:val="18"/>
              </w:rPr>
            </w:pPr>
            <w:r>
              <w:rPr>
                <w:rFonts w:cs="宋体"/>
                <w:bCs/>
                <w:sz w:val="18"/>
                <w:szCs w:val="18"/>
              </w:rPr>
              <w:t>-</w:t>
            </w:r>
          </w:p>
        </w:tc>
      </w:tr>
      <w:tr w14:paraId="28B39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654" w:type="dxa"/>
            <w:vMerge w:val="continue"/>
            <w:tcBorders>
              <w:top w:val="single" w:color="auto" w:sz="4" w:space="0"/>
              <w:left w:val="single" w:color="auto" w:sz="4" w:space="0"/>
              <w:bottom w:val="single" w:color="auto" w:sz="4" w:space="0"/>
              <w:right w:val="single" w:color="auto" w:sz="4" w:space="0"/>
            </w:tcBorders>
            <w:vAlign w:val="center"/>
          </w:tcPr>
          <w:p w14:paraId="33A0F788">
            <w:pPr>
              <w:widowControl/>
              <w:spacing w:beforeLines="0" w:afterLines="0" w:line="240" w:lineRule="auto"/>
              <w:jc w:val="center"/>
              <w:rPr>
                <w:rFonts w:hint="default" w:eastAsia="宋体" w:cs="宋体"/>
                <w:bCs/>
                <w:sz w:val="18"/>
                <w:szCs w:val="18"/>
                <w:lang w:val="en-US" w:eastAsia="zh-CN"/>
              </w:rPr>
            </w:pP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05103E57">
            <w:pPr>
              <w:widowControl/>
              <w:spacing w:beforeLines="0" w:afterLines="0" w:line="240" w:lineRule="auto"/>
              <w:jc w:val="left"/>
              <w:rPr>
                <w:rFonts w:cs="宋体"/>
                <w:bCs/>
                <w:sz w:val="18"/>
                <w:szCs w:val="18"/>
              </w:rPr>
            </w:pPr>
          </w:p>
        </w:tc>
        <w:tc>
          <w:tcPr>
            <w:tcW w:w="1128" w:type="dxa"/>
            <w:vMerge w:val="continue"/>
            <w:tcBorders>
              <w:top w:val="single" w:color="auto" w:sz="4" w:space="0"/>
              <w:left w:val="single" w:color="auto" w:sz="4" w:space="0"/>
              <w:bottom w:val="single" w:color="auto" w:sz="4" w:space="0"/>
              <w:right w:val="single" w:color="auto" w:sz="4" w:space="0"/>
            </w:tcBorders>
            <w:vAlign w:val="center"/>
          </w:tcPr>
          <w:p w14:paraId="789D1E9E">
            <w:pPr>
              <w:widowControl/>
              <w:spacing w:beforeLines="0" w:afterLines="0" w:line="240" w:lineRule="auto"/>
              <w:jc w:val="left"/>
              <w:rPr>
                <w:rFonts w:cs="宋体"/>
                <w:bCs/>
                <w:sz w:val="18"/>
                <w:szCs w:val="18"/>
              </w:rPr>
            </w:pPr>
          </w:p>
        </w:tc>
        <w:tc>
          <w:tcPr>
            <w:tcW w:w="2022" w:type="dxa"/>
            <w:tcBorders>
              <w:top w:val="single" w:color="auto" w:sz="4" w:space="0"/>
              <w:left w:val="single" w:color="auto" w:sz="4" w:space="0"/>
              <w:bottom w:val="single" w:color="auto" w:sz="4" w:space="0"/>
              <w:right w:val="single" w:color="auto" w:sz="4" w:space="0"/>
            </w:tcBorders>
            <w:vAlign w:val="center"/>
          </w:tcPr>
          <w:p w14:paraId="49CF9C6C">
            <w:pPr>
              <w:pStyle w:val="146"/>
              <w:rPr>
                <w:rFonts w:cs="宋体"/>
                <w:bCs/>
                <w:sz w:val="18"/>
                <w:szCs w:val="18"/>
              </w:rPr>
            </w:pPr>
            <w:r>
              <w:rPr>
                <w:rFonts w:hint="eastAsia" w:cs="宋体"/>
                <w:bCs/>
                <w:sz w:val="18"/>
                <w:szCs w:val="18"/>
              </w:rPr>
              <w:t>钢结构裂缝</w:t>
            </w:r>
          </w:p>
        </w:tc>
        <w:tc>
          <w:tcPr>
            <w:tcW w:w="1010" w:type="dxa"/>
            <w:tcBorders>
              <w:top w:val="single" w:color="auto" w:sz="4" w:space="0"/>
              <w:left w:val="single" w:color="auto" w:sz="4" w:space="0"/>
              <w:bottom w:val="single" w:color="auto" w:sz="4" w:space="0"/>
              <w:right w:val="single" w:color="auto" w:sz="4" w:space="0"/>
            </w:tcBorders>
            <w:vAlign w:val="center"/>
          </w:tcPr>
          <w:p w14:paraId="7616027E">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58AE1E54">
            <w:pPr>
              <w:pStyle w:val="146"/>
              <w:rPr>
                <w:rFonts w:cs="宋体"/>
                <w:bCs/>
                <w:sz w:val="18"/>
                <w:szCs w:val="18"/>
              </w:rPr>
            </w:pPr>
            <w:r>
              <w:rPr>
                <w:rFonts w:cs="宋体"/>
                <w:bCs/>
                <w:sz w:val="18"/>
                <w:szCs w:val="18"/>
              </w:rPr>
              <w:t>-</w:t>
            </w:r>
          </w:p>
        </w:tc>
      </w:tr>
      <w:tr w14:paraId="73DFF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vMerge w:val="restart"/>
            <w:tcBorders>
              <w:top w:val="single" w:color="auto" w:sz="4" w:space="0"/>
              <w:left w:val="single" w:color="auto" w:sz="4" w:space="0"/>
              <w:bottom w:val="single" w:color="auto" w:sz="4" w:space="0"/>
              <w:right w:val="single" w:color="auto" w:sz="4" w:space="0"/>
            </w:tcBorders>
            <w:vAlign w:val="center"/>
          </w:tcPr>
          <w:p w14:paraId="1A3C2619">
            <w:pPr>
              <w:widowControl/>
              <w:spacing w:beforeLines="0" w:afterLines="0" w:line="240" w:lineRule="auto"/>
              <w:jc w:val="center"/>
              <w:rPr>
                <w:rFonts w:hint="default" w:eastAsia="宋体" w:cs="宋体"/>
                <w:bCs/>
                <w:sz w:val="18"/>
                <w:szCs w:val="18"/>
                <w:lang w:val="en-US" w:eastAsia="zh-CN"/>
              </w:rPr>
            </w:pPr>
            <w:r>
              <w:rPr>
                <w:rFonts w:hint="eastAsia" w:cs="宋体"/>
                <w:bCs/>
                <w:sz w:val="18"/>
                <w:szCs w:val="18"/>
                <w:lang w:val="en-US" w:eastAsia="zh-CN"/>
              </w:rPr>
              <w:t>20</w:t>
            </w: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19A8D3BC">
            <w:pPr>
              <w:widowControl/>
              <w:spacing w:beforeLines="0" w:afterLines="0" w:line="240" w:lineRule="auto"/>
              <w:jc w:val="left"/>
              <w:rPr>
                <w:rFonts w:cs="宋体"/>
                <w:bCs/>
                <w:sz w:val="18"/>
                <w:szCs w:val="18"/>
              </w:rPr>
            </w:pPr>
          </w:p>
        </w:tc>
        <w:tc>
          <w:tcPr>
            <w:tcW w:w="1128" w:type="dxa"/>
            <w:vMerge w:val="restart"/>
            <w:tcBorders>
              <w:top w:val="single" w:color="auto" w:sz="4" w:space="0"/>
              <w:left w:val="single" w:color="auto" w:sz="4" w:space="0"/>
              <w:bottom w:val="single" w:color="auto" w:sz="4" w:space="0"/>
              <w:right w:val="single" w:color="auto" w:sz="4" w:space="0"/>
            </w:tcBorders>
            <w:vAlign w:val="center"/>
          </w:tcPr>
          <w:p w14:paraId="5B505FFF">
            <w:pPr>
              <w:pStyle w:val="146"/>
              <w:rPr>
                <w:rFonts w:cs="宋体"/>
                <w:bCs/>
                <w:sz w:val="18"/>
                <w:szCs w:val="18"/>
              </w:rPr>
            </w:pPr>
            <w:r>
              <w:rPr>
                <w:rFonts w:hint="eastAsia" w:cs="宋体"/>
                <w:bCs/>
                <w:sz w:val="18"/>
                <w:szCs w:val="18"/>
              </w:rPr>
              <w:t>腐蚀</w:t>
            </w:r>
          </w:p>
        </w:tc>
        <w:tc>
          <w:tcPr>
            <w:tcW w:w="2022" w:type="dxa"/>
            <w:tcBorders>
              <w:top w:val="single" w:color="auto" w:sz="4" w:space="0"/>
              <w:left w:val="single" w:color="auto" w:sz="4" w:space="0"/>
              <w:bottom w:val="single" w:color="auto" w:sz="4" w:space="0"/>
              <w:right w:val="single" w:color="auto" w:sz="4" w:space="0"/>
            </w:tcBorders>
            <w:vAlign w:val="center"/>
          </w:tcPr>
          <w:p w14:paraId="2919A522">
            <w:pPr>
              <w:pStyle w:val="146"/>
              <w:rPr>
                <w:rFonts w:cs="宋体"/>
                <w:bCs/>
                <w:sz w:val="18"/>
                <w:szCs w:val="18"/>
              </w:rPr>
            </w:pPr>
            <w:r>
              <w:rPr>
                <w:rFonts w:hint="eastAsia" w:cs="宋体"/>
                <w:bCs/>
                <w:sz w:val="18"/>
                <w:szCs w:val="18"/>
              </w:rPr>
              <w:t>墩身、承台混凝土氯离子浓度</w:t>
            </w:r>
          </w:p>
        </w:tc>
        <w:tc>
          <w:tcPr>
            <w:tcW w:w="1010" w:type="dxa"/>
            <w:tcBorders>
              <w:top w:val="single" w:color="auto" w:sz="4" w:space="0"/>
              <w:left w:val="single" w:color="auto" w:sz="4" w:space="0"/>
              <w:bottom w:val="single" w:color="auto" w:sz="4" w:space="0"/>
              <w:right w:val="single" w:color="auto" w:sz="4" w:space="0"/>
            </w:tcBorders>
            <w:vAlign w:val="center"/>
          </w:tcPr>
          <w:p w14:paraId="1C328EBD">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7ED5CF9B">
            <w:pPr>
              <w:pStyle w:val="146"/>
              <w:rPr>
                <w:rFonts w:cs="宋体"/>
                <w:bCs/>
                <w:sz w:val="18"/>
                <w:szCs w:val="18"/>
              </w:rPr>
            </w:pPr>
            <w:r>
              <w:rPr>
                <w:rFonts w:cs="宋体"/>
                <w:bCs/>
                <w:sz w:val="18"/>
                <w:szCs w:val="18"/>
              </w:rPr>
              <w:t>-</w:t>
            </w:r>
          </w:p>
        </w:tc>
      </w:tr>
      <w:tr w14:paraId="3BF85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vMerge w:val="continue"/>
            <w:tcBorders>
              <w:top w:val="single" w:color="auto" w:sz="4" w:space="0"/>
              <w:left w:val="single" w:color="auto" w:sz="4" w:space="0"/>
              <w:bottom w:val="single" w:color="auto" w:sz="4" w:space="0"/>
              <w:right w:val="single" w:color="auto" w:sz="4" w:space="0"/>
            </w:tcBorders>
            <w:vAlign w:val="center"/>
          </w:tcPr>
          <w:p w14:paraId="5869C6FB">
            <w:pPr>
              <w:widowControl/>
              <w:spacing w:beforeLines="0" w:afterLines="0" w:line="240" w:lineRule="auto"/>
              <w:jc w:val="center"/>
              <w:rPr>
                <w:rFonts w:cs="宋体"/>
                <w:bCs/>
                <w:sz w:val="18"/>
                <w:szCs w:val="18"/>
              </w:rPr>
            </w:pP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3B6C3B4E">
            <w:pPr>
              <w:widowControl/>
              <w:spacing w:beforeLines="0" w:afterLines="0" w:line="240" w:lineRule="auto"/>
              <w:jc w:val="left"/>
              <w:rPr>
                <w:rFonts w:cs="宋体"/>
                <w:bCs/>
                <w:sz w:val="18"/>
                <w:szCs w:val="18"/>
              </w:rPr>
            </w:pPr>
          </w:p>
        </w:tc>
        <w:tc>
          <w:tcPr>
            <w:tcW w:w="1128" w:type="dxa"/>
            <w:vMerge w:val="continue"/>
            <w:tcBorders>
              <w:top w:val="single" w:color="auto" w:sz="4" w:space="0"/>
              <w:left w:val="single" w:color="auto" w:sz="4" w:space="0"/>
              <w:bottom w:val="single" w:color="auto" w:sz="4" w:space="0"/>
              <w:right w:val="single" w:color="auto" w:sz="4" w:space="0"/>
            </w:tcBorders>
            <w:vAlign w:val="center"/>
          </w:tcPr>
          <w:p w14:paraId="6B37B74E">
            <w:pPr>
              <w:widowControl/>
              <w:spacing w:beforeLines="0" w:afterLines="0" w:line="240" w:lineRule="auto"/>
              <w:jc w:val="left"/>
              <w:rPr>
                <w:rFonts w:cs="宋体"/>
                <w:bCs/>
                <w:sz w:val="18"/>
                <w:szCs w:val="18"/>
              </w:rPr>
            </w:pPr>
          </w:p>
        </w:tc>
        <w:tc>
          <w:tcPr>
            <w:tcW w:w="2022" w:type="dxa"/>
            <w:tcBorders>
              <w:top w:val="single" w:color="auto" w:sz="4" w:space="0"/>
              <w:left w:val="single" w:color="auto" w:sz="4" w:space="0"/>
              <w:bottom w:val="single" w:color="auto" w:sz="4" w:space="0"/>
              <w:right w:val="single" w:color="auto" w:sz="4" w:space="0"/>
            </w:tcBorders>
            <w:vAlign w:val="center"/>
          </w:tcPr>
          <w:p w14:paraId="3DD91FC2">
            <w:pPr>
              <w:pStyle w:val="146"/>
              <w:rPr>
                <w:rFonts w:cs="宋体"/>
                <w:bCs/>
                <w:sz w:val="18"/>
                <w:szCs w:val="18"/>
              </w:rPr>
            </w:pPr>
            <w:r>
              <w:rPr>
                <w:rFonts w:hint="eastAsia" w:cs="宋体"/>
                <w:bCs/>
                <w:sz w:val="18"/>
                <w:szCs w:val="18"/>
              </w:rPr>
              <w:t>墩身、承台混凝土氯离子侵蚀深度</w:t>
            </w:r>
          </w:p>
        </w:tc>
        <w:tc>
          <w:tcPr>
            <w:tcW w:w="1010" w:type="dxa"/>
            <w:tcBorders>
              <w:top w:val="single" w:color="auto" w:sz="4" w:space="0"/>
              <w:left w:val="single" w:color="auto" w:sz="4" w:space="0"/>
              <w:bottom w:val="single" w:color="auto" w:sz="4" w:space="0"/>
              <w:right w:val="single" w:color="auto" w:sz="4" w:space="0"/>
            </w:tcBorders>
            <w:vAlign w:val="center"/>
          </w:tcPr>
          <w:p w14:paraId="3D8FB170">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217660D7">
            <w:pPr>
              <w:pStyle w:val="146"/>
              <w:rPr>
                <w:rFonts w:cs="宋体"/>
                <w:bCs/>
                <w:sz w:val="18"/>
                <w:szCs w:val="18"/>
              </w:rPr>
            </w:pPr>
            <w:r>
              <w:rPr>
                <w:rFonts w:cs="宋体"/>
                <w:bCs/>
                <w:sz w:val="18"/>
                <w:szCs w:val="18"/>
              </w:rPr>
              <w:t>-</w:t>
            </w:r>
          </w:p>
        </w:tc>
      </w:tr>
      <w:tr w14:paraId="12BEB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tcBorders>
              <w:top w:val="single" w:color="auto" w:sz="4" w:space="0"/>
              <w:left w:val="single" w:color="auto" w:sz="4" w:space="0"/>
              <w:bottom w:val="single" w:color="auto" w:sz="4" w:space="0"/>
              <w:right w:val="single" w:color="auto" w:sz="4" w:space="0"/>
            </w:tcBorders>
            <w:vAlign w:val="center"/>
          </w:tcPr>
          <w:p w14:paraId="1E6014BE">
            <w:pPr>
              <w:widowControl/>
              <w:spacing w:beforeLines="0" w:afterLines="0" w:line="240" w:lineRule="auto"/>
              <w:jc w:val="center"/>
              <w:rPr>
                <w:rFonts w:hint="default" w:eastAsia="宋体" w:cs="宋体"/>
                <w:bCs/>
                <w:sz w:val="18"/>
                <w:szCs w:val="18"/>
                <w:lang w:val="en-US" w:eastAsia="zh-CN"/>
              </w:rPr>
            </w:pPr>
            <w:r>
              <w:rPr>
                <w:rFonts w:hint="eastAsia" w:cs="宋体"/>
                <w:bCs/>
                <w:sz w:val="18"/>
                <w:szCs w:val="18"/>
                <w:lang w:val="en-US" w:eastAsia="zh-CN"/>
              </w:rPr>
              <w:t>21</w:t>
            </w:r>
          </w:p>
        </w:tc>
        <w:tc>
          <w:tcPr>
            <w:tcW w:w="655" w:type="dxa"/>
            <w:vMerge w:val="continue"/>
            <w:tcBorders>
              <w:top w:val="single" w:color="auto" w:sz="4" w:space="0"/>
              <w:left w:val="single" w:color="auto" w:sz="4" w:space="0"/>
              <w:right w:val="single" w:color="auto" w:sz="4" w:space="0"/>
            </w:tcBorders>
            <w:vAlign w:val="center"/>
          </w:tcPr>
          <w:p w14:paraId="0A4F7C9B">
            <w:pPr>
              <w:widowControl/>
              <w:spacing w:beforeLines="0" w:afterLines="0" w:line="240" w:lineRule="auto"/>
              <w:jc w:val="left"/>
              <w:rPr>
                <w:rFonts w:cs="宋体"/>
                <w:bCs/>
                <w:sz w:val="18"/>
                <w:szCs w:val="18"/>
              </w:rPr>
            </w:pPr>
          </w:p>
        </w:tc>
        <w:tc>
          <w:tcPr>
            <w:tcW w:w="1128" w:type="dxa"/>
            <w:tcBorders>
              <w:top w:val="single" w:color="auto" w:sz="4" w:space="0"/>
              <w:left w:val="single" w:color="auto" w:sz="4" w:space="0"/>
              <w:bottom w:val="single" w:color="auto" w:sz="4" w:space="0"/>
              <w:right w:val="single" w:color="auto" w:sz="4" w:space="0"/>
            </w:tcBorders>
            <w:vAlign w:val="center"/>
          </w:tcPr>
          <w:p w14:paraId="2F2C5DEB">
            <w:pPr>
              <w:pStyle w:val="146"/>
              <w:rPr>
                <w:rFonts w:cs="宋体"/>
                <w:bCs/>
                <w:sz w:val="18"/>
                <w:szCs w:val="18"/>
              </w:rPr>
            </w:pPr>
            <w:r>
              <w:rPr>
                <w:rFonts w:hint="eastAsia" w:cs="宋体"/>
                <w:bCs/>
                <w:sz w:val="18"/>
                <w:szCs w:val="18"/>
              </w:rPr>
              <w:t>预应力</w:t>
            </w:r>
          </w:p>
        </w:tc>
        <w:tc>
          <w:tcPr>
            <w:tcW w:w="2022" w:type="dxa"/>
            <w:tcBorders>
              <w:top w:val="single" w:color="auto" w:sz="4" w:space="0"/>
              <w:left w:val="single" w:color="auto" w:sz="4" w:space="0"/>
              <w:bottom w:val="single" w:color="auto" w:sz="4" w:space="0"/>
              <w:right w:val="single" w:color="auto" w:sz="4" w:space="0"/>
            </w:tcBorders>
            <w:vAlign w:val="center"/>
          </w:tcPr>
          <w:p w14:paraId="4374C482">
            <w:pPr>
              <w:pStyle w:val="146"/>
              <w:rPr>
                <w:rFonts w:cs="宋体"/>
                <w:bCs/>
                <w:sz w:val="18"/>
                <w:szCs w:val="18"/>
              </w:rPr>
            </w:pPr>
            <w:r>
              <w:rPr>
                <w:rFonts w:hint="eastAsia" w:cs="宋体"/>
                <w:bCs/>
                <w:sz w:val="18"/>
                <w:szCs w:val="18"/>
              </w:rPr>
              <w:t>体外预应力</w:t>
            </w:r>
          </w:p>
        </w:tc>
        <w:tc>
          <w:tcPr>
            <w:tcW w:w="1010" w:type="dxa"/>
            <w:tcBorders>
              <w:top w:val="single" w:color="auto" w:sz="4" w:space="0"/>
              <w:left w:val="single" w:color="auto" w:sz="4" w:space="0"/>
              <w:bottom w:val="single" w:color="auto" w:sz="4" w:space="0"/>
              <w:right w:val="single" w:color="auto" w:sz="4" w:space="0"/>
            </w:tcBorders>
            <w:vAlign w:val="center"/>
          </w:tcPr>
          <w:p w14:paraId="65075FE6">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60BFC30F">
            <w:pPr>
              <w:pStyle w:val="146"/>
              <w:rPr>
                <w:rFonts w:cs="宋体"/>
                <w:bCs/>
                <w:sz w:val="18"/>
                <w:szCs w:val="18"/>
              </w:rPr>
            </w:pPr>
            <w:r>
              <w:rPr>
                <w:rFonts w:cs="宋体"/>
                <w:bCs/>
                <w:sz w:val="18"/>
                <w:szCs w:val="18"/>
              </w:rPr>
              <w:t>-</w:t>
            </w:r>
          </w:p>
        </w:tc>
      </w:tr>
      <w:tr w14:paraId="21628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54" w:type="dxa"/>
            <w:tcBorders>
              <w:top w:val="single" w:color="auto" w:sz="4" w:space="0"/>
              <w:left w:val="single" w:color="auto" w:sz="4" w:space="0"/>
              <w:bottom w:val="single" w:color="auto" w:sz="4" w:space="0"/>
              <w:right w:val="single" w:color="auto" w:sz="4" w:space="0"/>
            </w:tcBorders>
            <w:vAlign w:val="center"/>
          </w:tcPr>
          <w:p w14:paraId="232C29D3">
            <w:pPr>
              <w:widowControl/>
              <w:spacing w:beforeLines="0" w:afterLines="0" w:line="240" w:lineRule="auto"/>
              <w:jc w:val="center"/>
              <w:rPr>
                <w:rFonts w:hint="default" w:eastAsia="宋体" w:cs="宋体"/>
                <w:bCs/>
                <w:sz w:val="18"/>
                <w:szCs w:val="18"/>
                <w:lang w:val="en-US" w:eastAsia="zh-CN"/>
              </w:rPr>
            </w:pPr>
            <w:r>
              <w:rPr>
                <w:rFonts w:hint="eastAsia" w:cs="宋体"/>
                <w:bCs/>
                <w:sz w:val="18"/>
                <w:szCs w:val="18"/>
                <w:lang w:val="en-US" w:eastAsia="zh-CN"/>
              </w:rPr>
              <w:t>22</w:t>
            </w:r>
          </w:p>
        </w:tc>
        <w:tc>
          <w:tcPr>
            <w:tcW w:w="655" w:type="dxa"/>
            <w:vMerge w:val="continue"/>
            <w:tcBorders>
              <w:left w:val="single" w:color="auto" w:sz="4" w:space="0"/>
              <w:bottom w:val="single" w:color="auto" w:sz="4" w:space="0"/>
              <w:right w:val="single" w:color="auto" w:sz="4" w:space="0"/>
            </w:tcBorders>
            <w:vAlign w:val="center"/>
          </w:tcPr>
          <w:p w14:paraId="575776EF">
            <w:pPr>
              <w:widowControl/>
              <w:spacing w:beforeLines="0" w:afterLines="0" w:line="240" w:lineRule="auto"/>
              <w:jc w:val="left"/>
              <w:rPr>
                <w:rFonts w:cs="宋体"/>
                <w:bCs/>
                <w:sz w:val="18"/>
                <w:szCs w:val="18"/>
              </w:rPr>
            </w:pPr>
          </w:p>
        </w:tc>
        <w:tc>
          <w:tcPr>
            <w:tcW w:w="1128" w:type="dxa"/>
            <w:tcBorders>
              <w:top w:val="single" w:color="auto" w:sz="4" w:space="0"/>
              <w:left w:val="single" w:color="auto" w:sz="4" w:space="0"/>
              <w:bottom w:val="single" w:color="auto" w:sz="4" w:space="0"/>
              <w:right w:val="single" w:color="auto" w:sz="4" w:space="0"/>
            </w:tcBorders>
            <w:vAlign w:val="center"/>
          </w:tcPr>
          <w:p w14:paraId="0A55EDB6">
            <w:pPr>
              <w:pStyle w:val="146"/>
              <w:rPr>
                <w:rFonts w:cs="宋体"/>
                <w:bCs/>
                <w:sz w:val="18"/>
                <w:szCs w:val="18"/>
              </w:rPr>
            </w:pPr>
            <w:r>
              <w:rPr>
                <w:rFonts w:hint="eastAsia" w:cs="宋体"/>
                <w:bCs/>
                <w:sz w:val="18"/>
                <w:szCs w:val="18"/>
              </w:rPr>
              <w:t>螺栓状态</w:t>
            </w:r>
          </w:p>
        </w:tc>
        <w:tc>
          <w:tcPr>
            <w:tcW w:w="2022" w:type="dxa"/>
            <w:tcBorders>
              <w:top w:val="single" w:color="auto" w:sz="4" w:space="0"/>
              <w:left w:val="single" w:color="auto" w:sz="4" w:space="0"/>
              <w:bottom w:val="single" w:color="auto" w:sz="4" w:space="0"/>
              <w:right w:val="single" w:color="auto" w:sz="4" w:space="0"/>
            </w:tcBorders>
            <w:vAlign w:val="center"/>
          </w:tcPr>
          <w:p w14:paraId="7795096E">
            <w:pPr>
              <w:pStyle w:val="146"/>
              <w:rPr>
                <w:rFonts w:cs="宋体"/>
                <w:bCs/>
                <w:sz w:val="18"/>
                <w:szCs w:val="18"/>
              </w:rPr>
            </w:pPr>
            <w:r>
              <w:rPr>
                <w:rFonts w:hint="eastAsia" w:cs="宋体"/>
                <w:bCs/>
                <w:sz w:val="18"/>
                <w:szCs w:val="18"/>
              </w:rPr>
              <w:t>高强螺栓紧固力、螺栓滑脱</w:t>
            </w:r>
          </w:p>
        </w:tc>
        <w:tc>
          <w:tcPr>
            <w:tcW w:w="1010" w:type="dxa"/>
            <w:tcBorders>
              <w:top w:val="single" w:color="auto" w:sz="4" w:space="0"/>
              <w:left w:val="single" w:color="auto" w:sz="4" w:space="0"/>
              <w:bottom w:val="single" w:color="auto" w:sz="4" w:space="0"/>
              <w:right w:val="single" w:color="auto" w:sz="4" w:space="0"/>
            </w:tcBorders>
            <w:vAlign w:val="center"/>
          </w:tcPr>
          <w:p w14:paraId="482D83F5">
            <w:pPr>
              <w:pStyle w:val="146"/>
              <w:rPr>
                <w:rFonts w:cs="宋体"/>
                <w:bCs/>
                <w:sz w:val="18"/>
                <w:szCs w:val="18"/>
              </w:rPr>
            </w:pPr>
            <w:r>
              <w:rPr>
                <w:rFonts w:hint="eastAsia" w:cs="宋体"/>
                <w:bCs/>
                <w:sz w:val="18"/>
                <w:szCs w:val="18"/>
              </w:rPr>
              <w:t>◎</w:t>
            </w:r>
          </w:p>
        </w:tc>
        <w:tc>
          <w:tcPr>
            <w:tcW w:w="3013" w:type="dxa"/>
            <w:tcBorders>
              <w:top w:val="single" w:color="auto" w:sz="4" w:space="0"/>
              <w:left w:val="single" w:color="auto" w:sz="4" w:space="0"/>
              <w:bottom w:val="single" w:color="auto" w:sz="4" w:space="0"/>
              <w:right w:val="single" w:color="auto" w:sz="4" w:space="0"/>
            </w:tcBorders>
            <w:vAlign w:val="center"/>
          </w:tcPr>
          <w:p w14:paraId="1A6ECCC7">
            <w:pPr>
              <w:pStyle w:val="146"/>
              <w:rPr>
                <w:rFonts w:cs="宋体"/>
                <w:bCs/>
                <w:sz w:val="18"/>
                <w:szCs w:val="18"/>
              </w:rPr>
            </w:pPr>
            <w:r>
              <w:rPr>
                <w:rFonts w:cs="宋体"/>
                <w:bCs/>
                <w:sz w:val="18"/>
                <w:szCs w:val="18"/>
              </w:rPr>
              <w:t>-</w:t>
            </w:r>
          </w:p>
        </w:tc>
      </w:tr>
      <w:tr w14:paraId="021A3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82" w:type="dxa"/>
            <w:gridSpan w:val="6"/>
            <w:tcBorders>
              <w:top w:val="single" w:color="auto" w:sz="4" w:space="0"/>
              <w:left w:val="single" w:color="auto" w:sz="4" w:space="0"/>
              <w:bottom w:val="single" w:color="auto" w:sz="4" w:space="0"/>
              <w:right w:val="single" w:color="auto" w:sz="4" w:space="0"/>
            </w:tcBorders>
            <w:vAlign w:val="center"/>
          </w:tcPr>
          <w:p w14:paraId="043AD65F">
            <w:pPr>
              <w:pStyle w:val="146"/>
              <w:jc w:val="left"/>
              <w:rPr>
                <w:rFonts w:cs="宋体"/>
                <w:bCs/>
                <w:sz w:val="18"/>
                <w:szCs w:val="18"/>
              </w:rPr>
            </w:pPr>
            <w:r>
              <w:rPr>
                <w:rFonts w:hint="eastAsia" w:cs="宋体"/>
                <w:bCs/>
                <w:sz w:val="18"/>
                <w:szCs w:val="18"/>
              </w:rPr>
              <w:t>注：</w:t>
            </w:r>
            <w:r>
              <w:rPr>
                <w:rFonts w:cs="宋体"/>
                <w:bCs/>
                <w:sz w:val="18"/>
                <w:szCs w:val="18"/>
              </w:rPr>
              <w:t>1.</w:t>
            </w:r>
            <w:r>
              <w:rPr>
                <w:rFonts w:hint="eastAsia" w:cs="宋体"/>
                <w:bCs/>
                <w:sz w:val="18"/>
                <w:szCs w:val="18"/>
              </w:rPr>
              <w:t>“●”表示必选监测项、“◎”表示宜选监测项、“○”表示可选监测项；</w:t>
            </w:r>
          </w:p>
          <w:p w14:paraId="6A627CA4">
            <w:pPr>
              <w:pStyle w:val="146"/>
              <w:jc w:val="left"/>
              <w:rPr>
                <w:rFonts w:cs="宋体"/>
                <w:bCs/>
                <w:sz w:val="18"/>
                <w:szCs w:val="18"/>
              </w:rPr>
            </w:pPr>
            <w:r>
              <w:rPr>
                <w:rFonts w:cs="宋体"/>
                <w:bCs/>
                <w:sz w:val="18"/>
                <w:szCs w:val="18"/>
              </w:rPr>
              <w:t>2.</w:t>
            </w:r>
            <w:r>
              <w:rPr>
                <w:rFonts w:hint="eastAsia" w:cs="宋体"/>
                <w:bCs/>
                <w:sz w:val="18"/>
                <w:szCs w:val="18"/>
              </w:rPr>
              <w:t>“―”表示测点布设可根据</w:t>
            </w:r>
            <w:r>
              <w:rPr>
                <w:rFonts w:hint="eastAsia" w:cs="宋体"/>
                <w:bCs/>
                <w:sz w:val="18"/>
                <w:szCs w:val="18"/>
                <w:lang w:eastAsia="zh-CN"/>
              </w:rPr>
              <w:t>现场情况</w:t>
            </w:r>
            <w:r>
              <w:rPr>
                <w:rFonts w:hint="eastAsia" w:cs="宋体"/>
                <w:bCs/>
                <w:sz w:val="18"/>
                <w:szCs w:val="18"/>
              </w:rPr>
              <w:t>选择桥址处适当位置；</w:t>
            </w:r>
          </w:p>
        </w:tc>
      </w:tr>
    </w:tbl>
    <w:p w14:paraId="2BABB4A5">
      <w:pPr>
        <w:rPr>
          <w:rFonts w:hint="eastAsia" w:ascii="黑体" w:hAnsi="黑体" w:eastAsia="黑体"/>
          <w:bCs/>
          <w:color w:val="auto"/>
          <w:lang w:val="en-US" w:eastAsia="zh-CN"/>
        </w:rPr>
      </w:pPr>
      <w:r>
        <w:rPr>
          <w:rFonts w:hint="eastAsia"/>
          <w:b w:val="0"/>
          <w:bCs w:val="0"/>
          <w:lang w:val="en-US" w:eastAsia="zh-CN"/>
        </w:rPr>
        <w:t>连续桥梁（钢构）监测布点要求见表B.5.2。</w:t>
      </w:r>
    </w:p>
    <w:p w14:paraId="56FEC572">
      <w:pPr>
        <w:pStyle w:val="98"/>
        <w:spacing w:before="31" w:after="31"/>
        <w:jc w:val="center"/>
        <w:rPr>
          <w:rFonts w:hint="eastAsia" w:eastAsia="黑体"/>
          <w:lang w:val="en-US" w:eastAsia="zh-CN"/>
        </w:rPr>
      </w:pPr>
      <w:r>
        <w:rPr>
          <w:rFonts w:hint="eastAsia" w:ascii="黑体" w:hAnsi="黑体" w:eastAsia="黑体"/>
          <w:bCs/>
          <w:color w:val="auto"/>
        </w:rPr>
        <w:t>B.5.2</w:t>
      </w:r>
      <w:r>
        <w:rPr>
          <w:rFonts w:ascii="黑体" w:hAnsi="黑体" w:eastAsia="黑体"/>
          <w:bCs/>
          <w:color w:val="auto"/>
        </w:rPr>
        <w:t xml:space="preserve"> </w:t>
      </w:r>
      <w:r>
        <w:rPr>
          <w:rFonts w:hint="eastAsia" w:ascii="黑体" w:hAnsi="黑体" w:eastAsia="黑体"/>
          <w:bCs/>
          <w:color w:val="auto"/>
        </w:rPr>
        <w:t>连续梁（刚构）桥监测</w:t>
      </w:r>
      <w:r>
        <w:rPr>
          <w:rFonts w:hint="eastAsia" w:ascii="黑体" w:hAnsi="黑体" w:eastAsia="黑体"/>
          <w:bCs/>
          <w:color w:val="auto"/>
          <w:lang w:val="en-US" w:eastAsia="zh-CN"/>
        </w:rPr>
        <w:t>布点要求</w:t>
      </w:r>
    </w:p>
    <w:tbl>
      <w:tblPr>
        <w:tblStyle w:val="35"/>
        <w:tblW w:w="4861" w:type="pct"/>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0"/>
        <w:gridCol w:w="638"/>
        <w:gridCol w:w="1100"/>
        <w:gridCol w:w="1957"/>
        <w:gridCol w:w="1014"/>
        <w:gridCol w:w="3169"/>
      </w:tblGrid>
      <w:tr w14:paraId="4B531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354" w:type="pct"/>
            <w:tcBorders>
              <w:top w:val="single" w:color="auto" w:sz="4" w:space="0"/>
              <w:left w:val="single" w:color="auto" w:sz="4" w:space="0"/>
              <w:bottom w:val="single" w:color="auto" w:sz="4" w:space="0"/>
              <w:right w:val="single" w:color="auto" w:sz="4" w:space="0"/>
            </w:tcBorders>
            <w:vAlign w:val="center"/>
          </w:tcPr>
          <w:p w14:paraId="052680A1">
            <w:pPr>
              <w:pStyle w:val="146"/>
              <w:rPr>
                <w:rFonts w:hint="eastAsia" w:eastAsia="宋体" w:cs="宋体"/>
                <w:bCs/>
                <w:sz w:val="18"/>
                <w:szCs w:val="18"/>
                <w:lang w:val="en-US" w:eastAsia="zh-CN"/>
              </w:rPr>
            </w:pPr>
            <w:r>
              <w:rPr>
                <w:rFonts w:hint="eastAsia" w:cs="宋体"/>
                <w:bCs/>
                <w:sz w:val="18"/>
                <w:szCs w:val="18"/>
                <w:lang w:val="en-US" w:eastAsia="zh-CN"/>
              </w:rPr>
              <w:t>序号</w:t>
            </w:r>
          </w:p>
        </w:tc>
        <w:tc>
          <w:tcPr>
            <w:tcW w:w="1025" w:type="pct"/>
            <w:gridSpan w:val="2"/>
            <w:tcBorders>
              <w:top w:val="single" w:color="auto" w:sz="4" w:space="0"/>
              <w:left w:val="single" w:color="auto" w:sz="4" w:space="0"/>
              <w:bottom w:val="single" w:color="auto" w:sz="4" w:space="0"/>
              <w:right w:val="single" w:color="auto" w:sz="4" w:space="0"/>
            </w:tcBorders>
            <w:vAlign w:val="center"/>
          </w:tcPr>
          <w:p w14:paraId="59F65720">
            <w:pPr>
              <w:pStyle w:val="146"/>
              <w:rPr>
                <w:rFonts w:hint="eastAsia" w:cs="宋体"/>
                <w:bCs/>
                <w:sz w:val="18"/>
                <w:szCs w:val="18"/>
              </w:rPr>
            </w:pPr>
            <w:r>
              <w:rPr>
                <w:rFonts w:hint="eastAsia" w:cs="宋体"/>
                <w:bCs/>
                <w:sz w:val="18"/>
                <w:szCs w:val="18"/>
              </w:rPr>
              <w:t>监测对象</w:t>
            </w:r>
          </w:p>
        </w:tc>
        <w:tc>
          <w:tcPr>
            <w:tcW w:w="1154" w:type="pct"/>
            <w:tcBorders>
              <w:top w:val="single" w:color="auto" w:sz="4" w:space="0"/>
              <w:left w:val="single" w:color="auto" w:sz="4" w:space="0"/>
              <w:bottom w:val="single" w:color="auto" w:sz="4" w:space="0"/>
              <w:right w:val="single" w:color="auto" w:sz="4" w:space="0"/>
            </w:tcBorders>
            <w:vAlign w:val="center"/>
          </w:tcPr>
          <w:p w14:paraId="2FF5B39A">
            <w:pPr>
              <w:pStyle w:val="146"/>
              <w:rPr>
                <w:rFonts w:cs="宋体"/>
                <w:bCs/>
                <w:sz w:val="18"/>
                <w:szCs w:val="18"/>
              </w:rPr>
            </w:pPr>
            <w:r>
              <w:rPr>
                <w:rFonts w:hint="eastAsia" w:cs="宋体"/>
                <w:bCs/>
                <w:sz w:val="18"/>
                <w:szCs w:val="18"/>
              </w:rPr>
              <w:t>监测指标</w:t>
            </w:r>
          </w:p>
        </w:tc>
        <w:tc>
          <w:tcPr>
            <w:tcW w:w="598" w:type="pct"/>
            <w:tcBorders>
              <w:top w:val="single" w:color="auto" w:sz="4" w:space="0"/>
              <w:left w:val="single" w:color="auto" w:sz="4" w:space="0"/>
              <w:bottom w:val="single" w:color="auto" w:sz="4" w:space="0"/>
              <w:right w:val="single" w:color="auto" w:sz="4" w:space="0"/>
            </w:tcBorders>
            <w:vAlign w:val="center"/>
          </w:tcPr>
          <w:p w14:paraId="4EB26FEA">
            <w:pPr>
              <w:pStyle w:val="146"/>
              <w:rPr>
                <w:rFonts w:cs="宋体"/>
                <w:bCs/>
                <w:sz w:val="18"/>
                <w:szCs w:val="18"/>
              </w:rPr>
            </w:pPr>
            <w:r>
              <w:rPr>
                <w:rFonts w:hint="eastAsia" w:cs="宋体"/>
                <w:bCs/>
                <w:sz w:val="18"/>
                <w:szCs w:val="18"/>
              </w:rPr>
              <w:t>监测要求</w:t>
            </w:r>
          </w:p>
        </w:tc>
        <w:tc>
          <w:tcPr>
            <w:tcW w:w="1868" w:type="pct"/>
            <w:tcBorders>
              <w:top w:val="single" w:color="auto" w:sz="4" w:space="0"/>
              <w:left w:val="single" w:color="auto" w:sz="4" w:space="0"/>
              <w:bottom w:val="single" w:color="auto" w:sz="4" w:space="0"/>
              <w:right w:val="single" w:color="auto" w:sz="4" w:space="0"/>
            </w:tcBorders>
            <w:vAlign w:val="center"/>
          </w:tcPr>
          <w:p w14:paraId="093AFD78">
            <w:pPr>
              <w:pStyle w:val="146"/>
              <w:rPr>
                <w:rFonts w:cs="宋体"/>
                <w:bCs/>
                <w:sz w:val="18"/>
                <w:szCs w:val="18"/>
              </w:rPr>
            </w:pPr>
            <w:r>
              <w:rPr>
                <w:rFonts w:hint="eastAsia" w:ascii="宋体" w:hAnsi="宋体" w:cs="宋体"/>
                <w:color w:val="000000"/>
                <w:kern w:val="0"/>
                <w:sz w:val="18"/>
                <w:szCs w:val="18"/>
              </w:rPr>
              <w:t>监测布</w:t>
            </w:r>
            <w:r>
              <w:rPr>
                <w:rFonts w:hint="eastAsia" w:ascii="宋体" w:hAnsi="宋体" w:cs="宋体"/>
                <w:color w:val="000000"/>
                <w:kern w:val="0"/>
                <w:sz w:val="18"/>
                <w:szCs w:val="18"/>
                <w:lang w:val="en-US" w:eastAsia="zh-CN"/>
              </w:rPr>
              <w:t>点</w:t>
            </w:r>
            <w:r>
              <w:rPr>
                <w:rFonts w:hint="eastAsia" w:ascii="宋体" w:hAnsi="宋体" w:cs="宋体"/>
                <w:color w:val="000000"/>
                <w:kern w:val="0"/>
                <w:sz w:val="18"/>
                <w:szCs w:val="18"/>
              </w:rPr>
              <w:t>要求</w:t>
            </w:r>
          </w:p>
        </w:tc>
      </w:tr>
      <w:tr w14:paraId="36BF3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vMerge w:val="restart"/>
            <w:tcBorders>
              <w:top w:val="single" w:color="auto" w:sz="4" w:space="0"/>
              <w:left w:val="single" w:color="auto" w:sz="4" w:space="0"/>
              <w:right w:val="single" w:color="auto" w:sz="4" w:space="0"/>
            </w:tcBorders>
            <w:vAlign w:val="center"/>
          </w:tcPr>
          <w:p w14:paraId="2AF0243D">
            <w:pPr>
              <w:pStyle w:val="146"/>
              <w:jc w:val="center"/>
              <w:rPr>
                <w:rFonts w:hint="default" w:eastAsia="宋体" w:cs="宋体"/>
                <w:bCs/>
                <w:sz w:val="18"/>
                <w:szCs w:val="18"/>
                <w:lang w:val="en-US" w:eastAsia="zh-CN"/>
              </w:rPr>
            </w:pPr>
            <w:r>
              <w:rPr>
                <w:rFonts w:hint="eastAsia" w:cs="宋体"/>
                <w:bCs/>
                <w:sz w:val="18"/>
                <w:szCs w:val="18"/>
                <w:lang w:val="en-US" w:eastAsia="zh-CN"/>
              </w:rPr>
              <w:t>1</w:t>
            </w:r>
          </w:p>
        </w:tc>
        <w:tc>
          <w:tcPr>
            <w:tcW w:w="376" w:type="pct"/>
            <w:vMerge w:val="restart"/>
            <w:tcBorders>
              <w:top w:val="single" w:color="auto" w:sz="4" w:space="0"/>
              <w:left w:val="single" w:color="auto" w:sz="4" w:space="0"/>
              <w:bottom w:val="single" w:color="auto" w:sz="4" w:space="0"/>
              <w:right w:val="single" w:color="auto" w:sz="4" w:space="0"/>
            </w:tcBorders>
            <w:vAlign w:val="center"/>
          </w:tcPr>
          <w:p w14:paraId="36239D0F">
            <w:pPr>
              <w:pStyle w:val="146"/>
              <w:rPr>
                <w:rFonts w:hint="eastAsia" w:eastAsia="宋体" w:cs="宋体"/>
                <w:bCs/>
                <w:sz w:val="18"/>
                <w:szCs w:val="18"/>
                <w:lang w:eastAsia="zh-CN"/>
              </w:rPr>
            </w:pPr>
            <w:r>
              <w:rPr>
                <w:rFonts w:hint="eastAsia" w:cs="宋体"/>
                <w:bCs/>
                <w:sz w:val="18"/>
                <w:szCs w:val="18"/>
                <w:lang w:eastAsia="zh-CN"/>
              </w:rPr>
              <w:t>周边环境</w:t>
            </w:r>
          </w:p>
        </w:tc>
        <w:tc>
          <w:tcPr>
            <w:tcW w:w="648" w:type="pct"/>
            <w:vMerge w:val="restart"/>
            <w:tcBorders>
              <w:top w:val="single" w:color="auto" w:sz="4" w:space="0"/>
              <w:left w:val="single" w:color="auto" w:sz="4" w:space="0"/>
              <w:bottom w:val="single" w:color="auto" w:sz="4" w:space="0"/>
              <w:right w:val="single" w:color="auto" w:sz="4" w:space="0"/>
            </w:tcBorders>
            <w:vAlign w:val="center"/>
          </w:tcPr>
          <w:p w14:paraId="7A0E3B18">
            <w:pPr>
              <w:pStyle w:val="146"/>
              <w:rPr>
                <w:rFonts w:cs="宋体"/>
                <w:bCs/>
                <w:sz w:val="18"/>
                <w:szCs w:val="18"/>
              </w:rPr>
            </w:pPr>
            <w:r>
              <w:rPr>
                <w:rFonts w:hint="eastAsia" w:cs="宋体"/>
                <w:bCs/>
                <w:sz w:val="18"/>
                <w:szCs w:val="18"/>
              </w:rPr>
              <w:t>温度、湿度</w:t>
            </w:r>
          </w:p>
        </w:tc>
        <w:tc>
          <w:tcPr>
            <w:tcW w:w="1154" w:type="pct"/>
            <w:tcBorders>
              <w:top w:val="single" w:color="auto" w:sz="4" w:space="0"/>
              <w:left w:val="single" w:color="auto" w:sz="4" w:space="0"/>
              <w:bottom w:val="single" w:color="auto" w:sz="4" w:space="0"/>
              <w:right w:val="single" w:color="auto" w:sz="4" w:space="0"/>
            </w:tcBorders>
            <w:vAlign w:val="center"/>
          </w:tcPr>
          <w:p w14:paraId="5738228C">
            <w:pPr>
              <w:pStyle w:val="146"/>
              <w:rPr>
                <w:rFonts w:cs="宋体"/>
                <w:bCs/>
                <w:sz w:val="18"/>
                <w:szCs w:val="18"/>
              </w:rPr>
            </w:pPr>
            <w:r>
              <w:rPr>
                <w:rFonts w:hint="eastAsia" w:cs="宋体"/>
                <w:bCs/>
                <w:sz w:val="18"/>
                <w:szCs w:val="18"/>
              </w:rPr>
              <w:t>桥址区环境温度、湿度</w:t>
            </w:r>
          </w:p>
        </w:tc>
        <w:tc>
          <w:tcPr>
            <w:tcW w:w="598" w:type="pct"/>
            <w:tcBorders>
              <w:top w:val="single" w:color="auto" w:sz="4" w:space="0"/>
              <w:left w:val="single" w:color="auto" w:sz="4" w:space="0"/>
              <w:bottom w:val="single" w:color="auto" w:sz="4" w:space="0"/>
              <w:right w:val="single" w:color="auto" w:sz="4" w:space="0"/>
            </w:tcBorders>
            <w:vAlign w:val="center"/>
          </w:tcPr>
          <w:p w14:paraId="431FD5A4">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1CF429B7">
            <w:pPr>
              <w:pStyle w:val="146"/>
              <w:rPr>
                <w:rFonts w:cs="宋体"/>
                <w:bCs/>
                <w:sz w:val="18"/>
                <w:szCs w:val="18"/>
              </w:rPr>
            </w:pPr>
            <w:r>
              <w:rPr>
                <w:rFonts w:hint="eastAsia" w:cs="宋体"/>
                <w:bCs/>
                <w:sz w:val="18"/>
                <w:szCs w:val="18"/>
              </w:rPr>
              <w:t>桥梁中部</w:t>
            </w:r>
            <w:r>
              <w:rPr>
                <w:rFonts w:cs="宋体"/>
                <w:bCs/>
                <w:sz w:val="18"/>
                <w:szCs w:val="18"/>
              </w:rPr>
              <w:t>--</w:t>
            </w:r>
          </w:p>
        </w:tc>
      </w:tr>
      <w:tr w14:paraId="355D1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vMerge w:val="continue"/>
            <w:tcBorders>
              <w:left w:val="single" w:color="auto" w:sz="4" w:space="0"/>
              <w:bottom w:val="single" w:color="auto" w:sz="4" w:space="0"/>
              <w:right w:val="single" w:color="auto" w:sz="4" w:space="0"/>
            </w:tcBorders>
            <w:vAlign w:val="center"/>
          </w:tcPr>
          <w:p w14:paraId="1FB436BB">
            <w:pPr>
              <w:widowControl/>
              <w:spacing w:beforeLines="0" w:afterLines="0" w:line="240" w:lineRule="auto"/>
              <w:jc w:val="center"/>
              <w:rPr>
                <w:rFonts w:cs="宋体"/>
                <w:bCs/>
                <w:sz w:val="18"/>
                <w:szCs w:val="18"/>
              </w:rPr>
            </w:pPr>
          </w:p>
        </w:tc>
        <w:tc>
          <w:tcPr>
            <w:tcW w:w="376" w:type="pct"/>
            <w:vMerge w:val="continue"/>
            <w:tcBorders>
              <w:top w:val="single" w:color="auto" w:sz="4" w:space="0"/>
              <w:left w:val="single" w:color="auto" w:sz="4" w:space="0"/>
              <w:bottom w:val="single" w:color="auto" w:sz="4" w:space="0"/>
              <w:right w:val="single" w:color="auto" w:sz="4" w:space="0"/>
            </w:tcBorders>
            <w:vAlign w:val="center"/>
          </w:tcPr>
          <w:p w14:paraId="519FA93C">
            <w:pPr>
              <w:widowControl/>
              <w:spacing w:beforeLines="0" w:afterLines="0" w:line="240" w:lineRule="auto"/>
              <w:jc w:val="left"/>
              <w:rPr>
                <w:rFonts w:cs="宋体"/>
                <w:bCs/>
                <w:sz w:val="18"/>
                <w:szCs w:val="18"/>
              </w:rPr>
            </w:pPr>
          </w:p>
        </w:tc>
        <w:tc>
          <w:tcPr>
            <w:tcW w:w="648" w:type="pct"/>
            <w:vMerge w:val="continue"/>
            <w:tcBorders>
              <w:top w:val="single" w:color="auto" w:sz="4" w:space="0"/>
              <w:left w:val="single" w:color="auto" w:sz="4" w:space="0"/>
              <w:bottom w:val="single" w:color="auto" w:sz="4" w:space="0"/>
              <w:right w:val="single" w:color="auto" w:sz="4" w:space="0"/>
            </w:tcBorders>
            <w:vAlign w:val="center"/>
          </w:tcPr>
          <w:p w14:paraId="4F158F15">
            <w:pPr>
              <w:widowControl/>
              <w:spacing w:beforeLines="0" w:afterLines="0" w:line="240" w:lineRule="auto"/>
              <w:jc w:val="left"/>
              <w:rPr>
                <w:rFonts w:cs="宋体"/>
                <w:bCs/>
                <w:sz w:val="18"/>
                <w:szCs w:val="18"/>
              </w:rPr>
            </w:pPr>
          </w:p>
        </w:tc>
        <w:tc>
          <w:tcPr>
            <w:tcW w:w="1154" w:type="pct"/>
            <w:tcBorders>
              <w:top w:val="single" w:color="auto" w:sz="4" w:space="0"/>
              <w:left w:val="single" w:color="auto" w:sz="4" w:space="0"/>
              <w:bottom w:val="single" w:color="auto" w:sz="4" w:space="0"/>
              <w:right w:val="single" w:color="auto" w:sz="4" w:space="0"/>
            </w:tcBorders>
            <w:vAlign w:val="center"/>
          </w:tcPr>
          <w:p w14:paraId="47AC3F47">
            <w:pPr>
              <w:pStyle w:val="146"/>
              <w:rPr>
                <w:rFonts w:cs="宋体"/>
                <w:bCs/>
                <w:sz w:val="18"/>
                <w:szCs w:val="18"/>
              </w:rPr>
            </w:pPr>
            <w:r>
              <w:rPr>
                <w:rFonts w:hint="eastAsia" w:cs="宋体"/>
                <w:bCs/>
                <w:sz w:val="18"/>
                <w:szCs w:val="18"/>
              </w:rPr>
              <w:t>主梁内温度、湿度（封闭箱梁）</w:t>
            </w:r>
          </w:p>
        </w:tc>
        <w:tc>
          <w:tcPr>
            <w:tcW w:w="598" w:type="pct"/>
            <w:tcBorders>
              <w:top w:val="single" w:color="auto" w:sz="4" w:space="0"/>
              <w:left w:val="single" w:color="auto" w:sz="4" w:space="0"/>
              <w:bottom w:val="single" w:color="auto" w:sz="4" w:space="0"/>
              <w:right w:val="single" w:color="auto" w:sz="4" w:space="0"/>
            </w:tcBorders>
            <w:vAlign w:val="center"/>
          </w:tcPr>
          <w:p w14:paraId="4888996D">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7059E5F6">
            <w:pPr>
              <w:pStyle w:val="146"/>
              <w:rPr>
                <w:rFonts w:cs="宋体"/>
                <w:bCs/>
                <w:sz w:val="18"/>
                <w:szCs w:val="18"/>
              </w:rPr>
            </w:pPr>
            <w:r>
              <w:rPr>
                <w:rFonts w:cs="宋体"/>
                <w:bCs/>
                <w:sz w:val="18"/>
                <w:szCs w:val="18"/>
              </w:rPr>
              <w:t>布设在桥梁结构内、 外温度或湿度变化较大和对温度、湿度敏感的部位</w:t>
            </w:r>
          </w:p>
        </w:tc>
      </w:tr>
      <w:tr w14:paraId="14318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tcBorders>
              <w:top w:val="single" w:color="auto" w:sz="4" w:space="0"/>
              <w:left w:val="single" w:color="auto" w:sz="4" w:space="0"/>
              <w:bottom w:val="single" w:color="auto" w:sz="4" w:space="0"/>
              <w:right w:val="single" w:color="auto" w:sz="4" w:space="0"/>
            </w:tcBorders>
            <w:vAlign w:val="center"/>
          </w:tcPr>
          <w:p w14:paraId="30B78B46">
            <w:pPr>
              <w:widowControl/>
              <w:spacing w:beforeLines="0" w:afterLines="0" w:line="240" w:lineRule="auto"/>
              <w:jc w:val="center"/>
              <w:rPr>
                <w:rFonts w:hint="eastAsia" w:eastAsia="宋体" w:cs="宋体"/>
                <w:bCs/>
                <w:sz w:val="18"/>
                <w:szCs w:val="18"/>
                <w:lang w:val="en-US" w:eastAsia="zh-CN"/>
              </w:rPr>
            </w:pPr>
            <w:r>
              <w:rPr>
                <w:rFonts w:hint="eastAsia" w:cs="宋体"/>
                <w:bCs/>
                <w:sz w:val="18"/>
                <w:szCs w:val="18"/>
                <w:lang w:val="en-US" w:eastAsia="zh-CN"/>
              </w:rPr>
              <w:t>2</w:t>
            </w:r>
          </w:p>
        </w:tc>
        <w:tc>
          <w:tcPr>
            <w:tcW w:w="376" w:type="pct"/>
            <w:vMerge w:val="continue"/>
            <w:tcBorders>
              <w:top w:val="single" w:color="auto" w:sz="4" w:space="0"/>
              <w:left w:val="single" w:color="auto" w:sz="4" w:space="0"/>
              <w:bottom w:val="single" w:color="auto" w:sz="4" w:space="0"/>
              <w:right w:val="single" w:color="auto" w:sz="4" w:space="0"/>
            </w:tcBorders>
            <w:vAlign w:val="center"/>
          </w:tcPr>
          <w:p w14:paraId="2ABF9AA2">
            <w:pPr>
              <w:widowControl/>
              <w:spacing w:beforeLines="0" w:afterLines="0" w:line="240" w:lineRule="auto"/>
              <w:jc w:val="left"/>
              <w:rPr>
                <w:rFonts w:cs="宋体"/>
                <w:bCs/>
                <w:sz w:val="18"/>
                <w:szCs w:val="18"/>
              </w:rPr>
            </w:pPr>
          </w:p>
        </w:tc>
        <w:tc>
          <w:tcPr>
            <w:tcW w:w="648" w:type="pct"/>
            <w:tcBorders>
              <w:top w:val="single" w:color="auto" w:sz="4" w:space="0"/>
              <w:left w:val="single" w:color="auto" w:sz="4" w:space="0"/>
              <w:bottom w:val="single" w:color="auto" w:sz="4" w:space="0"/>
              <w:right w:val="single" w:color="auto" w:sz="4" w:space="0"/>
            </w:tcBorders>
            <w:vAlign w:val="center"/>
          </w:tcPr>
          <w:p w14:paraId="6BB8E272">
            <w:pPr>
              <w:pStyle w:val="146"/>
              <w:rPr>
                <w:rFonts w:cs="宋体"/>
                <w:bCs/>
                <w:sz w:val="18"/>
                <w:szCs w:val="18"/>
              </w:rPr>
            </w:pPr>
            <w:r>
              <w:rPr>
                <w:rFonts w:hint="eastAsia" w:cs="宋体"/>
                <w:bCs/>
                <w:sz w:val="18"/>
                <w:szCs w:val="18"/>
              </w:rPr>
              <w:t>结冰</w:t>
            </w:r>
          </w:p>
        </w:tc>
        <w:tc>
          <w:tcPr>
            <w:tcW w:w="1154" w:type="pct"/>
            <w:tcBorders>
              <w:top w:val="single" w:color="auto" w:sz="4" w:space="0"/>
              <w:left w:val="single" w:color="auto" w:sz="4" w:space="0"/>
              <w:bottom w:val="single" w:color="auto" w:sz="4" w:space="0"/>
              <w:right w:val="single" w:color="auto" w:sz="4" w:space="0"/>
            </w:tcBorders>
            <w:vAlign w:val="center"/>
          </w:tcPr>
          <w:p w14:paraId="6EBE8AB2">
            <w:pPr>
              <w:pStyle w:val="146"/>
              <w:rPr>
                <w:rFonts w:cs="宋体"/>
                <w:bCs/>
                <w:sz w:val="18"/>
                <w:szCs w:val="18"/>
              </w:rPr>
            </w:pPr>
            <w:r>
              <w:rPr>
                <w:rFonts w:hint="eastAsia" w:cs="宋体"/>
                <w:bCs/>
                <w:sz w:val="18"/>
                <w:szCs w:val="18"/>
              </w:rPr>
              <w:t>桥面结冰</w:t>
            </w:r>
          </w:p>
        </w:tc>
        <w:tc>
          <w:tcPr>
            <w:tcW w:w="598" w:type="pct"/>
            <w:tcBorders>
              <w:top w:val="single" w:color="auto" w:sz="4" w:space="0"/>
              <w:left w:val="single" w:color="auto" w:sz="4" w:space="0"/>
              <w:bottom w:val="single" w:color="auto" w:sz="4" w:space="0"/>
              <w:right w:val="single" w:color="auto" w:sz="4" w:space="0"/>
            </w:tcBorders>
            <w:vAlign w:val="center"/>
          </w:tcPr>
          <w:p w14:paraId="768B0975">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30084B4C">
            <w:pPr>
              <w:pStyle w:val="146"/>
              <w:rPr>
                <w:rFonts w:cs="宋体"/>
                <w:bCs/>
                <w:sz w:val="18"/>
                <w:szCs w:val="18"/>
              </w:rPr>
            </w:pPr>
            <w:r>
              <w:rPr>
                <w:rFonts w:hint="eastAsia" w:cs="宋体"/>
                <w:bCs/>
                <w:sz w:val="18"/>
                <w:szCs w:val="18"/>
              </w:rPr>
              <w:t>易结冰处</w:t>
            </w:r>
            <w:r>
              <w:rPr>
                <w:rFonts w:cs="宋体"/>
                <w:bCs/>
                <w:sz w:val="18"/>
                <w:szCs w:val="18"/>
              </w:rPr>
              <w:t>--</w:t>
            </w:r>
          </w:p>
        </w:tc>
      </w:tr>
      <w:tr w14:paraId="1B52B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tcBorders>
              <w:top w:val="single" w:color="auto" w:sz="4" w:space="0"/>
              <w:left w:val="single" w:color="auto" w:sz="4" w:space="0"/>
              <w:bottom w:val="single" w:color="auto" w:sz="4" w:space="0"/>
              <w:right w:val="single" w:color="auto" w:sz="4" w:space="0"/>
            </w:tcBorders>
            <w:vAlign w:val="center"/>
          </w:tcPr>
          <w:p w14:paraId="69E1D0E6">
            <w:pPr>
              <w:widowControl/>
              <w:spacing w:beforeLines="0" w:afterLines="0" w:line="240" w:lineRule="auto"/>
              <w:jc w:val="center"/>
              <w:rPr>
                <w:rFonts w:hint="eastAsia" w:eastAsia="宋体" w:cs="宋体"/>
                <w:bCs/>
                <w:sz w:val="18"/>
                <w:szCs w:val="18"/>
                <w:lang w:val="en-US" w:eastAsia="zh-CN"/>
              </w:rPr>
            </w:pPr>
            <w:r>
              <w:rPr>
                <w:rFonts w:hint="eastAsia" w:cs="宋体"/>
                <w:bCs/>
                <w:sz w:val="18"/>
                <w:szCs w:val="18"/>
                <w:lang w:val="en-US" w:eastAsia="zh-CN"/>
              </w:rPr>
              <w:t>3</w:t>
            </w:r>
          </w:p>
        </w:tc>
        <w:tc>
          <w:tcPr>
            <w:tcW w:w="376" w:type="pct"/>
            <w:vMerge w:val="continue"/>
            <w:tcBorders>
              <w:top w:val="single" w:color="auto" w:sz="4" w:space="0"/>
              <w:left w:val="single" w:color="auto" w:sz="4" w:space="0"/>
              <w:bottom w:val="single" w:color="auto" w:sz="4" w:space="0"/>
              <w:right w:val="single" w:color="auto" w:sz="4" w:space="0"/>
            </w:tcBorders>
            <w:vAlign w:val="center"/>
          </w:tcPr>
          <w:p w14:paraId="383CB6B7">
            <w:pPr>
              <w:widowControl/>
              <w:spacing w:beforeLines="0" w:afterLines="0" w:line="240" w:lineRule="auto"/>
              <w:jc w:val="left"/>
              <w:rPr>
                <w:rFonts w:cs="宋体"/>
                <w:bCs/>
                <w:sz w:val="18"/>
                <w:szCs w:val="18"/>
              </w:rPr>
            </w:pPr>
          </w:p>
        </w:tc>
        <w:tc>
          <w:tcPr>
            <w:tcW w:w="648" w:type="pct"/>
            <w:tcBorders>
              <w:top w:val="single" w:color="auto" w:sz="4" w:space="0"/>
              <w:left w:val="single" w:color="auto" w:sz="4" w:space="0"/>
              <w:bottom w:val="single" w:color="auto" w:sz="4" w:space="0"/>
              <w:right w:val="single" w:color="auto" w:sz="4" w:space="0"/>
            </w:tcBorders>
            <w:vAlign w:val="center"/>
          </w:tcPr>
          <w:p w14:paraId="1671BDF6">
            <w:pPr>
              <w:pStyle w:val="146"/>
              <w:rPr>
                <w:rFonts w:cs="宋体"/>
                <w:bCs/>
                <w:sz w:val="18"/>
                <w:szCs w:val="18"/>
              </w:rPr>
            </w:pPr>
            <w:r>
              <w:rPr>
                <w:rFonts w:hint="eastAsia" w:cs="宋体"/>
                <w:bCs/>
                <w:sz w:val="18"/>
                <w:szCs w:val="18"/>
              </w:rPr>
              <w:t>雨量</w:t>
            </w:r>
          </w:p>
        </w:tc>
        <w:tc>
          <w:tcPr>
            <w:tcW w:w="1154" w:type="pct"/>
            <w:tcBorders>
              <w:top w:val="single" w:color="auto" w:sz="4" w:space="0"/>
              <w:left w:val="single" w:color="auto" w:sz="4" w:space="0"/>
              <w:bottom w:val="single" w:color="auto" w:sz="4" w:space="0"/>
              <w:right w:val="single" w:color="auto" w:sz="4" w:space="0"/>
            </w:tcBorders>
            <w:vAlign w:val="center"/>
          </w:tcPr>
          <w:p w14:paraId="163539AE">
            <w:pPr>
              <w:pStyle w:val="146"/>
              <w:rPr>
                <w:rFonts w:cs="宋体"/>
                <w:bCs/>
                <w:sz w:val="18"/>
                <w:szCs w:val="18"/>
              </w:rPr>
            </w:pPr>
            <w:r>
              <w:rPr>
                <w:rFonts w:hint="eastAsia" w:cs="宋体"/>
                <w:bCs/>
                <w:sz w:val="18"/>
                <w:szCs w:val="18"/>
              </w:rPr>
              <w:t>雨量</w:t>
            </w:r>
          </w:p>
        </w:tc>
        <w:tc>
          <w:tcPr>
            <w:tcW w:w="598" w:type="pct"/>
            <w:tcBorders>
              <w:top w:val="single" w:color="auto" w:sz="4" w:space="0"/>
              <w:left w:val="single" w:color="auto" w:sz="4" w:space="0"/>
              <w:bottom w:val="single" w:color="auto" w:sz="4" w:space="0"/>
              <w:right w:val="single" w:color="auto" w:sz="4" w:space="0"/>
            </w:tcBorders>
            <w:vAlign w:val="center"/>
          </w:tcPr>
          <w:p w14:paraId="43458889">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1F734007">
            <w:pPr>
              <w:pStyle w:val="146"/>
              <w:rPr>
                <w:rFonts w:cs="宋体"/>
                <w:bCs/>
                <w:sz w:val="18"/>
                <w:szCs w:val="18"/>
              </w:rPr>
            </w:pPr>
            <w:r>
              <w:rPr>
                <w:rFonts w:cs="宋体"/>
                <w:bCs/>
                <w:sz w:val="18"/>
                <w:szCs w:val="18"/>
              </w:rPr>
              <w:t>-</w:t>
            </w:r>
          </w:p>
        </w:tc>
      </w:tr>
      <w:tr w14:paraId="09BE8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tcBorders>
              <w:top w:val="single" w:color="auto" w:sz="4" w:space="0"/>
              <w:left w:val="single" w:color="auto" w:sz="4" w:space="0"/>
              <w:bottom w:val="single" w:color="auto" w:sz="4" w:space="0"/>
              <w:right w:val="single" w:color="auto" w:sz="4" w:space="0"/>
            </w:tcBorders>
            <w:vAlign w:val="center"/>
          </w:tcPr>
          <w:p w14:paraId="3E988786">
            <w:pPr>
              <w:widowControl/>
              <w:spacing w:beforeLines="0" w:afterLines="0" w:line="240" w:lineRule="auto"/>
              <w:jc w:val="center"/>
              <w:rPr>
                <w:rFonts w:hint="eastAsia" w:eastAsia="宋体" w:cs="宋体"/>
                <w:bCs/>
                <w:sz w:val="18"/>
                <w:szCs w:val="18"/>
                <w:lang w:val="en-US" w:eastAsia="zh-CN"/>
              </w:rPr>
            </w:pPr>
            <w:r>
              <w:rPr>
                <w:rFonts w:hint="eastAsia" w:cs="宋体"/>
                <w:bCs/>
                <w:sz w:val="18"/>
                <w:szCs w:val="18"/>
                <w:lang w:val="en-US" w:eastAsia="zh-CN"/>
              </w:rPr>
              <w:t>4</w:t>
            </w:r>
          </w:p>
        </w:tc>
        <w:tc>
          <w:tcPr>
            <w:tcW w:w="376" w:type="pct"/>
            <w:vMerge w:val="continue"/>
            <w:tcBorders>
              <w:top w:val="single" w:color="auto" w:sz="4" w:space="0"/>
              <w:left w:val="single" w:color="auto" w:sz="4" w:space="0"/>
              <w:bottom w:val="single" w:color="auto" w:sz="4" w:space="0"/>
              <w:right w:val="single" w:color="auto" w:sz="4" w:space="0"/>
            </w:tcBorders>
            <w:vAlign w:val="center"/>
          </w:tcPr>
          <w:p w14:paraId="26C87CA7">
            <w:pPr>
              <w:widowControl/>
              <w:spacing w:beforeLines="0" w:afterLines="0" w:line="240" w:lineRule="auto"/>
              <w:jc w:val="left"/>
              <w:rPr>
                <w:rFonts w:cs="宋体"/>
                <w:bCs/>
                <w:sz w:val="18"/>
                <w:szCs w:val="18"/>
              </w:rPr>
            </w:pPr>
          </w:p>
        </w:tc>
        <w:tc>
          <w:tcPr>
            <w:tcW w:w="648" w:type="pct"/>
            <w:tcBorders>
              <w:top w:val="single" w:color="auto" w:sz="4" w:space="0"/>
              <w:left w:val="single" w:color="auto" w:sz="4" w:space="0"/>
              <w:bottom w:val="single" w:color="auto" w:sz="4" w:space="0"/>
              <w:right w:val="single" w:color="auto" w:sz="4" w:space="0"/>
            </w:tcBorders>
            <w:vAlign w:val="center"/>
          </w:tcPr>
          <w:p w14:paraId="19B4FACB">
            <w:pPr>
              <w:pStyle w:val="146"/>
              <w:rPr>
                <w:rFonts w:cs="宋体"/>
                <w:bCs/>
                <w:sz w:val="18"/>
                <w:szCs w:val="18"/>
              </w:rPr>
            </w:pPr>
            <w:r>
              <w:rPr>
                <w:rFonts w:hint="eastAsia" w:cs="宋体"/>
                <w:bCs/>
                <w:sz w:val="18"/>
                <w:szCs w:val="18"/>
              </w:rPr>
              <w:t>异常事件</w:t>
            </w:r>
          </w:p>
        </w:tc>
        <w:tc>
          <w:tcPr>
            <w:tcW w:w="1154" w:type="pct"/>
            <w:tcBorders>
              <w:top w:val="single" w:color="auto" w:sz="4" w:space="0"/>
              <w:left w:val="single" w:color="auto" w:sz="4" w:space="0"/>
              <w:bottom w:val="single" w:color="auto" w:sz="4" w:space="0"/>
              <w:right w:val="single" w:color="auto" w:sz="4" w:space="0"/>
            </w:tcBorders>
            <w:vAlign w:val="center"/>
          </w:tcPr>
          <w:p w14:paraId="716DD936">
            <w:pPr>
              <w:pStyle w:val="146"/>
              <w:rPr>
                <w:rFonts w:hint="eastAsia" w:eastAsia="宋体" w:cs="宋体"/>
                <w:bCs/>
                <w:sz w:val="18"/>
                <w:szCs w:val="18"/>
                <w:lang w:eastAsia="zh-CN"/>
              </w:rPr>
            </w:pPr>
            <w:r>
              <w:rPr>
                <w:rFonts w:hint="eastAsia" w:cs="宋体"/>
                <w:bCs/>
                <w:sz w:val="18"/>
                <w:szCs w:val="18"/>
                <w:lang w:eastAsia="zh-CN"/>
              </w:rPr>
              <w:t>视频监控</w:t>
            </w:r>
          </w:p>
        </w:tc>
        <w:tc>
          <w:tcPr>
            <w:tcW w:w="598" w:type="pct"/>
            <w:tcBorders>
              <w:top w:val="single" w:color="auto" w:sz="4" w:space="0"/>
              <w:left w:val="single" w:color="auto" w:sz="4" w:space="0"/>
              <w:bottom w:val="single" w:color="auto" w:sz="4" w:space="0"/>
              <w:right w:val="single" w:color="auto" w:sz="4" w:space="0"/>
            </w:tcBorders>
            <w:vAlign w:val="center"/>
          </w:tcPr>
          <w:p w14:paraId="3480ED7D">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0A2DEAB8">
            <w:pPr>
              <w:pStyle w:val="146"/>
              <w:rPr>
                <w:rFonts w:cs="宋体"/>
                <w:bCs/>
                <w:sz w:val="18"/>
                <w:szCs w:val="18"/>
              </w:rPr>
            </w:pPr>
            <w:r>
              <w:rPr>
                <w:rFonts w:hint="eastAsia" w:ascii="宋体" w:hAnsi="宋体" w:cs="宋体"/>
                <w:bCs/>
                <w:sz w:val="18"/>
                <w:szCs w:val="18"/>
              </w:rPr>
              <w:t>根据设备性能达到无监测盲区效果</w:t>
            </w:r>
          </w:p>
        </w:tc>
      </w:tr>
      <w:tr w14:paraId="72026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vMerge w:val="restart"/>
            <w:tcBorders>
              <w:top w:val="single" w:color="auto" w:sz="4" w:space="0"/>
              <w:left w:val="single" w:color="auto" w:sz="4" w:space="0"/>
              <w:right w:val="single" w:color="auto" w:sz="4" w:space="0"/>
            </w:tcBorders>
            <w:vAlign w:val="center"/>
          </w:tcPr>
          <w:p w14:paraId="2F81154A">
            <w:pPr>
              <w:pStyle w:val="146"/>
              <w:jc w:val="center"/>
              <w:rPr>
                <w:rFonts w:hint="eastAsia" w:eastAsia="宋体" w:cs="宋体"/>
                <w:bCs/>
                <w:sz w:val="18"/>
                <w:szCs w:val="18"/>
                <w:lang w:val="en-US" w:eastAsia="zh-CN"/>
              </w:rPr>
            </w:pPr>
            <w:r>
              <w:rPr>
                <w:rFonts w:hint="eastAsia" w:cs="宋体"/>
                <w:bCs/>
                <w:sz w:val="18"/>
                <w:szCs w:val="18"/>
                <w:lang w:val="en-US" w:eastAsia="zh-CN"/>
              </w:rPr>
              <w:t>5</w:t>
            </w:r>
          </w:p>
        </w:tc>
        <w:tc>
          <w:tcPr>
            <w:tcW w:w="376" w:type="pct"/>
            <w:vMerge w:val="restart"/>
            <w:tcBorders>
              <w:top w:val="single" w:color="auto" w:sz="4" w:space="0"/>
              <w:left w:val="single" w:color="auto" w:sz="4" w:space="0"/>
              <w:bottom w:val="single" w:color="auto" w:sz="4" w:space="0"/>
              <w:right w:val="single" w:color="auto" w:sz="4" w:space="0"/>
            </w:tcBorders>
            <w:vAlign w:val="center"/>
          </w:tcPr>
          <w:p w14:paraId="5FBC42F5">
            <w:pPr>
              <w:pStyle w:val="146"/>
              <w:rPr>
                <w:rFonts w:hint="eastAsia" w:cs="宋体"/>
                <w:bCs/>
                <w:sz w:val="18"/>
                <w:szCs w:val="18"/>
              </w:rPr>
            </w:pPr>
            <w:r>
              <w:rPr>
                <w:rFonts w:hint="eastAsia" w:cs="宋体"/>
                <w:bCs/>
                <w:sz w:val="18"/>
                <w:szCs w:val="18"/>
              </w:rPr>
              <w:t>外部作用</w:t>
            </w:r>
          </w:p>
        </w:tc>
        <w:tc>
          <w:tcPr>
            <w:tcW w:w="648" w:type="pct"/>
            <w:vMerge w:val="restart"/>
            <w:tcBorders>
              <w:top w:val="single" w:color="auto" w:sz="4" w:space="0"/>
              <w:left w:val="single" w:color="auto" w:sz="4" w:space="0"/>
              <w:bottom w:val="single" w:color="auto" w:sz="4" w:space="0"/>
              <w:right w:val="single" w:color="auto" w:sz="4" w:space="0"/>
            </w:tcBorders>
            <w:vAlign w:val="center"/>
          </w:tcPr>
          <w:p w14:paraId="40135493">
            <w:pPr>
              <w:pStyle w:val="146"/>
              <w:rPr>
                <w:rFonts w:cs="宋体"/>
                <w:bCs/>
                <w:sz w:val="18"/>
                <w:szCs w:val="18"/>
              </w:rPr>
            </w:pPr>
            <w:r>
              <w:rPr>
                <w:rFonts w:hint="eastAsia" w:cs="宋体"/>
                <w:bCs/>
                <w:sz w:val="18"/>
                <w:szCs w:val="18"/>
              </w:rPr>
              <w:t>车辆荷载</w:t>
            </w:r>
          </w:p>
        </w:tc>
        <w:tc>
          <w:tcPr>
            <w:tcW w:w="1154" w:type="pct"/>
            <w:tcBorders>
              <w:top w:val="single" w:color="auto" w:sz="4" w:space="0"/>
              <w:left w:val="single" w:color="auto" w:sz="4" w:space="0"/>
              <w:bottom w:val="single" w:color="auto" w:sz="4" w:space="0"/>
              <w:right w:val="single" w:color="auto" w:sz="4" w:space="0"/>
            </w:tcBorders>
            <w:vAlign w:val="center"/>
          </w:tcPr>
          <w:p w14:paraId="14B2BC64">
            <w:pPr>
              <w:pStyle w:val="146"/>
              <w:rPr>
                <w:rFonts w:cs="宋体"/>
                <w:bCs/>
                <w:sz w:val="18"/>
                <w:szCs w:val="18"/>
              </w:rPr>
            </w:pPr>
            <w:r>
              <w:rPr>
                <w:rFonts w:hint="eastAsia" w:cs="宋体"/>
                <w:bCs/>
                <w:sz w:val="18"/>
                <w:szCs w:val="18"/>
              </w:rPr>
              <w:t>所有车道车重、轴重、轴数、车速</w:t>
            </w:r>
          </w:p>
        </w:tc>
        <w:tc>
          <w:tcPr>
            <w:tcW w:w="598" w:type="pct"/>
            <w:tcBorders>
              <w:top w:val="single" w:color="auto" w:sz="4" w:space="0"/>
              <w:left w:val="single" w:color="auto" w:sz="4" w:space="0"/>
              <w:bottom w:val="single" w:color="auto" w:sz="4" w:space="0"/>
              <w:right w:val="single" w:color="auto" w:sz="4" w:space="0"/>
            </w:tcBorders>
            <w:vAlign w:val="center"/>
          </w:tcPr>
          <w:p w14:paraId="77B12032">
            <w:pPr>
              <w:pStyle w:val="146"/>
              <w:rPr>
                <w:rFonts w:cs="宋体"/>
                <w:bCs/>
                <w:sz w:val="18"/>
                <w:szCs w:val="18"/>
              </w:rPr>
            </w:pPr>
            <w:r>
              <w:rPr>
                <w:rFonts w:hint="eastAsia" w:cs="宋体"/>
                <w:bCs/>
                <w:sz w:val="18"/>
                <w:szCs w:val="18"/>
              </w:rPr>
              <w:t>◎</w:t>
            </w:r>
          </w:p>
        </w:tc>
        <w:tc>
          <w:tcPr>
            <w:tcW w:w="1868" w:type="pct"/>
            <w:vMerge w:val="restart"/>
            <w:tcBorders>
              <w:top w:val="single" w:color="auto" w:sz="4" w:space="0"/>
              <w:left w:val="single" w:color="auto" w:sz="4" w:space="0"/>
              <w:bottom w:val="single" w:color="auto" w:sz="4" w:space="0"/>
              <w:right w:val="single" w:color="auto" w:sz="4" w:space="0"/>
            </w:tcBorders>
            <w:vAlign w:val="center"/>
          </w:tcPr>
          <w:p w14:paraId="4CD1970B">
            <w:pPr>
              <w:pStyle w:val="146"/>
              <w:rPr>
                <w:rFonts w:cs="宋体"/>
                <w:bCs/>
                <w:sz w:val="18"/>
                <w:szCs w:val="18"/>
              </w:rPr>
            </w:pPr>
            <w:r>
              <w:rPr>
                <w:rFonts w:hint="eastAsia" w:cs="宋体"/>
                <w:bCs/>
                <w:sz w:val="18"/>
                <w:szCs w:val="18"/>
              </w:rPr>
              <w:t>重载车</w:t>
            </w:r>
            <w:r>
              <w:rPr>
                <w:rFonts w:hint="eastAsia" w:cs="宋体"/>
                <w:bCs/>
                <w:sz w:val="18"/>
                <w:szCs w:val="18"/>
                <w:lang w:eastAsia="zh-CN"/>
              </w:rPr>
              <w:t>道车</w:t>
            </w:r>
            <w:r>
              <w:rPr>
                <w:rFonts w:hint="eastAsia" w:cs="宋体"/>
                <w:bCs/>
                <w:sz w:val="18"/>
                <w:szCs w:val="18"/>
              </w:rPr>
              <w:t>流行进方向的前侧布设</w:t>
            </w:r>
          </w:p>
        </w:tc>
      </w:tr>
      <w:tr w14:paraId="31B06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vMerge w:val="continue"/>
            <w:tcBorders>
              <w:left w:val="single" w:color="auto" w:sz="4" w:space="0"/>
              <w:right w:val="single" w:color="auto" w:sz="4" w:space="0"/>
            </w:tcBorders>
            <w:vAlign w:val="center"/>
          </w:tcPr>
          <w:p w14:paraId="6D43DF16">
            <w:pPr>
              <w:widowControl/>
              <w:spacing w:beforeLines="0" w:afterLines="0" w:line="240" w:lineRule="auto"/>
              <w:jc w:val="center"/>
              <w:rPr>
                <w:rFonts w:cs="宋体"/>
                <w:bCs/>
                <w:sz w:val="18"/>
                <w:szCs w:val="18"/>
              </w:rPr>
            </w:pPr>
          </w:p>
        </w:tc>
        <w:tc>
          <w:tcPr>
            <w:tcW w:w="376" w:type="pct"/>
            <w:vMerge w:val="continue"/>
            <w:tcBorders>
              <w:top w:val="single" w:color="auto" w:sz="4" w:space="0"/>
              <w:left w:val="single" w:color="auto" w:sz="4" w:space="0"/>
              <w:bottom w:val="single" w:color="auto" w:sz="4" w:space="0"/>
              <w:right w:val="single" w:color="auto" w:sz="4" w:space="0"/>
            </w:tcBorders>
            <w:vAlign w:val="center"/>
          </w:tcPr>
          <w:p w14:paraId="39FB0B37">
            <w:pPr>
              <w:widowControl/>
              <w:spacing w:beforeLines="0" w:afterLines="0" w:line="240" w:lineRule="auto"/>
              <w:jc w:val="left"/>
              <w:rPr>
                <w:rFonts w:cs="宋体"/>
                <w:bCs/>
                <w:sz w:val="18"/>
                <w:szCs w:val="18"/>
              </w:rPr>
            </w:pPr>
          </w:p>
        </w:tc>
        <w:tc>
          <w:tcPr>
            <w:tcW w:w="648" w:type="pct"/>
            <w:vMerge w:val="continue"/>
            <w:tcBorders>
              <w:top w:val="single" w:color="auto" w:sz="4" w:space="0"/>
              <w:left w:val="single" w:color="auto" w:sz="4" w:space="0"/>
              <w:bottom w:val="single" w:color="auto" w:sz="4" w:space="0"/>
              <w:right w:val="single" w:color="auto" w:sz="4" w:space="0"/>
            </w:tcBorders>
            <w:vAlign w:val="center"/>
          </w:tcPr>
          <w:p w14:paraId="262AF2D4">
            <w:pPr>
              <w:widowControl/>
              <w:spacing w:beforeLines="0" w:afterLines="0" w:line="240" w:lineRule="auto"/>
              <w:jc w:val="left"/>
              <w:rPr>
                <w:rFonts w:cs="宋体"/>
                <w:bCs/>
                <w:sz w:val="18"/>
                <w:szCs w:val="18"/>
              </w:rPr>
            </w:pPr>
          </w:p>
        </w:tc>
        <w:tc>
          <w:tcPr>
            <w:tcW w:w="1154" w:type="pct"/>
            <w:tcBorders>
              <w:top w:val="single" w:color="auto" w:sz="4" w:space="0"/>
              <w:left w:val="single" w:color="auto" w:sz="4" w:space="0"/>
              <w:bottom w:val="single" w:color="auto" w:sz="4" w:space="0"/>
              <w:right w:val="single" w:color="auto" w:sz="4" w:space="0"/>
            </w:tcBorders>
            <w:vAlign w:val="center"/>
          </w:tcPr>
          <w:p w14:paraId="300BEE73">
            <w:pPr>
              <w:pStyle w:val="146"/>
              <w:rPr>
                <w:rFonts w:cs="宋体"/>
                <w:bCs/>
                <w:sz w:val="18"/>
                <w:szCs w:val="18"/>
              </w:rPr>
            </w:pPr>
            <w:r>
              <w:rPr>
                <w:rFonts w:hint="eastAsia" w:cs="宋体"/>
                <w:bCs/>
                <w:sz w:val="18"/>
                <w:szCs w:val="18"/>
              </w:rPr>
              <w:t>所有车道车流量</w:t>
            </w:r>
          </w:p>
        </w:tc>
        <w:tc>
          <w:tcPr>
            <w:tcW w:w="598" w:type="pct"/>
            <w:tcBorders>
              <w:top w:val="single" w:color="auto" w:sz="4" w:space="0"/>
              <w:left w:val="single" w:color="auto" w:sz="4" w:space="0"/>
              <w:bottom w:val="single" w:color="auto" w:sz="4" w:space="0"/>
              <w:right w:val="single" w:color="auto" w:sz="4" w:space="0"/>
            </w:tcBorders>
            <w:vAlign w:val="center"/>
          </w:tcPr>
          <w:p w14:paraId="01E8AB66">
            <w:pPr>
              <w:pStyle w:val="146"/>
              <w:rPr>
                <w:rFonts w:cs="宋体"/>
                <w:bCs/>
                <w:sz w:val="18"/>
                <w:szCs w:val="18"/>
              </w:rPr>
            </w:pPr>
            <w:r>
              <w:rPr>
                <w:rFonts w:hint="eastAsia" w:cs="宋体"/>
                <w:bCs/>
                <w:sz w:val="18"/>
                <w:szCs w:val="18"/>
              </w:rPr>
              <w:t>◎</w:t>
            </w:r>
          </w:p>
        </w:tc>
        <w:tc>
          <w:tcPr>
            <w:tcW w:w="1868" w:type="pct"/>
            <w:vMerge w:val="continue"/>
            <w:tcBorders>
              <w:top w:val="single" w:color="auto" w:sz="4" w:space="0"/>
              <w:left w:val="single" w:color="auto" w:sz="4" w:space="0"/>
              <w:bottom w:val="single" w:color="auto" w:sz="4" w:space="0"/>
              <w:right w:val="single" w:color="auto" w:sz="4" w:space="0"/>
            </w:tcBorders>
            <w:vAlign w:val="center"/>
          </w:tcPr>
          <w:p w14:paraId="395DFE71">
            <w:pPr>
              <w:widowControl/>
              <w:spacing w:beforeLines="0" w:afterLines="0" w:line="240" w:lineRule="auto"/>
              <w:jc w:val="left"/>
              <w:rPr>
                <w:rFonts w:cs="宋体"/>
                <w:bCs/>
                <w:sz w:val="18"/>
                <w:szCs w:val="18"/>
              </w:rPr>
            </w:pPr>
          </w:p>
        </w:tc>
      </w:tr>
      <w:tr w14:paraId="459DB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vMerge w:val="continue"/>
            <w:tcBorders>
              <w:left w:val="single" w:color="auto" w:sz="4" w:space="0"/>
              <w:bottom w:val="single" w:color="auto" w:sz="4" w:space="0"/>
              <w:right w:val="single" w:color="auto" w:sz="4" w:space="0"/>
            </w:tcBorders>
            <w:vAlign w:val="center"/>
          </w:tcPr>
          <w:p w14:paraId="410793FA">
            <w:pPr>
              <w:widowControl/>
              <w:spacing w:beforeLines="0" w:afterLines="0" w:line="240" w:lineRule="auto"/>
              <w:jc w:val="center"/>
              <w:rPr>
                <w:rFonts w:cs="宋体"/>
                <w:bCs/>
                <w:sz w:val="18"/>
                <w:szCs w:val="18"/>
              </w:rPr>
            </w:pPr>
          </w:p>
        </w:tc>
        <w:tc>
          <w:tcPr>
            <w:tcW w:w="376" w:type="pct"/>
            <w:vMerge w:val="continue"/>
            <w:tcBorders>
              <w:top w:val="single" w:color="auto" w:sz="4" w:space="0"/>
              <w:left w:val="single" w:color="auto" w:sz="4" w:space="0"/>
              <w:bottom w:val="single" w:color="auto" w:sz="4" w:space="0"/>
              <w:right w:val="single" w:color="auto" w:sz="4" w:space="0"/>
            </w:tcBorders>
            <w:vAlign w:val="center"/>
          </w:tcPr>
          <w:p w14:paraId="191FB9EB">
            <w:pPr>
              <w:widowControl/>
              <w:spacing w:beforeLines="0" w:afterLines="0" w:line="240" w:lineRule="auto"/>
              <w:jc w:val="left"/>
              <w:rPr>
                <w:rFonts w:cs="宋体"/>
                <w:bCs/>
                <w:sz w:val="18"/>
                <w:szCs w:val="18"/>
              </w:rPr>
            </w:pPr>
          </w:p>
        </w:tc>
        <w:tc>
          <w:tcPr>
            <w:tcW w:w="648" w:type="pct"/>
            <w:vMerge w:val="continue"/>
            <w:tcBorders>
              <w:top w:val="single" w:color="auto" w:sz="4" w:space="0"/>
              <w:left w:val="single" w:color="auto" w:sz="4" w:space="0"/>
              <w:bottom w:val="single" w:color="auto" w:sz="4" w:space="0"/>
              <w:right w:val="single" w:color="auto" w:sz="4" w:space="0"/>
            </w:tcBorders>
            <w:vAlign w:val="center"/>
          </w:tcPr>
          <w:p w14:paraId="0B3E5FEC">
            <w:pPr>
              <w:widowControl/>
              <w:spacing w:beforeLines="0" w:afterLines="0" w:line="240" w:lineRule="auto"/>
              <w:jc w:val="left"/>
              <w:rPr>
                <w:rFonts w:cs="宋体"/>
                <w:bCs/>
                <w:sz w:val="18"/>
                <w:szCs w:val="18"/>
              </w:rPr>
            </w:pPr>
          </w:p>
        </w:tc>
        <w:tc>
          <w:tcPr>
            <w:tcW w:w="1154" w:type="pct"/>
            <w:tcBorders>
              <w:top w:val="single" w:color="auto" w:sz="4" w:space="0"/>
              <w:left w:val="single" w:color="auto" w:sz="4" w:space="0"/>
              <w:bottom w:val="single" w:color="auto" w:sz="4" w:space="0"/>
              <w:right w:val="single" w:color="auto" w:sz="4" w:space="0"/>
            </w:tcBorders>
            <w:vAlign w:val="center"/>
          </w:tcPr>
          <w:p w14:paraId="7FA310CE">
            <w:pPr>
              <w:pStyle w:val="146"/>
              <w:rPr>
                <w:rFonts w:hint="eastAsia" w:eastAsia="宋体" w:cs="宋体"/>
                <w:bCs/>
                <w:sz w:val="18"/>
                <w:szCs w:val="18"/>
                <w:lang w:eastAsia="zh-CN"/>
              </w:rPr>
            </w:pPr>
            <w:r>
              <w:rPr>
                <w:rFonts w:hint="eastAsia" w:cs="宋体"/>
                <w:bCs/>
                <w:sz w:val="18"/>
                <w:szCs w:val="18"/>
              </w:rPr>
              <w:t>所有车道的车辆空间分布</w:t>
            </w:r>
            <w:r>
              <w:rPr>
                <w:rFonts w:hint="eastAsia" w:cs="宋体"/>
                <w:bCs/>
                <w:sz w:val="18"/>
                <w:szCs w:val="18"/>
                <w:lang w:eastAsia="zh-CN"/>
              </w:rPr>
              <w:t>视频监控</w:t>
            </w:r>
          </w:p>
        </w:tc>
        <w:tc>
          <w:tcPr>
            <w:tcW w:w="598" w:type="pct"/>
            <w:tcBorders>
              <w:top w:val="single" w:color="auto" w:sz="4" w:space="0"/>
              <w:left w:val="single" w:color="auto" w:sz="4" w:space="0"/>
              <w:bottom w:val="single" w:color="auto" w:sz="4" w:space="0"/>
              <w:right w:val="single" w:color="auto" w:sz="4" w:space="0"/>
            </w:tcBorders>
            <w:vAlign w:val="center"/>
          </w:tcPr>
          <w:p w14:paraId="26B3F2B2">
            <w:pPr>
              <w:pStyle w:val="146"/>
              <w:rPr>
                <w:rFonts w:cs="宋体"/>
                <w:bCs/>
                <w:sz w:val="18"/>
                <w:szCs w:val="18"/>
              </w:rPr>
            </w:pPr>
            <w:r>
              <w:rPr>
                <w:rFonts w:hint="eastAsia" w:cs="宋体"/>
                <w:bCs/>
                <w:sz w:val="18"/>
                <w:szCs w:val="18"/>
              </w:rPr>
              <w:t>○</w:t>
            </w:r>
          </w:p>
        </w:tc>
        <w:tc>
          <w:tcPr>
            <w:tcW w:w="1868" w:type="pct"/>
            <w:vMerge w:val="continue"/>
            <w:tcBorders>
              <w:top w:val="single" w:color="auto" w:sz="4" w:space="0"/>
              <w:left w:val="single" w:color="auto" w:sz="4" w:space="0"/>
              <w:bottom w:val="single" w:color="auto" w:sz="4" w:space="0"/>
              <w:right w:val="single" w:color="auto" w:sz="4" w:space="0"/>
            </w:tcBorders>
            <w:vAlign w:val="center"/>
          </w:tcPr>
          <w:p w14:paraId="19E778DF">
            <w:pPr>
              <w:widowControl/>
              <w:spacing w:beforeLines="0" w:afterLines="0" w:line="240" w:lineRule="auto"/>
              <w:jc w:val="left"/>
              <w:rPr>
                <w:rFonts w:cs="宋体"/>
                <w:bCs/>
                <w:sz w:val="18"/>
                <w:szCs w:val="18"/>
              </w:rPr>
            </w:pPr>
          </w:p>
        </w:tc>
      </w:tr>
      <w:tr w14:paraId="0CFCE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tcBorders>
              <w:top w:val="single" w:color="auto" w:sz="4" w:space="0"/>
              <w:left w:val="single" w:color="auto" w:sz="4" w:space="0"/>
              <w:bottom w:val="single" w:color="auto" w:sz="4" w:space="0"/>
              <w:right w:val="single" w:color="auto" w:sz="4" w:space="0"/>
            </w:tcBorders>
            <w:vAlign w:val="center"/>
          </w:tcPr>
          <w:p w14:paraId="236ABAEE">
            <w:pPr>
              <w:widowControl/>
              <w:spacing w:beforeLines="0" w:afterLines="0" w:line="240" w:lineRule="auto"/>
              <w:jc w:val="center"/>
              <w:rPr>
                <w:rFonts w:hint="eastAsia" w:eastAsia="宋体" w:cs="宋体"/>
                <w:bCs/>
                <w:sz w:val="18"/>
                <w:szCs w:val="18"/>
                <w:lang w:val="en-US" w:eastAsia="zh-CN"/>
              </w:rPr>
            </w:pPr>
            <w:r>
              <w:rPr>
                <w:rFonts w:hint="eastAsia" w:cs="宋体"/>
                <w:bCs/>
                <w:sz w:val="18"/>
                <w:szCs w:val="18"/>
                <w:lang w:val="en-US" w:eastAsia="zh-CN"/>
              </w:rPr>
              <w:t>6</w:t>
            </w:r>
          </w:p>
        </w:tc>
        <w:tc>
          <w:tcPr>
            <w:tcW w:w="376" w:type="pct"/>
            <w:vMerge w:val="continue"/>
            <w:tcBorders>
              <w:top w:val="single" w:color="auto" w:sz="4" w:space="0"/>
              <w:left w:val="single" w:color="auto" w:sz="4" w:space="0"/>
              <w:bottom w:val="single" w:color="auto" w:sz="4" w:space="0"/>
              <w:right w:val="single" w:color="auto" w:sz="4" w:space="0"/>
            </w:tcBorders>
            <w:vAlign w:val="center"/>
          </w:tcPr>
          <w:p w14:paraId="1E5F36E6">
            <w:pPr>
              <w:widowControl/>
              <w:spacing w:beforeLines="0" w:afterLines="0" w:line="240" w:lineRule="auto"/>
              <w:jc w:val="left"/>
              <w:rPr>
                <w:rFonts w:cs="宋体"/>
                <w:bCs/>
                <w:sz w:val="18"/>
                <w:szCs w:val="18"/>
              </w:rPr>
            </w:pPr>
          </w:p>
        </w:tc>
        <w:tc>
          <w:tcPr>
            <w:tcW w:w="648" w:type="pct"/>
            <w:tcBorders>
              <w:top w:val="single" w:color="auto" w:sz="4" w:space="0"/>
              <w:left w:val="single" w:color="auto" w:sz="4" w:space="0"/>
              <w:bottom w:val="single" w:color="auto" w:sz="4" w:space="0"/>
              <w:right w:val="single" w:color="auto" w:sz="4" w:space="0"/>
            </w:tcBorders>
            <w:vAlign w:val="center"/>
          </w:tcPr>
          <w:p w14:paraId="3EF4C861">
            <w:pPr>
              <w:pStyle w:val="146"/>
              <w:rPr>
                <w:rFonts w:cs="宋体"/>
                <w:bCs/>
                <w:sz w:val="18"/>
                <w:szCs w:val="18"/>
              </w:rPr>
            </w:pPr>
            <w:r>
              <w:rPr>
                <w:rFonts w:hint="eastAsia" w:cs="宋体"/>
                <w:bCs/>
                <w:sz w:val="18"/>
                <w:szCs w:val="18"/>
              </w:rPr>
              <w:t>水位</w:t>
            </w:r>
          </w:p>
        </w:tc>
        <w:tc>
          <w:tcPr>
            <w:tcW w:w="1154" w:type="pct"/>
            <w:tcBorders>
              <w:top w:val="single" w:color="auto" w:sz="4" w:space="0"/>
              <w:left w:val="single" w:color="auto" w:sz="4" w:space="0"/>
              <w:bottom w:val="single" w:color="auto" w:sz="4" w:space="0"/>
              <w:right w:val="single" w:color="auto" w:sz="4" w:space="0"/>
            </w:tcBorders>
            <w:vAlign w:val="center"/>
          </w:tcPr>
          <w:p w14:paraId="4D543718">
            <w:pPr>
              <w:pStyle w:val="146"/>
              <w:rPr>
                <w:rFonts w:cs="宋体"/>
                <w:bCs/>
                <w:sz w:val="18"/>
                <w:szCs w:val="18"/>
              </w:rPr>
            </w:pPr>
            <w:r>
              <w:rPr>
                <w:rFonts w:hint="eastAsia" w:cs="宋体"/>
                <w:bCs/>
                <w:sz w:val="18"/>
                <w:szCs w:val="18"/>
              </w:rPr>
              <w:t>水面至梁底的距离</w:t>
            </w:r>
          </w:p>
        </w:tc>
        <w:tc>
          <w:tcPr>
            <w:tcW w:w="598" w:type="pct"/>
            <w:tcBorders>
              <w:top w:val="single" w:color="auto" w:sz="4" w:space="0"/>
              <w:left w:val="single" w:color="auto" w:sz="4" w:space="0"/>
              <w:bottom w:val="single" w:color="auto" w:sz="4" w:space="0"/>
              <w:right w:val="single" w:color="auto" w:sz="4" w:space="0"/>
            </w:tcBorders>
            <w:vAlign w:val="center"/>
          </w:tcPr>
          <w:p w14:paraId="09E1018C">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0BA17C26">
            <w:pPr>
              <w:pStyle w:val="146"/>
              <w:rPr>
                <w:rFonts w:cs="宋体"/>
                <w:bCs/>
                <w:sz w:val="18"/>
                <w:szCs w:val="18"/>
              </w:rPr>
            </w:pPr>
            <w:r>
              <w:rPr>
                <w:rFonts w:cs="宋体"/>
                <w:bCs/>
                <w:sz w:val="18"/>
                <w:szCs w:val="18"/>
              </w:rPr>
              <w:t>-</w:t>
            </w:r>
          </w:p>
        </w:tc>
      </w:tr>
      <w:tr w14:paraId="7AA0D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tcBorders>
              <w:top w:val="single" w:color="auto" w:sz="4" w:space="0"/>
              <w:left w:val="single" w:color="auto" w:sz="4" w:space="0"/>
              <w:bottom w:val="single" w:color="auto" w:sz="4" w:space="0"/>
              <w:right w:val="single" w:color="auto" w:sz="4" w:space="0"/>
            </w:tcBorders>
            <w:vAlign w:val="center"/>
          </w:tcPr>
          <w:p w14:paraId="6D846B0A">
            <w:pPr>
              <w:widowControl/>
              <w:spacing w:beforeLines="0" w:afterLines="0" w:line="240" w:lineRule="auto"/>
              <w:jc w:val="center"/>
              <w:rPr>
                <w:rFonts w:hint="eastAsia" w:eastAsia="宋体" w:cs="宋体"/>
                <w:bCs/>
                <w:sz w:val="18"/>
                <w:szCs w:val="18"/>
                <w:lang w:val="en-US" w:eastAsia="zh-CN"/>
              </w:rPr>
            </w:pPr>
            <w:r>
              <w:rPr>
                <w:rFonts w:hint="eastAsia" w:cs="宋体"/>
                <w:bCs/>
                <w:sz w:val="18"/>
                <w:szCs w:val="18"/>
                <w:lang w:val="en-US" w:eastAsia="zh-CN"/>
              </w:rPr>
              <w:t>7</w:t>
            </w:r>
          </w:p>
        </w:tc>
        <w:tc>
          <w:tcPr>
            <w:tcW w:w="376" w:type="pct"/>
            <w:vMerge w:val="continue"/>
            <w:tcBorders>
              <w:top w:val="single" w:color="auto" w:sz="4" w:space="0"/>
              <w:left w:val="single" w:color="auto" w:sz="4" w:space="0"/>
              <w:bottom w:val="single" w:color="auto" w:sz="4" w:space="0"/>
              <w:right w:val="single" w:color="auto" w:sz="4" w:space="0"/>
            </w:tcBorders>
            <w:vAlign w:val="center"/>
          </w:tcPr>
          <w:p w14:paraId="5DEDC36E">
            <w:pPr>
              <w:widowControl/>
              <w:spacing w:beforeLines="0" w:afterLines="0" w:line="240" w:lineRule="auto"/>
              <w:jc w:val="left"/>
              <w:rPr>
                <w:rFonts w:cs="宋体"/>
                <w:bCs/>
                <w:sz w:val="18"/>
                <w:szCs w:val="18"/>
              </w:rPr>
            </w:pPr>
          </w:p>
        </w:tc>
        <w:tc>
          <w:tcPr>
            <w:tcW w:w="648" w:type="pct"/>
            <w:tcBorders>
              <w:top w:val="single" w:color="auto" w:sz="4" w:space="0"/>
              <w:left w:val="single" w:color="auto" w:sz="4" w:space="0"/>
              <w:bottom w:val="single" w:color="auto" w:sz="4" w:space="0"/>
              <w:right w:val="single" w:color="auto" w:sz="4" w:space="0"/>
            </w:tcBorders>
            <w:vAlign w:val="center"/>
          </w:tcPr>
          <w:p w14:paraId="48897275">
            <w:pPr>
              <w:pStyle w:val="146"/>
              <w:rPr>
                <w:rFonts w:cs="宋体"/>
                <w:bCs/>
                <w:sz w:val="18"/>
                <w:szCs w:val="18"/>
              </w:rPr>
            </w:pPr>
            <w:r>
              <w:rPr>
                <w:rFonts w:hint="eastAsia" w:cs="宋体"/>
                <w:bCs/>
                <w:sz w:val="18"/>
                <w:szCs w:val="18"/>
              </w:rPr>
              <w:t>流速</w:t>
            </w:r>
          </w:p>
        </w:tc>
        <w:tc>
          <w:tcPr>
            <w:tcW w:w="1154" w:type="pct"/>
            <w:tcBorders>
              <w:top w:val="single" w:color="auto" w:sz="4" w:space="0"/>
              <w:left w:val="single" w:color="auto" w:sz="4" w:space="0"/>
              <w:bottom w:val="single" w:color="auto" w:sz="4" w:space="0"/>
              <w:right w:val="single" w:color="auto" w:sz="4" w:space="0"/>
            </w:tcBorders>
            <w:vAlign w:val="center"/>
          </w:tcPr>
          <w:p w14:paraId="3DAF5DDA">
            <w:pPr>
              <w:pStyle w:val="146"/>
              <w:rPr>
                <w:rFonts w:cs="宋体"/>
                <w:bCs/>
                <w:sz w:val="18"/>
                <w:szCs w:val="18"/>
              </w:rPr>
            </w:pPr>
            <w:r>
              <w:rPr>
                <w:rFonts w:hint="eastAsia" w:cs="宋体"/>
                <w:bCs/>
                <w:sz w:val="18"/>
                <w:szCs w:val="18"/>
              </w:rPr>
              <w:t>水流流速</w:t>
            </w:r>
          </w:p>
        </w:tc>
        <w:tc>
          <w:tcPr>
            <w:tcW w:w="598" w:type="pct"/>
            <w:tcBorders>
              <w:top w:val="single" w:color="auto" w:sz="4" w:space="0"/>
              <w:left w:val="single" w:color="auto" w:sz="4" w:space="0"/>
              <w:bottom w:val="single" w:color="auto" w:sz="4" w:space="0"/>
              <w:right w:val="single" w:color="auto" w:sz="4" w:space="0"/>
            </w:tcBorders>
            <w:vAlign w:val="center"/>
          </w:tcPr>
          <w:p w14:paraId="71B54205">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777475CB">
            <w:pPr>
              <w:pStyle w:val="146"/>
              <w:rPr>
                <w:rFonts w:cs="宋体"/>
                <w:bCs/>
                <w:sz w:val="18"/>
                <w:szCs w:val="18"/>
              </w:rPr>
            </w:pPr>
            <w:r>
              <w:rPr>
                <w:rFonts w:cs="宋体"/>
                <w:bCs/>
                <w:sz w:val="18"/>
                <w:szCs w:val="18"/>
              </w:rPr>
              <w:t>-</w:t>
            </w:r>
          </w:p>
        </w:tc>
      </w:tr>
      <w:tr w14:paraId="3498B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tcBorders>
              <w:top w:val="single" w:color="auto" w:sz="4" w:space="0"/>
              <w:left w:val="single" w:color="auto" w:sz="4" w:space="0"/>
              <w:bottom w:val="single" w:color="auto" w:sz="4" w:space="0"/>
              <w:right w:val="single" w:color="auto" w:sz="4" w:space="0"/>
            </w:tcBorders>
            <w:vAlign w:val="center"/>
          </w:tcPr>
          <w:p w14:paraId="3071551E">
            <w:pPr>
              <w:widowControl/>
              <w:spacing w:beforeLines="0" w:afterLines="0" w:line="240" w:lineRule="auto"/>
              <w:jc w:val="center"/>
              <w:rPr>
                <w:rFonts w:hint="eastAsia" w:eastAsia="宋体" w:cs="宋体"/>
                <w:bCs/>
                <w:sz w:val="18"/>
                <w:szCs w:val="18"/>
                <w:lang w:val="en-US" w:eastAsia="zh-CN"/>
              </w:rPr>
            </w:pPr>
            <w:r>
              <w:rPr>
                <w:rFonts w:hint="eastAsia" w:cs="宋体"/>
                <w:bCs/>
                <w:sz w:val="18"/>
                <w:szCs w:val="18"/>
                <w:lang w:val="en-US" w:eastAsia="zh-CN"/>
              </w:rPr>
              <w:t>8</w:t>
            </w:r>
          </w:p>
        </w:tc>
        <w:tc>
          <w:tcPr>
            <w:tcW w:w="376" w:type="pct"/>
            <w:vMerge w:val="continue"/>
            <w:tcBorders>
              <w:top w:val="single" w:color="auto" w:sz="4" w:space="0"/>
              <w:left w:val="single" w:color="auto" w:sz="4" w:space="0"/>
              <w:bottom w:val="single" w:color="auto" w:sz="4" w:space="0"/>
              <w:right w:val="single" w:color="auto" w:sz="4" w:space="0"/>
            </w:tcBorders>
            <w:vAlign w:val="center"/>
          </w:tcPr>
          <w:p w14:paraId="452CA905">
            <w:pPr>
              <w:widowControl/>
              <w:spacing w:beforeLines="0" w:afterLines="0" w:line="240" w:lineRule="auto"/>
              <w:jc w:val="left"/>
              <w:rPr>
                <w:rFonts w:cs="宋体"/>
                <w:bCs/>
                <w:sz w:val="18"/>
                <w:szCs w:val="18"/>
              </w:rPr>
            </w:pPr>
          </w:p>
        </w:tc>
        <w:tc>
          <w:tcPr>
            <w:tcW w:w="648" w:type="pct"/>
            <w:tcBorders>
              <w:top w:val="single" w:color="auto" w:sz="4" w:space="0"/>
              <w:left w:val="single" w:color="auto" w:sz="4" w:space="0"/>
              <w:bottom w:val="single" w:color="auto" w:sz="4" w:space="0"/>
              <w:right w:val="single" w:color="auto" w:sz="4" w:space="0"/>
            </w:tcBorders>
            <w:vAlign w:val="center"/>
          </w:tcPr>
          <w:p w14:paraId="0786316F">
            <w:pPr>
              <w:pStyle w:val="146"/>
              <w:rPr>
                <w:rFonts w:cs="宋体"/>
                <w:bCs/>
                <w:sz w:val="18"/>
                <w:szCs w:val="18"/>
              </w:rPr>
            </w:pPr>
            <w:r>
              <w:rPr>
                <w:rFonts w:hint="eastAsia" w:cs="宋体"/>
                <w:bCs/>
                <w:sz w:val="18"/>
                <w:szCs w:val="18"/>
              </w:rPr>
              <w:t>风速、风向</w:t>
            </w:r>
          </w:p>
        </w:tc>
        <w:tc>
          <w:tcPr>
            <w:tcW w:w="1154" w:type="pct"/>
            <w:tcBorders>
              <w:top w:val="single" w:color="auto" w:sz="4" w:space="0"/>
              <w:left w:val="single" w:color="auto" w:sz="4" w:space="0"/>
              <w:bottom w:val="single" w:color="auto" w:sz="4" w:space="0"/>
              <w:right w:val="single" w:color="auto" w:sz="4" w:space="0"/>
            </w:tcBorders>
            <w:vAlign w:val="center"/>
          </w:tcPr>
          <w:p w14:paraId="76F8A803">
            <w:pPr>
              <w:pStyle w:val="146"/>
              <w:rPr>
                <w:rFonts w:cs="宋体"/>
                <w:bCs/>
                <w:sz w:val="18"/>
                <w:szCs w:val="18"/>
              </w:rPr>
            </w:pPr>
            <w:r>
              <w:rPr>
                <w:rFonts w:hint="eastAsia" w:cs="宋体"/>
                <w:bCs/>
                <w:sz w:val="18"/>
                <w:szCs w:val="18"/>
              </w:rPr>
              <w:t>桥面风速、风向</w:t>
            </w:r>
          </w:p>
        </w:tc>
        <w:tc>
          <w:tcPr>
            <w:tcW w:w="598" w:type="pct"/>
            <w:tcBorders>
              <w:top w:val="single" w:color="auto" w:sz="4" w:space="0"/>
              <w:left w:val="single" w:color="auto" w:sz="4" w:space="0"/>
              <w:bottom w:val="single" w:color="auto" w:sz="4" w:space="0"/>
              <w:right w:val="single" w:color="auto" w:sz="4" w:space="0"/>
            </w:tcBorders>
            <w:vAlign w:val="center"/>
          </w:tcPr>
          <w:p w14:paraId="7126BE09">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64A98A9A">
            <w:pPr>
              <w:pStyle w:val="146"/>
              <w:rPr>
                <w:rFonts w:cs="宋体"/>
                <w:bCs/>
                <w:sz w:val="18"/>
                <w:szCs w:val="18"/>
              </w:rPr>
            </w:pPr>
            <w:r>
              <w:rPr>
                <w:rFonts w:cs="宋体"/>
                <w:bCs/>
                <w:sz w:val="18"/>
                <w:szCs w:val="18"/>
              </w:rPr>
              <w:t>主要风向侧的桥面跨中处</w:t>
            </w:r>
            <w:r>
              <w:rPr>
                <w:rFonts w:hint="eastAsia" w:cs="宋体"/>
                <w:bCs/>
                <w:sz w:val="18"/>
                <w:szCs w:val="18"/>
              </w:rPr>
              <w:t>，</w:t>
            </w:r>
            <w:r>
              <w:rPr>
                <w:rFonts w:cs="宋体"/>
                <w:bCs/>
                <w:sz w:val="18"/>
                <w:szCs w:val="18"/>
              </w:rPr>
              <w:t xml:space="preserve">布设高度至少高于桥面2 m </w:t>
            </w:r>
          </w:p>
        </w:tc>
      </w:tr>
      <w:tr w14:paraId="2CBDC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vMerge w:val="restart"/>
            <w:tcBorders>
              <w:top w:val="single" w:color="auto" w:sz="4" w:space="0"/>
              <w:left w:val="single" w:color="auto" w:sz="4" w:space="0"/>
              <w:right w:val="single" w:color="auto" w:sz="4" w:space="0"/>
            </w:tcBorders>
            <w:vAlign w:val="center"/>
          </w:tcPr>
          <w:p w14:paraId="36183ED4">
            <w:pPr>
              <w:widowControl/>
              <w:spacing w:beforeLines="0" w:afterLines="0" w:line="240" w:lineRule="auto"/>
              <w:jc w:val="center"/>
              <w:rPr>
                <w:rFonts w:hint="eastAsia" w:eastAsia="宋体" w:cs="宋体"/>
                <w:bCs/>
                <w:sz w:val="18"/>
                <w:szCs w:val="18"/>
                <w:lang w:val="en-US" w:eastAsia="zh-CN"/>
              </w:rPr>
            </w:pPr>
            <w:r>
              <w:rPr>
                <w:rFonts w:hint="eastAsia" w:cs="宋体"/>
                <w:bCs/>
                <w:sz w:val="18"/>
                <w:szCs w:val="18"/>
                <w:lang w:val="en-US" w:eastAsia="zh-CN"/>
              </w:rPr>
              <w:t>9</w:t>
            </w:r>
          </w:p>
        </w:tc>
        <w:tc>
          <w:tcPr>
            <w:tcW w:w="376" w:type="pct"/>
            <w:vMerge w:val="continue"/>
            <w:tcBorders>
              <w:top w:val="single" w:color="auto" w:sz="4" w:space="0"/>
              <w:left w:val="single" w:color="auto" w:sz="4" w:space="0"/>
              <w:bottom w:val="single" w:color="auto" w:sz="4" w:space="0"/>
              <w:right w:val="single" w:color="auto" w:sz="4" w:space="0"/>
            </w:tcBorders>
            <w:vAlign w:val="center"/>
          </w:tcPr>
          <w:p w14:paraId="1652B07B">
            <w:pPr>
              <w:widowControl/>
              <w:spacing w:beforeLines="0" w:afterLines="0" w:line="240" w:lineRule="auto"/>
              <w:jc w:val="left"/>
              <w:rPr>
                <w:rFonts w:cs="宋体"/>
                <w:bCs/>
                <w:sz w:val="18"/>
                <w:szCs w:val="18"/>
              </w:rPr>
            </w:pPr>
          </w:p>
        </w:tc>
        <w:tc>
          <w:tcPr>
            <w:tcW w:w="648" w:type="pct"/>
            <w:vMerge w:val="restart"/>
            <w:tcBorders>
              <w:top w:val="single" w:color="auto" w:sz="4" w:space="0"/>
              <w:left w:val="single" w:color="auto" w:sz="4" w:space="0"/>
              <w:bottom w:val="single" w:color="auto" w:sz="4" w:space="0"/>
              <w:right w:val="single" w:color="auto" w:sz="4" w:space="0"/>
            </w:tcBorders>
            <w:vAlign w:val="center"/>
          </w:tcPr>
          <w:p w14:paraId="6A5A6C5A">
            <w:pPr>
              <w:pStyle w:val="146"/>
              <w:rPr>
                <w:rFonts w:cs="宋体"/>
                <w:bCs/>
                <w:sz w:val="18"/>
                <w:szCs w:val="18"/>
              </w:rPr>
            </w:pPr>
            <w:r>
              <w:rPr>
                <w:rFonts w:hint="eastAsia" w:cs="宋体"/>
                <w:bCs/>
                <w:sz w:val="18"/>
                <w:szCs w:val="18"/>
              </w:rPr>
              <w:t>结构温度</w:t>
            </w:r>
          </w:p>
        </w:tc>
        <w:tc>
          <w:tcPr>
            <w:tcW w:w="1154" w:type="pct"/>
            <w:tcBorders>
              <w:top w:val="single" w:color="auto" w:sz="4" w:space="0"/>
              <w:left w:val="single" w:color="auto" w:sz="4" w:space="0"/>
              <w:bottom w:val="single" w:color="auto" w:sz="4" w:space="0"/>
              <w:right w:val="single" w:color="auto" w:sz="4" w:space="0"/>
            </w:tcBorders>
            <w:vAlign w:val="center"/>
          </w:tcPr>
          <w:p w14:paraId="53694275">
            <w:pPr>
              <w:pStyle w:val="146"/>
              <w:rPr>
                <w:rFonts w:cs="宋体"/>
                <w:bCs/>
                <w:sz w:val="18"/>
                <w:szCs w:val="18"/>
              </w:rPr>
            </w:pPr>
            <w:r>
              <w:rPr>
                <w:rFonts w:hint="eastAsia" w:cs="宋体"/>
                <w:bCs/>
                <w:sz w:val="18"/>
                <w:szCs w:val="18"/>
              </w:rPr>
              <w:t>混凝土或钢结构构件温度</w:t>
            </w:r>
          </w:p>
        </w:tc>
        <w:tc>
          <w:tcPr>
            <w:tcW w:w="598" w:type="pct"/>
            <w:tcBorders>
              <w:top w:val="single" w:color="auto" w:sz="4" w:space="0"/>
              <w:left w:val="single" w:color="auto" w:sz="4" w:space="0"/>
              <w:bottom w:val="single" w:color="auto" w:sz="4" w:space="0"/>
              <w:right w:val="single" w:color="auto" w:sz="4" w:space="0"/>
            </w:tcBorders>
            <w:vAlign w:val="center"/>
          </w:tcPr>
          <w:p w14:paraId="6CD2A8EB">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26B48F8D">
            <w:pPr>
              <w:pStyle w:val="146"/>
              <w:rPr>
                <w:rFonts w:cs="宋体"/>
                <w:bCs/>
                <w:sz w:val="18"/>
                <w:szCs w:val="18"/>
              </w:rPr>
            </w:pPr>
            <w:r>
              <w:rPr>
                <w:rFonts w:hint="eastAsia" w:cs="宋体"/>
                <w:bCs/>
                <w:sz w:val="18"/>
                <w:szCs w:val="18"/>
              </w:rPr>
              <w:t>跨中截面，</w:t>
            </w:r>
            <w:r>
              <w:rPr>
                <w:rFonts w:hint="eastAsia" w:cs="宋体"/>
                <w:bCs/>
                <w:sz w:val="18"/>
                <w:szCs w:val="18"/>
                <w:lang w:eastAsia="zh-CN"/>
              </w:rPr>
              <w:t>不低于</w:t>
            </w:r>
            <w:r>
              <w:rPr>
                <w:rFonts w:hint="eastAsia" w:cs="宋体"/>
                <w:bCs/>
                <w:sz w:val="18"/>
                <w:szCs w:val="18"/>
              </w:rPr>
              <w:t>2处</w:t>
            </w:r>
            <w:r>
              <w:rPr>
                <w:rFonts w:cs="宋体"/>
                <w:bCs/>
                <w:sz w:val="18"/>
                <w:szCs w:val="18"/>
              </w:rPr>
              <w:t>--</w:t>
            </w:r>
          </w:p>
        </w:tc>
      </w:tr>
      <w:tr w14:paraId="485B0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vMerge w:val="continue"/>
            <w:tcBorders>
              <w:left w:val="single" w:color="auto" w:sz="4" w:space="0"/>
              <w:bottom w:val="single" w:color="auto" w:sz="4" w:space="0"/>
              <w:right w:val="single" w:color="auto" w:sz="4" w:space="0"/>
            </w:tcBorders>
            <w:vAlign w:val="center"/>
          </w:tcPr>
          <w:p w14:paraId="6236A392">
            <w:pPr>
              <w:widowControl/>
              <w:spacing w:beforeLines="0" w:afterLines="0" w:line="240" w:lineRule="auto"/>
              <w:jc w:val="center"/>
              <w:rPr>
                <w:rFonts w:cs="宋体"/>
                <w:bCs/>
                <w:sz w:val="18"/>
                <w:szCs w:val="18"/>
              </w:rPr>
            </w:pPr>
          </w:p>
        </w:tc>
        <w:tc>
          <w:tcPr>
            <w:tcW w:w="376" w:type="pct"/>
            <w:vMerge w:val="continue"/>
            <w:tcBorders>
              <w:top w:val="single" w:color="auto" w:sz="4" w:space="0"/>
              <w:left w:val="single" w:color="auto" w:sz="4" w:space="0"/>
              <w:bottom w:val="single" w:color="auto" w:sz="4" w:space="0"/>
              <w:right w:val="single" w:color="auto" w:sz="4" w:space="0"/>
            </w:tcBorders>
            <w:vAlign w:val="center"/>
          </w:tcPr>
          <w:p w14:paraId="3F914ADF">
            <w:pPr>
              <w:widowControl/>
              <w:spacing w:beforeLines="0" w:afterLines="0" w:line="240" w:lineRule="auto"/>
              <w:jc w:val="left"/>
              <w:rPr>
                <w:rFonts w:cs="宋体"/>
                <w:bCs/>
                <w:sz w:val="18"/>
                <w:szCs w:val="18"/>
              </w:rPr>
            </w:pPr>
          </w:p>
        </w:tc>
        <w:tc>
          <w:tcPr>
            <w:tcW w:w="648" w:type="pct"/>
            <w:vMerge w:val="continue"/>
            <w:tcBorders>
              <w:top w:val="single" w:color="auto" w:sz="4" w:space="0"/>
              <w:left w:val="single" w:color="auto" w:sz="4" w:space="0"/>
              <w:bottom w:val="single" w:color="auto" w:sz="4" w:space="0"/>
              <w:right w:val="single" w:color="auto" w:sz="4" w:space="0"/>
            </w:tcBorders>
            <w:vAlign w:val="center"/>
          </w:tcPr>
          <w:p w14:paraId="5CB2CD94">
            <w:pPr>
              <w:widowControl/>
              <w:spacing w:beforeLines="0" w:afterLines="0" w:line="240" w:lineRule="auto"/>
              <w:jc w:val="left"/>
              <w:rPr>
                <w:rFonts w:cs="宋体"/>
                <w:bCs/>
                <w:sz w:val="18"/>
                <w:szCs w:val="18"/>
              </w:rPr>
            </w:pPr>
          </w:p>
        </w:tc>
        <w:tc>
          <w:tcPr>
            <w:tcW w:w="1154" w:type="pct"/>
            <w:tcBorders>
              <w:top w:val="single" w:color="auto" w:sz="4" w:space="0"/>
              <w:left w:val="single" w:color="auto" w:sz="4" w:space="0"/>
              <w:bottom w:val="single" w:color="auto" w:sz="4" w:space="0"/>
              <w:right w:val="single" w:color="auto" w:sz="4" w:space="0"/>
            </w:tcBorders>
            <w:vAlign w:val="center"/>
          </w:tcPr>
          <w:p w14:paraId="1946F6CB">
            <w:pPr>
              <w:pStyle w:val="146"/>
              <w:rPr>
                <w:rFonts w:cs="宋体"/>
                <w:bCs/>
                <w:sz w:val="18"/>
                <w:szCs w:val="18"/>
              </w:rPr>
            </w:pPr>
            <w:r>
              <w:rPr>
                <w:rFonts w:hint="eastAsia" w:cs="宋体"/>
                <w:bCs/>
                <w:sz w:val="18"/>
                <w:szCs w:val="18"/>
              </w:rPr>
              <w:t>桥面铺装层温度</w:t>
            </w:r>
          </w:p>
        </w:tc>
        <w:tc>
          <w:tcPr>
            <w:tcW w:w="598" w:type="pct"/>
            <w:tcBorders>
              <w:top w:val="single" w:color="auto" w:sz="4" w:space="0"/>
              <w:left w:val="single" w:color="auto" w:sz="4" w:space="0"/>
              <w:bottom w:val="single" w:color="auto" w:sz="4" w:space="0"/>
              <w:right w:val="single" w:color="auto" w:sz="4" w:space="0"/>
            </w:tcBorders>
            <w:vAlign w:val="center"/>
          </w:tcPr>
          <w:p w14:paraId="2F860043">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4DD212EE">
            <w:pPr>
              <w:pStyle w:val="146"/>
              <w:rPr>
                <w:rFonts w:cs="宋体"/>
                <w:bCs/>
                <w:sz w:val="18"/>
                <w:szCs w:val="18"/>
              </w:rPr>
            </w:pPr>
            <w:r>
              <w:rPr>
                <w:rFonts w:cs="宋体"/>
                <w:bCs/>
                <w:sz w:val="18"/>
                <w:szCs w:val="18"/>
              </w:rPr>
              <w:t>-</w:t>
            </w:r>
          </w:p>
        </w:tc>
      </w:tr>
      <w:tr w14:paraId="12F20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vMerge w:val="restart"/>
            <w:tcBorders>
              <w:top w:val="single" w:color="auto" w:sz="4" w:space="0"/>
              <w:left w:val="single" w:color="auto" w:sz="4" w:space="0"/>
              <w:right w:val="single" w:color="auto" w:sz="4" w:space="0"/>
            </w:tcBorders>
            <w:vAlign w:val="center"/>
          </w:tcPr>
          <w:p w14:paraId="13C5A542">
            <w:pPr>
              <w:widowControl/>
              <w:spacing w:beforeLines="0" w:afterLines="0" w:line="240" w:lineRule="auto"/>
              <w:jc w:val="center"/>
              <w:rPr>
                <w:rFonts w:hint="default" w:eastAsia="宋体" w:cs="宋体"/>
                <w:bCs/>
                <w:sz w:val="18"/>
                <w:szCs w:val="18"/>
                <w:lang w:val="en-US" w:eastAsia="zh-CN"/>
              </w:rPr>
            </w:pPr>
            <w:r>
              <w:rPr>
                <w:rFonts w:hint="eastAsia" w:cs="宋体"/>
                <w:bCs/>
                <w:sz w:val="18"/>
                <w:szCs w:val="18"/>
                <w:lang w:val="en-US" w:eastAsia="zh-CN"/>
              </w:rPr>
              <w:t>10</w:t>
            </w:r>
          </w:p>
        </w:tc>
        <w:tc>
          <w:tcPr>
            <w:tcW w:w="376" w:type="pct"/>
            <w:vMerge w:val="continue"/>
            <w:tcBorders>
              <w:top w:val="single" w:color="auto" w:sz="4" w:space="0"/>
              <w:left w:val="single" w:color="auto" w:sz="4" w:space="0"/>
              <w:bottom w:val="single" w:color="auto" w:sz="4" w:space="0"/>
              <w:right w:val="single" w:color="auto" w:sz="4" w:space="0"/>
            </w:tcBorders>
            <w:vAlign w:val="center"/>
          </w:tcPr>
          <w:p w14:paraId="3255F5FE">
            <w:pPr>
              <w:widowControl/>
              <w:spacing w:beforeLines="0" w:afterLines="0" w:line="240" w:lineRule="auto"/>
              <w:jc w:val="left"/>
              <w:rPr>
                <w:rFonts w:cs="宋体"/>
                <w:bCs/>
                <w:sz w:val="18"/>
                <w:szCs w:val="18"/>
              </w:rPr>
            </w:pPr>
          </w:p>
        </w:tc>
        <w:tc>
          <w:tcPr>
            <w:tcW w:w="648" w:type="pct"/>
            <w:vMerge w:val="restart"/>
            <w:tcBorders>
              <w:top w:val="single" w:color="auto" w:sz="4" w:space="0"/>
              <w:left w:val="single" w:color="auto" w:sz="4" w:space="0"/>
              <w:bottom w:val="single" w:color="auto" w:sz="4" w:space="0"/>
              <w:right w:val="single" w:color="auto" w:sz="4" w:space="0"/>
            </w:tcBorders>
            <w:vAlign w:val="center"/>
          </w:tcPr>
          <w:p w14:paraId="2AEBB458">
            <w:pPr>
              <w:pStyle w:val="146"/>
              <w:rPr>
                <w:rFonts w:cs="宋体"/>
                <w:bCs/>
                <w:sz w:val="18"/>
                <w:szCs w:val="18"/>
              </w:rPr>
            </w:pPr>
            <w:r>
              <w:rPr>
                <w:rFonts w:hint="eastAsia" w:cs="宋体"/>
                <w:bCs/>
                <w:sz w:val="18"/>
                <w:szCs w:val="18"/>
              </w:rPr>
              <w:t>船舶撞击</w:t>
            </w:r>
          </w:p>
        </w:tc>
        <w:tc>
          <w:tcPr>
            <w:tcW w:w="1154" w:type="pct"/>
            <w:tcBorders>
              <w:top w:val="single" w:color="auto" w:sz="4" w:space="0"/>
              <w:left w:val="single" w:color="auto" w:sz="4" w:space="0"/>
              <w:bottom w:val="single" w:color="auto" w:sz="4" w:space="0"/>
              <w:right w:val="single" w:color="auto" w:sz="4" w:space="0"/>
            </w:tcBorders>
            <w:vAlign w:val="center"/>
          </w:tcPr>
          <w:p w14:paraId="1C2666CD">
            <w:pPr>
              <w:pStyle w:val="146"/>
              <w:rPr>
                <w:rFonts w:cs="宋体"/>
                <w:bCs/>
                <w:sz w:val="18"/>
                <w:szCs w:val="18"/>
              </w:rPr>
            </w:pPr>
            <w:r>
              <w:rPr>
                <w:rFonts w:hint="eastAsia" w:cs="宋体"/>
                <w:bCs/>
                <w:sz w:val="18"/>
                <w:szCs w:val="18"/>
              </w:rPr>
              <w:t>桥墩加速度</w:t>
            </w:r>
          </w:p>
        </w:tc>
        <w:tc>
          <w:tcPr>
            <w:tcW w:w="598" w:type="pct"/>
            <w:tcBorders>
              <w:top w:val="single" w:color="auto" w:sz="4" w:space="0"/>
              <w:left w:val="single" w:color="auto" w:sz="4" w:space="0"/>
              <w:bottom w:val="single" w:color="auto" w:sz="4" w:space="0"/>
              <w:right w:val="single" w:color="auto" w:sz="4" w:space="0"/>
            </w:tcBorders>
            <w:vAlign w:val="center"/>
          </w:tcPr>
          <w:p w14:paraId="3A17C8E2">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0C26B277">
            <w:pPr>
              <w:pStyle w:val="146"/>
              <w:rPr>
                <w:rFonts w:cs="宋体"/>
                <w:bCs/>
                <w:sz w:val="18"/>
                <w:szCs w:val="18"/>
              </w:rPr>
            </w:pPr>
            <w:r>
              <w:rPr>
                <w:rFonts w:cs="宋体"/>
                <w:bCs/>
                <w:sz w:val="18"/>
                <w:szCs w:val="18"/>
              </w:rPr>
              <w:t>布设在有船撞风险</w:t>
            </w:r>
            <w:r>
              <w:rPr>
                <w:rFonts w:hint="eastAsia" w:cs="宋体"/>
                <w:bCs/>
                <w:sz w:val="18"/>
                <w:szCs w:val="18"/>
              </w:rPr>
              <w:t>的桥墩处</w:t>
            </w:r>
          </w:p>
        </w:tc>
      </w:tr>
      <w:tr w14:paraId="59A36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vMerge w:val="continue"/>
            <w:tcBorders>
              <w:left w:val="single" w:color="auto" w:sz="4" w:space="0"/>
              <w:bottom w:val="single" w:color="auto" w:sz="4" w:space="0"/>
              <w:right w:val="single" w:color="auto" w:sz="4" w:space="0"/>
            </w:tcBorders>
            <w:vAlign w:val="center"/>
          </w:tcPr>
          <w:p w14:paraId="03EB58B9">
            <w:pPr>
              <w:widowControl/>
              <w:spacing w:beforeLines="0" w:afterLines="0" w:line="240" w:lineRule="auto"/>
              <w:jc w:val="center"/>
              <w:rPr>
                <w:rFonts w:cs="宋体"/>
                <w:bCs/>
                <w:sz w:val="18"/>
                <w:szCs w:val="18"/>
              </w:rPr>
            </w:pPr>
          </w:p>
        </w:tc>
        <w:tc>
          <w:tcPr>
            <w:tcW w:w="376" w:type="pct"/>
            <w:vMerge w:val="continue"/>
            <w:tcBorders>
              <w:top w:val="single" w:color="auto" w:sz="4" w:space="0"/>
              <w:left w:val="single" w:color="auto" w:sz="4" w:space="0"/>
              <w:bottom w:val="single" w:color="auto" w:sz="4" w:space="0"/>
              <w:right w:val="single" w:color="auto" w:sz="4" w:space="0"/>
            </w:tcBorders>
            <w:vAlign w:val="center"/>
          </w:tcPr>
          <w:p w14:paraId="164F3374">
            <w:pPr>
              <w:widowControl/>
              <w:spacing w:beforeLines="0" w:afterLines="0" w:line="240" w:lineRule="auto"/>
              <w:jc w:val="left"/>
              <w:rPr>
                <w:rFonts w:cs="宋体"/>
                <w:bCs/>
                <w:sz w:val="18"/>
                <w:szCs w:val="18"/>
              </w:rPr>
            </w:pPr>
          </w:p>
        </w:tc>
        <w:tc>
          <w:tcPr>
            <w:tcW w:w="648" w:type="pct"/>
            <w:vMerge w:val="continue"/>
            <w:tcBorders>
              <w:top w:val="single" w:color="auto" w:sz="4" w:space="0"/>
              <w:left w:val="single" w:color="auto" w:sz="4" w:space="0"/>
              <w:bottom w:val="single" w:color="auto" w:sz="4" w:space="0"/>
              <w:right w:val="single" w:color="auto" w:sz="4" w:space="0"/>
            </w:tcBorders>
            <w:vAlign w:val="center"/>
          </w:tcPr>
          <w:p w14:paraId="56DE07C9">
            <w:pPr>
              <w:widowControl/>
              <w:spacing w:beforeLines="0" w:afterLines="0" w:line="240" w:lineRule="auto"/>
              <w:jc w:val="left"/>
              <w:rPr>
                <w:rFonts w:cs="宋体"/>
                <w:bCs/>
                <w:sz w:val="18"/>
                <w:szCs w:val="18"/>
              </w:rPr>
            </w:pPr>
          </w:p>
        </w:tc>
        <w:tc>
          <w:tcPr>
            <w:tcW w:w="1154" w:type="pct"/>
            <w:tcBorders>
              <w:top w:val="single" w:color="auto" w:sz="4" w:space="0"/>
              <w:left w:val="single" w:color="auto" w:sz="4" w:space="0"/>
              <w:bottom w:val="single" w:color="auto" w:sz="4" w:space="0"/>
              <w:right w:val="single" w:color="auto" w:sz="4" w:space="0"/>
            </w:tcBorders>
            <w:vAlign w:val="center"/>
          </w:tcPr>
          <w:p w14:paraId="5D8725A4">
            <w:pPr>
              <w:pStyle w:val="146"/>
              <w:rPr>
                <w:rFonts w:hint="eastAsia" w:eastAsia="宋体" w:cs="宋体"/>
                <w:bCs/>
                <w:sz w:val="18"/>
                <w:szCs w:val="18"/>
                <w:lang w:eastAsia="zh-CN"/>
              </w:rPr>
            </w:pPr>
            <w:r>
              <w:rPr>
                <w:rFonts w:hint="eastAsia" w:cs="宋体"/>
                <w:bCs/>
                <w:sz w:val="18"/>
                <w:szCs w:val="18"/>
                <w:lang w:eastAsia="zh-CN"/>
              </w:rPr>
              <w:t>视频监控</w:t>
            </w:r>
          </w:p>
        </w:tc>
        <w:tc>
          <w:tcPr>
            <w:tcW w:w="598" w:type="pct"/>
            <w:tcBorders>
              <w:top w:val="single" w:color="auto" w:sz="4" w:space="0"/>
              <w:left w:val="single" w:color="auto" w:sz="4" w:space="0"/>
              <w:bottom w:val="single" w:color="auto" w:sz="4" w:space="0"/>
              <w:right w:val="single" w:color="auto" w:sz="4" w:space="0"/>
            </w:tcBorders>
            <w:vAlign w:val="center"/>
          </w:tcPr>
          <w:p w14:paraId="6438D80E">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79C60A09">
            <w:pPr>
              <w:pStyle w:val="146"/>
              <w:rPr>
                <w:rFonts w:cs="宋体"/>
                <w:bCs/>
                <w:sz w:val="18"/>
                <w:szCs w:val="18"/>
              </w:rPr>
            </w:pPr>
            <w:r>
              <w:rPr>
                <w:rFonts w:cs="宋体"/>
                <w:bCs/>
                <w:sz w:val="18"/>
                <w:szCs w:val="18"/>
              </w:rPr>
              <w:t>布设在有船撞风险</w:t>
            </w:r>
            <w:r>
              <w:rPr>
                <w:rFonts w:hint="eastAsia" w:cs="宋体"/>
                <w:bCs/>
                <w:sz w:val="18"/>
                <w:szCs w:val="18"/>
              </w:rPr>
              <w:t>桥跨处</w:t>
            </w:r>
          </w:p>
        </w:tc>
      </w:tr>
      <w:tr w14:paraId="0F74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vMerge w:val="restart"/>
            <w:tcBorders>
              <w:top w:val="single" w:color="auto" w:sz="4" w:space="0"/>
              <w:left w:val="single" w:color="auto" w:sz="4" w:space="0"/>
              <w:right w:val="single" w:color="auto" w:sz="4" w:space="0"/>
            </w:tcBorders>
            <w:vAlign w:val="center"/>
          </w:tcPr>
          <w:p w14:paraId="2A4255AC">
            <w:pPr>
              <w:widowControl/>
              <w:spacing w:beforeLines="0" w:afterLines="0" w:line="240" w:lineRule="auto"/>
              <w:jc w:val="center"/>
              <w:rPr>
                <w:rFonts w:hint="default" w:eastAsia="宋体" w:cs="宋体"/>
                <w:bCs/>
                <w:sz w:val="18"/>
                <w:szCs w:val="18"/>
                <w:lang w:val="en-US" w:eastAsia="zh-CN"/>
              </w:rPr>
            </w:pPr>
            <w:r>
              <w:rPr>
                <w:rFonts w:hint="eastAsia" w:cs="宋体"/>
                <w:bCs/>
                <w:sz w:val="18"/>
                <w:szCs w:val="18"/>
                <w:lang w:val="en-US" w:eastAsia="zh-CN"/>
              </w:rPr>
              <w:t>11</w:t>
            </w:r>
          </w:p>
        </w:tc>
        <w:tc>
          <w:tcPr>
            <w:tcW w:w="376" w:type="pct"/>
            <w:vMerge w:val="continue"/>
            <w:tcBorders>
              <w:top w:val="single" w:color="auto" w:sz="4" w:space="0"/>
              <w:left w:val="single" w:color="auto" w:sz="4" w:space="0"/>
              <w:bottom w:val="single" w:color="auto" w:sz="4" w:space="0"/>
              <w:right w:val="single" w:color="auto" w:sz="4" w:space="0"/>
            </w:tcBorders>
            <w:vAlign w:val="center"/>
          </w:tcPr>
          <w:p w14:paraId="5470E75D">
            <w:pPr>
              <w:widowControl/>
              <w:spacing w:beforeLines="0" w:afterLines="0" w:line="240" w:lineRule="auto"/>
              <w:jc w:val="left"/>
              <w:rPr>
                <w:rFonts w:cs="宋体"/>
                <w:bCs/>
                <w:sz w:val="18"/>
                <w:szCs w:val="18"/>
              </w:rPr>
            </w:pPr>
          </w:p>
        </w:tc>
        <w:tc>
          <w:tcPr>
            <w:tcW w:w="648" w:type="pct"/>
            <w:vMerge w:val="restart"/>
            <w:tcBorders>
              <w:top w:val="single" w:color="auto" w:sz="4" w:space="0"/>
              <w:left w:val="single" w:color="auto" w:sz="4" w:space="0"/>
              <w:bottom w:val="single" w:color="auto" w:sz="4" w:space="0"/>
              <w:right w:val="single" w:color="auto" w:sz="4" w:space="0"/>
            </w:tcBorders>
            <w:vAlign w:val="center"/>
          </w:tcPr>
          <w:p w14:paraId="1B2C7C54">
            <w:pPr>
              <w:pStyle w:val="146"/>
              <w:rPr>
                <w:rFonts w:cs="宋体"/>
                <w:bCs/>
                <w:sz w:val="18"/>
                <w:szCs w:val="18"/>
              </w:rPr>
            </w:pPr>
            <w:r>
              <w:rPr>
                <w:rFonts w:hint="eastAsia" w:cs="宋体"/>
                <w:bCs/>
                <w:sz w:val="18"/>
                <w:szCs w:val="18"/>
              </w:rPr>
              <w:t>车辆撞击</w:t>
            </w:r>
          </w:p>
        </w:tc>
        <w:tc>
          <w:tcPr>
            <w:tcW w:w="1154" w:type="pct"/>
            <w:tcBorders>
              <w:top w:val="single" w:color="auto" w:sz="4" w:space="0"/>
              <w:left w:val="single" w:color="auto" w:sz="4" w:space="0"/>
              <w:bottom w:val="single" w:color="auto" w:sz="4" w:space="0"/>
              <w:right w:val="single" w:color="auto" w:sz="4" w:space="0"/>
            </w:tcBorders>
            <w:vAlign w:val="center"/>
          </w:tcPr>
          <w:p w14:paraId="24EAB68D">
            <w:pPr>
              <w:pStyle w:val="146"/>
              <w:rPr>
                <w:rFonts w:cs="宋体"/>
                <w:bCs/>
                <w:sz w:val="18"/>
                <w:szCs w:val="18"/>
              </w:rPr>
            </w:pPr>
            <w:r>
              <w:rPr>
                <w:rFonts w:hint="eastAsia" w:cs="宋体"/>
                <w:bCs/>
                <w:sz w:val="18"/>
                <w:szCs w:val="18"/>
              </w:rPr>
              <w:t>桥墩加速度</w:t>
            </w:r>
          </w:p>
        </w:tc>
        <w:tc>
          <w:tcPr>
            <w:tcW w:w="598" w:type="pct"/>
            <w:tcBorders>
              <w:top w:val="single" w:color="auto" w:sz="4" w:space="0"/>
              <w:left w:val="single" w:color="auto" w:sz="4" w:space="0"/>
              <w:bottom w:val="single" w:color="auto" w:sz="4" w:space="0"/>
              <w:right w:val="single" w:color="auto" w:sz="4" w:space="0"/>
            </w:tcBorders>
            <w:vAlign w:val="center"/>
          </w:tcPr>
          <w:p w14:paraId="1828AB00">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4B8D0F5A">
            <w:pPr>
              <w:pStyle w:val="146"/>
              <w:rPr>
                <w:rFonts w:cs="宋体"/>
                <w:bCs/>
                <w:sz w:val="18"/>
                <w:szCs w:val="18"/>
              </w:rPr>
            </w:pPr>
            <w:r>
              <w:rPr>
                <w:rFonts w:cs="宋体"/>
                <w:bCs/>
                <w:sz w:val="18"/>
                <w:szCs w:val="18"/>
              </w:rPr>
              <w:t>布设在有</w:t>
            </w:r>
            <w:r>
              <w:rPr>
                <w:rFonts w:hint="eastAsia" w:cs="宋体"/>
                <w:bCs/>
                <w:sz w:val="18"/>
                <w:szCs w:val="18"/>
              </w:rPr>
              <w:t>车</w:t>
            </w:r>
            <w:r>
              <w:rPr>
                <w:rFonts w:cs="宋体"/>
                <w:bCs/>
                <w:sz w:val="18"/>
                <w:szCs w:val="18"/>
              </w:rPr>
              <w:t>撞风险</w:t>
            </w:r>
            <w:r>
              <w:rPr>
                <w:rFonts w:hint="eastAsia" w:cs="宋体"/>
                <w:bCs/>
                <w:sz w:val="18"/>
                <w:szCs w:val="18"/>
              </w:rPr>
              <w:t>的桥墩处</w:t>
            </w:r>
          </w:p>
        </w:tc>
      </w:tr>
      <w:tr w14:paraId="33FEA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vMerge w:val="continue"/>
            <w:tcBorders>
              <w:left w:val="single" w:color="auto" w:sz="4" w:space="0"/>
              <w:bottom w:val="single" w:color="auto" w:sz="4" w:space="0"/>
              <w:right w:val="single" w:color="auto" w:sz="4" w:space="0"/>
            </w:tcBorders>
            <w:vAlign w:val="center"/>
          </w:tcPr>
          <w:p w14:paraId="0A6DE5E2">
            <w:pPr>
              <w:widowControl/>
              <w:spacing w:beforeLines="0" w:afterLines="0" w:line="240" w:lineRule="auto"/>
              <w:jc w:val="center"/>
              <w:rPr>
                <w:rFonts w:cs="宋体"/>
                <w:bCs/>
                <w:sz w:val="18"/>
                <w:szCs w:val="18"/>
              </w:rPr>
            </w:pPr>
          </w:p>
        </w:tc>
        <w:tc>
          <w:tcPr>
            <w:tcW w:w="376" w:type="pct"/>
            <w:vMerge w:val="continue"/>
            <w:tcBorders>
              <w:top w:val="single" w:color="auto" w:sz="4" w:space="0"/>
              <w:left w:val="single" w:color="auto" w:sz="4" w:space="0"/>
              <w:bottom w:val="single" w:color="auto" w:sz="4" w:space="0"/>
              <w:right w:val="single" w:color="auto" w:sz="4" w:space="0"/>
            </w:tcBorders>
            <w:vAlign w:val="center"/>
          </w:tcPr>
          <w:p w14:paraId="6DBEDF55">
            <w:pPr>
              <w:widowControl/>
              <w:spacing w:beforeLines="0" w:afterLines="0" w:line="240" w:lineRule="auto"/>
              <w:jc w:val="left"/>
              <w:rPr>
                <w:rFonts w:cs="宋体"/>
                <w:bCs/>
                <w:sz w:val="18"/>
                <w:szCs w:val="18"/>
              </w:rPr>
            </w:pPr>
          </w:p>
        </w:tc>
        <w:tc>
          <w:tcPr>
            <w:tcW w:w="648" w:type="pct"/>
            <w:vMerge w:val="continue"/>
            <w:tcBorders>
              <w:top w:val="single" w:color="auto" w:sz="4" w:space="0"/>
              <w:left w:val="single" w:color="auto" w:sz="4" w:space="0"/>
              <w:bottom w:val="single" w:color="auto" w:sz="4" w:space="0"/>
              <w:right w:val="single" w:color="auto" w:sz="4" w:space="0"/>
            </w:tcBorders>
            <w:vAlign w:val="center"/>
          </w:tcPr>
          <w:p w14:paraId="68467D41">
            <w:pPr>
              <w:widowControl/>
              <w:spacing w:beforeLines="0" w:afterLines="0" w:line="240" w:lineRule="auto"/>
              <w:jc w:val="left"/>
              <w:rPr>
                <w:rFonts w:cs="宋体"/>
                <w:bCs/>
                <w:sz w:val="18"/>
                <w:szCs w:val="18"/>
              </w:rPr>
            </w:pPr>
          </w:p>
        </w:tc>
        <w:tc>
          <w:tcPr>
            <w:tcW w:w="1154" w:type="pct"/>
            <w:tcBorders>
              <w:top w:val="single" w:color="auto" w:sz="4" w:space="0"/>
              <w:left w:val="single" w:color="auto" w:sz="4" w:space="0"/>
              <w:bottom w:val="single" w:color="auto" w:sz="4" w:space="0"/>
              <w:right w:val="single" w:color="auto" w:sz="4" w:space="0"/>
            </w:tcBorders>
            <w:vAlign w:val="center"/>
          </w:tcPr>
          <w:p w14:paraId="114A18B2">
            <w:pPr>
              <w:pStyle w:val="146"/>
              <w:rPr>
                <w:rFonts w:hint="eastAsia" w:eastAsia="宋体" w:cs="宋体"/>
                <w:bCs/>
                <w:sz w:val="18"/>
                <w:szCs w:val="18"/>
                <w:lang w:eastAsia="zh-CN"/>
              </w:rPr>
            </w:pPr>
            <w:r>
              <w:rPr>
                <w:rFonts w:hint="eastAsia" w:cs="宋体"/>
                <w:bCs/>
                <w:sz w:val="18"/>
                <w:szCs w:val="18"/>
                <w:lang w:eastAsia="zh-CN"/>
              </w:rPr>
              <w:t>视频监控</w:t>
            </w:r>
          </w:p>
        </w:tc>
        <w:tc>
          <w:tcPr>
            <w:tcW w:w="598" w:type="pct"/>
            <w:tcBorders>
              <w:top w:val="single" w:color="auto" w:sz="4" w:space="0"/>
              <w:left w:val="single" w:color="auto" w:sz="4" w:space="0"/>
              <w:bottom w:val="single" w:color="auto" w:sz="4" w:space="0"/>
              <w:right w:val="single" w:color="auto" w:sz="4" w:space="0"/>
            </w:tcBorders>
            <w:vAlign w:val="center"/>
          </w:tcPr>
          <w:p w14:paraId="3CA3F37E">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3027432F">
            <w:pPr>
              <w:pStyle w:val="146"/>
              <w:rPr>
                <w:rFonts w:cs="宋体"/>
                <w:bCs/>
                <w:sz w:val="18"/>
                <w:szCs w:val="18"/>
              </w:rPr>
            </w:pPr>
            <w:r>
              <w:rPr>
                <w:rFonts w:cs="宋体"/>
                <w:bCs/>
                <w:sz w:val="18"/>
                <w:szCs w:val="18"/>
              </w:rPr>
              <w:t>布设在有船撞风险</w:t>
            </w:r>
            <w:r>
              <w:rPr>
                <w:rFonts w:hint="eastAsia" w:cs="宋体"/>
                <w:bCs/>
                <w:sz w:val="18"/>
                <w:szCs w:val="18"/>
              </w:rPr>
              <w:t>桥跨处</w:t>
            </w:r>
          </w:p>
        </w:tc>
      </w:tr>
      <w:tr w14:paraId="4AED1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vMerge w:val="restart"/>
            <w:tcBorders>
              <w:top w:val="single" w:color="auto" w:sz="4" w:space="0"/>
              <w:left w:val="single" w:color="auto" w:sz="4" w:space="0"/>
              <w:right w:val="single" w:color="auto" w:sz="4" w:space="0"/>
            </w:tcBorders>
            <w:vAlign w:val="center"/>
          </w:tcPr>
          <w:p w14:paraId="75F4415F">
            <w:pPr>
              <w:widowControl/>
              <w:spacing w:beforeLines="0" w:afterLines="0" w:line="240" w:lineRule="auto"/>
              <w:jc w:val="center"/>
              <w:rPr>
                <w:rFonts w:hint="default" w:eastAsia="宋体" w:cs="宋体"/>
                <w:bCs/>
                <w:sz w:val="18"/>
                <w:szCs w:val="18"/>
                <w:lang w:val="en-US" w:eastAsia="zh-CN"/>
              </w:rPr>
            </w:pPr>
            <w:r>
              <w:rPr>
                <w:rFonts w:hint="eastAsia" w:cs="宋体"/>
                <w:bCs/>
                <w:sz w:val="18"/>
                <w:szCs w:val="18"/>
                <w:lang w:val="en-US" w:eastAsia="zh-CN"/>
              </w:rPr>
              <w:t>12</w:t>
            </w:r>
          </w:p>
        </w:tc>
        <w:tc>
          <w:tcPr>
            <w:tcW w:w="376" w:type="pct"/>
            <w:vMerge w:val="continue"/>
            <w:tcBorders>
              <w:top w:val="single" w:color="auto" w:sz="4" w:space="0"/>
              <w:left w:val="single" w:color="auto" w:sz="4" w:space="0"/>
              <w:bottom w:val="single" w:color="auto" w:sz="4" w:space="0"/>
              <w:right w:val="single" w:color="auto" w:sz="4" w:space="0"/>
            </w:tcBorders>
            <w:vAlign w:val="center"/>
          </w:tcPr>
          <w:p w14:paraId="7D7A392D">
            <w:pPr>
              <w:widowControl/>
              <w:spacing w:beforeLines="0" w:afterLines="0" w:line="240" w:lineRule="auto"/>
              <w:jc w:val="left"/>
              <w:rPr>
                <w:rFonts w:cs="宋体"/>
                <w:bCs/>
                <w:sz w:val="18"/>
                <w:szCs w:val="18"/>
              </w:rPr>
            </w:pPr>
          </w:p>
        </w:tc>
        <w:tc>
          <w:tcPr>
            <w:tcW w:w="648" w:type="pct"/>
            <w:vMerge w:val="restart"/>
            <w:tcBorders>
              <w:top w:val="single" w:color="auto" w:sz="4" w:space="0"/>
              <w:left w:val="single" w:color="auto" w:sz="4" w:space="0"/>
              <w:bottom w:val="single" w:color="auto" w:sz="4" w:space="0"/>
              <w:right w:val="single" w:color="auto" w:sz="4" w:space="0"/>
            </w:tcBorders>
            <w:vAlign w:val="center"/>
          </w:tcPr>
          <w:p w14:paraId="13AD5E4B">
            <w:pPr>
              <w:pStyle w:val="146"/>
              <w:rPr>
                <w:rFonts w:cs="宋体"/>
                <w:bCs/>
                <w:sz w:val="18"/>
                <w:szCs w:val="18"/>
              </w:rPr>
            </w:pPr>
            <w:r>
              <w:rPr>
                <w:rFonts w:hint="eastAsia" w:cs="宋体"/>
                <w:bCs/>
                <w:sz w:val="18"/>
                <w:szCs w:val="18"/>
              </w:rPr>
              <w:t>地震</w:t>
            </w:r>
          </w:p>
        </w:tc>
        <w:tc>
          <w:tcPr>
            <w:tcW w:w="1154" w:type="pct"/>
            <w:tcBorders>
              <w:top w:val="single" w:color="auto" w:sz="4" w:space="0"/>
              <w:left w:val="single" w:color="auto" w:sz="4" w:space="0"/>
              <w:bottom w:val="single" w:color="auto" w:sz="4" w:space="0"/>
              <w:right w:val="single" w:color="auto" w:sz="4" w:space="0"/>
            </w:tcBorders>
            <w:vAlign w:val="center"/>
          </w:tcPr>
          <w:p w14:paraId="725AEF7B">
            <w:pPr>
              <w:pStyle w:val="146"/>
              <w:rPr>
                <w:rFonts w:cs="宋体"/>
                <w:bCs/>
                <w:sz w:val="18"/>
                <w:szCs w:val="18"/>
              </w:rPr>
            </w:pPr>
            <w:r>
              <w:rPr>
                <w:rFonts w:hint="eastAsia" w:cs="宋体"/>
                <w:bCs/>
                <w:sz w:val="18"/>
                <w:szCs w:val="18"/>
              </w:rPr>
              <w:t>桥岸地表场地加速度</w:t>
            </w:r>
          </w:p>
        </w:tc>
        <w:tc>
          <w:tcPr>
            <w:tcW w:w="598" w:type="pct"/>
            <w:tcBorders>
              <w:top w:val="single" w:color="auto" w:sz="4" w:space="0"/>
              <w:left w:val="single" w:color="auto" w:sz="4" w:space="0"/>
              <w:bottom w:val="single" w:color="auto" w:sz="4" w:space="0"/>
              <w:right w:val="single" w:color="auto" w:sz="4" w:space="0"/>
            </w:tcBorders>
            <w:vAlign w:val="center"/>
          </w:tcPr>
          <w:p w14:paraId="3C21A912">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30B04689">
            <w:pPr>
              <w:pStyle w:val="146"/>
              <w:rPr>
                <w:rFonts w:cs="宋体"/>
                <w:bCs/>
                <w:sz w:val="18"/>
                <w:szCs w:val="18"/>
              </w:rPr>
            </w:pPr>
            <w:r>
              <w:rPr>
                <w:rFonts w:hint="eastAsia" w:cs="宋体"/>
                <w:bCs/>
                <w:sz w:val="18"/>
                <w:szCs w:val="18"/>
              </w:rPr>
              <w:t>桥岸地表</w:t>
            </w:r>
          </w:p>
        </w:tc>
      </w:tr>
      <w:tr w14:paraId="6CD71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vMerge w:val="continue"/>
            <w:tcBorders>
              <w:left w:val="single" w:color="auto" w:sz="4" w:space="0"/>
              <w:bottom w:val="single" w:color="auto" w:sz="4" w:space="0"/>
              <w:right w:val="single" w:color="auto" w:sz="4" w:space="0"/>
            </w:tcBorders>
            <w:vAlign w:val="center"/>
          </w:tcPr>
          <w:p w14:paraId="4487552F">
            <w:pPr>
              <w:widowControl/>
              <w:spacing w:beforeLines="0" w:afterLines="0" w:line="240" w:lineRule="auto"/>
              <w:jc w:val="center"/>
              <w:rPr>
                <w:rFonts w:cs="宋体"/>
                <w:bCs/>
                <w:sz w:val="18"/>
                <w:szCs w:val="18"/>
              </w:rPr>
            </w:pPr>
          </w:p>
        </w:tc>
        <w:tc>
          <w:tcPr>
            <w:tcW w:w="376" w:type="pct"/>
            <w:vMerge w:val="continue"/>
            <w:tcBorders>
              <w:top w:val="single" w:color="auto" w:sz="4" w:space="0"/>
              <w:left w:val="single" w:color="auto" w:sz="4" w:space="0"/>
              <w:bottom w:val="single" w:color="auto" w:sz="4" w:space="0"/>
              <w:right w:val="single" w:color="auto" w:sz="4" w:space="0"/>
            </w:tcBorders>
            <w:vAlign w:val="center"/>
          </w:tcPr>
          <w:p w14:paraId="2E9DFE4D">
            <w:pPr>
              <w:widowControl/>
              <w:spacing w:beforeLines="0" w:afterLines="0" w:line="240" w:lineRule="auto"/>
              <w:jc w:val="left"/>
              <w:rPr>
                <w:rFonts w:cs="宋体"/>
                <w:bCs/>
                <w:sz w:val="18"/>
                <w:szCs w:val="18"/>
              </w:rPr>
            </w:pPr>
          </w:p>
        </w:tc>
        <w:tc>
          <w:tcPr>
            <w:tcW w:w="648" w:type="pct"/>
            <w:vMerge w:val="continue"/>
            <w:tcBorders>
              <w:top w:val="single" w:color="auto" w:sz="4" w:space="0"/>
              <w:left w:val="single" w:color="auto" w:sz="4" w:space="0"/>
              <w:bottom w:val="single" w:color="auto" w:sz="4" w:space="0"/>
              <w:right w:val="single" w:color="auto" w:sz="4" w:space="0"/>
            </w:tcBorders>
            <w:vAlign w:val="center"/>
          </w:tcPr>
          <w:p w14:paraId="6C3CD20D">
            <w:pPr>
              <w:widowControl/>
              <w:spacing w:beforeLines="0" w:afterLines="0" w:line="240" w:lineRule="auto"/>
              <w:jc w:val="left"/>
              <w:rPr>
                <w:rFonts w:cs="宋体"/>
                <w:bCs/>
                <w:sz w:val="18"/>
                <w:szCs w:val="18"/>
              </w:rPr>
            </w:pPr>
          </w:p>
        </w:tc>
        <w:tc>
          <w:tcPr>
            <w:tcW w:w="1154" w:type="pct"/>
            <w:tcBorders>
              <w:top w:val="single" w:color="auto" w:sz="4" w:space="0"/>
              <w:left w:val="single" w:color="auto" w:sz="4" w:space="0"/>
              <w:bottom w:val="single" w:color="auto" w:sz="4" w:space="0"/>
              <w:right w:val="single" w:color="auto" w:sz="4" w:space="0"/>
            </w:tcBorders>
            <w:vAlign w:val="center"/>
          </w:tcPr>
          <w:p w14:paraId="1C183C9D">
            <w:pPr>
              <w:pStyle w:val="146"/>
              <w:rPr>
                <w:rFonts w:cs="宋体"/>
                <w:bCs/>
                <w:sz w:val="18"/>
                <w:szCs w:val="18"/>
              </w:rPr>
            </w:pPr>
            <w:r>
              <w:rPr>
                <w:rFonts w:hint="eastAsia" w:cs="宋体"/>
                <w:bCs/>
                <w:sz w:val="18"/>
                <w:szCs w:val="18"/>
              </w:rPr>
              <w:t>承台顶或桥墩底部加速度</w:t>
            </w:r>
          </w:p>
        </w:tc>
        <w:tc>
          <w:tcPr>
            <w:tcW w:w="598" w:type="pct"/>
            <w:tcBorders>
              <w:top w:val="single" w:color="auto" w:sz="4" w:space="0"/>
              <w:left w:val="single" w:color="auto" w:sz="4" w:space="0"/>
              <w:bottom w:val="single" w:color="auto" w:sz="4" w:space="0"/>
              <w:right w:val="single" w:color="auto" w:sz="4" w:space="0"/>
            </w:tcBorders>
            <w:vAlign w:val="center"/>
          </w:tcPr>
          <w:p w14:paraId="69E1F1AB">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61D92D72">
            <w:pPr>
              <w:pStyle w:val="146"/>
              <w:rPr>
                <w:rFonts w:cs="宋体"/>
                <w:bCs/>
                <w:sz w:val="18"/>
                <w:szCs w:val="18"/>
              </w:rPr>
            </w:pPr>
            <w:r>
              <w:rPr>
                <w:rFonts w:hint="eastAsia" w:cs="宋体"/>
                <w:bCs/>
                <w:sz w:val="18"/>
                <w:szCs w:val="18"/>
              </w:rPr>
              <w:t>承台顶或桥墩底部</w:t>
            </w:r>
          </w:p>
        </w:tc>
      </w:tr>
      <w:tr w14:paraId="05261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vMerge w:val="restart"/>
            <w:tcBorders>
              <w:top w:val="single" w:color="auto" w:sz="4" w:space="0"/>
              <w:left w:val="single" w:color="auto" w:sz="4" w:space="0"/>
              <w:right w:val="single" w:color="auto" w:sz="4" w:space="0"/>
            </w:tcBorders>
            <w:vAlign w:val="center"/>
          </w:tcPr>
          <w:p w14:paraId="0FD5AF48">
            <w:pPr>
              <w:pStyle w:val="146"/>
              <w:jc w:val="center"/>
              <w:rPr>
                <w:rFonts w:hint="default" w:eastAsia="宋体" w:cs="宋体"/>
                <w:bCs/>
                <w:sz w:val="18"/>
                <w:szCs w:val="18"/>
                <w:lang w:val="en-US" w:eastAsia="zh-CN"/>
              </w:rPr>
            </w:pPr>
            <w:r>
              <w:rPr>
                <w:rFonts w:hint="eastAsia" w:cs="宋体"/>
                <w:bCs/>
                <w:sz w:val="18"/>
                <w:szCs w:val="18"/>
                <w:lang w:val="en-US" w:eastAsia="zh-CN"/>
              </w:rPr>
              <w:t>13</w:t>
            </w:r>
          </w:p>
        </w:tc>
        <w:tc>
          <w:tcPr>
            <w:tcW w:w="376" w:type="pct"/>
            <w:vMerge w:val="restart"/>
            <w:tcBorders>
              <w:top w:val="single" w:color="auto" w:sz="4" w:space="0"/>
              <w:left w:val="single" w:color="auto" w:sz="4" w:space="0"/>
              <w:right w:val="single" w:color="auto" w:sz="4" w:space="0"/>
            </w:tcBorders>
            <w:vAlign w:val="center"/>
          </w:tcPr>
          <w:p w14:paraId="2B7780F3">
            <w:pPr>
              <w:pStyle w:val="146"/>
              <w:rPr>
                <w:rFonts w:hint="eastAsia" w:cs="宋体"/>
                <w:bCs/>
                <w:sz w:val="18"/>
                <w:szCs w:val="18"/>
              </w:rPr>
            </w:pPr>
            <w:r>
              <w:rPr>
                <w:rFonts w:hint="eastAsia" w:cs="宋体"/>
                <w:bCs/>
                <w:sz w:val="18"/>
                <w:szCs w:val="18"/>
              </w:rPr>
              <w:t>结构响应</w:t>
            </w:r>
          </w:p>
        </w:tc>
        <w:tc>
          <w:tcPr>
            <w:tcW w:w="648" w:type="pct"/>
            <w:vMerge w:val="restart"/>
            <w:tcBorders>
              <w:top w:val="single" w:color="auto" w:sz="4" w:space="0"/>
              <w:left w:val="single" w:color="auto" w:sz="4" w:space="0"/>
              <w:bottom w:val="single" w:color="auto" w:sz="4" w:space="0"/>
              <w:right w:val="single" w:color="auto" w:sz="4" w:space="0"/>
            </w:tcBorders>
            <w:vAlign w:val="center"/>
          </w:tcPr>
          <w:p w14:paraId="5D319A47">
            <w:pPr>
              <w:pStyle w:val="146"/>
              <w:rPr>
                <w:rFonts w:cs="宋体"/>
                <w:bCs/>
                <w:sz w:val="18"/>
                <w:szCs w:val="18"/>
              </w:rPr>
            </w:pPr>
            <w:r>
              <w:rPr>
                <w:rFonts w:hint="eastAsia" w:cs="宋体"/>
                <w:bCs/>
                <w:sz w:val="18"/>
                <w:szCs w:val="18"/>
              </w:rPr>
              <w:t>位移</w:t>
            </w:r>
          </w:p>
        </w:tc>
        <w:tc>
          <w:tcPr>
            <w:tcW w:w="1154" w:type="pct"/>
            <w:tcBorders>
              <w:top w:val="single" w:color="auto" w:sz="4" w:space="0"/>
              <w:left w:val="single" w:color="auto" w:sz="4" w:space="0"/>
              <w:bottom w:val="single" w:color="auto" w:sz="4" w:space="0"/>
              <w:right w:val="single" w:color="auto" w:sz="4" w:space="0"/>
            </w:tcBorders>
            <w:vAlign w:val="center"/>
          </w:tcPr>
          <w:p w14:paraId="1FCD65AA">
            <w:pPr>
              <w:pStyle w:val="146"/>
              <w:rPr>
                <w:rFonts w:cs="宋体"/>
                <w:bCs/>
                <w:sz w:val="18"/>
                <w:szCs w:val="18"/>
              </w:rPr>
            </w:pPr>
            <w:r>
              <w:rPr>
                <w:rFonts w:hint="eastAsia" w:cs="宋体"/>
                <w:bCs/>
                <w:sz w:val="18"/>
                <w:szCs w:val="18"/>
              </w:rPr>
              <w:t>主梁竖向位移</w:t>
            </w:r>
          </w:p>
        </w:tc>
        <w:tc>
          <w:tcPr>
            <w:tcW w:w="598" w:type="pct"/>
            <w:tcBorders>
              <w:top w:val="single" w:color="auto" w:sz="4" w:space="0"/>
              <w:left w:val="single" w:color="auto" w:sz="4" w:space="0"/>
              <w:bottom w:val="single" w:color="auto" w:sz="4" w:space="0"/>
              <w:right w:val="single" w:color="auto" w:sz="4" w:space="0"/>
            </w:tcBorders>
            <w:vAlign w:val="center"/>
          </w:tcPr>
          <w:p w14:paraId="136A1041">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3B76FF10">
            <w:pPr>
              <w:pStyle w:val="146"/>
              <w:rPr>
                <w:rFonts w:cs="宋体"/>
                <w:bCs/>
                <w:sz w:val="18"/>
                <w:szCs w:val="18"/>
              </w:rPr>
            </w:pPr>
            <w:r>
              <w:rPr>
                <w:rFonts w:hint="eastAsia" w:cs="宋体"/>
                <w:bCs/>
                <w:sz w:val="18"/>
                <w:szCs w:val="18"/>
              </w:rPr>
              <w:t>主跨及边跨跨中截面、主跨</w:t>
            </w:r>
            <w:r>
              <w:rPr>
                <w:rFonts w:cs="宋体"/>
                <w:bCs/>
                <w:sz w:val="18"/>
                <w:szCs w:val="18"/>
              </w:rPr>
              <w:t>1/4</w:t>
            </w:r>
            <w:r>
              <w:rPr>
                <w:rFonts w:hint="eastAsia" w:cs="宋体"/>
                <w:bCs/>
                <w:sz w:val="18"/>
                <w:szCs w:val="18"/>
              </w:rPr>
              <w:t>截面及</w:t>
            </w:r>
            <w:r>
              <w:rPr>
                <w:rFonts w:cs="宋体"/>
                <w:bCs/>
                <w:sz w:val="18"/>
                <w:szCs w:val="18"/>
              </w:rPr>
              <w:t>3/4</w:t>
            </w:r>
            <w:r>
              <w:rPr>
                <w:rFonts w:hint="eastAsia" w:cs="宋体"/>
                <w:bCs/>
                <w:sz w:val="18"/>
                <w:szCs w:val="18"/>
              </w:rPr>
              <w:t>截面（主跨跨度较大时增设）。宜布</w:t>
            </w:r>
            <w:r>
              <w:rPr>
                <w:rFonts w:hint="eastAsia" w:cs="宋体"/>
                <w:bCs/>
                <w:sz w:val="18"/>
                <w:szCs w:val="18"/>
                <w:lang w:eastAsia="zh-CN"/>
              </w:rPr>
              <w:t>置于</w:t>
            </w:r>
            <w:r>
              <w:rPr>
                <w:rFonts w:hint="eastAsia" w:cs="宋体"/>
                <w:bCs/>
                <w:sz w:val="18"/>
                <w:szCs w:val="18"/>
              </w:rPr>
              <w:t>车道下方，每个断面</w:t>
            </w:r>
            <w:r>
              <w:rPr>
                <w:rFonts w:hint="eastAsia" w:cs="宋体"/>
                <w:bCs/>
                <w:sz w:val="18"/>
                <w:szCs w:val="18"/>
                <w:lang w:eastAsia="zh-CN"/>
              </w:rPr>
              <w:t>不低于</w:t>
            </w:r>
            <w:r>
              <w:rPr>
                <w:rFonts w:hint="eastAsia" w:cs="宋体"/>
                <w:bCs/>
                <w:sz w:val="18"/>
                <w:szCs w:val="18"/>
              </w:rPr>
              <w:t>2处。</w:t>
            </w:r>
          </w:p>
        </w:tc>
      </w:tr>
      <w:tr w14:paraId="4C1B6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vMerge w:val="continue"/>
            <w:tcBorders>
              <w:left w:val="single" w:color="auto" w:sz="4" w:space="0"/>
              <w:right w:val="single" w:color="auto" w:sz="4" w:space="0"/>
            </w:tcBorders>
            <w:vAlign w:val="center"/>
          </w:tcPr>
          <w:p w14:paraId="1C6BEE3E">
            <w:pPr>
              <w:widowControl/>
              <w:spacing w:beforeLines="0" w:afterLines="0" w:line="240" w:lineRule="auto"/>
              <w:jc w:val="center"/>
              <w:rPr>
                <w:rFonts w:cs="宋体"/>
                <w:bCs/>
                <w:sz w:val="18"/>
                <w:szCs w:val="18"/>
              </w:rPr>
            </w:pPr>
          </w:p>
        </w:tc>
        <w:tc>
          <w:tcPr>
            <w:tcW w:w="376" w:type="pct"/>
            <w:vMerge w:val="continue"/>
            <w:tcBorders>
              <w:left w:val="single" w:color="auto" w:sz="4" w:space="0"/>
              <w:right w:val="single" w:color="auto" w:sz="4" w:space="0"/>
            </w:tcBorders>
            <w:vAlign w:val="center"/>
          </w:tcPr>
          <w:p w14:paraId="11ACBAC4">
            <w:pPr>
              <w:widowControl/>
              <w:spacing w:beforeLines="0" w:afterLines="0" w:line="240" w:lineRule="auto"/>
              <w:jc w:val="left"/>
              <w:rPr>
                <w:rFonts w:cs="宋体"/>
                <w:bCs/>
                <w:sz w:val="18"/>
                <w:szCs w:val="18"/>
              </w:rPr>
            </w:pPr>
          </w:p>
        </w:tc>
        <w:tc>
          <w:tcPr>
            <w:tcW w:w="648" w:type="pct"/>
            <w:vMerge w:val="continue"/>
            <w:tcBorders>
              <w:top w:val="single" w:color="auto" w:sz="4" w:space="0"/>
              <w:left w:val="single" w:color="auto" w:sz="4" w:space="0"/>
              <w:bottom w:val="single" w:color="auto" w:sz="4" w:space="0"/>
              <w:right w:val="single" w:color="auto" w:sz="4" w:space="0"/>
            </w:tcBorders>
            <w:vAlign w:val="center"/>
          </w:tcPr>
          <w:p w14:paraId="42BF9F28">
            <w:pPr>
              <w:widowControl/>
              <w:spacing w:beforeLines="0" w:afterLines="0" w:line="240" w:lineRule="auto"/>
              <w:jc w:val="left"/>
              <w:rPr>
                <w:rFonts w:cs="宋体"/>
                <w:bCs/>
                <w:sz w:val="18"/>
                <w:szCs w:val="18"/>
              </w:rPr>
            </w:pPr>
          </w:p>
        </w:tc>
        <w:tc>
          <w:tcPr>
            <w:tcW w:w="1154" w:type="pct"/>
            <w:tcBorders>
              <w:top w:val="single" w:color="auto" w:sz="4" w:space="0"/>
              <w:left w:val="single" w:color="auto" w:sz="4" w:space="0"/>
              <w:bottom w:val="single" w:color="auto" w:sz="4" w:space="0"/>
              <w:right w:val="single" w:color="auto" w:sz="4" w:space="0"/>
            </w:tcBorders>
            <w:vAlign w:val="center"/>
          </w:tcPr>
          <w:p w14:paraId="4CA1F0AE">
            <w:pPr>
              <w:pStyle w:val="146"/>
              <w:rPr>
                <w:rFonts w:cs="宋体"/>
                <w:bCs/>
                <w:sz w:val="18"/>
                <w:szCs w:val="18"/>
              </w:rPr>
            </w:pPr>
            <w:r>
              <w:rPr>
                <w:rFonts w:hint="eastAsia" w:cs="宋体"/>
                <w:bCs/>
                <w:sz w:val="18"/>
                <w:szCs w:val="18"/>
              </w:rPr>
              <w:t>主梁横向位移</w:t>
            </w:r>
          </w:p>
        </w:tc>
        <w:tc>
          <w:tcPr>
            <w:tcW w:w="598" w:type="pct"/>
            <w:tcBorders>
              <w:top w:val="single" w:color="auto" w:sz="4" w:space="0"/>
              <w:left w:val="single" w:color="auto" w:sz="4" w:space="0"/>
              <w:bottom w:val="single" w:color="auto" w:sz="4" w:space="0"/>
              <w:right w:val="single" w:color="auto" w:sz="4" w:space="0"/>
            </w:tcBorders>
            <w:vAlign w:val="center"/>
          </w:tcPr>
          <w:p w14:paraId="19BE3F64">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63E333B9">
            <w:pPr>
              <w:pStyle w:val="146"/>
              <w:rPr>
                <w:rFonts w:cs="宋体"/>
                <w:bCs/>
                <w:sz w:val="18"/>
                <w:szCs w:val="18"/>
              </w:rPr>
            </w:pPr>
            <w:r>
              <w:rPr>
                <w:rFonts w:hint="eastAsia" w:cs="宋体"/>
                <w:bCs/>
                <w:sz w:val="18"/>
                <w:szCs w:val="18"/>
              </w:rPr>
              <w:t>梁端截面</w:t>
            </w:r>
          </w:p>
        </w:tc>
      </w:tr>
      <w:tr w14:paraId="5FDC8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vMerge w:val="continue"/>
            <w:tcBorders>
              <w:left w:val="single" w:color="auto" w:sz="4" w:space="0"/>
              <w:right w:val="single" w:color="auto" w:sz="4" w:space="0"/>
            </w:tcBorders>
            <w:vAlign w:val="center"/>
          </w:tcPr>
          <w:p w14:paraId="251A2317">
            <w:pPr>
              <w:widowControl/>
              <w:spacing w:beforeLines="0" w:afterLines="0" w:line="240" w:lineRule="auto"/>
              <w:jc w:val="center"/>
              <w:rPr>
                <w:rFonts w:cs="宋体"/>
                <w:bCs/>
                <w:sz w:val="18"/>
                <w:szCs w:val="18"/>
              </w:rPr>
            </w:pPr>
          </w:p>
        </w:tc>
        <w:tc>
          <w:tcPr>
            <w:tcW w:w="376" w:type="pct"/>
            <w:vMerge w:val="continue"/>
            <w:tcBorders>
              <w:left w:val="single" w:color="auto" w:sz="4" w:space="0"/>
              <w:right w:val="single" w:color="auto" w:sz="4" w:space="0"/>
            </w:tcBorders>
            <w:vAlign w:val="center"/>
          </w:tcPr>
          <w:p w14:paraId="12B9C82B">
            <w:pPr>
              <w:widowControl/>
              <w:spacing w:beforeLines="0" w:afterLines="0" w:line="240" w:lineRule="auto"/>
              <w:jc w:val="left"/>
              <w:rPr>
                <w:rFonts w:cs="宋体"/>
                <w:bCs/>
                <w:sz w:val="18"/>
                <w:szCs w:val="18"/>
              </w:rPr>
            </w:pPr>
          </w:p>
        </w:tc>
        <w:tc>
          <w:tcPr>
            <w:tcW w:w="648" w:type="pct"/>
            <w:vMerge w:val="continue"/>
            <w:tcBorders>
              <w:top w:val="single" w:color="auto" w:sz="4" w:space="0"/>
              <w:left w:val="single" w:color="auto" w:sz="4" w:space="0"/>
              <w:bottom w:val="single" w:color="auto" w:sz="4" w:space="0"/>
              <w:right w:val="single" w:color="auto" w:sz="4" w:space="0"/>
            </w:tcBorders>
            <w:vAlign w:val="center"/>
          </w:tcPr>
          <w:p w14:paraId="2EC91DB8">
            <w:pPr>
              <w:widowControl/>
              <w:spacing w:beforeLines="0" w:afterLines="0" w:line="240" w:lineRule="auto"/>
              <w:jc w:val="left"/>
              <w:rPr>
                <w:rFonts w:cs="宋体"/>
                <w:bCs/>
                <w:sz w:val="18"/>
                <w:szCs w:val="18"/>
              </w:rPr>
            </w:pPr>
          </w:p>
        </w:tc>
        <w:tc>
          <w:tcPr>
            <w:tcW w:w="1154" w:type="pct"/>
            <w:tcBorders>
              <w:top w:val="single" w:color="auto" w:sz="4" w:space="0"/>
              <w:left w:val="single" w:color="auto" w:sz="4" w:space="0"/>
              <w:bottom w:val="single" w:color="auto" w:sz="4" w:space="0"/>
              <w:right w:val="single" w:color="auto" w:sz="4" w:space="0"/>
            </w:tcBorders>
            <w:vAlign w:val="center"/>
          </w:tcPr>
          <w:p w14:paraId="59ACE2BE">
            <w:pPr>
              <w:pStyle w:val="146"/>
              <w:rPr>
                <w:rFonts w:cs="宋体"/>
                <w:bCs/>
                <w:sz w:val="18"/>
                <w:szCs w:val="18"/>
              </w:rPr>
            </w:pPr>
            <w:r>
              <w:rPr>
                <w:rFonts w:hint="eastAsia" w:cs="宋体"/>
                <w:bCs/>
                <w:sz w:val="18"/>
                <w:szCs w:val="18"/>
              </w:rPr>
              <w:t>支座位移</w:t>
            </w:r>
          </w:p>
        </w:tc>
        <w:tc>
          <w:tcPr>
            <w:tcW w:w="598" w:type="pct"/>
            <w:tcBorders>
              <w:top w:val="single" w:color="auto" w:sz="4" w:space="0"/>
              <w:left w:val="single" w:color="auto" w:sz="4" w:space="0"/>
              <w:bottom w:val="single" w:color="auto" w:sz="4" w:space="0"/>
              <w:right w:val="single" w:color="auto" w:sz="4" w:space="0"/>
            </w:tcBorders>
            <w:vAlign w:val="center"/>
          </w:tcPr>
          <w:p w14:paraId="32B6BC50">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270A6224">
            <w:pPr>
              <w:pStyle w:val="146"/>
              <w:rPr>
                <w:rFonts w:cs="宋体"/>
                <w:bCs/>
                <w:sz w:val="18"/>
                <w:szCs w:val="18"/>
              </w:rPr>
            </w:pPr>
            <w:r>
              <w:rPr>
                <w:rFonts w:cs="宋体"/>
                <w:bCs/>
                <w:sz w:val="18"/>
                <w:szCs w:val="18"/>
              </w:rPr>
              <w:t>-</w:t>
            </w:r>
          </w:p>
        </w:tc>
      </w:tr>
      <w:tr w14:paraId="45E38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vMerge w:val="continue"/>
            <w:tcBorders>
              <w:left w:val="single" w:color="auto" w:sz="4" w:space="0"/>
              <w:right w:val="single" w:color="auto" w:sz="4" w:space="0"/>
            </w:tcBorders>
            <w:vAlign w:val="center"/>
          </w:tcPr>
          <w:p w14:paraId="0D3E8A14">
            <w:pPr>
              <w:widowControl/>
              <w:spacing w:beforeLines="0" w:afterLines="0" w:line="240" w:lineRule="auto"/>
              <w:jc w:val="center"/>
              <w:rPr>
                <w:rFonts w:cs="宋体"/>
                <w:bCs/>
                <w:sz w:val="18"/>
                <w:szCs w:val="18"/>
              </w:rPr>
            </w:pPr>
          </w:p>
        </w:tc>
        <w:tc>
          <w:tcPr>
            <w:tcW w:w="376" w:type="pct"/>
            <w:vMerge w:val="continue"/>
            <w:tcBorders>
              <w:left w:val="single" w:color="auto" w:sz="4" w:space="0"/>
              <w:right w:val="single" w:color="auto" w:sz="4" w:space="0"/>
            </w:tcBorders>
            <w:vAlign w:val="center"/>
          </w:tcPr>
          <w:p w14:paraId="664A3783">
            <w:pPr>
              <w:widowControl/>
              <w:spacing w:beforeLines="0" w:afterLines="0" w:line="240" w:lineRule="auto"/>
              <w:jc w:val="left"/>
              <w:rPr>
                <w:rFonts w:cs="宋体"/>
                <w:bCs/>
                <w:sz w:val="18"/>
                <w:szCs w:val="18"/>
              </w:rPr>
            </w:pPr>
          </w:p>
        </w:tc>
        <w:tc>
          <w:tcPr>
            <w:tcW w:w="648" w:type="pct"/>
            <w:vMerge w:val="continue"/>
            <w:tcBorders>
              <w:top w:val="single" w:color="auto" w:sz="4" w:space="0"/>
              <w:left w:val="single" w:color="auto" w:sz="4" w:space="0"/>
              <w:bottom w:val="single" w:color="auto" w:sz="4" w:space="0"/>
              <w:right w:val="single" w:color="auto" w:sz="4" w:space="0"/>
            </w:tcBorders>
            <w:vAlign w:val="center"/>
          </w:tcPr>
          <w:p w14:paraId="73FE4DF9">
            <w:pPr>
              <w:widowControl/>
              <w:spacing w:beforeLines="0" w:afterLines="0" w:line="240" w:lineRule="auto"/>
              <w:jc w:val="left"/>
              <w:rPr>
                <w:rFonts w:cs="宋体"/>
                <w:bCs/>
                <w:sz w:val="18"/>
                <w:szCs w:val="18"/>
              </w:rPr>
            </w:pPr>
          </w:p>
        </w:tc>
        <w:tc>
          <w:tcPr>
            <w:tcW w:w="1154" w:type="pct"/>
            <w:tcBorders>
              <w:top w:val="single" w:color="auto" w:sz="4" w:space="0"/>
              <w:left w:val="single" w:color="auto" w:sz="4" w:space="0"/>
              <w:bottom w:val="single" w:color="auto" w:sz="4" w:space="0"/>
              <w:right w:val="single" w:color="auto" w:sz="4" w:space="0"/>
            </w:tcBorders>
            <w:vAlign w:val="center"/>
          </w:tcPr>
          <w:p w14:paraId="0F9357A5">
            <w:pPr>
              <w:pStyle w:val="146"/>
              <w:rPr>
                <w:rFonts w:cs="宋体"/>
                <w:bCs/>
                <w:sz w:val="18"/>
                <w:szCs w:val="18"/>
              </w:rPr>
            </w:pPr>
            <w:r>
              <w:rPr>
                <w:rFonts w:hint="eastAsia" w:cs="宋体"/>
                <w:bCs/>
                <w:sz w:val="18"/>
                <w:szCs w:val="18"/>
              </w:rPr>
              <w:t>梁端纵向位移</w:t>
            </w:r>
          </w:p>
        </w:tc>
        <w:tc>
          <w:tcPr>
            <w:tcW w:w="598" w:type="pct"/>
            <w:tcBorders>
              <w:top w:val="single" w:color="auto" w:sz="4" w:space="0"/>
              <w:left w:val="single" w:color="auto" w:sz="4" w:space="0"/>
              <w:bottom w:val="single" w:color="auto" w:sz="4" w:space="0"/>
              <w:right w:val="single" w:color="auto" w:sz="4" w:space="0"/>
            </w:tcBorders>
            <w:vAlign w:val="center"/>
          </w:tcPr>
          <w:p w14:paraId="0523FFC0">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4E706699">
            <w:pPr>
              <w:pStyle w:val="146"/>
              <w:rPr>
                <w:rFonts w:cs="宋体"/>
                <w:bCs/>
                <w:sz w:val="18"/>
                <w:szCs w:val="18"/>
              </w:rPr>
            </w:pPr>
            <w:r>
              <w:rPr>
                <w:rFonts w:hint="eastAsia" w:cs="宋体"/>
                <w:bCs/>
                <w:sz w:val="18"/>
                <w:szCs w:val="18"/>
              </w:rPr>
              <w:t>梁端截面</w:t>
            </w:r>
          </w:p>
        </w:tc>
      </w:tr>
      <w:tr w14:paraId="01D2D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vMerge w:val="continue"/>
            <w:tcBorders>
              <w:left w:val="single" w:color="auto" w:sz="4" w:space="0"/>
              <w:right w:val="single" w:color="auto" w:sz="4" w:space="0"/>
            </w:tcBorders>
            <w:vAlign w:val="center"/>
          </w:tcPr>
          <w:p w14:paraId="035D9E6E">
            <w:pPr>
              <w:widowControl/>
              <w:spacing w:beforeLines="0" w:afterLines="0" w:line="240" w:lineRule="auto"/>
              <w:jc w:val="center"/>
              <w:rPr>
                <w:rFonts w:cs="宋体"/>
                <w:bCs/>
                <w:sz w:val="18"/>
                <w:szCs w:val="18"/>
              </w:rPr>
            </w:pPr>
          </w:p>
        </w:tc>
        <w:tc>
          <w:tcPr>
            <w:tcW w:w="376" w:type="pct"/>
            <w:vMerge w:val="continue"/>
            <w:tcBorders>
              <w:left w:val="single" w:color="auto" w:sz="4" w:space="0"/>
              <w:right w:val="single" w:color="auto" w:sz="4" w:space="0"/>
            </w:tcBorders>
            <w:vAlign w:val="center"/>
          </w:tcPr>
          <w:p w14:paraId="52F822B8">
            <w:pPr>
              <w:widowControl/>
              <w:spacing w:beforeLines="0" w:afterLines="0" w:line="240" w:lineRule="auto"/>
              <w:jc w:val="left"/>
              <w:rPr>
                <w:rFonts w:cs="宋体"/>
                <w:bCs/>
                <w:sz w:val="18"/>
                <w:szCs w:val="18"/>
              </w:rPr>
            </w:pPr>
          </w:p>
        </w:tc>
        <w:tc>
          <w:tcPr>
            <w:tcW w:w="648" w:type="pct"/>
            <w:vMerge w:val="continue"/>
            <w:tcBorders>
              <w:top w:val="single" w:color="auto" w:sz="4" w:space="0"/>
              <w:left w:val="single" w:color="auto" w:sz="4" w:space="0"/>
              <w:bottom w:val="single" w:color="auto" w:sz="4" w:space="0"/>
              <w:right w:val="single" w:color="auto" w:sz="4" w:space="0"/>
            </w:tcBorders>
            <w:vAlign w:val="center"/>
          </w:tcPr>
          <w:p w14:paraId="596AA52F">
            <w:pPr>
              <w:widowControl/>
              <w:spacing w:beforeLines="0" w:afterLines="0" w:line="240" w:lineRule="auto"/>
              <w:jc w:val="left"/>
              <w:rPr>
                <w:rFonts w:cs="宋体"/>
                <w:bCs/>
                <w:sz w:val="18"/>
                <w:szCs w:val="18"/>
              </w:rPr>
            </w:pPr>
          </w:p>
        </w:tc>
        <w:tc>
          <w:tcPr>
            <w:tcW w:w="1154" w:type="pct"/>
            <w:tcBorders>
              <w:top w:val="single" w:color="auto" w:sz="4" w:space="0"/>
              <w:left w:val="single" w:color="auto" w:sz="4" w:space="0"/>
              <w:bottom w:val="single" w:color="auto" w:sz="4" w:space="0"/>
              <w:right w:val="single" w:color="auto" w:sz="4" w:space="0"/>
            </w:tcBorders>
            <w:vAlign w:val="center"/>
          </w:tcPr>
          <w:p w14:paraId="5CF842E8">
            <w:pPr>
              <w:pStyle w:val="146"/>
              <w:rPr>
                <w:rFonts w:cs="宋体"/>
                <w:bCs/>
                <w:sz w:val="18"/>
                <w:szCs w:val="18"/>
              </w:rPr>
            </w:pPr>
            <w:r>
              <w:rPr>
                <w:rFonts w:hint="eastAsia" w:cs="宋体"/>
                <w:bCs/>
                <w:sz w:val="18"/>
                <w:szCs w:val="18"/>
              </w:rPr>
              <w:t>墩顶倾斜</w:t>
            </w:r>
          </w:p>
        </w:tc>
        <w:tc>
          <w:tcPr>
            <w:tcW w:w="598" w:type="pct"/>
            <w:tcBorders>
              <w:top w:val="single" w:color="auto" w:sz="4" w:space="0"/>
              <w:left w:val="single" w:color="auto" w:sz="4" w:space="0"/>
              <w:bottom w:val="single" w:color="auto" w:sz="4" w:space="0"/>
              <w:right w:val="single" w:color="auto" w:sz="4" w:space="0"/>
            </w:tcBorders>
            <w:vAlign w:val="center"/>
          </w:tcPr>
          <w:p w14:paraId="38346041">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66602F8C">
            <w:pPr>
              <w:pStyle w:val="146"/>
              <w:rPr>
                <w:rFonts w:cs="宋体"/>
                <w:bCs/>
                <w:sz w:val="18"/>
                <w:szCs w:val="18"/>
              </w:rPr>
            </w:pPr>
            <w:r>
              <w:rPr>
                <w:rFonts w:hint="eastAsia" w:cs="宋体"/>
                <w:bCs/>
                <w:sz w:val="18"/>
                <w:szCs w:val="18"/>
              </w:rPr>
              <w:t>桥墩顶部</w:t>
            </w:r>
          </w:p>
        </w:tc>
      </w:tr>
      <w:tr w14:paraId="06F10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vMerge w:val="continue"/>
            <w:tcBorders>
              <w:left w:val="single" w:color="auto" w:sz="4" w:space="0"/>
              <w:bottom w:val="nil"/>
              <w:right w:val="single" w:color="auto" w:sz="4" w:space="0"/>
            </w:tcBorders>
            <w:vAlign w:val="center"/>
          </w:tcPr>
          <w:p w14:paraId="19DFE634">
            <w:pPr>
              <w:widowControl/>
              <w:spacing w:beforeLines="0" w:afterLines="0" w:line="240" w:lineRule="auto"/>
              <w:jc w:val="center"/>
              <w:rPr>
                <w:rFonts w:cs="宋体"/>
                <w:bCs/>
                <w:sz w:val="18"/>
                <w:szCs w:val="18"/>
              </w:rPr>
            </w:pPr>
          </w:p>
        </w:tc>
        <w:tc>
          <w:tcPr>
            <w:tcW w:w="376" w:type="pct"/>
            <w:vMerge w:val="continue"/>
            <w:tcBorders>
              <w:left w:val="single" w:color="auto" w:sz="4" w:space="0"/>
              <w:bottom w:val="nil"/>
              <w:right w:val="single" w:color="auto" w:sz="4" w:space="0"/>
            </w:tcBorders>
            <w:vAlign w:val="center"/>
          </w:tcPr>
          <w:p w14:paraId="763244E6">
            <w:pPr>
              <w:widowControl/>
              <w:spacing w:beforeLines="0" w:afterLines="0" w:line="240" w:lineRule="auto"/>
              <w:jc w:val="left"/>
              <w:rPr>
                <w:rFonts w:cs="宋体"/>
                <w:bCs/>
                <w:sz w:val="18"/>
                <w:szCs w:val="18"/>
              </w:rPr>
            </w:pPr>
          </w:p>
        </w:tc>
        <w:tc>
          <w:tcPr>
            <w:tcW w:w="648" w:type="pct"/>
            <w:vMerge w:val="continue"/>
            <w:tcBorders>
              <w:top w:val="single" w:color="auto" w:sz="4" w:space="0"/>
              <w:left w:val="single" w:color="auto" w:sz="4" w:space="0"/>
              <w:bottom w:val="nil"/>
              <w:right w:val="single" w:color="auto" w:sz="4" w:space="0"/>
            </w:tcBorders>
            <w:vAlign w:val="center"/>
          </w:tcPr>
          <w:p w14:paraId="654A8D3F">
            <w:pPr>
              <w:widowControl/>
              <w:spacing w:beforeLines="0" w:afterLines="0" w:line="240" w:lineRule="auto"/>
              <w:jc w:val="left"/>
              <w:rPr>
                <w:rFonts w:cs="宋体"/>
                <w:bCs/>
                <w:sz w:val="18"/>
                <w:szCs w:val="18"/>
              </w:rPr>
            </w:pPr>
          </w:p>
        </w:tc>
        <w:tc>
          <w:tcPr>
            <w:tcW w:w="1154" w:type="pct"/>
            <w:tcBorders>
              <w:top w:val="single" w:color="auto" w:sz="4" w:space="0"/>
              <w:left w:val="single" w:color="auto" w:sz="4" w:space="0"/>
              <w:bottom w:val="nil"/>
              <w:right w:val="single" w:color="auto" w:sz="4" w:space="0"/>
            </w:tcBorders>
            <w:vAlign w:val="center"/>
          </w:tcPr>
          <w:p w14:paraId="2500B53B">
            <w:pPr>
              <w:pStyle w:val="146"/>
              <w:rPr>
                <w:rFonts w:cs="宋体"/>
                <w:bCs/>
                <w:sz w:val="18"/>
                <w:szCs w:val="18"/>
              </w:rPr>
            </w:pPr>
            <w:r>
              <w:rPr>
                <w:rFonts w:hint="eastAsia" w:cs="宋体"/>
                <w:bCs/>
                <w:sz w:val="18"/>
                <w:szCs w:val="18"/>
              </w:rPr>
              <w:t>桥台倾斜</w:t>
            </w:r>
          </w:p>
        </w:tc>
        <w:tc>
          <w:tcPr>
            <w:tcW w:w="598" w:type="pct"/>
            <w:tcBorders>
              <w:top w:val="single" w:color="auto" w:sz="4" w:space="0"/>
              <w:left w:val="single" w:color="auto" w:sz="4" w:space="0"/>
              <w:bottom w:val="nil"/>
              <w:right w:val="single" w:color="auto" w:sz="4" w:space="0"/>
            </w:tcBorders>
            <w:vAlign w:val="center"/>
          </w:tcPr>
          <w:p w14:paraId="5FD3EDEE">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nil"/>
              <w:right w:val="single" w:color="auto" w:sz="4" w:space="0"/>
            </w:tcBorders>
            <w:vAlign w:val="center"/>
          </w:tcPr>
          <w:p w14:paraId="2B192798">
            <w:pPr>
              <w:pStyle w:val="146"/>
              <w:rPr>
                <w:rFonts w:cs="宋体"/>
                <w:bCs/>
                <w:sz w:val="18"/>
                <w:szCs w:val="18"/>
              </w:rPr>
            </w:pPr>
            <w:r>
              <w:rPr>
                <w:rFonts w:hint="eastAsia" w:cs="宋体"/>
                <w:bCs/>
                <w:sz w:val="18"/>
                <w:szCs w:val="18"/>
              </w:rPr>
              <w:t>桥台顶部</w:t>
            </w:r>
          </w:p>
        </w:tc>
      </w:tr>
      <w:tr w14:paraId="6351B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5000" w:type="pct"/>
            <w:gridSpan w:val="6"/>
            <w:tcBorders>
              <w:top w:val="nil"/>
              <w:left w:val="nil"/>
              <w:bottom w:val="single" w:color="auto" w:sz="4" w:space="0"/>
              <w:right w:val="nil"/>
            </w:tcBorders>
            <w:vAlign w:val="center"/>
          </w:tcPr>
          <w:p w14:paraId="5DCE9886">
            <w:pPr>
              <w:pStyle w:val="98"/>
              <w:spacing w:before="31" w:after="31"/>
              <w:jc w:val="center"/>
              <w:rPr>
                <w:rFonts w:hint="eastAsia" w:cs="宋体"/>
                <w:bCs/>
                <w:sz w:val="18"/>
                <w:szCs w:val="18"/>
              </w:rPr>
            </w:pPr>
            <w:r>
              <w:rPr>
                <w:rFonts w:hint="eastAsia" w:ascii="黑体" w:hAnsi="黑体" w:eastAsia="黑体"/>
                <w:bCs/>
                <w:color w:val="auto"/>
              </w:rPr>
              <w:t>B.5.2</w:t>
            </w:r>
            <w:r>
              <w:rPr>
                <w:rFonts w:ascii="黑体" w:hAnsi="黑体" w:eastAsia="黑体"/>
                <w:bCs/>
                <w:color w:val="auto"/>
              </w:rPr>
              <w:t xml:space="preserve"> </w:t>
            </w:r>
            <w:r>
              <w:rPr>
                <w:rFonts w:hint="eastAsia" w:ascii="黑体" w:hAnsi="黑体" w:eastAsia="黑体"/>
                <w:bCs/>
                <w:color w:val="auto"/>
              </w:rPr>
              <w:t>连续梁（刚构）桥监测</w:t>
            </w:r>
            <w:r>
              <w:rPr>
                <w:rFonts w:hint="eastAsia" w:ascii="黑体" w:hAnsi="黑体" w:eastAsia="黑体"/>
                <w:bCs/>
                <w:color w:val="auto"/>
                <w:lang w:val="en-US" w:eastAsia="zh-CN"/>
              </w:rPr>
              <w:t>布点要求（续）</w:t>
            </w:r>
          </w:p>
        </w:tc>
      </w:tr>
      <w:tr w14:paraId="30C2A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73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247094AE">
            <w:pPr>
              <w:pStyle w:val="146"/>
              <w:rPr>
                <w:rFonts w:hint="eastAsia" w:ascii="Times New Roman" w:hAnsi="Times New Roman" w:eastAsia="宋体" w:cs="宋体"/>
                <w:bCs/>
                <w:kern w:val="2"/>
                <w:sz w:val="18"/>
                <w:szCs w:val="18"/>
                <w:lang w:val="en-US" w:eastAsia="zh-CN" w:bidi="ar-SA"/>
              </w:rPr>
            </w:pPr>
            <w:r>
              <w:rPr>
                <w:rFonts w:hint="eastAsia" w:cs="宋体"/>
                <w:bCs/>
                <w:sz w:val="18"/>
                <w:szCs w:val="18"/>
                <w:lang w:val="en-US" w:eastAsia="zh-CN"/>
              </w:rPr>
              <w:t>序号</w:t>
            </w:r>
          </w:p>
        </w:tc>
        <w:tc>
          <w:tcPr>
            <w:tcW w:w="648" w:type="pct"/>
            <w:tcBorders>
              <w:top w:val="single" w:color="auto" w:sz="4" w:space="0"/>
              <w:left w:val="single" w:color="auto" w:sz="4" w:space="0"/>
              <w:bottom w:val="single" w:color="auto" w:sz="4" w:space="0"/>
              <w:right w:val="single" w:color="auto" w:sz="4" w:space="0"/>
            </w:tcBorders>
            <w:shd w:val="clear" w:color="auto" w:fill="auto"/>
            <w:vAlign w:val="center"/>
          </w:tcPr>
          <w:p w14:paraId="1F0A3605">
            <w:pPr>
              <w:pStyle w:val="146"/>
              <w:rPr>
                <w:rFonts w:hint="eastAsia" w:ascii="Times New Roman" w:hAnsi="Times New Roman" w:eastAsia="宋体" w:cs="宋体"/>
                <w:bCs/>
                <w:kern w:val="2"/>
                <w:sz w:val="18"/>
                <w:szCs w:val="18"/>
                <w:lang w:val="en-US" w:eastAsia="zh-CN" w:bidi="ar-SA"/>
              </w:rPr>
            </w:pPr>
            <w:r>
              <w:rPr>
                <w:rFonts w:hint="eastAsia" w:cs="宋体"/>
                <w:bCs/>
                <w:sz w:val="18"/>
                <w:szCs w:val="18"/>
              </w:rPr>
              <w:t>监测对象</w:t>
            </w:r>
          </w:p>
        </w:tc>
        <w:tc>
          <w:tcPr>
            <w:tcW w:w="1154" w:type="pct"/>
            <w:tcBorders>
              <w:top w:val="single" w:color="auto" w:sz="4" w:space="0"/>
              <w:left w:val="single" w:color="auto" w:sz="4" w:space="0"/>
              <w:bottom w:val="single" w:color="auto" w:sz="4" w:space="0"/>
              <w:right w:val="single" w:color="auto" w:sz="4" w:space="0"/>
            </w:tcBorders>
            <w:shd w:val="clear" w:color="auto" w:fill="auto"/>
            <w:vAlign w:val="center"/>
          </w:tcPr>
          <w:p w14:paraId="711E1A8C">
            <w:pPr>
              <w:pStyle w:val="146"/>
              <w:rPr>
                <w:rFonts w:hint="eastAsia" w:ascii="Times New Roman" w:hAnsi="Times New Roman" w:eastAsia="宋体" w:cs="宋体"/>
                <w:bCs/>
                <w:kern w:val="2"/>
                <w:sz w:val="18"/>
                <w:szCs w:val="18"/>
                <w:lang w:val="en-US" w:eastAsia="zh-CN" w:bidi="ar-SA"/>
              </w:rPr>
            </w:pPr>
            <w:r>
              <w:rPr>
                <w:rFonts w:hint="eastAsia" w:cs="宋体"/>
                <w:bCs/>
                <w:sz w:val="18"/>
                <w:szCs w:val="18"/>
              </w:rPr>
              <w:t>监测指标</w:t>
            </w:r>
          </w:p>
        </w:tc>
        <w:tc>
          <w:tcPr>
            <w:tcW w:w="598" w:type="pct"/>
            <w:tcBorders>
              <w:top w:val="single" w:color="auto" w:sz="4" w:space="0"/>
              <w:left w:val="single" w:color="auto" w:sz="4" w:space="0"/>
              <w:bottom w:val="single" w:color="auto" w:sz="4" w:space="0"/>
              <w:right w:val="single" w:color="auto" w:sz="4" w:space="0"/>
            </w:tcBorders>
            <w:shd w:val="clear" w:color="auto" w:fill="auto"/>
            <w:vAlign w:val="center"/>
          </w:tcPr>
          <w:p w14:paraId="02C1239A">
            <w:pPr>
              <w:pStyle w:val="146"/>
              <w:rPr>
                <w:rFonts w:hint="eastAsia" w:ascii="Times New Roman" w:hAnsi="Times New Roman" w:eastAsia="宋体" w:cs="宋体"/>
                <w:bCs/>
                <w:kern w:val="2"/>
                <w:sz w:val="18"/>
                <w:szCs w:val="18"/>
                <w:lang w:val="en-US" w:eastAsia="zh-CN" w:bidi="ar-SA"/>
              </w:rPr>
            </w:pPr>
            <w:r>
              <w:rPr>
                <w:rFonts w:hint="eastAsia" w:cs="宋体"/>
                <w:bCs/>
                <w:sz w:val="18"/>
                <w:szCs w:val="18"/>
              </w:rPr>
              <w:t>监测要求</w:t>
            </w:r>
          </w:p>
        </w:tc>
        <w:tc>
          <w:tcPr>
            <w:tcW w:w="1868" w:type="pct"/>
            <w:tcBorders>
              <w:top w:val="single" w:color="auto" w:sz="4" w:space="0"/>
              <w:left w:val="single" w:color="auto" w:sz="4" w:space="0"/>
              <w:bottom w:val="single" w:color="auto" w:sz="4" w:space="0"/>
              <w:right w:val="single" w:color="auto" w:sz="4" w:space="0"/>
            </w:tcBorders>
            <w:shd w:val="clear" w:color="auto" w:fill="auto"/>
            <w:vAlign w:val="center"/>
          </w:tcPr>
          <w:p w14:paraId="11F710F9">
            <w:pPr>
              <w:pStyle w:val="146"/>
              <w:rPr>
                <w:rFonts w:hint="eastAsia" w:ascii="Times New Roman" w:hAnsi="Times New Roman" w:eastAsia="宋体" w:cs="宋体"/>
                <w:bCs/>
                <w:kern w:val="2"/>
                <w:sz w:val="18"/>
                <w:szCs w:val="18"/>
                <w:lang w:val="en-US" w:eastAsia="zh-CN" w:bidi="ar-SA"/>
              </w:rPr>
            </w:pPr>
            <w:r>
              <w:rPr>
                <w:rFonts w:hint="eastAsia" w:ascii="宋体" w:hAnsi="宋体" w:cs="宋体"/>
                <w:color w:val="000000"/>
                <w:kern w:val="0"/>
                <w:sz w:val="18"/>
                <w:szCs w:val="18"/>
              </w:rPr>
              <w:t>监测布</w:t>
            </w:r>
            <w:r>
              <w:rPr>
                <w:rFonts w:hint="eastAsia" w:ascii="宋体" w:hAnsi="宋体" w:cs="宋体"/>
                <w:color w:val="000000"/>
                <w:kern w:val="0"/>
                <w:sz w:val="18"/>
                <w:szCs w:val="18"/>
                <w:lang w:val="en-US" w:eastAsia="zh-CN"/>
              </w:rPr>
              <w:t>点</w:t>
            </w:r>
            <w:r>
              <w:rPr>
                <w:rFonts w:hint="eastAsia" w:ascii="宋体" w:hAnsi="宋体" w:cs="宋体"/>
                <w:color w:val="000000"/>
                <w:kern w:val="0"/>
                <w:sz w:val="18"/>
                <w:szCs w:val="18"/>
              </w:rPr>
              <w:t>要求</w:t>
            </w:r>
          </w:p>
        </w:tc>
      </w:tr>
      <w:tr w14:paraId="2D080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tcBorders>
              <w:top w:val="single" w:color="auto" w:sz="4" w:space="0"/>
              <w:left w:val="single" w:color="auto" w:sz="4" w:space="0"/>
              <w:bottom w:val="single" w:color="auto" w:sz="4" w:space="0"/>
              <w:right w:val="single" w:color="auto" w:sz="4" w:space="0"/>
            </w:tcBorders>
            <w:vAlign w:val="center"/>
          </w:tcPr>
          <w:p w14:paraId="64CA0C2C">
            <w:pPr>
              <w:widowControl/>
              <w:spacing w:beforeLines="0" w:afterLines="0" w:line="240" w:lineRule="auto"/>
              <w:jc w:val="center"/>
              <w:rPr>
                <w:rFonts w:hint="default" w:eastAsia="宋体" w:cs="宋体"/>
                <w:bCs/>
                <w:sz w:val="18"/>
                <w:szCs w:val="18"/>
                <w:lang w:val="en-US" w:eastAsia="zh-CN"/>
              </w:rPr>
            </w:pPr>
            <w:r>
              <w:rPr>
                <w:rFonts w:hint="eastAsia" w:cs="宋体"/>
                <w:bCs/>
                <w:sz w:val="18"/>
                <w:szCs w:val="18"/>
                <w:lang w:val="en-US" w:eastAsia="zh-CN"/>
              </w:rPr>
              <w:t>14</w:t>
            </w:r>
          </w:p>
        </w:tc>
        <w:tc>
          <w:tcPr>
            <w:tcW w:w="376" w:type="pct"/>
            <w:vMerge w:val="restart"/>
            <w:tcBorders>
              <w:left w:val="single" w:color="auto" w:sz="4" w:space="0"/>
              <w:right w:val="single" w:color="auto" w:sz="4" w:space="0"/>
            </w:tcBorders>
            <w:vAlign w:val="center"/>
          </w:tcPr>
          <w:p w14:paraId="48F85625">
            <w:pPr>
              <w:widowControl/>
              <w:spacing w:beforeLines="0" w:afterLines="0" w:line="240" w:lineRule="auto"/>
              <w:jc w:val="left"/>
              <w:rPr>
                <w:rFonts w:cs="宋体"/>
                <w:bCs/>
                <w:sz w:val="18"/>
                <w:szCs w:val="18"/>
              </w:rPr>
            </w:pPr>
            <w:r>
              <w:rPr>
                <w:rFonts w:hint="eastAsia" w:cs="宋体"/>
                <w:bCs/>
                <w:sz w:val="18"/>
                <w:szCs w:val="18"/>
              </w:rPr>
              <w:t>结构响应</w:t>
            </w:r>
          </w:p>
        </w:tc>
        <w:tc>
          <w:tcPr>
            <w:tcW w:w="648" w:type="pct"/>
            <w:tcBorders>
              <w:top w:val="single" w:color="auto" w:sz="4" w:space="0"/>
              <w:left w:val="single" w:color="auto" w:sz="4" w:space="0"/>
              <w:bottom w:val="single" w:color="auto" w:sz="4" w:space="0"/>
              <w:right w:val="single" w:color="auto" w:sz="4" w:space="0"/>
            </w:tcBorders>
            <w:vAlign w:val="center"/>
          </w:tcPr>
          <w:p w14:paraId="78B889CD">
            <w:pPr>
              <w:pStyle w:val="146"/>
              <w:rPr>
                <w:rFonts w:cs="宋体"/>
                <w:bCs/>
                <w:sz w:val="18"/>
                <w:szCs w:val="18"/>
              </w:rPr>
            </w:pPr>
            <w:r>
              <w:rPr>
                <w:rFonts w:hint="eastAsia" w:cs="宋体"/>
                <w:bCs/>
                <w:sz w:val="18"/>
                <w:szCs w:val="18"/>
              </w:rPr>
              <w:t>应变</w:t>
            </w:r>
          </w:p>
        </w:tc>
        <w:tc>
          <w:tcPr>
            <w:tcW w:w="1154" w:type="pct"/>
            <w:tcBorders>
              <w:top w:val="single" w:color="auto" w:sz="4" w:space="0"/>
              <w:left w:val="single" w:color="auto" w:sz="4" w:space="0"/>
              <w:bottom w:val="single" w:color="auto" w:sz="4" w:space="0"/>
              <w:right w:val="single" w:color="auto" w:sz="4" w:space="0"/>
            </w:tcBorders>
            <w:vAlign w:val="center"/>
          </w:tcPr>
          <w:p w14:paraId="13E8640F">
            <w:pPr>
              <w:pStyle w:val="146"/>
              <w:rPr>
                <w:rFonts w:cs="宋体"/>
                <w:bCs/>
                <w:sz w:val="18"/>
                <w:szCs w:val="18"/>
              </w:rPr>
            </w:pPr>
            <w:r>
              <w:rPr>
                <w:rFonts w:hint="eastAsia" w:cs="宋体"/>
                <w:bCs/>
                <w:sz w:val="18"/>
                <w:szCs w:val="18"/>
              </w:rPr>
              <w:t>主梁关键截面应变</w:t>
            </w:r>
          </w:p>
        </w:tc>
        <w:tc>
          <w:tcPr>
            <w:tcW w:w="598" w:type="pct"/>
            <w:tcBorders>
              <w:top w:val="single" w:color="auto" w:sz="4" w:space="0"/>
              <w:left w:val="single" w:color="auto" w:sz="4" w:space="0"/>
              <w:bottom w:val="single" w:color="auto" w:sz="4" w:space="0"/>
              <w:right w:val="single" w:color="auto" w:sz="4" w:space="0"/>
            </w:tcBorders>
            <w:vAlign w:val="center"/>
          </w:tcPr>
          <w:p w14:paraId="7246590E">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53A64471">
            <w:pPr>
              <w:pStyle w:val="146"/>
              <w:rPr>
                <w:rFonts w:cs="宋体"/>
                <w:bCs/>
                <w:sz w:val="18"/>
                <w:szCs w:val="18"/>
              </w:rPr>
            </w:pPr>
            <w:r>
              <w:rPr>
                <w:rFonts w:hint="eastAsia" w:cs="宋体"/>
                <w:bCs/>
                <w:sz w:val="18"/>
                <w:szCs w:val="18"/>
              </w:rPr>
              <w:t>边跨最大正弯矩截面、支点处最大负弯矩截面、主跨跨中截面。</w:t>
            </w:r>
            <w:bookmarkStart w:id="177" w:name="OLE_LINK39"/>
            <w:r>
              <w:rPr>
                <w:rFonts w:hint="eastAsia" w:cs="宋体"/>
                <w:bCs/>
                <w:sz w:val="18"/>
                <w:szCs w:val="18"/>
              </w:rPr>
              <w:t>宜布置车道下方，每个断面</w:t>
            </w:r>
            <w:r>
              <w:rPr>
                <w:rFonts w:hint="eastAsia" w:cs="宋体"/>
                <w:bCs/>
                <w:sz w:val="18"/>
                <w:szCs w:val="18"/>
                <w:lang w:eastAsia="zh-CN"/>
              </w:rPr>
              <w:t>不低于</w:t>
            </w:r>
            <w:r>
              <w:rPr>
                <w:rFonts w:hint="eastAsia" w:cs="宋体"/>
                <w:bCs/>
                <w:sz w:val="18"/>
                <w:szCs w:val="18"/>
              </w:rPr>
              <w:t>2处。</w:t>
            </w:r>
            <w:bookmarkEnd w:id="177"/>
          </w:p>
        </w:tc>
      </w:tr>
      <w:tr w14:paraId="0946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tcBorders>
              <w:top w:val="single" w:color="auto" w:sz="4" w:space="0"/>
              <w:left w:val="single" w:color="auto" w:sz="4" w:space="0"/>
              <w:bottom w:val="single" w:color="auto" w:sz="4" w:space="0"/>
              <w:right w:val="single" w:color="auto" w:sz="4" w:space="0"/>
            </w:tcBorders>
            <w:vAlign w:val="center"/>
          </w:tcPr>
          <w:p w14:paraId="753E648F">
            <w:pPr>
              <w:widowControl/>
              <w:spacing w:beforeLines="0" w:afterLines="0" w:line="240" w:lineRule="auto"/>
              <w:jc w:val="center"/>
              <w:rPr>
                <w:rFonts w:hint="default" w:eastAsia="宋体" w:cs="宋体"/>
                <w:bCs/>
                <w:sz w:val="18"/>
                <w:szCs w:val="18"/>
                <w:lang w:val="en-US" w:eastAsia="zh-CN"/>
              </w:rPr>
            </w:pPr>
            <w:r>
              <w:rPr>
                <w:rFonts w:hint="eastAsia" w:cs="宋体"/>
                <w:bCs/>
                <w:sz w:val="18"/>
                <w:szCs w:val="18"/>
                <w:lang w:val="en-US" w:eastAsia="zh-CN"/>
              </w:rPr>
              <w:t>15</w:t>
            </w:r>
          </w:p>
        </w:tc>
        <w:tc>
          <w:tcPr>
            <w:tcW w:w="376" w:type="pct"/>
            <w:vMerge w:val="continue"/>
            <w:tcBorders>
              <w:left w:val="single" w:color="auto" w:sz="4" w:space="0"/>
              <w:right w:val="single" w:color="auto" w:sz="4" w:space="0"/>
            </w:tcBorders>
            <w:vAlign w:val="center"/>
          </w:tcPr>
          <w:p w14:paraId="2CA15BE1">
            <w:pPr>
              <w:widowControl/>
              <w:spacing w:beforeLines="0" w:afterLines="0" w:line="240" w:lineRule="auto"/>
              <w:jc w:val="left"/>
              <w:rPr>
                <w:rFonts w:cs="宋体"/>
                <w:bCs/>
                <w:sz w:val="18"/>
                <w:szCs w:val="18"/>
              </w:rPr>
            </w:pPr>
          </w:p>
        </w:tc>
        <w:tc>
          <w:tcPr>
            <w:tcW w:w="648" w:type="pct"/>
            <w:tcBorders>
              <w:top w:val="single" w:color="auto" w:sz="4" w:space="0"/>
              <w:left w:val="single" w:color="auto" w:sz="4" w:space="0"/>
              <w:bottom w:val="single" w:color="auto" w:sz="4" w:space="0"/>
              <w:right w:val="single" w:color="auto" w:sz="4" w:space="0"/>
            </w:tcBorders>
            <w:vAlign w:val="center"/>
          </w:tcPr>
          <w:p w14:paraId="4F7554CC">
            <w:pPr>
              <w:pStyle w:val="146"/>
              <w:rPr>
                <w:rFonts w:cs="宋体"/>
                <w:bCs/>
                <w:sz w:val="18"/>
                <w:szCs w:val="18"/>
              </w:rPr>
            </w:pPr>
            <w:r>
              <w:rPr>
                <w:rFonts w:hint="eastAsia" w:cs="宋体"/>
                <w:bCs/>
                <w:sz w:val="18"/>
                <w:szCs w:val="18"/>
              </w:rPr>
              <w:t>支座反力</w:t>
            </w:r>
          </w:p>
        </w:tc>
        <w:tc>
          <w:tcPr>
            <w:tcW w:w="1154" w:type="pct"/>
            <w:tcBorders>
              <w:top w:val="single" w:color="auto" w:sz="4" w:space="0"/>
              <w:left w:val="single" w:color="auto" w:sz="4" w:space="0"/>
              <w:bottom w:val="single" w:color="auto" w:sz="4" w:space="0"/>
              <w:right w:val="single" w:color="auto" w:sz="4" w:space="0"/>
            </w:tcBorders>
            <w:vAlign w:val="center"/>
          </w:tcPr>
          <w:p w14:paraId="797B0E32">
            <w:pPr>
              <w:pStyle w:val="146"/>
              <w:rPr>
                <w:rFonts w:cs="宋体"/>
                <w:bCs/>
                <w:sz w:val="18"/>
                <w:szCs w:val="18"/>
              </w:rPr>
            </w:pPr>
            <w:r>
              <w:rPr>
                <w:rFonts w:hint="eastAsia" w:cs="宋体"/>
                <w:bCs/>
                <w:sz w:val="18"/>
                <w:szCs w:val="18"/>
              </w:rPr>
              <w:t>支座反力</w:t>
            </w:r>
          </w:p>
        </w:tc>
        <w:tc>
          <w:tcPr>
            <w:tcW w:w="598" w:type="pct"/>
            <w:tcBorders>
              <w:top w:val="single" w:color="auto" w:sz="4" w:space="0"/>
              <w:left w:val="single" w:color="auto" w:sz="4" w:space="0"/>
              <w:bottom w:val="single" w:color="auto" w:sz="4" w:space="0"/>
              <w:right w:val="single" w:color="auto" w:sz="4" w:space="0"/>
            </w:tcBorders>
            <w:vAlign w:val="center"/>
          </w:tcPr>
          <w:p w14:paraId="0321CDDC">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0F14087F">
            <w:pPr>
              <w:pStyle w:val="146"/>
              <w:rPr>
                <w:rFonts w:cs="宋体"/>
                <w:bCs/>
                <w:sz w:val="18"/>
                <w:szCs w:val="18"/>
              </w:rPr>
            </w:pPr>
            <w:r>
              <w:rPr>
                <w:rFonts w:hint="eastAsia" w:cs="宋体"/>
                <w:bCs/>
                <w:sz w:val="18"/>
                <w:szCs w:val="18"/>
              </w:rPr>
              <w:t>弯桥、斜桥、易倾覆的独柱墩、基础沉降的墩台</w:t>
            </w:r>
          </w:p>
        </w:tc>
      </w:tr>
      <w:tr w14:paraId="3A845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vMerge w:val="restart"/>
            <w:tcBorders>
              <w:top w:val="single" w:color="auto" w:sz="4" w:space="0"/>
              <w:left w:val="single" w:color="auto" w:sz="4" w:space="0"/>
              <w:right w:val="single" w:color="auto" w:sz="4" w:space="0"/>
            </w:tcBorders>
            <w:vAlign w:val="center"/>
          </w:tcPr>
          <w:p w14:paraId="61B987B6">
            <w:pPr>
              <w:widowControl/>
              <w:spacing w:beforeLines="0" w:afterLines="0" w:line="240" w:lineRule="auto"/>
              <w:jc w:val="center"/>
              <w:rPr>
                <w:rFonts w:hint="default" w:eastAsia="宋体" w:cs="宋体"/>
                <w:bCs/>
                <w:sz w:val="18"/>
                <w:szCs w:val="18"/>
                <w:lang w:val="en-US" w:eastAsia="zh-CN"/>
              </w:rPr>
            </w:pPr>
            <w:r>
              <w:rPr>
                <w:rFonts w:hint="eastAsia" w:cs="宋体"/>
                <w:bCs/>
                <w:sz w:val="18"/>
                <w:szCs w:val="18"/>
                <w:lang w:val="en-US" w:eastAsia="zh-CN"/>
              </w:rPr>
              <w:t>16</w:t>
            </w:r>
          </w:p>
        </w:tc>
        <w:tc>
          <w:tcPr>
            <w:tcW w:w="376" w:type="pct"/>
            <w:vMerge w:val="continue"/>
            <w:tcBorders>
              <w:left w:val="single" w:color="auto" w:sz="4" w:space="0"/>
              <w:right w:val="single" w:color="auto" w:sz="4" w:space="0"/>
            </w:tcBorders>
            <w:vAlign w:val="center"/>
          </w:tcPr>
          <w:p w14:paraId="43AF5928">
            <w:pPr>
              <w:widowControl/>
              <w:spacing w:beforeLines="0" w:afterLines="0" w:line="240" w:lineRule="auto"/>
              <w:jc w:val="left"/>
              <w:rPr>
                <w:rFonts w:cs="宋体"/>
                <w:bCs/>
                <w:sz w:val="18"/>
                <w:szCs w:val="18"/>
              </w:rPr>
            </w:pPr>
          </w:p>
        </w:tc>
        <w:tc>
          <w:tcPr>
            <w:tcW w:w="648" w:type="pct"/>
            <w:vMerge w:val="restart"/>
            <w:tcBorders>
              <w:top w:val="single" w:color="auto" w:sz="4" w:space="0"/>
              <w:left w:val="single" w:color="auto" w:sz="4" w:space="0"/>
              <w:bottom w:val="single" w:color="auto" w:sz="4" w:space="0"/>
              <w:right w:val="single" w:color="auto" w:sz="4" w:space="0"/>
            </w:tcBorders>
            <w:vAlign w:val="center"/>
          </w:tcPr>
          <w:p w14:paraId="70452C8F">
            <w:pPr>
              <w:pStyle w:val="146"/>
              <w:rPr>
                <w:rFonts w:cs="宋体"/>
                <w:bCs/>
                <w:sz w:val="18"/>
                <w:szCs w:val="18"/>
              </w:rPr>
            </w:pPr>
            <w:r>
              <w:rPr>
                <w:rFonts w:hint="eastAsia" w:cs="宋体"/>
                <w:bCs/>
                <w:sz w:val="18"/>
                <w:szCs w:val="18"/>
              </w:rPr>
              <w:t>振动</w:t>
            </w:r>
          </w:p>
        </w:tc>
        <w:tc>
          <w:tcPr>
            <w:tcW w:w="1154" w:type="pct"/>
            <w:tcBorders>
              <w:top w:val="single" w:color="auto" w:sz="4" w:space="0"/>
              <w:left w:val="single" w:color="auto" w:sz="4" w:space="0"/>
              <w:bottom w:val="single" w:color="auto" w:sz="4" w:space="0"/>
              <w:right w:val="single" w:color="auto" w:sz="4" w:space="0"/>
            </w:tcBorders>
            <w:vAlign w:val="center"/>
          </w:tcPr>
          <w:p w14:paraId="6AD4A499">
            <w:pPr>
              <w:pStyle w:val="146"/>
              <w:rPr>
                <w:rFonts w:cs="宋体"/>
                <w:bCs/>
                <w:sz w:val="18"/>
                <w:szCs w:val="18"/>
              </w:rPr>
            </w:pPr>
            <w:r>
              <w:rPr>
                <w:rFonts w:hint="eastAsia" w:cs="宋体"/>
                <w:bCs/>
                <w:sz w:val="18"/>
                <w:szCs w:val="18"/>
              </w:rPr>
              <w:t>主梁竖向振动加速度</w:t>
            </w:r>
          </w:p>
        </w:tc>
        <w:tc>
          <w:tcPr>
            <w:tcW w:w="598" w:type="pct"/>
            <w:tcBorders>
              <w:top w:val="single" w:color="auto" w:sz="4" w:space="0"/>
              <w:left w:val="single" w:color="auto" w:sz="4" w:space="0"/>
              <w:bottom w:val="single" w:color="auto" w:sz="4" w:space="0"/>
              <w:right w:val="single" w:color="auto" w:sz="4" w:space="0"/>
            </w:tcBorders>
            <w:vAlign w:val="center"/>
          </w:tcPr>
          <w:p w14:paraId="1970FA38">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5ED5E25B">
            <w:pPr>
              <w:pStyle w:val="146"/>
              <w:rPr>
                <w:rFonts w:cs="宋体"/>
                <w:bCs/>
                <w:sz w:val="18"/>
                <w:szCs w:val="18"/>
              </w:rPr>
            </w:pPr>
            <w:r>
              <w:rPr>
                <w:rFonts w:hint="eastAsia" w:cs="宋体"/>
                <w:bCs/>
                <w:sz w:val="18"/>
                <w:szCs w:val="18"/>
              </w:rPr>
              <w:t>主跨及边跨跨中截面、主跨</w:t>
            </w:r>
            <w:r>
              <w:rPr>
                <w:rFonts w:cs="宋体"/>
                <w:bCs/>
                <w:sz w:val="18"/>
                <w:szCs w:val="18"/>
              </w:rPr>
              <w:t>1/4</w:t>
            </w:r>
            <w:r>
              <w:rPr>
                <w:rFonts w:hint="eastAsia" w:cs="宋体"/>
                <w:bCs/>
                <w:sz w:val="18"/>
                <w:szCs w:val="18"/>
              </w:rPr>
              <w:t>截面及</w:t>
            </w:r>
            <w:r>
              <w:rPr>
                <w:rFonts w:cs="宋体"/>
                <w:bCs/>
                <w:sz w:val="18"/>
                <w:szCs w:val="18"/>
              </w:rPr>
              <w:t>3/4</w:t>
            </w:r>
            <w:r>
              <w:rPr>
                <w:rFonts w:hint="eastAsia" w:cs="宋体"/>
                <w:bCs/>
                <w:sz w:val="18"/>
                <w:szCs w:val="18"/>
              </w:rPr>
              <w:t>截面（主跨跨度较大时增设）。宜布</w:t>
            </w:r>
            <w:r>
              <w:rPr>
                <w:rFonts w:hint="eastAsia" w:cs="宋体"/>
                <w:bCs/>
                <w:sz w:val="18"/>
                <w:szCs w:val="18"/>
                <w:lang w:eastAsia="zh-CN"/>
              </w:rPr>
              <w:t>置于</w:t>
            </w:r>
            <w:r>
              <w:rPr>
                <w:rFonts w:hint="eastAsia" w:cs="宋体"/>
                <w:bCs/>
                <w:sz w:val="18"/>
                <w:szCs w:val="18"/>
              </w:rPr>
              <w:t>车道下方，每个断面</w:t>
            </w:r>
            <w:r>
              <w:rPr>
                <w:rFonts w:hint="eastAsia" w:cs="宋体"/>
                <w:bCs/>
                <w:sz w:val="18"/>
                <w:szCs w:val="18"/>
                <w:lang w:eastAsia="zh-CN"/>
              </w:rPr>
              <w:t>不低于</w:t>
            </w:r>
            <w:r>
              <w:rPr>
                <w:rFonts w:hint="eastAsia" w:cs="宋体"/>
                <w:bCs/>
                <w:sz w:val="18"/>
                <w:szCs w:val="18"/>
              </w:rPr>
              <w:t>2处</w:t>
            </w:r>
          </w:p>
        </w:tc>
      </w:tr>
      <w:tr w14:paraId="76AD5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vMerge w:val="continue"/>
            <w:tcBorders>
              <w:left w:val="single" w:color="auto" w:sz="4" w:space="0"/>
              <w:right w:val="single" w:color="auto" w:sz="4" w:space="0"/>
            </w:tcBorders>
            <w:vAlign w:val="center"/>
          </w:tcPr>
          <w:p w14:paraId="53EFD052">
            <w:pPr>
              <w:widowControl/>
              <w:spacing w:beforeLines="0" w:afterLines="0" w:line="240" w:lineRule="auto"/>
              <w:jc w:val="center"/>
              <w:rPr>
                <w:rFonts w:cs="宋体"/>
                <w:bCs/>
                <w:sz w:val="18"/>
                <w:szCs w:val="18"/>
              </w:rPr>
            </w:pPr>
          </w:p>
        </w:tc>
        <w:tc>
          <w:tcPr>
            <w:tcW w:w="376" w:type="pct"/>
            <w:vMerge w:val="continue"/>
            <w:tcBorders>
              <w:left w:val="single" w:color="auto" w:sz="4" w:space="0"/>
              <w:right w:val="single" w:color="auto" w:sz="4" w:space="0"/>
            </w:tcBorders>
            <w:vAlign w:val="center"/>
          </w:tcPr>
          <w:p w14:paraId="518A1AD9">
            <w:pPr>
              <w:widowControl/>
              <w:spacing w:beforeLines="0" w:afterLines="0" w:line="240" w:lineRule="auto"/>
              <w:jc w:val="left"/>
              <w:rPr>
                <w:rFonts w:cs="宋体"/>
                <w:bCs/>
                <w:sz w:val="18"/>
                <w:szCs w:val="18"/>
              </w:rPr>
            </w:pPr>
          </w:p>
        </w:tc>
        <w:tc>
          <w:tcPr>
            <w:tcW w:w="648" w:type="pct"/>
            <w:vMerge w:val="continue"/>
            <w:tcBorders>
              <w:top w:val="single" w:color="auto" w:sz="4" w:space="0"/>
              <w:left w:val="single" w:color="auto" w:sz="4" w:space="0"/>
              <w:bottom w:val="single" w:color="auto" w:sz="4" w:space="0"/>
              <w:right w:val="single" w:color="auto" w:sz="4" w:space="0"/>
            </w:tcBorders>
            <w:vAlign w:val="center"/>
          </w:tcPr>
          <w:p w14:paraId="795A3DA3">
            <w:pPr>
              <w:widowControl/>
              <w:spacing w:beforeLines="0" w:afterLines="0" w:line="240" w:lineRule="auto"/>
              <w:jc w:val="left"/>
              <w:rPr>
                <w:rFonts w:cs="宋体"/>
                <w:bCs/>
                <w:sz w:val="18"/>
                <w:szCs w:val="18"/>
              </w:rPr>
            </w:pPr>
          </w:p>
        </w:tc>
        <w:tc>
          <w:tcPr>
            <w:tcW w:w="1154" w:type="pct"/>
            <w:tcBorders>
              <w:top w:val="single" w:color="auto" w:sz="4" w:space="0"/>
              <w:left w:val="single" w:color="auto" w:sz="4" w:space="0"/>
              <w:bottom w:val="single" w:color="auto" w:sz="4" w:space="0"/>
              <w:right w:val="single" w:color="auto" w:sz="4" w:space="0"/>
            </w:tcBorders>
            <w:vAlign w:val="center"/>
          </w:tcPr>
          <w:p w14:paraId="329CA14C">
            <w:pPr>
              <w:pStyle w:val="146"/>
              <w:rPr>
                <w:rFonts w:cs="宋体"/>
                <w:bCs/>
                <w:sz w:val="18"/>
                <w:szCs w:val="18"/>
              </w:rPr>
            </w:pPr>
            <w:r>
              <w:rPr>
                <w:rFonts w:hint="eastAsia" w:cs="宋体"/>
                <w:bCs/>
                <w:sz w:val="18"/>
                <w:szCs w:val="18"/>
              </w:rPr>
              <w:t>主梁横向振动加速度</w:t>
            </w:r>
          </w:p>
        </w:tc>
        <w:tc>
          <w:tcPr>
            <w:tcW w:w="598" w:type="pct"/>
            <w:tcBorders>
              <w:top w:val="single" w:color="auto" w:sz="4" w:space="0"/>
              <w:left w:val="single" w:color="auto" w:sz="4" w:space="0"/>
              <w:bottom w:val="single" w:color="auto" w:sz="4" w:space="0"/>
              <w:right w:val="single" w:color="auto" w:sz="4" w:space="0"/>
            </w:tcBorders>
            <w:vAlign w:val="center"/>
          </w:tcPr>
          <w:p w14:paraId="228579DD">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0BDC828A">
            <w:pPr>
              <w:pStyle w:val="146"/>
              <w:rPr>
                <w:rFonts w:cs="宋体"/>
                <w:bCs/>
                <w:sz w:val="18"/>
                <w:szCs w:val="18"/>
              </w:rPr>
            </w:pPr>
            <w:r>
              <w:rPr>
                <w:rFonts w:hint="eastAsia" w:cs="宋体"/>
                <w:bCs/>
                <w:sz w:val="18"/>
                <w:szCs w:val="18"/>
              </w:rPr>
              <w:t>主跨跨中截面、连续刚构桥主墩墩顶截面</w:t>
            </w:r>
          </w:p>
        </w:tc>
      </w:tr>
      <w:tr w14:paraId="7BFC3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vMerge w:val="continue"/>
            <w:tcBorders>
              <w:left w:val="single" w:color="auto" w:sz="4" w:space="0"/>
              <w:right w:val="single" w:color="auto" w:sz="4" w:space="0"/>
            </w:tcBorders>
            <w:vAlign w:val="center"/>
          </w:tcPr>
          <w:p w14:paraId="2E23519A">
            <w:pPr>
              <w:widowControl/>
              <w:spacing w:beforeLines="0" w:afterLines="0" w:line="240" w:lineRule="auto"/>
              <w:jc w:val="center"/>
              <w:rPr>
                <w:rFonts w:cs="宋体"/>
                <w:bCs/>
                <w:sz w:val="18"/>
                <w:szCs w:val="18"/>
              </w:rPr>
            </w:pPr>
          </w:p>
        </w:tc>
        <w:tc>
          <w:tcPr>
            <w:tcW w:w="376" w:type="pct"/>
            <w:vMerge w:val="continue"/>
            <w:tcBorders>
              <w:left w:val="single" w:color="auto" w:sz="4" w:space="0"/>
              <w:right w:val="single" w:color="auto" w:sz="4" w:space="0"/>
            </w:tcBorders>
            <w:vAlign w:val="center"/>
          </w:tcPr>
          <w:p w14:paraId="2206DA4C">
            <w:pPr>
              <w:widowControl/>
              <w:spacing w:beforeLines="0" w:afterLines="0" w:line="240" w:lineRule="auto"/>
              <w:jc w:val="left"/>
              <w:rPr>
                <w:rFonts w:cs="宋体"/>
                <w:bCs/>
                <w:sz w:val="18"/>
                <w:szCs w:val="18"/>
              </w:rPr>
            </w:pPr>
          </w:p>
        </w:tc>
        <w:tc>
          <w:tcPr>
            <w:tcW w:w="648" w:type="pct"/>
            <w:vMerge w:val="continue"/>
            <w:tcBorders>
              <w:top w:val="single" w:color="auto" w:sz="4" w:space="0"/>
              <w:left w:val="single" w:color="auto" w:sz="4" w:space="0"/>
              <w:bottom w:val="single" w:color="auto" w:sz="4" w:space="0"/>
              <w:right w:val="single" w:color="auto" w:sz="4" w:space="0"/>
            </w:tcBorders>
            <w:vAlign w:val="center"/>
          </w:tcPr>
          <w:p w14:paraId="5AF2E0CF">
            <w:pPr>
              <w:widowControl/>
              <w:spacing w:beforeLines="0" w:afterLines="0" w:line="240" w:lineRule="auto"/>
              <w:jc w:val="left"/>
              <w:rPr>
                <w:rFonts w:cs="宋体"/>
                <w:bCs/>
                <w:sz w:val="18"/>
                <w:szCs w:val="18"/>
              </w:rPr>
            </w:pPr>
          </w:p>
        </w:tc>
        <w:tc>
          <w:tcPr>
            <w:tcW w:w="1154" w:type="pct"/>
            <w:tcBorders>
              <w:top w:val="single" w:color="auto" w:sz="4" w:space="0"/>
              <w:left w:val="single" w:color="auto" w:sz="4" w:space="0"/>
              <w:bottom w:val="single" w:color="auto" w:sz="4" w:space="0"/>
              <w:right w:val="single" w:color="auto" w:sz="4" w:space="0"/>
            </w:tcBorders>
            <w:vAlign w:val="center"/>
          </w:tcPr>
          <w:p w14:paraId="1F0C979F">
            <w:pPr>
              <w:pStyle w:val="146"/>
              <w:rPr>
                <w:rFonts w:cs="宋体"/>
                <w:bCs/>
                <w:sz w:val="18"/>
                <w:szCs w:val="18"/>
              </w:rPr>
            </w:pPr>
            <w:r>
              <w:rPr>
                <w:rFonts w:hint="eastAsia" w:cs="宋体"/>
                <w:bCs/>
                <w:sz w:val="18"/>
                <w:szCs w:val="18"/>
              </w:rPr>
              <w:t>主梁纵向振动加速度</w:t>
            </w:r>
          </w:p>
        </w:tc>
        <w:tc>
          <w:tcPr>
            <w:tcW w:w="598" w:type="pct"/>
            <w:tcBorders>
              <w:top w:val="single" w:color="auto" w:sz="4" w:space="0"/>
              <w:left w:val="single" w:color="auto" w:sz="4" w:space="0"/>
              <w:bottom w:val="single" w:color="auto" w:sz="4" w:space="0"/>
              <w:right w:val="single" w:color="auto" w:sz="4" w:space="0"/>
            </w:tcBorders>
            <w:vAlign w:val="center"/>
          </w:tcPr>
          <w:p w14:paraId="78045E01">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633DC5C4">
            <w:pPr>
              <w:pStyle w:val="146"/>
              <w:rPr>
                <w:rFonts w:cs="宋体"/>
                <w:bCs/>
                <w:sz w:val="18"/>
                <w:szCs w:val="18"/>
              </w:rPr>
            </w:pPr>
            <w:r>
              <w:rPr>
                <w:rFonts w:hint="eastAsia" w:cs="宋体"/>
                <w:bCs/>
                <w:sz w:val="18"/>
                <w:szCs w:val="18"/>
              </w:rPr>
              <w:t>大跨高墩连续刚构桥主跨跨中截面、主墩墩顶对应截面</w:t>
            </w:r>
          </w:p>
        </w:tc>
      </w:tr>
      <w:tr w14:paraId="16198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vMerge w:val="continue"/>
            <w:tcBorders>
              <w:left w:val="single" w:color="auto" w:sz="4" w:space="0"/>
              <w:bottom w:val="single" w:color="auto" w:sz="4" w:space="0"/>
              <w:right w:val="single" w:color="auto" w:sz="4" w:space="0"/>
            </w:tcBorders>
            <w:vAlign w:val="center"/>
          </w:tcPr>
          <w:p w14:paraId="13EB9863">
            <w:pPr>
              <w:widowControl/>
              <w:spacing w:beforeLines="0" w:afterLines="0" w:line="240" w:lineRule="auto"/>
              <w:jc w:val="center"/>
              <w:rPr>
                <w:rFonts w:cs="宋体"/>
                <w:bCs/>
                <w:sz w:val="18"/>
                <w:szCs w:val="18"/>
              </w:rPr>
            </w:pPr>
          </w:p>
        </w:tc>
        <w:tc>
          <w:tcPr>
            <w:tcW w:w="376" w:type="pct"/>
            <w:vMerge w:val="continue"/>
            <w:tcBorders>
              <w:left w:val="single" w:color="auto" w:sz="4" w:space="0"/>
              <w:bottom w:val="single" w:color="auto" w:sz="4" w:space="0"/>
              <w:right w:val="single" w:color="auto" w:sz="4" w:space="0"/>
            </w:tcBorders>
            <w:vAlign w:val="center"/>
          </w:tcPr>
          <w:p w14:paraId="1EE578EE">
            <w:pPr>
              <w:widowControl/>
              <w:spacing w:beforeLines="0" w:afterLines="0" w:line="240" w:lineRule="auto"/>
              <w:jc w:val="left"/>
              <w:rPr>
                <w:rFonts w:cs="宋体"/>
                <w:bCs/>
                <w:sz w:val="18"/>
                <w:szCs w:val="18"/>
              </w:rPr>
            </w:pPr>
          </w:p>
        </w:tc>
        <w:tc>
          <w:tcPr>
            <w:tcW w:w="648" w:type="pct"/>
            <w:vMerge w:val="continue"/>
            <w:tcBorders>
              <w:top w:val="single" w:color="auto" w:sz="4" w:space="0"/>
              <w:left w:val="single" w:color="auto" w:sz="4" w:space="0"/>
              <w:bottom w:val="single" w:color="auto" w:sz="4" w:space="0"/>
              <w:right w:val="single" w:color="auto" w:sz="4" w:space="0"/>
            </w:tcBorders>
            <w:vAlign w:val="center"/>
          </w:tcPr>
          <w:p w14:paraId="47ED5F31">
            <w:pPr>
              <w:widowControl/>
              <w:spacing w:beforeLines="0" w:afterLines="0" w:line="240" w:lineRule="auto"/>
              <w:jc w:val="left"/>
              <w:rPr>
                <w:rFonts w:cs="宋体"/>
                <w:bCs/>
                <w:sz w:val="18"/>
                <w:szCs w:val="18"/>
              </w:rPr>
            </w:pPr>
          </w:p>
        </w:tc>
        <w:tc>
          <w:tcPr>
            <w:tcW w:w="1154" w:type="pct"/>
            <w:tcBorders>
              <w:top w:val="single" w:color="auto" w:sz="4" w:space="0"/>
              <w:left w:val="single" w:color="auto" w:sz="4" w:space="0"/>
              <w:bottom w:val="single" w:color="auto" w:sz="4" w:space="0"/>
              <w:right w:val="single" w:color="auto" w:sz="4" w:space="0"/>
            </w:tcBorders>
            <w:vAlign w:val="center"/>
          </w:tcPr>
          <w:p w14:paraId="79376518">
            <w:pPr>
              <w:pStyle w:val="146"/>
              <w:rPr>
                <w:rFonts w:cs="宋体"/>
                <w:bCs/>
                <w:sz w:val="18"/>
                <w:szCs w:val="18"/>
              </w:rPr>
            </w:pPr>
            <w:r>
              <w:rPr>
                <w:rFonts w:hint="eastAsia" w:cs="宋体"/>
                <w:bCs/>
                <w:sz w:val="18"/>
                <w:szCs w:val="18"/>
              </w:rPr>
              <w:t>桥墩顶部纵向及横向振动加速度</w:t>
            </w:r>
          </w:p>
        </w:tc>
        <w:tc>
          <w:tcPr>
            <w:tcW w:w="598" w:type="pct"/>
            <w:tcBorders>
              <w:top w:val="single" w:color="auto" w:sz="4" w:space="0"/>
              <w:left w:val="single" w:color="auto" w:sz="4" w:space="0"/>
              <w:bottom w:val="single" w:color="auto" w:sz="4" w:space="0"/>
              <w:right w:val="single" w:color="auto" w:sz="4" w:space="0"/>
            </w:tcBorders>
            <w:vAlign w:val="center"/>
          </w:tcPr>
          <w:p w14:paraId="222AAE85">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044FAC95">
            <w:pPr>
              <w:pStyle w:val="146"/>
              <w:rPr>
                <w:rFonts w:cs="宋体"/>
                <w:bCs/>
                <w:sz w:val="18"/>
                <w:szCs w:val="18"/>
              </w:rPr>
            </w:pPr>
            <w:r>
              <w:rPr>
                <w:rFonts w:hint="eastAsia" w:cs="宋体"/>
                <w:bCs/>
                <w:sz w:val="18"/>
                <w:szCs w:val="18"/>
              </w:rPr>
              <w:t>桥墩顶部</w:t>
            </w:r>
          </w:p>
        </w:tc>
      </w:tr>
      <w:tr w14:paraId="0BE25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tcBorders>
              <w:top w:val="single" w:color="auto" w:sz="4" w:space="0"/>
              <w:left w:val="single" w:color="auto" w:sz="4" w:space="0"/>
              <w:bottom w:val="single" w:color="auto" w:sz="4" w:space="0"/>
              <w:right w:val="single" w:color="auto" w:sz="4" w:space="0"/>
            </w:tcBorders>
            <w:vAlign w:val="center"/>
          </w:tcPr>
          <w:p w14:paraId="791D0EC7">
            <w:pPr>
              <w:pStyle w:val="146"/>
              <w:jc w:val="center"/>
              <w:rPr>
                <w:rFonts w:hint="default" w:eastAsia="宋体" w:cs="宋体"/>
                <w:bCs/>
                <w:sz w:val="18"/>
                <w:szCs w:val="18"/>
                <w:lang w:val="en-US" w:eastAsia="zh-CN"/>
              </w:rPr>
            </w:pPr>
            <w:r>
              <w:rPr>
                <w:rFonts w:hint="eastAsia" w:cs="宋体"/>
                <w:bCs/>
                <w:sz w:val="18"/>
                <w:szCs w:val="18"/>
                <w:lang w:val="en-US" w:eastAsia="zh-CN"/>
              </w:rPr>
              <w:t>17</w:t>
            </w:r>
          </w:p>
        </w:tc>
        <w:tc>
          <w:tcPr>
            <w:tcW w:w="376" w:type="pct"/>
            <w:vMerge w:val="restart"/>
            <w:tcBorders>
              <w:top w:val="single" w:color="auto" w:sz="4" w:space="0"/>
              <w:left w:val="single" w:color="auto" w:sz="4" w:space="0"/>
              <w:bottom w:val="single" w:color="auto" w:sz="4" w:space="0"/>
              <w:right w:val="single" w:color="auto" w:sz="4" w:space="0"/>
            </w:tcBorders>
            <w:vAlign w:val="center"/>
          </w:tcPr>
          <w:p w14:paraId="3EA97AF5">
            <w:pPr>
              <w:pStyle w:val="146"/>
              <w:rPr>
                <w:rFonts w:hint="eastAsia" w:cs="宋体"/>
                <w:bCs/>
                <w:sz w:val="18"/>
                <w:szCs w:val="18"/>
              </w:rPr>
            </w:pPr>
            <w:r>
              <w:rPr>
                <w:rFonts w:hint="eastAsia" w:cs="宋体"/>
                <w:bCs/>
                <w:sz w:val="18"/>
                <w:szCs w:val="18"/>
              </w:rPr>
              <w:t>结构变化</w:t>
            </w:r>
          </w:p>
        </w:tc>
        <w:tc>
          <w:tcPr>
            <w:tcW w:w="648" w:type="pct"/>
            <w:tcBorders>
              <w:top w:val="single" w:color="auto" w:sz="4" w:space="0"/>
              <w:left w:val="single" w:color="auto" w:sz="4" w:space="0"/>
              <w:bottom w:val="single" w:color="auto" w:sz="4" w:space="0"/>
              <w:right w:val="single" w:color="auto" w:sz="4" w:space="0"/>
            </w:tcBorders>
            <w:vAlign w:val="center"/>
          </w:tcPr>
          <w:p w14:paraId="51372F4D">
            <w:pPr>
              <w:pStyle w:val="146"/>
              <w:rPr>
                <w:rFonts w:cs="宋体"/>
                <w:bCs/>
                <w:sz w:val="18"/>
                <w:szCs w:val="18"/>
              </w:rPr>
            </w:pPr>
            <w:r>
              <w:rPr>
                <w:rFonts w:hint="eastAsia" w:cs="宋体"/>
                <w:bCs/>
                <w:sz w:val="18"/>
                <w:szCs w:val="18"/>
              </w:rPr>
              <w:t>基础冲刷</w:t>
            </w:r>
          </w:p>
        </w:tc>
        <w:tc>
          <w:tcPr>
            <w:tcW w:w="1154" w:type="pct"/>
            <w:tcBorders>
              <w:top w:val="single" w:color="auto" w:sz="4" w:space="0"/>
              <w:left w:val="single" w:color="auto" w:sz="4" w:space="0"/>
              <w:bottom w:val="single" w:color="auto" w:sz="4" w:space="0"/>
              <w:right w:val="single" w:color="auto" w:sz="4" w:space="0"/>
            </w:tcBorders>
            <w:vAlign w:val="center"/>
          </w:tcPr>
          <w:p w14:paraId="0A511528">
            <w:pPr>
              <w:pStyle w:val="146"/>
              <w:rPr>
                <w:rFonts w:cs="宋体"/>
                <w:bCs/>
                <w:sz w:val="18"/>
                <w:szCs w:val="18"/>
              </w:rPr>
            </w:pPr>
            <w:r>
              <w:rPr>
                <w:rFonts w:hint="eastAsia" w:cs="宋体"/>
                <w:bCs/>
                <w:sz w:val="18"/>
                <w:szCs w:val="18"/>
              </w:rPr>
              <w:t>基础冲刷深度</w:t>
            </w:r>
          </w:p>
        </w:tc>
        <w:tc>
          <w:tcPr>
            <w:tcW w:w="598" w:type="pct"/>
            <w:tcBorders>
              <w:top w:val="single" w:color="auto" w:sz="4" w:space="0"/>
              <w:left w:val="single" w:color="auto" w:sz="4" w:space="0"/>
              <w:bottom w:val="single" w:color="auto" w:sz="4" w:space="0"/>
              <w:right w:val="single" w:color="auto" w:sz="4" w:space="0"/>
            </w:tcBorders>
            <w:vAlign w:val="center"/>
          </w:tcPr>
          <w:p w14:paraId="17EED014">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3A8DC5A2">
            <w:pPr>
              <w:pStyle w:val="146"/>
              <w:rPr>
                <w:rFonts w:cs="宋体"/>
                <w:bCs/>
                <w:sz w:val="18"/>
                <w:szCs w:val="18"/>
              </w:rPr>
            </w:pPr>
            <w:r>
              <w:rPr>
                <w:rFonts w:cs="宋体"/>
                <w:bCs/>
                <w:sz w:val="18"/>
                <w:szCs w:val="18"/>
              </w:rPr>
              <w:t>-</w:t>
            </w:r>
          </w:p>
        </w:tc>
      </w:tr>
      <w:tr w14:paraId="510CE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tcBorders>
              <w:top w:val="single" w:color="auto" w:sz="4" w:space="0"/>
              <w:left w:val="single" w:color="auto" w:sz="4" w:space="0"/>
              <w:bottom w:val="single" w:color="auto" w:sz="4" w:space="0"/>
              <w:right w:val="single" w:color="auto" w:sz="4" w:space="0"/>
            </w:tcBorders>
            <w:vAlign w:val="center"/>
          </w:tcPr>
          <w:p w14:paraId="28F8EF90">
            <w:pPr>
              <w:widowControl/>
              <w:spacing w:beforeLines="0" w:afterLines="0" w:line="240" w:lineRule="auto"/>
              <w:jc w:val="center"/>
              <w:rPr>
                <w:rFonts w:hint="default" w:eastAsia="宋体" w:cs="宋体"/>
                <w:bCs/>
                <w:sz w:val="18"/>
                <w:szCs w:val="18"/>
                <w:lang w:val="en-US" w:eastAsia="zh-CN"/>
              </w:rPr>
            </w:pPr>
            <w:r>
              <w:rPr>
                <w:rFonts w:hint="eastAsia" w:cs="宋体"/>
                <w:bCs/>
                <w:sz w:val="18"/>
                <w:szCs w:val="18"/>
                <w:lang w:val="en-US" w:eastAsia="zh-CN"/>
              </w:rPr>
              <w:t>18</w:t>
            </w:r>
          </w:p>
        </w:tc>
        <w:tc>
          <w:tcPr>
            <w:tcW w:w="376" w:type="pct"/>
            <w:vMerge w:val="continue"/>
            <w:tcBorders>
              <w:top w:val="single" w:color="auto" w:sz="4" w:space="0"/>
              <w:left w:val="single" w:color="auto" w:sz="4" w:space="0"/>
              <w:bottom w:val="single" w:color="auto" w:sz="4" w:space="0"/>
              <w:right w:val="single" w:color="auto" w:sz="4" w:space="0"/>
            </w:tcBorders>
            <w:vAlign w:val="center"/>
          </w:tcPr>
          <w:p w14:paraId="31A13EA0">
            <w:pPr>
              <w:widowControl/>
              <w:spacing w:beforeLines="0" w:afterLines="0" w:line="240" w:lineRule="auto"/>
              <w:jc w:val="left"/>
              <w:rPr>
                <w:rFonts w:cs="宋体"/>
                <w:bCs/>
                <w:sz w:val="18"/>
                <w:szCs w:val="18"/>
              </w:rPr>
            </w:pPr>
          </w:p>
        </w:tc>
        <w:tc>
          <w:tcPr>
            <w:tcW w:w="648" w:type="pct"/>
            <w:tcBorders>
              <w:top w:val="single" w:color="auto" w:sz="4" w:space="0"/>
              <w:left w:val="single" w:color="auto" w:sz="4" w:space="0"/>
              <w:bottom w:val="single" w:color="auto" w:sz="4" w:space="0"/>
              <w:right w:val="single" w:color="auto" w:sz="4" w:space="0"/>
            </w:tcBorders>
            <w:vAlign w:val="center"/>
          </w:tcPr>
          <w:p w14:paraId="06BB18DC">
            <w:pPr>
              <w:pStyle w:val="146"/>
              <w:rPr>
                <w:rFonts w:cs="宋体"/>
                <w:bCs/>
                <w:sz w:val="18"/>
                <w:szCs w:val="18"/>
              </w:rPr>
            </w:pPr>
            <w:r>
              <w:rPr>
                <w:rFonts w:hint="eastAsia" w:cs="宋体"/>
                <w:bCs/>
                <w:sz w:val="18"/>
                <w:szCs w:val="18"/>
              </w:rPr>
              <w:t>结构变位</w:t>
            </w:r>
          </w:p>
        </w:tc>
        <w:tc>
          <w:tcPr>
            <w:tcW w:w="1154" w:type="pct"/>
            <w:tcBorders>
              <w:top w:val="single" w:color="auto" w:sz="4" w:space="0"/>
              <w:left w:val="single" w:color="auto" w:sz="4" w:space="0"/>
              <w:bottom w:val="single" w:color="auto" w:sz="4" w:space="0"/>
              <w:right w:val="single" w:color="auto" w:sz="4" w:space="0"/>
            </w:tcBorders>
            <w:vAlign w:val="center"/>
          </w:tcPr>
          <w:p w14:paraId="55B9149F">
            <w:pPr>
              <w:pStyle w:val="146"/>
              <w:rPr>
                <w:rFonts w:cs="宋体"/>
                <w:bCs/>
                <w:sz w:val="18"/>
                <w:szCs w:val="18"/>
              </w:rPr>
            </w:pPr>
            <w:r>
              <w:rPr>
                <w:rFonts w:hint="eastAsia" w:cs="宋体"/>
                <w:bCs/>
                <w:sz w:val="18"/>
                <w:szCs w:val="18"/>
              </w:rPr>
              <w:t>桥墩（台）沉降</w:t>
            </w:r>
          </w:p>
        </w:tc>
        <w:tc>
          <w:tcPr>
            <w:tcW w:w="598" w:type="pct"/>
            <w:tcBorders>
              <w:top w:val="single" w:color="auto" w:sz="4" w:space="0"/>
              <w:left w:val="single" w:color="auto" w:sz="4" w:space="0"/>
              <w:bottom w:val="single" w:color="auto" w:sz="4" w:space="0"/>
              <w:right w:val="single" w:color="auto" w:sz="4" w:space="0"/>
            </w:tcBorders>
            <w:vAlign w:val="center"/>
          </w:tcPr>
          <w:p w14:paraId="6B7852DE">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6A7AD7F6">
            <w:pPr>
              <w:pStyle w:val="146"/>
              <w:rPr>
                <w:rFonts w:cs="宋体"/>
                <w:bCs/>
                <w:sz w:val="18"/>
                <w:szCs w:val="18"/>
              </w:rPr>
            </w:pPr>
            <w:r>
              <w:rPr>
                <w:rFonts w:cs="宋体"/>
                <w:bCs/>
                <w:sz w:val="18"/>
                <w:szCs w:val="18"/>
              </w:rPr>
              <w:t>-</w:t>
            </w:r>
          </w:p>
        </w:tc>
      </w:tr>
      <w:tr w14:paraId="75931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vMerge w:val="restart"/>
            <w:tcBorders>
              <w:top w:val="single" w:color="auto" w:sz="4" w:space="0"/>
              <w:left w:val="single" w:color="auto" w:sz="4" w:space="0"/>
              <w:right w:val="single" w:color="auto" w:sz="4" w:space="0"/>
            </w:tcBorders>
            <w:vAlign w:val="center"/>
          </w:tcPr>
          <w:p w14:paraId="2BCDE868">
            <w:pPr>
              <w:widowControl/>
              <w:spacing w:beforeLines="0" w:afterLines="0" w:line="240" w:lineRule="auto"/>
              <w:jc w:val="center"/>
              <w:rPr>
                <w:rFonts w:hint="default" w:eastAsia="宋体" w:cs="宋体"/>
                <w:bCs/>
                <w:sz w:val="18"/>
                <w:szCs w:val="18"/>
                <w:lang w:val="en-US" w:eastAsia="zh-CN"/>
              </w:rPr>
            </w:pPr>
            <w:r>
              <w:rPr>
                <w:rFonts w:hint="eastAsia" w:cs="宋体"/>
                <w:bCs/>
                <w:sz w:val="18"/>
                <w:szCs w:val="18"/>
                <w:lang w:val="en-US" w:eastAsia="zh-CN"/>
              </w:rPr>
              <w:t>19</w:t>
            </w:r>
          </w:p>
        </w:tc>
        <w:tc>
          <w:tcPr>
            <w:tcW w:w="376" w:type="pct"/>
            <w:vMerge w:val="continue"/>
            <w:tcBorders>
              <w:top w:val="single" w:color="auto" w:sz="4" w:space="0"/>
              <w:left w:val="single" w:color="auto" w:sz="4" w:space="0"/>
              <w:bottom w:val="single" w:color="auto" w:sz="4" w:space="0"/>
              <w:right w:val="single" w:color="auto" w:sz="4" w:space="0"/>
            </w:tcBorders>
            <w:vAlign w:val="center"/>
          </w:tcPr>
          <w:p w14:paraId="62B642CC">
            <w:pPr>
              <w:widowControl/>
              <w:spacing w:beforeLines="0" w:afterLines="0" w:line="240" w:lineRule="auto"/>
              <w:jc w:val="left"/>
              <w:rPr>
                <w:rFonts w:cs="宋体"/>
                <w:bCs/>
                <w:sz w:val="18"/>
                <w:szCs w:val="18"/>
              </w:rPr>
            </w:pPr>
          </w:p>
        </w:tc>
        <w:tc>
          <w:tcPr>
            <w:tcW w:w="648" w:type="pct"/>
            <w:vMerge w:val="restart"/>
            <w:tcBorders>
              <w:top w:val="single" w:color="auto" w:sz="4" w:space="0"/>
              <w:left w:val="single" w:color="auto" w:sz="4" w:space="0"/>
              <w:bottom w:val="single" w:color="auto" w:sz="4" w:space="0"/>
              <w:right w:val="single" w:color="auto" w:sz="4" w:space="0"/>
            </w:tcBorders>
            <w:vAlign w:val="center"/>
          </w:tcPr>
          <w:p w14:paraId="52A0D5E0">
            <w:pPr>
              <w:pStyle w:val="146"/>
              <w:rPr>
                <w:rFonts w:cs="宋体"/>
                <w:bCs/>
                <w:sz w:val="18"/>
                <w:szCs w:val="18"/>
              </w:rPr>
            </w:pPr>
            <w:r>
              <w:rPr>
                <w:rFonts w:hint="eastAsia" w:cs="宋体"/>
                <w:bCs/>
                <w:sz w:val="18"/>
                <w:szCs w:val="18"/>
              </w:rPr>
              <w:t>裂缝</w:t>
            </w:r>
          </w:p>
        </w:tc>
        <w:tc>
          <w:tcPr>
            <w:tcW w:w="1154" w:type="pct"/>
            <w:tcBorders>
              <w:top w:val="single" w:color="auto" w:sz="4" w:space="0"/>
              <w:left w:val="single" w:color="auto" w:sz="4" w:space="0"/>
              <w:bottom w:val="single" w:color="auto" w:sz="4" w:space="0"/>
              <w:right w:val="single" w:color="auto" w:sz="4" w:space="0"/>
            </w:tcBorders>
            <w:vAlign w:val="center"/>
          </w:tcPr>
          <w:p w14:paraId="099BF5EA">
            <w:pPr>
              <w:pStyle w:val="146"/>
              <w:rPr>
                <w:rFonts w:cs="宋体"/>
                <w:bCs/>
                <w:sz w:val="18"/>
                <w:szCs w:val="18"/>
              </w:rPr>
            </w:pPr>
            <w:r>
              <w:rPr>
                <w:rFonts w:hint="eastAsia" w:cs="宋体"/>
                <w:bCs/>
                <w:sz w:val="18"/>
                <w:szCs w:val="18"/>
              </w:rPr>
              <w:t>混凝土结构裂缝</w:t>
            </w:r>
          </w:p>
        </w:tc>
        <w:tc>
          <w:tcPr>
            <w:tcW w:w="598" w:type="pct"/>
            <w:tcBorders>
              <w:top w:val="single" w:color="auto" w:sz="4" w:space="0"/>
              <w:left w:val="single" w:color="auto" w:sz="4" w:space="0"/>
              <w:bottom w:val="single" w:color="auto" w:sz="4" w:space="0"/>
              <w:right w:val="single" w:color="auto" w:sz="4" w:space="0"/>
            </w:tcBorders>
            <w:vAlign w:val="center"/>
          </w:tcPr>
          <w:p w14:paraId="13EF03C0">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6F1D9D9E">
            <w:pPr>
              <w:pStyle w:val="146"/>
              <w:rPr>
                <w:rFonts w:cs="宋体"/>
                <w:bCs/>
                <w:sz w:val="18"/>
                <w:szCs w:val="18"/>
              </w:rPr>
            </w:pPr>
            <w:r>
              <w:rPr>
                <w:rFonts w:cs="宋体"/>
                <w:bCs/>
                <w:sz w:val="18"/>
                <w:szCs w:val="18"/>
              </w:rPr>
              <w:t>-</w:t>
            </w:r>
          </w:p>
        </w:tc>
      </w:tr>
      <w:tr w14:paraId="02A75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vMerge w:val="continue"/>
            <w:tcBorders>
              <w:left w:val="single" w:color="auto" w:sz="4" w:space="0"/>
              <w:bottom w:val="single" w:color="auto" w:sz="4" w:space="0"/>
              <w:right w:val="single" w:color="auto" w:sz="4" w:space="0"/>
            </w:tcBorders>
            <w:vAlign w:val="center"/>
          </w:tcPr>
          <w:p w14:paraId="2D3800AD">
            <w:pPr>
              <w:widowControl/>
              <w:spacing w:beforeLines="0" w:afterLines="0" w:line="240" w:lineRule="auto"/>
              <w:jc w:val="center"/>
              <w:rPr>
                <w:rFonts w:cs="宋体"/>
                <w:bCs/>
                <w:sz w:val="18"/>
                <w:szCs w:val="18"/>
              </w:rPr>
            </w:pPr>
          </w:p>
        </w:tc>
        <w:tc>
          <w:tcPr>
            <w:tcW w:w="376" w:type="pct"/>
            <w:vMerge w:val="continue"/>
            <w:tcBorders>
              <w:top w:val="single" w:color="auto" w:sz="4" w:space="0"/>
              <w:left w:val="single" w:color="auto" w:sz="4" w:space="0"/>
              <w:bottom w:val="single" w:color="auto" w:sz="4" w:space="0"/>
              <w:right w:val="single" w:color="auto" w:sz="4" w:space="0"/>
            </w:tcBorders>
            <w:vAlign w:val="center"/>
          </w:tcPr>
          <w:p w14:paraId="0504D46A">
            <w:pPr>
              <w:widowControl/>
              <w:spacing w:beforeLines="0" w:afterLines="0" w:line="240" w:lineRule="auto"/>
              <w:jc w:val="left"/>
              <w:rPr>
                <w:rFonts w:cs="宋体"/>
                <w:bCs/>
                <w:sz w:val="18"/>
                <w:szCs w:val="18"/>
              </w:rPr>
            </w:pPr>
          </w:p>
        </w:tc>
        <w:tc>
          <w:tcPr>
            <w:tcW w:w="648" w:type="pct"/>
            <w:vMerge w:val="continue"/>
            <w:tcBorders>
              <w:top w:val="single" w:color="auto" w:sz="4" w:space="0"/>
              <w:left w:val="single" w:color="auto" w:sz="4" w:space="0"/>
              <w:bottom w:val="single" w:color="auto" w:sz="4" w:space="0"/>
              <w:right w:val="single" w:color="auto" w:sz="4" w:space="0"/>
            </w:tcBorders>
            <w:vAlign w:val="center"/>
          </w:tcPr>
          <w:p w14:paraId="25B7238A">
            <w:pPr>
              <w:widowControl/>
              <w:spacing w:beforeLines="0" w:afterLines="0" w:line="240" w:lineRule="auto"/>
              <w:jc w:val="left"/>
              <w:rPr>
                <w:rFonts w:cs="宋体"/>
                <w:bCs/>
                <w:sz w:val="18"/>
                <w:szCs w:val="18"/>
              </w:rPr>
            </w:pPr>
          </w:p>
        </w:tc>
        <w:tc>
          <w:tcPr>
            <w:tcW w:w="1154" w:type="pct"/>
            <w:tcBorders>
              <w:top w:val="single" w:color="auto" w:sz="4" w:space="0"/>
              <w:left w:val="single" w:color="auto" w:sz="4" w:space="0"/>
              <w:bottom w:val="single" w:color="auto" w:sz="4" w:space="0"/>
              <w:right w:val="single" w:color="auto" w:sz="4" w:space="0"/>
            </w:tcBorders>
            <w:vAlign w:val="center"/>
          </w:tcPr>
          <w:p w14:paraId="0540A958">
            <w:pPr>
              <w:pStyle w:val="146"/>
              <w:rPr>
                <w:rFonts w:cs="宋体"/>
                <w:bCs/>
                <w:sz w:val="18"/>
                <w:szCs w:val="18"/>
              </w:rPr>
            </w:pPr>
            <w:r>
              <w:rPr>
                <w:rFonts w:hint="eastAsia" w:cs="宋体"/>
                <w:bCs/>
                <w:sz w:val="18"/>
                <w:szCs w:val="18"/>
              </w:rPr>
              <w:t>钢结构裂缝</w:t>
            </w:r>
          </w:p>
        </w:tc>
        <w:tc>
          <w:tcPr>
            <w:tcW w:w="598" w:type="pct"/>
            <w:tcBorders>
              <w:top w:val="single" w:color="auto" w:sz="4" w:space="0"/>
              <w:left w:val="single" w:color="auto" w:sz="4" w:space="0"/>
              <w:bottom w:val="single" w:color="auto" w:sz="4" w:space="0"/>
              <w:right w:val="single" w:color="auto" w:sz="4" w:space="0"/>
            </w:tcBorders>
            <w:vAlign w:val="center"/>
          </w:tcPr>
          <w:p w14:paraId="102C8F5B">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50247273">
            <w:pPr>
              <w:pStyle w:val="146"/>
              <w:rPr>
                <w:rFonts w:cs="宋体"/>
                <w:bCs/>
                <w:sz w:val="18"/>
                <w:szCs w:val="18"/>
              </w:rPr>
            </w:pPr>
            <w:r>
              <w:rPr>
                <w:rFonts w:cs="宋体"/>
                <w:bCs/>
                <w:sz w:val="18"/>
                <w:szCs w:val="18"/>
              </w:rPr>
              <w:t>-</w:t>
            </w:r>
          </w:p>
        </w:tc>
      </w:tr>
      <w:tr w14:paraId="5656A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vMerge w:val="restart"/>
            <w:tcBorders>
              <w:top w:val="single" w:color="auto" w:sz="4" w:space="0"/>
              <w:left w:val="single" w:color="auto" w:sz="4" w:space="0"/>
              <w:right w:val="single" w:color="auto" w:sz="4" w:space="0"/>
            </w:tcBorders>
            <w:vAlign w:val="center"/>
          </w:tcPr>
          <w:p w14:paraId="7DF09B5B">
            <w:pPr>
              <w:widowControl/>
              <w:spacing w:beforeLines="0" w:afterLines="0" w:line="240" w:lineRule="auto"/>
              <w:jc w:val="center"/>
              <w:rPr>
                <w:rFonts w:hint="default" w:eastAsia="宋体" w:cs="宋体"/>
                <w:bCs/>
                <w:sz w:val="18"/>
                <w:szCs w:val="18"/>
                <w:lang w:val="en-US" w:eastAsia="zh-CN"/>
              </w:rPr>
            </w:pPr>
            <w:r>
              <w:rPr>
                <w:rFonts w:hint="eastAsia" w:cs="宋体"/>
                <w:bCs/>
                <w:sz w:val="18"/>
                <w:szCs w:val="18"/>
                <w:lang w:val="en-US" w:eastAsia="zh-CN"/>
              </w:rPr>
              <w:t>20</w:t>
            </w:r>
          </w:p>
        </w:tc>
        <w:tc>
          <w:tcPr>
            <w:tcW w:w="376" w:type="pct"/>
            <w:vMerge w:val="continue"/>
            <w:tcBorders>
              <w:top w:val="single" w:color="auto" w:sz="4" w:space="0"/>
              <w:left w:val="single" w:color="auto" w:sz="4" w:space="0"/>
              <w:bottom w:val="single" w:color="auto" w:sz="4" w:space="0"/>
              <w:right w:val="single" w:color="auto" w:sz="4" w:space="0"/>
            </w:tcBorders>
            <w:vAlign w:val="center"/>
          </w:tcPr>
          <w:p w14:paraId="66150AB4">
            <w:pPr>
              <w:widowControl/>
              <w:spacing w:beforeLines="0" w:afterLines="0" w:line="240" w:lineRule="auto"/>
              <w:jc w:val="left"/>
              <w:rPr>
                <w:rFonts w:cs="宋体"/>
                <w:bCs/>
                <w:sz w:val="18"/>
                <w:szCs w:val="18"/>
              </w:rPr>
            </w:pPr>
          </w:p>
        </w:tc>
        <w:tc>
          <w:tcPr>
            <w:tcW w:w="648" w:type="pct"/>
            <w:vMerge w:val="restart"/>
            <w:tcBorders>
              <w:top w:val="single" w:color="auto" w:sz="4" w:space="0"/>
              <w:left w:val="single" w:color="auto" w:sz="4" w:space="0"/>
              <w:bottom w:val="single" w:color="auto" w:sz="4" w:space="0"/>
              <w:right w:val="single" w:color="auto" w:sz="4" w:space="0"/>
            </w:tcBorders>
            <w:vAlign w:val="center"/>
          </w:tcPr>
          <w:p w14:paraId="235CEBED">
            <w:pPr>
              <w:pStyle w:val="146"/>
              <w:rPr>
                <w:rFonts w:cs="宋体"/>
                <w:bCs/>
                <w:sz w:val="18"/>
                <w:szCs w:val="18"/>
              </w:rPr>
            </w:pPr>
            <w:r>
              <w:rPr>
                <w:rFonts w:hint="eastAsia" w:cs="宋体"/>
                <w:bCs/>
                <w:sz w:val="18"/>
                <w:szCs w:val="18"/>
              </w:rPr>
              <w:t>腐蚀</w:t>
            </w:r>
          </w:p>
        </w:tc>
        <w:tc>
          <w:tcPr>
            <w:tcW w:w="1154" w:type="pct"/>
            <w:tcBorders>
              <w:top w:val="single" w:color="auto" w:sz="4" w:space="0"/>
              <w:left w:val="single" w:color="auto" w:sz="4" w:space="0"/>
              <w:bottom w:val="single" w:color="auto" w:sz="4" w:space="0"/>
              <w:right w:val="single" w:color="auto" w:sz="4" w:space="0"/>
            </w:tcBorders>
            <w:vAlign w:val="center"/>
          </w:tcPr>
          <w:p w14:paraId="2E9CE884">
            <w:pPr>
              <w:pStyle w:val="146"/>
              <w:rPr>
                <w:rFonts w:cs="宋体"/>
                <w:bCs/>
                <w:sz w:val="18"/>
                <w:szCs w:val="18"/>
              </w:rPr>
            </w:pPr>
            <w:r>
              <w:rPr>
                <w:rFonts w:hint="eastAsia" w:cs="宋体"/>
                <w:bCs/>
                <w:sz w:val="18"/>
                <w:szCs w:val="18"/>
              </w:rPr>
              <w:t>墩身、承台混凝土氯离子浓度</w:t>
            </w:r>
          </w:p>
        </w:tc>
        <w:tc>
          <w:tcPr>
            <w:tcW w:w="598" w:type="pct"/>
            <w:tcBorders>
              <w:top w:val="single" w:color="auto" w:sz="4" w:space="0"/>
              <w:left w:val="single" w:color="auto" w:sz="4" w:space="0"/>
              <w:bottom w:val="single" w:color="auto" w:sz="4" w:space="0"/>
              <w:right w:val="single" w:color="auto" w:sz="4" w:space="0"/>
            </w:tcBorders>
            <w:vAlign w:val="center"/>
          </w:tcPr>
          <w:p w14:paraId="2873A5B7">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17FEDEB4">
            <w:pPr>
              <w:pStyle w:val="146"/>
              <w:rPr>
                <w:rFonts w:cs="宋体"/>
                <w:bCs/>
                <w:sz w:val="18"/>
                <w:szCs w:val="18"/>
              </w:rPr>
            </w:pPr>
            <w:r>
              <w:rPr>
                <w:rFonts w:cs="宋体"/>
                <w:bCs/>
                <w:sz w:val="18"/>
                <w:szCs w:val="18"/>
              </w:rPr>
              <w:t>-</w:t>
            </w:r>
          </w:p>
        </w:tc>
      </w:tr>
      <w:tr w14:paraId="3CED3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vMerge w:val="continue"/>
            <w:tcBorders>
              <w:left w:val="single" w:color="auto" w:sz="4" w:space="0"/>
              <w:bottom w:val="single" w:color="auto" w:sz="4" w:space="0"/>
              <w:right w:val="single" w:color="auto" w:sz="4" w:space="0"/>
            </w:tcBorders>
            <w:vAlign w:val="center"/>
          </w:tcPr>
          <w:p w14:paraId="5EC951EC">
            <w:pPr>
              <w:widowControl/>
              <w:spacing w:beforeLines="0" w:afterLines="0" w:line="240" w:lineRule="auto"/>
              <w:jc w:val="center"/>
              <w:rPr>
                <w:rFonts w:cs="宋体"/>
                <w:bCs/>
                <w:sz w:val="18"/>
                <w:szCs w:val="18"/>
              </w:rPr>
            </w:pPr>
          </w:p>
        </w:tc>
        <w:tc>
          <w:tcPr>
            <w:tcW w:w="376" w:type="pct"/>
            <w:vMerge w:val="continue"/>
            <w:tcBorders>
              <w:top w:val="single" w:color="auto" w:sz="4" w:space="0"/>
              <w:left w:val="single" w:color="auto" w:sz="4" w:space="0"/>
              <w:bottom w:val="single" w:color="auto" w:sz="4" w:space="0"/>
              <w:right w:val="single" w:color="auto" w:sz="4" w:space="0"/>
            </w:tcBorders>
            <w:vAlign w:val="center"/>
          </w:tcPr>
          <w:p w14:paraId="2C2BBF21">
            <w:pPr>
              <w:widowControl/>
              <w:spacing w:beforeLines="0" w:afterLines="0" w:line="240" w:lineRule="auto"/>
              <w:jc w:val="left"/>
              <w:rPr>
                <w:rFonts w:cs="宋体"/>
                <w:bCs/>
                <w:sz w:val="18"/>
                <w:szCs w:val="18"/>
              </w:rPr>
            </w:pPr>
          </w:p>
        </w:tc>
        <w:tc>
          <w:tcPr>
            <w:tcW w:w="648" w:type="pct"/>
            <w:vMerge w:val="continue"/>
            <w:tcBorders>
              <w:top w:val="single" w:color="auto" w:sz="4" w:space="0"/>
              <w:left w:val="single" w:color="auto" w:sz="4" w:space="0"/>
              <w:bottom w:val="single" w:color="auto" w:sz="4" w:space="0"/>
              <w:right w:val="single" w:color="auto" w:sz="4" w:space="0"/>
            </w:tcBorders>
            <w:vAlign w:val="center"/>
          </w:tcPr>
          <w:p w14:paraId="1D180618">
            <w:pPr>
              <w:widowControl/>
              <w:spacing w:beforeLines="0" w:afterLines="0" w:line="240" w:lineRule="auto"/>
              <w:jc w:val="left"/>
              <w:rPr>
                <w:rFonts w:cs="宋体"/>
                <w:bCs/>
                <w:sz w:val="18"/>
                <w:szCs w:val="18"/>
              </w:rPr>
            </w:pPr>
          </w:p>
        </w:tc>
        <w:tc>
          <w:tcPr>
            <w:tcW w:w="1154" w:type="pct"/>
            <w:tcBorders>
              <w:top w:val="single" w:color="auto" w:sz="4" w:space="0"/>
              <w:left w:val="single" w:color="auto" w:sz="4" w:space="0"/>
              <w:bottom w:val="single" w:color="auto" w:sz="4" w:space="0"/>
              <w:right w:val="single" w:color="auto" w:sz="4" w:space="0"/>
            </w:tcBorders>
            <w:vAlign w:val="center"/>
          </w:tcPr>
          <w:p w14:paraId="05EF3E36">
            <w:pPr>
              <w:pStyle w:val="146"/>
              <w:rPr>
                <w:rFonts w:cs="宋体"/>
                <w:bCs/>
                <w:sz w:val="18"/>
                <w:szCs w:val="18"/>
              </w:rPr>
            </w:pPr>
            <w:r>
              <w:rPr>
                <w:rFonts w:hint="eastAsia" w:cs="宋体"/>
                <w:bCs/>
                <w:sz w:val="18"/>
                <w:szCs w:val="18"/>
              </w:rPr>
              <w:t>墩身、承台混凝土氯离子侵蚀深度</w:t>
            </w:r>
          </w:p>
        </w:tc>
        <w:tc>
          <w:tcPr>
            <w:tcW w:w="598" w:type="pct"/>
            <w:tcBorders>
              <w:top w:val="single" w:color="auto" w:sz="4" w:space="0"/>
              <w:left w:val="single" w:color="auto" w:sz="4" w:space="0"/>
              <w:bottom w:val="single" w:color="auto" w:sz="4" w:space="0"/>
              <w:right w:val="single" w:color="auto" w:sz="4" w:space="0"/>
            </w:tcBorders>
            <w:vAlign w:val="center"/>
          </w:tcPr>
          <w:p w14:paraId="0289D578">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095B38A2">
            <w:pPr>
              <w:pStyle w:val="146"/>
              <w:rPr>
                <w:rFonts w:cs="宋体"/>
                <w:bCs/>
                <w:sz w:val="18"/>
                <w:szCs w:val="18"/>
              </w:rPr>
            </w:pPr>
            <w:r>
              <w:rPr>
                <w:rFonts w:cs="宋体"/>
                <w:bCs/>
                <w:sz w:val="18"/>
                <w:szCs w:val="18"/>
              </w:rPr>
              <w:t>-</w:t>
            </w:r>
          </w:p>
        </w:tc>
      </w:tr>
      <w:tr w14:paraId="79B49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tcBorders>
              <w:top w:val="single" w:color="auto" w:sz="4" w:space="0"/>
              <w:left w:val="single" w:color="auto" w:sz="4" w:space="0"/>
              <w:bottom w:val="single" w:color="auto" w:sz="4" w:space="0"/>
              <w:right w:val="single" w:color="auto" w:sz="4" w:space="0"/>
            </w:tcBorders>
            <w:vAlign w:val="center"/>
          </w:tcPr>
          <w:p w14:paraId="7D8DA79D">
            <w:pPr>
              <w:widowControl/>
              <w:spacing w:beforeLines="0" w:afterLines="0" w:line="240" w:lineRule="auto"/>
              <w:jc w:val="center"/>
              <w:rPr>
                <w:rFonts w:hint="default" w:eastAsia="宋体" w:cs="宋体"/>
                <w:bCs/>
                <w:sz w:val="18"/>
                <w:szCs w:val="18"/>
                <w:lang w:val="en-US" w:eastAsia="zh-CN"/>
              </w:rPr>
            </w:pPr>
            <w:r>
              <w:rPr>
                <w:rFonts w:hint="eastAsia" w:cs="宋体"/>
                <w:bCs/>
                <w:sz w:val="18"/>
                <w:szCs w:val="18"/>
                <w:lang w:val="en-US" w:eastAsia="zh-CN"/>
              </w:rPr>
              <w:t>21</w:t>
            </w:r>
          </w:p>
        </w:tc>
        <w:tc>
          <w:tcPr>
            <w:tcW w:w="376" w:type="pct"/>
            <w:vMerge w:val="continue"/>
            <w:tcBorders>
              <w:top w:val="single" w:color="auto" w:sz="4" w:space="0"/>
              <w:left w:val="single" w:color="auto" w:sz="4" w:space="0"/>
              <w:bottom w:val="single" w:color="auto" w:sz="4" w:space="0"/>
              <w:right w:val="single" w:color="auto" w:sz="4" w:space="0"/>
            </w:tcBorders>
            <w:vAlign w:val="center"/>
          </w:tcPr>
          <w:p w14:paraId="1E22D4AF">
            <w:pPr>
              <w:widowControl/>
              <w:spacing w:beforeLines="0" w:afterLines="0" w:line="240" w:lineRule="auto"/>
              <w:jc w:val="left"/>
              <w:rPr>
                <w:rFonts w:cs="宋体"/>
                <w:bCs/>
                <w:sz w:val="18"/>
                <w:szCs w:val="18"/>
              </w:rPr>
            </w:pPr>
          </w:p>
        </w:tc>
        <w:tc>
          <w:tcPr>
            <w:tcW w:w="648" w:type="pct"/>
            <w:tcBorders>
              <w:top w:val="single" w:color="auto" w:sz="4" w:space="0"/>
              <w:left w:val="single" w:color="auto" w:sz="4" w:space="0"/>
              <w:bottom w:val="single" w:color="auto" w:sz="4" w:space="0"/>
              <w:right w:val="single" w:color="auto" w:sz="4" w:space="0"/>
            </w:tcBorders>
            <w:vAlign w:val="center"/>
          </w:tcPr>
          <w:p w14:paraId="7313AE75">
            <w:pPr>
              <w:pStyle w:val="146"/>
              <w:rPr>
                <w:rFonts w:cs="宋体"/>
                <w:bCs/>
                <w:sz w:val="18"/>
                <w:szCs w:val="18"/>
              </w:rPr>
            </w:pPr>
            <w:r>
              <w:rPr>
                <w:rFonts w:hint="eastAsia" w:cs="宋体"/>
                <w:bCs/>
                <w:sz w:val="18"/>
                <w:szCs w:val="18"/>
              </w:rPr>
              <w:t>预应力</w:t>
            </w:r>
          </w:p>
        </w:tc>
        <w:tc>
          <w:tcPr>
            <w:tcW w:w="1154" w:type="pct"/>
            <w:tcBorders>
              <w:top w:val="single" w:color="auto" w:sz="4" w:space="0"/>
              <w:left w:val="single" w:color="auto" w:sz="4" w:space="0"/>
              <w:bottom w:val="single" w:color="auto" w:sz="4" w:space="0"/>
              <w:right w:val="single" w:color="auto" w:sz="4" w:space="0"/>
            </w:tcBorders>
            <w:vAlign w:val="center"/>
          </w:tcPr>
          <w:p w14:paraId="40639882">
            <w:pPr>
              <w:pStyle w:val="146"/>
              <w:rPr>
                <w:rFonts w:cs="宋体"/>
                <w:bCs/>
                <w:sz w:val="18"/>
                <w:szCs w:val="18"/>
              </w:rPr>
            </w:pPr>
            <w:r>
              <w:rPr>
                <w:rFonts w:hint="eastAsia" w:cs="宋体"/>
                <w:bCs/>
                <w:sz w:val="18"/>
                <w:szCs w:val="18"/>
              </w:rPr>
              <w:t>体外预应力</w:t>
            </w:r>
          </w:p>
        </w:tc>
        <w:tc>
          <w:tcPr>
            <w:tcW w:w="598" w:type="pct"/>
            <w:tcBorders>
              <w:top w:val="single" w:color="auto" w:sz="4" w:space="0"/>
              <w:left w:val="single" w:color="auto" w:sz="4" w:space="0"/>
              <w:bottom w:val="single" w:color="auto" w:sz="4" w:space="0"/>
              <w:right w:val="single" w:color="auto" w:sz="4" w:space="0"/>
            </w:tcBorders>
            <w:vAlign w:val="center"/>
          </w:tcPr>
          <w:p w14:paraId="52D24173">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1EB784EC">
            <w:pPr>
              <w:pStyle w:val="146"/>
              <w:rPr>
                <w:rFonts w:cs="宋体"/>
                <w:bCs/>
                <w:sz w:val="18"/>
                <w:szCs w:val="18"/>
              </w:rPr>
            </w:pPr>
            <w:r>
              <w:rPr>
                <w:rFonts w:cs="宋体"/>
                <w:bCs/>
                <w:sz w:val="18"/>
                <w:szCs w:val="18"/>
              </w:rPr>
              <w:t>-</w:t>
            </w:r>
          </w:p>
        </w:tc>
      </w:tr>
      <w:tr w14:paraId="19CD1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 w:type="pct"/>
            <w:tcBorders>
              <w:top w:val="single" w:color="auto" w:sz="4" w:space="0"/>
              <w:left w:val="single" w:color="auto" w:sz="4" w:space="0"/>
              <w:bottom w:val="single" w:color="auto" w:sz="4" w:space="0"/>
              <w:right w:val="single" w:color="auto" w:sz="4" w:space="0"/>
            </w:tcBorders>
            <w:vAlign w:val="center"/>
          </w:tcPr>
          <w:p w14:paraId="5F454DB6">
            <w:pPr>
              <w:widowControl/>
              <w:spacing w:beforeLines="0" w:afterLines="0" w:line="240" w:lineRule="auto"/>
              <w:jc w:val="center"/>
              <w:rPr>
                <w:rFonts w:hint="default" w:eastAsia="宋体" w:cs="宋体"/>
                <w:bCs/>
                <w:sz w:val="18"/>
                <w:szCs w:val="18"/>
                <w:lang w:val="en-US" w:eastAsia="zh-CN"/>
              </w:rPr>
            </w:pPr>
            <w:r>
              <w:rPr>
                <w:rFonts w:hint="eastAsia" w:cs="宋体"/>
                <w:bCs/>
                <w:sz w:val="18"/>
                <w:szCs w:val="18"/>
                <w:lang w:val="en-US" w:eastAsia="zh-CN"/>
              </w:rPr>
              <w:t>22</w:t>
            </w:r>
          </w:p>
        </w:tc>
        <w:tc>
          <w:tcPr>
            <w:tcW w:w="376" w:type="pct"/>
            <w:vMerge w:val="continue"/>
            <w:tcBorders>
              <w:top w:val="single" w:color="auto" w:sz="4" w:space="0"/>
              <w:left w:val="single" w:color="auto" w:sz="4" w:space="0"/>
              <w:bottom w:val="single" w:color="auto" w:sz="4" w:space="0"/>
              <w:right w:val="single" w:color="auto" w:sz="4" w:space="0"/>
            </w:tcBorders>
            <w:vAlign w:val="center"/>
          </w:tcPr>
          <w:p w14:paraId="29785C14">
            <w:pPr>
              <w:widowControl/>
              <w:spacing w:beforeLines="0" w:afterLines="0" w:line="240" w:lineRule="auto"/>
              <w:jc w:val="left"/>
              <w:rPr>
                <w:rFonts w:cs="宋体"/>
                <w:bCs/>
                <w:sz w:val="18"/>
                <w:szCs w:val="18"/>
              </w:rPr>
            </w:pPr>
          </w:p>
        </w:tc>
        <w:tc>
          <w:tcPr>
            <w:tcW w:w="648" w:type="pct"/>
            <w:tcBorders>
              <w:top w:val="single" w:color="auto" w:sz="4" w:space="0"/>
              <w:left w:val="single" w:color="auto" w:sz="4" w:space="0"/>
              <w:bottom w:val="single" w:color="auto" w:sz="4" w:space="0"/>
              <w:right w:val="single" w:color="auto" w:sz="4" w:space="0"/>
            </w:tcBorders>
            <w:vAlign w:val="center"/>
          </w:tcPr>
          <w:p w14:paraId="30154698">
            <w:pPr>
              <w:pStyle w:val="146"/>
              <w:rPr>
                <w:rFonts w:cs="宋体"/>
                <w:bCs/>
                <w:sz w:val="18"/>
                <w:szCs w:val="18"/>
              </w:rPr>
            </w:pPr>
            <w:r>
              <w:rPr>
                <w:rFonts w:hint="eastAsia" w:cs="宋体"/>
                <w:bCs/>
                <w:sz w:val="18"/>
                <w:szCs w:val="18"/>
              </w:rPr>
              <w:t>螺栓状态</w:t>
            </w:r>
          </w:p>
        </w:tc>
        <w:tc>
          <w:tcPr>
            <w:tcW w:w="1154" w:type="pct"/>
            <w:tcBorders>
              <w:top w:val="single" w:color="auto" w:sz="4" w:space="0"/>
              <w:left w:val="single" w:color="auto" w:sz="4" w:space="0"/>
              <w:bottom w:val="single" w:color="auto" w:sz="4" w:space="0"/>
              <w:right w:val="single" w:color="auto" w:sz="4" w:space="0"/>
            </w:tcBorders>
            <w:vAlign w:val="center"/>
          </w:tcPr>
          <w:p w14:paraId="4F82A371">
            <w:pPr>
              <w:pStyle w:val="146"/>
              <w:rPr>
                <w:rFonts w:cs="宋体"/>
                <w:bCs/>
                <w:sz w:val="18"/>
                <w:szCs w:val="18"/>
              </w:rPr>
            </w:pPr>
            <w:r>
              <w:rPr>
                <w:rFonts w:hint="eastAsia" w:cs="宋体"/>
                <w:bCs/>
                <w:sz w:val="18"/>
                <w:szCs w:val="18"/>
              </w:rPr>
              <w:t>高强螺栓紧固力、螺栓滑脱</w:t>
            </w:r>
          </w:p>
        </w:tc>
        <w:tc>
          <w:tcPr>
            <w:tcW w:w="598" w:type="pct"/>
            <w:tcBorders>
              <w:top w:val="single" w:color="auto" w:sz="4" w:space="0"/>
              <w:left w:val="single" w:color="auto" w:sz="4" w:space="0"/>
              <w:bottom w:val="single" w:color="auto" w:sz="4" w:space="0"/>
              <w:right w:val="single" w:color="auto" w:sz="4" w:space="0"/>
            </w:tcBorders>
            <w:vAlign w:val="center"/>
          </w:tcPr>
          <w:p w14:paraId="20402ADF">
            <w:pPr>
              <w:pStyle w:val="146"/>
              <w:rPr>
                <w:rFonts w:cs="宋体"/>
                <w:bCs/>
                <w:sz w:val="18"/>
                <w:szCs w:val="18"/>
              </w:rPr>
            </w:pPr>
            <w:r>
              <w:rPr>
                <w:rFonts w:hint="eastAsia" w:cs="宋体"/>
                <w:bCs/>
                <w:sz w:val="18"/>
                <w:szCs w:val="18"/>
              </w:rPr>
              <w:t>◎</w:t>
            </w:r>
          </w:p>
        </w:tc>
        <w:tc>
          <w:tcPr>
            <w:tcW w:w="1868" w:type="pct"/>
            <w:tcBorders>
              <w:top w:val="single" w:color="auto" w:sz="4" w:space="0"/>
              <w:left w:val="single" w:color="auto" w:sz="4" w:space="0"/>
              <w:bottom w:val="single" w:color="auto" w:sz="4" w:space="0"/>
              <w:right w:val="single" w:color="auto" w:sz="4" w:space="0"/>
            </w:tcBorders>
            <w:vAlign w:val="center"/>
          </w:tcPr>
          <w:p w14:paraId="1B0F17C9">
            <w:pPr>
              <w:pStyle w:val="146"/>
              <w:rPr>
                <w:rFonts w:cs="宋体"/>
                <w:bCs/>
                <w:sz w:val="18"/>
                <w:szCs w:val="18"/>
              </w:rPr>
            </w:pPr>
            <w:r>
              <w:rPr>
                <w:rFonts w:cs="宋体"/>
                <w:bCs/>
                <w:sz w:val="18"/>
                <w:szCs w:val="18"/>
              </w:rPr>
              <w:t>-</w:t>
            </w:r>
          </w:p>
        </w:tc>
      </w:tr>
      <w:tr w14:paraId="6087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14:paraId="1BEB69CC">
            <w:pPr>
              <w:pStyle w:val="146"/>
              <w:jc w:val="both"/>
              <w:rPr>
                <w:rFonts w:cs="宋体"/>
                <w:bCs/>
                <w:sz w:val="18"/>
                <w:szCs w:val="18"/>
              </w:rPr>
            </w:pPr>
            <w:r>
              <w:rPr>
                <w:rFonts w:hint="eastAsia" w:cs="宋体"/>
                <w:bCs/>
                <w:sz w:val="18"/>
                <w:szCs w:val="18"/>
              </w:rPr>
              <w:t>注：</w:t>
            </w:r>
            <w:r>
              <w:rPr>
                <w:rFonts w:cs="宋体"/>
                <w:bCs/>
                <w:sz w:val="18"/>
                <w:szCs w:val="18"/>
              </w:rPr>
              <w:t>1.</w:t>
            </w:r>
            <w:r>
              <w:rPr>
                <w:rFonts w:hint="eastAsia" w:cs="宋体"/>
                <w:bCs/>
                <w:sz w:val="18"/>
                <w:szCs w:val="18"/>
              </w:rPr>
              <w:t>“●”表示必选监测项、“◎”表示宜选监测项、“○”表示可选监测项；</w:t>
            </w:r>
          </w:p>
          <w:p w14:paraId="313DD290">
            <w:pPr>
              <w:pStyle w:val="146"/>
              <w:ind w:firstLine="360" w:firstLineChars="200"/>
              <w:jc w:val="both"/>
              <w:rPr>
                <w:rFonts w:cs="宋体"/>
                <w:bCs/>
                <w:sz w:val="18"/>
                <w:szCs w:val="18"/>
              </w:rPr>
            </w:pPr>
            <w:r>
              <w:rPr>
                <w:rFonts w:cs="宋体"/>
                <w:bCs/>
                <w:sz w:val="18"/>
                <w:szCs w:val="18"/>
              </w:rPr>
              <w:t>2.</w:t>
            </w:r>
            <w:r>
              <w:rPr>
                <w:rFonts w:hint="eastAsia" w:cs="宋体"/>
                <w:bCs/>
                <w:sz w:val="18"/>
                <w:szCs w:val="18"/>
              </w:rPr>
              <w:t>“―”表示测点布设可根据</w:t>
            </w:r>
            <w:r>
              <w:rPr>
                <w:rFonts w:hint="eastAsia" w:cs="宋体"/>
                <w:bCs/>
                <w:sz w:val="18"/>
                <w:szCs w:val="18"/>
                <w:lang w:eastAsia="zh-CN"/>
              </w:rPr>
              <w:t>现场情况</w:t>
            </w:r>
            <w:r>
              <w:rPr>
                <w:rFonts w:hint="eastAsia" w:cs="宋体"/>
                <w:bCs/>
                <w:sz w:val="18"/>
                <w:szCs w:val="18"/>
              </w:rPr>
              <w:t>选择桥址处适当位置；</w:t>
            </w:r>
          </w:p>
        </w:tc>
      </w:tr>
    </w:tbl>
    <w:p w14:paraId="04F62639">
      <w:pPr>
        <w:rPr>
          <w:rFonts w:hint="eastAsia"/>
          <w:b w:val="0"/>
          <w:bCs w:val="0"/>
          <w:lang w:val="en-US" w:eastAsia="zh-CN"/>
        </w:rPr>
      </w:pPr>
    </w:p>
    <w:p w14:paraId="5AF060D9">
      <w:pPr>
        <w:rPr>
          <w:rFonts w:hint="eastAsia"/>
          <w:b w:val="0"/>
          <w:bCs w:val="0"/>
          <w:lang w:val="en-US" w:eastAsia="zh-CN"/>
        </w:rPr>
      </w:pPr>
      <w:r>
        <w:rPr>
          <w:rFonts w:hint="eastAsia"/>
          <w:b w:val="0"/>
          <w:bCs w:val="0"/>
          <w:lang w:val="en-US" w:eastAsia="zh-CN"/>
        </w:rPr>
        <w:t>上承式拱桥监测布点要求见表B.5.3。</w:t>
      </w:r>
    </w:p>
    <w:p w14:paraId="08E441AC">
      <w:pPr>
        <w:rPr>
          <w:rFonts w:hint="eastAsia"/>
          <w:b w:val="0"/>
          <w:bCs w:val="0"/>
          <w:lang w:val="en-US" w:eastAsia="zh-CN"/>
        </w:rPr>
      </w:pPr>
    </w:p>
    <w:tbl>
      <w:tblPr>
        <w:tblStyle w:val="35"/>
        <w:tblW w:w="4873" w:type="pct"/>
        <w:tblInd w:w="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9"/>
        <w:gridCol w:w="619"/>
        <w:gridCol w:w="1457"/>
        <w:gridCol w:w="1938"/>
        <w:gridCol w:w="947"/>
        <w:gridCol w:w="2939"/>
      </w:tblGrid>
      <w:tr w14:paraId="2E83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5000" w:type="pct"/>
            <w:gridSpan w:val="6"/>
            <w:tcBorders>
              <w:top w:val="nil"/>
              <w:left w:val="nil"/>
              <w:bottom w:val="single" w:color="auto" w:sz="4" w:space="0"/>
              <w:right w:val="nil"/>
            </w:tcBorders>
            <w:vAlign w:val="center"/>
          </w:tcPr>
          <w:p w14:paraId="651B6EDB">
            <w:pPr>
              <w:pStyle w:val="146"/>
              <w:rPr>
                <w:rFonts w:hint="eastAsia" w:ascii="宋体" w:hAnsi="宋体" w:cs="宋体"/>
                <w:sz w:val="18"/>
                <w:szCs w:val="18"/>
              </w:rPr>
            </w:pPr>
            <w:r>
              <w:rPr>
                <w:rFonts w:hint="eastAsia" w:ascii="黑体" w:hAnsi="黑体" w:eastAsia="黑体"/>
                <w:bCs/>
                <w:color w:val="auto"/>
              </w:rPr>
              <w:t>B.5.3</w:t>
            </w:r>
            <w:r>
              <w:rPr>
                <w:rFonts w:ascii="黑体" w:hAnsi="黑体" w:eastAsia="黑体"/>
                <w:bCs/>
                <w:color w:val="auto"/>
              </w:rPr>
              <w:t xml:space="preserve"> </w:t>
            </w:r>
            <w:r>
              <w:rPr>
                <w:rFonts w:hint="eastAsia" w:ascii="黑体" w:hAnsi="黑体" w:eastAsia="黑体"/>
                <w:bCs/>
                <w:color w:val="auto"/>
              </w:rPr>
              <w:t>上承式拱桥监测</w:t>
            </w:r>
            <w:r>
              <w:rPr>
                <w:rFonts w:hint="eastAsia" w:ascii="黑体" w:hAnsi="黑体" w:eastAsia="黑体"/>
                <w:bCs/>
                <w:color w:val="auto"/>
                <w:lang w:val="en-US" w:eastAsia="zh-CN"/>
              </w:rPr>
              <w:t>布点要求</w:t>
            </w:r>
          </w:p>
        </w:tc>
      </w:tr>
      <w:tr w14:paraId="2DE85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353" w:type="pct"/>
            <w:tcBorders>
              <w:top w:val="single" w:color="auto" w:sz="4" w:space="0"/>
              <w:left w:val="single" w:color="auto" w:sz="4" w:space="0"/>
              <w:bottom w:val="single" w:color="auto" w:sz="4" w:space="0"/>
              <w:right w:val="single" w:color="auto" w:sz="4" w:space="0"/>
            </w:tcBorders>
            <w:shd w:val="clear" w:color="auto" w:fill="auto"/>
            <w:vAlign w:val="center"/>
          </w:tcPr>
          <w:p w14:paraId="2912EE9E">
            <w:pPr>
              <w:pStyle w:val="146"/>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序号</w:t>
            </w:r>
          </w:p>
        </w:tc>
        <w:tc>
          <w:tcPr>
            <w:tcW w:w="122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0FEF3B91">
            <w:pPr>
              <w:pStyle w:val="146"/>
              <w:rPr>
                <w:rFonts w:hint="eastAsia" w:ascii="宋体" w:hAnsi="宋体" w:eastAsia="宋体" w:cs="宋体"/>
                <w:kern w:val="2"/>
                <w:sz w:val="18"/>
                <w:szCs w:val="18"/>
                <w:lang w:val="en-US" w:eastAsia="zh-CN" w:bidi="ar-SA"/>
              </w:rPr>
            </w:pPr>
            <w:r>
              <w:rPr>
                <w:rFonts w:hint="eastAsia" w:ascii="宋体" w:hAnsi="宋体" w:cs="宋体"/>
                <w:sz w:val="18"/>
                <w:szCs w:val="18"/>
              </w:rPr>
              <w:t>监测对象</w:t>
            </w:r>
          </w:p>
        </w:tc>
        <w:tc>
          <w:tcPr>
            <w:tcW w:w="1140" w:type="pct"/>
            <w:tcBorders>
              <w:top w:val="single" w:color="auto" w:sz="4" w:space="0"/>
              <w:left w:val="single" w:color="auto" w:sz="4" w:space="0"/>
              <w:bottom w:val="single" w:color="auto" w:sz="4" w:space="0"/>
              <w:right w:val="single" w:color="auto" w:sz="4" w:space="0"/>
            </w:tcBorders>
            <w:shd w:val="clear" w:color="auto" w:fill="auto"/>
            <w:vAlign w:val="center"/>
          </w:tcPr>
          <w:p w14:paraId="59DDBC51">
            <w:pPr>
              <w:pStyle w:val="146"/>
              <w:rPr>
                <w:rFonts w:hint="eastAsia" w:ascii="宋体" w:hAnsi="宋体" w:eastAsia="宋体" w:cs="宋体"/>
                <w:kern w:val="2"/>
                <w:sz w:val="18"/>
                <w:szCs w:val="18"/>
                <w:lang w:val="en-US" w:eastAsia="zh-CN" w:bidi="ar-SA"/>
              </w:rPr>
            </w:pPr>
            <w:r>
              <w:rPr>
                <w:rFonts w:hint="eastAsia" w:ascii="宋体" w:hAnsi="宋体" w:cs="宋体"/>
                <w:sz w:val="18"/>
                <w:szCs w:val="18"/>
              </w:rPr>
              <w:t>监测指标</w:t>
            </w:r>
          </w:p>
        </w:tc>
        <w:tc>
          <w:tcPr>
            <w:tcW w:w="557" w:type="pct"/>
            <w:tcBorders>
              <w:top w:val="single" w:color="auto" w:sz="4" w:space="0"/>
              <w:left w:val="single" w:color="auto" w:sz="4" w:space="0"/>
              <w:bottom w:val="single" w:color="auto" w:sz="4" w:space="0"/>
              <w:right w:val="single" w:color="auto" w:sz="4" w:space="0"/>
            </w:tcBorders>
            <w:shd w:val="clear" w:color="auto" w:fill="auto"/>
            <w:vAlign w:val="center"/>
          </w:tcPr>
          <w:p w14:paraId="593BD616">
            <w:pPr>
              <w:pStyle w:val="146"/>
              <w:rPr>
                <w:rFonts w:hint="eastAsia" w:ascii="宋体" w:hAnsi="宋体" w:eastAsia="宋体" w:cs="宋体"/>
                <w:kern w:val="2"/>
                <w:sz w:val="18"/>
                <w:szCs w:val="18"/>
                <w:lang w:val="en-US" w:eastAsia="zh-CN" w:bidi="ar-SA"/>
              </w:rPr>
            </w:pPr>
            <w:r>
              <w:rPr>
                <w:rFonts w:hint="eastAsia" w:ascii="宋体" w:hAnsi="宋体" w:cs="宋体"/>
                <w:sz w:val="18"/>
                <w:szCs w:val="18"/>
              </w:rPr>
              <w:t>监测要求</w:t>
            </w:r>
          </w:p>
        </w:tc>
        <w:tc>
          <w:tcPr>
            <w:tcW w:w="1727" w:type="pct"/>
            <w:tcBorders>
              <w:top w:val="single" w:color="auto" w:sz="4" w:space="0"/>
              <w:left w:val="single" w:color="auto" w:sz="4" w:space="0"/>
              <w:bottom w:val="single" w:color="auto" w:sz="4" w:space="0"/>
              <w:right w:val="single" w:color="auto" w:sz="4" w:space="0"/>
            </w:tcBorders>
            <w:shd w:val="clear" w:color="auto" w:fill="auto"/>
            <w:vAlign w:val="center"/>
          </w:tcPr>
          <w:p w14:paraId="217E5770">
            <w:pPr>
              <w:pStyle w:val="146"/>
              <w:rPr>
                <w:rFonts w:hint="eastAsia" w:ascii="宋体" w:hAnsi="宋体" w:eastAsia="宋体" w:cs="宋体"/>
                <w:kern w:val="2"/>
                <w:sz w:val="18"/>
                <w:szCs w:val="18"/>
                <w:lang w:val="en-US" w:eastAsia="zh-CN" w:bidi="ar-SA"/>
              </w:rPr>
            </w:pPr>
            <w:r>
              <w:rPr>
                <w:rFonts w:hint="eastAsia" w:ascii="宋体" w:hAnsi="宋体" w:cs="宋体"/>
                <w:color w:val="000000"/>
                <w:kern w:val="0"/>
                <w:sz w:val="18"/>
                <w:szCs w:val="18"/>
              </w:rPr>
              <w:t>监测布</w:t>
            </w:r>
            <w:r>
              <w:rPr>
                <w:rFonts w:hint="eastAsia" w:ascii="宋体" w:hAnsi="宋体" w:cs="宋体"/>
                <w:color w:val="000000"/>
                <w:kern w:val="0"/>
                <w:sz w:val="18"/>
                <w:szCs w:val="18"/>
                <w:lang w:val="en-US" w:eastAsia="zh-CN"/>
              </w:rPr>
              <w:t>点</w:t>
            </w:r>
            <w:r>
              <w:rPr>
                <w:rFonts w:hint="eastAsia" w:ascii="宋体" w:hAnsi="宋体" w:cs="宋体"/>
                <w:color w:val="000000"/>
                <w:kern w:val="0"/>
                <w:sz w:val="18"/>
                <w:szCs w:val="18"/>
              </w:rPr>
              <w:t>要求</w:t>
            </w:r>
          </w:p>
        </w:tc>
      </w:tr>
      <w:tr w14:paraId="55156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353" w:type="pct"/>
            <w:vMerge w:val="restart"/>
            <w:tcBorders>
              <w:top w:val="single" w:color="auto" w:sz="4" w:space="0"/>
              <w:left w:val="single" w:color="auto" w:sz="4" w:space="0"/>
              <w:right w:val="single" w:color="auto" w:sz="4" w:space="0"/>
            </w:tcBorders>
            <w:vAlign w:val="center"/>
          </w:tcPr>
          <w:p w14:paraId="0EB51126">
            <w:pPr>
              <w:pStyle w:val="146"/>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1</w:t>
            </w:r>
          </w:p>
        </w:tc>
        <w:tc>
          <w:tcPr>
            <w:tcW w:w="364" w:type="pct"/>
            <w:vMerge w:val="restart"/>
            <w:tcBorders>
              <w:top w:val="single" w:color="auto" w:sz="4" w:space="0"/>
              <w:left w:val="single" w:color="auto" w:sz="4" w:space="0"/>
              <w:bottom w:val="single" w:color="auto" w:sz="4" w:space="0"/>
              <w:right w:val="single" w:color="auto" w:sz="4" w:space="0"/>
            </w:tcBorders>
            <w:vAlign w:val="center"/>
          </w:tcPr>
          <w:p w14:paraId="100EF427">
            <w:pPr>
              <w:pStyle w:val="146"/>
              <w:rPr>
                <w:rFonts w:hint="eastAsia" w:ascii="宋体" w:hAnsi="宋体" w:eastAsia="宋体" w:cs="宋体"/>
                <w:sz w:val="18"/>
                <w:szCs w:val="18"/>
                <w:lang w:eastAsia="zh-CN"/>
              </w:rPr>
            </w:pPr>
            <w:r>
              <w:rPr>
                <w:rFonts w:hint="eastAsia" w:ascii="宋体" w:hAnsi="宋体" w:cs="宋体"/>
                <w:sz w:val="18"/>
                <w:szCs w:val="18"/>
                <w:lang w:eastAsia="zh-CN"/>
              </w:rPr>
              <w:t>周边环境</w:t>
            </w:r>
          </w:p>
        </w:tc>
        <w:tc>
          <w:tcPr>
            <w:tcW w:w="857" w:type="pct"/>
            <w:vMerge w:val="restart"/>
            <w:tcBorders>
              <w:top w:val="single" w:color="auto" w:sz="4" w:space="0"/>
              <w:left w:val="single" w:color="auto" w:sz="4" w:space="0"/>
              <w:bottom w:val="single" w:color="auto" w:sz="4" w:space="0"/>
              <w:right w:val="single" w:color="auto" w:sz="4" w:space="0"/>
            </w:tcBorders>
            <w:vAlign w:val="center"/>
          </w:tcPr>
          <w:p w14:paraId="252A1D3F">
            <w:pPr>
              <w:pStyle w:val="146"/>
              <w:rPr>
                <w:rFonts w:hint="eastAsia" w:ascii="宋体" w:hAnsi="宋体" w:cs="宋体"/>
                <w:sz w:val="18"/>
                <w:szCs w:val="18"/>
              </w:rPr>
            </w:pPr>
            <w:r>
              <w:rPr>
                <w:rFonts w:hint="eastAsia" w:ascii="宋体" w:hAnsi="宋体" w:cs="宋体"/>
                <w:sz w:val="18"/>
                <w:szCs w:val="18"/>
              </w:rPr>
              <w:t>温度、湿度</w:t>
            </w:r>
          </w:p>
        </w:tc>
        <w:tc>
          <w:tcPr>
            <w:tcW w:w="1140" w:type="pct"/>
            <w:tcBorders>
              <w:top w:val="single" w:color="auto" w:sz="4" w:space="0"/>
              <w:left w:val="single" w:color="auto" w:sz="4" w:space="0"/>
              <w:bottom w:val="single" w:color="auto" w:sz="4" w:space="0"/>
              <w:right w:val="single" w:color="auto" w:sz="4" w:space="0"/>
            </w:tcBorders>
            <w:vAlign w:val="center"/>
          </w:tcPr>
          <w:p w14:paraId="63CE65D3">
            <w:pPr>
              <w:pStyle w:val="146"/>
              <w:rPr>
                <w:rFonts w:hint="eastAsia" w:ascii="宋体" w:hAnsi="宋体" w:cs="宋体"/>
                <w:bCs/>
                <w:sz w:val="18"/>
                <w:szCs w:val="18"/>
              </w:rPr>
            </w:pPr>
            <w:r>
              <w:rPr>
                <w:rFonts w:hint="eastAsia" w:ascii="宋体" w:hAnsi="宋体" w:cs="宋体"/>
                <w:bCs/>
                <w:sz w:val="18"/>
                <w:szCs w:val="18"/>
              </w:rPr>
              <w:t>桥址区环境温度、湿度</w:t>
            </w:r>
          </w:p>
        </w:tc>
        <w:tc>
          <w:tcPr>
            <w:tcW w:w="557" w:type="pct"/>
            <w:tcBorders>
              <w:top w:val="single" w:color="auto" w:sz="4" w:space="0"/>
              <w:left w:val="single" w:color="auto" w:sz="4" w:space="0"/>
              <w:bottom w:val="single" w:color="auto" w:sz="4" w:space="0"/>
              <w:right w:val="single" w:color="auto" w:sz="4" w:space="0"/>
            </w:tcBorders>
            <w:vAlign w:val="center"/>
          </w:tcPr>
          <w:p w14:paraId="4C4BC475">
            <w:pPr>
              <w:pStyle w:val="146"/>
              <w:rPr>
                <w:rFonts w:hint="eastAsia" w:ascii="宋体" w:hAnsi="宋体" w:cs="宋体"/>
                <w:bCs/>
                <w:sz w:val="18"/>
                <w:szCs w:val="18"/>
              </w:rPr>
            </w:pPr>
            <w:r>
              <w:rPr>
                <w:rFonts w:hint="eastAsia" w:ascii="宋体" w:hAnsi="宋体" w:cs="宋体"/>
                <w:bCs/>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7B9E3660">
            <w:pPr>
              <w:pStyle w:val="146"/>
              <w:rPr>
                <w:rFonts w:hint="eastAsia" w:ascii="宋体" w:hAnsi="宋体" w:cs="宋体"/>
                <w:sz w:val="18"/>
                <w:szCs w:val="18"/>
              </w:rPr>
            </w:pPr>
            <w:r>
              <w:rPr>
                <w:rFonts w:hint="eastAsia" w:cs="宋体"/>
                <w:bCs/>
                <w:sz w:val="18"/>
                <w:szCs w:val="18"/>
              </w:rPr>
              <w:t>桥梁中部</w:t>
            </w:r>
          </w:p>
        </w:tc>
      </w:tr>
      <w:tr w14:paraId="182D5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continue"/>
            <w:tcBorders>
              <w:left w:val="single" w:color="auto" w:sz="4" w:space="0"/>
              <w:right w:val="single" w:color="auto" w:sz="4" w:space="0"/>
            </w:tcBorders>
            <w:vAlign w:val="center"/>
          </w:tcPr>
          <w:p w14:paraId="7E5100BD">
            <w:pPr>
              <w:widowControl/>
              <w:spacing w:beforeLines="0" w:afterLines="0" w:line="240" w:lineRule="auto"/>
              <w:jc w:val="center"/>
              <w:rPr>
                <w:rFonts w:hint="eastAsia" w:ascii="宋体" w:hAnsi="宋体" w:cs="宋体"/>
                <w:sz w:val="18"/>
                <w:szCs w:val="18"/>
              </w:rPr>
            </w:pP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5A193CA7">
            <w:pPr>
              <w:widowControl/>
              <w:spacing w:beforeLines="0" w:afterLines="0" w:line="240" w:lineRule="auto"/>
              <w:jc w:val="left"/>
              <w:rPr>
                <w:rFonts w:hint="eastAsia" w:ascii="宋体" w:hAnsi="宋体" w:cs="宋体"/>
                <w:sz w:val="18"/>
                <w:szCs w:val="18"/>
              </w:rPr>
            </w:pPr>
          </w:p>
        </w:tc>
        <w:tc>
          <w:tcPr>
            <w:tcW w:w="857" w:type="pct"/>
            <w:vMerge w:val="continue"/>
            <w:tcBorders>
              <w:top w:val="single" w:color="auto" w:sz="4" w:space="0"/>
              <w:left w:val="single" w:color="auto" w:sz="4" w:space="0"/>
              <w:bottom w:val="single" w:color="auto" w:sz="4" w:space="0"/>
              <w:right w:val="single" w:color="auto" w:sz="4" w:space="0"/>
            </w:tcBorders>
            <w:vAlign w:val="center"/>
          </w:tcPr>
          <w:p w14:paraId="20440C77">
            <w:pPr>
              <w:widowControl/>
              <w:spacing w:beforeLines="0" w:afterLines="0" w:line="240" w:lineRule="auto"/>
              <w:jc w:val="left"/>
              <w:rPr>
                <w:rFonts w:hint="eastAsia" w:ascii="宋体" w:hAnsi="宋体" w:cs="宋体"/>
                <w:sz w:val="18"/>
                <w:szCs w:val="18"/>
              </w:rPr>
            </w:pPr>
          </w:p>
        </w:tc>
        <w:tc>
          <w:tcPr>
            <w:tcW w:w="1140" w:type="pct"/>
            <w:tcBorders>
              <w:top w:val="single" w:color="auto" w:sz="4" w:space="0"/>
              <w:left w:val="single" w:color="auto" w:sz="4" w:space="0"/>
              <w:bottom w:val="single" w:color="auto" w:sz="4" w:space="0"/>
              <w:right w:val="single" w:color="auto" w:sz="4" w:space="0"/>
            </w:tcBorders>
            <w:vAlign w:val="center"/>
          </w:tcPr>
          <w:p w14:paraId="52200C06">
            <w:pPr>
              <w:pStyle w:val="146"/>
              <w:rPr>
                <w:rFonts w:hint="eastAsia" w:ascii="宋体" w:hAnsi="宋体" w:cs="宋体"/>
                <w:bCs/>
                <w:sz w:val="18"/>
                <w:szCs w:val="18"/>
              </w:rPr>
            </w:pPr>
            <w:r>
              <w:rPr>
                <w:rFonts w:hint="eastAsia" w:ascii="宋体" w:hAnsi="宋体" w:cs="宋体"/>
                <w:bCs/>
                <w:sz w:val="18"/>
                <w:szCs w:val="18"/>
              </w:rPr>
              <w:t>主梁内温度、湿度（封闭箱梁）</w:t>
            </w:r>
          </w:p>
        </w:tc>
        <w:tc>
          <w:tcPr>
            <w:tcW w:w="557" w:type="pct"/>
            <w:tcBorders>
              <w:top w:val="single" w:color="auto" w:sz="4" w:space="0"/>
              <w:left w:val="single" w:color="auto" w:sz="4" w:space="0"/>
              <w:bottom w:val="single" w:color="auto" w:sz="4" w:space="0"/>
              <w:right w:val="single" w:color="auto" w:sz="4" w:space="0"/>
            </w:tcBorders>
            <w:vAlign w:val="center"/>
          </w:tcPr>
          <w:p w14:paraId="6A54A4CE">
            <w:pPr>
              <w:pStyle w:val="146"/>
              <w:rPr>
                <w:rFonts w:hint="eastAsia" w:ascii="宋体" w:hAnsi="宋体" w:cs="宋体"/>
                <w:sz w:val="18"/>
                <w:szCs w:val="18"/>
              </w:rPr>
            </w:pPr>
            <w:r>
              <w:rPr>
                <w:rFonts w:hint="eastAsia" w:ascii="宋体" w:hAnsi="宋体" w:cs="宋体"/>
                <w:bCs/>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13E2E3DE">
            <w:pPr>
              <w:pStyle w:val="146"/>
              <w:rPr>
                <w:rFonts w:hint="eastAsia" w:ascii="宋体" w:hAnsi="宋体" w:cs="宋体"/>
                <w:sz w:val="18"/>
                <w:szCs w:val="18"/>
              </w:rPr>
            </w:pPr>
            <w:r>
              <w:rPr>
                <w:rFonts w:cs="宋体"/>
                <w:bCs/>
                <w:sz w:val="18"/>
                <w:szCs w:val="18"/>
              </w:rPr>
              <w:t>布设在桥梁结构内、 外温度或湿度变化较大和对温度、湿度敏感的部位</w:t>
            </w:r>
          </w:p>
        </w:tc>
      </w:tr>
      <w:tr w14:paraId="7BAB9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continue"/>
            <w:tcBorders>
              <w:left w:val="single" w:color="auto" w:sz="4" w:space="0"/>
              <w:bottom w:val="single" w:color="auto" w:sz="4" w:space="0"/>
              <w:right w:val="single" w:color="auto" w:sz="4" w:space="0"/>
            </w:tcBorders>
            <w:vAlign w:val="center"/>
          </w:tcPr>
          <w:p w14:paraId="0AAACE15">
            <w:pPr>
              <w:widowControl/>
              <w:spacing w:beforeLines="0" w:afterLines="0" w:line="240" w:lineRule="auto"/>
              <w:jc w:val="center"/>
              <w:rPr>
                <w:rFonts w:hint="eastAsia" w:ascii="宋体" w:hAnsi="宋体" w:cs="宋体"/>
                <w:sz w:val="18"/>
                <w:szCs w:val="18"/>
              </w:rPr>
            </w:pP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6A8A4C0D">
            <w:pPr>
              <w:widowControl/>
              <w:spacing w:beforeLines="0" w:afterLines="0" w:line="240" w:lineRule="auto"/>
              <w:jc w:val="left"/>
              <w:rPr>
                <w:rFonts w:hint="eastAsia" w:ascii="宋体" w:hAnsi="宋体" w:cs="宋体"/>
                <w:sz w:val="18"/>
                <w:szCs w:val="18"/>
              </w:rPr>
            </w:pPr>
          </w:p>
        </w:tc>
        <w:tc>
          <w:tcPr>
            <w:tcW w:w="857" w:type="pct"/>
            <w:vMerge w:val="continue"/>
            <w:tcBorders>
              <w:top w:val="single" w:color="auto" w:sz="4" w:space="0"/>
              <w:left w:val="single" w:color="auto" w:sz="4" w:space="0"/>
              <w:bottom w:val="single" w:color="auto" w:sz="4" w:space="0"/>
              <w:right w:val="single" w:color="auto" w:sz="4" w:space="0"/>
            </w:tcBorders>
            <w:vAlign w:val="center"/>
          </w:tcPr>
          <w:p w14:paraId="15E3052A">
            <w:pPr>
              <w:widowControl/>
              <w:spacing w:beforeLines="0" w:afterLines="0" w:line="240" w:lineRule="auto"/>
              <w:jc w:val="left"/>
              <w:rPr>
                <w:rFonts w:hint="eastAsia" w:ascii="宋体" w:hAnsi="宋体" w:cs="宋体"/>
                <w:sz w:val="18"/>
                <w:szCs w:val="18"/>
              </w:rPr>
            </w:pPr>
          </w:p>
        </w:tc>
        <w:tc>
          <w:tcPr>
            <w:tcW w:w="1140" w:type="pct"/>
            <w:tcBorders>
              <w:top w:val="single" w:color="auto" w:sz="4" w:space="0"/>
              <w:left w:val="single" w:color="auto" w:sz="4" w:space="0"/>
              <w:bottom w:val="single" w:color="auto" w:sz="4" w:space="0"/>
              <w:right w:val="single" w:color="auto" w:sz="4" w:space="0"/>
            </w:tcBorders>
            <w:vAlign w:val="center"/>
          </w:tcPr>
          <w:p w14:paraId="0FF127C7">
            <w:pPr>
              <w:pStyle w:val="146"/>
              <w:rPr>
                <w:rFonts w:hint="eastAsia" w:ascii="宋体" w:hAnsi="宋体" w:cs="宋体"/>
                <w:bCs/>
                <w:sz w:val="18"/>
                <w:szCs w:val="18"/>
              </w:rPr>
            </w:pPr>
            <w:r>
              <w:rPr>
                <w:rFonts w:hint="eastAsia" w:ascii="宋体" w:hAnsi="宋体" w:cs="宋体"/>
                <w:bCs/>
                <w:sz w:val="18"/>
                <w:szCs w:val="18"/>
              </w:rPr>
              <w:t>主拱内温度、湿度（箱形拱）</w:t>
            </w:r>
          </w:p>
        </w:tc>
        <w:tc>
          <w:tcPr>
            <w:tcW w:w="557" w:type="pct"/>
            <w:tcBorders>
              <w:top w:val="single" w:color="auto" w:sz="4" w:space="0"/>
              <w:left w:val="single" w:color="auto" w:sz="4" w:space="0"/>
              <w:bottom w:val="single" w:color="auto" w:sz="4" w:space="0"/>
              <w:right w:val="single" w:color="auto" w:sz="4" w:space="0"/>
            </w:tcBorders>
            <w:vAlign w:val="center"/>
          </w:tcPr>
          <w:p w14:paraId="6D4FDE3C">
            <w:pPr>
              <w:pStyle w:val="146"/>
              <w:rPr>
                <w:rFonts w:hint="eastAsia" w:ascii="宋体" w:hAnsi="宋体" w:cs="宋体"/>
                <w:bCs/>
                <w:sz w:val="18"/>
                <w:szCs w:val="18"/>
              </w:rPr>
            </w:pPr>
            <w:r>
              <w:rPr>
                <w:rFonts w:hint="eastAsia" w:ascii="宋体" w:hAnsi="宋体" w:cs="宋体"/>
                <w:bCs/>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51FFD57D">
            <w:pPr>
              <w:pStyle w:val="146"/>
              <w:rPr>
                <w:rFonts w:hint="eastAsia" w:ascii="宋体" w:hAnsi="宋体" w:cs="宋体"/>
                <w:sz w:val="18"/>
                <w:szCs w:val="18"/>
              </w:rPr>
            </w:pPr>
            <w:r>
              <w:rPr>
                <w:rFonts w:cs="宋体"/>
                <w:bCs/>
                <w:sz w:val="18"/>
                <w:szCs w:val="18"/>
              </w:rPr>
              <w:t>布设在桥梁结构内、外温度或湿度变化较大和对温度、湿度敏感的部位</w:t>
            </w:r>
          </w:p>
        </w:tc>
      </w:tr>
      <w:tr w14:paraId="23C2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tcBorders>
              <w:top w:val="single" w:color="auto" w:sz="4" w:space="0"/>
              <w:left w:val="single" w:color="auto" w:sz="4" w:space="0"/>
              <w:bottom w:val="single" w:color="auto" w:sz="4" w:space="0"/>
              <w:right w:val="single" w:color="auto" w:sz="4" w:space="0"/>
            </w:tcBorders>
            <w:vAlign w:val="center"/>
          </w:tcPr>
          <w:p w14:paraId="33D06D82">
            <w:pPr>
              <w:widowControl/>
              <w:spacing w:beforeLines="0" w:afterLines="0" w:line="240"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2</w:t>
            </w: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4B459E05">
            <w:pPr>
              <w:widowControl/>
              <w:spacing w:beforeLines="0" w:afterLines="0" w:line="240" w:lineRule="auto"/>
              <w:jc w:val="left"/>
              <w:rPr>
                <w:rFonts w:hint="eastAsia" w:ascii="宋体" w:hAnsi="宋体" w:cs="宋体"/>
                <w:sz w:val="18"/>
                <w:szCs w:val="18"/>
              </w:rPr>
            </w:pPr>
          </w:p>
        </w:tc>
        <w:tc>
          <w:tcPr>
            <w:tcW w:w="857" w:type="pct"/>
            <w:tcBorders>
              <w:top w:val="single" w:color="auto" w:sz="4" w:space="0"/>
              <w:left w:val="single" w:color="auto" w:sz="4" w:space="0"/>
              <w:bottom w:val="single" w:color="auto" w:sz="4" w:space="0"/>
              <w:right w:val="single" w:color="auto" w:sz="4" w:space="0"/>
            </w:tcBorders>
            <w:vAlign w:val="center"/>
          </w:tcPr>
          <w:p w14:paraId="6A50DD4F">
            <w:pPr>
              <w:pStyle w:val="146"/>
              <w:rPr>
                <w:rFonts w:hint="eastAsia" w:ascii="宋体" w:hAnsi="宋体" w:cs="宋体"/>
                <w:sz w:val="18"/>
                <w:szCs w:val="18"/>
              </w:rPr>
            </w:pPr>
            <w:r>
              <w:rPr>
                <w:rFonts w:hint="eastAsia" w:ascii="宋体" w:hAnsi="宋体" w:cs="宋体"/>
                <w:sz w:val="18"/>
                <w:szCs w:val="18"/>
              </w:rPr>
              <w:t>结冰</w:t>
            </w:r>
          </w:p>
        </w:tc>
        <w:tc>
          <w:tcPr>
            <w:tcW w:w="1140" w:type="pct"/>
            <w:tcBorders>
              <w:top w:val="single" w:color="auto" w:sz="4" w:space="0"/>
              <w:left w:val="single" w:color="auto" w:sz="4" w:space="0"/>
              <w:bottom w:val="single" w:color="auto" w:sz="4" w:space="0"/>
              <w:right w:val="single" w:color="auto" w:sz="4" w:space="0"/>
            </w:tcBorders>
            <w:vAlign w:val="center"/>
          </w:tcPr>
          <w:p w14:paraId="77507451">
            <w:pPr>
              <w:pStyle w:val="146"/>
              <w:rPr>
                <w:rFonts w:hint="eastAsia" w:ascii="宋体" w:hAnsi="宋体" w:cs="宋体"/>
                <w:sz w:val="18"/>
                <w:szCs w:val="18"/>
              </w:rPr>
            </w:pPr>
            <w:r>
              <w:rPr>
                <w:rFonts w:hint="eastAsia" w:ascii="宋体" w:hAnsi="宋体" w:cs="宋体"/>
                <w:sz w:val="18"/>
                <w:szCs w:val="18"/>
              </w:rPr>
              <w:t>桥面结冰</w:t>
            </w:r>
          </w:p>
        </w:tc>
        <w:tc>
          <w:tcPr>
            <w:tcW w:w="557" w:type="pct"/>
            <w:tcBorders>
              <w:top w:val="single" w:color="auto" w:sz="4" w:space="0"/>
              <w:left w:val="single" w:color="auto" w:sz="4" w:space="0"/>
              <w:bottom w:val="single" w:color="auto" w:sz="4" w:space="0"/>
              <w:right w:val="single" w:color="auto" w:sz="4" w:space="0"/>
            </w:tcBorders>
            <w:vAlign w:val="center"/>
          </w:tcPr>
          <w:p w14:paraId="1CA60FFA">
            <w:pPr>
              <w:pStyle w:val="146"/>
              <w:rPr>
                <w:rFonts w:hint="eastAsia" w:ascii="宋体" w:hAnsi="宋体" w:cs="宋体"/>
                <w:sz w:val="18"/>
                <w:szCs w:val="18"/>
              </w:rPr>
            </w:pPr>
            <w:r>
              <w:rPr>
                <w:rFonts w:hint="eastAsia" w:ascii="宋体" w:hAnsi="宋体" w:cs="宋体"/>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641EFE01">
            <w:pPr>
              <w:pStyle w:val="146"/>
              <w:rPr>
                <w:rFonts w:hint="eastAsia" w:ascii="宋体" w:hAnsi="宋体" w:cs="宋体"/>
                <w:sz w:val="18"/>
                <w:szCs w:val="18"/>
              </w:rPr>
            </w:pPr>
            <w:r>
              <w:rPr>
                <w:rFonts w:hint="eastAsia" w:cs="宋体"/>
                <w:bCs/>
                <w:sz w:val="18"/>
                <w:szCs w:val="18"/>
              </w:rPr>
              <w:t>易结冰处</w:t>
            </w:r>
            <w:r>
              <w:rPr>
                <w:rFonts w:cs="宋体"/>
                <w:bCs/>
                <w:sz w:val="18"/>
                <w:szCs w:val="18"/>
              </w:rPr>
              <w:t>-</w:t>
            </w:r>
          </w:p>
        </w:tc>
      </w:tr>
      <w:tr w14:paraId="65FF4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tcBorders>
              <w:top w:val="single" w:color="auto" w:sz="4" w:space="0"/>
              <w:left w:val="single" w:color="auto" w:sz="4" w:space="0"/>
              <w:bottom w:val="single" w:color="auto" w:sz="4" w:space="0"/>
              <w:right w:val="single" w:color="auto" w:sz="4" w:space="0"/>
            </w:tcBorders>
            <w:vAlign w:val="center"/>
          </w:tcPr>
          <w:p w14:paraId="5ECD6CD4">
            <w:pPr>
              <w:widowControl/>
              <w:spacing w:beforeLines="0" w:afterLines="0" w:line="240"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3</w:t>
            </w: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1BCB8A67">
            <w:pPr>
              <w:widowControl/>
              <w:spacing w:beforeLines="0" w:afterLines="0" w:line="240" w:lineRule="auto"/>
              <w:jc w:val="left"/>
              <w:rPr>
                <w:rFonts w:hint="eastAsia" w:ascii="宋体" w:hAnsi="宋体" w:cs="宋体"/>
                <w:sz w:val="18"/>
                <w:szCs w:val="18"/>
              </w:rPr>
            </w:pPr>
          </w:p>
        </w:tc>
        <w:tc>
          <w:tcPr>
            <w:tcW w:w="857" w:type="pct"/>
            <w:tcBorders>
              <w:top w:val="single" w:color="auto" w:sz="4" w:space="0"/>
              <w:left w:val="single" w:color="auto" w:sz="4" w:space="0"/>
              <w:bottom w:val="single" w:color="auto" w:sz="4" w:space="0"/>
              <w:right w:val="single" w:color="auto" w:sz="4" w:space="0"/>
            </w:tcBorders>
            <w:vAlign w:val="center"/>
          </w:tcPr>
          <w:p w14:paraId="3EBB9A2B">
            <w:pPr>
              <w:pStyle w:val="146"/>
              <w:rPr>
                <w:rFonts w:hint="eastAsia" w:ascii="宋体" w:hAnsi="宋体" w:cs="宋体"/>
                <w:sz w:val="18"/>
                <w:szCs w:val="18"/>
              </w:rPr>
            </w:pPr>
            <w:r>
              <w:rPr>
                <w:rFonts w:hint="eastAsia" w:ascii="宋体" w:hAnsi="宋体" w:cs="宋体"/>
                <w:sz w:val="18"/>
                <w:szCs w:val="18"/>
              </w:rPr>
              <w:t>雨量</w:t>
            </w:r>
          </w:p>
        </w:tc>
        <w:tc>
          <w:tcPr>
            <w:tcW w:w="1140" w:type="pct"/>
            <w:tcBorders>
              <w:top w:val="single" w:color="auto" w:sz="4" w:space="0"/>
              <w:left w:val="single" w:color="auto" w:sz="4" w:space="0"/>
              <w:bottom w:val="single" w:color="auto" w:sz="4" w:space="0"/>
              <w:right w:val="single" w:color="auto" w:sz="4" w:space="0"/>
            </w:tcBorders>
            <w:vAlign w:val="center"/>
          </w:tcPr>
          <w:p w14:paraId="7E56A91C">
            <w:pPr>
              <w:pStyle w:val="146"/>
              <w:rPr>
                <w:rFonts w:hint="eastAsia" w:ascii="宋体" w:hAnsi="宋体" w:cs="宋体"/>
                <w:sz w:val="18"/>
                <w:szCs w:val="18"/>
              </w:rPr>
            </w:pPr>
            <w:r>
              <w:rPr>
                <w:rFonts w:hint="eastAsia" w:ascii="宋体" w:hAnsi="宋体" w:cs="宋体"/>
                <w:sz w:val="18"/>
                <w:szCs w:val="18"/>
              </w:rPr>
              <w:t>雨量</w:t>
            </w:r>
          </w:p>
        </w:tc>
        <w:tc>
          <w:tcPr>
            <w:tcW w:w="557" w:type="pct"/>
            <w:tcBorders>
              <w:top w:val="single" w:color="auto" w:sz="4" w:space="0"/>
              <w:left w:val="single" w:color="auto" w:sz="4" w:space="0"/>
              <w:bottom w:val="single" w:color="auto" w:sz="4" w:space="0"/>
              <w:right w:val="single" w:color="auto" w:sz="4" w:space="0"/>
            </w:tcBorders>
            <w:vAlign w:val="center"/>
          </w:tcPr>
          <w:p w14:paraId="396490DC">
            <w:pPr>
              <w:pStyle w:val="146"/>
              <w:rPr>
                <w:rFonts w:hint="eastAsia" w:ascii="宋体" w:hAnsi="宋体" w:cs="宋体"/>
                <w:sz w:val="18"/>
                <w:szCs w:val="18"/>
              </w:rPr>
            </w:pPr>
            <w:r>
              <w:rPr>
                <w:rFonts w:hint="eastAsia" w:ascii="宋体" w:hAnsi="宋体" w:cs="宋体"/>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2A952F3E">
            <w:pPr>
              <w:pStyle w:val="146"/>
              <w:rPr>
                <w:rFonts w:hint="eastAsia" w:ascii="宋体" w:hAnsi="宋体" w:cs="宋体"/>
                <w:sz w:val="18"/>
                <w:szCs w:val="18"/>
              </w:rPr>
            </w:pPr>
            <w:r>
              <w:rPr>
                <w:rFonts w:hint="eastAsia" w:ascii="宋体" w:hAnsi="宋体" w:cs="宋体"/>
                <w:sz w:val="18"/>
                <w:szCs w:val="18"/>
              </w:rPr>
              <w:t>-</w:t>
            </w:r>
          </w:p>
        </w:tc>
      </w:tr>
      <w:tr w14:paraId="32BA8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tcBorders>
              <w:top w:val="single" w:color="auto" w:sz="4" w:space="0"/>
              <w:left w:val="single" w:color="auto" w:sz="4" w:space="0"/>
              <w:bottom w:val="single" w:color="auto" w:sz="4" w:space="0"/>
              <w:right w:val="single" w:color="auto" w:sz="4" w:space="0"/>
            </w:tcBorders>
            <w:vAlign w:val="center"/>
          </w:tcPr>
          <w:p w14:paraId="221F6B45">
            <w:pPr>
              <w:widowControl/>
              <w:spacing w:beforeLines="0" w:afterLines="0" w:line="240"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4</w:t>
            </w: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007EF353">
            <w:pPr>
              <w:widowControl/>
              <w:spacing w:beforeLines="0" w:afterLines="0" w:line="240" w:lineRule="auto"/>
              <w:jc w:val="left"/>
              <w:rPr>
                <w:rFonts w:hint="eastAsia" w:ascii="宋体" w:hAnsi="宋体" w:cs="宋体"/>
                <w:sz w:val="18"/>
                <w:szCs w:val="18"/>
              </w:rPr>
            </w:pPr>
          </w:p>
        </w:tc>
        <w:tc>
          <w:tcPr>
            <w:tcW w:w="857" w:type="pct"/>
            <w:tcBorders>
              <w:top w:val="single" w:color="auto" w:sz="4" w:space="0"/>
              <w:left w:val="single" w:color="auto" w:sz="4" w:space="0"/>
              <w:bottom w:val="single" w:color="auto" w:sz="4" w:space="0"/>
              <w:right w:val="single" w:color="auto" w:sz="4" w:space="0"/>
            </w:tcBorders>
            <w:vAlign w:val="center"/>
          </w:tcPr>
          <w:p w14:paraId="20C8A649">
            <w:pPr>
              <w:pStyle w:val="146"/>
              <w:rPr>
                <w:rFonts w:hint="eastAsia" w:ascii="宋体" w:hAnsi="宋体" w:cs="宋体"/>
                <w:sz w:val="18"/>
                <w:szCs w:val="18"/>
              </w:rPr>
            </w:pPr>
            <w:r>
              <w:rPr>
                <w:rFonts w:hint="eastAsia" w:ascii="宋体" w:hAnsi="宋体" w:cs="宋体"/>
                <w:sz w:val="18"/>
                <w:szCs w:val="18"/>
              </w:rPr>
              <w:t>异常事件</w:t>
            </w:r>
          </w:p>
        </w:tc>
        <w:tc>
          <w:tcPr>
            <w:tcW w:w="1140" w:type="pct"/>
            <w:tcBorders>
              <w:top w:val="single" w:color="auto" w:sz="4" w:space="0"/>
              <w:left w:val="single" w:color="auto" w:sz="4" w:space="0"/>
              <w:bottom w:val="single" w:color="auto" w:sz="4" w:space="0"/>
              <w:right w:val="single" w:color="auto" w:sz="4" w:space="0"/>
            </w:tcBorders>
            <w:vAlign w:val="center"/>
          </w:tcPr>
          <w:p w14:paraId="24FB03C9">
            <w:pPr>
              <w:pStyle w:val="146"/>
              <w:rPr>
                <w:rFonts w:hint="eastAsia" w:ascii="宋体" w:hAnsi="宋体" w:eastAsia="宋体" w:cs="宋体"/>
                <w:bCs/>
                <w:sz w:val="18"/>
                <w:szCs w:val="18"/>
                <w:lang w:eastAsia="zh-CN"/>
              </w:rPr>
            </w:pPr>
            <w:r>
              <w:rPr>
                <w:rFonts w:hint="eastAsia" w:ascii="宋体" w:hAnsi="宋体" w:cs="宋体"/>
                <w:bCs/>
                <w:sz w:val="18"/>
                <w:szCs w:val="18"/>
                <w:lang w:eastAsia="zh-CN"/>
              </w:rPr>
              <w:t>视频监控</w:t>
            </w:r>
          </w:p>
        </w:tc>
        <w:tc>
          <w:tcPr>
            <w:tcW w:w="557" w:type="pct"/>
            <w:tcBorders>
              <w:top w:val="single" w:color="auto" w:sz="4" w:space="0"/>
              <w:left w:val="single" w:color="auto" w:sz="4" w:space="0"/>
              <w:bottom w:val="single" w:color="auto" w:sz="4" w:space="0"/>
              <w:right w:val="single" w:color="auto" w:sz="4" w:space="0"/>
            </w:tcBorders>
            <w:vAlign w:val="center"/>
          </w:tcPr>
          <w:p w14:paraId="37EED939">
            <w:pPr>
              <w:pStyle w:val="146"/>
              <w:rPr>
                <w:rFonts w:hint="eastAsia" w:ascii="宋体" w:hAnsi="宋体" w:cs="宋体"/>
                <w:bCs/>
                <w:sz w:val="18"/>
                <w:szCs w:val="18"/>
              </w:rPr>
            </w:pPr>
            <w:r>
              <w:rPr>
                <w:rFonts w:hint="eastAsia" w:ascii="宋体" w:hAnsi="宋体" w:cs="宋体"/>
                <w:bCs/>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1D59F29E">
            <w:pPr>
              <w:pStyle w:val="146"/>
              <w:rPr>
                <w:rFonts w:hint="eastAsia" w:ascii="宋体" w:hAnsi="宋体" w:cs="宋体"/>
                <w:sz w:val="18"/>
                <w:szCs w:val="18"/>
              </w:rPr>
            </w:pPr>
            <w:r>
              <w:rPr>
                <w:rFonts w:hint="eastAsia" w:ascii="宋体" w:hAnsi="宋体" w:cs="宋体"/>
                <w:bCs/>
                <w:sz w:val="18"/>
                <w:szCs w:val="18"/>
              </w:rPr>
              <w:t>根据设备性能达到无监测盲区效果</w:t>
            </w:r>
          </w:p>
        </w:tc>
      </w:tr>
      <w:tr w14:paraId="78C5B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restart"/>
            <w:tcBorders>
              <w:top w:val="single" w:color="auto" w:sz="4" w:space="0"/>
              <w:left w:val="single" w:color="auto" w:sz="4" w:space="0"/>
              <w:bottom w:val="single" w:color="auto" w:sz="4" w:space="0"/>
              <w:right w:val="single" w:color="auto" w:sz="4" w:space="0"/>
            </w:tcBorders>
            <w:vAlign w:val="center"/>
          </w:tcPr>
          <w:p w14:paraId="27FF48F9">
            <w:pPr>
              <w:pStyle w:val="146"/>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5</w:t>
            </w:r>
          </w:p>
        </w:tc>
        <w:tc>
          <w:tcPr>
            <w:tcW w:w="364" w:type="pct"/>
            <w:vMerge w:val="restart"/>
            <w:tcBorders>
              <w:top w:val="single" w:color="auto" w:sz="4" w:space="0"/>
              <w:left w:val="single" w:color="auto" w:sz="4" w:space="0"/>
              <w:bottom w:val="single" w:color="auto" w:sz="4" w:space="0"/>
              <w:right w:val="single" w:color="auto" w:sz="4" w:space="0"/>
            </w:tcBorders>
            <w:vAlign w:val="center"/>
          </w:tcPr>
          <w:p w14:paraId="63FDFCC1">
            <w:pPr>
              <w:pStyle w:val="146"/>
              <w:rPr>
                <w:rFonts w:hint="eastAsia" w:ascii="宋体" w:hAnsi="宋体" w:cs="宋体"/>
                <w:sz w:val="18"/>
                <w:szCs w:val="18"/>
              </w:rPr>
            </w:pPr>
            <w:r>
              <w:rPr>
                <w:rFonts w:hint="eastAsia" w:ascii="宋体" w:hAnsi="宋体" w:cs="宋体"/>
                <w:sz w:val="18"/>
                <w:szCs w:val="18"/>
              </w:rPr>
              <w:t>外部作用</w:t>
            </w:r>
          </w:p>
        </w:tc>
        <w:tc>
          <w:tcPr>
            <w:tcW w:w="857" w:type="pct"/>
            <w:vMerge w:val="restart"/>
            <w:tcBorders>
              <w:top w:val="single" w:color="auto" w:sz="4" w:space="0"/>
              <w:left w:val="single" w:color="auto" w:sz="4" w:space="0"/>
              <w:bottom w:val="single" w:color="auto" w:sz="4" w:space="0"/>
              <w:right w:val="single" w:color="auto" w:sz="4" w:space="0"/>
            </w:tcBorders>
            <w:vAlign w:val="center"/>
          </w:tcPr>
          <w:p w14:paraId="48F42E22">
            <w:pPr>
              <w:pStyle w:val="146"/>
              <w:rPr>
                <w:rFonts w:hint="eastAsia" w:ascii="宋体" w:hAnsi="宋体" w:cs="宋体"/>
                <w:sz w:val="18"/>
                <w:szCs w:val="18"/>
              </w:rPr>
            </w:pPr>
            <w:r>
              <w:rPr>
                <w:rFonts w:hint="eastAsia" w:ascii="宋体" w:hAnsi="宋体" w:cs="宋体"/>
                <w:sz w:val="18"/>
                <w:szCs w:val="18"/>
              </w:rPr>
              <w:t>车辆荷载</w:t>
            </w:r>
          </w:p>
        </w:tc>
        <w:tc>
          <w:tcPr>
            <w:tcW w:w="1140" w:type="pct"/>
            <w:tcBorders>
              <w:top w:val="single" w:color="auto" w:sz="4" w:space="0"/>
              <w:left w:val="single" w:color="auto" w:sz="4" w:space="0"/>
              <w:bottom w:val="single" w:color="auto" w:sz="4" w:space="0"/>
              <w:right w:val="single" w:color="auto" w:sz="4" w:space="0"/>
            </w:tcBorders>
            <w:vAlign w:val="center"/>
          </w:tcPr>
          <w:p w14:paraId="3502FD1D">
            <w:pPr>
              <w:pStyle w:val="146"/>
              <w:rPr>
                <w:rFonts w:hint="eastAsia" w:ascii="宋体" w:hAnsi="宋体" w:cs="宋体"/>
                <w:sz w:val="18"/>
                <w:szCs w:val="18"/>
              </w:rPr>
            </w:pPr>
            <w:r>
              <w:rPr>
                <w:rFonts w:hint="eastAsia" w:ascii="宋体" w:hAnsi="宋体" w:cs="宋体"/>
                <w:sz w:val="18"/>
                <w:szCs w:val="18"/>
              </w:rPr>
              <w:t>所有车道车重、轴重、轴数、车速</w:t>
            </w:r>
          </w:p>
        </w:tc>
        <w:tc>
          <w:tcPr>
            <w:tcW w:w="557" w:type="pct"/>
            <w:tcBorders>
              <w:top w:val="single" w:color="auto" w:sz="4" w:space="0"/>
              <w:left w:val="single" w:color="auto" w:sz="4" w:space="0"/>
              <w:bottom w:val="single" w:color="auto" w:sz="4" w:space="0"/>
              <w:right w:val="single" w:color="auto" w:sz="4" w:space="0"/>
            </w:tcBorders>
            <w:vAlign w:val="center"/>
          </w:tcPr>
          <w:p w14:paraId="1A9A9A33">
            <w:pPr>
              <w:pStyle w:val="146"/>
              <w:rPr>
                <w:rFonts w:hint="eastAsia" w:ascii="宋体" w:hAnsi="宋体" w:cs="宋体"/>
                <w:sz w:val="18"/>
                <w:szCs w:val="18"/>
              </w:rPr>
            </w:pPr>
            <w:r>
              <w:rPr>
                <w:rFonts w:hint="eastAsia" w:ascii="宋体" w:hAnsi="宋体" w:cs="宋体"/>
                <w:sz w:val="18"/>
                <w:szCs w:val="18"/>
              </w:rPr>
              <w:t>◎</w:t>
            </w:r>
          </w:p>
        </w:tc>
        <w:tc>
          <w:tcPr>
            <w:tcW w:w="1727" w:type="pct"/>
            <w:vMerge w:val="restart"/>
            <w:tcBorders>
              <w:top w:val="single" w:color="auto" w:sz="4" w:space="0"/>
              <w:left w:val="single" w:color="auto" w:sz="4" w:space="0"/>
              <w:bottom w:val="single" w:color="auto" w:sz="4" w:space="0"/>
              <w:right w:val="single" w:color="auto" w:sz="4" w:space="0"/>
            </w:tcBorders>
            <w:vAlign w:val="center"/>
          </w:tcPr>
          <w:p w14:paraId="27F728A8">
            <w:pPr>
              <w:pStyle w:val="146"/>
              <w:rPr>
                <w:rFonts w:hint="eastAsia" w:ascii="宋体" w:hAnsi="宋体" w:cs="宋体"/>
                <w:sz w:val="18"/>
                <w:szCs w:val="18"/>
              </w:rPr>
            </w:pPr>
            <w:r>
              <w:rPr>
                <w:rFonts w:hint="eastAsia" w:cs="宋体"/>
                <w:bCs/>
                <w:sz w:val="18"/>
                <w:szCs w:val="18"/>
              </w:rPr>
              <w:t>重载车</w:t>
            </w:r>
            <w:r>
              <w:rPr>
                <w:rFonts w:hint="eastAsia" w:cs="宋体"/>
                <w:bCs/>
                <w:sz w:val="18"/>
                <w:szCs w:val="18"/>
                <w:lang w:eastAsia="zh-CN"/>
              </w:rPr>
              <w:t>道车</w:t>
            </w:r>
            <w:r>
              <w:rPr>
                <w:rFonts w:hint="eastAsia" w:cs="宋体"/>
                <w:bCs/>
                <w:sz w:val="18"/>
                <w:szCs w:val="18"/>
              </w:rPr>
              <w:t>流行进方向的前侧布设</w:t>
            </w:r>
          </w:p>
        </w:tc>
      </w:tr>
      <w:tr w14:paraId="1A3BC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continue"/>
            <w:tcBorders>
              <w:top w:val="single" w:color="auto" w:sz="4" w:space="0"/>
              <w:left w:val="single" w:color="auto" w:sz="4" w:space="0"/>
              <w:bottom w:val="single" w:color="auto" w:sz="4" w:space="0"/>
              <w:right w:val="single" w:color="auto" w:sz="4" w:space="0"/>
            </w:tcBorders>
            <w:vAlign w:val="center"/>
          </w:tcPr>
          <w:p w14:paraId="56B7E5FA">
            <w:pPr>
              <w:widowControl/>
              <w:spacing w:beforeLines="0" w:afterLines="0" w:line="240" w:lineRule="auto"/>
              <w:jc w:val="center"/>
              <w:rPr>
                <w:rFonts w:hint="eastAsia" w:ascii="宋体" w:hAnsi="宋体" w:cs="宋体"/>
                <w:sz w:val="18"/>
                <w:szCs w:val="18"/>
              </w:rPr>
            </w:pP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2C95702B">
            <w:pPr>
              <w:widowControl/>
              <w:spacing w:beforeLines="0" w:afterLines="0" w:line="240" w:lineRule="auto"/>
              <w:jc w:val="left"/>
              <w:rPr>
                <w:rFonts w:hint="eastAsia" w:ascii="宋体" w:hAnsi="宋体" w:cs="宋体"/>
                <w:sz w:val="18"/>
                <w:szCs w:val="18"/>
              </w:rPr>
            </w:pPr>
          </w:p>
        </w:tc>
        <w:tc>
          <w:tcPr>
            <w:tcW w:w="857" w:type="pct"/>
            <w:vMerge w:val="continue"/>
            <w:tcBorders>
              <w:top w:val="single" w:color="auto" w:sz="4" w:space="0"/>
              <w:left w:val="single" w:color="auto" w:sz="4" w:space="0"/>
              <w:bottom w:val="single" w:color="auto" w:sz="4" w:space="0"/>
              <w:right w:val="single" w:color="auto" w:sz="4" w:space="0"/>
            </w:tcBorders>
            <w:vAlign w:val="center"/>
          </w:tcPr>
          <w:p w14:paraId="10850403">
            <w:pPr>
              <w:widowControl/>
              <w:spacing w:beforeLines="0" w:afterLines="0" w:line="240" w:lineRule="auto"/>
              <w:jc w:val="left"/>
              <w:rPr>
                <w:rFonts w:hint="eastAsia" w:ascii="宋体" w:hAnsi="宋体" w:cs="宋体"/>
                <w:sz w:val="18"/>
                <w:szCs w:val="18"/>
              </w:rPr>
            </w:pPr>
          </w:p>
        </w:tc>
        <w:tc>
          <w:tcPr>
            <w:tcW w:w="1140" w:type="pct"/>
            <w:tcBorders>
              <w:top w:val="single" w:color="auto" w:sz="4" w:space="0"/>
              <w:left w:val="single" w:color="auto" w:sz="4" w:space="0"/>
              <w:bottom w:val="single" w:color="auto" w:sz="4" w:space="0"/>
              <w:right w:val="single" w:color="auto" w:sz="4" w:space="0"/>
            </w:tcBorders>
            <w:vAlign w:val="center"/>
          </w:tcPr>
          <w:p w14:paraId="1B6F8EE5">
            <w:pPr>
              <w:pStyle w:val="146"/>
              <w:rPr>
                <w:rFonts w:hint="eastAsia" w:ascii="宋体" w:hAnsi="宋体" w:cs="宋体"/>
                <w:sz w:val="18"/>
                <w:szCs w:val="18"/>
              </w:rPr>
            </w:pPr>
            <w:r>
              <w:rPr>
                <w:rFonts w:hint="eastAsia" w:ascii="宋体" w:hAnsi="宋体" w:cs="宋体"/>
                <w:sz w:val="18"/>
                <w:szCs w:val="18"/>
              </w:rPr>
              <w:t>所有车道车流量</w:t>
            </w:r>
          </w:p>
        </w:tc>
        <w:tc>
          <w:tcPr>
            <w:tcW w:w="557" w:type="pct"/>
            <w:tcBorders>
              <w:top w:val="single" w:color="auto" w:sz="4" w:space="0"/>
              <w:left w:val="single" w:color="auto" w:sz="4" w:space="0"/>
              <w:bottom w:val="single" w:color="auto" w:sz="4" w:space="0"/>
              <w:right w:val="single" w:color="auto" w:sz="4" w:space="0"/>
            </w:tcBorders>
            <w:vAlign w:val="center"/>
          </w:tcPr>
          <w:p w14:paraId="4C918EE7">
            <w:pPr>
              <w:pStyle w:val="146"/>
              <w:rPr>
                <w:rFonts w:hint="eastAsia" w:ascii="宋体" w:hAnsi="宋体" w:cs="宋体"/>
                <w:sz w:val="18"/>
                <w:szCs w:val="18"/>
              </w:rPr>
            </w:pPr>
            <w:r>
              <w:rPr>
                <w:rFonts w:hint="eastAsia" w:ascii="宋体" w:hAnsi="宋体" w:cs="宋体"/>
                <w:sz w:val="18"/>
                <w:szCs w:val="18"/>
              </w:rPr>
              <w:t>◎</w:t>
            </w:r>
          </w:p>
        </w:tc>
        <w:tc>
          <w:tcPr>
            <w:tcW w:w="1727" w:type="pct"/>
            <w:vMerge w:val="continue"/>
            <w:tcBorders>
              <w:top w:val="single" w:color="auto" w:sz="4" w:space="0"/>
              <w:left w:val="single" w:color="auto" w:sz="4" w:space="0"/>
              <w:bottom w:val="single" w:color="auto" w:sz="4" w:space="0"/>
              <w:right w:val="single" w:color="auto" w:sz="4" w:space="0"/>
            </w:tcBorders>
            <w:vAlign w:val="center"/>
          </w:tcPr>
          <w:p w14:paraId="68CE45F1">
            <w:pPr>
              <w:widowControl/>
              <w:spacing w:beforeLines="0" w:afterLines="0" w:line="240" w:lineRule="auto"/>
              <w:jc w:val="left"/>
              <w:rPr>
                <w:rFonts w:hint="eastAsia" w:ascii="宋体" w:hAnsi="宋体" w:cs="宋体"/>
                <w:sz w:val="18"/>
                <w:szCs w:val="18"/>
              </w:rPr>
            </w:pPr>
          </w:p>
        </w:tc>
      </w:tr>
      <w:tr w14:paraId="62F7C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continue"/>
            <w:tcBorders>
              <w:top w:val="single" w:color="auto" w:sz="4" w:space="0"/>
              <w:left w:val="single" w:color="auto" w:sz="4" w:space="0"/>
              <w:bottom w:val="single" w:color="auto" w:sz="4" w:space="0"/>
              <w:right w:val="single" w:color="auto" w:sz="4" w:space="0"/>
            </w:tcBorders>
            <w:vAlign w:val="center"/>
          </w:tcPr>
          <w:p w14:paraId="25C4AA04">
            <w:pPr>
              <w:widowControl/>
              <w:spacing w:beforeLines="0" w:afterLines="0" w:line="240" w:lineRule="auto"/>
              <w:jc w:val="center"/>
              <w:rPr>
                <w:rFonts w:hint="eastAsia" w:ascii="宋体" w:hAnsi="宋体" w:cs="宋体"/>
                <w:sz w:val="18"/>
                <w:szCs w:val="18"/>
              </w:rPr>
            </w:pP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329D20A7">
            <w:pPr>
              <w:widowControl/>
              <w:spacing w:beforeLines="0" w:afterLines="0" w:line="240" w:lineRule="auto"/>
              <w:jc w:val="left"/>
              <w:rPr>
                <w:rFonts w:hint="eastAsia" w:ascii="宋体" w:hAnsi="宋体" w:cs="宋体"/>
                <w:sz w:val="18"/>
                <w:szCs w:val="18"/>
              </w:rPr>
            </w:pPr>
          </w:p>
        </w:tc>
        <w:tc>
          <w:tcPr>
            <w:tcW w:w="857" w:type="pct"/>
            <w:vMerge w:val="continue"/>
            <w:tcBorders>
              <w:top w:val="single" w:color="auto" w:sz="4" w:space="0"/>
              <w:left w:val="single" w:color="auto" w:sz="4" w:space="0"/>
              <w:bottom w:val="single" w:color="auto" w:sz="4" w:space="0"/>
              <w:right w:val="single" w:color="auto" w:sz="4" w:space="0"/>
            </w:tcBorders>
            <w:vAlign w:val="center"/>
          </w:tcPr>
          <w:p w14:paraId="6104337C">
            <w:pPr>
              <w:widowControl/>
              <w:spacing w:beforeLines="0" w:afterLines="0" w:line="240" w:lineRule="auto"/>
              <w:jc w:val="left"/>
              <w:rPr>
                <w:rFonts w:hint="eastAsia" w:ascii="宋体" w:hAnsi="宋体" w:cs="宋体"/>
                <w:sz w:val="18"/>
                <w:szCs w:val="18"/>
              </w:rPr>
            </w:pPr>
          </w:p>
        </w:tc>
        <w:tc>
          <w:tcPr>
            <w:tcW w:w="1140" w:type="pct"/>
            <w:tcBorders>
              <w:top w:val="single" w:color="auto" w:sz="4" w:space="0"/>
              <w:left w:val="single" w:color="auto" w:sz="4" w:space="0"/>
              <w:bottom w:val="single" w:color="auto" w:sz="4" w:space="0"/>
              <w:right w:val="single" w:color="auto" w:sz="4" w:space="0"/>
            </w:tcBorders>
            <w:vAlign w:val="center"/>
          </w:tcPr>
          <w:p w14:paraId="7A4AD173">
            <w:pPr>
              <w:pStyle w:val="146"/>
              <w:rPr>
                <w:rFonts w:hint="eastAsia" w:ascii="宋体" w:hAnsi="宋体" w:eastAsia="宋体" w:cs="宋体"/>
                <w:sz w:val="18"/>
                <w:szCs w:val="18"/>
                <w:lang w:eastAsia="zh-CN"/>
              </w:rPr>
            </w:pPr>
            <w:r>
              <w:rPr>
                <w:rFonts w:hint="eastAsia" w:ascii="宋体" w:hAnsi="宋体" w:cs="宋体"/>
                <w:sz w:val="18"/>
                <w:szCs w:val="18"/>
              </w:rPr>
              <w:t>所有车道的车辆空间分布</w:t>
            </w:r>
            <w:r>
              <w:rPr>
                <w:rFonts w:hint="eastAsia" w:ascii="宋体" w:hAnsi="宋体" w:cs="宋体"/>
                <w:sz w:val="18"/>
                <w:szCs w:val="18"/>
                <w:lang w:eastAsia="zh-CN"/>
              </w:rPr>
              <w:t>视频监控</w:t>
            </w:r>
          </w:p>
        </w:tc>
        <w:tc>
          <w:tcPr>
            <w:tcW w:w="557" w:type="pct"/>
            <w:tcBorders>
              <w:top w:val="single" w:color="auto" w:sz="4" w:space="0"/>
              <w:left w:val="single" w:color="auto" w:sz="4" w:space="0"/>
              <w:bottom w:val="single" w:color="auto" w:sz="4" w:space="0"/>
              <w:right w:val="single" w:color="auto" w:sz="4" w:space="0"/>
            </w:tcBorders>
            <w:vAlign w:val="center"/>
          </w:tcPr>
          <w:p w14:paraId="11FCB760">
            <w:pPr>
              <w:pStyle w:val="146"/>
              <w:rPr>
                <w:rFonts w:hint="eastAsia" w:ascii="宋体" w:hAnsi="宋体" w:cs="宋体"/>
                <w:sz w:val="18"/>
                <w:szCs w:val="18"/>
              </w:rPr>
            </w:pPr>
            <w:r>
              <w:rPr>
                <w:rFonts w:hint="eastAsia" w:ascii="宋体" w:hAnsi="宋体" w:cs="宋体"/>
                <w:sz w:val="18"/>
                <w:szCs w:val="18"/>
              </w:rPr>
              <w:t>○</w:t>
            </w:r>
          </w:p>
        </w:tc>
        <w:tc>
          <w:tcPr>
            <w:tcW w:w="1727" w:type="pct"/>
            <w:vMerge w:val="continue"/>
            <w:tcBorders>
              <w:top w:val="single" w:color="auto" w:sz="4" w:space="0"/>
              <w:left w:val="single" w:color="auto" w:sz="4" w:space="0"/>
              <w:bottom w:val="single" w:color="auto" w:sz="4" w:space="0"/>
              <w:right w:val="single" w:color="auto" w:sz="4" w:space="0"/>
            </w:tcBorders>
            <w:vAlign w:val="center"/>
          </w:tcPr>
          <w:p w14:paraId="4ACC6296">
            <w:pPr>
              <w:widowControl/>
              <w:spacing w:beforeLines="0" w:afterLines="0" w:line="240" w:lineRule="auto"/>
              <w:jc w:val="left"/>
              <w:rPr>
                <w:rFonts w:hint="eastAsia" w:ascii="宋体" w:hAnsi="宋体" w:cs="宋体"/>
                <w:sz w:val="18"/>
                <w:szCs w:val="18"/>
              </w:rPr>
            </w:pPr>
          </w:p>
        </w:tc>
      </w:tr>
      <w:tr w14:paraId="7936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gridSpan w:val="6"/>
            <w:tcBorders>
              <w:top w:val="nil"/>
              <w:left w:val="nil"/>
              <w:bottom w:val="single" w:color="auto" w:sz="4" w:space="0"/>
              <w:right w:val="nil"/>
            </w:tcBorders>
            <w:vAlign w:val="center"/>
          </w:tcPr>
          <w:p w14:paraId="02E541D3">
            <w:pPr>
              <w:widowControl/>
              <w:spacing w:beforeLines="0" w:afterLines="0" w:line="240" w:lineRule="auto"/>
              <w:jc w:val="center"/>
              <w:rPr>
                <w:rFonts w:hint="eastAsia" w:ascii="宋体" w:hAnsi="宋体" w:cs="宋体"/>
                <w:sz w:val="18"/>
                <w:szCs w:val="18"/>
              </w:rPr>
            </w:pPr>
            <w:r>
              <w:rPr>
                <w:rFonts w:hint="eastAsia" w:ascii="黑体" w:hAnsi="黑体" w:eastAsia="黑体"/>
                <w:bCs/>
                <w:color w:val="auto"/>
              </w:rPr>
              <w:t>B.5.3</w:t>
            </w:r>
            <w:r>
              <w:rPr>
                <w:rFonts w:ascii="黑体" w:hAnsi="黑体" w:eastAsia="黑体"/>
                <w:bCs/>
                <w:color w:val="auto"/>
              </w:rPr>
              <w:t xml:space="preserve"> </w:t>
            </w:r>
            <w:r>
              <w:rPr>
                <w:rFonts w:hint="eastAsia" w:ascii="黑体" w:hAnsi="黑体" w:eastAsia="黑体"/>
                <w:bCs/>
                <w:color w:val="auto"/>
              </w:rPr>
              <w:t>上承式拱桥监测</w:t>
            </w:r>
            <w:r>
              <w:rPr>
                <w:rFonts w:hint="eastAsia" w:ascii="黑体" w:hAnsi="黑体" w:eastAsia="黑体"/>
                <w:bCs/>
                <w:color w:val="auto"/>
                <w:lang w:val="en-US" w:eastAsia="zh-CN"/>
              </w:rPr>
              <w:t>布点要求（续）</w:t>
            </w:r>
          </w:p>
        </w:tc>
      </w:tr>
      <w:tr w14:paraId="0E4B7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353" w:type="pct"/>
            <w:tcBorders>
              <w:top w:val="single" w:color="auto" w:sz="4" w:space="0"/>
              <w:left w:val="single" w:color="auto" w:sz="4" w:space="0"/>
              <w:bottom w:val="single" w:color="auto" w:sz="4" w:space="0"/>
              <w:right w:val="single" w:color="auto" w:sz="4" w:space="0"/>
            </w:tcBorders>
            <w:shd w:val="clear" w:color="auto" w:fill="auto"/>
            <w:vAlign w:val="center"/>
          </w:tcPr>
          <w:p w14:paraId="0B539338">
            <w:pPr>
              <w:pStyle w:val="146"/>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序号</w:t>
            </w:r>
          </w:p>
        </w:tc>
        <w:tc>
          <w:tcPr>
            <w:tcW w:w="122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65185DB5">
            <w:pPr>
              <w:pStyle w:val="146"/>
              <w:rPr>
                <w:rFonts w:hint="eastAsia" w:ascii="宋体" w:hAnsi="宋体" w:eastAsia="宋体" w:cs="宋体"/>
                <w:kern w:val="2"/>
                <w:sz w:val="18"/>
                <w:szCs w:val="18"/>
                <w:lang w:val="en-US" w:eastAsia="zh-CN" w:bidi="ar-SA"/>
              </w:rPr>
            </w:pPr>
            <w:r>
              <w:rPr>
                <w:rFonts w:hint="eastAsia" w:ascii="宋体" w:hAnsi="宋体" w:cs="宋体"/>
                <w:sz w:val="18"/>
                <w:szCs w:val="18"/>
              </w:rPr>
              <w:t>监测对象</w:t>
            </w:r>
          </w:p>
        </w:tc>
        <w:tc>
          <w:tcPr>
            <w:tcW w:w="1140" w:type="pct"/>
            <w:tcBorders>
              <w:top w:val="single" w:color="auto" w:sz="4" w:space="0"/>
              <w:left w:val="single" w:color="auto" w:sz="4" w:space="0"/>
              <w:bottom w:val="single" w:color="auto" w:sz="4" w:space="0"/>
              <w:right w:val="single" w:color="auto" w:sz="4" w:space="0"/>
            </w:tcBorders>
            <w:shd w:val="clear" w:color="auto" w:fill="auto"/>
            <w:vAlign w:val="center"/>
          </w:tcPr>
          <w:p w14:paraId="01DF1964">
            <w:pPr>
              <w:pStyle w:val="146"/>
              <w:rPr>
                <w:rFonts w:hint="eastAsia" w:ascii="宋体" w:hAnsi="宋体" w:eastAsia="宋体" w:cs="宋体"/>
                <w:kern w:val="2"/>
                <w:sz w:val="18"/>
                <w:szCs w:val="18"/>
                <w:lang w:val="en-US" w:eastAsia="zh-CN" w:bidi="ar-SA"/>
              </w:rPr>
            </w:pPr>
            <w:r>
              <w:rPr>
                <w:rFonts w:hint="eastAsia" w:ascii="宋体" w:hAnsi="宋体" w:cs="宋体"/>
                <w:sz w:val="18"/>
                <w:szCs w:val="18"/>
              </w:rPr>
              <w:t>监测指标</w:t>
            </w:r>
          </w:p>
        </w:tc>
        <w:tc>
          <w:tcPr>
            <w:tcW w:w="557" w:type="pct"/>
            <w:tcBorders>
              <w:top w:val="single" w:color="auto" w:sz="4" w:space="0"/>
              <w:left w:val="single" w:color="auto" w:sz="4" w:space="0"/>
              <w:bottom w:val="single" w:color="auto" w:sz="4" w:space="0"/>
              <w:right w:val="single" w:color="auto" w:sz="4" w:space="0"/>
            </w:tcBorders>
            <w:shd w:val="clear" w:color="auto" w:fill="auto"/>
            <w:vAlign w:val="center"/>
          </w:tcPr>
          <w:p w14:paraId="6F6137F6">
            <w:pPr>
              <w:pStyle w:val="146"/>
              <w:rPr>
                <w:rFonts w:hint="eastAsia" w:ascii="宋体" w:hAnsi="宋体" w:eastAsia="宋体" w:cs="宋体"/>
                <w:kern w:val="2"/>
                <w:sz w:val="18"/>
                <w:szCs w:val="18"/>
                <w:lang w:val="en-US" w:eastAsia="zh-CN" w:bidi="ar-SA"/>
              </w:rPr>
            </w:pPr>
            <w:r>
              <w:rPr>
                <w:rFonts w:hint="eastAsia" w:ascii="宋体" w:hAnsi="宋体" w:cs="宋体"/>
                <w:sz w:val="18"/>
                <w:szCs w:val="18"/>
              </w:rPr>
              <w:t>监测要求</w:t>
            </w:r>
          </w:p>
        </w:tc>
        <w:tc>
          <w:tcPr>
            <w:tcW w:w="1727" w:type="pct"/>
            <w:tcBorders>
              <w:top w:val="single" w:color="auto" w:sz="4" w:space="0"/>
              <w:left w:val="single" w:color="auto" w:sz="4" w:space="0"/>
              <w:bottom w:val="single" w:color="auto" w:sz="4" w:space="0"/>
              <w:right w:val="single" w:color="auto" w:sz="4" w:space="0"/>
            </w:tcBorders>
            <w:shd w:val="clear" w:color="auto" w:fill="auto"/>
            <w:vAlign w:val="center"/>
          </w:tcPr>
          <w:p w14:paraId="53C2F7A1">
            <w:pPr>
              <w:pStyle w:val="146"/>
              <w:rPr>
                <w:rFonts w:hint="eastAsia" w:ascii="宋体" w:hAnsi="宋体" w:eastAsia="宋体" w:cs="宋体"/>
                <w:kern w:val="2"/>
                <w:sz w:val="18"/>
                <w:szCs w:val="18"/>
                <w:lang w:val="en-US" w:eastAsia="zh-CN" w:bidi="ar-SA"/>
              </w:rPr>
            </w:pPr>
            <w:r>
              <w:rPr>
                <w:rFonts w:hint="eastAsia" w:ascii="宋体" w:hAnsi="宋体" w:cs="宋体"/>
                <w:color w:val="000000"/>
                <w:kern w:val="0"/>
                <w:sz w:val="18"/>
                <w:szCs w:val="18"/>
              </w:rPr>
              <w:t>监测布</w:t>
            </w:r>
            <w:r>
              <w:rPr>
                <w:rFonts w:hint="eastAsia" w:ascii="宋体" w:hAnsi="宋体" w:cs="宋体"/>
                <w:color w:val="000000"/>
                <w:kern w:val="0"/>
                <w:sz w:val="18"/>
                <w:szCs w:val="18"/>
                <w:lang w:val="en-US" w:eastAsia="zh-CN"/>
              </w:rPr>
              <w:t>点</w:t>
            </w:r>
            <w:r>
              <w:rPr>
                <w:rFonts w:hint="eastAsia" w:ascii="宋体" w:hAnsi="宋体" w:cs="宋体"/>
                <w:color w:val="000000"/>
                <w:kern w:val="0"/>
                <w:sz w:val="18"/>
                <w:szCs w:val="18"/>
              </w:rPr>
              <w:t>要求</w:t>
            </w:r>
          </w:p>
        </w:tc>
      </w:tr>
      <w:tr w14:paraId="2EA42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tcBorders>
              <w:top w:val="single" w:color="auto" w:sz="4" w:space="0"/>
              <w:left w:val="single" w:color="auto" w:sz="4" w:space="0"/>
              <w:bottom w:val="single" w:color="auto" w:sz="4" w:space="0"/>
              <w:right w:val="single" w:color="auto" w:sz="4" w:space="0"/>
            </w:tcBorders>
            <w:vAlign w:val="center"/>
          </w:tcPr>
          <w:p w14:paraId="095E4F86">
            <w:pPr>
              <w:widowControl/>
              <w:spacing w:beforeLines="0" w:afterLines="0" w:line="240"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6</w:t>
            </w:r>
          </w:p>
        </w:tc>
        <w:tc>
          <w:tcPr>
            <w:tcW w:w="364" w:type="pct"/>
            <w:vMerge w:val="restart"/>
            <w:tcBorders>
              <w:top w:val="single" w:color="auto" w:sz="4" w:space="0"/>
              <w:left w:val="single" w:color="auto" w:sz="4" w:space="0"/>
              <w:right w:val="single" w:color="auto" w:sz="4" w:space="0"/>
            </w:tcBorders>
            <w:vAlign w:val="center"/>
          </w:tcPr>
          <w:p w14:paraId="44F4A39B">
            <w:pPr>
              <w:widowControl/>
              <w:spacing w:beforeLines="0" w:afterLines="0" w:line="240" w:lineRule="auto"/>
              <w:jc w:val="left"/>
              <w:rPr>
                <w:rFonts w:hint="eastAsia" w:ascii="宋体" w:hAnsi="宋体" w:cs="宋体"/>
                <w:sz w:val="18"/>
                <w:szCs w:val="18"/>
              </w:rPr>
            </w:pPr>
            <w:r>
              <w:rPr>
                <w:rFonts w:hint="eastAsia" w:ascii="宋体" w:hAnsi="宋体" w:cs="宋体"/>
                <w:sz w:val="18"/>
                <w:szCs w:val="18"/>
              </w:rPr>
              <w:t>外部作用</w:t>
            </w:r>
          </w:p>
        </w:tc>
        <w:tc>
          <w:tcPr>
            <w:tcW w:w="857" w:type="pct"/>
            <w:tcBorders>
              <w:top w:val="single" w:color="auto" w:sz="4" w:space="0"/>
              <w:left w:val="single" w:color="auto" w:sz="4" w:space="0"/>
              <w:bottom w:val="single" w:color="auto" w:sz="4" w:space="0"/>
              <w:right w:val="single" w:color="auto" w:sz="4" w:space="0"/>
            </w:tcBorders>
            <w:vAlign w:val="center"/>
          </w:tcPr>
          <w:p w14:paraId="45B7DF0B">
            <w:pPr>
              <w:pStyle w:val="146"/>
              <w:rPr>
                <w:rFonts w:hint="eastAsia" w:ascii="宋体" w:hAnsi="宋体" w:cs="宋体"/>
                <w:sz w:val="18"/>
                <w:szCs w:val="18"/>
              </w:rPr>
            </w:pPr>
            <w:r>
              <w:rPr>
                <w:rFonts w:hint="eastAsia" w:ascii="宋体" w:hAnsi="宋体" w:cs="宋体"/>
                <w:sz w:val="18"/>
                <w:szCs w:val="18"/>
              </w:rPr>
              <w:t>水位</w:t>
            </w:r>
          </w:p>
        </w:tc>
        <w:tc>
          <w:tcPr>
            <w:tcW w:w="1140" w:type="pct"/>
            <w:tcBorders>
              <w:top w:val="single" w:color="auto" w:sz="4" w:space="0"/>
              <w:left w:val="single" w:color="auto" w:sz="4" w:space="0"/>
              <w:bottom w:val="single" w:color="auto" w:sz="4" w:space="0"/>
              <w:right w:val="single" w:color="auto" w:sz="4" w:space="0"/>
            </w:tcBorders>
            <w:vAlign w:val="center"/>
          </w:tcPr>
          <w:p w14:paraId="0AD3B9BD">
            <w:pPr>
              <w:pStyle w:val="146"/>
              <w:rPr>
                <w:rFonts w:hint="eastAsia" w:ascii="宋体" w:hAnsi="宋体" w:cs="宋体"/>
                <w:sz w:val="18"/>
                <w:szCs w:val="18"/>
              </w:rPr>
            </w:pPr>
            <w:r>
              <w:rPr>
                <w:rFonts w:hint="eastAsia" w:ascii="宋体" w:hAnsi="宋体" w:cs="宋体"/>
                <w:sz w:val="18"/>
                <w:szCs w:val="18"/>
              </w:rPr>
              <w:t>水面至梁底的距离</w:t>
            </w:r>
          </w:p>
        </w:tc>
        <w:tc>
          <w:tcPr>
            <w:tcW w:w="557" w:type="pct"/>
            <w:tcBorders>
              <w:top w:val="single" w:color="auto" w:sz="4" w:space="0"/>
              <w:left w:val="single" w:color="auto" w:sz="4" w:space="0"/>
              <w:bottom w:val="single" w:color="auto" w:sz="4" w:space="0"/>
              <w:right w:val="single" w:color="auto" w:sz="4" w:space="0"/>
            </w:tcBorders>
            <w:vAlign w:val="center"/>
          </w:tcPr>
          <w:p w14:paraId="0AF8EE3B">
            <w:pPr>
              <w:pStyle w:val="146"/>
              <w:rPr>
                <w:rFonts w:hint="eastAsia" w:ascii="宋体" w:hAnsi="宋体" w:cs="宋体"/>
                <w:sz w:val="18"/>
                <w:szCs w:val="18"/>
              </w:rPr>
            </w:pPr>
            <w:r>
              <w:rPr>
                <w:rFonts w:hint="eastAsia" w:ascii="宋体" w:hAnsi="宋体" w:cs="宋体"/>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38DDD9A2">
            <w:pPr>
              <w:pStyle w:val="146"/>
              <w:rPr>
                <w:rFonts w:hint="eastAsia" w:ascii="宋体" w:hAnsi="宋体" w:cs="宋体"/>
                <w:sz w:val="18"/>
                <w:szCs w:val="18"/>
              </w:rPr>
            </w:pPr>
            <w:r>
              <w:rPr>
                <w:rFonts w:hint="eastAsia" w:ascii="宋体" w:hAnsi="宋体" w:cs="宋体"/>
                <w:sz w:val="18"/>
                <w:szCs w:val="18"/>
              </w:rPr>
              <w:t>-</w:t>
            </w:r>
          </w:p>
        </w:tc>
      </w:tr>
      <w:tr w14:paraId="7D5CF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tcBorders>
              <w:top w:val="single" w:color="auto" w:sz="4" w:space="0"/>
              <w:left w:val="single" w:color="auto" w:sz="4" w:space="0"/>
              <w:bottom w:val="single" w:color="auto" w:sz="4" w:space="0"/>
              <w:right w:val="single" w:color="auto" w:sz="4" w:space="0"/>
            </w:tcBorders>
            <w:vAlign w:val="center"/>
          </w:tcPr>
          <w:p w14:paraId="06727895">
            <w:pPr>
              <w:widowControl/>
              <w:spacing w:beforeLines="0" w:afterLines="0" w:line="240"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7</w:t>
            </w:r>
          </w:p>
        </w:tc>
        <w:tc>
          <w:tcPr>
            <w:tcW w:w="364" w:type="pct"/>
            <w:vMerge w:val="continue"/>
            <w:tcBorders>
              <w:left w:val="single" w:color="auto" w:sz="4" w:space="0"/>
              <w:right w:val="single" w:color="auto" w:sz="4" w:space="0"/>
            </w:tcBorders>
            <w:vAlign w:val="center"/>
          </w:tcPr>
          <w:p w14:paraId="418C8316">
            <w:pPr>
              <w:widowControl/>
              <w:spacing w:beforeLines="0" w:afterLines="0" w:line="240" w:lineRule="auto"/>
              <w:jc w:val="left"/>
              <w:rPr>
                <w:rFonts w:hint="eastAsia" w:ascii="宋体" w:hAnsi="宋体" w:cs="宋体"/>
                <w:sz w:val="18"/>
                <w:szCs w:val="18"/>
              </w:rPr>
            </w:pPr>
          </w:p>
        </w:tc>
        <w:tc>
          <w:tcPr>
            <w:tcW w:w="857" w:type="pct"/>
            <w:tcBorders>
              <w:top w:val="single" w:color="auto" w:sz="4" w:space="0"/>
              <w:left w:val="single" w:color="auto" w:sz="4" w:space="0"/>
              <w:bottom w:val="single" w:color="auto" w:sz="4" w:space="0"/>
              <w:right w:val="single" w:color="auto" w:sz="4" w:space="0"/>
            </w:tcBorders>
            <w:vAlign w:val="center"/>
          </w:tcPr>
          <w:p w14:paraId="22D4F3B2">
            <w:pPr>
              <w:pStyle w:val="146"/>
              <w:rPr>
                <w:rFonts w:hint="eastAsia" w:ascii="宋体" w:hAnsi="宋体" w:cs="宋体"/>
                <w:sz w:val="18"/>
                <w:szCs w:val="18"/>
              </w:rPr>
            </w:pPr>
            <w:r>
              <w:rPr>
                <w:rFonts w:hint="eastAsia" w:ascii="宋体" w:hAnsi="宋体" w:cs="宋体"/>
                <w:sz w:val="18"/>
                <w:szCs w:val="18"/>
              </w:rPr>
              <w:t>流速</w:t>
            </w:r>
          </w:p>
        </w:tc>
        <w:tc>
          <w:tcPr>
            <w:tcW w:w="1140" w:type="pct"/>
            <w:tcBorders>
              <w:top w:val="single" w:color="auto" w:sz="4" w:space="0"/>
              <w:left w:val="single" w:color="auto" w:sz="4" w:space="0"/>
              <w:bottom w:val="single" w:color="auto" w:sz="4" w:space="0"/>
              <w:right w:val="single" w:color="auto" w:sz="4" w:space="0"/>
            </w:tcBorders>
            <w:vAlign w:val="center"/>
          </w:tcPr>
          <w:p w14:paraId="1BCFF7B5">
            <w:pPr>
              <w:pStyle w:val="146"/>
              <w:rPr>
                <w:rFonts w:hint="eastAsia" w:ascii="宋体" w:hAnsi="宋体" w:cs="宋体"/>
                <w:sz w:val="18"/>
                <w:szCs w:val="18"/>
              </w:rPr>
            </w:pPr>
            <w:r>
              <w:rPr>
                <w:rFonts w:hint="eastAsia" w:ascii="宋体" w:hAnsi="宋体" w:cs="宋体"/>
                <w:sz w:val="18"/>
                <w:szCs w:val="18"/>
              </w:rPr>
              <w:t>水流流速</w:t>
            </w:r>
          </w:p>
        </w:tc>
        <w:tc>
          <w:tcPr>
            <w:tcW w:w="557" w:type="pct"/>
            <w:tcBorders>
              <w:top w:val="single" w:color="auto" w:sz="4" w:space="0"/>
              <w:left w:val="single" w:color="auto" w:sz="4" w:space="0"/>
              <w:bottom w:val="single" w:color="auto" w:sz="4" w:space="0"/>
              <w:right w:val="single" w:color="auto" w:sz="4" w:space="0"/>
            </w:tcBorders>
            <w:vAlign w:val="center"/>
          </w:tcPr>
          <w:p w14:paraId="23939904">
            <w:pPr>
              <w:pStyle w:val="146"/>
              <w:rPr>
                <w:rFonts w:hint="eastAsia" w:ascii="宋体" w:hAnsi="宋体" w:cs="宋体"/>
                <w:sz w:val="18"/>
                <w:szCs w:val="18"/>
              </w:rPr>
            </w:pPr>
            <w:r>
              <w:rPr>
                <w:rFonts w:hint="eastAsia" w:ascii="宋体" w:hAnsi="宋体" w:cs="宋体"/>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220B9F9B">
            <w:pPr>
              <w:pStyle w:val="146"/>
              <w:rPr>
                <w:rFonts w:hint="eastAsia" w:ascii="宋体" w:hAnsi="宋体" w:cs="宋体"/>
                <w:sz w:val="18"/>
                <w:szCs w:val="18"/>
              </w:rPr>
            </w:pPr>
            <w:r>
              <w:rPr>
                <w:rFonts w:hint="eastAsia" w:ascii="宋体" w:hAnsi="宋体" w:cs="宋体"/>
                <w:sz w:val="18"/>
                <w:szCs w:val="18"/>
              </w:rPr>
              <w:t>-</w:t>
            </w:r>
          </w:p>
        </w:tc>
      </w:tr>
      <w:tr w14:paraId="0B300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restart"/>
            <w:tcBorders>
              <w:top w:val="single" w:color="auto" w:sz="4" w:space="0"/>
              <w:left w:val="single" w:color="auto" w:sz="4" w:space="0"/>
              <w:right w:val="single" w:color="auto" w:sz="4" w:space="0"/>
            </w:tcBorders>
            <w:vAlign w:val="center"/>
          </w:tcPr>
          <w:p w14:paraId="4E9B1D6B">
            <w:pPr>
              <w:widowControl/>
              <w:spacing w:beforeLines="0" w:afterLines="0" w:line="240"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8</w:t>
            </w:r>
          </w:p>
        </w:tc>
        <w:tc>
          <w:tcPr>
            <w:tcW w:w="364" w:type="pct"/>
            <w:vMerge w:val="continue"/>
            <w:tcBorders>
              <w:left w:val="single" w:color="auto" w:sz="4" w:space="0"/>
              <w:right w:val="single" w:color="auto" w:sz="4" w:space="0"/>
            </w:tcBorders>
            <w:vAlign w:val="center"/>
          </w:tcPr>
          <w:p w14:paraId="63D4F639">
            <w:pPr>
              <w:widowControl/>
              <w:spacing w:beforeLines="0" w:afterLines="0" w:line="240" w:lineRule="auto"/>
              <w:jc w:val="left"/>
              <w:rPr>
                <w:rFonts w:hint="eastAsia" w:ascii="宋体" w:hAnsi="宋体" w:cs="宋体"/>
                <w:sz w:val="18"/>
                <w:szCs w:val="18"/>
              </w:rPr>
            </w:pPr>
          </w:p>
        </w:tc>
        <w:tc>
          <w:tcPr>
            <w:tcW w:w="857" w:type="pct"/>
            <w:vMerge w:val="restart"/>
            <w:tcBorders>
              <w:top w:val="single" w:color="auto" w:sz="4" w:space="0"/>
              <w:left w:val="single" w:color="auto" w:sz="4" w:space="0"/>
              <w:bottom w:val="single" w:color="auto" w:sz="4" w:space="0"/>
              <w:right w:val="single" w:color="auto" w:sz="4" w:space="0"/>
            </w:tcBorders>
            <w:vAlign w:val="center"/>
          </w:tcPr>
          <w:p w14:paraId="1C59A727">
            <w:pPr>
              <w:pStyle w:val="146"/>
              <w:rPr>
                <w:rFonts w:hint="eastAsia" w:ascii="宋体" w:hAnsi="宋体" w:cs="宋体"/>
                <w:sz w:val="18"/>
                <w:szCs w:val="18"/>
              </w:rPr>
            </w:pPr>
            <w:r>
              <w:rPr>
                <w:rFonts w:hint="eastAsia" w:ascii="宋体" w:hAnsi="宋体" w:cs="宋体"/>
                <w:sz w:val="18"/>
                <w:szCs w:val="18"/>
              </w:rPr>
              <w:t>风速、风向</w:t>
            </w:r>
          </w:p>
        </w:tc>
        <w:tc>
          <w:tcPr>
            <w:tcW w:w="1140" w:type="pct"/>
            <w:tcBorders>
              <w:top w:val="single" w:color="auto" w:sz="4" w:space="0"/>
              <w:left w:val="single" w:color="auto" w:sz="4" w:space="0"/>
              <w:bottom w:val="single" w:color="auto" w:sz="4" w:space="0"/>
              <w:right w:val="single" w:color="auto" w:sz="4" w:space="0"/>
            </w:tcBorders>
            <w:vAlign w:val="center"/>
          </w:tcPr>
          <w:p w14:paraId="4077F52F">
            <w:pPr>
              <w:pStyle w:val="146"/>
              <w:rPr>
                <w:rFonts w:hint="eastAsia" w:ascii="宋体" w:hAnsi="宋体" w:cs="宋体"/>
                <w:sz w:val="18"/>
                <w:szCs w:val="18"/>
              </w:rPr>
            </w:pPr>
            <w:r>
              <w:rPr>
                <w:rFonts w:hint="eastAsia" w:ascii="宋体" w:hAnsi="宋体" w:cs="宋体"/>
                <w:sz w:val="18"/>
                <w:szCs w:val="18"/>
              </w:rPr>
              <w:t>桥面风速、风向</w:t>
            </w:r>
          </w:p>
        </w:tc>
        <w:tc>
          <w:tcPr>
            <w:tcW w:w="557" w:type="pct"/>
            <w:tcBorders>
              <w:top w:val="single" w:color="auto" w:sz="4" w:space="0"/>
              <w:left w:val="single" w:color="auto" w:sz="4" w:space="0"/>
              <w:bottom w:val="single" w:color="auto" w:sz="4" w:space="0"/>
              <w:right w:val="single" w:color="auto" w:sz="4" w:space="0"/>
            </w:tcBorders>
            <w:vAlign w:val="center"/>
          </w:tcPr>
          <w:p w14:paraId="6264193A">
            <w:pPr>
              <w:pStyle w:val="146"/>
              <w:rPr>
                <w:rFonts w:hint="eastAsia" w:ascii="宋体" w:hAnsi="宋体" w:cs="宋体"/>
                <w:sz w:val="18"/>
                <w:szCs w:val="18"/>
              </w:rPr>
            </w:pPr>
            <w:r>
              <w:rPr>
                <w:rFonts w:hint="eastAsia" w:ascii="宋体" w:hAnsi="宋体" w:cs="宋体"/>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0865488F">
            <w:pPr>
              <w:pStyle w:val="146"/>
              <w:rPr>
                <w:rFonts w:hint="eastAsia" w:ascii="宋体" w:hAnsi="宋体" w:cs="宋体"/>
                <w:sz w:val="18"/>
                <w:szCs w:val="18"/>
              </w:rPr>
            </w:pPr>
            <w:r>
              <w:rPr>
                <w:rFonts w:cs="宋体"/>
                <w:bCs/>
                <w:sz w:val="18"/>
                <w:szCs w:val="18"/>
              </w:rPr>
              <w:t>主要风向侧的桥面跨中处</w:t>
            </w:r>
            <w:r>
              <w:rPr>
                <w:rFonts w:hint="eastAsia" w:cs="宋体"/>
                <w:bCs/>
                <w:sz w:val="18"/>
                <w:szCs w:val="18"/>
              </w:rPr>
              <w:t>，</w:t>
            </w:r>
            <w:r>
              <w:rPr>
                <w:rFonts w:cs="宋体"/>
                <w:bCs/>
                <w:sz w:val="18"/>
                <w:szCs w:val="18"/>
              </w:rPr>
              <w:t>布设高度至少高于桥面2 m</w:t>
            </w:r>
          </w:p>
        </w:tc>
      </w:tr>
      <w:tr w14:paraId="4E3B4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continue"/>
            <w:tcBorders>
              <w:left w:val="single" w:color="auto" w:sz="4" w:space="0"/>
              <w:bottom w:val="single" w:color="auto" w:sz="4" w:space="0"/>
              <w:right w:val="single" w:color="auto" w:sz="4" w:space="0"/>
            </w:tcBorders>
            <w:vAlign w:val="center"/>
          </w:tcPr>
          <w:p w14:paraId="66E46915">
            <w:pPr>
              <w:widowControl/>
              <w:spacing w:beforeLines="0" w:afterLines="0" w:line="240" w:lineRule="auto"/>
              <w:jc w:val="left"/>
              <w:rPr>
                <w:rFonts w:hint="eastAsia" w:ascii="宋体" w:hAnsi="宋体" w:cs="宋体"/>
                <w:sz w:val="18"/>
                <w:szCs w:val="18"/>
              </w:rPr>
            </w:pPr>
          </w:p>
        </w:tc>
        <w:tc>
          <w:tcPr>
            <w:tcW w:w="364" w:type="pct"/>
            <w:vMerge w:val="continue"/>
            <w:tcBorders>
              <w:left w:val="single" w:color="auto" w:sz="4" w:space="0"/>
              <w:right w:val="single" w:color="auto" w:sz="4" w:space="0"/>
            </w:tcBorders>
            <w:vAlign w:val="center"/>
          </w:tcPr>
          <w:p w14:paraId="78D7D12F">
            <w:pPr>
              <w:widowControl/>
              <w:spacing w:beforeLines="0" w:afterLines="0" w:line="240" w:lineRule="auto"/>
              <w:jc w:val="left"/>
              <w:rPr>
                <w:rFonts w:hint="eastAsia" w:ascii="宋体" w:hAnsi="宋体" w:cs="宋体"/>
                <w:sz w:val="18"/>
                <w:szCs w:val="18"/>
              </w:rPr>
            </w:pPr>
          </w:p>
        </w:tc>
        <w:tc>
          <w:tcPr>
            <w:tcW w:w="857" w:type="pct"/>
            <w:vMerge w:val="continue"/>
            <w:tcBorders>
              <w:top w:val="single" w:color="auto" w:sz="4" w:space="0"/>
              <w:left w:val="single" w:color="auto" w:sz="4" w:space="0"/>
              <w:bottom w:val="single" w:color="auto" w:sz="4" w:space="0"/>
              <w:right w:val="single" w:color="auto" w:sz="4" w:space="0"/>
            </w:tcBorders>
            <w:vAlign w:val="center"/>
          </w:tcPr>
          <w:p w14:paraId="561097C8">
            <w:pPr>
              <w:widowControl/>
              <w:spacing w:beforeLines="0" w:afterLines="0" w:line="240" w:lineRule="auto"/>
              <w:jc w:val="left"/>
              <w:rPr>
                <w:rFonts w:hint="eastAsia" w:ascii="宋体" w:hAnsi="宋体" w:cs="宋体"/>
                <w:sz w:val="18"/>
                <w:szCs w:val="18"/>
              </w:rPr>
            </w:pPr>
          </w:p>
        </w:tc>
        <w:tc>
          <w:tcPr>
            <w:tcW w:w="1140" w:type="pct"/>
            <w:tcBorders>
              <w:top w:val="single" w:color="auto" w:sz="4" w:space="0"/>
              <w:left w:val="single" w:color="auto" w:sz="4" w:space="0"/>
              <w:bottom w:val="single" w:color="auto" w:sz="4" w:space="0"/>
              <w:right w:val="single" w:color="auto" w:sz="4" w:space="0"/>
            </w:tcBorders>
            <w:vAlign w:val="center"/>
          </w:tcPr>
          <w:p w14:paraId="59B439D0">
            <w:pPr>
              <w:pStyle w:val="146"/>
              <w:rPr>
                <w:rFonts w:hint="eastAsia" w:ascii="宋体" w:hAnsi="宋体" w:cs="宋体"/>
                <w:sz w:val="18"/>
                <w:szCs w:val="18"/>
              </w:rPr>
            </w:pPr>
            <w:r>
              <w:rPr>
                <w:rFonts w:hint="eastAsia" w:ascii="宋体" w:hAnsi="宋体" w:cs="宋体"/>
                <w:sz w:val="18"/>
                <w:szCs w:val="18"/>
              </w:rPr>
              <w:t>拱顶风速、风向</w:t>
            </w:r>
          </w:p>
        </w:tc>
        <w:tc>
          <w:tcPr>
            <w:tcW w:w="557" w:type="pct"/>
            <w:tcBorders>
              <w:top w:val="single" w:color="auto" w:sz="4" w:space="0"/>
              <w:left w:val="single" w:color="auto" w:sz="4" w:space="0"/>
              <w:bottom w:val="single" w:color="auto" w:sz="4" w:space="0"/>
              <w:right w:val="single" w:color="auto" w:sz="4" w:space="0"/>
            </w:tcBorders>
            <w:vAlign w:val="center"/>
          </w:tcPr>
          <w:p w14:paraId="1215B9FB">
            <w:pPr>
              <w:pStyle w:val="146"/>
              <w:rPr>
                <w:rFonts w:hint="eastAsia" w:ascii="宋体" w:hAnsi="宋体" w:cs="宋体"/>
                <w:sz w:val="18"/>
                <w:szCs w:val="18"/>
              </w:rPr>
            </w:pPr>
            <w:r>
              <w:rPr>
                <w:rFonts w:hint="eastAsia" w:ascii="宋体" w:hAnsi="宋体" w:cs="宋体"/>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0639813A">
            <w:pPr>
              <w:pStyle w:val="146"/>
              <w:rPr>
                <w:rFonts w:hint="eastAsia" w:ascii="宋体" w:hAnsi="宋体" w:cs="宋体"/>
                <w:sz w:val="18"/>
                <w:szCs w:val="18"/>
              </w:rPr>
            </w:pPr>
            <w:r>
              <w:rPr>
                <w:rFonts w:hint="eastAsia" w:ascii="宋体" w:hAnsi="宋体" w:cs="宋体"/>
                <w:sz w:val="18"/>
                <w:szCs w:val="18"/>
              </w:rPr>
              <w:t>主拱拱顶</w:t>
            </w:r>
          </w:p>
        </w:tc>
      </w:tr>
      <w:tr w14:paraId="4510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restart"/>
            <w:tcBorders>
              <w:top w:val="single" w:color="auto" w:sz="4" w:space="0"/>
              <w:left w:val="single" w:color="auto" w:sz="4" w:space="0"/>
              <w:right w:val="single" w:color="auto" w:sz="4" w:space="0"/>
            </w:tcBorders>
            <w:vAlign w:val="center"/>
          </w:tcPr>
          <w:p w14:paraId="6567EA2F">
            <w:pPr>
              <w:widowControl/>
              <w:spacing w:beforeLines="0" w:afterLines="0" w:line="240"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9</w:t>
            </w:r>
          </w:p>
        </w:tc>
        <w:tc>
          <w:tcPr>
            <w:tcW w:w="364" w:type="pct"/>
            <w:vMerge w:val="continue"/>
            <w:tcBorders>
              <w:left w:val="single" w:color="auto" w:sz="4" w:space="0"/>
              <w:right w:val="single" w:color="auto" w:sz="4" w:space="0"/>
            </w:tcBorders>
            <w:vAlign w:val="center"/>
          </w:tcPr>
          <w:p w14:paraId="3E9C2648">
            <w:pPr>
              <w:widowControl/>
              <w:spacing w:beforeLines="0" w:afterLines="0" w:line="240" w:lineRule="auto"/>
              <w:jc w:val="left"/>
              <w:rPr>
                <w:rFonts w:hint="eastAsia" w:ascii="宋体" w:hAnsi="宋体" w:cs="宋体"/>
                <w:sz w:val="18"/>
                <w:szCs w:val="18"/>
              </w:rPr>
            </w:pPr>
          </w:p>
        </w:tc>
        <w:tc>
          <w:tcPr>
            <w:tcW w:w="857" w:type="pct"/>
            <w:vMerge w:val="restart"/>
            <w:tcBorders>
              <w:top w:val="single" w:color="auto" w:sz="4" w:space="0"/>
              <w:left w:val="single" w:color="auto" w:sz="4" w:space="0"/>
              <w:bottom w:val="single" w:color="auto" w:sz="4" w:space="0"/>
              <w:right w:val="single" w:color="auto" w:sz="4" w:space="0"/>
            </w:tcBorders>
            <w:vAlign w:val="center"/>
          </w:tcPr>
          <w:p w14:paraId="67EE3534">
            <w:pPr>
              <w:pStyle w:val="146"/>
              <w:rPr>
                <w:rFonts w:hint="eastAsia" w:ascii="宋体" w:hAnsi="宋体" w:cs="宋体"/>
                <w:sz w:val="18"/>
                <w:szCs w:val="18"/>
              </w:rPr>
            </w:pPr>
            <w:r>
              <w:rPr>
                <w:rFonts w:hint="eastAsia" w:ascii="宋体" w:hAnsi="宋体" w:cs="宋体"/>
                <w:sz w:val="18"/>
                <w:szCs w:val="18"/>
              </w:rPr>
              <w:t>结构温度</w:t>
            </w:r>
          </w:p>
        </w:tc>
        <w:tc>
          <w:tcPr>
            <w:tcW w:w="1140" w:type="pct"/>
            <w:tcBorders>
              <w:top w:val="single" w:color="auto" w:sz="4" w:space="0"/>
              <w:left w:val="single" w:color="auto" w:sz="4" w:space="0"/>
              <w:bottom w:val="single" w:color="auto" w:sz="4" w:space="0"/>
              <w:right w:val="single" w:color="auto" w:sz="4" w:space="0"/>
            </w:tcBorders>
            <w:vAlign w:val="center"/>
          </w:tcPr>
          <w:p w14:paraId="190F21F6">
            <w:pPr>
              <w:pStyle w:val="146"/>
              <w:rPr>
                <w:rFonts w:hint="eastAsia" w:ascii="宋体" w:hAnsi="宋体" w:cs="宋体"/>
                <w:bCs/>
                <w:sz w:val="18"/>
                <w:szCs w:val="18"/>
              </w:rPr>
            </w:pPr>
            <w:r>
              <w:rPr>
                <w:rFonts w:hint="eastAsia" w:ascii="宋体" w:hAnsi="宋体" w:cs="宋体"/>
                <w:bCs/>
                <w:sz w:val="18"/>
                <w:szCs w:val="18"/>
              </w:rPr>
              <w:t>混凝土或钢结构构件温度</w:t>
            </w:r>
          </w:p>
        </w:tc>
        <w:tc>
          <w:tcPr>
            <w:tcW w:w="557" w:type="pct"/>
            <w:tcBorders>
              <w:top w:val="single" w:color="auto" w:sz="4" w:space="0"/>
              <w:left w:val="single" w:color="auto" w:sz="4" w:space="0"/>
              <w:bottom w:val="single" w:color="auto" w:sz="4" w:space="0"/>
              <w:right w:val="single" w:color="auto" w:sz="4" w:space="0"/>
            </w:tcBorders>
            <w:vAlign w:val="center"/>
          </w:tcPr>
          <w:p w14:paraId="7F71C3FC">
            <w:pPr>
              <w:pStyle w:val="146"/>
              <w:rPr>
                <w:rFonts w:hint="eastAsia" w:ascii="宋体" w:hAnsi="宋体" w:cs="宋体"/>
                <w:sz w:val="18"/>
                <w:szCs w:val="18"/>
              </w:rPr>
            </w:pPr>
            <w:r>
              <w:rPr>
                <w:rFonts w:hint="eastAsia" w:ascii="宋体" w:hAnsi="宋体" w:cs="宋体"/>
                <w:bCs/>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07C5BE7F">
            <w:pPr>
              <w:pStyle w:val="146"/>
              <w:rPr>
                <w:rFonts w:hint="eastAsia" w:ascii="宋体" w:hAnsi="宋体" w:cs="宋体"/>
                <w:sz w:val="18"/>
                <w:szCs w:val="18"/>
              </w:rPr>
            </w:pPr>
            <w:r>
              <w:rPr>
                <w:rFonts w:hint="eastAsia" w:cs="宋体"/>
                <w:bCs/>
                <w:sz w:val="18"/>
                <w:szCs w:val="18"/>
              </w:rPr>
              <w:t>跨中截面，</w:t>
            </w:r>
            <w:r>
              <w:rPr>
                <w:rFonts w:hint="eastAsia" w:cs="宋体"/>
                <w:bCs/>
                <w:sz w:val="18"/>
                <w:szCs w:val="18"/>
                <w:lang w:eastAsia="zh-CN"/>
              </w:rPr>
              <w:t>不低于</w:t>
            </w:r>
            <w:r>
              <w:rPr>
                <w:rFonts w:hint="eastAsia" w:cs="宋体"/>
                <w:bCs/>
                <w:sz w:val="18"/>
                <w:szCs w:val="18"/>
              </w:rPr>
              <w:t>2处</w:t>
            </w:r>
            <w:r>
              <w:rPr>
                <w:rFonts w:cs="宋体"/>
                <w:bCs/>
                <w:sz w:val="18"/>
                <w:szCs w:val="18"/>
              </w:rPr>
              <w:t>--</w:t>
            </w:r>
          </w:p>
        </w:tc>
      </w:tr>
      <w:tr w14:paraId="33A50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continue"/>
            <w:tcBorders>
              <w:left w:val="single" w:color="auto" w:sz="4" w:space="0"/>
              <w:bottom w:val="single" w:color="auto" w:sz="4" w:space="0"/>
              <w:right w:val="single" w:color="auto" w:sz="4" w:space="0"/>
            </w:tcBorders>
            <w:vAlign w:val="center"/>
          </w:tcPr>
          <w:p w14:paraId="01563BCB">
            <w:pPr>
              <w:widowControl/>
              <w:spacing w:beforeLines="0" w:afterLines="0" w:line="240" w:lineRule="auto"/>
              <w:jc w:val="center"/>
              <w:rPr>
                <w:rFonts w:hint="eastAsia" w:ascii="宋体" w:hAnsi="宋体" w:cs="宋体"/>
                <w:sz w:val="18"/>
                <w:szCs w:val="18"/>
              </w:rPr>
            </w:pPr>
          </w:p>
        </w:tc>
        <w:tc>
          <w:tcPr>
            <w:tcW w:w="364" w:type="pct"/>
            <w:vMerge w:val="continue"/>
            <w:tcBorders>
              <w:left w:val="single" w:color="auto" w:sz="4" w:space="0"/>
              <w:right w:val="single" w:color="auto" w:sz="4" w:space="0"/>
            </w:tcBorders>
            <w:vAlign w:val="center"/>
          </w:tcPr>
          <w:p w14:paraId="050DECDE">
            <w:pPr>
              <w:widowControl/>
              <w:spacing w:beforeLines="0" w:afterLines="0" w:line="240" w:lineRule="auto"/>
              <w:jc w:val="left"/>
              <w:rPr>
                <w:rFonts w:hint="eastAsia" w:ascii="宋体" w:hAnsi="宋体" w:cs="宋体"/>
                <w:sz w:val="18"/>
                <w:szCs w:val="18"/>
              </w:rPr>
            </w:pPr>
          </w:p>
        </w:tc>
        <w:tc>
          <w:tcPr>
            <w:tcW w:w="857" w:type="pct"/>
            <w:vMerge w:val="continue"/>
            <w:tcBorders>
              <w:top w:val="single" w:color="auto" w:sz="4" w:space="0"/>
              <w:left w:val="single" w:color="auto" w:sz="4" w:space="0"/>
              <w:bottom w:val="single" w:color="auto" w:sz="4" w:space="0"/>
              <w:right w:val="single" w:color="auto" w:sz="4" w:space="0"/>
            </w:tcBorders>
            <w:vAlign w:val="center"/>
          </w:tcPr>
          <w:p w14:paraId="2AE8776B">
            <w:pPr>
              <w:widowControl/>
              <w:spacing w:beforeLines="0" w:afterLines="0" w:line="240" w:lineRule="auto"/>
              <w:jc w:val="left"/>
              <w:rPr>
                <w:rFonts w:hint="eastAsia" w:ascii="宋体" w:hAnsi="宋体" w:cs="宋体"/>
                <w:sz w:val="18"/>
                <w:szCs w:val="18"/>
              </w:rPr>
            </w:pPr>
          </w:p>
        </w:tc>
        <w:tc>
          <w:tcPr>
            <w:tcW w:w="1140" w:type="pct"/>
            <w:tcBorders>
              <w:top w:val="single" w:color="auto" w:sz="4" w:space="0"/>
              <w:left w:val="single" w:color="auto" w:sz="4" w:space="0"/>
              <w:bottom w:val="single" w:color="auto" w:sz="4" w:space="0"/>
              <w:right w:val="single" w:color="auto" w:sz="4" w:space="0"/>
            </w:tcBorders>
            <w:vAlign w:val="center"/>
          </w:tcPr>
          <w:p w14:paraId="3658E193">
            <w:pPr>
              <w:pStyle w:val="146"/>
              <w:rPr>
                <w:rFonts w:hint="eastAsia" w:ascii="宋体" w:hAnsi="宋体" w:cs="宋体"/>
                <w:sz w:val="18"/>
                <w:szCs w:val="18"/>
              </w:rPr>
            </w:pPr>
            <w:r>
              <w:rPr>
                <w:rFonts w:hint="eastAsia" w:ascii="宋体" w:hAnsi="宋体" w:cs="宋体"/>
                <w:sz w:val="18"/>
                <w:szCs w:val="18"/>
              </w:rPr>
              <w:t>桥面铺装层温度</w:t>
            </w:r>
          </w:p>
        </w:tc>
        <w:tc>
          <w:tcPr>
            <w:tcW w:w="557" w:type="pct"/>
            <w:tcBorders>
              <w:top w:val="single" w:color="auto" w:sz="4" w:space="0"/>
              <w:left w:val="single" w:color="auto" w:sz="4" w:space="0"/>
              <w:bottom w:val="single" w:color="auto" w:sz="4" w:space="0"/>
              <w:right w:val="single" w:color="auto" w:sz="4" w:space="0"/>
            </w:tcBorders>
            <w:vAlign w:val="center"/>
          </w:tcPr>
          <w:p w14:paraId="7A030A8F">
            <w:pPr>
              <w:pStyle w:val="146"/>
              <w:rPr>
                <w:rFonts w:hint="eastAsia" w:ascii="宋体" w:hAnsi="宋体" w:cs="宋体"/>
                <w:sz w:val="18"/>
                <w:szCs w:val="18"/>
              </w:rPr>
            </w:pPr>
            <w:r>
              <w:rPr>
                <w:rFonts w:hint="eastAsia" w:ascii="宋体" w:hAnsi="宋体" w:cs="宋体"/>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5A0A57C0">
            <w:pPr>
              <w:pStyle w:val="146"/>
              <w:rPr>
                <w:rFonts w:hint="eastAsia" w:ascii="宋体" w:hAnsi="宋体" w:cs="宋体"/>
                <w:sz w:val="18"/>
                <w:szCs w:val="18"/>
              </w:rPr>
            </w:pPr>
            <w:r>
              <w:rPr>
                <w:rFonts w:hint="eastAsia" w:ascii="宋体" w:hAnsi="宋体" w:cs="宋体"/>
                <w:sz w:val="18"/>
                <w:szCs w:val="18"/>
              </w:rPr>
              <w:t>-</w:t>
            </w:r>
          </w:p>
        </w:tc>
      </w:tr>
      <w:tr w14:paraId="7752E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restart"/>
            <w:tcBorders>
              <w:top w:val="single" w:color="auto" w:sz="4" w:space="0"/>
              <w:left w:val="single" w:color="auto" w:sz="4" w:space="0"/>
              <w:right w:val="single" w:color="auto" w:sz="4" w:space="0"/>
            </w:tcBorders>
            <w:vAlign w:val="center"/>
          </w:tcPr>
          <w:p w14:paraId="7A463CFE">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10</w:t>
            </w:r>
          </w:p>
        </w:tc>
        <w:tc>
          <w:tcPr>
            <w:tcW w:w="364" w:type="pct"/>
            <w:vMerge w:val="continue"/>
            <w:tcBorders>
              <w:left w:val="single" w:color="auto" w:sz="4" w:space="0"/>
              <w:right w:val="single" w:color="auto" w:sz="4" w:space="0"/>
            </w:tcBorders>
            <w:vAlign w:val="center"/>
          </w:tcPr>
          <w:p w14:paraId="6B2D1984">
            <w:pPr>
              <w:widowControl/>
              <w:spacing w:beforeLines="0" w:afterLines="0" w:line="240" w:lineRule="auto"/>
              <w:jc w:val="left"/>
              <w:rPr>
                <w:rFonts w:hint="eastAsia" w:ascii="宋体" w:hAnsi="宋体" w:cs="宋体"/>
                <w:sz w:val="18"/>
                <w:szCs w:val="18"/>
              </w:rPr>
            </w:pPr>
          </w:p>
        </w:tc>
        <w:tc>
          <w:tcPr>
            <w:tcW w:w="857" w:type="pct"/>
            <w:vMerge w:val="restart"/>
            <w:tcBorders>
              <w:top w:val="single" w:color="auto" w:sz="4" w:space="0"/>
              <w:left w:val="single" w:color="auto" w:sz="4" w:space="0"/>
              <w:bottom w:val="single" w:color="auto" w:sz="4" w:space="0"/>
              <w:right w:val="single" w:color="auto" w:sz="4" w:space="0"/>
            </w:tcBorders>
            <w:vAlign w:val="center"/>
          </w:tcPr>
          <w:p w14:paraId="46F6F974">
            <w:pPr>
              <w:pStyle w:val="146"/>
              <w:rPr>
                <w:rFonts w:hint="eastAsia" w:ascii="宋体" w:hAnsi="宋体" w:cs="宋体"/>
                <w:sz w:val="18"/>
                <w:szCs w:val="18"/>
              </w:rPr>
            </w:pPr>
            <w:r>
              <w:rPr>
                <w:rFonts w:hint="eastAsia" w:ascii="宋体" w:hAnsi="宋体" w:cs="宋体"/>
                <w:sz w:val="18"/>
                <w:szCs w:val="18"/>
              </w:rPr>
              <w:t>船舶撞击</w:t>
            </w:r>
          </w:p>
        </w:tc>
        <w:tc>
          <w:tcPr>
            <w:tcW w:w="1140" w:type="pct"/>
            <w:tcBorders>
              <w:top w:val="single" w:color="auto" w:sz="4" w:space="0"/>
              <w:left w:val="single" w:color="auto" w:sz="4" w:space="0"/>
              <w:bottom w:val="single" w:color="auto" w:sz="4" w:space="0"/>
              <w:right w:val="single" w:color="auto" w:sz="4" w:space="0"/>
            </w:tcBorders>
            <w:vAlign w:val="center"/>
          </w:tcPr>
          <w:p w14:paraId="3596FBDF">
            <w:pPr>
              <w:pStyle w:val="146"/>
              <w:rPr>
                <w:rFonts w:hint="eastAsia" w:ascii="宋体" w:hAnsi="宋体" w:cs="宋体"/>
                <w:sz w:val="18"/>
                <w:szCs w:val="18"/>
              </w:rPr>
            </w:pPr>
            <w:r>
              <w:rPr>
                <w:rFonts w:hint="eastAsia" w:ascii="宋体" w:hAnsi="宋体" w:cs="宋体"/>
                <w:sz w:val="18"/>
                <w:szCs w:val="18"/>
              </w:rPr>
              <w:t>桥墩加速度</w:t>
            </w:r>
          </w:p>
        </w:tc>
        <w:tc>
          <w:tcPr>
            <w:tcW w:w="557" w:type="pct"/>
            <w:tcBorders>
              <w:top w:val="single" w:color="auto" w:sz="4" w:space="0"/>
              <w:left w:val="single" w:color="auto" w:sz="4" w:space="0"/>
              <w:bottom w:val="single" w:color="auto" w:sz="4" w:space="0"/>
              <w:right w:val="single" w:color="auto" w:sz="4" w:space="0"/>
            </w:tcBorders>
            <w:vAlign w:val="center"/>
          </w:tcPr>
          <w:p w14:paraId="15421A3D">
            <w:pPr>
              <w:pStyle w:val="146"/>
              <w:rPr>
                <w:rFonts w:hint="eastAsia" w:ascii="宋体" w:hAnsi="宋体" w:cs="宋体"/>
                <w:sz w:val="18"/>
                <w:szCs w:val="18"/>
              </w:rPr>
            </w:pPr>
            <w:r>
              <w:rPr>
                <w:rFonts w:hint="eastAsia" w:ascii="宋体" w:hAnsi="宋体" w:cs="宋体"/>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02C47218">
            <w:pPr>
              <w:pStyle w:val="146"/>
              <w:rPr>
                <w:rFonts w:hint="eastAsia" w:ascii="宋体" w:hAnsi="宋体" w:cs="宋体"/>
                <w:sz w:val="18"/>
                <w:szCs w:val="18"/>
              </w:rPr>
            </w:pPr>
            <w:r>
              <w:rPr>
                <w:rFonts w:cs="宋体"/>
                <w:bCs/>
                <w:sz w:val="18"/>
                <w:szCs w:val="18"/>
              </w:rPr>
              <w:t>布设在有船撞风险</w:t>
            </w:r>
            <w:r>
              <w:rPr>
                <w:rFonts w:hint="eastAsia" w:cs="宋体"/>
                <w:bCs/>
                <w:sz w:val="18"/>
                <w:szCs w:val="18"/>
              </w:rPr>
              <w:t>的桥墩处</w:t>
            </w:r>
          </w:p>
        </w:tc>
      </w:tr>
      <w:tr w14:paraId="00584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continue"/>
            <w:tcBorders>
              <w:left w:val="single" w:color="auto" w:sz="4" w:space="0"/>
              <w:bottom w:val="single" w:color="auto" w:sz="4" w:space="0"/>
              <w:right w:val="single" w:color="auto" w:sz="4" w:space="0"/>
            </w:tcBorders>
            <w:vAlign w:val="center"/>
          </w:tcPr>
          <w:p w14:paraId="6ECE797A">
            <w:pPr>
              <w:widowControl/>
              <w:spacing w:beforeLines="0" w:afterLines="0" w:line="240" w:lineRule="auto"/>
              <w:jc w:val="center"/>
              <w:rPr>
                <w:rFonts w:hint="eastAsia" w:ascii="宋体" w:hAnsi="宋体" w:cs="宋体"/>
                <w:sz w:val="18"/>
                <w:szCs w:val="18"/>
              </w:rPr>
            </w:pPr>
          </w:p>
        </w:tc>
        <w:tc>
          <w:tcPr>
            <w:tcW w:w="364" w:type="pct"/>
            <w:vMerge w:val="continue"/>
            <w:tcBorders>
              <w:left w:val="single" w:color="auto" w:sz="4" w:space="0"/>
              <w:right w:val="single" w:color="auto" w:sz="4" w:space="0"/>
            </w:tcBorders>
            <w:vAlign w:val="center"/>
          </w:tcPr>
          <w:p w14:paraId="6F207360">
            <w:pPr>
              <w:widowControl/>
              <w:spacing w:beforeLines="0" w:afterLines="0" w:line="240" w:lineRule="auto"/>
              <w:jc w:val="left"/>
              <w:rPr>
                <w:rFonts w:hint="eastAsia" w:ascii="宋体" w:hAnsi="宋体" w:cs="宋体"/>
                <w:sz w:val="18"/>
                <w:szCs w:val="18"/>
              </w:rPr>
            </w:pPr>
          </w:p>
        </w:tc>
        <w:tc>
          <w:tcPr>
            <w:tcW w:w="857" w:type="pct"/>
            <w:vMerge w:val="continue"/>
            <w:tcBorders>
              <w:top w:val="single" w:color="auto" w:sz="4" w:space="0"/>
              <w:left w:val="single" w:color="auto" w:sz="4" w:space="0"/>
              <w:bottom w:val="single" w:color="auto" w:sz="4" w:space="0"/>
              <w:right w:val="single" w:color="auto" w:sz="4" w:space="0"/>
            </w:tcBorders>
            <w:vAlign w:val="center"/>
          </w:tcPr>
          <w:p w14:paraId="29326D91">
            <w:pPr>
              <w:widowControl/>
              <w:spacing w:beforeLines="0" w:afterLines="0" w:line="240" w:lineRule="auto"/>
              <w:jc w:val="left"/>
              <w:rPr>
                <w:rFonts w:hint="eastAsia" w:ascii="宋体" w:hAnsi="宋体" w:cs="宋体"/>
                <w:sz w:val="18"/>
                <w:szCs w:val="18"/>
              </w:rPr>
            </w:pPr>
          </w:p>
        </w:tc>
        <w:tc>
          <w:tcPr>
            <w:tcW w:w="1140" w:type="pct"/>
            <w:tcBorders>
              <w:top w:val="single" w:color="auto" w:sz="4" w:space="0"/>
              <w:left w:val="single" w:color="auto" w:sz="4" w:space="0"/>
              <w:bottom w:val="single" w:color="auto" w:sz="4" w:space="0"/>
              <w:right w:val="single" w:color="auto" w:sz="4" w:space="0"/>
            </w:tcBorders>
            <w:vAlign w:val="center"/>
          </w:tcPr>
          <w:p w14:paraId="79512CAD">
            <w:pPr>
              <w:pStyle w:val="146"/>
              <w:rPr>
                <w:rFonts w:hint="eastAsia" w:ascii="宋体" w:hAnsi="宋体" w:eastAsia="宋体" w:cs="宋体"/>
                <w:sz w:val="18"/>
                <w:szCs w:val="18"/>
                <w:lang w:eastAsia="zh-CN"/>
              </w:rPr>
            </w:pPr>
            <w:r>
              <w:rPr>
                <w:rFonts w:hint="eastAsia" w:ascii="宋体" w:hAnsi="宋体" w:cs="宋体"/>
                <w:sz w:val="18"/>
                <w:szCs w:val="18"/>
                <w:lang w:eastAsia="zh-CN"/>
              </w:rPr>
              <w:t>视频监控</w:t>
            </w:r>
          </w:p>
        </w:tc>
        <w:tc>
          <w:tcPr>
            <w:tcW w:w="557" w:type="pct"/>
            <w:tcBorders>
              <w:top w:val="single" w:color="auto" w:sz="4" w:space="0"/>
              <w:left w:val="single" w:color="auto" w:sz="4" w:space="0"/>
              <w:bottom w:val="single" w:color="auto" w:sz="4" w:space="0"/>
              <w:right w:val="single" w:color="auto" w:sz="4" w:space="0"/>
            </w:tcBorders>
            <w:vAlign w:val="center"/>
          </w:tcPr>
          <w:p w14:paraId="575A2167">
            <w:pPr>
              <w:pStyle w:val="146"/>
              <w:rPr>
                <w:rFonts w:hint="eastAsia" w:ascii="宋体" w:hAnsi="宋体" w:cs="宋体"/>
                <w:sz w:val="18"/>
                <w:szCs w:val="18"/>
              </w:rPr>
            </w:pPr>
            <w:r>
              <w:rPr>
                <w:rFonts w:hint="eastAsia" w:ascii="宋体" w:hAnsi="宋体" w:cs="宋体"/>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1AF5FF51">
            <w:pPr>
              <w:pStyle w:val="146"/>
              <w:rPr>
                <w:rFonts w:hint="eastAsia" w:ascii="宋体" w:hAnsi="宋体" w:cs="宋体"/>
                <w:sz w:val="18"/>
                <w:szCs w:val="18"/>
              </w:rPr>
            </w:pPr>
            <w:r>
              <w:rPr>
                <w:rFonts w:cs="宋体"/>
                <w:bCs/>
                <w:sz w:val="18"/>
                <w:szCs w:val="18"/>
              </w:rPr>
              <w:t>布设在有船撞风险</w:t>
            </w:r>
            <w:r>
              <w:rPr>
                <w:rFonts w:hint="eastAsia" w:cs="宋体"/>
                <w:bCs/>
                <w:sz w:val="18"/>
                <w:szCs w:val="18"/>
              </w:rPr>
              <w:t>桥跨处</w:t>
            </w:r>
          </w:p>
        </w:tc>
      </w:tr>
      <w:tr w14:paraId="41290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restart"/>
            <w:tcBorders>
              <w:top w:val="single" w:color="auto" w:sz="4" w:space="0"/>
              <w:left w:val="single" w:color="auto" w:sz="4" w:space="0"/>
              <w:right w:val="single" w:color="auto" w:sz="4" w:space="0"/>
            </w:tcBorders>
            <w:vAlign w:val="center"/>
          </w:tcPr>
          <w:p w14:paraId="30E53D6A">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11</w:t>
            </w:r>
          </w:p>
        </w:tc>
        <w:tc>
          <w:tcPr>
            <w:tcW w:w="364" w:type="pct"/>
            <w:vMerge w:val="continue"/>
            <w:tcBorders>
              <w:left w:val="single" w:color="auto" w:sz="4" w:space="0"/>
              <w:right w:val="single" w:color="auto" w:sz="4" w:space="0"/>
            </w:tcBorders>
            <w:vAlign w:val="center"/>
          </w:tcPr>
          <w:p w14:paraId="2D3985FA">
            <w:pPr>
              <w:widowControl/>
              <w:spacing w:beforeLines="0" w:afterLines="0" w:line="240" w:lineRule="auto"/>
              <w:jc w:val="left"/>
              <w:rPr>
                <w:rFonts w:hint="eastAsia" w:ascii="宋体" w:hAnsi="宋体" w:cs="宋体"/>
                <w:sz w:val="18"/>
                <w:szCs w:val="18"/>
              </w:rPr>
            </w:pPr>
          </w:p>
        </w:tc>
        <w:tc>
          <w:tcPr>
            <w:tcW w:w="857" w:type="pct"/>
            <w:vMerge w:val="restart"/>
            <w:tcBorders>
              <w:top w:val="single" w:color="auto" w:sz="4" w:space="0"/>
              <w:left w:val="single" w:color="auto" w:sz="4" w:space="0"/>
              <w:bottom w:val="single" w:color="auto" w:sz="4" w:space="0"/>
              <w:right w:val="single" w:color="auto" w:sz="4" w:space="0"/>
            </w:tcBorders>
            <w:vAlign w:val="center"/>
          </w:tcPr>
          <w:p w14:paraId="2DC8EE72">
            <w:pPr>
              <w:pStyle w:val="146"/>
              <w:rPr>
                <w:rFonts w:hint="eastAsia" w:ascii="宋体" w:hAnsi="宋体" w:cs="宋体"/>
                <w:sz w:val="18"/>
                <w:szCs w:val="18"/>
              </w:rPr>
            </w:pPr>
            <w:r>
              <w:rPr>
                <w:rFonts w:hint="eastAsia" w:ascii="宋体" w:hAnsi="宋体" w:cs="宋体"/>
                <w:sz w:val="18"/>
                <w:szCs w:val="18"/>
              </w:rPr>
              <w:t>车辆撞击</w:t>
            </w:r>
          </w:p>
        </w:tc>
        <w:tc>
          <w:tcPr>
            <w:tcW w:w="1140" w:type="pct"/>
            <w:tcBorders>
              <w:top w:val="single" w:color="auto" w:sz="4" w:space="0"/>
              <w:left w:val="single" w:color="auto" w:sz="4" w:space="0"/>
              <w:bottom w:val="single" w:color="auto" w:sz="4" w:space="0"/>
              <w:right w:val="single" w:color="auto" w:sz="4" w:space="0"/>
            </w:tcBorders>
            <w:vAlign w:val="center"/>
          </w:tcPr>
          <w:p w14:paraId="29A1036A">
            <w:pPr>
              <w:pStyle w:val="146"/>
              <w:rPr>
                <w:rFonts w:hint="eastAsia" w:ascii="宋体" w:hAnsi="宋体" w:cs="宋体"/>
                <w:sz w:val="18"/>
                <w:szCs w:val="18"/>
              </w:rPr>
            </w:pPr>
            <w:r>
              <w:rPr>
                <w:rFonts w:hint="eastAsia" w:ascii="宋体" w:hAnsi="宋体" w:cs="宋体"/>
                <w:sz w:val="18"/>
                <w:szCs w:val="18"/>
              </w:rPr>
              <w:t>桥墩加速度</w:t>
            </w:r>
          </w:p>
        </w:tc>
        <w:tc>
          <w:tcPr>
            <w:tcW w:w="557" w:type="pct"/>
            <w:tcBorders>
              <w:top w:val="single" w:color="auto" w:sz="4" w:space="0"/>
              <w:left w:val="single" w:color="auto" w:sz="4" w:space="0"/>
              <w:bottom w:val="single" w:color="auto" w:sz="4" w:space="0"/>
              <w:right w:val="single" w:color="auto" w:sz="4" w:space="0"/>
            </w:tcBorders>
            <w:vAlign w:val="center"/>
          </w:tcPr>
          <w:p w14:paraId="3497342A">
            <w:pPr>
              <w:pStyle w:val="146"/>
              <w:rPr>
                <w:rFonts w:hint="eastAsia" w:ascii="宋体" w:hAnsi="宋体" w:cs="宋体"/>
                <w:sz w:val="18"/>
                <w:szCs w:val="18"/>
              </w:rPr>
            </w:pPr>
            <w:r>
              <w:rPr>
                <w:rFonts w:hint="eastAsia" w:ascii="宋体" w:hAnsi="宋体" w:cs="宋体"/>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714C846F">
            <w:pPr>
              <w:pStyle w:val="146"/>
              <w:rPr>
                <w:rFonts w:hint="eastAsia" w:ascii="宋体" w:hAnsi="宋体" w:cs="宋体"/>
                <w:sz w:val="18"/>
                <w:szCs w:val="18"/>
              </w:rPr>
            </w:pPr>
            <w:r>
              <w:rPr>
                <w:rFonts w:cs="宋体"/>
                <w:bCs/>
                <w:sz w:val="18"/>
                <w:szCs w:val="18"/>
              </w:rPr>
              <w:t>布设在有</w:t>
            </w:r>
            <w:r>
              <w:rPr>
                <w:rFonts w:hint="eastAsia" w:cs="宋体"/>
                <w:bCs/>
                <w:sz w:val="18"/>
                <w:szCs w:val="18"/>
              </w:rPr>
              <w:t>车</w:t>
            </w:r>
            <w:r>
              <w:rPr>
                <w:rFonts w:cs="宋体"/>
                <w:bCs/>
                <w:sz w:val="18"/>
                <w:szCs w:val="18"/>
              </w:rPr>
              <w:t>撞风险</w:t>
            </w:r>
            <w:r>
              <w:rPr>
                <w:rFonts w:hint="eastAsia" w:cs="宋体"/>
                <w:bCs/>
                <w:sz w:val="18"/>
                <w:szCs w:val="18"/>
              </w:rPr>
              <w:t>的桥墩处</w:t>
            </w:r>
          </w:p>
        </w:tc>
      </w:tr>
      <w:tr w14:paraId="02A4D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continue"/>
            <w:tcBorders>
              <w:left w:val="single" w:color="auto" w:sz="4" w:space="0"/>
              <w:bottom w:val="single" w:color="auto" w:sz="4" w:space="0"/>
              <w:right w:val="single" w:color="auto" w:sz="4" w:space="0"/>
            </w:tcBorders>
            <w:vAlign w:val="center"/>
          </w:tcPr>
          <w:p w14:paraId="3EA3A97A">
            <w:pPr>
              <w:widowControl/>
              <w:spacing w:beforeLines="0" w:afterLines="0" w:line="240" w:lineRule="auto"/>
              <w:jc w:val="center"/>
              <w:rPr>
                <w:rFonts w:hint="eastAsia" w:ascii="宋体" w:hAnsi="宋体" w:cs="宋体"/>
                <w:sz w:val="18"/>
                <w:szCs w:val="18"/>
              </w:rPr>
            </w:pPr>
          </w:p>
        </w:tc>
        <w:tc>
          <w:tcPr>
            <w:tcW w:w="364" w:type="pct"/>
            <w:vMerge w:val="continue"/>
            <w:tcBorders>
              <w:left w:val="single" w:color="auto" w:sz="4" w:space="0"/>
              <w:right w:val="single" w:color="auto" w:sz="4" w:space="0"/>
            </w:tcBorders>
            <w:vAlign w:val="center"/>
          </w:tcPr>
          <w:p w14:paraId="60BB85BC">
            <w:pPr>
              <w:widowControl/>
              <w:spacing w:beforeLines="0" w:afterLines="0" w:line="240" w:lineRule="auto"/>
              <w:jc w:val="left"/>
              <w:rPr>
                <w:rFonts w:hint="eastAsia" w:ascii="宋体" w:hAnsi="宋体" w:cs="宋体"/>
                <w:sz w:val="18"/>
                <w:szCs w:val="18"/>
              </w:rPr>
            </w:pPr>
          </w:p>
        </w:tc>
        <w:tc>
          <w:tcPr>
            <w:tcW w:w="857" w:type="pct"/>
            <w:vMerge w:val="continue"/>
            <w:tcBorders>
              <w:top w:val="single" w:color="auto" w:sz="4" w:space="0"/>
              <w:left w:val="single" w:color="auto" w:sz="4" w:space="0"/>
              <w:bottom w:val="single" w:color="auto" w:sz="4" w:space="0"/>
              <w:right w:val="single" w:color="auto" w:sz="4" w:space="0"/>
            </w:tcBorders>
            <w:vAlign w:val="center"/>
          </w:tcPr>
          <w:p w14:paraId="50FCE5A8">
            <w:pPr>
              <w:widowControl/>
              <w:spacing w:beforeLines="0" w:afterLines="0" w:line="240" w:lineRule="auto"/>
              <w:jc w:val="left"/>
              <w:rPr>
                <w:rFonts w:hint="eastAsia" w:ascii="宋体" w:hAnsi="宋体" w:cs="宋体"/>
                <w:sz w:val="18"/>
                <w:szCs w:val="18"/>
              </w:rPr>
            </w:pPr>
          </w:p>
        </w:tc>
        <w:tc>
          <w:tcPr>
            <w:tcW w:w="1140" w:type="pct"/>
            <w:tcBorders>
              <w:top w:val="single" w:color="auto" w:sz="4" w:space="0"/>
              <w:left w:val="single" w:color="auto" w:sz="4" w:space="0"/>
              <w:bottom w:val="single" w:color="auto" w:sz="4" w:space="0"/>
              <w:right w:val="single" w:color="auto" w:sz="4" w:space="0"/>
            </w:tcBorders>
            <w:vAlign w:val="center"/>
          </w:tcPr>
          <w:p w14:paraId="7B304DD6">
            <w:pPr>
              <w:pStyle w:val="146"/>
              <w:rPr>
                <w:rFonts w:hint="eastAsia" w:ascii="宋体" w:hAnsi="宋体" w:eastAsia="宋体" w:cs="宋体"/>
                <w:sz w:val="18"/>
                <w:szCs w:val="18"/>
                <w:lang w:eastAsia="zh-CN"/>
              </w:rPr>
            </w:pPr>
            <w:r>
              <w:rPr>
                <w:rFonts w:hint="eastAsia" w:ascii="宋体" w:hAnsi="宋体" w:cs="宋体"/>
                <w:sz w:val="18"/>
                <w:szCs w:val="18"/>
                <w:lang w:eastAsia="zh-CN"/>
              </w:rPr>
              <w:t>视频监控</w:t>
            </w:r>
          </w:p>
        </w:tc>
        <w:tc>
          <w:tcPr>
            <w:tcW w:w="557" w:type="pct"/>
            <w:tcBorders>
              <w:top w:val="single" w:color="auto" w:sz="4" w:space="0"/>
              <w:left w:val="single" w:color="auto" w:sz="4" w:space="0"/>
              <w:bottom w:val="single" w:color="auto" w:sz="4" w:space="0"/>
              <w:right w:val="single" w:color="auto" w:sz="4" w:space="0"/>
            </w:tcBorders>
            <w:vAlign w:val="center"/>
          </w:tcPr>
          <w:p w14:paraId="73B35FD8">
            <w:pPr>
              <w:pStyle w:val="146"/>
              <w:rPr>
                <w:rFonts w:hint="eastAsia" w:ascii="宋体" w:hAnsi="宋体" w:cs="宋体"/>
                <w:sz w:val="18"/>
                <w:szCs w:val="18"/>
              </w:rPr>
            </w:pPr>
            <w:r>
              <w:rPr>
                <w:rFonts w:hint="eastAsia" w:ascii="宋体" w:hAnsi="宋体" w:cs="宋体"/>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6B7E9003">
            <w:pPr>
              <w:pStyle w:val="146"/>
              <w:rPr>
                <w:rFonts w:hint="eastAsia" w:ascii="宋体" w:hAnsi="宋体" w:cs="宋体"/>
                <w:sz w:val="18"/>
                <w:szCs w:val="18"/>
              </w:rPr>
            </w:pPr>
            <w:r>
              <w:rPr>
                <w:rFonts w:cs="宋体"/>
                <w:bCs/>
                <w:sz w:val="18"/>
                <w:szCs w:val="18"/>
              </w:rPr>
              <w:t>布设在有船撞风险</w:t>
            </w:r>
            <w:r>
              <w:rPr>
                <w:rFonts w:hint="eastAsia" w:cs="宋体"/>
                <w:bCs/>
                <w:sz w:val="18"/>
                <w:szCs w:val="18"/>
              </w:rPr>
              <w:t>桥跨处</w:t>
            </w:r>
          </w:p>
        </w:tc>
      </w:tr>
      <w:tr w14:paraId="08B3F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restart"/>
            <w:tcBorders>
              <w:top w:val="single" w:color="auto" w:sz="4" w:space="0"/>
              <w:left w:val="single" w:color="auto" w:sz="4" w:space="0"/>
              <w:right w:val="single" w:color="auto" w:sz="4" w:space="0"/>
            </w:tcBorders>
            <w:vAlign w:val="center"/>
          </w:tcPr>
          <w:p w14:paraId="077113AF">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12</w:t>
            </w:r>
          </w:p>
        </w:tc>
        <w:tc>
          <w:tcPr>
            <w:tcW w:w="364" w:type="pct"/>
            <w:vMerge w:val="continue"/>
            <w:tcBorders>
              <w:left w:val="single" w:color="auto" w:sz="4" w:space="0"/>
              <w:right w:val="single" w:color="auto" w:sz="4" w:space="0"/>
            </w:tcBorders>
            <w:vAlign w:val="center"/>
          </w:tcPr>
          <w:p w14:paraId="0AF73E6E">
            <w:pPr>
              <w:widowControl/>
              <w:spacing w:beforeLines="0" w:afterLines="0" w:line="240" w:lineRule="auto"/>
              <w:jc w:val="left"/>
              <w:rPr>
                <w:rFonts w:hint="eastAsia" w:ascii="宋体" w:hAnsi="宋体" w:cs="宋体"/>
                <w:sz w:val="18"/>
                <w:szCs w:val="18"/>
              </w:rPr>
            </w:pPr>
          </w:p>
        </w:tc>
        <w:tc>
          <w:tcPr>
            <w:tcW w:w="857" w:type="pct"/>
            <w:vMerge w:val="restart"/>
            <w:tcBorders>
              <w:top w:val="single" w:color="auto" w:sz="4" w:space="0"/>
              <w:left w:val="single" w:color="auto" w:sz="4" w:space="0"/>
              <w:bottom w:val="single" w:color="auto" w:sz="4" w:space="0"/>
              <w:right w:val="single" w:color="auto" w:sz="4" w:space="0"/>
            </w:tcBorders>
            <w:vAlign w:val="center"/>
          </w:tcPr>
          <w:p w14:paraId="0874F86F">
            <w:pPr>
              <w:pStyle w:val="146"/>
              <w:rPr>
                <w:rFonts w:hint="eastAsia" w:ascii="宋体" w:hAnsi="宋体" w:cs="宋体"/>
                <w:sz w:val="18"/>
                <w:szCs w:val="18"/>
              </w:rPr>
            </w:pPr>
            <w:r>
              <w:rPr>
                <w:rFonts w:hint="eastAsia" w:ascii="宋体" w:hAnsi="宋体" w:cs="宋体"/>
                <w:sz w:val="18"/>
                <w:szCs w:val="18"/>
              </w:rPr>
              <w:t>地震</w:t>
            </w:r>
          </w:p>
        </w:tc>
        <w:tc>
          <w:tcPr>
            <w:tcW w:w="1140" w:type="pct"/>
            <w:tcBorders>
              <w:top w:val="single" w:color="auto" w:sz="4" w:space="0"/>
              <w:left w:val="single" w:color="auto" w:sz="4" w:space="0"/>
              <w:bottom w:val="single" w:color="auto" w:sz="4" w:space="0"/>
              <w:right w:val="single" w:color="auto" w:sz="4" w:space="0"/>
            </w:tcBorders>
            <w:vAlign w:val="center"/>
          </w:tcPr>
          <w:p w14:paraId="67AD5266">
            <w:pPr>
              <w:pStyle w:val="146"/>
              <w:rPr>
                <w:rFonts w:hint="eastAsia" w:ascii="宋体" w:hAnsi="宋体" w:cs="宋体"/>
                <w:sz w:val="18"/>
                <w:szCs w:val="18"/>
              </w:rPr>
            </w:pPr>
            <w:r>
              <w:rPr>
                <w:rFonts w:hint="eastAsia" w:ascii="宋体" w:hAnsi="宋体" w:cs="宋体"/>
                <w:sz w:val="18"/>
                <w:szCs w:val="18"/>
              </w:rPr>
              <w:t>桥岸地表场地加速度</w:t>
            </w:r>
          </w:p>
        </w:tc>
        <w:tc>
          <w:tcPr>
            <w:tcW w:w="557" w:type="pct"/>
            <w:tcBorders>
              <w:top w:val="single" w:color="auto" w:sz="4" w:space="0"/>
              <w:left w:val="single" w:color="auto" w:sz="4" w:space="0"/>
              <w:bottom w:val="single" w:color="auto" w:sz="4" w:space="0"/>
              <w:right w:val="single" w:color="auto" w:sz="4" w:space="0"/>
            </w:tcBorders>
            <w:vAlign w:val="center"/>
          </w:tcPr>
          <w:p w14:paraId="49A1E768">
            <w:pPr>
              <w:pStyle w:val="146"/>
              <w:rPr>
                <w:rFonts w:hint="eastAsia" w:ascii="宋体" w:hAnsi="宋体" w:cs="宋体"/>
                <w:sz w:val="18"/>
                <w:szCs w:val="18"/>
              </w:rPr>
            </w:pPr>
            <w:r>
              <w:rPr>
                <w:rFonts w:hint="eastAsia" w:ascii="宋体" w:hAnsi="宋体" w:cs="宋体"/>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19529FB6">
            <w:pPr>
              <w:pStyle w:val="146"/>
              <w:rPr>
                <w:rFonts w:hint="eastAsia" w:ascii="宋体" w:hAnsi="宋体" w:cs="宋体"/>
                <w:sz w:val="18"/>
                <w:szCs w:val="18"/>
              </w:rPr>
            </w:pPr>
            <w:r>
              <w:rPr>
                <w:rFonts w:hint="eastAsia" w:ascii="宋体" w:hAnsi="宋体" w:cs="宋体"/>
                <w:sz w:val="18"/>
                <w:szCs w:val="18"/>
              </w:rPr>
              <w:t>桥岸地表</w:t>
            </w:r>
          </w:p>
        </w:tc>
      </w:tr>
      <w:tr w14:paraId="6B604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continue"/>
            <w:tcBorders>
              <w:left w:val="single" w:color="auto" w:sz="4" w:space="0"/>
              <w:bottom w:val="single" w:color="auto" w:sz="4" w:space="0"/>
              <w:right w:val="single" w:color="auto" w:sz="4" w:space="0"/>
            </w:tcBorders>
            <w:vAlign w:val="center"/>
          </w:tcPr>
          <w:p w14:paraId="3707C7E7">
            <w:pPr>
              <w:widowControl/>
              <w:spacing w:beforeLines="0" w:afterLines="0" w:line="240" w:lineRule="auto"/>
              <w:jc w:val="center"/>
              <w:rPr>
                <w:rFonts w:hint="eastAsia" w:ascii="宋体" w:hAnsi="宋体" w:cs="宋体"/>
                <w:sz w:val="18"/>
                <w:szCs w:val="18"/>
              </w:rPr>
            </w:pPr>
          </w:p>
        </w:tc>
        <w:tc>
          <w:tcPr>
            <w:tcW w:w="364" w:type="pct"/>
            <w:vMerge w:val="continue"/>
            <w:tcBorders>
              <w:left w:val="single" w:color="auto" w:sz="4" w:space="0"/>
              <w:bottom w:val="single" w:color="auto" w:sz="4" w:space="0"/>
              <w:right w:val="single" w:color="auto" w:sz="4" w:space="0"/>
            </w:tcBorders>
            <w:vAlign w:val="center"/>
          </w:tcPr>
          <w:p w14:paraId="2A541541">
            <w:pPr>
              <w:widowControl/>
              <w:spacing w:beforeLines="0" w:afterLines="0" w:line="240" w:lineRule="auto"/>
              <w:jc w:val="left"/>
              <w:rPr>
                <w:rFonts w:hint="eastAsia" w:ascii="宋体" w:hAnsi="宋体" w:cs="宋体"/>
                <w:sz w:val="18"/>
                <w:szCs w:val="18"/>
              </w:rPr>
            </w:pPr>
          </w:p>
        </w:tc>
        <w:tc>
          <w:tcPr>
            <w:tcW w:w="857" w:type="pct"/>
            <w:vMerge w:val="continue"/>
            <w:tcBorders>
              <w:top w:val="single" w:color="auto" w:sz="4" w:space="0"/>
              <w:left w:val="single" w:color="auto" w:sz="4" w:space="0"/>
              <w:bottom w:val="single" w:color="auto" w:sz="4" w:space="0"/>
              <w:right w:val="single" w:color="auto" w:sz="4" w:space="0"/>
            </w:tcBorders>
            <w:vAlign w:val="center"/>
          </w:tcPr>
          <w:p w14:paraId="004245B0">
            <w:pPr>
              <w:widowControl/>
              <w:spacing w:beforeLines="0" w:afterLines="0" w:line="240" w:lineRule="auto"/>
              <w:jc w:val="left"/>
              <w:rPr>
                <w:rFonts w:hint="eastAsia" w:ascii="宋体" w:hAnsi="宋体" w:cs="宋体"/>
                <w:sz w:val="18"/>
                <w:szCs w:val="18"/>
              </w:rPr>
            </w:pPr>
          </w:p>
        </w:tc>
        <w:tc>
          <w:tcPr>
            <w:tcW w:w="1140" w:type="pct"/>
            <w:tcBorders>
              <w:top w:val="single" w:color="auto" w:sz="4" w:space="0"/>
              <w:left w:val="single" w:color="auto" w:sz="4" w:space="0"/>
              <w:bottom w:val="single" w:color="auto" w:sz="4" w:space="0"/>
              <w:right w:val="single" w:color="auto" w:sz="4" w:space="0"/>
            </w:tcBorders>
            <w:vAlign w:val="center"/>
          </w:tcPr>
          <w:p w14:paraId="5E9C0D9C">
            <w:pPr>
              <w:pStyle w:val="146"/>
              <w:rPr>
                <w:rFonts w:hint="eastAsia" w:ascii="宋体" w:hAnsi="宋体" w:cs="宋体"/>
                <w:sz w:val="18"/>
                <w:szCs w:val="18"/>
              </w:rPr>
            </w:pPr>
            <w:r>
              <w:rPr>
                <w:rFonts w:hint="eastAsia" w:ascii="宋体" w:hAnsi="宋体" w:cs="宋体"/>
                <w:sz w:val="18"/>
                <w:szCs w:val="18"/>
              </w:rPr>
              <w:t>承台顶或桥墩底部加速度</w:t>
            </w:r>
          </w:p>
        </w:tc>
        <w:tc>
          <w:tcPr>
            <w:tcW w:w="557" w:type="pct"/>
            <w:tcBorders>
              <w:top w:val="single" w:color="auto" w:sz="4" w:space="0"/>
              <w:left w:val="single" w:color="auto" w:sz="4" w:space="0"/>
              <w:bottom w:val="single" w:color="auto" w:sz="4" w:space="0"/>
              <w:right w:val="single" w:color="auto" w:sz="4" w:space="0"/>
            </w:tcBorders>
            <w:vAlign w:val="center"/>
          </w:tcPr>
          <w:p w14:paraId="272B664E">
            <w:pPr>
              <w:pStyle w:val="146"/>
              <w:rPr>
                <w:rFonts w:hint="eastAsia" w:ascii="宋体" w:hAnsi="宋体" w:cs="宋体"/>
                <w:sz w:val="18"/>
                <w:szCs w:val="18"/>
              </w:rPr>
            </w:pPr>
            <w:r>
              <w:rPr>
                <w:rFonts w:hint="eastAsia" w:ascii="宋体" w:hAnsi="宋体" w:cs="宋体"/>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71D821E2">
            <w:pPr>
              <w:pStyle w:val="146"/>
              <w:rPr>
                <w:rFonts w:hint="eastAsia" w:ascii="宋体" w:hAnsi="宋体" w:cs="宋体"/>
                <w:sz w:val="18"/>
                <w:szCs w:val="18"/>
              </w:rPr>
            </w:pPr>
            <w:r>
              <w:rPr>
                <w:rFonts w:hint="eastAsia" w:ascii="宋体" w:hAnsi="宋体" w:cs="宋体"/>
                <w:sz w:val="18"/>
                <w:szCs w:val="18"/>
              </w:rPr>
              <w:t>承台顶或桥墩底部</w:t>
            </w:r>
          </w:p>
        </w:tc>
      </w:tr>
      <w:tr w14:paraId="421F1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restart"/>
            <w:tcBorders>
              <w:top w:val="single" w:color="auto" w:sz="4" w:space="0"/>
              <w:left w:val="single" w:color="auto" w:sz="4" w:space="0"/>
              <w:right w:val="single" w:color="auto" w:sz="4" w:space="0"/>
            </w:tcBorders>
            <w:vAlign w:val="center"/>
          </w:tcPr>
          <w:p w14:paraId="4D5D3823">
            <w:pPr>
              <w:pStyle w:val="146"/>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13</w:t>
            </w:r>
          </w:p>
        </w:tc>
        <w:tc>
          <w:tcPr>
            <w:tcW w:w="364" w:type="pct"/>
            <w:vMerge w:val="restart"/>
            <w:tcBorders>
              <w:top w:val="single" w:color="auto" w:sz="4" w:space="0"/>
              <w:left w:val="single" w:color="auto" w:sz="4" w:space="0"/>
              <w:right w:val="single" w:color="auto" w:sz="4" w:space="0"/>
            </w:tcBorders>
            <w:vAlign w:val="center"/>
          </w:tcPr>
          <w:p w14:paraId="5616F055">
            <w:pPr>
              <w:pStyle w:val="146"/>
              <w:rPr>
                <w:rFonts w:hint="eastAsia" w:ascii="宋体" w:hAnsi="宋体" w:cs="宋体"/>
                <w:sz w:val="18"/>
                <w:szCs w:val="18"/>
              </w:rPr>
            </w:pPr>
            <w:r>
              <w:rPr>
                <w:rFonts w:hint="eastAsia" w:ascii="宋体" w:hAnsi="宋体" w:cs="宋体"/>
                <w:sz w:val="18"/>
                <w:szCs w:val="18"/>
              </w:rPr>
              <w:t>结构响应</w:t>
            </w:r>
          </w:p>
        </w:tc>
        <w:tc>
          <w:tcPr>
            <w:tcW w:w="857" w:type="pct"/>
            <w:vMerge w:val="restart"/>
            <w:tcBorders>
              <w:top w:val="single" w:color="auto" w:sz="4" w:space="0"/>
              <w:left w:val="single" w:color="auto" w:sz="4" w:space="0"/>
              <w:right w:val="single" w:color="auto" w:sz="4" w:space="0"/>
            </w:tcBorders>
            <w:vAlign w:val="center"/>
          </w:tcPr>
          <w:p w14:paraId="116FEEDC">
            <w:pPr>
              <w:pStyle w:val="146"/>
              <w:rPr>
                <w:rFonts w:hint="eastAsia" w:ascii="宋体" w:hAnsi="宋体" w:cs="宋体"/>
                <w:sz w:val="18"/>
                <w:szCs w:val="18"/>
              </w:rPr>
            </w:pPr>
            <w:r>
              <w:rPr>
                <w:rFonts w:hint="eastAsia" w:ascii="宋体" w:hAnsi="宋体" w:cs="宋体"/>
                <w:sz w:val="18"/>
                <w:szCs w:val="18"/>
              </w:rPr>
              <w:t>位移</w:t>
            </w:r>
          </w:p>
        </w:tc>
        <w:tc>
          <w:tcPr>
            <w:tcW w:w="1140" w:type="pct"/>
            <w:tcBorders>
              <w:top w:val="single" w:color="auto" w:sz="4" w:space="0"/>
              <w:left w:val="single" w:color="auto" w:sz="4" w:space="0"/>
              <w:bottom w:val="single" w:color="auto" w:sz="4" w:space="0"/>
              <w:right w:val="single" w:color="auto" w:sz="4" w:space="0"/>
            </w:tcBorders>
            <w:vAlign w:val="center"/>
          </w:tcPr>
          <w:p w14:paraId="50A7432A">
            <w:pPr>
              <w:pStyle w:val="146"/>
              <w:rPr>
                <w:rFonts w:hint="eastAsia" w:ascii="宋体" w:hAnsi="宋体" w:cs="宋体"/>
                <w:bCs/>
                <w:sz w:val="18"/>
                <w:szCs w:val="18"/>
              </w:rPr>
            </w:pPr>
            <w:r>
              <w:rPr>
                <w:rFonts w:hint="eastAsia" w:ascii="宋体" w:hAnsi="宋体" w:cs="宋体"/>
                <w:bCs/>
                <w:sz w:val="18"/>
                <w:szCs w:val="18"/>
              </w:rPr>
              <w:t>主梁竖向位移</w:t>
            </w:r>
          </w:p>
        </w:tc>
        <w:tc>
          <w:tcPr>
            <w:tcW w:w="557" w:type="pct"/>
            <w:tcBorders>
              <w:top w:val="single" w:color="auto" w:sz="4" w:space="0"/>
              <w:left w:val="single" w:color="auto" w:sz="4" w:space="0"/>
              <w:bottom w:val="single" w:color="auto" w:sz="4" w:space="0"/>
              <w:right w:val="single" w:color="auto" w:sz="4" w:space="0"/>
            </w:tcBorders>
            <w:vAlign w:val="center"/>
          </w:tcPr>
          <w:p w14:paraId="493790B6">
            <w:pPr>
              <w:pStyle w:val="146"/>
              <w:rPr>
                <w:rFonts w:hint="eastAsia" w:ascii="宋体" w:hAnsi="宋体" w:cs="宋体"/>
                <w:bCs/>
                <w:sz w:val="18"/>
                <w:szCs w:val="18"/>
              </w:rPr>
            </w:pPr>
            <w:r>
              <w:rPr>
                <w:rFonts w:hint="eastAsia" w:ascii="宋体" w:hAnsi="宋体" w:cs="宋体"/>
                <w:bCs/>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6EE882C3">
            <w:pPr>
              <w:pStyle w:val="146"/>
              <w:rPr>
                <w:rFonts w:hint="eastAsia" w:ascii="宋体" w:hAnsi="宋体" w:cs="宋体"/>
                <w:sz w:val="18"/>
                <w:szCs w:val="18"/>
              </w:rPr>
            </w:pPr>
            <w:r>
              <w:rPr>
                <w:rFonts w:hint="eastAsia" w:ascii="宋体" w:hAnsi="宋体" w:cs="宋体"/>
                <w:sz w:val="18"/>
                <w:szCs w:val="18"/>
              </w:rPr>
              <w:t>跨中截面</w:t>
            </w:r>
            <w:r>
              <w:rPr>
                <w:rFonts w:hint="eastAsia" w:cs="宋体"/>
                <w:bCs/>
                <w:sz w:val="18"/>
                <w:szCs w:val="18"/>
              </w:rPr>
              <w:t>，宜布置于车道下方，</w:t>
            </w:r>
            <w:r>
              <w:rPr>
                <w:rFonts w:hint="eastAsia" w:cs="宋体"/>
                <w:bCs/>
                <w:sz w:val="18"/>
                <w:szCs w:val="18"/>
                <w:lang w:eastAsia="zh-CN"/>
              </w:rPr>
              <w:t>不低于</w:t>
            </w:r>
            <w:r>
              <w:rPr>
                <w:rFonts w:hint="eastAsia" w:cs="宋体"/>
                <w:bCs/>
                <w:sz w:val="18"/>
                <w:szCs w:val="18"/>
              </w:rPr>
              <w:t>2处</w:t>
            </w:r>
          </w:p>
        </w:tc>
      </w:tr>
      <w:tr w14:paraId="61615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continue"/>
            <w:tcBorders>
              <w:left w:val="single" w:color="auto" w:sz="4" w:space="0"/>
              <w:right w:val="single" w:color="auto" w:sz="4" w:space="0"/>
            </w:tcBorders>
            <w:vAlign w:val="center"/>
          </w:tcPr>
          <w:p w14:paraId="75B2069E">
            <w:pPr>
              <w:widowControl/>
              <w:spacing w:beforeLines="0" w:afterLines="0" w:line="240" w:lineRule="auto"/>
              <w:jc w:val="center"/>
              <w:rPr>
                <w:rFonts w:hint="eastAsia" w:ascii="宋体" w:hAnsi="宋体" w:cs="宋体"/>
                <w:sz w:val="18"/>
                <w:szCs w:val="18"/>
              </w:rPr>
            </w:pPr>
          </w:p>
        </w:tc>
        <w:tc>
          <w:tcPr>
            <w:tcW w:w="364" w:type="pct"/>
            <w:vMerge w:val="continue"/>
            <w:tcBorders>
              <w:left w:val="single" w:color="auto" w:sz="4" w:space="0"/>
              <w:right w:val="single" w:color="auto" w:sz="4" w:space="0"/>
            </w:tcBorders>
            <w:vAlign w:val="center"/>
          </w:tcPr>
          <w:p w14:paraId="0A43852E">
            <w:pPr>
              <w:widowControl/>
              <w:spacing w:beforeLines="0" w:afterLines="0" w:line="240" w:lineRule="auto"/>
              <w:jc w:val="left"/>
              <w:rPr>
                <w:rFonts w:hint="eastAsia" w:ascii="宋体" w:hAnsi="宋体" w:cs="宋体"/>
                <w:sz w:val="18"/>
                <w:szCs w:val="18"/>
              </w:rPr>
            </w:pPr>
          </w:p>
        </w:tc>
        <w:tc>
          <w:tcPr>
            <w:tcW w:w="857" w:type="pct"/>
            <w:vMerge w:val="continue"/>
            <w:tcBorders>
              <w:left w:val="single" w:color="auto" w:sz="4" w:space="0"/>
              <w:right w:val="single" w:color="auto" w:sz="4" w:space="0"/>
            </w:tcBorders>
            <w:vAlign w:val="center"/>
          </w:tcPr>
          <w:p w14:paraId="3D75AB90">
            <w:pPr>
              <w:widowControl/>
              <w:spacing w:beforeLines="0" w:afterLines="0" w:line="240" w:lineRule="auto"/>
              <w:jc w:val="left"/>
              <w:rPr>
                <w:rFonts w:hint="eastAsia" w:ascii="宋体" w:hAnsi="宋体" w:cs="宋体"/>
                <w:sz w:val="18"/>
                <w:szCs w:val="18"/>
              </w:rPr>
            </w:pPr>
          </w:p>
        </w:tc>
        <w:tc>
          <w:tcPr>
            <w:tcW w:w="1140" w:type="pct"/>
            <w:tcBorders>
              <w:top w:val="single" w:color="auto" w:sz="4" w:space="0"/>
              <w:left w:val="single" w:color="auto" w:sz="4" w:space="0"/>
              <w:bottom w:val="single" w:color="auto" w:sz="4" w:space="0"/>
              <w:right w:val="single" w:color="auto" w:sz="4" w:space="0"/>
            </w:tcBorders>
            <w:vAlign w:val="center"/>
          </w:tcPr>
          <w:p w14:paraId="65BEC7B9">
            <w:pPr>
              <w:pStyle w:val="146"/>
              <w:rPr>
                <w:rFonts w:hint="eastAsia" w:ascii="宋体" w:hAnsi="宋体" w:cs="宋体"/>
                <w:sz w:val="18"/>
                <w:szCs w:val="18"/>
              </w:rPr>
            </w:pPr>
            <w:r>
              <w:rPr>
                <w:rFonts w:hint="eastAsia" w:ascii="宋体" w:hAnsi="宋体" w:cs="宋体"/>
                <w:sz w:val="18"/>
                <w:szCs w:val="18"/>
              </w:rPr>
              <w:t>主梁横向位移</w:t>
            </w:r>
          </w:p>
        </w:tc>
        <w:tc>
          <w:tcPr>
            <w:tcW w:w="557" w:type="pct"/>
            <w:tcBorders>
              <w:top w:val="single" w:color="auto" w:sz="4" w:space="0"/>
              <w:left w:val="single" w:color="auto" w:sz="4" w:space="0"/>
              <w:bottom w:val="single" w:color="auto" w:sz="4" w:space="0"/>
              <w:right w:val="single" w:color="auto" w:sz="4" w:space="0"/>
            </w:tcBorders>
            <w:vAlign w:val="center"/>
          </w:tcPr>
          <w:p w14:paraId="0A1B61CF">
            <w:pPr>
              <w:pStyle w:val="146"/>
              <w:rPr>
                <w:rFonts w:hint="eastAsia" w:ascii="宋体" w:hAnsi="宋体" w:cs="宋体"/>
                <w:sz w:val="18"/>
                <w:szCs w:val="18"/>
              </w:rPr>
            </w:pPr>
            <w:r>
              <w:rPr>
                <w:rFonts w:hint="eastAsia" w:ascii="宋体" w:hAnsi="宋体" w:cs="宋体"/>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077B1482">
            <w:pPr>
              <w:pStyle w:val="146"/>
              <w:rPr>
                <w:rFonts w:hint="eastAsia" w:ascii="宋体" w:hAnsi="宋体" w:cs="宋体"/>
                <w:sz w:val="18"/>
                <w:szCs w:val="18"/>
              </w:rPr>
            </w:pPr>
            <w:r>
              <w:rPr>
                <w:rFonts w:hint="eastAsia" w:ascii="宋体" w:hAnsi="宋体" w:cs="宋体"/>
                <w:sz w:val="18"/>
                <w:szCs w:val="18"/>
              </w:rPr>
              <w:t>梁端截面</w:t>
            </w:r>
          </w:p>
        </w:tc>
      </w:tr>
      <w:tr w14:paraId="04BB2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continue"/>
            <w:tcBorders>
              <w:left w:val="single" w:color="auto" w:sz="4" w:space="0"/>
              <w:right w:val="single" w:color="auto" w:sz="4" w:space="0"/>
            </w:tcBorders>
            <w:vAlign w:val="center"/>
          </w:tcPr>
          <w:p w14:paraId="02C778C9">
            <w:pPr>
              <w:widowControl/>
              <w:spacing w:beforeLines="0" w:afterLines="0" w:line="240" w:lineRule="auto"/>
              <w:jc w:val="center"/>
              <w:rPr>
                <w:rFonts w:hint="eastAsia" w:ascii="宋体" w:hAnsi="宋体" w:cs="宋体"/>
                <w:sz w:val="18"/>
                <w:szCs w:val="18"/>
              </w:rPr>
            </w:pPr>
          </w:p>
        </w:tc>
        <w:tc>
          <w:tcPr>
            <w:tcW w:w="364" w:type="pct"/>
            <w:vMerge w:val="continue"/>
            <w:tcBorders>
              <w:left w:val="single" w:color="auto" w:sz="4" w:space="0"/>
              <w:right w:val="single" w:color="auto" w:sz="4" w:space="0"/>
            </w:tcBorders>
            <w:vAlign w:val="center"/>
          </w:tcPr>
          <w:p w14:paraId="5637EE5C">
            <w:pPr>
              <w:widowControl/>
              <w:spacing w:beforeLines="0" w:afterLines="0" w:line="240" w:lineRule="auto"/>
              <w:jc w:val="left"/>
              <w:rPr>
                <w:rFonts w:hint="eastAsia" w:ascii="宋体" w:hAnsi="宋体" w:cs="宋体"/>
                <w:sz w:val="18"/>
                <w:szCs w:val="18"/>
              </w:rPr>
            </w:pPr>
          </w:p>
        </w:tc>
        <w:tc>
          <w:tcPr>
            <w:tcW w:w="857" w:type="pct"/>
            <w:vMerge w:val="continue"/>
            <w:tcBorders>
              <w:left w:val="single" w:color="auto" w:sz="4" w:space="0"/>
              <w:right w:val="single" w:color="auto" w:sz="4" w:space="0"/>
            </w:tcBorders>
            <w:vAlign w:val="center"/>
          </w:tcPr>
          <w:p w14:paraId="4D3EF954">
            <w:pPr>
              <w:widowControl/>
              <w:spacing w:beforeLines="0" w:afterLines="0" w:line="240" w:lineRule="auto"/>
              <w:jc w:val="left"/>
              <w:rPr>
                <w:rFonts w:hint="eastAsia" w:ascii="宋体" w:hAnsi="宋体" w:cs="宋体"/>
                <w:sz w:val="18"/>
                <w:szCs w:val="18"/>
              </w:rPr>
            </w:pPr>
          </w:p>
        </w:tc>
        <w:tc>
          <w:tcPr>
            <w:tcW w:w="1140" w:type="pct"/>
            <w:tcBorders>
              <w:top w:val="single" w:color="auto" w:sz="4" w:space="0"/>
              <w:left w:val="single" w:color="auto" w:sz="4" w:space="0"/>
              <w:bottom w:val="single" w:color="auto" w:sz="4" w:space="0"/>
              <w:right w:val="single" w:color="auto" w:sz="4" w:space="0"/>
            </w:tcBorders>
            <w:vAlign w:val="center"/>
          </w:tcPr>
          <w:p w14:paraId="170B20B1">
            <w:pPr>
              <w:pStyle w:val="146"/>
              <w:rPr>
                <w:rFonts w:hint="eastAsia" w:ascii="宋体" w:hAnsi="宋体" w:cs="宋体"/>
                <w:sz w:val="18"/>
                <w:szCs w:val="18"/>
              </w:rPr>
            </w:pPr>
            <w:r>
              <w:rPr>
                <w:rFonts w:hint="eastAsia" w:ascii="宋体" w:hAnsi="宋体" w:cs="宋体"/>
                <w:bCs/>
                <w:sz w:val="18"/>
                <w:szCs w:val="18"/>
              </w:rPr>
              <w:t>拱顶位移</w:t>
            </w:r>
          </w:p>
        </w:tc>
        <w:tc>
          <w:tcPr>
            <w:tcW w:w="557" w:type="pct"/>
            <w:tcBorders>
              <w:top w:val="single" w:color="auto" w:sz="4" w:space="0"/>
              <w:left w:val="single" w:color="auto" w:sz="4" w:space="0"/>
              <w:bottom w:val="single" w:color="auto" w:sz="4" w:space="0"/>
              <w:right w:val="single" w:color="auto" w:sz="4" w:space="0"/>
            </w:tcBorders>
            <w:vAlign w:val="center"/>
          </w:tcPr>
          <w:p w14:paraId="605F442D">
            <w:pPr>
              <w:pStyle w:val="146"/>
              <w:rPr>
                <w:rFonts w:hint="eastAsia" w:ascii="宋体" w:hAnsi="宋体" w:cs="宋体"/>
                <w:sz w:val="18"/>
                <w:szCs w:val="18"/>
              </w:rPr>
            </w:pPr>
            <w:r>
              <w:rPr>
                <w:rFonts w:hint="eastAsia" w:ascii="宋体" w:hAnsi="宋体" w:cs="宋体"/>
                <w:bCs/>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56484A6E">
            <w:pPr>
              <w:pStyle w:val="146"/>
              <w:rPr>
                <w:rFonts w:hint="eastAsia" w:ascii="宋体" w:hAnsi="宋体" w:cs="宋体"/>
                <w:sz w:val="18"/>
                <w:szCs w:val="18"/>
              </w:rPr>
            </w:pPr>
            <w:r>
              <w:rPr>
                <w:rFonts w:hint="eastAsia" w:ascii="宋体" w:hAnsi="宋体" w:cs="宋体"/>
                <w:sz w:val="18"/>
                <w:szCs w:val="18"/>
              </w:rPr>
              <w:t>拱顶截面</w:t>
            </w:r>
          </w:p>
        </w:tc>
      </w:tr>
      <w:tr w14:paraId="06106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continue"/>
            <w:tcBorders>
              <w:left w:val="single" w:color="auto" w:sz="4" w:space="0"/>
              <w:right w:val="single" w:color="auto" w:sz="4" w:space="0"/>
            </w:tcBorders>
            <w:vAlign w:val="center"/>
          </w:tcPr>
          <w:p w14:paraId="6601CABA">
            <w:pPr>
              <w:widowControl/>
              <w:spacing w:beforeLines="0" w:afterLines="0" w:line="240" w:lineRule="auto"/>
              <w:jc w:val="center"/>
              <w:rPr>
                <w:rFonts w:hint="eastAsia" w:ascii="宋体" w:hAnsi="宋体" w:cs="宋体"/>
                <w:sz w:val="18"/>
                <w:szCs w:val="18"/>
              </w:rPr>
            </w:pPr>
          </w:p>
        </w:tc>
        <w:tc>
          <w:tcPr>
            <w:tcW w:w="364" w:type="pct"/>
            <w:vMerge w:val="continue"/>
            <w:tcBorders>
              <w:left w:val="single" w:color="auto" w:sz="4" w:space="0"/>
              <w:right w:val="single" w:color="auto" w:sz="4" w:space="0"/>
            </w:tcBorders>
            <w:vAlign w:val="center"/>
          </w:tcPr>
          <w:p w14:paraId="60E86499">
            <w:pPr>
              <w:widowControl/>
              <w:spacing w:beforeLines="0" w:afterLines="0" w:line="240" w:lineRule="auto"/>
              <w:jc w:val="left"/>
              <w:rPr>
                <w:rFonts w:hint="eastAsia" w:ascii="宋体" w:hAnsi="宋体" w:cs="宋体"/>
                <w:sz w:val="18"/>
                <w:szCs w:val="18"/>
              </w:rPr>
            </w:pPr>
          </w:p>
        </w:tc>
        <w:tc>
          <w:tcPr>
            <w:tcW w:w="857" w:type="pct"/>
            <w:vMerge w:val="continue"/>
            <w:tcBorders>
              <w:left w:val="single" w:color="auto" w:sz="4" w:space="0"/>
              <w:right w:val="single" w:color="auto" w:sz="4" w:space="0"/>
            </w:tcBorders>
            <w:vAlign w:val="center"/>
          </w:tcPr>
          <w:p w14:paraId="076532F2">
            <w:pPr>
              <w:widowControl/>
              <w:spacing w:beforeLines="0" w:afterLines="0" w:line="240" w:lineRule="auto"/>
              <w:jc w:val="left"/>
              <w:rPr>
                <w:rFonts w:hint="eastAsia" w:ascii="宋体" w:hAnsi="宋体" w:cs="宋体"/>
                <w:sz w:val="18"/>
                <w:szCs w:val="18"/>
              </w:rPr>
            </w:pPr>
          </w:p>
        </w:tc>
        <w:tc>
          <w:tcPr>
            <w:tcW w:w="1140" w:type="pct"/>
            <w:tcBorders>
              <w:top w:val="single" w:color="auto" w:sz="4" w:space="0"/>
              <w:left w:val="single" w:color="auto" w:sz="4" w:space="0"/>
              <w:bottom w:val="single" w:color="auto" w:sz="4" w:space="0"/>
              <w:right w:val="single" w:color="auto" w:sz="4" w:space="0"/>
            </w:tcBorders>
            <w:vAlign w:val="center"/>
          </w:tcPr>
          <w:p w14:paraId="65B42F7D">
            <w:pPr>
              <w:pStyle w:val="146"/>
              <w:rPr>
                <w:rFonts w:hint="eastAsia" w:ascii="宋体" w:hAnsi="宋体" w:cs="宋体"/>
                <w:sz w:val="18"/>
                <w:szCs w:val="18"/>
              </w:rPr>
            </w:pPr>
            <w:r>
              <w:rPr>
                <w:rFonts w:hint="eastAsia" w:ascii="宋体" w:hAnsi="宋体" w:cs="宋体"/>
                <w:sz w:val="18"/>
                <w:szCs w:val="18"/>
              </w:rPr>
              <w:t>支座位移</w:t>
            </w:r>
          </w:p>
        </w:tc>
        <w:tc>
          <w:tcPr>
            <w:tcW w:w="557" w:type="pct"/>
            <w:tcBorders>
              <w:top w:val="single" w:color="auto" w:sz="4" w:space="0"/>
              <w:left w:val="single" w:color="auto" w:sz="4" w:space="0"/>
              <w:bottom w:val="single" w:color="auto" w:sz="4" w:space="0"/>
              <w:right w:val="single" w:color="auto" w:sz="4" w:space="0"/>
            </w:tcBorders>
            <w:vAlign w:val="center"/>
          </w:tcPr>
          <w:p w14:paraId="42E668B6">
            <w:pPr>
              <w:pStyle w:val="146"/>
              <w:rPr>
                <w:rFonts w:hint="eastAsia" w:ascii="宋体" w:hAnsi="宋体" w:cs="宋体"/>
                <w:sz w:val="18"/>
                <w:szCs w:val="18"/>
              </w:rPr>
            </w:pPr>
            <w:r>
              <w:rPr>
                <w:rFonts w:hint="eastAsia" w:ascii="宋体" w:hAnsi="宋体" w:cs="宋体"/>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64C28370">
            <w:pPr>
              <w:pStyle w:val="146"/>
              <w:rPr>
                <w:rFonts w:hint="eastAsia" w:ascii="宋体" w:hAnsi="宋体" w:cs="宋体"/>
                <w:sz w:val="18"/>
                <w:szCs w:val="18"/>
              </w:rPr>
            </w:pPr>
            <w:r>
              <w:rPr>
                <w:rFonts w:hint="eastAsia" w:ascii="宋体" w:hAnsi="宋体" w:cs="宋体"/>
                <w:sz w:val="18"/>
                <w:szCs w:val="18"/>
              </w:rPr>
              <w:t>-</w:t>
            </w:r>
          </w:p>
        </w:tc>
      </w:tr>
      <w:tr w14:paraId="2D096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continue"/>
            <w:tcBorders>
              <w:left w:val="single" w:color="auto" w:sz="4" w:space="0"/>
              <w:right w:val="single" w:color="auto" w:sz="4" w:space="0"/>
            </w:tcBorders>
            <w:vAlign w:val="center"/>
          </w:tcPr>
          <w:p w14:paraId="6E54E208">
            <w:pPr>
              <w:widowControl/>
              <w:spacing w:beforeLines="0" w:afterLines="0" w:line="240" w:lineRule="auto"/>
              <w:jc w:val="center"/>
              <w:rPr>
                <w:rFonts w:hint="eastAsia" w:ascii="宋体" w:hAnsi="宋体" w:cs="宋体"/>
                <w:sz w:val="18"/>
                <w:szCs w:val="18"/>
              </w:rPr>
            </w:pPr>
          </w:p>
        </w:tc>
        <w:tc>
          <w:tcPr>
            <w:tcW w:w="364" w:type="pct"/>
            <w:vMerge w:val="continue"/>
            <w:tcBorders>
              <w:left w:val="single" w:color="auto" w:sz="4" w:space="0"/>
              <w:right w:val="single" w:color="auto" w:sz="4" w:space="0"/>
            </w:tcBorders>
            <w:vAlign w:val="center"/>
          </w:tcPr>
          <w:p w14:paraId="504165EF">
            <w:pPr>
              <w:widowControl/>
              <w:spacing w:beforeLines="0" w:afterLines="0" w:line="240" w:lineRule="auto"/>
              <w:jc w:val="left"/>
              <w:rPr>
                <w:rFonts w:hint="eastAsia" w:ascii="宋体" w:hAnsi="宋体" w:cs="宋体"/>
                <w:sz w:val="18"/>
                <w:szCs w:val="18"/>
              </w:rPr>
            </w:pPr>
          </w:p>
        </w:tc>
        <w:tc>
          <w:tcPr>
            <w:tcW w:w="857" w:type="pct"/>
            <w:vMerge w:val="continue"/>
            <w:tcBorders>
              <w:left w:val="single" w:color="auto" w:sz="4" w:space="0"/>
              <w:right w:val="single" w:color="auto" w:sz="4" w:space="0"/>
            </w:tcBorders>
            <w:vAlign w:val="center"/>
          </w:tcPr>
          <w:p w14:paraId="5EE0BD74">
            <w:pPr>
              <w:widowControl/>
              <w:spacing w:beforeLines="0" w:afterLines="0" w:line="240" w:lineRule="auto"/>
              <w:jc w:val="left"/>
              <w:rPr>
                <w:rFonts w:hint="eastAsia" w:ascii="宋体" w:hAnsi="宋体" w:cs="宋体"/>
                <w:sz w:val="18"/>
                <w:szCs w:val="18"/>
              </w:rPr>
            </w:pPr>
          </w:p>
        </w:tc>
        <w:tc>
          <w:tcPr>
            <w:tcW w:w="1140" w:type="pct"/>
            <w:tcBorders>
              <w:top w:val="single" w:color="auto" w:sz="4" w:space="0"/>
              <w:left w:val="single" w:color="auto" w:sz="4" w:space="0"/>
              <w:bottom w:val="single" w:color="auto" w:sz="4" w:space="0"/>
              <w:right w:val="single" w:color="auto" w:sz="4" w:space="0"/>
            </w:tcBorders>
            <w:vAlign w:val="center"/>
          </w:tcPr>
          <w:p w14:paraId="7EB0F9B5">
            <w:pPr>
              <w:pStyle w:val="146"/>
              <w:rPr>
                <w:rFonts w:hint="eastAsia" w:ascii="宋体" w:hAnsi="宋体" w:cs="宋体"/>
                <w:sz w:val="18"/>
                <w:szCs w:val="18"/>
              </w:rPr>
            </w:pPr>
            <w:r>
              <w:rPr>
                <w:rFonts w:hint="eastAsia" w:ascii="宋体" w:hAnsi="宋体" w:cs="宋体"/>
                <w:sz w:val="18"/>
                <w:szCs w:val="18"/>
              </w:rPr>
              <w:t>梁端纵向位移</w:t>
            </w:r>
          </w:p>
        </w:tc>
        <w:tc>
          <w:tcPr>
            <w:tcW w:w="557" w:type="pct"/>
            <w:tcBorders>
              <w:top w:val="single" w:color="auto" w:sz="4" w:space="0"/>
              <w:left w:val="single" w:color="auto" w:sz="4" w:space="0"/>
              <w:bottom w:val="single" w:color="auto" w:sz="4" w:space="0"/>
              <w:right w:val="single" w:color="auto" w:sz="4" w:space="0"/>
            </w:tcBorders>
            <w:vAlign w:val="center"/>
          </w:tcPr>
          <w:p w14:paraId="3BF92065">
            <w:pPr>
              <w:pStyle w:val="146"/>
              <w:rPr>
                <w:rFonts w:hint="eastAsia" w:ascii="宋体" w:hAnsi="宋体" w:cs="宋体"/>
                <w:sz w:val="18"/>
                <w:szCs w:val="18"/>
              </w:rPr>
            </w:pPr>
            <w:r>
              <w:rPr>
                <w:rFonts w:hint="eastAsia" w:ascii="宋体" w:hAnsi="宋体" w:cs="宋体"/>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43DEE790">
            <w:pPr>
              <w:pStyle w:val="146"/>
              <w:rPr>
                <w:rFonts w:hint="eastAsia" w:ascii="宋体" w:hAnsi="宋体" w:cs="宋体"/>
                <w:sz w:val="18"/>
                <w:szCs w:val="18"/>
              </w:rPr>
            </w:pPr>
            <w:r>
              <w:rPr>
                <w:rFonts w:hint="eastAsia" w:ascii="宋体" w:hAnsi="宋体" w:cs="宋体"/>
                <w:sz w:val="18"/>
                <w:szCs w:val="18"/>
              </w:rPr>
              <w:t>梁端截面</w:t>
            </w:r>
          </w:p>
        </w:tc>
      </w:tr>
      <w:tr w14:paraId="7A342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continue"/>
            <w:tcBorders>
              <w:left w:val="single" w:color="auto" w:sz="4" w:space="0"/>
              <w:right w:val="single" w:color="auto" w:sz="4" w:space="0"/>
            </w:tcBorders>
            <w:vAlign w:val="center"/>
          </w:tcPr>
          <w:p w14:paraId="7BBB5F28">
            <w:pPr>
              <w:widowControl/>
              <w:spacing w:beforeLines="0" w:afterLines="0" w:line="240" w:lineRule="auto"/>
              <w:jc w:val="center"/>
              <w:rPr>
                <w:rFonts w:hint="eastAsia" w:ascii="宋体" w:hAnsi="宋体" w:cs="宋体"/>
                <w:sz w:val="18"/>
                <w:szCs w:val="18"/>
              </w:rPr>
            </w:pPr>
          </w:p>
        </w:tc>
        <w:tc>
          <w:tcPr>
            <w:tcW w:w="364" w:type="pct"/>
            <w:vMerge w:val="continue"/>
            <w:tcBorders>
              <w:left w:val="single" w:color="auto" w:sz="4" w:space="0"/>
              <w:right w:val="single" w:color="auto" w:sz="4" w:space="0"/>
            </w:tcBorders>
            <w:vAlign w:val="center"/>
          </w:tcPr>
          <w:p w14:paraId="57F304DC">
            <w:pPr>
              <w:widowControl/>
              <w:spacing w:beforeLines="0" w:afterLines="0" w:line="240" w:lineRule="auto"/>
              <w:jc w:val="left"/>
              <w:rPr>
                <w:rFonts w:hint="eastAsia" w:ascii="宋体" w:hAnsi="宋体" w:cs="宋体"/>
                <w:sz w:val="18"/>
                <w:szCs w:val="18"/>
              </w:rPr>
            </w:pPr>
          </w:p>
        </w:tc>
        <w:tc>
          <w:tcPr>
            <w:tcW w:w="857" w:type="pct"/>
            <w:vMerge w:val="continue"/>
            <w:tcBorders>
              <w:left w:val="single" w:color="auto" w:sz="4" w:space="0"/>
              <w:right w:val="single" w:color="auto" w:sz="4" w:space="0"/>
            </w:tcBorders>
            <w:vAlign w:val="center"/>
          </w:tcPr>
          <w:p w14:paraId="09BD3291">
            <w:pPr>
              <w:widowControl/>
              <w:spacing w:beforeLines="0" w:afterLines="0" w:line="240" w:lineRule="auto"/>
              <w:jc w:val="left"/>
              <w:rPr>
                <w:rFonts w:hint="eastAsia" w:ascii="宋体" w:hAnsi="宋体" w:cs="宋体"/>
                <w:sz w:val="18"/>
                <w:szCs w:val="18"/>
              </w:rPr>
            </w:pPr>
          </w:p>
        </w:tc>
        <w:tc>
          <w:tcPr>
            <w:tcW w:w="1140" w:type="pct"/>
            <w:tcBorders>
              <w:top w:val="single" w:color="auto" w:sz="4" w:space="0"/>
              <w:left w:val="single" w:color="auto" w:sz="4" w:space="0"/>
              <w:bottom w:val="single" w:color="auto" w:sz="4" w:space="0"/>
              <w:right w:val="single" w:color="auto" w:sz="4" w:space="0"/>
            </w:tcBorders>
            <w:vAlign w:val="center"/>
          </w:tcPr>
          <w:p w14:paraId="7CDF7DCD">
            <w:pPr>
              <w:pStyle w:val="146"/>
              <w:rPr>
                <w:rFonts w:hint="eastAsia" w:ascii="宋体" w:hAnsi="宋体" w:cs="宋体"/>
                <w:sz w:val="18"/>
                <w:szCs w:val="18"/>
              </w:rPr>
            </w:pPr>
            <w:r>
              <w:rPr>
                <w:rFonts w:hint="eastAsia" w:ascii="宋体" w:hAnsi="宋体" w:cs="宋体"/>
                <w:sz w:val="18"/>
                <w:szCs w:val="18"/>
              </w:rPr>
              <w:t>墩顶倾斜</w:t>
            </w:r>
          </w:p>
        </w:tc>
        <w:tc>
          <w:tcPr>
            <w:tcW w:w="557" w:type="pct"/>
            <w:tcBorders>
              <w:top w:val="single" w:color="auto" w:sz="4" w:space="0"/>
              <w:left w:val="single" w:color="auto" w:sz="4" w:space="0"/>
              <w:bottom w:val="single" w:color="auto" w:sz="4" w:space="0"/>
              <w:right w:val="single" w:color="auto" w:sz="4" w:space="0"/>
            </w:tcBorders>
            <w:vAlign w:val="center"/>
          </w:tcPr>
          <w:p w14:paraId="56AB2E29">
            <w:pPr>
              <w:pStyle w:val="146"/>
              <w:rPr>
                <w:rFonts w:hint="eastAsia" w:ascii="宋体" w:hAnsi="宋体" w:cs="宋体"/>
                <w:sz w:val="18"/>
                <w:szCs w:val="18"/>
              </w:rPr>
            </w:pPr>
            <w:r>
              <w:rPr>
                <w:rFonts w:hint="eastAsia" w:ascii="宋体" w:hAnsi="宋体" w:cs="宋体"/>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31D9E45A">
            <w:pPr>
              <w:pStyle w:val="146"/>
              <w:rPr>
                <w:rFonts w:hint="eastAsia" w:ascii="宋体" w:hAnsi="宋体" w:cs="宋体"/>
                <w:sz w:val="18"/>
                <w:szCs w:val="18"/>
              </w:rPr>
            </w:pPr>
            <w:r>
              <w:rPr>
                <w:rFonts w:hint="eastAsia" w:ascii="宋体" w:hAnsi="宋体" w:cs="宋体"/>
                <w:sz w:val="18"/>
                <w:szCs w:val="18"/>
              </w:rPr>
              <w:t>桥墩顶部</w:t>
            </w:r>
          </w:p>
        </w:tc>
      </w:tr>
      <w:tr w14:paraId="14A64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continue"/>
            <w:tcBorders>
              <w:left w:val="single" w:color="auto" w:sz="4" w:space="0"/>
              <w:right w:val="single" w:color="auto" w:sz="4" w:space="0"/>
            </w:tcBorders>
            <w:vAlign w:val="center"/>
          </w:tcPr>
          <w:p w14:paraId="376BC856">
            <w:pPr>
              <w:widowControl/>
              <w:spacing w:beforeLines="0" w:afterLines="0" w:line="240" w:lineRule="auto"/>
              <w:jc w:val="center"/>
              <w:rPr>
                <w:rFonts w:hint="eastAsia" w:ascii="宋体" w:hAnsi="宋体" w:cs="宋体"/>
                <w:sz w:val="18"/>
                <w:szCs w:val="18"/>
              </w:rPr>
            </w:pPr>
          </w:p>
        </w:tc>
        <w:tc>
          <w:tcPr>
            <w:tcW w:w="364" w:type="pct"/>
            <w:vMerge w:val="continue"/>
            <w:tcBorders>
              <w:left w:val="single" w:color="auto" w:sz="4" w:space="0"/>
              <w:right w:val="single" w:color="auto" w:sz="4" w:space="0"/>
            </w:tcBorders>
            <w:vAlign w:val="center"/>
          </w:tcPr>
          <w:p w14:paraId="002280BB">
            <w:pPr>
              <w:widowControl/>
              <w:spacing w:beforeLines="0" w:afterLines="0" w:line="240" w:lineRule="auto"/>
              <w:jc w:val="left"/>
              <w:rPr>
                <w:rFonts w:hint="eastAsia" w:ascii="宋体" w:hAnsi="宋体" w:cs="宋体"/>
                <w:sz w:val="18"/>
                <w:szCs w:val="18"/>
              </w:rPr>
            </w:pPr>
          </w:p>
        </w:tc>
        <w:tc>
          <w:tcPr>
            <w:tcW w:w="857" w:type="pct"/>
            <w:vMerge w:val="continue"/>
            <w:tcBorders>
              <w:left w:val="single" w:color="auto" w:sz="4" w:space="0"/>
              <w:bottom w:val="single" w:color="auto" w:sz="4" w:space="0"/>
              <w:right w:val="single" w:color="auto" w:sz="4" w:space="0"/>
            </w:tcBorders>
            <w:vAlign w:val="center"/>
          </w:tcPr>
          <w:p w14:paraId="6A05F1B5">
            <w:pPr>
              <w:widowControl/>
              <w:spacing w:beforeLines="0" w:afterLines="0" w:line="240" w:lineRule="auto"/>
              <w:jc w:val="left"/>
              <w:rPr>
                <w:rFonts w:hint="eastAsia" w:ascii="宋体" w:hAnsi="宋体" w:cs="宋体"/>
                <w:sz w:val="18"/>
                <w:szCs w:val="18"/>
              </w:rPr>
            </w:pPr>
          </w:p>
        </w:tc>
        <w:tc>
          <w:tcPr>
            <w:tcW w:w="1140" w:type="pct"/>
            <w:tcBorders>
              <w:top w:val="single" w:color="auto" w:sz="4" w:space="0"/>
              <w:left w:val="single" w:color="auto" w:sz="4" w:space="0"/>
              <w:bottom w:val="single" w:color="auto" w:sz="4" w:space="0"/>
              <w:right w:val="single" w:color="auto" w:sz="4" w:space="0"/>
            </w:tcBorders>
            <w:vAlign w:val="center"/>
          </w:tcPr>
          <w:p w14:paraId="5795110C">
            <w:pPr>
              <w:pStyle w:val="146"/>
              <w:rPr>
                <w:rFonts w:hint="eastAsia" w:ascii="宋体" w:hAnsi="宋体" w:cs="宋体"/>
                <w:sz w:val="18"/>
                <w:szCs w:val="18"/>
              </w:rPr>
            </w:pPr>
            <w:r>
              <w:rPr>
                <w:rFonts w:hint="eastAsia" w:ascii="宋体" w:hAnsi="宋体" w:cs="宋体"/>
                <w:sz w:val="18"/>
                <w:szCs w:val="18"/>
              </w:rPr>
              <w:t>桥台倾斜</w:t>
            </w:r>
          </w:p>
        </w:tc>
        <w:tc>
          <w:tcPr>
            <w:tcW w:w="557" w:type="pct"/>
            <w:tcBorders>
              <w:top w:val="single" w:color="auto" w:sz="4" w:space="0"/>
              <w:left w:val="single" w:color="auto" w:sz="4" w:space="0"/>
              <w:bottom w:val="single" w:color="auto" w:sz="4" w:space="0"/>
              <w:right w:val="single" w:color="auto" w:sz="4" w:space="0"/>
            </w:tcBorders>
            <w:vAlign w:val="center"/>
          </w:tcPr>
          <w:p w14:paraId="3CB4D652">
            <w:pPr>
              <w:pStyle w:val="146"/>
              <w:rPr>
                <w:rFonts w:hint="eastAsia" w:ascii="宋体" w:hAnsi="宋体" w:cs="宋体"/>
                <w:sz w:val="18"/>
                <w:szCs w:val="18"/>
              </w:rPr>
            </w:pPr>
            <w:r>
              <w:rPr>
                <w:rFonts w:hint="eastAsia" w:ascii="宋体" w:hAnsi="宋体" w:cs="宋体"/>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3B1B58A2">
            <w:pPr>
              <w:pStyle w:val="146"/>
              <w:rPr>
                <w:rFonts w:hint="eastAsia" w:ascii="宋体" w:hAnsi="宋体" w:cs="宋体"/>
                <w:sz w:val="18"/>
                <w:szCs w:val="18"/>
              </w:rPr>
            </w:pPr>
            <w:r>
              <w:rPr>
                <w:rFonts w:hint="eastAsia" w:ascii="宋体" w:hAnsi="宋体" w:cs="宋体"/>
                <w:sz w:val="18"/>
                <w:szCs w:val="18"/>
              </w:rPr>
              <w:t>桥台顶部</w:t>
            </w:r>
          </w:p>
        </w:tc>
      </w:tr>
      <w:tr w14:paraId="10571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restart"/>
            <w:tcBorders>
              <w:left w:val="single" w:color="auto" w:sz="4" w:space="0"/>
              <w:right w:val="single" w:color="auto" w:sz="4" w:space="0"/>
            </w:tcBorders>
            <w:vAlign w:val="center"/>
          </w:tcPr>
          <w:p w14:paraId="32C69D09">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14</w:t>
            </w:r>
          </w:p>
        </w:tc>
        <w:tc>
          <w:tcPr>
            <w:tcW w:w="364" w:type="pct"/>
            <w:vMerge w:val="continue"/>
            <w:tcBorders>
              <w:left w:val="single" w:color="auto" w:sz="4" w:space="0"/>
              <w:right w:val="single" w:color="auto" w:sz="4" w:space="0"/>
            </w:tcBorders>
            <w:vAlign w:val="center"/>
          </w:tcPr>
          <w:p w14:paraId="05F396C4">
            <w:pPr>
              <w:pStyle w:val="146"/>
              <w:rPr>
                <w:rFonts w:hint="eastAsia" w:ascii="宋体" w:hAnsi="宋体" w:cs="宋体"/>
                <w:sz w:val="18"/>
                <w:szCs w:val="18"/>
              </w:rPr>
            </w:pPr>
          </w:p>
        </w:tc>
        <w:tc>
          <w:tcPr>
            <w:tcW w:w="857" w:type="pct"/>
            <w:vMerge w:val="restart"/>
            <w:tcBorders>
              <w:top w:val="single" w:color="auto" w:sz="4" w:space="0"/>
              <w:left w:val="single" w:color="auto" w:sz="4" w:space="0"/>
              <w:bottom w:val="single" w:color="auto" w:sz="4" w:space="0"/>
              <w:right w:val="single" w:color="auto" w:sz="4" w:space="0"/>
            </w:tcBorders>
            <w:vAlign w:val="center"/>
          </w:tcPr>
          <w:p w14:paraId="2674632A">
            <w:pPr>
              <w:pStyle w:val="146"/>
              <w:rPr>
                <w:rFonts w:hint="eastAsia" w:ascii="宋体" w:hAnsi="宋体" w:cs="宋体"/>
                <w:sz w:val="18"/>
                <w:szCs w:val="18"/>
              </w:rPr>
            </w:pPr>
            <w:r>
              <w:rPr>
                <w:rFonts w:hint="eastAsia" w:ascii="宋体" w:hAnsi="宋体" w:cs="宋体"/>
                <w:sz w:val="18"/>
                <w:szCs w:val="18"/>
              </w:rPr>
              <w:t>应变</w:t>
            </w:r>
          </w:p>
        </w:tc>
        <w:tc>
          <w:tcPr>
            <w:tcW w:w="1140" w:type="pct"/>
            <w:tcBorders>
              <w:top w:val="single" w:color="auto" w:sz="4" w:space="0"/>
              <w:left w:val="single" w:color="auto" w:sz="4" w:space="0"/>
              <w:bottom w:val="single" w:color="auto" w:sz="4" w:space="0"/>
              <w:right w:val="single" w:color="auto" w:sz="4" w:space="0"/>
            </w:tcBorders>
            <w:vAlign w:val="center"/>
          </w:tcPr>
          <w:p w14:paraId="792C6E37">
            <w:pPr>
              <w:pStyle w:val="146"/>
              <w:rPr>
                <w:rFonts w:hint="eastAsia" w:ascii="宋体" w:hAnsi="宋体" w:cs="宋体"/>
                <w:sz w:val="18"/>
                <w:szCs w:val="18"/>
              </w:rPr>
            </w:pPr>
            <w:r>
              <w:rPr>
                <w:rFonts w:hint="eastAsia" w:ascii="宋体" w:hAnsi="宋体" w:cs="宋体"/>
                <w:bCs/>
                <w:sz w:val="18"/>
                <w:szCs w:val="18"/>
              </w:rPr>
              <w:t>主梁关键截面应变</w:t>
            </w:r>
          </w:p>
        </w:tc>
        <w:tc>
          <w:tcPr>
            <w:tcW w:w="557" w:type="pct"/>
            <w:tcBorders>
              <w:top w:val="single" w:color="auto" w:sz="4" w:space="0"/>
              <w:left w:val="single" w:color="auto" w:sz="4" w:space="0"/>
              <w:bottom w:val="single" w:color="auto" w:sz="4" w:space="0"/>
              <w:right w:val="single" w:color="auto" w:sz="4" w:space="0"/>
            </w:tcBorders>
            <w:vAlign w:val="center"/>
          </w:tcPr>
          <w:p w14:paraId="3AA7E9A9">
            <w:pPr>
              <w:pStyle w:val="146"/>
              <w:rPr>
                <w:rFonts w:hint="eastAsia" w:ascii="宋体" w:hAnsi="宋体" w:cs="宋体"/>
                <w:sz w:val="18"/>
                <w:szCs w:val="18"/>
              </w:rPr>
            </w:pPr>
            <w:r>
              <w:rPr>
                <w:rFonts w:hint="eastAsia" w:ascii="宋体" w:hAnsi="宋体" w:cs="宋体"/>
                <w:bCs/>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35A9EA65">
            <w:pPr>
              <w:pStyle w:val="146"/>
              <w:rPr>
                <w:rFonts w:hint="eastAsia" w:ascii="宋体" w:hAnsi="宋体" w:cs="宋体"/>
                <w:sz w:val="18"/>
                <w:szCs w:val="18"/>
              </w:rPr>
            </w:pPr>
            <w:r>
              <w:rPr>
                <w:rFonts w:hint="eastAsia" w:ascii="宋体" w:hAnsi="宋体" w:cs="宋体"/>
                <w:sz w:val="18"/>
                <w:szCs w:val="18"/>
              </w:rPr>
              <w:t>跨中截面，</w:t>
            </w:r>
            <w:r>
              <w:rPr>
                <w:rFonts w:hint="eastAsia" w:cs="宋体"/>
                <w:bCs/>
                <w:sz w:val="18"/>
                <w:szCs w:val="18"/>
              </w:rPr>
              <w:t>宜布</w:t>
            </w:r>
            <w:r>
              <w:rPr>
                <w:rFonts w:hint="eastAsia" w:cs="宋体"/>
                <w:bCs/>
                <w:sz w:val="18"/>
                <w:szCs w:val="18"/>
                <w:lang w:eastAsia="zh-CN"/>
              </w:rPr>
              <w:t>置于</w:t>
            </w:r>
            <w:r>
              <w:rPr>
                <w:rFonts w:hint="eastAsia" w:cs="宋体"/>
                <w:bCs/>
                <w:sz w:val="18"/>
                <w:szCs w:val="18"/>
              </w:rPr>
              <w:t>车道下方，每个断面</w:t>
            </w:r>
            <w:r>
              <w:rPr>
                <w:rFonts w:hint="eastAsia" w:cs="宋体"/>
                <w:bCs/>
                <w:sz w:val="18"/>
                <w:szCs w:val="18"/>
                <w:lang w:eastAsia="zh-CN"/>
              </w:rPr>
              <w:t>不低于</w:t>
            </w:r>
            <w:r>
              <w:rPr>
                <w:rFonts w:hint="eastAsia" w:cs="宋体"/>
                <w:bCs/>
                <w:sz w:val="18"/>
                <w:szCs w:val="18"/>
              </w:rPr>
              <w:t>2处。</w:t>
            </w:r>
          </w:p>
        </w:tc>
      </w:tr>
      <w:tr w14:paraId="6C18A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continue"/>
            <w:tcBorders>
              <w:left w:val="single" w:color="auto" w:sz="4" w:space="0"/>
              <w:right w:val="single" w:color="auto" w:sz="4" w:space="0"/>
            </w:tcBorders>
            <w:vAlign w:val="center"/>
          </w:tcPr>
          <w:p w14:paraId="2D0E7391">
            <w:pPr>
              <w:widowControl/>
              <w:spacing w:beforeLines="0" w:afterLines="0" w:line="240" w:lineRule="auto"/>
              <w:jc w:val="center"/>
              <w:rPr>
                <w:rFonts w:hint="eastAsia" w:ascii="宋体" w:hAnsi="宋体" w:cs="宋体"/>
                <w:sz w:val="18"/>
                <w:szCs w:val="18"/>
              </w:rPr>
            </w:pPr>
          </w:p>
        </w:tc>
        <w:tc>
          <w:tcPr>
            <w:tcW w:w="364" w:type="pct"/>
            <w:vMerge w:val="continue"/>
            <w:tcBorders>
              <w:left w:val="single" w:color="auto" w:sz="4" w:space="0"/>
              <w:right w:val="single" w:color="auto" w:sz="4" w:space="0"/>
            </w:tcBorders>
            <w:vAlign w:val="center"/>
          </w:tcPr>
          <w:p w14:paraId="72DBFC05">
            <w:pPr>
              <w:widowControl/>
              <w:spacing w:beforeLines="0" w:afterLines="0" w:line="240" w:lineRule="auto"/>
              <w:jc w:val="left"/>
              <w:rPr>
                <w:rFonts w:hint="eastAsia" w:ascii="宋体" w:hAnsi="宋体" w:cs="宋体"/>
                <w:sz w:val="18"/>
                <w:szCs w:val="18"/>
              </w:rPr>
            </w:pPr>
          </w:p>
        </w:tc>
        <w:tc>
          <w:tcPr>
            <w:tcW w:w="857" w:type="pct"/>
            <w:vMerge w:val="continue"/>
            <w:tcBorders>
              <w:top w:val="single" w:color="auto" w:sz="4" w:space="0"/>
              <w:left w:val="single" w:color="auto" w:sz="4" w:space="0"/>
              <w:bottom w:val="single" w:color="auto" w:sz="4" w:space="0"/>
              <w:right w:val="single" w:color="auto" w:sz="4" w:space="0"/>
            </w:tcBorders>
            <w:vAlign w:val="center"/>
          </w:tcPr>
          <w:p w14:paraId="55EB9FCC">
            <w:pPr>
              <w:widowControl/>
              <w:spacing w:beforeLines="0" w:afterLines="0" w:line="240" w:lineRule="auto"/>
              <w:jc w:val="left"/>
              <w:rPr>
                <w:rFonts w:hint="eastAsia" w:ascii="宋体" w:hAnsi="宋体" w:cs="宋体"/>
                <w:sz w:val="18"/>
                <w:szCs w:val="18"/>
              </w:rPr>
            </w:pPr>
          </w:p>
        </w:tc>
        <w:tc>
          <w:tcPr>
            <w:tcW w:w="1140" w:type="pct"/>
            <w:tcBorders>
              <w:top w:val="single" w:color="auto" w:sz="4" w:space="0"/>
              <w:left w:val="single" w:color="auto" w:sz="4" w:space="0"/>
              <w:bottom w:val="single" w:color="auto" w:sz="4" w:space="0"/>
              <w:right w:val="single" w:color="auto" w:sz="4" w:space="0"/>
            </w:tcBorders>
            <w:vAlign w:val="center"/>
          </w:tcPr>
          <w:p w14:paraId="4969A15B">
            <w:pPr>
              <w:pStyle w:val="146"/>
              <w:rPr>
                <w:rFonts w:hint="eastAsia" w:ascii="宋体" w:hAnsi="宋体" w:cs="宋体"/>
                <w:bCs/>
                <w:sz w:val="18"/>
                <w:szCs w:val="18"/>
              </w:rPr>
            </w:pPr>
            <w:r>
              <w:rPr>
                <w:rFonts w:hint="eastAsia" w:ascii="宋体" w:hAnsi="宋体" w:cs="宋体"/>
                <w:bCs/>
                <w:sz w:val="18"/>
                <w:szCs w:val="18"/>
              </w:rPr>
              <w:t>主拱关键截面应变</w:t>
            </w:r>
          </w:p>
        </w:tc>
        <w:tc>
          <w:tcPr>
            <w:tcW w:w="557" w:type="pct"/>
            <w:tcBorders>
              <w:top w:val="single" w:color="auto" w:sz="4" w:space="0"/>
              <w:left w:val="single" w:color="auto" w:sz="4" w:space="0"/>
              <w:bottom w:val="single" w:color="auto" w:sz="4" w:space="0"/>
              <w:right w:val="single" w:color="auto" w:sz="4" w:space="0"/>
            </w:tcBorders>
            <w:vAlign w:val="center"/>
          </w:tcPr>
          <w:p w14:paraId="54C45838">
            <w:pPr>
              <w:pStyle w:val="146"/>
              <w:rPr>
                <w:rFonts w:hint="eastAsia" w:ascii="宋体" w:hAnsi="宋体" w:cs="宋体"/>
                <w:bCs/>
                <w:sz w:val="18"/>
                <w:szCs w:val="18"/>
              </w:rPr>
            </w:pPr>
            <w:r>
              <w:rPr>
                <w:rFonts w:hint="eastAsia" w:ascii="宋体" w:hAnsi="宋体" w:cs="宋体"/>
                <w:bCs/>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201A63B0">
            <w:pPr>
              <w:pStyle w:val="146"/>
              <w:rPr>
                <w:rFonts w:hint="eastAsia" w:ascii="宋体" w:hAnsi="宋体" w:cs="宋体"/>
                <w:sz w:val="18"/>
                <w:szCs w:val="18"/>
              </w:rPr>
            </w:pPr>
            <w:r>
              <w:rPr>
                <w:rFonts w:hint="eastAsia" w:ascii="宋体" w:hAnsi="宋体" w:cs="宋体"/>
                <w:sz w:val="18"/>
                <w:szCs w:val="18"/>
              </w:rPr>
              <w:t>主拱圈拱脚截面、拱顶截面</w:t>
            </w:r>
          </w:p>
        </w:tc>
      </w:tr>
      <w:tr w14:paraId="2AFFA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353" w:type="pct"/>
            <w:tcBorders>
              <w:left w:val="single" w:color="auto" w:sz="4" w:space="0"/>
              <w:right w:val="single" w:color="auto" w:sz="4" w:space="0"/>
            </w:tcBorders>
            <w:vAlign w:val="center"/>
          </w:tcPr>
          <w:p w14:paraId="1C7CDF09">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15</w:t>
            </w:r>
          </w:p>
        </w:tc>
        <w:tc>
          <w:tcPr>
            <w:tcW w:w="364" w:type="pct"/>
            <w:vMerge w:val="continue"/>
            <w:tcBorders>
              <w:left w:val="single" w:color="auto" w:sz="4" w:space="0"/>
              <w:right w:val="single" w:color="auto" w:sz="4" w:space="0"/>
            </w:tcBorders>
            <w:vAlign w:val="center"/>
          </w:tcPr>
          <w:p w14:paraId="7D5199DA">
            <w:pPr>
              <w:pStyle w:val="146"/>
              <w:rPr>
                <w:rFonts w:hint="eastAsia" w:ascii="宋体" w:hAnsi="宋体" w:cs="宋体"/>
                <w:sz w:val="18"/>
                <w:szCs w:val="18"/>
              </w:rPr>
            </w:pPr>
          </w:p>
        </w:tc>
        <w:tc>
          <w:tcPr>
            <w:tcW w:w="857" w:type="pct"/>
            <w:tcBorders>
              <w:top w:val="single" w:color="auto" w:sz="4" w:space="0"/>
              <w:left w:val="single" w:color="auto" w:sz="4" w:space="0"/>
              <w:bottom w:val="single" w:color="auto" w:sz="4" w:space="0"/>
              <w:right w:val="single" w:color="auto" w:sz="4" w:space="0"/>
            </w:tcBorders>
            <w:vAlign w:val="center"/>
          </w:tcPr>
          <w:p w14:paraId="4E3D0F70">
            <w:pPr>
              <w:pStyle w:val="146"/>
              <w:rPr>
                <w:rFonts w:hint="eastAsia" w:ascii="宋体" w:hAnsi="宋体" w:cs="宋体"/>
                <w:sz w:val="18"/>
                <w:szCs w:val="18"/>
              </w:rPr>
            </w:pPr>
            <w:r>
              <w:rPr>
                <w:rFonts w:hint="eastAsia" w:ascii="宋体" w:hAnsi="宋体" w:cs="宋体"/>
                <w:sz w:val="18"/>
                <w:szCs w:val="18"/>
              </w:rPr>
              <w:t>支座反力</w:t>
            </w:r>
          </w:p>
        </w:tc>
        <w:tc>
          <w:tcPr>
            <w:tcW w:w="1140" w:type="pct"/>
            <w:tcBorders>
              <w:top w:val="single" w:color="auto" w:sz="4" w:space="0"/>
              <w:left w:val="single" w:color="auto" w:sz="4" w:space="0"/>
              <w:bottom w:val="single" w:color="auto" w:sz="4" w:space="0"/>
              <w:right w:val="single" w:color="auto" w:sz="4" w:space="0"/>
            </w:tcBorders>
            <w:vAlign w:val="center"/>
          </w:tcPr>
          <w:p w14:paraId="5FCE21AC">
            <w:pPr>
              <w:pStyle w:val="146"/>
              <w:rPr>
                <w:rFonts w:hint="eastAsia" w:ascii="宋体" w:hAnsi="宋体" w:cs="宋体"/>
                <w:sz w:val="18"/>
                <w:szCs w:val="18"/>
              </w:rPr>
            </w:pPr>
            <w:r>
              <w:rPr>
                <w:rFonts w:hint="eastAsia" w:ascii="宋体" w:hAnsi="宋体" w:cs="宋体"/>
                <w:sz w:val="18"/>
                <w:szCs w:val="18"/>
              </w:rPr>
              <w:t>支座反力</w:t>
            </w:r>
          </w:p>
        </w:tc>
        <w:tc>
          <w:tcPr>
            <w:tcW w:w="557" w:type="pct"/>
            <w:tcBorders>
              <w:top w:val="single" w:color="auto" w:sz="4" w:space="0"/>
              <w:left w:val="single" w:color="auto" w:sz="4" w:space="0"/>
              <w:bottom w:val="single" w:color="auto" w:sz="4" w:space="0"/>
              <w:right w:val="single" w:color="auto" w:sz="4" w:space="0"/>
            </w:tcBorders>
            <w:vAlign w:val="center"/>
          </w:tcPr>
          <w:p w14:paraId="78092943">
            <w:pPr>
              <w:pStyle w:val="146"/>
              <w:rPr>
                <w:rFonts w:hint="eastAsia" w:ascii="宋体" w:hAnsi="宋体" w:cs="宋体"/>
                <w:sz w:val="18"/>
                <w:szCs w:val="18"/>
              </w:rPr>
            </w:pPr>
            <w:r>
              <w:rPr>
                <w:rFonts w:hint="eastAsia" w:ascii="宋体" w:hAnsi="宋体" w:cs="宋体"/>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39FA2577">
            <w:pPr>
              <w:pStyle w:val="146"/>
              <w:rPr>
                <w:rFonts w:hint="eastAsia" w:ascii="宋体" w:hAnsi="宋体" w:cs="宋体"/>
                <w:sz w:val="18"/>
                <w:szCs w:val="18"/>
              </w:rPr>
            </w:pPr>
            <w:r>
              <w:rPr>
                <w:rFonts w:hint="eastAsia" w:ascii="宋体" w:hAnsi="宋体" w:cs="宋体"/>
                <w:sz w:val="18"/>
                <w:szCs w:val="18"/>
              </w:rPr>
              <w:t>易脱空支座、受拉支座</w:t>
            </w:r>
          </w:p>
        </w:tc>
      </w:tr>
      <w:tr w14:paraId="540B4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restart"/>
            <w:tcBorders>
              <w:left w:val="single" w:color="auto" w:sz="4" w:space="0"/>
              <w:right w:val="single" w:color="auto" w:sz="4" w:space="0"/>
            </w:tcBorders>
            <w:vAlign w:val="center"/>
          </w:tcPr>
          <w:p w14:paraId="404525F2">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16</w:t>
            </w:r>
          </w:p>
        </w:tc>
        <w:tc>
          <w:tcPr>
            <w:tcW w:w="364" w:type="pct"/>
            <w:vMerge w:val="continue"/>
            <w:tcBorders>
              <w:left w:val="single" w:color="auto" w:sz="4" w:space="0"/>
              <w:right w:val="single" w:color="auto" w:sz="4" w:space="0"/>
            </w:tcBorders>
            <w:vAlign w:val="center"/>
          </w:tcPr>
          <w:p w14:paraId="3598A64F">
            <w:pPr>
              <w:pStyle w:val="146"/>
              <w:rPr>
                <w:rFonts w:hint="eastAsia" w:ascii="宋体" w:hAnsi="宋体" w:cs="宋体"/>
                <w:sz w:val="18"/>
                <w:szCs w:val="18"/>
              </w:rPr>
            </w:pPr>
          </w:p>
        </w:tc>
        <w:tc>
          <w:tcPr>
            <w:tcW w:w="857" w:type="pct"/>
            <w:vMerge w:val="restart"/>
            <w:tcBorders>
              <w:top w:val="single" w:color="auto" w:sz="4" w:space="0"/>
              <w:left w:val="single" w:color="auto" w:sz="4" w:space="0"/>
              <w:bottom w:val="single" w:color="auto" w:sz="4" w:space="0"/>
              <w:right w:val="single" w:color="auto" w:sz="4" w:space="0"/>
            </w:tcBorders>
            <w:vAlign w:val="center"/>
          </w:tcPr>
          <w:p w14:paraId="6DB15E7C">
            <w:pPr>
              <w:pStyle w:val="146"/>
              <w:rPr>
                <w:rFonts w:hint="eastAsia" w:ascii="宋体" w:hAnsi="宋体" w:cs="宋体"/>
                <w:sz w:val="18"/>
                <w:szCs w:val="18"/>
              </w:rPr>
            </w:pPr>
            <w:r>
              <w:rPr>
                <w:rFonts w:hint="eastAsia" w:ascii="宋体" w:hAnsi="宋体" w:cs="宋体"/>
                <w:sz w:val="18"/>
                <w:szCs w:val="18"/>
              </w:rPr>
              <w:t>振动</w:t>
            </w:r>
          </w:p>
        </w:tc>
        <w:tc>
          <w:tcPr>
            <w:tcW w:w="1140" w:type="pct"/>
            <w:tcBorders>
              <w:top w:val="single" w:color="auto" w:sz="4" w:space="0"/>
              <w:left w:val="single" w:color="auto" w:sz="4" w:space="0"/>
              <w:bottom w:val="single" w:color="auto" w:sz="4" w:space="0"/>
              <w:right w:val="single" w:color="auto" w:sz="4" w:space="0"/>
            </w:tcBorders>
            <w:vAlign w:val="center"/>
          </w:tcPr>
          <w:p w14:paraId="6F6F223F">
            <w:pPr>
              <w:pStyle w:val="146"/>
              <w:rPr>
                <w:rFonts w:hint="eastAsia" w:ascii="宋体" w:hAnsi="宋体" w:cs="宋体"/>
                <w:sz w:val="18"/>
                <w:szCs w:val="18"/>
              </w:rPr>
            </w:pPr>
            <w:r>
              <w:rPr>
                <w:rFonts w:hint="eastAsia" w:ascii="宋体" w:hAnsi="宋体" w:cs="宋体"/>
                <w:bCs/>
                <w:sz w:val="18"/>
                <w:szCs w:val="18"/>
              </w:rPr>
              <w:t>竖向振动加速度</w:t>
            </w:r>
          </w:p>
        </w:tc>
        <w:tc>
          <w:tcPr>
            <w:tcW w:w="557" w:type="pct"/>
            <w:tcBorders>
              <w:top w:val="single" w:color="auto" w:sz="4" w:space="0"/>
              <w:left w:val="single" w:color="auto" w:sz="4" w:space="0"/>
              <w:bottom w:val="single" w:color="auto" w:sz="4" w:space="0"/>
              <w:right w:val="single" w:color="auto" w:sz="4" w:space="0"/>
            </w:tcBorders>
            <w:vAlign w:val="center"/>
          </w:tcPr>
          <w:p w14:paraId="660F078A">
            <w:pPr>
              <w:pStyle w:val="146"/>
              <w:rPr>
                <w:rFonts w:hint="eastAsia" w:ascii="宋体" w:hAnsi="宋体" w:cs="宋体"/>
                <w:sz w:val="18"/>
                <w:szCs w:val="18"/>
              </w:rPr>
            </w:pPr>
            <w:r>
              <w:rPr>
                <w:rFonts w:hint="eastAsia" w:ascii="宋体" w:hAnsi="宋体" w:cs="宋体"/>
                <w:bCs/>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7B68DD56">
            <w:pPr>
              <w:pStyle w:val="146"/>
              <w:rPr>
                <w:rFonts w:hint="eastAsia" w:ascii="宋体" w:hAnsi="宋体" w:cs="宋体"/>
                <w:sz w:val="18"/>
                <w:szCs w:val="18"/>
              </w:rPr>
            </w:pPr>
            <w:r>
              <w:rPr>
                <w:rFonts w:hint="eastAsia" w:ascii="宋体" w:hAnsi="宋体" w:cs="宋体"/>
                <w:sz w:val="18"/>
                <w:szCs w:val="18"/>
              </w:rPr>
              <w:t>主拱圈拱顶截面、主梁跨中截面。</w:t>
            </w:r>
            <w:r>
              <w:rPr>
                <w:rFonts w:hint="eastAsia" w:cs="宋体"/>
                <w:bCs/>
                <w:sz w:val="18"/>
                <w:szCs w:val="18"/>
              </w:rPr>
              <w:t>每个断面</w:t>
            </w:r>
            <w:r>
              <w:rPr>
                <w:rFonts w:hint="eastAsia" w:cs="宋体"/>
                <w:bCs/>
                <w:sz w:val="18"/>
                <w:szCs w:val="18"/>
                <w:lang w:eastAsia="zh-CN"/>
              </w:rPr>
              <w:t>不低于</w:t>
            </w:r>
            <w:r>
              <w:rPr>
                <w:rFonts w:hint="eastAsia" w:cs="宋体"/>
                <w:bCs/>
                <w:sz w:val="18"/>
                <w:szCs w:val="18"/>
              </w:rPr>
              <w:t>2处。</w:t>
            </w:r>
          </w:p>
        </w:tc>
      </w:tr>
      <w:tr w14:paraId="6C59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continue"/>
            <w:tcBorders>
              <w:left w:val="single" w:color="auto" w:sz="4" w:space="0"/>
              <w:right w:val="single" w:color="auto" w:sz="4" w:space="0"/>
            </w:tcBorders>
            <w:vAlign w:val="center"/>
          </w:tcPr>
          <w:p w14:paraId="73445299">
            <w:pPr>
              <w:widowControl/>
              <w:spacing w:beforeLines="0" w:afterLines="0" w:line="240" w:lineRule="auto"/>
              <w:jc w:val="center"/>
              <w:rPr>
                <w:rFonts w:hint="eastAsia" w:ascii="宋体" w:hAnsi="宋体" w:cs="宋体"/>
                <w:sz w:val="18"/>
                <w:szCs w:val="18"/>
              </w:rPr>
            </w:pPr>
          </w:p>
        </w:tc>
        <w:tc>
          <w:tcPr>
            <w:tcW w:w="364" w:type="pct"/>
            <w:vMerge w:val="continue"/>
            <w:tcBorders>
              <w:left w:val="single" w:color="auto" w:sz="4" w:space="0"/>
              <w:right w:val="single" w:color="auto" w:sz="4" w:space="0"/>
            </w:tcBorders>
            <w:vAlign w:val="center"/>
          </w:tcPr>
          <w:p w14:paraId="6BEF20E9">
            <w:pPr>
              <w:widowControl/>
              <w:spacing w:beforeLines="0" w:afterLines="0" w:line="240" w:lineRule="auto"/>
              <w:jc w:val="left"/>
              <w:rPr>
                <w:rFonts w:hint="eastAsia" w:ascii="宋体" w:hAnsi="宋体" w:cs="宋体"/>
                <w:sz w:val="18"/>
                <w:szCs w:val="18"/>
              </w:rPr>
            </w:pPr>
          </w:p>
        </w:tc>
        <w:tc>
          <w:tcPr>
            <w:tcW w:w="857" w:type="pct"/>
            <w:vMerge w:val="continue"/>
            <w:tcBorders>
              <w:top w:val="single" w:color="auto" w:sz="4" w:space="0"/>
              <w:left w:val="single" w:color="auto" w:sz="4" w:space="0"/>
              <w:bottom w:val="single" w:color="auto" w:sz="4" w:space="0"/>
              <w:right w:val="single" w:color="auto" w:sz="4" w:space="0"/>
            </w:tcBorders>
            <w:vAlign w:val="center"/>
          </w:tcPr>
          <w:p w14:paraId="160D734B">
            <w:pPr>
              <w:widowControl/>
              <w:spacing w:beforeLines="0" w:afterLines="0" w:line="240" w:lineRule="auto"/>
              <w:jc w:val="left"/>
              <w:rPr>
                <w:rFonts w:hint="eastAsia" w:ascii="宋体" w:hAnsi="宋体" w:cs="宋体"/>
                <w:sz w:val="18"/>
                <w:szCs w:val="18"/>
              </w:rPr>
            </w:pPr>
          </w:p>
        </w:tc>
        <w:tc>
          <w:tcPr>
            <w:tcW w:w="1140" w:type="pct"/>
            <w:tcBorders>
              <w:top w:val="single" w:color="auto" w:sz="4" w:space="0"/>
              <w:left w:val="single" w:color="auto" w:sz="4" w:space="0"/>
              <w:bottom w:val="single" w:color="auto" w:sz="4" w:space="0"/>
              <w:right w:val="single" w:color="auto" w:sz="4" w:space="0"/>
            </w:tcBorders>
            <w:vAlign w:val="center"/>
          </w:tcPr>
          <w:p w14:paraId="15766F79">
            <w:pPr>
              <w:pStyle w:val="146"/>
              <w:rPr>
                <w:rFonts w:hint="eastAsia" w:ascii="宋体" w:hAnsi="宋体" w:cs="宋体"/>
                <w:sz w:val="18"/>
                <w:szCs w:val="18"/>
              </w:rPr>
            </w:pPr>
            <w:r>
              <w:rPr>
                <w:rFonts w:hint="eastAsia" w:ascii="宋体" w:hAnsi="宋体" w:cs="宋体"/>
                <w:sz w:val="18"/>
                <w:szCs w:val="18"/>
              </w:rPr>
              <w:t>横向振动加速度</w:t>
            </w:r>
          </w:p>
        </w:tc>
        <w:tc>
          <w:tcPr>
            <w:tcW w:w="557" w:type="pct"/>
            <w:tcBorders>
              <w:top w:val="single" w:color="auto" w:sz="4" w:space="0"/>
              <w:left w:val="single" w:color="auto" w:sz="4" w:space="0"/>
              <w:bottom w:val="single" w:color="auto" w:sz="4" w:space="0"/>
              <w:right w:val="single" w:color="auto" w:sz="4" w:space="0"/>
            </w:tcBorders>
            <w:vAlign w:val="center"/>
          </w:tcPr>
          <w:p w14:paraId="63277B29">
            <w:pPr>
              <w:pStyle w:val="146"/>
              <w:rPr>
                <w:rFonts w:hint="eastAsia" w:ascii="宋体" w:hAnsi="宋体" w:cs="宋体"/>
                <w:sz w:val="18"/>
                <w:szCs w:val="18"/>
              </w:rPr>
            </w:pPr>
            <w:r>
              <w:rPr>
                <w:rFonts w:hint="eastAsia" w:ascii="宋体" w:hAnsi="宋体" w:cs="宋体"/>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3D83FD1C">
            <w:pPr>
              <w:pStyle w:val="146"/>
              <w:rPr>
                <w:rFonts w:hint="eastAsia" w:ascii="宋体" w:hAnsi="宋体" w:cs="宋体"/>
                <w:sz w:val="18"/>
                <w:szCs w:val="18"/>
              </w:rPr>
            </w:pPr>
            <w:r>
              <w:rPr>
                <w:rFonts w:hint="eastAsia" w:ascii="宋体" w:hAnsi="宋体" w:cs="宋体"/>
                <w:sz w:val="18"/>
                <w:szCs w:val="18"/>
              </w:rPr>
              <w:t>主拱圈拱顶截面、主梁跨中截面</w:t>
            </w:r>
          </w:p>
        </w:tc>
      </w:tr>
      <w:tr w14:paraId="243FD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continue"/>
            <w:tcBorders>
              <w:left w:val="single" w:color="auto" w:sz="4" w:space="0"/>
              <w:right w:val="single" w:color="auto" w:sz="4" w:space="0"/>
            </w:tcBorders>
            <w:vAlign w:val="center"/>
          </w:tcPr>
          <w:p w14:paraId="19B0A52E">
            <w:pPr>
              <w:widowControl/>
              <w:spacing w:beforeLines="0" w:afterLines="0" w:line="240" w:lineRule="auto"/>
              <w:jc w:val="center"/>
              <w:rPr>
                <w:rFonts w:hint="eastAsia" w:ascii="宋体" w:hAnsi="宋体" w:cs="宋体"/>
                <w:sz w:val="18"/>
                <w:szCs w:val="18"/>
              </w:rPr>
            </w:pPr>
          </w:p>
        </w:tc>
        <w:tc>
          <w:tcPr>
            <w:tcW w:w="364" w:type="pct"/>
            <w:vMerge w:val="continue"/>
            <w:tcBorders>
              <w:left w:val="single" w:color="auto" w:sz="4" w:space="0"/>
              <w:right w:val="single" w:color="auto" w:sz="4" w:space="0"/>
            </w:tcBorders>
            <w:vAlign w:val="center"/>
          </w:tcPr>
          <w:p w14:paraId="562DA3AA">
            <w:pPr>
              <w:widowControl/>
              <w:spacing w:beforeLines="0" w:afterLines="0" w:line="240" w:lineRule="auto"/>
              <w:jc w:val="left"/>
              <w:rPr>
                <w:rFonts w:hint="eastAsia" w:ascii="宋体" w:hAnsi="宋体" w:cs="宋体"/>
                <w:sz w:val="18"/>
                <w:szCs w:val="18"/>
              </w:rPr>
            </w:pPr>
          </w:p>
        </w:tc>
        <w:tc>
          <w:tcPr>
            <w:tcW w:w="857" w:type="pct"/>
            <w:vMerge w:val="continue"/>
            <w:tcBorders>
              <w:top w:val="single" w:color="auto" w:sz="4" w:space="0"/>
              <w:left w:val="single" w:color="auto" w:sz="4" w:space="0"/>
              <w:bottom w:val="single" w:color="auto" w:sz="4" w:space="0"/>
              <w:right w:val="single" w:color="auto" w:sz="4" w:space="0"/>
            </w:tcBorders>
            <w:vAlign w:val="center"/>
          </w:tcPr>
          <w:p w14:paraId="02CFEDC0">
            <w:pPr>
              <w:widowControl/>
              <w:spacing w:beforeLines="0" w:afterLines="0" w:line="240" w:lineRule="auto"/>
              <w:jc w:val="left"/>
              <w:rPr>
                <w:rFonts w:hint="eastAsia" w:ascii="宋体" w:hAnsi="宋体" w:cs="宋体"/>
                <w:sz w:val="18"/>
                <w:szCs w:val="18"/>
              </w:rPr>
            </w:pPr>
          </w:p>
        </w:tc>
        <w:tc>
          <w:tcPr>
            <w:tcW w:w="1140" w:type="pct"/>
            <w:tcBorders>
              <w:top w:val="single" w:color="auto" w:sz="4" w:space="0"/>
              <w:left w:val="single" w:color="auto" w:sz="4" w:space="0"/>
              <w:bottom w:val="single" w:color="auto" w:sz="4" w:space="0"/>
              <w:right w:val="single" w:color="auto" w:sz="4" w:space="0"/>
            </w:tcBorders>
            <w:vAlign w:val="center"/>
          </w:tcPr>
          <w:p w14:paraId="41607889">
            <w:pPr>
              <w:pStyle w:val="146"/>
              <w:rPr>
                <w:rFonts w:hint="eastAsia" w:ascii="宋体" w:hAnsi="宋体" w:cs="宋体"/>
                <w:sz w:val="18"/>
                <w:szCs w:val="18"/>
              </w:rPr>
            </w:pPr>
            <w:r>
              <w:rPr>
                <w:rFonts w:hint="eastAsia" w:ascii="宋体" w:hAnsi="宋体" w:cs="宋体"/>
                <w:sz w:val="18"/>
                <w:szCs w:val="18"/>
              </w:rPr>
              <w:t>纵向振动加速度</w:t>
            </w:r>
          </w:p>
        </w:tc>
        <w:tc>
          <w:tcPr>
            <w:tcW w:w="557" w:type="pct"/>
            <w:tcBorders>
              <w:top w:val="single" w:color="auto" w:sz="4" w:space="0"/>
              <w:left w:val="single" w:color="auto" w:sz="4" w:space="0"/>
              <w:bottom w:val="single" w:color="auto" w:sz="4" w:space="0"/>
              <w:right w:val="single" w:color="auto" w:sz="4" w:space="0"/>
            </w:tcBorders>
            <w:vAlign w:val="center"/>
          </w:tcPr>
          <w:p w14:paraId="1909DEC8">
            <w:pPr>
              <w:pStyle w:val="146"/>
              <w:rPr>
                <w:rFonts w:hint="eastAsia" w:ascii="宋体" w:hAnsi="宋体" w:cs="宋体"/>
                <w:sz w:val="18"/>
                <w:szCs w:val="18"/>
              </w:rPr>
            </w:pPr>
            <w:r>
              <w:rPr>
                <w:rFonts w:hint="eastAsia" w:ascii="宋体" w:hAnsi="宋体" w:cs="宋体"/>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0FB1BAE8">
            <w:pPr>
              <w:pStyle w:val="146"/>
              <w:rPr>
                <w:rFonts w:hint="eastAsia" w:ascii="宋体" w:hAnsi="宋体" w:cs="宋体"/>
                <w:sz w:val="18"/>
                <w:szCs w:val="18"/>
              </w:rPr>
            </w:pPr>
            <w:r>
              <w:rPr>
                <w:rFonts w:hint="eastAsia" w:ascii="宋体" w:hAnsi="宋体" w:cs="宋体"/>
                <w:sz w:val="18"/>
                <w:szCs w:val="18"/>
              </w:rPr>
              <w:t>主拱圈拱顶截面</w:t>
            </w:r>
          </w:p>
        </w:tc>
      </w:tr>
      <w:tr w14:paraId="7CF2E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continue"/>
            <w:tcBorders>
              <w:left w:val="single" w:color="auto" w:sz="4" w:space="0"/>
              <w:bottom w:val="single" w:color="auto" w:sz="4" w:space="0"/>
              <w:right w:val="single" w:color="auto" w:sz="4" w:space="0"/>
            </w:tcBorders>
            <w:vAlign w:val="center"/>
          </w:tcPr>
          <w:p w14:paraId="0A079A14">
            <w:pPr>
              <w:widowControl/>
              <w:spacing w:beforeLines="0" w:afterLines="0" w:line="240" w:lineRule="auto"/>
              <w:jc w:val="center"/>
              <w:rPr>
                <w:rFonts w:hint="eastAsia" w:ascii="宋体" w:hAnsi="宋体" w:cs="宋体"/>
                <w:sz w:val="18"/>
                <w:szCs w:val="18"/>
              </w:rPr>
            </w:pPr>
          </w:p>
        </w:tc>
        <w:tc>
          <w:tcPr>
            <w:tcW w:w="364" w:type="pct"/>
            <w:vMerge w:val="continue"/>
            <w:tcBorders>
              <w:left w:val="single" w:color="auto" w:sz="4" w:space="0"/>
              <w:bottom w:val="single" w:color="auto" w:sz="4" w:space="0"/>
              <w:right w:val="single" w:color="auto" w:sz="4" w:space="0"/>
            </w:tcBorders>
            <w:vAlign w:val="center"/>
          </w:tcPr>
          <w:p w14:paraId="37A630FA">
            <w:pPr>
              <w:widowControl/>
              <w:spacing w:beforeLines="0" w:afterLines="0" w:line="240" w:lineRule="auto"/>
              <w:jc w:val="left"/>
              <w:rPr>
                <w:rFonts w:hint="eastAsia" w:ascii="宋体" w:hAnsi="宋体" w:cs="宋体"/>
                <w:sz w:val="18"/>
                <w:szCs w:val="18"/>
              </w:rPr>
            </w:pPr>
          </w:p>
        </w:tc>
        <w:tc>
          <w:tcPr>
            <w:tcW w:w="857" w:type="pct"/>
            <w:vMerge w:val="continue"/>
            <w:tcBorders>
              <w:top w:val="single" w:color="auto" w:sz="4" w:space="0"/>
              <w:left w:val="single" w:color="auto" w:sz="4" w:space="0"/>
              <w:bottom w:val="single" w:color="auto" w:sz="4" w:space="0"/>
              <w:right w:val="single" w:color="auto" w:sz="4" w:space="0"/>
            </w:tcBorders>
            <w:vAlign w:val="center"/>
          </w:tcPr>
          <w:p w14:paraId="4A800107">
            <w:pPr>
              <w:widowControl/>
              <w:spacing w:beforeLines="0" w:afterLines="0" w:line="240" w:lineRule="auto"/>
              <w:jc w:val="left"/>
              <w:rPr>
                <w:rFonts w:hint="eastAsia" w:ascii="宋体" w:hAnsi="宋体" w:cs="宋体"/>
                <w:sz w:val="18"/>
                <w:szCs w:val="18"/>
              </w:rPr>
            </w:pPr>
          </w:p>
        </w:tc>
        <w:tc>
          <w:tcPr>
            <w:tcW w:w="1140" w:type="pct"/>
            <w:tcBorders>
              <w:top w:val="single" w:color="auto" w:sz="4" w:space="0"/>
              <w:left w:val="single" w:color="auto" w:sz="4" w:space="0"/>
              <w:bottom w:val="single" w:color="auto" w:sz="4" w:space="0"/>
              <w:right w:val="single" w:color="auto" w:sz="4" w:space="0"/>
            </w:tcBorders>
            <w:vAlign w:val="center"/>
          </w:tcPr>
          <w:p w14:paraId="14BBD1B3">
            <w:pPr>
              <w:pStyle w:val="146"/>
              <w:rPr>
                <w:rFonts w:hint="eastAsia" w:ascii="宋体" w:hAnsi="宋体" w:cs="宋体"/>
                <w:sz w:val="18"/>
                <w:szCs w:val="18"/>
              </w:rPr>
            </w:pPr>
            <w:r>
              <w:rPr>
                <w:rFonts w:hint="eastAsia" w:ascii="宋体" w:hAnsi="宋体" w:cs="宋体"/>
                <w:sz w:val="18"/>
                <w:szCs w:val="18"/>
              </w:rPr>
              <w:t>桥墩顶部纵向及横向振动加速度</w:t>
            </w:r>
          </w:p>
        </w:tc>
        <w:tc>
          <w:tcPr>
            <w:tcW w:w="557" w:type="pct"/>
            <w:tcBorders>
              <w:top w:val="single" w:color="auto" w:sz="4" w:space="0"/>
              <w:left w:val="single" w:color="auto" w:sz="4" w:space="0"/>
              <w:bottom w:val="single" w:color="auto" w:sz="4" w:space="0"/>
              <w:right w:val="single" w:color="auto" w:sz="4" w:space="0"/>
            </w:tcBorders>
            <w:vAlign w:val="center"/>
          </w:tcPr>
          <w:p w14:paraId="6640946C">
            <w:pPr>
              <w:pStyle w:val="146"/>
              <w:rPr>
                <w:rFonts w:hint="eastAsia" w:ascii="宋体" w:hAnsi="宋体" w:cs="宋体"/>
                <w:sz w:val="18"/>
                <w:szCs w:val="18"/>
              </w:rPr>
            </w:pPr>
            <w:r>
              <w:rPr>
                <w:rFonts w:hint="eastAsia" w:ascii="宋体" w:hAnsi="宋体" w:cs="宋体"/>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6D3760F9">
            <w:pPr>
              <w:pStyle w:val="146"/>
              <w:rPr>
                <w:rFonts w:hint="eastAsia" w:ascii="宋体" w:hAnsi="宋体" w:cs="宋体"/>
                <w:sz w:val="18"/>
                <w:szCs w:val="18"/>
              </w:rPr>
            </w:pPr>
            <w:r>
              <w:rPr>
                <w:rFonts w:hint="eastAsia" w:ascii="宋体" w:hAnsi="宋体" w:cs="宋体"/>
                <w:sz w:val="18"/>
                <w:szCs w:val="18"/>
              </w:rPr>
              <w:t>桥墩顶部</w:t>
            </w:r>
          </w:p>
        </w:tc>
      </w:tr>
      <w:tr w14:paraId="45670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353" w:type="pct"/>
            <w:tcBorders>
              <w:top w:val="single" w:color="auto" w:sz="4" w:space="0"/>
              <w:left w:val="single" w:color="auto" w:sz="4" w:space="0"/>
              <w:bottom w:val="single" w:color="auto" w:sz="4" w:space="0"/>
              <w:right w:val="single" w:color="auto" w:sz="4" w:space="0"/>
            </w:tcBorders>
            <w:vAlign w:val="center"/>
          </w:tcPr>
          <w:p w14:paraId="5CADC918">
            <w:pPr>
              <w:pStyle w:val="146"/>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17</w:t>
            </w:r>
          </w:p>
        </w:tc>
        <w:tc>
          <w:tcPr>
            <w:tcW w:w="364" w:type="pct"/>
            <w:vMerge w:val="restart"/>
            <w:tcBorders>
              <w:top w:val="single" w:color="auto" w:sz="4" w:space="0"/>
              <w:left w:val="single" w:color="auto" w:sz="4" w:space="0"/>
              <w:right w:val="single" w:color="auto" w:sz="4" w:space="0"/>
            </w:tcBorders>
            <w:vAlign w:val="center"/>
          </w:tcPr>
          <w:p w14:paraId="62814E7C">
            <w:pPr>
              <w:pStyle w:val="146"/>
              <w:rPr>
                <w:rFonts w:hint="eastAsia" w:ascii="宋体" w:hAnsi="宋体" w:cs="宋体"/>
                <w:sz w:val="18"/>
                <w:szCs w:val="18"/>
              </w:rPr>
            </w:pPr>
            <w:r>
              <w:rPr>
                <w:rFonts w:hint="eastAsia" w:ascii="宋体" w:hAnsi="宋体" w:cs="宋体"/>
                <w:sz w:val="18"/>
                <w:szCs w:val="18"/>
              </w:rPr>
              <w:t>结构变化</w:t>
            </w:r>
          </w:p>
        </w:tc>
        <w:tc>
          <w:tcPr>
            <w:tcW w:w="857" w:type="pct"/>
            <w:tcBorders>
              <w:top w:val="single" w:color="auto" w:sz="4" w:space="0"/>
              <w:left w:val="single" w:color="auto" w:sz="4" w:space="0"/>
              <w:bottom w:val="single" w:color="auto" w:sz="4" w:space="0"/>
              <w:right w:val="single" w:color="auto" w:sz="4" w:space="0"/>
            </w:tcBorders>
            <w:vAlign w:val="center"/>
          </w:tcPr>
          <w:p w14:paraId="6E2F49A8">
            <w:pPr>
              <w:pStyle w:val="146"/>
              <w:rPr>
                <w:rFonts w:hint="eastAsia" w:ascii="宋体" w:hAnsi="宋体" w:cs="宋体"/>
                <w:sz w:val="18"/>
                <w:szCs w:val="18"/>
              </w:rPr>
            </w:pPr>
            <w:r>
              <w:rPr>
                <w:rFonts w:hint="eastAsia" w:ascii="宋体" w:hAnsi="宋体" w:cs="宋体"/>
                <w:sz w:val="18"/>
                <w:szCs w:val="18"/>
              </w:rPr>
              <w:t>基础冲刷</w:t>
            </w:r>
          </w:p>
        </w:tc>
        <w:tc>
          <w:tcPr>
            <w:tcW w:w="1140" w:type="pct"/>
            <w:tcBorders>
              <w:top w:val="single" w:color="auto" w:sz="4" w:space="0"/>
              <w:left w:val="single" w:color="auto" w:sz="4" w:space="0"/>
              <w:bottom w:val="single" w:color="auto" w:sz="4" w:space="0"/>
              <w:right w:val="single" w:color="auto" w:sz="4" w:space="0"/>
            </w:tcBorders>
            <w:vAlign w:val="center"/>
          </w:tcPr>
          <w:p w14:paraId="15F5896A">
            <w:pPr>
              <w:pStyle w:val="146"/>
              <w:rPr>
                <w:rFonts w:hint="eastAsia" w:ascii="宋体" w:hAnsi="宋体" w:cs="宋体"/>
                <w:sz w:val="18"/>
                <w:szCs w:val="18"/>
              </w:rPr>
            </w:pPr>
            <w:r>
              <w:rPr>
                <w:rFonts w:hint="eastAsia" w:ascii="宋体" w:hAnsi="宋体" w:cs="宋体"/>
                <w:sz w:val="18"/>
                <w:szCs w:val="18"/>
              </w:rPr>
              <w:t>基础冲刷深度</w:t>
            </w:r>
          </w:p>
        </w:tc>
        <w:tc>
          <w:tcPr>
            <w:tcW w:w="557" w:type="pct"/>
            <w:tcBorders>
              <w:top w:val="single" w:color="auto" w:sz="4" w:space="0"/>
              <w:left w:val="single" w:color="auto" w:sz="4" w:space="0"/>
              <w:bottom w:val="single" w:color="auto" w:sz="4" w:space="0"/>
              <w:right w:val="single" w:color="auto" w:sz="4" w:space="0"/>
            </w:tcBorders>
            <w:vAlign w:val="center"/>
          </w:tcPr>
          <w:p w14:paraId="4AD6BE55">
            <w:pPr>
              <w:pStyle w:val="146"/>
              <w:rPr>
                <w:rFonts w:hint="eastAsia" w:ascii="宋体" w:hAnsi="宋体" w:cs="宋体"/>
                <w:sz w:val="18"/>
                <w:szCs w:val="18"/>
              </w:rPr>
            </w:pPr>
            <w:r>
              <w:rPr>
                <w:rFonts w:hint="eastAsia" w:ascii="宋体" w:hAnsi="宋体" w:cs="宋体"/>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1F609942">
            <w:pPr>
              <w:pStyle w:val="146"/>
              <w:rPr>
                <w:rFonts w:hint="eastAsia" w:ascii="宋体" w:hAnsi="宋体" w:cs="宋体"/>
                <w:sz w:val="18"/>
                <w:szCs w:val="18"/>
              </w:rPr>
            </w:pPr>
            <w:r>
              <w:rPr>
                <w:rFonts w:hint="eastAsia" w:ascii="宋体" w:hAnsi="宋体" w:cs="宋体"/>
                <w:sz w:val="18"/>
                <w:szCs w:val="18"/>
              </w:rPr>
              <w:t>-</w:t>
            </w:r>
          </w:p>
        </w:tc>
      </w:tr>
      <w:tr w14:paraId="562D6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restart"/>
            <w:tcBorders>
              <w:top w:val="single" w:color="auto" w:sz="4" w:space="0"/>
              <w:left w:val="single" w:color="auto" w:sz="4" w:space="0"/>
              <w:right w:val="single" w:color="auto" w:sz="4" w:space="0"/>
            </w:tcBorders>
            <w:vAlign w:val="center"/>
          </w:tcPr>
          <w:p w14:paraId="74AD4DF5">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18</w:t>
            </w:r>
          </w:p>
        </w:tc>
        <w:tc>
          <w:tcPr>
            <w:tcW w:w="364" w:type="pct"/>
            <w:vMerge w:val="continue"/>
            <w:tcBorders>
              <w:left w:val="single" w:color="auto" w:sz="4" w:space="0"/>
              <w:right w:val="single" w:color="auto" w:sz="4" w:space="0"/>
            </w:tcBorders>
            <w:vAlign w:val="center"/>
          </w:tcPr>
          <w:p w14:paraId="60D1E910">
            <w:pPr>
              <w:pStyle w:val="146"/>
              <w:rPr>
                <w:rFonts w:hint="eastAsia" w:ascii="宋体" w:hAnsi="宋体" w:cs="宋体"/>
                <w:sz w:val="18"/>
                <w:szCs w:val="18"/>
              </w:rPr>
            </w:pPr>
          </w:p>
        </w:tc>
        <w:tc>
          <w:tcPr>
            <w:tcW w:w="857" w:type="pct"/>
            <w:vMerge w:val="restart"/>
            <w:tcBorders>
              <w:top w:val="single" w:color="auto" w:sz="4" w:space="0"/>
              <w:left w:val="single" w:color="auto" w:sz="4" w:space="0"/>
              <w:bottom w:val="single" w:color="auto" w:sz="4" w:space="0"/>
              <w:right w:val="single" w:color="auto" w:sz="4" w:space="0"/>
            </w:tcBorders>
            <w:vAlign w:val="center"/>
          </w:tcPr>
          <w:p w14:paraId="15A71E1B">
            <w:pPr>
              <w:pStyle w:val="146"/>
              <w:rPr>
                <w:rFonts w:hint="eastAsia" w:ascii="宋体" w:hAnsi="宋体" w:cs="宋体"/>
                <w:sz w:val="18"/>
                <w:szCs w:val="18"/>
              </w:rPr>
            </w:pPr>
            <w:r>
              <w:rPr>
                <w:rFonts w:hint="eastAsia" w:ascii="宋体" w:hAnsi="宋体" w:cs="宋体"/>
                <w:sz w:val="18"/>
                <w:szCs w:val="18"/>
              </w:rPr>
              <w:t>位移</w:t>
            </w:r>
          </w:p>
        </w:tc>
        <w:tc>
          <w:tcPr>
            <w:tcW w:w="1140" w:type="pct"/>
            <w:tcBorders>
              <w:top w:val="single" w:color="auto" w:sz="4" w:space="0"/>
              <w:left w:val="single" w:color="auto" w:sz="4" w:space="0"/>
              <w:bottom w:val="single" w:color="auto" w:sz="4" w:space="0"/>
              <w:right w:val="single" w:color="auto" w:sz="4" w:space="0"/>
            </w:tcBorders>
            <w:vAlign w:val="center"/>
          </w:tcPr>
          <w:p w14:paraId="34D61366">
            <w:pPr>
              <w:pStyle w:val="146"/>
              <w:rPr>
                <w:rFonts w:hint="eastAsia" w:ascii="宋体" w:hAnsi="宋体" w:cs="宋体"/>
                <w:sz w:val="18"/>
                <w:szCs w:val="18"/>
              </w:rPr>
            </w:pPr>
            <w:r>
              <w:rPr>
                <w:rFonts w:hint="eastAsia" w:ascii="宋体" w:hAnsi="宋体" w:cs="宋体"/>
                <w:bCs/>
                <w:sz w:val="18"/>
                <w:szCs w:val="18"/>
              </w:rPr>
              <w:t>拱脚位移</w:t>
            </w:r>
          </w:p>
        </w:tc>
        <w:tc>
          <w:tcPr>
            <w:tcW w:w="557" w:type="pct"/>
            <w:tcBorders>
              <w:top w:val="single" w:color="auto" w:sz="4" w:space="0"/>
              <w:left w:val="single" w:color="auto" w:sz="4" w:space="0"/>
              <w:bottom w:val="single" w:color="auto" w:sz="4" w:space="0"/>
              <w:right w:val="single" w:color="auto" w:sz="4" w:space="0"/>
            </w:tcBorders>
            <w:vAlign w:val="center"/>
          </w:tcPr>
          <w:p w14:paraId="00EC8DEA">
            <w:pPr>
              <w:pStyle w:val="146"/>
              <w:rPr>
                <w:rFonts w:hint="eastAsia" w:ascii="宋体" w:hAnsi="宋体" w:cs="宋体"/>
                <w:sz w:val="18"/>
                <w:szCs w:val="18"/>
              </w:rPr>
            </w:pPr>
            <w:r>
              <w:rPr>
                <w:rFonts w:hint="eastAsia" w:ascii="宋体" w:hAnsi="宋体" w:cs="宋体"/>
                <w:bCs/>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551B2CA7">
            <w:pPr>
              <w:pStyle w:val="146"/>
              <w:rPr>
                <w:rFonts w:hint="eastAsia" w:ascii="宋体" w:hAnsi="宋体" w:cs="宋体"/>
                <w:sz w:val="18"/>
                <w:szCs w:val="18"/>
              </w:rPr>
            </w:pPr>
            <w:r>
              <w:rPr>
                <w:rFonts w:hint="eastAsia" w:ascii="宋体" w:hAnsi="宋体" w:cs="宋体"/>
                <w:sz w:val="18"/>
                <w:szCs w:val="18"/>
              </w:rPr>
              <w:t>-</w:t>
            </w:r>
          </w:p>
        </w:tc>
      </w:tr>
      <w:tr w14:paraId="5B437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continue"/>
            <w:tcBorders>
              <w:left w:val="single" w:color="auto" w:sz="4" w:space="0"/>
              <w:bottom w:val="single" w:color="auto" w:sz="4" w:space="0"/>
              <w:right w:val="single" w:color="auto" w:sz="4" w:space="0"/>
            </w:tcBorders>
            <w:vAlign w:val="center"/>
          </w:tcPr>
          <w:p w14:paraId="4501B82D">
            <w:pPr>
              <w:widowControl/>
              <w:spacing w:beforeLines="0" w:afterLines="0" w:line="240" w:lineRule="auto"/>
              <w:jc w:val="center"/>
              <w:rPr>
                <w:rFonts w:hint="eastAsia" w:ascii="宋体" w:hAnsi="宋体" w:cs="宋体"/>
                <w:sz w:val="18"/>
                <w:szCs w:val="18"/>
              </w:rPr>
            </w:pPr>
          </w:p>
        </w:tc>
        <w:tc>
          <w:tcPr>
            <w:tcW w:w="364" w:type="pct"/>
            <w:vMerge w:val="continue"/>
            <w:tcBorders>
              <w:left w:val="single" w:color="auto" w:sz="4" w:space="0"/>
              <w:right w:val="single" w:color="auto" w:sz="4" w:space="0"/>
            </w:tcBorders>
            <w:vAlign w:val="center"/>
          </w:tcPr>
          <w:p w14:paraId="1E120633">
            <w:pPr>
              <w:widowControl/>
              <w:spacing w:beforeLines="0" w:afterLines="0" w:line="240" w:lineRule="auto"/>
              <w:jc w:val="left"/>
              <w:rPr>
                <w:rFonts w:hint="eastAsia" w:ascii="宋体" w:hAnsi="宋体" w:cs="宋体"/>
                <w:sz w:val="18"/>
                <w:szCs w:val="18"/>
              </w:rPr>
            </w:pPr>
          </w:p>
        </w:tc>
        <w:tc>
          <w:tcPr>
            <w:tcW w:w="857" w:type="pct"/>
            <w:vMerge w:val="continue"/>
            <w:tcBorders>
              <w:top w:val="single" w:color="auto" w:sz="4" w:space="0"/>
              <w:left w:val="single" w:color="auto" w:sz="4" w:space="0"/>
              <w:bottom w:val="single" w:color="auto" w:sz="4" w:space="0"/>
              <w:right w:val="single" w:color="auto" w:sz="4" w:space="0"/>
            </w:tcBorders>
            <w:vAlign w:val="center"/>
          </w:tcPr>
          <w:p w14:paraId="20B4C75E">
            <w:pPr>
              <w:widowControl/>
              <w:spacing w:beforeLines="0" w:afterLines="0" w:line="240" w:lineRule="auto"/>
              <w:jc w:val="left"/>
              <w:rPr>
                <w:rFonts w:hint="eastAsia" w:ascii="宋体" w:hAnsi="宋体" w:cs="宋体"/>
                <w:sz w:val="18"/>
                <w:szCs w:val="18"/>
              </w:rPr>
            </w:pPr>
          </w:p>
        </w:tc>
        <w:tc>
          <w:tcPr>
            <w:tcW w:w="1140" w:type="pct"/>
            <w:tcBorders>
              <w:top w:val="single" w:color="auto" w:sz="4" w:space="0"/>
              <w:left w:val="single" w:color="auto" w:sz="4" w:space="0"/>
              <w:bottom w:val="single" w:color="auto" w:sz="4" w:space="0"/>
              <w:right w:val="single" w:color="auto" w:sz="4" w:space="0"/>
            </w:tcBorders>
            <w:vAlign w:val="center"/>
          </w:tcPr>
          <w:p w14:paraId="4C113A1B">
            <w:pPr>
              <w:pStyle w:val="146"/>
              <w:rPr>
                <w:rFonts w:hint="eastAsia" w:ascii="宋体" w:hAnsi="宋体" w:cs="宋体"/>
                <w:sz w:val="18"/>
                <w:szCs w:val="18"/>
              </w:rPr>
            </w:pPr>
            <w:r>
              <w:rPr>
                <w:rFonts w:hint="eastAsia" w:ascii="宋体" w:hAnsi="宋体" w:cs="宋体"/>
                <w:sz w:val="18"/>
                <w:szCs w:val="18"/>
              </w:rPr>
              <w:t>桥墩（台）沉降</w:t>
            </w:r>
          </w:p>
        </w:tc>
        <w:tc>
          <w:tcPr>
            <w:tcW w:w="557" w:type="pct"/>
            <w:tcBorders>
              <w:top w:val="single" w:color="auto" w:sz="4" w:space="0"/>
              <w:left w:val="single" w:color="auto" w:sz="4" w:space="0"/>
              <w:bottom w:val="single" w:color="auto" w:sz="4" w:space="0"/>
              <w:right w:val="single" w:color="auto" w:sz="4" w:space="0"/>
            </w:tcBorders>
            <w:vAlign w:val="center"/>
          </w:tcPr>
          <w:p w14:paraId="5312FE27">
            <w:pPr>
              <w:pStyle w:val="146"/>
              <w:rPr>
                <w:rFonts w:hint="eastAsia" w:ascii="宋体" w:hAnsi="宋体" w:cs="宋体"/>
                <w:sz w:val="18"/>
                <w:szCs w:val="18"/>
              </w:rPr>
            </w:pPr>
            <w:r>
              <w:rPr>
                <w:rFonts w:hint="eastAsia" w:ascii="宋体" w:hAnsi="宋体" w:cs="宋体"/>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5471D9CC">
            <w:pPr>
              <w:pStyle w:val="146"/>
              <w:rPr>
                <w:rFonts w:hint="eastAsia" w:ascii="宋体" w:hAnsi="宋体" w:cs="宋体"/>
                <w:sz w:val="18"/>
                <w:szCs w:val="18"/>
              </w:rPr>
            </w:pPr>
            <w:r>
              <w:rPr>
                <w:rFonts w:hint="eastAsia" w:ascii="宋体" w:hAnsi="宋体" w:cs="宋体"/>
                <w:sz w:val="18"/>
                <w:szCs w:val="18"/>
              </w:rPr>
              <w:t>-</w:t>
            </w:r>
          </w:p>
        </w:tc>
      </w:tr>
      <w:tr w14:paraId="40356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restart"/>
            <w:tcBorders>
              <w:top w:val="single" w:color="auto" w:sz="4" w:space="0"/>
              <w:left w:val="single" w:color="auto" w:sz="4" w:space="0"/>
              <w:right w:val="single" w:color="auto" w:sz="4" w:space="0"/>
            </w:tcBorders>
            <w:vAlign w:val="center"/>
          </w:tcPr>
          <w:p w14:paraId="59A1C8EC">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19</w:t>
            </w:r>
          </w:p>
        </w:tc>
        <w:tc>
          <w:tcPr>
            <w:tcW w:w="364" w:type="pct"/>
            <w:vMerge w:val="continue"/>
            <w:tcBorders>
              <w:left w:val="single" w:color="auto" w:sz="4" w:space="0"/>
              <w:right w:val="single" w:color="auto" w:sz="4" w:space="0"/>
            </w:tcBorders>
            <w:vAlign w:val="center"/>
          </w:tcPr>
          <w:p w14:paraId="57F85199">
            <w:pPr>
              <w:pStyle w:val="146"/>
              <w:rPr>
                <w:rFonts w:hint="eastAsia" w:ascii="宋体" w:hAnsi="宋体" w:cs="宋体"/>
                <w:sz w:val="18"/>
                <w:szCs w:val="18"/>
              </w:rPr>
            </w:pPr>
          </w:p>
        </w:tc>
        <w:tc>
          <w:tcPr>
            <w:tcW w:w="857" w:type="pct"/>
            <w:vMerge w:val="restart"/>
            <w:tcBorders>
              <w:top w:val="single" w:color="auto" w:sz="4" w:space="0"/>
              <w:left w:val="single" w:color="auto" w:sz="4" w:space="0"/>
              <w:bottom w:val="single" w:color="auto" w:sz="4" w:space="0"/>
              <w:right w:val="single" w:color="auto" w:sz="4" w:space="0"/>
            </w:tcBorders>
            <w:vAlign w:val="center"/>
          </w:tcPr>
          <w:p w14:paraId="7E70253B">
            <w:pPr>
              <w:pStyle w:val="146"/>
              <w:rPr>
                <w:rFonts w:hint="eastAsia" w:ascii="宋体" w:hAnsi="宋体" w:cs="宋体"/>
                <w:sz w:val="18"/>
                <w:szCs w:val="18"/>
              </w:rPr>
            </w:pPr>
            <w:r>
              <w:rPr>
                <w:rFonts w:hint="eastAsia" w:ascii="宋体" w:hAnsi="宋体" w:cs="宋体"/>
                <w:sz w:val="18"/>
                <w:szCs w:val="18"/>
              </w:rPr>
              <w:t>裂缝</w:t>
            </w:r>
          </w:p>
        </w:tc>
        <w:tc>
          <w:tcPr>
            <w:tcW w:w="1140" w:type="pct"/>
            <w:tcBorders>
              <w:top w:val="single" w:color="auto" w:sz="4" w:space="0"/>
              <w:left w:val="single" w:color="auto" w:sz="4" w:space="0"/>
              <w:bottom w:val="single" w:color="auto" w:sz="4" w:space="0"/>
              <w:right w:val="single" w:color="auto" w:sz="4" w:space="0"/>
            </w:tcBorders>
            <w:vAlign w:val="center"/>
          </w:tcPr>
          <w:p w14:paraId="1DB35E29">
            <w:pPr>
              <w:pStyle w:val="146"/>
              <w:rPr>
                <w:rFonts w:hint="eastAsia" w:ascii="宋体" w:hAnsi="宋体" w:cs="宋体"/>
                <w:sz w:val="18"/>
                <w:szCs w:val="18"/>
              </w:rPr>
            </w:pPr>
            <w:r>
              <w:rPr>
                <w:rFonts w:hint="eastAsia" w:ascii="宋体" w:hAnsi="宋体" w:cs="宋体"/>
                <w:sz w:val="18"/>
                <w:szCs w:val="18"/>
              </w:rPr>
              <w:t>混凝土结构裂缝</w:t>
            </w:r>
          </w:p>
        </w:tc>
        <w:tc>
          <w:tcPr>
            <w:tcW w:w="557" w:type="pct"/>
            <w:tcBorders>
              <w:top w:val="single" w:color="auto" w:sz="4" w:space="0"/>
              <w:left w:val="single" w:color="auto" w:sz="4" w:space="0"/>
              <w:bottom w:val="single" w:color="auto" w:sz="4" w:space="0"/>
              <w:right w:val="single" w:color="auto" w:sz="4" w:space="0"/>
            </w:tcBorders>
            <w:vAlign w:val="center"/>
          </w:tcPr>
          <w:p w14:paraId="23F0C4D0">
            <w:pPr>
              <w:pStyle w:val="146"/>
              <w:rPr>
                <w:rFonts w:hint="eastAsia" w:ascii="宋体" w:hAnsi="宋体" w:cs="宋体"/>
                <w:sz w:val="18"/>
                <w:szCs w:val="18"/>
              </w:rPr>
            </w:pPr>
            <w:r>
              <w:rPr>
                <w:rFonts w:hint="eastAsia" w:ascii="宋体" w:hAnsi="宋体" w:cs="宋体"/>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4ACD031F">
            <w:pPr>
              <w:pStyle w:val="146"/>
              <w:rPr>
                <w:rFonts w:hint="eastAsia" w:ascii="宋体" w:hAnsi="宋体" w:cs="宋体"/>
                <w:sz w:val="18"/>
                <w:szCs w:val="18"/>
              </w:rPr>
            </w:pPr>
            <w:r>
              <w:rPr>
                <w:rFonts w:hint="eastAsia" w:ascii="宋体" w:hAnsi="宋体" w:cs="宋体"/>
                <w:sz w:val="18"/>
                <w:szCs w:val="18"/>
              </w:rPr>
              <w:t>-</w:t>
            </w:r>
          </w:p>
        </w:tc>
      </w:tr>
      <w:tr w14:paraId="08C8B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continue"/>
            <w:tcBorders>
              <w:left w:val="single" w:color="auto" w:sz="4" w:space="0"/>
              <w:bottom w:val="single" w:color="auto" w:sz="4" w:space="0"/>
              <w:right w:val="single" w:color="auto" w:sz="4" w:space="0"/>
            </w:tcBorders>
            <w:vAlign w:val="center"/>
          </w:tcPr>
          <w:p w14:paraId="1E7AAC46">
            <w:pPr>
              <w:widowControl/>
              <w:spacing w:beforeLines="0" w:afterLines="0" w:line="240" w:lineRule="auto"/>
              <w:jc w:val="center"/>
              <w:rPr>
                <w:rFonts w:hint="eastAsia" w:ascii="宋体" w:hAnsi="宋体" w:cs="宋体"/>
                <w:sz w:val="18"/>
                <w:szCs w:val="18"/>
              </w:rPr>
            </w:pPr>
          </w:p>
        </w:tc>
        <w:tc>
          <w:tcPr>
            <w:tcW w:w="364" w:type="pct"/>
            <w:vMerge w:val="continue"/>
            <w:tcBorders>
              <w:left w:val="single" w:color="auto" w:sz="4" w:space="0"/>
              <w:right w:val="single" w:color="auto" w:sz="4" w:space="0"/>
            </w:tcBorders>
            <w:vAlign w:val="center"/>
          </w:tcPr>
          <w:p w14:paraId="0B706AA8">
            <w:pPr>
              <w:widowControl/>
              <w:spacing w:beforeLines="0" w:afterLines="0" w:line="240" w:lineRule="auto"/>
              <w:jc w:val="left"/>
              <w:rPr>
                <w:rFonts w:hint="eastAsia" w:ascii="宋体" w:hAnsi="宋体" w:cs="宋体"/>
                <w:sz w:val="18"/>
                <w:szCs w:val="18"/>
              </w:rPr>
            </w:pPr>
          </w:p>
        </w:tc>
        <w:tc>
          <w:tcPr>
            <w:tcW w:w="857" w:type="pct"/>
            <w:vMerge w:val="continue"/>
            <w:tcBorders>
              <w:top w:val="single" w:color="auto" w:sz="4" w:space="0"/>
              <w:left w:val="single" w:color="auto" w:sz="4" w:space="0"/>
              <w:bottom w:val="single" w:color="auto" w:sz="4" w:space="0"/>
              <w:right w:val="single" w:color="auto" w:sz="4" w:space="0"/>
            </w:tcBorders>
            <w:vAlign w:val="center"/>
          </w:tcPr>
          <w:p w14:paraId="03A7C9C9">
            <w:pPr>
              <w:widowControl/>
              <w:spacing w:beforeLines="0" w:afterLines="0" w:line="240" w:lineRule="auto"/>
              <w:jc w:val="left"/>
              <w:rPr>
                <w:rFonts w:hint="eastAsia" w:ascii="宋体" w:hAnsi="宋体" w:cs="宋体"/>
                <w:sz w:val="18"/>
                <w:szCs w:val="18"/>
              </w:rPr>
            </w:pPr>
          </w:p>
        </w:tc>
        <w:tc>
          <w:tcPr>
            <w:tcW w:w="1140" w:type="pct"/>
            <w:tcBorders>
              <w:top w:val="single" w:color="auto" w:sz="4" w:space="0"/>
              <w:left w:val="single" w:color="auto" w:sz="4" w:space="0"/>
              <w:bottom w:val="single" w:color="auto" w:sz="4" w:space="0"/>
              <w:right w:val="single" w:color="auto" w:sz="4" w:space="0"/>
            </w:tcBorders>
            <w:vAlign w:val="center"/>
          </w:tcPr>
          <w:p w14:paraId="0D4ECB21">
            <w:pPr>
              <w:pStyle w:val="146"/>
              <w:rPr>
                <w:rFonts w:hint="eastAsia" w:ascii="宋体" w:hAnsi="宋体" w:cs="宋体"/>
                <w:sz w:val="18"/>
                <w:szCs w:val="18"/>
              </w:rPr>
            </w:pPr>
            <w:r>
              <w:rPr>
                <w:rFonts w:hint="eastAsia" w:ascii="宋体" w:hAnsi="宋体" w:cs="宋体"/>
                <w:sz w:val="18"/>
                <w:szCs w:val="18"/>
              </w:rPr>
              <w:t>钢结构裂缝</w:t>
            </w:r>
          </w:p>
        </w:tc>
        <w:tc>
          <w:tcPr>
            <w:tcW w:w="557" w:type="pct"/>
            <w:tcBorders>
              <w:top w:val="single" w:color="auto" w:sz="4" w:space="0"/>
              <w:left w:val="single" w:color="auto" w:sz="4" w:space="0"/>
              <w:bottom w:val="single" w:color="auto" w:sz="4" w:space="0"/>
              <w:right w:val="single" w:color="auto" w:sz="4" w:space="0"/>
            </w:tcBorders>
            <w:vAlign w:val="center"/>
          </w:tcPr>
          <w:p w14:paraId="06CF777E">
            <w:pPr>
              <w:pStyle w:val="146"/>
              <w:rPr>
                <w:rFonts w:hint="eastAsia" w:ascii="宋体" w:hAnsi="宋体" w:cs="宋体"/>
                <w:sz w:val="18"/>
                <w:szCs w:val="18"/>
              </w:rPr>
            </w:pPr>
            <w:r>
              <w:rPr>
                <w:rFonts w:hint="eastAsia" w:ascii="宋体" w:hAnsi="宋体" w:cs="宋体"/>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1F487200">
            <w:pPr>
              <w:pStyle w:val="146"/>
              <w:rPr>
                <w:rFonts w:hint="eastAsia" w:ascii="宋体" w:hAnsi="宋体" w:cs="宋体"/>
                <w:sz w:val="18"/>
                <w:szCs w:val="18"/>
              </w:rPr>
            </w:pPr>
            <w:r>
              <w:rPr>
                <w:rFonts w:hint="eastAsia" w:ascii="宋体" w:hAnsi="宋体" w:cs="宋体"/>
                <w:sz w:val="18"/>
                <w:szCs w:val="18"/>
              </w:rPr>
              <w:t>-</w:t>
            </w:r>
          </w:p>
        </w:tc>
      </w:tr>
      <w:tr w14:paraId="2DEC6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restart"/>
            <w:tcBorders>
              <w:top w:val="single" w:color="auto" w:sz="4" w:space="0"/>
              <w:left w:val="single" w:color="auto" w:sz="4" w:space="0"/>
              <w:right w:val="single" w:color="auto" w:sz="4" w:space="0"/>
            </w:tcBorders>
            <w:vAlign w:val="center"/>
          </w:tcPr>
          <w:p w14:paraId="39A181B3">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20</w:t>
            </w:r>
          </w:p>
        </w:tc>
        <w:tc>
          <w:tcPr>
            <w:tcW w:w="364" w:type="pct"/>
            <w:vMerge w:val="continue"/>
            <w:tcBorders>
              <w:left w:val="single" w:color="auto" w:sz="4" w:space="0"/>
              <w:right w:val="single" w:color="auto" w:sz="4" w:space="0"/>
            </w:tcBorders>
            <w:vAlign w:val="center"/>
          </w:tcPr>
          <w:p w14:paraId="6855150B">
            <w:pPr>
              <w:pStyle w:val="146"/>
              <w:rPr>
                <w:rFonts w:hint="eastAsia" w:ascii="宋体" w:hAnsi="宋体" w:cs="宋体"/>
                <w:sz w:val="18"/>
                <w:szCs w:val="18"/>
              </w:rPr>
            </w:pPr>
          </w:p>
        </w:tc>
        <w:tc>
          <w:tcPr>
            <w:tcW w:w="857" w:type="pct"/>
            <w:vMerge w:val="restart"/>
            <w:tcBorders>
              <w:top w:val="single" w:color="auto" w:sz="4" w:space="0"/>
              <w:left w:val="single" w:color="auto" w:sz="4" w:space="0"/>
              <w:bottom w:val="single" w:color="auto" w:sz="4" w:space="0"/>
              <w:right w:val="single" w:color="auto" w:sz="4" w:space="0"/>
            </w:tcBorders>
            <w:vAlign w:val="center"/>
          </w:tcPr>
          <w:p w14:paraId="675CB03C">
            <w:pPr>
              <w:pStyle w:val="146"/>
              <w:rPr>
                <w:rFonts w:hint="eastAsia" w:ascii="宋体" w:hAnsi="宋体" w:cs="宋体"/>
                <w:sz w:val="18"/>
                <w:szCs w:val="18"/>
              </w:rPr>
            </w:pPr>
            <w:r>
              <w:rPr>
                <w:rFonts w:hint="eastAsia" w:ascii="宋体" w:hAnsi="宋体" w:cs="宋体"/>
                <w:sz w:val="18"/>
                <w:szCs w:val="18"/>
              </w:rPr>
              <w:t>腐蚀</w:t>
            </w:r>
          </w:p>
        </w:tc>
        <w:tc>
          <w:tcPr>
            <w:tcW w:w="1140" w:type="pct"/>
            <w:tcBorders>
              <w:top w:val="single" w:color="auto" w:sz="4" w:space="0"/>
              <w:left w:val="single" w:color="auto" w:sz="4" w:space="0"/>
              <w:bottom w:val="single" w:color="auto" w:sz="4" w:space="0"/>
              <w:right w:val="single" w:color="auto" w:sz="4" w:space="0"/>
            </w:tcBorders>
            <w:vAlign w:val="center"/>
          </w:tcPr>
          <w:p w14:paraId="4891D6ED">
            <w:pPr>
              <w:pStyle w:val="146"/>
              <w:rPr>
                <w:rFonts w:hint="eastAsia" w:ascii="宋体" w:hAnsi="宋体" w:cs="宋体"/>
                <w:sz w:val="18"/>
                <w:szCs w:val="18"/>
              </w:rPr>
            </w:pPr>
            <w:r>
              <w:rPr>
                <w:rFonts w:hint="eastAsia" w:ascii="宋体" w:hAnsi="宋体" w:cs="宋体"/>
                <w:sz w:val="18"/>
                <w:szCs w:val="18"/>
              </w:rPr>
              <w:t>墩身、承台混凝土氯离子浓度</w:t>
            </w:r>
          </w:p>
        </w:tc>
        <w:tc>
          <w:tcPr>
            <w:tcW w:w="557" w:type="pct"/>
            <w:tcBorders>
              <w:top w:val="single" w:color="auto" w:sz="4" w:space="0"/>
              <w:left w:val="single" w:color="auto" w:sz="4" w:space="0"/>
              <w:bottom w:val="single" w:color="auto" w:sz="4" w:space="0"/>
              <w:right w:val="single" w:color="auto" w:sz="4" w:space="0"/>
            </w:tcBorders>
            <w:vAlign w:val="center"/>
          </w:tcPr>
          <w:p w14:paraId="506E3EE7">
            <w:pPr>
              <w:pStyle w:val="146"/>
              <w:rPr>
                <w:rFonts w:hint="eastAsia" w:ascii="宋体" w:hAnsi="宋体" w:cs="宋体"/>
                <w:sz w:val="18"/>
                <w:szCs w:val="18"/>
              </w:rPr>
            </w:pPr>
            <w:r>
              <w:rPr>
                <w:rFonts w:hint="eastAsia" w:ascii="宋体" w:hAnsi="宋体" w:cs="宋体"/>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7947202D">
            <w:pPr>
              <w:pStyle w:val="146"/>
              <w:rPr>
                <w:rFonts w:hint="eastAsia" w:ascii="宋体" w:hAnsi="宋体" w:cs="宋体"/>
                <w:sz w:val="18"/>
                <w:szCs w:val="18"/>
              </w:rPr>
            </w:pPr>
            <w:r>
              <w:rPr>
                <w:rFonts w:hint="eastAsia" w:ascii="宋体" w:hAnsi="宋体" w:cs="宋体"/>
                <w:sz w:val="18"/>
                <w:szCs w:val="18"/>
              </w:rPr>
              <w:t>-</w:t>
            </w:r>
          </w:p>
        </w:tc>
      </w:tr>
      <w:tr w14:paraId="125C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vMerge w:val="continue"/>
            <w:tcBorders>
              <w:left w:val="single" w:color="auto" w:sz="4" w:space="0"/>
              <w:bottom w:val="single" w:color="auto" w:sz="4" w:space="0"/>
              <w:right w:val="single" w:color="auto" w:sz="4" w:space="0"/>
            </w:tcBorders>
            <w:vAlign w:val="center"/>
          </w:tcPr>
          <w:p w14:paraId="1F0E107A">
            <w:pPr>
              <w:widowControl/>
              <w:spacing w:beforeLines="0" w:afterLines="0" w:line="240" w:lineRule="auto"/>
              <w:jc w:val="center"/>
              <w:rPr>
                <w:rFonts w:hint="eastAsia" w:ascii="宋体" w:hAnsi="宋体" w:cs="宋体"/>
                <w:sz w:val="18"/>
                <w:szCs w:val="18"/>
              </w:rPr>
            </w:pPr>
          </w:p>
        </w:tc>
        <w:tc>
          <w:tcPr>
            <w:tcW w:w="364" w:type="pct"/>
            <w:vMerge w:val="continue"/>
            <w:tcBorders>
              <w:left w:val="single" w:color="auto" w:sz="4" w:space="0"/>
              <w:right w:val="single" w:color="auto" w:sz="4" w:space="0"/>
            </w:tcBorders>
            <w:vAlign w:val="center"/>
          </w:tcPr>
          <w:p w14:paraId="6B9A5B4B">
            <w:pPr>
              <w:widowControl/>
              <w:spacing w:beforeLines="0" w:afterLines="0" w:line="240" w:lineRule="auto"/>
              <w:jc w:val="left"/>
              <w:rPr>
                <w:rFonts w:hint="eastAsia" w:ascii="宋体" w:hAnsi="宋体" w:cs="宋体"/>
                <w:sz w:val="18"/>
                <w:szCs w:val="18"/>
              </w:rPr>
            </w:pPr>
          </w:p>
        </w:tc>
        <w:tc>
          <w:tcPr>
            <w:tcW w:w="857" w:type="pct"/>
            <w:vMerge w:val="continue"/>
            <w:tcBorders>
              <w:top w:val="single" w:color="auto" w:sz="4" w:space="0"/>
              <w:left w:val="single" w:color="auto" w:sz="4" w:space="0"/>
              <w:bottom w:val="single" w:color="auto" w:sz="4" w:space="0"/>
              <w:right w:val="single" w:color="auto" w:sz="4" w:space="0"/>
            </w:tcBorders>
            <w:vAlign w:val="center"/>
          </w:tcPr>
          <w:p w14:paraId="462DB8BF">
            <w:pPr>
              <w:widowControl/>
              <w:spacing w:beforeLines="0" w:afterLines="0" w:line="240" w:lineRule="auto"/>
              <w:jc w:val="left"/>
              <w:rPr>
                <w:rFonts w:hint="eastAsia" w:ascii="宋体" w:hAnsi="宋体" w:cs="宋体"/>
                <w:sz w:val="18"/>
                <w:szCs w:val="18"/>
              </w:rPr>
            </w:pPr>
          </w:p>
        </w:tc>
        <w:tc>
          <w:tcPr>
            <w:tcW w:w="1140" w:type="pct"/>
            <w:tcBorders>
              <w:top w:val="single" w:color="auto" w:sz="4" w:space="0"/>
              <w:left w:val="single" w:color="auto" w:sz="4" w:space="0"/>
              <w:bottom w:val="single" w:color="auto" w:sz="4" w:space="0"/>
              <w:right w:val="single" w:color="auto" w:sz="4" w:space="0"/>
            </w:tcBorders>
            <w:vAlign w:val="center"/>
          </w:tcPr>
          <w:p w14:paraId="6DF40436">
            <w:pPr>
              <w:pStyle w:val="146"/>
              <w:rPr>
                <w:rFonts w:hint="eastAsia" w:ascii="宋体" w:hAnsi="宋体" w:cs="宋体"/>
                <w:sz w:val="18"/>
                <w:szCs w:val="18"/>
              </w:rPr>
            </w:pPr>
            <w:r>
              <w:rPr>
                <w:rFonts w:hint="eastAsia" w:ascii="宋体" w:hAnsi="宋体" w:cs="宋体"/>
                <w:sz w:val="18"/>
                <w:szCs w:val="18"/>
              </w:rPr>
              <w:t>墩身、承台混凝土氯离子侵蚀深度</w:t>
            </w:r>
          </w:p>
        </w:tc>
        <w:tc>
          <w:tcPr>
            <w:tcW w:w="557" w:type="pct"/>
            <w:tcBorders>
              <w:top w:val="single" w:color="auto" w:sz="4" w:space="0"/>
              <w:left w:val="single" w:color="auto" w:sz="4" w:space="0"/>
              <w:bottom w:val="single" w:color="auto" w:sz="4" w:space="0"/>
              <w:right w:val="single" w:color="auto" w:sz="4" w:space="0"/>
            </w:tcBorders>
            <w:vAlign w:val="center"/>
          </w:tcPr>
          <w:p w14:paraId="1FF653CC">
            <w:pPr>
              <w:pStyle w:val="146"/>
              <w:rPr>
                <w:rFonts w:hint="eastAsia" w:ascii="宋体" w:hAnsi="宋体" w:cs="宋体"/>
                <w:sz w:val="18"/>
                <w:szCs w:val="18"/>
              </w:rPr>
            </w:pPr>
            <w:r>
              <w:rPr>
                <w:rFonts w:hint="eastAsia" w:ascii="宋体" w:hAnsi="宋体" w:cs="宋体"/>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204D770C">
            <w:pPr>
              <w:pStyle w:val="146"/>
              <w:rPr>
                <w:rFonts w:hint="eastAsia" w:ascii="宋体" w:hAnsi="宋体" w:cs="宋体"/>
                <w:sz w:val="18"/>
                <w:szCs w:val="18"/>
              </w:rPr>
            </w:pPr>
            <w:r>
              <w:rPr>
                <w:rFonts w:hint="eastAsia" w:ascii="宋体" w:hAnsi="宋体" w:cs="宋体"/>
                <w:sz w:val="18"/>
                <w:szCs w:val="18"/>
              </w:rPr>
              <w:t>-</w:t>
            </w:r>
          </w:p>
        </w:tc>
      </w:tr>
      <w:tr w14:paraId="2A857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3" w:type="pct"/>
            <w:tcBorders>
              <w:top w:val="single" w:color="auto" w:sz="4" w:space="0"/>
              <w:left w:val="single" w:color="auto" w:sz="4" w:space="0"/>
              <w:bottom w:val="single" w:color="auto" w:sz="4" w:space="0"/>
              <w:right w:val="single" w:color="auto" w:sz="4" w:space="0"/>
            </w:tcBorders>
            <w:vAlign w:val="center"/>
          </w:tcPr>
          <w:p w14:paraId="5EFC4B43">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21</w:t>
            </w:r>
          </w:p>
        </w:tc>
        <w:tc>
          <w:tcPr>
            <w:tcW w:w="364" w:type="pct"/>
            <w:vMerge w:val="continue"/>
            <w:tcBorders>
              <w:left w:val="single" w:color="auto" w:sz="4" w:space="0"/>
              <w:bottom w:val="single" w:color="auto" w:sz="4" w:space="0"/>
              <w:right w:val="single" w:color="auto" w:sz="4" w:space="0"/>
            </w:tcBorders>
            <w:vAlign w:val="center"/>
          </w:tcPr>
          <w:p w14:paraId="7658DE07">
            <w:pPr>
              <w:pStyle w:val="146"/>
              <w:rPr>
                <w:rFonts w:hint="eastAsia" w:ascii="宋体" w:hAnsi="宋体" w:cs="宋体"/>
                <w:sz w:val="18"/>
                <w:szCs w:val="18"/>
              </w:rPr>
            </w:pPr>
          </w:p>
        </w:tc>
        <w:tc>
          <w:tcPr>
            <w:tcW w:w="857" w:type="pct"/>
            <w:tcBorders>
              <w:top w:val="single" w:color="auto" w:sz="4" w:space="0"/>
              <w:left w:val="single" w:color="auto" w:sz="4" w:space="0"/>
              <w:bottom w:val="single" w:color="auto" w:sz="4" w:space="0"/>
              <w:right w:val="single" w:color="auto" w:sz="4" w:space="0"/>
            </w:tcBorders>
            <w:vAlign w:val="center"/>
          </w:tcPr>
          <w:p w14:paraId="58D22088">
            <w:pPr>
              <w:pStyle w:val="146"/>
              <w:rPr>
                <w:rFonts w:hint="eastAsia" w:ascii="宋体" w:hAnsi="宋体" w:cs="宋体"/>
                <w:sz w:val="18"/>
                <w:szCs w:val="18"/>
              </w:rPr>
            </w:pPr>
            <w:r>
              <w:rPr>
                <w:rFonts w:hint="eastAsia" w:ascii="宋体" w:hAnsi="宋体" w:cs="宋体"/>
                <w:sz w:val="18"/>
                <w:szCs w:val="18"/>
              </w:rPr>
              <w:t>螺栓状态</w:t>
            </w:r>
          </w:p>
        </w:tc>
        <w:tc>
          <w:tcPr>
            <w:tcW w:w="1140" w:type="pct"/>
            <w:tcBorders>
              <w:top w:val="single" w:color="auto" w:sz="4" w:space="0"/>
              <w:left w:val="single" w:color="auto" w:sz="4" w:space="0"/>
              <w:bottom w:val="single" w:color="auto" w:sz="4" w:space="0"/>
              <w:right w:val="single" w:color="auto" w:sz="4" w:space="0"/>
            </w:tcBorders>
            <w:vAlign w:val="center"/>
          </w:tcPr>
          <w:p w14:paraId="665B67CB">
            <w:pPr>
              <w:pStyle w:val="146"/>
              <w:rPr>
                <w:rFonts w:hint="eastAsia" w:ascii="宋体" w:hAnsi="宋体" w:cs="宋体"/>
                <w:sz w:val="18"/>
                <w:szCs w:val="18"/>
              </w:rPr>
            </w:pPr>
            <w:r>
              <w:rPr>
                <w:rFonts w:hint="eastAsia" w:ascii="宋体" w:hAnsi="宋体" w:cs="宋体"/>
                <w:sz w:val="18"/>
                <w:szCs w:val="18"/>
              </w:rPr>
              <w:t>高强螺栓紧固力、螺栓滑脱</w:t>
            </w:r>
          </w:p>
        </w:tc>
        <w:tc>
          <w:tcPr>
            <w:tcW w:w="557" w:type="pct"/>
            <w:tcBorders>
              <w:top w:val="single" w:color="auto" w:sz="4" w:space="0"/>
              <w:left w:val="single" w:color="auto" w:sz="4" w:space="0"/>
              <w:bottom w:val="single" w:color="auto" w:sz="4" w:space="0"/>
              <w:right w:val="single" w:color="auto" w:sz="4" w:space="0"/>
            </w:tcBorders>
            <w:vAlign w:val="center"/>
          </w:tcPr>
          <w:p w14:paraId="336B2508">
            <w:pPr>
              <w:pStyle w:val="146"/>
              <w:rPr>
                <w:rFonts w:hint="eastAsia" w:ascii="宋体" w:hAnsi="宋体" w:cs="宋体"/>
                <w:sz w:val="18"/>
                <w:szCs w:val="18"/>
              </w:rPr>
            </w:pPr>
            <w:r>
              <w:rPr>
                <w:rFonts w:hint="eastAsia" w:ascii="宋体" w:hAnsi="宋体" w:cs="宋体"/>
                <w:sz w:val="18"/>
                <w:szCs w:val="18"/>
              </w:rPr>
              <w:t>◎</w:t>
            </w:r>
          </w:p>
        </w:tc>
        <w:tc>
          <w:tcPr>
            <w:tcW w:w="1727" w:type="pct"/>
            <w:tcBorders>
              <w:top w:val="single" w:color="auto" w:sz="4" w:space="0"/>
              <w:left w:val="single" w:color="auto" w:sz="4" w:space="0"/>
              <w:bottom w:val="single" w:color="auto" w:sz="4" w:space="0"/>
              <w:right w:val="single" w:color="auto" w:sz="4" w:space="0"/>
            </w:tcBorders>
            <w:vAlign w:val="center"/>
          </w:tcPr>
          <w:p w14:paraId="249DE5E6">
            <w:pPr>
              <w:pStyle w:val="146"/>
              <w:rPr>
                <w:rFonts w:hint="eastAsia" w:ascii="宋体" w:hAnsi="宋体" w:cs="宋体"/>
                <w:sz w:val="18"/>
                <w:szCs w:val="18"/>
              </w:rPr>
            </w:pPr>
            <w:r>
              <w:rPr>
                <w:rFonts w:hint="eastAsia" w:ascii="宋体" w:hAnsi="宋体" w:cs="宋体"/>
                <w:sz w:val="18"/>
                <w:szCs w:val="18"/>
              </w:rPr>
              <w:t>-</w:t>
            </w:r>
          </w:p>
        </w:tc>
      </w:tr>
      <w:tr w14:paraId="6D8D8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14:paraId="5B768D20">
            <w:pPr>
              <w:pStyle w:val="146"/>
              <w:jc w:val="left"/>
              <w:rPr>
                <w:rFonts w:hint="eastAsia" w:ascii="宋体" w:hAnsi="宋体" w:cs="宋体"/>
                <w:sz w:val="18"/>
                <w:szCs w:val="18"/>
              </w:rPr>
            </w:pPr>
            <w:r>
              <w:rPr>
                <w:rFonts w:hint="eastAsia" w:ascii="宋体" w:hAnsi="宋体" w:cs="宋体"/>
                <w:sz w:val="18"/>
                <w:szCs w:val="18"/>
              </w:rPr>
              <w:t>注：1.“</w:t>
            </w:r>
            <w:r>
              <w:rPr>
                <w:rFonts w:hint="eastAsia" w:ascii="宋体" w:hAnsi="宋体" w:cs="宋体"/>
                <w:bCs/>
                <w:sz w:val="18"/>
                <w:szCs w:val="18"/>
              </w:rPr>
              <w:t>●</w:t>
            </w:r>
            <w:r>
              <w:rPr>
                <w:rFonts w:hint="eastAsia" w:ascii="宋体" w:hAnsi="宋体" w:cs="宋体"/>
                <w:sz w:val="18"/>
                <w:szCs w:val="18"/>
              </w:rPr>
              <w:t>”表示必选监测项、“◎”表示宜选监测项、“○”表示可选监测项；</w:t>
            </w:r>
          </w:p>
          <w:p w14:paraId="440A8F12">
            <w:pPr>
              <w:pStyle w:val="146"/>
              <w:jc w:val="left"/>
              <w:rPr>
                <w:rFonts w:hint="eastAsia" w:ascii="宋体" w:hAnsi="宋体" w:cs="宋体"/>
                <w:sz w:val="18"/>
                <w:szCs w:val="18"/>
              </w:rPr>
            </w:pPr>
            <w:r>
              <w:rPr>
                <w:rFonts w:hint="eastAsia" w:ascii="宋体" w:hAnsi="宋体" w:cs="宋体"/>
                <w:sz w:val="18"/>
                <w:szCs w:val="18"/>
              </w:rPr>
              <w:t>2.“―”表示测点布设可根据</w:t>
            </w:r>
            <w:r>
              <w:rPr>
                <w:rFonts w:hint="eastAsia" w:ascii="宋体" w:hAnsi="宋体" w:cs="宋体"/>
                <w:sz w:val="18"/>
                <w:szCs w:val="18"/>
                <w:lang w:eastAsia="zh-CN"/>
              </w:rPr>
              <w:t>现场情况</w:t>
            </w:r>
            <w:r>
              <w:rPr>
                <w:rFonts w:hint="eastAsia" w:ascii="宋体" w:hAnsi="宋体" w:cs="宋体"/>
                <w:sz w:val="18"/>
                <w:szCs w:val="18"/>
              </w:rPr>
              <w:t>选择桥址处适当位置；</w:t>
            </w:r>
          </w:p>
        </w:tc>
      </w:tr>
    </w:tbl>
    <w:p w14:paraId="7C50306F">
      <w:pPr>
        <w:pStyle w:val="98"/>
        <w:spacing w:before="31" w:after="31"/>
        <w:jc w:val="center"/>
        <w:rPr>
          <w:rFonts w:hint="eastAsia" w:ascii="黑体" w:hAnsi="黑体" w:eastAsia="黑体"/>
          <w:bCs/>
          <w:color w:val="auto"/>
        </w:rPr>
      </w:pPr>
    </w:p>
    <w:p w14:paraId="55B426BF">
      <w:pPr>
        <w:pStyle w:val="98"/>
        <w:spacing w:before="31" w:after="31"/>
        <w:jc w:val="center"/>
        <w:rPr>
          <w:rFonts w:hint="eastAsia" w:ascii="黑体" w:hAnsi="黑体" w:eastAsia="黑体"/>
          <w:bCs/>
          <w:color w:val="auto"/>
        </w:rPr>
      </w:pPr>
    </w:p>
    <w:p w14:paraId="6ECDFC76">
      <w:pPr>
        <w:pStyle w:val="98"/>
        <w:spacing w:before="31" w:after="31"/>
        <w:jc w:val="center"/>
        <w:rPr>
          <w:rFonts w:hint="eastAsia" w:ascii="黑体" w:hAnsi="黑体" w:eastAsia="黑体"/>
          <w:bCs/>
          <w:color w:val="auto"/>
        </w:rPr>
      </w:pPr>
    </w:p>
    <w:p w14:paraId="168ADB9E">
      <w:pPr>
        <w:rPr>
          <w:rFonts w:hint="eastAsia" w:ascii="黑体" w:hAnsi="黑体" w:eastAsia="黑体"/>
          <w:bCs/>
          <w:color w:val="auto"/>
          <w:lang w:val="en-US" w:eastAsia="zh-CN"/>
        </w:rPr>
      </w:pPr>
      <w:r>
        <w:rPr>
          <w:rFonts w:hint="eastAsia"/>
          <w:b w:val="0"/>
          <w:bCs w:val="0"/>
          <w:lang w:val="en-US" w:eastAsia="zh-CN"/>
        </w:rPr>
        <w:t>中、下承式拱桥监测布点要求见表B.5.4。</w:t>
      </w:r>
    </w:p>
    <w:p w14:paraId="75BBC61B">
      <w:pPr>
        <w:pStyle w:val="98"/>
        <w:spacing w:before="31" w:after="31"/>
        <w:jc w:val="center"/>
        <w:rPr>
          <w:rFonts w:hint="eastAsia" w:ascii="黑体" w:hAnsi="黑体" w:eastAsia="黑体"/>
          <w:bCs/>
          <w:color w:val="auto"/>
          <w:lang w:val="en-US" w:eastAsia="zh-CN"/>
        </w:rPr>
      </w:pPr>
      <w:r>
        <w:rPr>
          <w:rFonts w:hint="eastAsia" w:ascii="黑体" w:hAnsi="黑体" w:eastAsia="黑体"/>
          <w:bCs/>
          <w:color w:val="auto"/>
        </w:rPr>
        <w:t>B.5.4</w:t>
      </w:r>
      <w:r>
        <w:rPr>
          <w:rFonts w:ascii="黑体" w:hAnsi="黑体" w:eastAsia="黑体"/>
          <w:bCs/>
          <w:color w:val="auto"/>
        </w:rPr>
        <w:t xml:space="preserve">  </w:t>
      </w:r>
      <w:r>
        <w:rPr>
          <w:rFonts w:hint="eastAsia" w:ascii="黑体" w:hAnsi="黑体" w:eastAsia="黑体"/>
          <w:bCs/>
          <w:color w:val="auto"/>
        </w:rPr>
        <w:t>中、下承式拱桥监测</w:t>
      </w:r>
      <w:r>
        <w:rPr>
          <w:rFonts w:hint="eastAsia" w:ascii="黑体" w:hAnsi="黑体" w:eastAsia="黑体"/>
          <w:bCs/>
          <w:color w:val="auto"/>
          <w:lang w:val="en-US" w:eastAsia="zh-CN"/>
        </w:rPr>
        <w:t>布点要求</w:t>
      </w:r>
    </w:p>
    <w:tbl>
      <w:tblPr>
        <w:tblStyle w:val="35"/>
        <w:tblW w:w="4889" w:type="pct"/>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616"/>
        <w:gridCol w:w="1470"/>
        <w:gridCol w:w="1980"/>
        <w:gridCol w:w="960"/>
        <w:gridCol w:w="2862"/>
      </w:tblGrid>
      <w:tr w14:paraId="142E4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tcBorders>
              <w:top w:val="single" w:color="auto" w:sz="4" w:space="0"/>
              <w:left w:val="single" w:color="auto" w:sz="4" w:space="0"/>
              <w:bottom w:val="single" w:color="auto" w:sz="4" w:space="0"/>
              <w:right w:val="single" w:color="auto" w:sz="4" w:space="0"/>
            </w:tcBorders>
            <w:vAlign w:val="center"/>
          </w:tcPr>
          <w:p w14:paraId="71E3BC23">
            <w:pPr>
              <w:pStyle w:val="146"/>
              <w:rPr>
                <w:rFonts w:hint="eastAsia" w:ascii="宋体" w:hAnsi="宋体" w:eastAsia="宋体" w:cs="宋体"/>
                <w:sz w:val="18"/>
                <w:szCs w:val="18"/>
                <w:lang w:val="en-US" w:eastAsia="zh-CN"/>
              </w:rPr>
            </w:pPr>
            <w:r>
              <w:rPr>
                <w:rFonts w:hint="eastAsia" w:ascii="宋体" w:hAnsi="宋体" w:cs="宋体"/>
                <w:sz w:val="18"/>
                <w:szCs w:val="18"/>
                <w:lang w:val="en-US" w:eastAsia="zh-CN"/>
              </w:rPr>
              <w:t>序号</w:t>
            </w:r>
          </w:p>
        </w:tc>
        <w:tc>
          <w:tcPr>
            <w:tcW w:w="1223" w:type="pct"/>
            <w:gridSpan w:val="2"/>
            <w:tcBorders>
              <w:top w:val="single" w:color="auto" w:sz="4" w:space="0"/>
              <w:left w:val="single" w:color="auto" w:sz="4" w:space="0"/>
              <w:bottom w:val="single" w:color="auto" w:sz="4" w:space="0"/>
              <w:right w:val="single" w:color="auto" w:sz="4" w:space="0"/>
            </w:tcBorders>
            <w:vAlign w:val="center"/>
          </w:tcPr>
          <w:p w14:paraId="03DCA0D3">
            <w:pPr>
              <w:pStyle w:val="146"/>
              <w:rPr>
                <w:rFonts w:hint="eastAsia" w:ascii="宋体" w:hAnsi="宋体" w:cs="宋体"/>
                <w:sz w:val="18"/>
                <w:szCs w:val="18"/>
              </w:rPr>
            </w:pPr>
            <w:r>
              <w:rPr>
                <w:rFonts w:hint="eastAsia" w:ascii="宋体" w:hAnsi="宋体" w:cs="宋体"/>
                <w:sz w:val="18"/>
                <w:szCs w:val="18"/>
              </w:rPr>
              <w:t>监测对象</w:t>
            </w:r>
          </w:p>
        </w:tc>
        <w:tc>
          <w:tcPr>
            <w:tcW w:w="1161" w:type="pct"/>
            <w:tcBorders>
              <w:top w:val="single" w:color="auto" w:sz="4" w:space="0"/>
              <w:left w:val="single" w:color="auto" w:sz="4" w:space="0"/>
              <w:bottom w:val="single" w:color="auto" w:sz="4" w:space="0"/>
              <w:right w:val="single" w:color="auto" w:sz="4" w:space="0"/>
            </w:tcBorders>
            <w:vAlign w:val="center"/>
          </w:tcPr>
          <w:p w14:paraId="7FA99836">
            <w:pPr>
              <w:pStyle w:val="146"/>
              <w:rPr>
                <w:rFonts w:hint="eastAsia" w:ascii="宋体" w:hAnsi="宋体" w:cs="宋体"/>
                <w:sz w:val="18"/>
                <w:szCs w:val="18"/>
              </w:rPr>
            </w:pPr>
            <w:r>
              <w:rPr>
                <w:rFonts w:hint="eastAsia" w:ascii="宋体" w:hAnsi="宋体" w:cs="宋体"/>
                <w:sz w:val="18"/>
                <w:szCs w:val="18"/>
              </w:rPr>
              <w:t>监测指标</w:t>
            </w:r>
          </w:p>
        </w:tc>
        <w:tc>
          <w:tcPr>
            <w:tcW w:w="562" w:type="pct"/>
            <w:tcBorders>
              <w:top w:val="single" w:color="auto" w:sz="4" w:space="0"/>
              <w:left w:val="single" w:color="auto" w:sz="4" w:space="0"/>
              <w:bottom w:val="single" w:color="auto" w:sz="4" w:space="0"/>
              <w:right w:val="single" w:color="auto" w:sz="4" w:space="0"/>
            </w:tcBorders>
            <w:vAlign w:val="center"/>
          </w:tcPr>
          <w:p w14:paraId="137A88C6">
            <w:pPr>
              <w:pStyle w:val="146"/>
              <w:rPr>
                <w:rFonts w:hint="eastAsia" w:ascii="宋体" w:hAnsi="宋体" w:cs="宋体"/>
                <w:sz w:val="18"/>
                <w:szCs w:val="18"/>
              </w:rPr>
            </w:pPr>
            <w:r>
              <w:rPr>
                <w:rFonts w:hint="eastAsia" w:ascii="宋体" w:hAnsi="宋体" w:cs="宋体"/>
                <w:sz w:val="18"/>
                <w:szCs w:val="18"/>
              </w:rPr>
              <w:t>监测要求</w:t>
            </w:r>
          </w:p>
        </w:tc>
        <w:tc>
          <w:tcPr>
            <w:tcW w:w="1678" w:type="pct"/>
            <w:tcBorders>
              <w:top w:val="single" w:color="auto" w:sz="4" w:space="0"/>
              <w:left w:val="single" w:color="auto" w:sz="4" w:space="0"/>
              <w:bottom w:val="single" w:color="auto" w:sz="4" w:space="0"/>
              <w:right w:val="single" w:color="auto" w:sz="4" w:space="0"/>
            </w:tcBorders>
            <w:vAlign w:val="center"/>
          </w:tcPr>
          <w:p w14:paraId="08FDF89C">
            <w:pPr>
              <w:pStyle w:val="146"/>
              <w:rPr>
                <w:rFonts w:hint="eastAsia" w:ascii="宋体" w:hAnsi="宋体" w:cs="宋体"/>
                <w:color w:val="000000"/>
                <w:kern w:val="0"/>
                <w:sz w:val="18"/>
                <w:szCs w:val="18"/>
              </w:rPr>
            </w:pPr>
            <w:r>
              <w:rPr>
                <w:rFonts w:hint="eastAsia" w:ascii="宋体" w:hAnsi="宋体" w:cs="宋体"/>
                <w:color w:val="000000"/>
                <w:kern w:val="0"/>
                <w:sz w:val="18"/>
                <w:szCs w:val="18"/>
              </w:rPr>
              <w:t>监测布</w:t>
            </w:r>
            <w:r>
              <w:rPr>
                <w:rFonts w:hint="eastAsia" w:ascii="宋体" w:hAnsi="宋体" w:cs="宋体"/>
                <w:color w:val="000000"/>
                <w:kern w:val="0"/>
                <w:sz w:val="18"/>
                <w:szCs w:val="18"/>
                <w:lang w:val="en-US" w:eastAsia="zh-CN"/>
              </w:rPr>
              <w:t>点</w:t>
            </w:r>
            <w:r>
              <w:rPr>
                <w:rFonts w:hint="eastAsia" w:ascii="宋体" w:hAnsi="宋体" w:cs="宋体"/>
                <w:color w:val="000000"/>
                <w:kern w:val="0"/>
                <w:sz w:val="18"/>
                <w:szCs w:val="18"/>
              </w:rPr>
              <w:t>要求</w:t>
            </w:r>
          </w:p>
        </w:tc>
      </w:tr>
      <w:tr w14:paraId="17508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restart"/>
            <w:tcBorders>
              <w:top w:val="single" w:color="auto" w:sz="4" w:space="0"/>
              <w:left w:val="single" w:color="auto" w:sz="4" w:space="0"/>
              <w:right w:val="single" w:color="auto" w:sz="4" w:space="0"/>
            </w:tcBorders>
            <w:vAlign w:val="center"/>
          </w:tcPr>
          <w:p w14:paraId="58DEE563">
            <w:pPr>
              <w:pStyle w:val="146"/>
              <w:rPr>
                <w:rFonts w:hint="eastAsia" w:ascii="宋体" w:hAnsi="宋体" w:eastAsia="宋体" w:cs="宋体"/>
                <w:sz w:val="18"/>
                <w:szCs w:val="18"/>
                <w:lang w:val="en-US" w:eastAsia="zh-CN"/>
              </w:rPr>
            </w:pPr>
            <w:r>
              <w:rPr>
                <w:rFonts w:hint="eastAsia" w:ascii="宋体" w:hAnsi="宋体" w:cs="宋体"/>
                <w:sz w:val="18"/>
                <w:szCs w:val="18"/>
                <w:lang w:val="en-US" w:eastAsia="zh-CN"/>
              </w:rPr>
              <w:t>1</w:t>
            </w:r>
          </w:p>
        </w:tc>
        <w:tc>
          <w:tcPr>
            <w:tcW w:w="361" w:type="pct"/>
            <w:vMerge w:val="restart"/>
            <w:tcBorders>
              <w:top w:val="single" w:color="auto" w:sz="4" w:space="0"/>
              <w:left w:val="single" w:color="auto" w:sz="4" w:space="0"/>
              <w:bottom w:val="single" w:color="auto" w:sz="4" w:space="0"/>
              <w:right w:val="single" w:color="auto" w:sz="4" w:space="0"/>
            </w:tcBorders>
            <w:vAlign w:val="center"/>
          </w:tcPr>
          <w:p w14:paraId="51D6CEB5">
            <w:pPr>
              <w:pStyle w:val="146"/>
              <w:rPr>
                <w:rFonts w:hint="eastAsia" w:ascii="宋体" w:hAnsi="宋体" w:eastAsia="宋体" w:cs="宋体"/>
                <w:sz w:val="18"/>
                <w:szCs w:val="18"/>
                <w:lang w:eastAsia="zh-CN"/>
              </w:rPr>
            </w:pPr>
            <w:r>
              <w:rPr>
                <w:rFonts w:hint="eastAsia" w:ascii="宋体" w:hAnsi="宋体" w:cs="宋体"/>
                <w:sz w:val="18"/>
                <w:szCs w:val="18"/>
                <w:lang w:eastAsia="zh-CN"/>
              </w:rPr>
              <w:t>周边环境</w:t>
            </w:r>
          </w:p>
        </w:tc>
        <w:tc>
          <w:tcPr>
            <w:tcW w:w="861" w:type="pct"/>
            <w:vMerge w:val="restart"/>
            <w:tcBorders>
              <w:top w:val="single" w:color="auto" w:sz="4" w:space="0"/>
              <w:left w:val="single" w:color="auto" w:sz="4" w:space="0"/>
              <w:bottom w:val="single" w:color="auto" w:sz="4" w:space="0"/>
              <w:right w:val="single" w:color="auto" w:sz="4" w:space="0"/>
            </w:tcBorders>
            <w:vAlign w:val="center"/>
          </w:tcPr>
          <w:p w14:paraId="035B376C">
            <w:pPr>
              <w:pStyle w:val="146"/>
              <w:rPr>
                <w:rFonts w:hint="eastAsia" w:ascii="宋体" w:hAnsi="宋体" w:cs="宋体"/>
                <w:sz w:val="18"/>
                <w:szCs w:val="18"/>
              </w:rPr>
            </w:pPr>
            <w:r>
              <w:rPr>
                <w:rFonts w:hint="eastAsia" w:ascii="宋体" w:hAnsi="宋体" w:cs="宋体"/>
                <w:sz w:val="18"/>
                <w:szCs w:val="18"/>
              </w:rPr>
              <w:t>温度、湿度</w:t>
            </w:r>
          </w:p>
        </w:tc>
        <w:tc>
          <w:tcPr>
            <w:tcW w:w="1161" w:type="pct"/>
            <w:tcBorders>
              <w:top w:val="single" w:color="auto" w:sz="4" w:space="0"/>
              <w:left w:val="single" w:color="auto" w:sz="4" w:space="0"/>
              <w:bottom w:val="single" w:color="auto" w:sz="4" w:space="0"/>
              <w:right w:val="single" w:color="auto" w:sz="4" w:space="0"/>
            </w:tcBorders>
            <w:vAlign w:val="center"/>
          </w:tcPr>
          <w:p w14:paraId="058582B5">
            <w:pPr>
              <w:pStyle w:val="146"/>
              <w:rPr>
                <w:rFonts w:hint="eastAsia" w:ascii="宋体" w:hAnsi="宋体" w:cs="宋体"/>
                <w:bCs/>
                <w:sz w:val="18"/>
                <w:szCs w:val="18"/>
              </w:rPr>
            </w:pPr>
            <w:r>
              <w:rPr>
                <w:rFonts w:hint="eastAsia" w:ascii="宋体" w:hAnsi="宋体" w:cs="宋体"/>
                <w:bCs/>
                <w:sz w:val="18"/>
                <w:szCs w:val="18"/>
              </w:rPr>
              <w:t>桥址区环境温度、湿度</w:t>
            </w:r>
          </w:p>
        </w:tc>
        <w:tc>
          <w:tcPr>
            <w:tcW w:w="562" w:type="pct"/>
            <w:tcBorders>
              <w:top w:val="single" w:color="auto" w:sz="4" w:space="0"/>
              <w:left w:val="single" w:color="auto" w:sz="4" w:space="0"/>
              <w:bottom w:val="single" w:color="auto" w:sz="4" w:space="0"/>
              <w:right w:val="single" w:color="auto" w:sz="4" w:space="0"/>
            </w:tcBorders>
            <w:vAlign w:val="center"/>
          </w:tcPr>
          <w:p w14:paraId="29514DFE">
            <w:pPr>
              <w:pStyle w:val="146"/>
              <w:rPr>
                <w:rFonts w:hint="eastAsia" w:ascii="宋体" w:hAnsi="宋体" w:cs="宋体"/>
                <w:bCs/>
                <w:sz w:val="18"/>
                <w:szCs w:val="18"/>
              </w:rPr>
            </w:pPr>
            <w:r>
              <w:rPr>
                <w:rFonts w:hint="eastAsia" w:ascii="宋体" w:hAnsi="宋体" w:cs="宋体"/>
                <w:bCs/>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6EF21870">
            <w:pPr>
              <w:pStyle w:val="146"/>
              <w:rPr>
                <w:rFonts w:hint="eastAsia" w:cs="宋体"/>
                <w:bCs/>
                <w:sz w:val="18"/>
                <w:szCs w:val="18"/>
              </w:rPr>
            </w:pPr>
            <w:r>
              <w:rPr>
                <w:rFonts w:hint="eastAsia" w:cs="宋体"/>
                <w:bCs/>
                <w:sz w:val="18"/>
                <w:szCs w:val="18"/>
              </w:rPr>
              <w:t>桥梁中部</w:t>
            </w:r>
          </w:p>
        </w:tc>
      </w:tr>
      <w:tr w14:paraId="209EC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continue"/>
            <w:tcBorders>
              <w:left w:val="single" w:color="auto" w:sz="4" w:space="0"/>
              <w:right w:val="single" w:color="auto" w:sz="4" w:space="0"/>
            </w:tcBorders>
            <w:vAlign w:val="center"/>
          </w:tcPr>
          <w:p w14:paraId="076F4394">
            <w:pPr>
              <w:widowControl/>
              <w:spacing w:beforeLines="0" w:afterLines="0" w:line="240" w:lineRule="auto"/>
              <w:jc w:val="left"/>
              <w:rPr>
                <w:rFonts w:hint="eastAsia" w:ascii="宋体" w:hAnsi="宋体" w:cs="宋体"/>
                <w:sz w:val="18"/>
                <w:szCs w:val="18"/>
              </w:rPr>
            </w:pPr>
          </w:p>
        </w:tc>
        <w:tc>
          <w:tcPr>
            <w:tcW w:w="361" w:type="pct"/>
            <w:vMerge w:val="continue"/>
            <w:tcBorders>
              <w:top w:val="single" w:color="auto" w:sz="4" w:space="0"/>
              <w:left w:val="single" w:color="auto" w:sz="4" w:space="0"/>
              <w:bottom w:val="single" w:color="auto" w:sz="4" w:space="0"/>
              <w:right w:val="single" w:color="auto" w:sz="4" w:space="0"/>
            </w:tcBorders>
            <w:vAlign w:val="center"/>
          </w:tcPr>
          <w:p w14:paraId="0E6A0C60">
            <w:pPr>
              <w:widowControl/>
              <w:spacing w:beforeLines="0" w:afterLines="0" w:line="240" w:lineRule="auto"/>
              <w:jc w:val="left"/>
              <w:rPr>
                <w:rFonts w:hint="eastAsia" w:ascii="宋体" w:hAnsi="宋体" w:cs="宋体"/>
                <w:sz w:val="18"/>
                <w:szCs w:val="18"/>
              </w:rPr>
            </w:pPr>
          </w:p>
        </w:tc>
        <w:tc>
          <w:tcPr>
            <w:tcW w:w="861" w:type="pct"/>
            <w:vMerge w:val="continue"/>
            <w:tcBorders>
              <w:top w:val="single" w:color="auto" w:sz="4" w:space="0"/>
              <w:left w:val="single" w:color="auto" w:sz="4" w:space="0"/>
              <w:bottom w:val="single" w:color="auto" w:sz="4" w:space="0"/>
              <w:right w:val="single" w:color="auto" w:sz="4" w:space="0"/>
            </w:tcBorders>
            <w:vAlign w:val="center"/>
          </w:tcPr>
          <w:p w14:paraId="27A30898">
            <w:pPr>
              <w:widowControl/>
              <w:spacing w:beforeLines="0" w:afterLines="0" w:line="240" w:lineRule="auto"/>
              <w:jc w:val="left"/>
              <w:rPr>
                <w:rFonts w:hint="eastAsia" w:ascii="宋体" w:hAnsi="宋体" w:cs="宋体"/>
                <w:sz w:val="18"/>
                <w:szCs w:val="18"/>
              </w:rPr>
            </w:pPr>
          </w:p>
        </w:tc>
        <w:tc>
          <w:tcPr>
            <w:tcW w:w="1161" w:type="pct"/>
            <w:tcBorders>
              <w:top w:val="single" w:color="auto" w:sz="4" w:space="0"/>
              <w:left w:val="single" w:color="auto" w:sz="4" w:space="0"/>
              <w:bottom w:val="single" w:color="auto" w:sz="4" w:space="0"/>
              <w:right w:val="single" w:color="auto" w:sz="4" w:space="0"/>
            </w:tcBorders>
            <w:vAlign w:val="center"/>
          </w:tcPr>
          <w:p w14:paraId="25F50383">
            <w:pPr>
              <w:pStyle w:val="146"/>
              <w:rPr>
                <w:rFonts w:hint="eastAsia" w:ascii="宋体" w:hAnsi="宋体" w:cs="宋体"/>
                <w:bCs/>
                <w:sz w:val="18"/>
                <w:szCs w:val="18"/>
              </w:rPr>
            </w:pPr>
            <w:r>
              <w:rPr>
                <w:rFonts w:hint="eastAsia" w:ascii="宋体" w:hAnsi="宋体" w:cs="宋体"/>
                <w:bCs/>
                <w:sz w:val="18"/>
                <w:szCs w:val="18"/>
              </w:rPr>
              <w:t>主梁内温度、湿度（封闭箱梁）</w:t>
            </w:r>
          </w:p>
        </w:tc>
        <w:tc>
          <w:tcPr>
            <w:tcW w:w="562" w:type="pct"/>
            <w:tcBorders>
              <w:top w:val="single" w:color="auto" w:sz="4" w:space="0"/>
              <w:left w:val="single" w:color="auto" w:sz="4" w:space="0"/>
              <w:bottom w:val="single" w:color="auto" w:sz="4" w:space="0"/>
              <w:right w:val="single" w:color="auto" w:sz="4" w:space="0"/>
            </w:tcBorders>
            <w:vAlign w:val="center"/>
          </w:tcPr>
          <w:p w14:paraId="1865B49C">
            <w:pPr>
              <w:pStyle w:val="146"/>
              <w:rPr>
                <w:rFonts w:hint="eastAsia" w:ascii="宋体" w:hAnsi="宋体" w:cs="宋体"/>
                <w:sz w:val="18"/>
                <w:szCs w:val="18"/>
              </w:rPr>
            </w:pPr>
            <w:r>
              <w:rPr>
                <w:rFonts w:hint="eastAsia" w:ascii="宋体" w:hAnsi="宋体" w:cs="宋体"/>
                <w:bCs/>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59DFB7D3">
            <w:pPr>
              <w:pStyle w:val="146"/>
              <w:rPr>
                <w:rFonts w:cs="宋体"/>
                <w:bCs/>
                <w:sz w:val="18"/>
                <w:szCs w:val="18"/>
              </w:rPr>
            </w:pPr>
            <w:r>
              <w:rPr>
                <w:rFonts w:cs="宋体"/>
                <w:bCs/>
                <w:sz w:val="18"/>
                <w:szCs w:val="18"/>
              </w:rPr>
              <w:t>布设在桥梁结构内、 外温度或湿度变化较大和对温度、湿度敏感的部位</w:t>
            </w:r>
          </w:p>
        </w:tc>
      </w:tr>
      <w:tr w14:paraId="05443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continue"/>
            <w:tcBorders>
              <w:left w:val="single" w:color="auto" w:sz="4" w:space="0"/>
              <w:bottom w:val="single" w:color="auto" w:sz="4" w:space="0"/>
              <w:right w:val="single" w:color="auto" w:sz="4" w:space="0"/>
            </w:tcBorders>
            <w:vAlign w:val="center"/>
          </w:tcPr>
          <w:p w14:paraId="673A3386">
            <w:pPr>
              <w:widowControl/>
              <w:spacing w:beforeLines="0" w:afterLines="0" w:line="240" w:lineRule="auto"/>
              <w:jc w:val="left"/>
              <w:rPr>
                <w:rFonts w:hint="eastAsia" w:ascii="宋体" w:hAnsi="宋体" w:cs="宋体"/>
                <w:sz w:val="18"/>
                <w:szCs w:val="18"/>
              </w:rPr>
            </w:pPr>
          </w:p>
        </w:tc>
        <w:tc>
          <w:tcPr>
            <w:tcW w:w="361" w:type="pct"/>
            <w:vMerge w:val="continue"/>
            <w:tcBorders>
              <w:top w:val="single" w:color="auto" w:sz="4" w:space="0"/>
              <w:left w:val="single" w:color="auto" w:sz="4" w:space="0"/>
              <w:bottom w:val="single" w:color="auto" w:sz="4" w:space="0"/>
              <w:right w:val="single" w:color="auto" w:sz="4" w:space="0"/>
            </w:tcBorders>
            <w:vAlign w:val="center"/>
          </w:tcPr>
          <w:p w14:paraId="4DE18BE9">
            <w:pPr>
              <w:widowControl/>
              <w:spacing w:beforeLines="0" w:afterLines="0" w:line="240" w:lineRule="auto"/>
              <w:jc w:val="left"/>
              <w:rPr>
                <w:rFonts w:hint="eastAsia" w:ascii="宋体" w:hAnsi="宋体" w:cs="宋体"/>
                <w:sz w:val="18"/>
                <w:szCs w:val="18"/>
              </w:rPr>
            </w:pPr>
          </w:p>
        </w:tc>
        <w:tc>
          <w:tcPr>
            <w:tcW w:w="861" w:type="pct"/>
            <w:vMerge w:val="continue"/>
            <w:tcBorders>
              <w:top w:val="single" w:color="auto" w:sz="4" w:space="0"/>
              <w:left w:val="single" w:color="auto" w:sz="4" w:space="0"/>
              <w:bottom w:val="single" w:color="auto" w:sz="4" w:space="0"/>
              <w:right w:val="single" w:color="auto" w:sz="4" w:space="0"/>
            </w:tcBorders>
            <w:vAlign w:val="center"/>
          </w:tcPr>
          <w:p w14:paraId="1539D1FC">
            <w:pPr>
              <w:widowControl/>
              <w:spacing w:beforeLines="0" w:afterLines="0" w:line="240" w:lineRule="auto"/>
              <w:jc w:val="left"/>
              <w:rPr>
                <w:rFonts w:hint="eastAsia" w:ascii="宋体" w:hAnsi="宋体" w:cs="宋体"/>
                <w:sz w:val="18"/>
                <w:szCs w:val="18"/>
              </w:rPr>
            </w:pPr>
          </w:p>
        </w:tc>
        <w:tc>
          <w:tcPr>
            <w:tcW w:w="1161" w:type="pct"/>
            <w:tcBorders>
              <w:top w:val="single" w:color="auto" w:sz="4" w:space="0"/>
              <w:left w:val="single" w:color="auto" w:sz="4" w:space="0"/>
              <w:bottom w:val="single" w:color="auto" w:sz="4" w:space="0"/>
              <w:right w:val="single" w:color="auto" w:sz="4" w:space="0"/>
            </w:tcBorders>
            <w:vAlign w:val="center"/>
          </w:tcPr>
          <w:p w14:paraId="04A4F55C">
            <w:pPr>
              <w:pStyle w:val="146"/>
              <w:rPr>
                <w:rFonts w:hint="eastAsia" w:ascii="宋体" w:hAnsi="宋体" w:cs="宋体"/>
                <w:bCs/>
                <w:sz w:val="18"/>
                <w:szCs w:val="18"/>
              </w:rPr>
            </w:pPr>
            <w:r>
              <w:rPr>
                <w:rFonts w:hint="eastAsia" w:ascii="宋体" w:hAnsi="宋体" w:cs="宋体"/>
                <w:bCs/>
                <w:sz w:val="18"/>
                <w:szCs w:val="18"/>
              </w:rPr>
              <w:t>主拱内温度、湿度（箱形拱）</w:t>
            </w:r>
          </w:p>
        </w:tc>
        <w:tc>
          <w:tcPr>
            <w:tcW w:w="562" w:type="pct"/>
            <w:tcBorders>
              <w:top w:val="single" w:color="auto" w:sz="4" w:space="0"/>
              <w:left w:val="single" w:color="auto" w:sz="4" w:space="0"/>
              <w:bottom w:val="single" w:color="auto" w:sz="4" w:space="0"/>
              <w:right w:val="single" w:color="auto" w:sz="4" w:space="0"/>
            </w:tcBorders>
            <w:vAlign w:val="center"/>
          </w:tcPr>
          <w:p w14:paraId="750808B7">
            <w:pPr>
              <w:pStyle w:val="146"/>
              <w:rPr>
                <w:rFonts w:hint="eastAsia" w:ascii="宋体" w:hAnsi="宋体" w:cs="宋体"/>
                <w:bCs/>
                <w:sz w:val="18"/>
                <w:szCs w:val="18"/>
              </w:rPr>
            </w:pPr>
            <w:r>
              <w:rPr>
                <w:rFonts w:hint="eastAsia" w:ascii="宋体" w:hAnsi="宋体" w:cs="宋体"/>
                <w:bCs/>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455BA300">
            <w:pPr>
              <w:pStyle w:val="146"/>
              <w:rPr>
                <w:rFonts w:cs="宋体"/>
                <w:bCs/>
                <w:sz w:val="18"/>
                <w:szCs w:val="18"/>
              </w:rPr>
            </w:pPr>
            <w:r>
              <w:rPr>
                <w:rFonts w:cs="宋体"/>
                <w:bCs/>
                <w:sz w:val="18"/>
                <w:szCs w:val="18"/>
              </w:rPr>
              <w:t>布设在桥梁结构内、 外温度或湿度变化较大和对温度、湿度敏感的部位</w:t>
            </w:r>
          </w:p>
        </w:tc>
      </w:tr>
      <w:tr w14:paraId="17BD9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tcBorders>
              <w:top w:val="single" w:color="auto" w:sz="4" w:space="0"/>
              <w:left w:val="single" w:color="auto" w:sz="4" w:space="0"/>
              <w:bottom w:val="single" w:color="auto" w:sz="4" w:space="0"/>
              <w:right w:val="single" w:color="auto" w:sz="4" w:space="0"/>
            </w:tcBorders>
            <w:vAlign w:val="center"/>
          </w:tcPr>
          <w:p w14:paraId="40899420">
            <w:pPr>
              <w:widowControl/>
              <w:spacing w:beforeLines="0" w:afterLines="0" w:line="240"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2</w:t>
            </w:r>
          </w:p>
        </w:tc>
        <w:tc>
          <w:tcPr>
            <w:tcW w:w="361" w:type="pct"/>
            <w:vMerge w:val="continue"/>
            <w:tcBorders>
              <w:top w:val="single" w:color="auto" w:sz="4" w:space="0"/>
              <w:left w:val="single" w:color="auto" w:sz="4" w:space="0"/>
              <w:bottom w:val="single" w:color="auto" w:sz="4" w:space="0"/>
              <w:right w:val="single" w:color="auto" w:sz="4" w:space="0"/>
            </w:tcBorders>
            <w:vAlign w:val="center"/>
          </w:tcPr>
          <w:p w14:paraId="2E42A4B4">
            <w:pPr>
              <w:widowControl/>
              <w:spacing w:beforeLines="0" w:afterLines="0" w:line="240" w:lineRule="auto"/>
              <w:jc w:val="left"/>
              <w:rPr>
                <w:rFonts w:hint="eastAsia" w:ascii="宋体" w:hAnsi="宋体" w:cs="宋体"/>
                <w:sz w:val="18"/>
                <w:szCs w:val="18"/>
              </w:rPr>
            </w:pPr>
          </w:p>
        </w:tc>
        <w:tc>
          <w:tcPr>
            <w:tcW w:w="861" w:type="pct"/>
            <w:tcBorders>
              <w:top w:val="single" w:color="auto" w:sz="4" w:space="0"/>
              <w:left w:val="single" w:color="auto" w:sz="4" w:space="0"/>
              <w:bottom w:val="single" w:color="auto" w:sz="4" w:space="0"/>
              <w:right w:val="single" w:color="auto" w:sz="4" w:space="0"/>
            </w:tcBorders>
            <w:vAlign w:val="center"/>
          </w:tcPr>
          <w:p w14:paraId="4FB2E51F">
            <w:pPr>
              <w:pStyle w:val="146"/>
              <w:rPr>
                <w:rFonts w:hint="eastAsia" w:ascii="宋体" w:hAnsi="宋体" w:cs="宋体"/>
                <w:sz w:val="18"/>
                <w:szCs w:val="18"/>
              </w:rPr>
            </w:pPr>
            <w:r>
              <w:rPr>
                <w:rFonts w:hint="eastAsia" w:ascii="宋体" w:hAnsi="宋体" w:cs="宋体"/>
                <w:sz w:val="18"/>
                <w:szCs w:val="18"/>
              </w:rPr>
              <w:t>结冰</w:t>
            </w:r>
          </w:p>
        </w:tc>
        <w:tc>
          <w:tcPr>
            <w:tcW w:w="1161" w:type="pct"/>
            <w:tcBorders>
              <w:top w:val="single" w:color="auto" w:sz="4" w:space="0"/>
              <w:left w:val="single" w:color="auto" w:sz="4" w:space="0"/>
              <w:bottom w:val="single" w:color="auto" w:sz="4" w:space="0"/>
              <w:right w:val="single" w:color="auto" w:sz="4" w:space="0"/>
            </w:tcBorders>
            <w:vAlign w:val="center"/>
          </w:tcPr>
          <w:p w14:paraId="6A23363D">
            <w:pPr>
              <w:pStyle w:val="146"/>
              <w:rPr>
                <w:rFonts w:hint="eastAsia" w:ascii="宋体" w:hAnsi="宋体" w:cs="宋体"/>
                <w:sz w:val="18"/>
                <w:szCs w:val="18"/>
              </w:rPr>
            </w:pPr>
            <w:r>
              <w:rPr>
                <w:rFonts w:hint="eastAsia" w:ascii="宋体" w:hAnsi="宋体" w:cs="宋体"/>
                <w:sz w:val="18"/>
                <w:szCs w:val="18"/>
              </w:rPr>
              <w:t>桥面结冰、吊杆结冰</w:t>
            </w:r>
          </w:p>
        </w:tc>
        <w:tc>
          <w:tcPr>
            <w:tcW w:w="562" w:type="pct"/>
            <w:tcBorders>
              <w:top w:val="single" w:color="auto" w:sz="4" w:space="0"/>
              <w:left w:val="single" w:color="auto" w:sz="4" w:space="0"/>
              <w:bottom w:val="single" w:color="auto" w:sz="4" w:space="0"/>
              <w:right w:val="single" w:color="auto" w:sz="4" w:space="0"/>
            </w:tcBorders>
            <w:vAlign w:val="center"/>
          </w:tcPr>
          <w:p w14:paraId="1493DCA7">
            <w:pPr>
              <w:pStyle w:val="146"/>
              <w:rPr>
                <w:rFonts w:hint="eastAsia" w:ascii="宋体" w:hAnsi="宋体" w:cs="宋体"/>
                <w:sz w:val="18"/>
                <w:szCs w:val="18"/>
              </w:rPr>
            </w:pPr>
            <w:r>
              <w:rPr>
                <w:rFonts w:hint="eastAsia" w:ascii="宋体" w:hAnsi="宋体" w:cs="宋体"/>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1358F927">
            <w:pPr>
              <w:pStyle w:val="146"/>
              <w:rPr>
                <w:rFonts w:hint="eastAsia" w:cs="宋体"/>
                <w:bCs/>
                <w:sz w:val="18"/>
                <w:szCs w:val="18"/>
              </w:rPr>
            </w:pPr>
            <w:r>
              <w:rPr>
                <w:rFonts w:hint="eastAsia" w:cs="宋体"/>
                <w:bCs/>
                <w:sz w:val="18"/>
                <w:szCs w:val="18"/>
              </w:rPr>
              <w:t>易结冰处</w:t>
            </w:r>
            <w:r>
              <w:rPr>
                <w:rFonts w:cs="宋体"/>
                <w:bCs/>
                <w:sz w:val="18"/>
                <w:szCs w:val="18"/>
              </w:rPr>
              <w:t>-</w:t>
            </w:r>
          </w:p>
        </w:tc>
      </w:tr>
      <w:tr w14:paraId="16ECF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tcBorders>
              <w:top w:val="single" w:color="auto" w:sz="4" w:space="0"/>
              <w:left w:val="single" w:color="auto" w:sz="4" w:space="0"/>
              <w:bottom w:val="single" w:color="auto" w:sz="4" w:space="0"/>
              <w:right w:val="single" w:color="auto" w:sz="4" w:space="0"/>
            </w:tcBorders>
            <w:vAlign w:val="center"/>
          </w:tcPr>
          <w:p w14:paraId="6F78BC0E">
            <w:pPr>
              <w:widowControl/>
              <w:spacing w:beforeLines="0" w:afterLines="0" w:line="240"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3</w:t>
            </w:r>
          </w:p>
        </w:tc>
        <w:tc>
          <w:tcPr>
            <w:tcW w:w="361" w:type="pct"/>
            <w:vMerge w:val="continue"/>
            <w:tcBorders>
              <w:top w:val="single" w:color="auto" w:sz="4" w:space="0"/>
              <w:left w:val="single" w:color="auto" w:sz="4" w:space="0"/>
              <w:bottom w:val="single" w:color="auto" w:sz="4" w:space="0"/>
              <w:right w:val="single" w:color="auto" w:sz="4" w:space="0"/>
            </w:tcBorders>
            <w:vAlign w:val="center"/>
          </w:tcPr>
          <w:p w14:paraId="173D6213">
            <w:pPr>
              <w:widowControl/>
              <w:spacing w:beforeLines="0" w:afterLines="0" w:line="240" w:lineRule="auto"/>
              <w:jc w:val="left"/>
              <w:rPr>
                <w:rFonts w:hint="eastAsia" w:ascii="宋体" w:hAnsi="宋体" w:cs="宋体"/>
                <w:sz w:val="18"/>
                <w:szCs w:val="18"/>
              </w:rPr>
            </w:pPr>
          </w:p>
        </w:tc>
        <w:tc>
          <w:tcPr>
            <w:tcW w:w="861" w:type="pct"/>
            <w:tcBorders>
              <w:top w:val="single" w:color="auto" w:sz="4" w:space="0"/>
              <w:left w:val="single" w:color="auto" w:sz="4" w:space="0"/>
              <w:bottom w:val="single" w:color="auto" w:sz="4" w:space="0"/>
              <w:right w:val="single" w:color="auto" w:sz="4" w:space="0"/>
            </w:tcBorders>
            <w:vAlign w:val="center"/>
          </w:tcPr>
          <w:p w14:paraId="736BD021">
            <w:pPr>
              <w:pStyle w:val="146"/>
              <w:rPr>
                <w:rFonts w:hint="eastAsia" w:ascii="宋体" w:hAnsi="宋体" w:cs="宋体"/>
                <w:sz w:val="18"/>
                <w:szCs w:val="18"/>
              </w:rPr>
            </w:pPr>
            <w:r>
              <w:rPr>
                <w:rFonts w:hint="eastAsia" w:ascii="宋体" w:hAnsi="宋体" w:cs="宋体"/>
                <w:sz w:val="18"/>
                <w:szCs w:val="18"/>
              </w:rPr>
              <w:t>雨量</w:t>
            </w:r>
          </w:p>
        </w:tc>
        <w:tc>
          <w:tcPr>
            <w:tcW w:w="1161" w:type="pct"/>
            <w:tcBorders>
              <w:top w:val="single" w:color="auto" w:sz="4" w:space="0"/>
              <w:left w:val="single" w:color="auto" w:sz="4" w:space="0"/>
              <w:bottom w:val="single" w:color="auto" w:sz="4" w:space="0"/>
              <w:right w:val="single" w:color="auto" w:sz="4" w:space="0"/>
            </w:tcBorders>
            <w:vAlign w:val="center"/>
          </w:tcPr>
          <w:p w14:paraId="1883EB03">
            <w:pPr>
              <w:pStyle w:val="146"/>
              <w:rPr>
                <w:rFonts w:hint="eastAsia" w:ascii="宋体" w:hAnsi="宋体" w:cs="宋体"/>
                <w:sz w:val="18"/>
                <w:szCs w:val="18"/>
              </w:rPr>
            </w:pPr>
            <w:r>
              <w:rPr>
                <w:rFonts w:hint="eastAsia" w:ascii="宋体" w:hAnsi="宋体" w:cs="宋体"/>
                <w:sz w:val="18"/>
                <w:szCs w:val="18"/>
              </w:rPr>
              <w:t>雨量</w:t>
            </w:r>
          </w:p>
        </w:tc>
        <w:tc>
          <w:tcPr>
            <w:tcW w:w="562" w:type="pct"/>
            <w:tcBorders>
              <w:top w:val="single" w:color="auto" w:sz="4" w:space="0"/>
              <w:left w:val="single" w:color="auto" w:sz="4" w:space="0"/>
              <w:bottom w:val="single" w:color="auto" w:sz="4" w:space="0"/>
              <w:right w:val="single" w:color="auto" w:sz="4" w:space="0"/>
            </w:tcBorders>
            <w:vAlign w:val="center"/>
          </w:tcPr>
          <w:p w14:paraId="4201615D">
            <w:pPr>
              <w:pStyle w:val="146"/>
              <w:rPr>
                <w:rFonts w:hint="eastAsia" w:ascii="宋体" w:hAnsi="宋体" w:cs="宋体"/>
                <w:sz w:val="18"/>
                <w:szCs w:val="18"/>
              </w:rPr>
            </w:pPr>
            <w:r>
              <w:rPr>
                <w:rFonts w:hint="eastAsia" w:ascii="宋体" w:hAnsi="宋体" w:cs="宋体"/>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06DAB589">
            <w:pPr>
              <w:pStyle w:val="146"/>
              <w:rPr>
                <w:rFonts w:hint="eastAsia" w:ascii="宋体" w:hAnsi="宋体" w:cs="宋体"/>
                <w:sz w:val="18"/>
                <w:szCs w:val="18"/>
              </w:rPr>
            </w:pPr>
            <w:r>
              <w:rPr>
                <w:rFonts w:hint="eastAsia" w:ascii="宋体" w:hAnsi="宋体" w:cs="宋体"/>
                <w:sz w:val="18"/>
                <w:szCs w:val="18"/>
              </w:rPr>
              <w:t>-</w:t>
            </w:r>
          </w:p>
        </w:tc>
      </w:tr>
      <w:tr w14:paraId="6D648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tcBorders>
              <w:top w:val="single" w:color="auto" w:sz="4" w:space="0"/>
              <w:left w:val="single" w:color="auto" w:sz="4" w:space="0"/>
              <w:bottom w:val="single" w:color="auto" w:sz="4" w:space="0"/>
              <w:right w:val="single" w:color="auto" w:sz="4" w:space="0"/>
            </w:tcBorders>
            <w:vAlign w:val="center"/>
          </w:tcPr>
          <w:p w14:paraId="0A4229BF">
            <w:pPr>
              <w:widowControl/>
              <w:spacing w:beforeLines="0" w:afterLines="0" w:line="240"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4</w:t>
            </w:r>
          </w:p>
        </w:tc>
        <w:tc>
          <w:tcPr>
            <w:tcW w:w="361" w:type="pct"/>
            <w:vMerge w:val="continue"/>
            <w:tcBorders>
              <w:top w:val="single" w:color="auto" w:sz="4" w:space="0"/>
              <w:left w:val="single" w:color="auto" w:sz="4" w:space="0"/>
              <w:bottom w:val="single" w:color="auto" w:sz="4" w:space="0"/>
              <w:right w:val="single" w:color="auto" w:sz="4" w:space="0"/>
            </w:tcBorders>
            <w:vAlign w:val="center"/>
          </w:tcPr>
          <w:p w14:paraId="48A5F700">
            <w:pPr>
              <w:widowControl/>
              <w:spacing w:beforeLines="0" w:afterLines="0" w:line="240" w:lineRule="auto"/>
              <w:jc w:val="left"/>
              <w:rPr>
                <w:rFonts w:hint="eastAsia" w:ascii="宋体" w:hAnsi="宋体" w:cs="宋体"/>
                <w:sz w:val="18"/>
                <w:szCs w:val="18"/>
              </w:rPr>
            </w:pPr>
          </w:p>
        </w:tc>
        <w:tc>
          <w:tcPr>
            <w:tcW w:w="861" w:type="pct"/>
            <w:tcBorders>
              <w:top w:val="single" w:color="auto" w:sz="4" w:space="0"/>
              <w:left w:val="single" w:color="auto" w:sz="4" w:space="0"/>
              <w:bottom w:val="single" w:color="auto" w:sz="4" w:space="0"/>
              <w:right w:val="single" w:color="auto" w:sz="4" w:space="0"/>
            </w:tcBorders>
            <w:vAlign w:val="center"/>
          </w:tcPr>
          <w:p w14:paraId="23E699FC">
            <w:pPr>
              <w:pStyle w:val="146"/>
              <w:rPr>
                <w:rFonts w:hint="eastAsia" w:ascii="宋体" w:hAnsi="宋体" w:cs="宋体"/>
                <w:sz w:val="18"/>
                <w:szCs w:val="18"/>
              </w:rPr>
            </w:pPr>
            <w:r>
              <w:rPr>
                <w:rFonts w:hint="eastAsia" w:ascii="宋体" w:hAnsi="宋体" w:cs="宋体"/>
                <w:sz w:val="18"/>
                <w:szCs w:val="18"/>
              </w:rPr>
              <w:t>异常事件</w:t>
            </w:r>
          </w:p>
        </w:tc>
        <w:tc>
          <w:tcPr>
            <w:tcW w:w="1161" w:type="pct"/>
            <w:tcBorders>
              <w:top w:val="single" w:color="auto" w:sz="4" w:space="0"/>
              <w:left w:val="single" w:color="auto" w:sz="4" w:space="0"/>
              <w:bottom w:val="single" w:color="auto" w:sz="4" w:space="0"/>
              <w:right w:val="single" w:color="auto" w:sz="4" w:space="0"/>
            </w:tcBorders>
            <w:vAlign w:val="center"/>
          </w:tcPr>
          <w:p w14:paraId="4609A546">
            <w:pPr>
              <w:pStyle w:val="146"/>
              <w:rPr>
                <w:rFonts w:hint="eastAsia" w:ascii="宋体" w:hAnsi="宋体" w:eastAsia="宋体" w:cs="宋体"/>
                <w:bCs/>
                <w:sz w:val="18"/>
                <w:szCs w:val="18"/>
                <w:lang w:eastAsia="zh-CN"/>
              </w:rPr>
            </w:pPr>
            <w:r>
              <w:rPr>
                <w:rFonts w:hint="eastAsia" w:ascii="宋体" w:hAnsi="宋体" w:cs="宋体"/>
                <w:bCs/>
                <w:sz w:val="18"/>
                <w:szCs w:val="18"/>
                <w:lang w:eastAsia="zh-CN"/>
              </w:rPr>
              <w:t>视频监控</w:t>
            </w:r>
          </w:p>
        </w:tc>
        <w:tc>
          <w:tcPr>
            <w:tcW w:w="562" w:type="pct"/>
            <w:tcBorders>
              <w:top w:val="single" w:color="auto" w:sz="4" w:space="0"/>
              <w:left w:val="single" w:color="auto" w:sz="4" w:space="0"/>
              <w:bottom w:val="single" w:color="auto" w:sz="4" w:space="0"/>
              <w:right w:val="single" w:color="auto" w:sz="4" w:space="0"/>
            </w:tcBorders>
            <w:vAlign w:val="center"/>
          </w:tcPr>
          <w:p w14:paraId="044F652E">
            <w:pPr>
              <w:pStyle w:val="146"/>
              <w:rPr>
                <w:rFonts w:hint="eastAsia" w:ascii="宋体" w:hAnsi="宋体" w:cs="宋体"/>
                <w:bCs/>
                <w:sz w:val="18"/>
                <w:szCs w:val="18"/>
              </w:rPr>
            </w:pPr>
            <w:r>
              <w:rPr>
                <w:rFonts w:hint="eastAsia" w:ascii="宋体" w:hAnsi="宋体" w:cs="宋体"/>
                <w:bCs/>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6C7A7618">
            <w:pPr>
              <w:pStyle w:val="146"/>
              <w:rPr>
                <w:rFonts w:hint="eastAsia" w:ascii="宋体" w:hAnsi="宋体" w:cs="宋体"/>
                <w:bCs/>
                <w:sz w:val="18"/>
                <w:szCs w:val="18"/>
              </w:rPr>
            </w:pPr>
            <w:r>
              <w:rPr>
                <w:rFonts w:hint="eastAsia" w:ascii="宋体" w:hAnsi="宋体" w:cs="宋体"/>
                <w:bCs/>
                <w:sz w:val="18"/>
                <w:szCs w:val="18"/>
              </w:rPr>
              <w:t>根据设备性能达到无监测盲区效果</w:t>
            </w:r>
          </w:p>
        </w:tc>
      </w:tr>
      <w:tr w14:paraId="0266F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restart"/>
            <w:tcBorders>
              <w:top w:val="single" w:color="auto" w:sz="4" w:space="0"/>
              <w:left w:val="single" w:color="auto" w:sz="4" w:space="0"/>
              <w:right w:val="single" w:color="auto" w:sz="4" w:space="0"/>
            </w:tcBorders>
            <w:vAlign w:val="center"/>
          </w:tcPr>
          <w:p w14:paraId="1A7C981E">
            <w:pPr>
              <w:pStyle w:val="146"/>
              <w:rPr>
                <w:rFonts w:hint="eastAsia" w:ascii="宋体" w:hAnsi="宋体" w:eastAsia="宋体" w:cs="宋体"/>
                <w:sz w:val="18"/>
                <w:szCs w:val="18"/>
                <w:lang w:val="en-US" w:eastAsia="zh-CN"/>
              </w:rPr>
            </w:pPr>
            <w:r>
              <w:rPr>
                <w:rFonts w:hint="eastAsia" w:ascii="宋体" w:hAnsi="宋体" w:cs="宋体"/>
                <w:sz w:val="18"/>
                <w:szCs w:val="18"/>
                <w:lang w:val="en-US" w:eastAsia="zh-CN"/>
              </w:rPr>
              <w:t>5</w:t>
            </w:r>
          </w:p>
        </w:tc>
        <w:tc>
          <w:tcPr>
            <w:tcW w:w="361" w:type="pct"/>
            <w:vMerge w:val="restart"/>
            <w:tcBorders>
              <w:top w:val="single" w:color="auto" w:sz="4" w:space="0"/>
              <w:left w:val="single" w:color="auto" w:sz="4" w:space="0"/>
              <w:bottom w:val="single" w:color="auto" w:sz="4" w:space="0"/>
              <w:right w:val="single" w:color="auto" w:sz="4" w:space="0"/>
            </w:tcBorders>
            <w:vAlign w:val="center"/>
          </w:tcPr>
          <w:p w14:paraId="31108A68">
            <w:pPr>
              <w:pStyle w:val="146"/>
              <w:rPr>
                <w:rFonts w:hint="eastAsia" w:ascii="宋体" w:hAnsi="宋体" w:cs="宋体"/>
                <w:sz w:val="18"/>
                <w:szCs w:val="18"/>
              </w:rPr>
            </w:pPr>
            <w:r>
              <w:rPr>
                <w:rFonts w:hint="eastAsia" w:ascii="宋体" w:hAnsi="宋体" w:cs="宋体"/>
                <w:sz w:val="18"/>
                <w:szCs w:val="18"/>
              </w:rPr>
              <w:t>外部作用</w:t>
            </w:r>
          </w:p>
        </w:tc>
        <w:tc>
          <w:tcPr>
            <w:tcW w:w="861" w:type="pct"/>
            <w:vMerge w:val="restart"/>
            <w:tcBorders>
              <w:top w:val="single" w:color="auto" w:sz="4" w:space="0"/>
              <w:left w:val="single" w:color="auto" w:sz="4" w:space="0"/>
              <w:bottom w:val="single" w:color="auto" w:sz="4" w:space="0"/>
              <w:right w:val="single" w:color="auto" w:sz="4" w:space="0"/>
            </w:tcBorders>
            <w:vAlign w:val="center"/>
          </w:tcPr>
          <w:p w14:paraId="6D2D17ED">
            <w:pPr>
              <w:pStyle w:val="146"/>
              <w:rPr>
                <w:rFonts w:hint="eastAsia" w:ascii="宋体" w:hAnsi="宋体" w:cs="宋体"/>
                <w:sz w:val="18"/>
                <w:szCs w:val="18"/>
              </w:rPr>
            </w:pPr>
            <w:r>
              <w:rPr>
                <w:rFonts w:hint="eastAsia" w:ascii="宋体" w:hAnsi="宋体" w:cs="宋体"/>
                <w:sz w:val="18"/>
                <w:szCs w:val="18"/>
              </w:rPr>
              <w:t>车辆荷载</w:t>
            </w:r>
          </w:p>
        </w:tc>
        <w:tc>
          <w:tcPr>
            <w:tcW w:w="1161" w:type="pct"/>
            <w:tcBorders>
              <w:top w:val="single" w:color="auto" w:sz="4" w:space="0"/>
              <w:left w:val="single" w:color="auto" w:sz="4" w:space="0"/>
              <w:bottom w:val="single" w:color="auto" w:sz="4" w:space="0"/>
              <w:right w:val="single" w:color="auto" w:sz="4" w:space="0"/>
            </w:tcBorders>
            <w:vAlign w:val="center"/>
          </w:tcPr>
          <w:p w14:paraId="2C76A4B3">
            <w:pPr>
              <w:pStyle w:val="146"/>
              <w:rPr>
                <w:rFonts w:hint="eastAsia" w:ascii="宋体" w:hAnsi="宋体" w:cs="宋体"/>
                <w:bCs/>
                <w:sz w:val="18"/>
                <w:szCs w:val="18"/>
              </w:rPr>
            </w:pPr>
            <w:r>
              <w:rPr>
                <w:rFonts w:hint="eastAsia" w:ascii="宋体" w:hAnsi="宋体" w:cs="宋体"/>
                <w:bCs/>
                <w:sz w:val="18"/>
                <w:szCs w:val="18"/>
              </w:rPr>
              <w:t>所有车道车重、轴重、轴数、车速</w:t>
            </w:r>
          </w:p>
        </w:tc>
        <w:tc>
          <w:tcPr>
            <w:tcW w:w="562" w:type="pct"/>
            <w:tcBorders>
              <w:top w:val="single" w:color="auto" w:sz="4" w:space="0"/>
              <w:left w:val="single" w:color="auto" w:sz="4" w:space="0"/>
              <w:bottom w:val="single" w:color="auto" w:sz="4" w:space="0"/>
              <w:right w:val="single" w:color="auto" w:sz="4" w:space="0"/>
            </w:tcBorders>
            <w:vAlign w:val="center"/>
          </w:tcPr>
          <w:p w14:paraId="2CBD54C5">
            <w:pPr>
              <w:pStyle w:val="146"/>
              <w:rPr>
                <w:rFonts w:hint="eastAsia" w:ascii="宋体" w:hAnsi="宋体" w:cs="宋体"/>
                <w:sz w:val="18"/>
                <w:szCs w:val="18"/>
              </w:rPr>
            </w:pPr>
            <w:r>
              <w:rPr>
                <w:rFonts w:hint="eastAsia" w:ascii="宋体" w:hAnsi="宋体" w:cs="宋体"/>
                <w:bCs/>
                <w:sz w:val="18"/>
                <w:szCs w:val="18"/>
              </w:rPr>
              <w:t>●</w:t>
            </w:r>
          </w:p>
        </w:tc>
        <w:tc>
          <w:tcPr>
            <w:tcW w:w="1678" w:type="pct"/>
            <w:vMerge w:val="restart"/>
            <w:tcBorders>
              <w:top w:val="single" w:color="auto" w:sz="4" w:space="0"/>
              <w:left w:val="single" w:color="auto" w:sz="4" w:space="0"/>
              <w:right w:val="single" w:color="auto" w:sz="4" w:space="0"/>
            </w:tcBorders>
            <w:vAlign w:val="center"/>
          </w:tcPr>
          <w:p w14:paraId="739CBDBC">
            <w:pPr>
              <w:pStyle w:val="146"/>
              <w:rPr>
                <w:rFonts w:hint="eastAsia" w:cs="宋体"/>
                <w:bCs/>
                <w:sz w:val="18"/>
                <w:szCs w:val="18"/>
              </w:rPr>
            </w:pPr>
            <w:r>
              <w:rPr>
                <w:rFonts w:hint="eastAsia" w:cs="宋体"/>
                <w:bCs/>
                <w:sz w:val="18"/>
                <w:szCs w:val="18"/>
              </w:rPr>
              <w:t>重载车</w:t>
            </w:r>
            <w:r>
              <w:rPr>
                <w:rFonts w:hint="eastAsia" w:cs="宋体"/>
                <w:bCs/>
                <w:sz w:val="18"/>
                <w:szCs w:val="18"/>
                <w:lang w:eastAsia="zh-CN"/>
              </w:rPr>
              <w:t>道车</w:t>
            </w:r>
            <w:r>
              <w:rPr>
                <w:rFonts w:hint="eastAsia" w:cs="宋体"/>
                <w:bCs/>
                <w:sz w:val="18"/>
                <w:szCs w:val="18"/>
              </w:rPr>
              <w:t>流行进方向的前侧布设</w:t>
            </w:r>
          </w:p>
        </w:tc>
      </w:tr>
      <w:tr w14:paraId="3D903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continue"/>
            <w:tcBorders>
              <w:left w:val="single" w:color="auto" w:sz="4" w:space="0"/>
              <w:right w:val="single" w:color="auto" w:sz="4" w:space="0"/>
            </w:tcBorders>
            <w:vAlign w:val="center"/>
          </w:tcPr>
          <w:p w14:paraId="021E9CDB">
            <w:pPr>
              <w:widowControl/>
              <w:spacing w:beforeLines="0" w:afterLines="0" w:line="240" w:lineRule="auto"/>
              <w:jc w:val="left"/>
              <w:rPr>
                <w:rFonts w:hint="eastAsia" w:ascii="宋体" w:hAnsi="宋体" w:cs="宋体"/>
                <w:sz w:val="18"/>
                <w:szCs w:val="18"/>
              </w:rPr>
            </w:pPr>
          </w:p>
        </w:tc>
        <w:tc>
          <w:tcPr>
            <w:tcW w:w="361" w:type="pct"/>
            <w:vMerge w:val="continue"/>
            <w:tcBorders>
              <w:top w:val="single" w:color="auto" w:sz="4" w:space="0"/>
              <w:left w:val="single" w:color="auto" w:sz="4" w:space="0"/>
              <w:bottom w:val="single" w:color="auto" w:sz="4" w:space="0"/>
              <w:right w:val="single" w:color="auto" w:sz="4" w:space="0"/>
            </w:tcBorders>
            <w:vAlign w:val="center"/>
          </w:tcPr>
          <w:p w14:paraId="22BE3326">
            <w:pPr>
              <w:widowControl/>
              <w:spacing w:beforeLines="0" w:afterLines="0" w:line="240" w:lineRule="auto"/>
              <w:jc w:val="left"/>
              <w:rPr>
                <w:rFonts w:hint="eastAsia" w:ascii="宋体" w:hAnsi="宋体" w:cs="宋体"/>
                <w:sz w:val="18"/>
                <w:szCs w:val="18"/>
              </w:rPr>
            </w:pPr>
          </w:p>
        </w:tc>
        <w:tc>
          <w:tcPr>
            <w:tcW w:w="861" w:type="pct"/>
            <w:vMerge w:val="continue"/>
            <w:tcBorders>
              <w:top w:val="single" w:color="auto" w:sz="4" w:space="0"/>
              <w:left w:val="single" w:color="auto" w:sz="4" w:space="0"/>
              <w:bottom w:val="single" w:color="auto" w:sz="4" w:space="0"/>
              <w:right w:val="single" w:color="auto" w:sz="4" w:space="0"/>
            </w:tcBorders>
            <w:vAlign w:val="center"/>
          </w:tcPr>
          <w:p w14:paraId="628D93BC">
            <w:pPr>
              <w:widowControl/>
              <w:spacing w:beforeLines="0" w:afterLines="0" w:line="240" w:lineRule="auto"/>
              <w:jc w:val="left"/>
              <w:rPr>
                <w:rFonts w:hint="eastAsia" w:ascii="宋体" w:hAnsi="宋体" w:cs="宋体"/>
                <w:sz w:val="18"/>
                <w:szCs w:val="18"/>
              </w:rPr>
            </w:pPr>
          </w:p>
        </w:tc>
        <w:tc>
          <w:tcPr>
            <w:tcW w:w="1161" w:type="pct"/>
            <w:tcBorders>
              <w:top w:val="single" w:color="auto" w:sz="4" w:space="0"/>
              <w:left w:val="single" w:color="auto" w:sz="4" w:space="0"/>
              <w:bottom w:val="single" w:color="auto" w:sz="4" w:space="0"/>
              <w:right w:val="single" w:color="auto" w:sz="4" w:space="0"/>
            </w:tcBorders>
            <w:vAlign w:val="center"/>
          </w:tcPr>
          <w:p w14:paraId="2CEEED70">
            <w:pPr>
              <w:pStyle w:val="146"/>
              <w:rPr>
                <w:rFonts w:hint="eastAsia" w:ascii="宋体" w:hAnsi="宋体" w:cs="宋体"/>
                <w:bCs/>
                <w:sz w:val="18"/>
                <w:szCs w:val="18"/>
              </w:rPr>
            </w:pPr>
            <w:r>
              <w:rPr>
                <w:rFonts w:hint="eastAsia" w:ascii="宋体" w:hAnsi="宋体" w:cs="宋体"/>
                <w:bCs/>
                <w:sz w:val="18"/>
                <w:szCs w:val="18"/>
              </w:rPr>
              <w:t>所有车道车流量</w:t>
            </w:r>
          </w:p>
        </w:tc>
        <w:tc>
          <w:tcPr>
            <w:tcW w:w="562" w:type="pct"/>
            <w:tcBorders>
              <w:top w:val="single" w:color="auto" w:sz="4" w:space="0"/>
              <w:left w:val="single" w:color="auto" w:sz="4" w:space="0"/>
              <w:bottom w:val="single" w:color="auto" w:sz="4" w:space="0"/>
              <w:right w:val="single" w:color="auto" w:sz="4" w:space="0"/>
            </w:tcBorders>
            <w:vAlign w:val="center"/>
          </w:tcPr>
          <w:p w14:paraId="63A05972">
            <w:pPr>
              <w:pStyle w:val="146"/>
              <w:rPr>
                <w:rFonts w:hint="eastAsia" w:ascii="宋体" w:hAnsi="宋体" w:cs="宋体"/>
                <w:sz w:val="18"/>
                <w:szCs w:val="18"/>
              </w:rPr>
            </w:pPr>
            <w:r>
              <w:rPr>
                <w:rFonts w:hint="eastAsia" w:ascii="宋体" w:hAnsi="宋体" w:cs="宋体"/>
                <w:bCs/>
                <w:sz w:val="18"/>
                <w:szCs w:val="18"/>
              </w:rPr>
              <w:t>●</w:t>
            </w:r>
          </w:p>
        </w:tc>
        <w:tc>
          <w:tcPr>
            <w:tcW w:w="1678" w:type="pct"/>
            <w:vMerge w:val="continue"/>
            <w:tcBorders>
              <w:left w:val="single" w:color="auto" w:sz="4" w:space="0"/>
              <w:right w:val="single" w:color="auto" w:sz="4" w:space="0"/>
            </w:tcBorders>
            <w:vAlign w:val="center"/>
          </w:tcPr>
          <w:p w14:paraId="4D45E37E">
            <w:pPr>
              <w:widowControl/>
              <w:spacing w:beforeLines="0" w:afterLines="0" w:line="240" w:lineRule="auto"/>
              <w:jc w:val="left"/>
              <w:rPr>
                <w:rFonts w:hint="eastAsia" w:ascii="宋体" w:hAnsi="宋体" w:cs="宋体"/>
                <w:sz w:val="18"/>
                <w:szCs w:val="18"/>
              </w:rPr>
            </w:pPr>
          </w:p>
        </w:tc>
      </w:tr>
      <w:tr w14:paraId="75D21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continue"/>
            <w:tcBorders>
              <w:left w:val="single" w:color="auto" w:sz="4" w:space="0"/>
              <w:bottom w:val="single" w:color="auto" w:sz="4" w:space="0"/>
              <w:right w:val="single" w:color="auto" w:sz="4" w:space="0"/>
            </w:tcBorders>
            <w:vAlign w:val="center"/>
          </w:tcPr>
          <w:p w14:paraId="28BAFC60">
            <w:pPr>
              <w:widowControl/>
              <w:spacing w:beforeLines="0" w:afterLines="0" w:line="240" w:lineRule="auto"/>
              <w:jc w:val="left"/>
              <w:rPr>
                <w:rFonts w:hint="eastAsia" w:ascii="宋体" w:hAnsi="宋体" w:cs="宋体"/>
                <w:sz w:val="18"/>
                <w:szCs w:val="18"/>
              </w:rPr>
            </w:pPr>
          </w:p>
        </w:tc>
        <w:tc>
          <w:tcPr>
            <w:tcW w:w="361" w:type="pct"/>
            <w:vMerge w:val="continue"/>
            <w:tcBorders>
              <w:top w:val="single" w:color="auto" w:sz="4" w:space="0"/>
              <w:left w:val="single" w:color="auto" w:sz="4" w:space="0"/>
              <w:bottom w:val="single" w:color="auto" w:sz="4" w:space="0"/>
              <w:right w:val="single" w:color="auto" w:sz="4" w:space="0"/>
            </w:tcBorders>
            <w:vAlign w:val="center"/>
          </w:tcPr>
          <w:p w14:paraId="0B581AD5">
            <w:pPr>
              <w:widowControl/>
              <w:spacing w:beforeLines="0" w:afterLines="0" w:line="240" w:lineRule="auto"/>
              <w:jc w:val="left"/>
              <w:rPr>
                <w:rFonts w:hint="eastAsia" w:ascii="宋体" w:hAnsi="宋体" w:cs="宋体"/>
                <w:sz w:val="18"/>
                <w:szCs w:val="18"/>
              </w:rPr>
            </w:pPr>
          </w:p>
        </w:tc>
        <w:tc>
          <w:tcPr>
            <w:tcW w:w="861" w:type="pct"/>
            <w:vMerge w:val="continue"/>
            <w:tcBorders>
              <w:top w:val="single" w:color="auto" w:sz="4" w:space="0"/>
              <w:left w:val="single" w:color="auto" w:sz="4" w:space="0"/>
              <w:bottom w:val="single" w:color="auto" w:sz="4" w:space="0"/>
              <w:right w:val="single" w:color="auto" w:sz="4" w:space="0"/>
            </w:tcBorders>
            <w:vAlign w:val="center"/>
          </w:tcPr>
          <w:p w14:paraId="7BE8CA99">
            <w:pPr>
              <w:widowControl/>
              <w:spacing w:beforeLines="0" w:afterLines="0" w:line="240" w:lineRule="auto"/>
              <w:jc w:val="left"/>
              <w:rPr>
                <w:rFonts w:hint="eastAsia" w:ascii="宋体" w:hAnsi="宋体" w:cs="宋体"/>
                <w:sz w:val="18"/>
                <w:szCs w:val="18"/>
              </w:rPr>
            </w:pPr>
          </w:p>
        </w:tc>
        <w:tc>
          <w:tcPr>
            <w:tcW w:w="1161" w:type="pct"/>
            <w:tcBorders>
              <w:top w:val="single" w:color="auto" w:sz="4" w:space="0"/>
              <w:left w:val="single" w:color="auto" w:sz="4" w:space="0"/>
              <w:bottom w:val="single" w:color="auto" w:sz="4" w:space="0"/>
              <w:right w:val="single" w:color="auto" w:sz="4" w:space="0"/>
            </w:tcBorders>
            <w:vAlign w:val="center"/>
          </w:tcPr>
          <w:p w14:paraId="179DF451">
            <w:pPr>
              <w:pStyle w:val="146"/>
              <w:rPr>
                <w:rFonts w:hint="eastAsia" w:ascii="宋体" w:hAnsi="宋体" w:eastAsia="宋体" w:cs="宋体"/>
                <w:sz w:val="18"/>
                <w:szCs w:val="18"/>
                <w:lang w:eastAsia="zh-CN"/>
              </w:rPr>
            </w:pPr>
            <w:r>
              <w:rPr>
                <w:rFonts w:hint="eastAsia" w:ascii="宋体" w:hAnsi="宋体" w:cs="宋体"/>
                <w:sz w:val="18"/>
                <w:szCs w:val="18"/>
              </w:rPr>
              <w:t>所有车道的车辆空间分布</w:t>
            </w:r>
            <w:r>
              <w:rPr>
                <w:rFonts w:hint="eastAsia" w:ascii="宋体" w:hAnsi="宋体" w:cs="宋体"/>
                <w:sz w:val="18"/>
                <w:szCs w:val="18"/>
                <w:lang w:eastAsia="zh-CN"/>
              </w:rPr>
              <w:t>视频监控</w:t>
            </w:r>
          </w:p>
        </w:tc>
        <w:tc>
          <w:tcPr>
            <w:tcW w:w="562" w:type="pct"/>
            <w:tcBorders>
              <w:top w:val="single" w:color="auto" w:sz="4" w:space="0"/>
              <w:left w:val="single" w:color="auto" w:sz="4" w:space="0"/>
              <w:bottom w:val="single" w:color="auto" w:sz="4" w:space="0"/>
              <w:right w:val="single" w:color="auto" w:sz="4" w:space="0"/>
            </w:tcBorders>
            <w:vAlign w:val="center"/>
          </w:tcPr>
          <w:p w14:paraId="6BB0ACD5">
            <w:pPr>
              <w:pStyle w:val="146"/>
              <w:rPr>
                <w:rFonts w:hint="eastAsia" w:ascii="宋体" w:hAnsi="宋体" w:cs="宋体"/>
                <w:sz w:val="18"/>
                <w:szCs w:val="18"/>
              </w:rPr>
            </w:pPr>
            <w:r>
              <w:rPr>
                <w:rFonts w:hint="eastAsia" w:ascii="宋体" w:hAnsi="宋体" w:cs="宋体"/>
                <w:sz w:val="18"/>
                <w:szCs w:val="18"/>
              </w:rPr>
              <w:t>○</w:t>
            </w:r>
          </w:p>
        </w:tc>
        <w:tc>
          <w:tcPr>
            <w:tcW w:w="1678" w:type="pct"/>
            <w:vMerge w:val="continue"/>
            <w:tcBorders>
              <w:left w:val="single" w:color="auto" w:sz="4" w:space="0"/>
              <w:bottom w:val="single" w:color="auto" w:sz="4" w:space="0"/>
              <w:right w:val="single" w:color="auto" w:sz="4" w:space="0"/>
            </w:tcBorders>
            <w:vAlign w:val="center"/>
          </w:tcPr>
          <w:p w14:paraId="325C5E40">
            <w:pPr>
              <w:widowControl/>
              <w:spacing w:beforeLines="0" w:afterLines="0" w:line="240" w:lineRule="auto"/>
              <w:jc w:val="left"/>
              <w:rPr>
                <w:rFonts w:hint="eastAsia" w:ascii="宋体" w:hAnsi="宋体" w:cs="宋体"/>
                <w:sz w:val="18"/>
                <w:szCs w:val="18"/>
              </w:rPr>
            </w:pPr>
          </w:p>
        </w:tc>
      </w:tr>
      <w:tr w14:paraId="146DB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tcBorders>
              <w:top w:val="single" w:color="auto" w:sz="4" w:space="0"/>
              <w:left w:val="single" w:color="auto" w:sz="4" w:space="0"/>
              <w:bottom w:val="single" w:color="auto" w:sz="4" w:space="0"/>
              <w:right w:val="single" w:color="auto" w:sz="4" w:space="0"/>
            </w:tcBorders>
            <w:vAlign w:val="center"/>
          </w:tcPr>
          <w:p w14:paraId="1468F2C9">
            <w:pPr>
              <w:widowControl/>
              <w:spacing w:beforeLines="0" w:afterLines="0" w:line="240"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6</w:t>
            </w:r>
          </w:p>
        </w:tc>
        <w:tc>
          <w:tcPr>
            <w:tcW w:w="361" w:type="pct"/>
            <w:vMerge w:val="continue"/>
            <w:tcBorders>
              <w:top w:val="single" w:color="auto" w:sz="4" w:space="0"/>
              <w:left w:val="single" w:color="auto" w:sz="4" w:space="0"/>
              <w:bottom w:val="single" w:color="auto" w:sz="4" w:space="0"/>
              <w:right w:val="single" w:color="auto" w:sz="4" w:space="0"/>
            </w:tcBorders>
            <w:vAlign w:val="center"/>
          </w:tcPr>
          <w:p w14:paraId="5B00D903">
            <w:pPr>
              <w:widowControl/>
              <w:spacing w:beforeLines="0" w:afterLines="0" w:line="240" w:lineRule="auto"/>
              <w:jc w:val="left"/>
              <w:rPr>
                <w:rFonts w:hint="eastAsia" w:ascii="宋体" w:hAnsi="宋体" w:cs="宋体"/>
                <w:sz w:val="18"/>
                <w:szCs w:val="18"/>
              </w:rPr>
            </w:pPr>
          </w:p>
        </w:tc>
        <w:tc>
          <w:tcPr>
            <w:tcW w:w="861" w:type="pct"/>
            <w:tcBorders>
              <w:top w:val="single" w:color="auto" w:sz="4" w:space="0"/>
              <w:left w:val="single" w:color="auto" w:sz="4" w:space="0"/>
              <w:bottom w:val="single" w:color="auto" w:sz="4" w:space="0"/>
              <w:right w:val="single" w:color="auto" w:sz="4" w:space="0"/>
            </w:tcBorders>
            <w:vAlign w:val="center"/>
          </w:tcPr>
          <w:p w14:paraId="1B50A11D">
            <w:pPr>
              <w:pStyle w:val="146"/>
              <w:rPr>
                <w:rFonts w:hint="eastAsia" w:ascii="宋体" w:hAnsi="宋体" w:cs="宋体"/>
                <w:sz w:val="18"/>
                <w:szCs w:val="18"/>
              </w:rPr>
            </w:pPr>
            <w:r>
              <w:rPr>
                <w:rFonts w:hint="eastAsia" w:ascii="宋体" w:hAnsi="宋体" w:cs="宋体"/>
                <w:sz w:val="18"/>
                <w:szCs w:val="18"/>
              </w:rPr>
              <w:t>水位</w:t>
            </w:r>
          </w:p>
        </w:tc>
        <w:tc>
          <w:tcPr>
            <w:tcW w:w="1161" w:type="pct"/>
            <w:tcBorders>
              <w:top w:val="single" w:color="auto" w:sz="4" w:space="0"/>
              <w:left w:val="single" w:color="auto" w:sz="4" w:space="0"/>
              <w:bottom w:val="single" w:color="auto" w:sz="4" w:space="0"/>
              <w:right w:val="single" w:color="auto" w:sz="4" w:space="0"/>
            </w:tcBorders>
            <w:vAlign w:val="center"/>
          </w:tcPr>
          <w:p w14:paraId="51740D20">
            <w:pPr>
              <w:pStyle w:val="146"/>
              <w:rPr>
                <w:rFonts w:hint="eastAsia" w:ascii="宋体" w:hAnsi="宋体" w:cs="宋体"/>
                <w:bCs/>
                <w:sz w:val="18"/>
                <w:szCs w:val="18"/>
              </w:rPr>
            </w:pPr>
            <w:r>
              <w:rPr>
                <w:rFonts w:hint="eastAsia" w:ascii="宋体" w:hAnsi="宋体" w:cs="宋体"/>
                <w:sz w:val="18"/>
                <w:szCs w:val="18"/>
              </w:rPr>
              <w:t>水面至梁底的距离</w:t>
            </w:r>
          </w:p>
        </w:tc>
        <w:tc>
          <w:tcPr>
            <w:tcW w:w="562" w:type="pct"/>
            <w:tcBorders>
              <w:top w:val="single" w:color="auto" w:sz="4" w:space="0"/>
              <w:left w:val="single" w:color="auto" w:sz="4" w:space="0"/>
              <w:bottom w:val="single" w:color="auto" w:sz="4" w:space="0"/>
              <w:right w:val="single" w:color="auto" w:sz="4" w:space="0"/>
            </w:tcBorders>
            <w:vAlign w:val="center"/>
          </w:tcPr>
          <w:p w14:paraId="497C3B4F">
            <w:pPr>
              <w:pStyle w:val="146"/>
              <w:rPr>
                <w:rFonts w:hint="eastAsia" w:ascii="宋体" w:hAnsi="宋体" w:cs="宋体"/>
                <w:bCs/>
                <w:sz w:val="18"/>
                <w:szCs w:val="18"/>
              </w:rPr>
            </w:pPr>
            <w:r>
              <w:rPr>
                <w:rFonts w:hint="eastAsia" w:ascii="宋体" w:hAnsi="宋体" w:cs="宋体"/>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14572356">
            <w:pPr>
              <w:pStyle w:val="146"/>
              <w:rPr>
                <w:rFonts w:hint="eastAsia" w:ascii="宋体" w:hAnsi="宋体" w:cs="宋体"/>
                <w:sz w:val="18"/>
                <w:szCs w:val="18"/>
              </w:rPr>
            </w:pPr>
            <w:r>
              <w:rPr>
                <w:rFonts w:hint="eastAsia" w:ascii="宋体" w:hAnsi="宋体" w:cs="宋体"/>
                <w:sz w:val="18"/>
                <w:szCs w:val="18"/>
              </w:rPr>
              <w:t>-</w:t>
            </w:r>
          </w:p>
        </w:tc>
      </w:tr>
      <w:tr w14:paraId="530BE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tcBorders>
              <w:top w:val="single" w:color="auto" w:sz="4" w:space="0"/>
              <w:left w:val="single" w:color="auto" w:sz="4" w:space="0"/>
              <w:bottom w:val="single" w:color="auto" w:sz="4" w:space="0"/>
              <w:right w:val="single" w:color="auto" w:sz="4" w:space="0"/>
            </w:tcBorders>
            <w:vAlign w:val="center"/>
          </w:tcPr>
          <w:p w14:paraId="7DA3C5BB">
            <w:pPr>
              <w:widowControl/>
              <w:spacing w:beforeLines="0" w:afterLines="0" w:line="240"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7</w:t>
            </w:r>
          </w:p>
        </w:tc>
        <w:tc>
          <w:tcPr>
            <w:tcW w:w="361" w:type="pct"/>
            <w:vMerge w:val="continue"/>
            <w:tcBorders>
              <w:top w:val="single" w:color="auto" w:sz="4" w:space="0"/>
              <w:left w:val="single" w:color="auto" w:sz="4" w:space="0"/>
              <w:bottom w:val="single" w:color="auto" w:sz="4" w:space="0"/>
              <w:right w:val="single" w:color="auto" w:sz="4" w:space="0"/>
            </w:tcBorders>
            <w:vAlign w:val="center"/>
          </w:tcPr>
          <w:p w14:paraId="77BC855B">
            <w:pPr>
              <w:widowControl/>
              <w:spacing w:beforeLines="0" w:afterLines="0" w:line="240" w:lineRule="auto"/>
              <w:jc w:val="left"/>
              <w:rPr>
                <w:rFonts w:hint="eastAsia" w:ascii="宋体" w:hAnsi="宋体" w:cs="宋体"/>
                <w:sz w:val="18"/>
                <w:szCs w:val="18"/>
              </w:rPr>
            </w:pPr>
          </w:p>
        </w:tc>
        <w:tc>
          <w:tcPr>
            <w:tcW w:w="861" w:type="pct"/>
            <w:tcBorders>
              <w:top w:val="single" w:color="auto" w:sz="4" w:space="0"/>
              <w:left w:val="single" w:color="auto" w:sz="4" w:space="0"/>
              <w:bottom w:val="single" w:color="auto" w:sz="4" w:space="0"/>
              <w:right w:val="single" w:color="auto" w:sz="4" w:space="0"/>
            </w:tcBorders>
            <w:vAlign w:val="center"/>
          </w:tcPr>
          <w:p w14:paraId="35D7ACFB">
            <w:pPr>
              <w:pStyle w:val="146"/>
              <w:rPr>
                <w:rFonts w:hint="eastAsia" w:ascii="宋体" w:hAnsi="宋体" w:cs="宋体"/>
                <w:sz w:val="18"/>
                <w:szCs w:val="18"/>
              </w:rPr>
            </w:pPr>
            <w:r>
              <w:rPr>
                <w:rFonts w:hint="eastAsia" w:ascii="宋体" w:hAnsi="宋体" w:cs="宋体"/>
                <w:sz w:val="18"/>
                <w:szCs w:val="18"/>
              </w:rPr>
              <w:t>流速</w:t>
            </w:r>
          </w:p>
        </w:tc>
        <w:tc>
          <w:tcPr>
            <w:tcW w:w="1161" w:type="pct"/>
            <w:tcBorders>
              <w:top w:val="single" w:color="auto" w:sz="4" w:space="0"/>
              <w:left w:val="single" w:color="auto" w:sz="4" w:space="0"/>
              <w:bottom w:val="single" w:color="auto" w:sz="4" w:space="0"/>
              <w:right w:val="single" w:color="auto" w:sz="4" w:space="0"/>
            </w:tcBorders>
            <w:vAlign w:val="center"/>
          </w:tcPr>
          <w:p w14:paraId="39922451">
            <w:pPr>
              <w:pStyle w:val="146"/>
              <w:rPr>
                <w:rFonts w:hint="eastAsia" w:ascii="宋体" w:hAnsi="宋体" w:cs="宋体"/>
                <w:bCs/>
                <w:sz w:val="18"/>
                <w:szCs w:val="18"/>
              </w:rPr>
            </w:pPr>
            <w:r>
              <w:rPr>
                <w:rFonts w:hint="eastAsia" w:ascii="宋体" w:hAnsi="宋体" w:cs="宋体"/>
                <w:sz w:val="18"/>
                <w:szCs w:val="18"/>
              </w:rPr>
              <w:t>水流流速</w:t>
            </w:r>
          </w:p>
        </w:tc>
        <w:tc>
          <w:tcPr>
            <w:tcW w:w="562" w:type="pct"/>
            <w:tcBorders>
              <w:top w:val="single" w:color="auto" w:sz="4" w:space="0"/>
              <w:left w:val="single" w:color="auto" w:sz="4" w:space="0"/>
              <w:bottom w:val="single" w:color="auto" w:sz="4" w:space="0"/>
              <w:right w:val="single" w:color="auto" w:sz="4" w:space="0"/>
            </w:tcBorders>
            <w:vAlign w:val="center"/>
          </w:tcPr>
          <w:p w14:paraId="1165189E">
            <w:pPr>
              <w:pStyle w:val="146"/>
              <w:rPr>
                <w:rFonts w:hint="eastAsia" w:ascii="宋体" w:hAnsi="宋体" w:cs="宋体"/>
                <w:bCs/>
                <w:sz w:val="18"/>
                <w:szCs w:val="18"/>
              </w:rPr>
            </w:pPr>
            <w:r>
              <w:rPr>
                <w:rFonts w:hint="eastAsia" w:ascii="宋体" w:hAnsi="宋体" w:cs="宋体"/>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67386F67">
            <w:pPr>
              <w:pStyle w:val="146"/>
              <w:rPr>
                <w:rFonts w:hint="eastAsia" w:ascii="宋体" w:hAnsi="宋体" w:cs="宋体"/>
                <w:sz w:val="18"/>
                <w:szCs w:val="18"/>
              </w:rPr>
            </w:pPr>
            <w:r>
              <w:rPr>
                <w:rFonts w:hint="eastAsia" w:ascii="宋体" w:hAnsi="宋体" w:cs="宋体"/>
                <w:sz w:val="18"/>
                <w:szCs w:val="18"/>
              </w:rPr>
              <w:t>-</w:t>
            </w:r>
          </w:p>
        </w:tc>
      </w:tr>
      <w:tr w14:paraId="5A663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restart"/>
            <w:tcBorders>
              <w:top w:val="single" w:color="auto" w:sz="4" w:space="0"/>
              <w:left w:val="single" w:color="auto" w:sz="4" w:space="0"/>
              <w:right w:val="single" w:color="auto" w:sz="4" w:space="0"/>
            </w:tcBorders>
            <w:vAlign w:val="center"/>
          </w:tcPr>
          <w:p w14:paraId="0275DC48">
            <w:pPr>
              <w:widowControl/>
              <w:spacing w:beforeLines="0" w:afterLines="0" w:line="240"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8</w:t>
            </w:r>
          </w:p>
        </w:tc>
        <w:tc>
          <w:tcPr>
            <w:tcW w:w="361" w:type="pct"/>
            <w:vMerge w:val="continue"/>
            <w:tcBorders>
              <w:top w:val="single" w:color="auto" w:sz="4" w:space="0"/>
              <w:left w:val="single" w:color="auto" w:sz="4" w:space="0"/>
              <w:bottom w:val="single" w:color="auto" w:sz="4" w:space="0"/>
              <w:right w:val="single" w:color="auto" w:sz="4" w:space="0"/>
            </w:tcBorders>
            <w:vAlign w:val="center"/>
          </w:tcPr>
          <w:p w14:paraId="6D16BA32">
            <w:pPr>
              <w:widowControl/>
              <w:spacing w:beforeLines="0" w:afterLines="0" w:line="240" w:lineRule="auto"/>
              <w:jc w:val="left"/>
              <w:rPr>
                <w:rFonts w:hint="eastAsia" w:ascii="宋体" w:hAnsi="宋体" w:cs="宋体"/>
                <w:sz w:val="18"/>
                <w:szCs w:val="18"/>
              </w:rPr>
            </w:pPr>
          </w:p>
        </w:tc>
        <w:tc>
          <w:tcPr>
            <w:tcW w:w="861" w:type="pct"/>
            <w:vMerge w:val="restart"/>
            <w:tcBorders>
              <w:top w:val="single" w:color="auto" w:sz="4" w:space="0"/>
              <w:left w:val="single" w:color="auto" w:sz="4" w:space="0"/>
              <w:bottom w:val="single" w:color="auto" w:sz="4" w:space="0"/>
              <w:right w:val="single" w:color="auto" w:sz="4" w:space="0"/>
            </w:tcBorders>
            <w:vAlign w:val="center"/>
          </w:tcPr>
          <w:p w14:paraId="1A79B593">
            <w:pPr>
              <w:pStyle w:val="146"/>
              <w:rPr>
                <w:rFonts w:hint="eastAsia" w:ascii="宋体" w:hAnsi="宋体" w:cs="宋体"/>
                <w:sz w:val="18"/>
                <w:szCs w:val="18"/>
              </w:rPr>
            </w:pPr>
            <w:r>
              <w:rPr>
                <w:rFonts w:hint="eastAsia" w:ascii="宋体" w:hAnsi="宋体" w:cs="宋体"/>
                <w:sz w:val="18"/>
                <w:szCs w:val="18"/>
              </w:rPr>
              <w:t>风速、风向</w:t>
            </w:r>
          </w:p>
        </w:tc>
        <w:tc>
          <w:tcPr>
            <w:tcW w:w="1161" w:type="pct"/>
            <w:tcBorders>
              <w:top w:val="single" w:color="auto" w:sz="4" w:space="0"/>
              <w:left w:val="single" w:color="auto" w:sz="4" w:space="0"/>
              <w:bottom w:val="single" w:color="auto" w:sz="4" w:space="0"/>
              <w:right w:val="single" w:color="auto" w:sz="4" w:space="0"/>
            </w:tcBorders>
            <w:vAlign w:val="center"/>
          </w:tcPr>
          <w:p w14:paraId="4CE38503">
            <w:pPr>
              <w:pStyle w:val="146"/>
              <w:rPr>
                <w:rFonts w:hint="eastAsia" w:ascii="宋体" w:hAnsi="宋体" w:cs="宋体"/>
                <w:bCs/>
                <w:sz w:val="18"/>
                <w:szCs w:val="18"/>
              </w:rPr>
            </w:pPr>
            <w:r>
              <w:rPr>
                <w:rFonts w:hint="eastAsia" w:ascii="宋体" w:hAnsi="宋体" w:cs="宋体"/>
                <w:bCs/>
                <w:sz w:val="18"/>
                <w:szCs w:val="18"/>
              </w:rPr>
              <w:t>桥面风速、风向</w:t>
            </w:r>
          </w:p>
        </w:tc>
        <w:tc>
          <w:tcPr>
            <w:tcW w:w="562" w:type="pct"/>
            <w:tcBorders>
              <w:top w:val="single" w:color="auto" w:sz="4" w:space="0"/>
              <w:left w:val="single" w:color="auto" w:sz="4" w:space="0"/>
              <w:bottom w:val="single" w:color="auto" w:sz="4" w:space="0"/>
              <w:right w:val="single" w:color="auto" w:sz="4" w:space="0"/>
            </w:tcBorders>
            <w:vAlign w:val="center"/>
          </w:tcPr>
          <w:p w14:paraId="06879752">
            <w:pPr>
              <w:pStyle w:val="146"/>
              <w:rPr>
                <w:rFonts w:hint="eastAsia" w:ascii="宋体" w:hAnsi="宋体" w:cs="宋体"/>
                <w:sz w:val="18"/>
                <w:szCs w:val="18"/>
              </w:rPr>
            </w:pPr>
            <w:r>
              <w:rPr>
                <w:rFonts w:hint="eastAsia" w:ascii="宋体" w:hAnsi="宋体" w:cs="宋体"/>
                <w:bCs/>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2E51D683">
            <w:pPr>
              <w:pStyle w:val="146"/>
              <w:rPr>
                <w:rFonts w:cs="宋体"/>
                <w:bCs/>
                <w:sz w:val="18"/>
                <w:szCs w:val="18"/>
              </w:rPr>
            </w:pPr>
            <w:r>
              <w:rPr>
                <w:rFonts w:cs="宋体"/>
                <w:bCs/>
                <w:sz w:val="18"/>
                <w:szCs w:val="18"/>
              </w:rPr>
              <w:t>主要风向侧的桥面跨中处</w:t>
            </w:r>
            <w:r>
              <w:rPr>
                <w:rFonts w:hint="eastAsia" w:cs="宋体"/>
                <w:bCs/>
                <w:sz w:val="18"/>
                <w:szCs w:val="18"/>
              </w:rPr>
              <w:t>，</w:t>
            </w:r>
            <w:r>
              <w:rPr>
                <w:rFonts w:cs="宋体"/>
                <w:bCs/>
                <w:sz w:val="18"/>
                <w:szCs w:val="18"/>
              </w:rPr>
              <w:t>布设高度至少高于桥面2 m</w:t>
            </w:r>
          </w:p>
        </w:tc>
      </w:tr>
      <w:tr w14:paraId="2849B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continue"/>
            <w:tcBorders>
              <w:left w:val="single" w:color="auto" w:sz="4" w:space="0"/>
              <w:bottom w:val="single" w:color="auto" w:sz="4" w:space="0"/>
              <w:right w:val="single" w:color="auto" w:sz="4" w:space="0"/>
            </w:tcBorders>
            <w:vAlign w:val="center"/>
          </w:tcPr>
          <w:p w14:paraId="59487BED">
            <w:pPr>
              <w:widowControl/>
              <w:spacing w:beforeLines="0" w:afterLines="0" w:line="240" w:lineRule="auto"/>
              <w:jc w:val="center"/>
              <w:rPr>
                <w:rFonts w:hint="eastAsia" w:ascii="宋体" w:hAnsi="宋体" w:cs="宋体"/>
                <w:sz w:val="18"/>
                <w:szCs w:val="18"/>
              </w:rPr>
            </w:pPr>
          </w:p>
        </w:tc>
        <w:tc>
          <w:tcPr>
            <w:tcW w:w="361" w:type="pct"/>
            <w:vMerge w:val="continue"/>
            <w:tcBorders>
              <w:top w:val="single" w:color="auto" w:sz="4" w:space="0"/>
              <w:left w:val="single" w:color="auto" w:sz="4" w:space="0"/>
              <w:bottom w:val="single" w:color="auto" w:sz="4" w:space="0"/>
              <w:right w:val="single" w:color="auto" w:sz="4" w:space="0"/>
            </w:tcBorders>
            <w:vAlign w:val="center"/>
          </w:tcPr>
          <w:p w14:paraId="05B59171">
            <w:pPr>
              <w:widowControl/>
              <w:spacing w:beforeLines="0" w:afterLines="0" w:line="240" w:lineRule="auto"/>
              <w:jc w:val="left"/>
              <w:rPr>
                <w:rFonts w:hint="eastAsia" w:ascii="宋体" w:hAnsi="宋体" w:cs="宋体"/>
                <w:sz w:val="18"/>
                <w:szCs w:val="18"/>
              </w:rPr>
            </w:pPr>
          </w:p>
        </w:tc>
        <w:tc>
          <w:tcPr>
            <w:tcW w:w="861" w:type="pct"/>
            <w:vMerge w:val="continue"/>
            <w:tcBorders>
              <w:top w:val="single" w:color="auto" w:sz="4" w:space="0"/>
              <w:left w:val="single" w:color="auto" w:sz="4" w:space="0"/>
              <w:bottom w:val="single" w:color="auto" w:sz="4" w:space="0"/>
              <w:right w:val="single" w:color="auto" w:sz="4" w:space="0"/>
            </w:tcBorders>
            <w:vAlign w:val="center"/>
          </w:tcPr>
          <w:p w14:paraId="419D90E9">
            <w:pPr>
              <w:widowControl/>
              <w:spacing w:beforeLines="0" w:afterLines="0" w:line="240" w:lineRule="auto"/>
              <w:jc w:val="left"/>
              <w:rPr>
                <w:rFonts w:hint="eastAsia" w:ascii="宋体" w:hAnsi="宋体" w:cs="宋体"/>
                <w:sz w:val="18"/>
                <w:szCs w:val="18"/>
              </w:rPr>
            </w:pPr>
          </w:p>
        </w:tc>
        <w:tc>
          <w:tcPr>
            <w:tcW w:w="1161" w:type="pct"/>
            <w:tcBorders>
              <w:top w:val="single" w:color="auto" w:sz="4" w:space="0"/>
              <w:left w:val="single" w:color="auto" w:sz="4" w:space="0"/>
              <w:bottom w:val="single" w:color="auto" w:sz="4" w:space="0"/>
              <w:right w:val="single" w:color="auto" w:sz="4" w:space="0"/>
            </w:tcBorders>
            <w:vAlign w:val="center"/>
          </w:tcPr>
          <w:p w14:paraId="055A3840">
            <w:pPr>
              <w:pStyle w:val="146"/>
              <w:rPr>
                <w:rFonts w:hint="eastAsia" w:ascii="宋体" w:hAnsi="宋体" w:cs="宋体"/>
                <w:sz w:val="18"/>
                <w:szCs w:val="18"/>
              </w:rPr>
            </w:pPr>
            <w:r>
              <w:rPr>
                <w:rFonts w:hint="eastAsia" w:ascii="宋体" w:hAnsi="宋体" w:cs="宋体"/>
                <w:sz w:val="18"/>
                <w:szCs w:val="18"/>
              </w:rPr>
              <w:t>拱顶风速、风向</w:t>
            </w:r>
          </w:p>
        </w:tc>
        <w:tc>
          <w:tcPr>
            <w:tcW w:w="562" w:type="pct"/>
            <w:tcBorders>
              <w:top w:val="single" w:color="auto" w:sz="4" w:space="0"/>
              <w:left w:val="single" w:color="auto" w:sz="4" w:space="0"/>
              <w:bottom w:val="single" w:color="auto" w:sz="4" w:space="0"/>
              <w:right w:val="single" w:color="auto" w:sz="4" w:space="0"/>
            </w:tcBorders>
            <w:vAlign w:val="center"/>
          </w:tcPr>
          <w:p w14:paraId="759F6B4F">
            <w:pPr>
              <w:pStyle w:val="146"/>
              <w:rPr>
                <w:rFonts w:hint="eastAsia" w:ascii="宋体" w:hAnsi="宋体" w:cs="宋体"/>
                <w:sz w:val="18"/>
                <w:szCs w:val="18"/>
              </w:rPr>
            </w:pPr>
            <w:r>
              <w:rPr>
                <w:rFonts w:hint="eastAsia" w:ascii="宋体" w:hAnsi="宋体" w:cs="宋体"/>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4C3BA3FB">
            <w:pPr>
              <w:pStyle w:val="146"/>
              <w:rPr>
                <w:rFonts w:hint="eastAsia" w:ascii="宋体" w:hAnsi="宋体" w:cs="宋体"/>
                <w:sz w:val="18"/>
                <w:szCs w:val="18"/>
              </w:rPr>
            </w:pPr>
            <w:r>
              <w:rPr>
                <w:rFonts w:hint="eastAsia" w:ascii="宋体" w:hAnsi="宋体" w:cs="宋体"/>
                <w:sz w:val="18"/>
                <w:szCs w:val="18"/>
              </w:rPr>
              <w:t>主拱拱顶</w:t>
            </w:r>
          </w:p>
        </w:tc>
      </w:tr>
      <w:tr w14:paraId="1C693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restart"/>
            <w:tcBorders>
              <w:top w:val="single" w:color="auto" w:sz="4" w:space="0"/>
              <w:left w:val="single" w:color="auto" w:sz="4" w:space="0"/>
              <w:right w:val="single" w:color="auto" w:sz="4" w:space="0"/>
            </w:tcBorders>
            <w:vAlign w:val="center"/>
          </w:tcPr>
          <w:p w14:paraId="5102B410">
            <w:pPr>
              <w:widowControl/>
              <w:spacing w:beforeLines="0" w:afterLines="0" w:line="240"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9</w:t>
            </w:r>
          </w:p>
        </w:tc>
        <w:tc>
          <w:tcPr>
            <w:tcW w:w="361" w:type="pct"/>
            <w:vMerge w:val="continue"/>
            <w:tcBorders>
              <w:top w:val="single" w:color="auto" w:sz="4" w:space="0"/>
              <w:left w:val="single" w:color="auto" w:sz="4" w:space="0"/>
              <w:bottom w:val="single" w:color="auto" w:sz="4" w:space="0"/>
              <w:right w:val="single" w:color="auto" w:sz="4" w:space="0"/>
            </w:tcBorders>
            <w:vAlign w:val="center"/>
          </w:tcPr>
          <w:p w14:paraId="35A33C78">
            <w:pPr>
              <w:widowControl/>
              <w:spacing w:beforeLines="0" w:afterLines="0" w:line="240" w:lineRule="auto"/>
              <w:jc w:val="left"/>
              <w:rPr>
                <w:rFonts w:hint="eastAsia" w:ascii="宋体" w:hAnsi="宋体" w:cs="宋体"/>
                <w:sz w:val="18"/>
                <w:szCs w:val="18"/>
              </w:rPr>
            </w:pPr>
          </w:p>
        </w:tc>
        <w:tc>
          <w:tcPr>
            <w:tcW w:w="861" w:type="pct"/>
            <w:vMerge w:val="restart"/>
            <w:tcBorders>
              <w:top w:val="single" w:color="auto" w:sz="4" w:space="0"/>
              <w:left w:val="single" w:color="auto" w:sz="4" w:space="0"/>
              <w:bottom w:val="single" w:color="auto" w:sz="4" w:space="0"/>
              <w:right w:val="single" w:color="auto" w:sz="4" w:space="0"/>
            </w:tcBorders>
            <w:vAlign w:val="center"/>
          </w:tcPr>
          <w:p w14:paraId="460DD63B">
            <w:pPr>
              <w:pStyle w:val="146"/>
              <w:rPr>
                <w:rFonts w:hint="eastAsia" w:ascii="宋体" w:hAnsi="宋体" w:cs="宋体"/>
                <w:sz w:val="18"/>
                <w:szCs w:val="18"/>
              </w:rPr>
            </w:pPr>
            <w:r>
              <w:rPr>
                <w:rFonts w:hint="eastAsia" w:ascii="宋体" w:hAnsi="宋体" w:cs="宋体"/>
                <w:sz w:val="18"/>
                <w:szCs w:val="18"/>
              </w:rPr>
              <w:t>结构温度</w:t>
            </w:r>
          </w:p>
        </w:tc>
        <w:tc>
          <w:tcPr>
            <w:tcW w:w="1161" w:type="pct"/>
            <w:tcBorders>
              <w:top w:val="single" w:color="auto" w:sz="4" w:space="0"/>
              <w:left w:val="single" w:color="auto" w:sz="4" w:space="0"/>
              <w:bottom w:val="single" w:color="auto" w:sz="4" w:space="0"/>
              <w:right w:val="single" w:color="auto" w:sz="4" w:space="0"/>
            </w:tcBorders>
            <w:vAlign w:val="center"/>
          </w:tcPr>
          <w:p w14:paraId="35E9C20C">
            <w:pPr>
              <w:pStyle w:val="146"/>
              <w:rPr>
                <w:rFonts w:hint="eastAsia" w:ascii="宋体" w:hAnsi="宋体" w:cs="宋体"/>
                <w:bCs/>
                <w:sz w:val="18"/>
                <w:szCs w:val="18"/>
              </w:rPr>
            </w:pPr>
            <w:r>
              <w:rPr>
                <w:rFonts w:hint="eastAsia" w:ascii="宋体" w:hAnsi="宋体" w:cs="宋体"/>
                <w:bCs/>
                <w:sz w:val="18"/>
                <w:szCs w:val="18"/>
              </w:rPr>
              <w:t>混凝土或钢结构构件温度</w:t>
            </w:r>
          </w:p>
        </w:tc>
        <w:tc>
          <w:tcPr>
            <w:tcW w:w="562" w:type="pct"/>
            <w:tcBorders>
              <w:top w:val="single" w:color="auto" w:sz="4" w:space="0"/>
              <w:left w:val="single" w:color="auto" w:sz="4" w:space="0"/>
              <w:bottom w:val="single" w:color="auto" w:sz="4" w:space="0"/>
              <w:right w:val="single" w:color="auto" w:sz="4" w:space="0"/>
            </w:tcBorders>
            <w:vAlign w:val="center"/>
          </w:tcPr>
          <w:p w14:paraId="35375799">
            <w:pPr>
              <w:pStyle w:val="146"/>
              <w:rPr>
                <w:rFonts w:hint="eastAsia" w:ascii="宋体" w:hAnsi="宋体" w:cs="宋体"/>
                <w:sz w:val="18"/>
                <w:szCs w:val="18"/>
              </w:rPr>
            </w:pPr>
            <w:r>
              <w:rPr>
                <w:rFonts w:hint="eastAsia" w:ascii="宋体" w:hAnsi="宋体" w:cs="宋体"/>
                <w:bCs/>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52699287">
            <w:pPr>
              <w:pStyle w:val="146"/>
              <w:rPr>
                <w:rFonts w:hint="eastAsia" w:cs="宋体"/>
                <w:bCs/>
                <w:sz w:val="18"/>
                <w:szCs w:val="18"/>
              </w:rPr>
            </w:pPr>
            <w:r>
              <w:rPr>
                <w:rFonts w:hint="eastAsia" w:cs="宋体"/>
                <w:bCs/>
                <w:sz w:val="18"/>
                <w:szCs w:val="18"/>
              </w:rPr>
              <w:t>跨中截面，</w:t>
            </w:r>
            <w:r>
              <w:rPr>
                <w:rFonts w:hint="eastAsia" w:cs="宋体"/>
                <w:bCs/>
                <w:sz w:val="18"/>
                <w:szCs w:val="18"/>
                <w:lang w:eastAsia="zh-CN"/>
              </w:rPr>
              <w:t>不低于</w:t>
            </w:r>
            <w:r>
              <w:rPr>
                <w:rFonts w:hint="eastAsia" w:cs="宋体"/>
                <w:bCs/>
                <w:sz w:val="18"/>
                <w:szCs w:val="18"/>
              </w:rPr>
              <w:t>2处</w:t>
            </w:r>
            <w:r>
              <w:rPr>
                <w:rFonts w:cs="宋体"/>
                <w:bCs/>
                <w:sz w:val="18"/>
                <w:szCs w:val="18"/>
              </w:rPr>
              <w:t>--</w:t>
            </w:r>
          </w:p>
        </w:tc>
      </w:tr>
      <w:tr w14:paraId="2D6C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continue"/>
            <w:tcBorders>
              <w:left w:val="single" w:color="auto" w:sz="4" w:space="0"/>
              <w:bottom w:val="single" w:color="auto" w:sz="4" w:space="0"/>
              <w:right w:val="single" w:color="auto" w:sz="4" w:space="0"/>
            </w:tcBorders>
            <w:vAlign w:val="center"/>
          </w:tcPr>
          <w:p w14:paraId="5BCEBA72">
            <w:pPr>
              <w:widowControl/>
              <w:spacing w:beforeLines="0" w:afterLines="0" w:line="240" w:lineRule="auto"/>
              <w:jc w:val="center"/>
              <w:rPr>
                <w:rFonts w:hint="eastAsia" w:ascii="宋体" w:hAnsi="宋体" w:cs="宋体"/>
                <w:sz w:val="18"/>
                <w:szCs w:val="18"/>
              </w:rPr>
            </w:pPr>
          </w:p>
        </w:tc>
        <w:tc>
          <w:tcPr>
            <w:tcW w:w="361" w:type="pct"/>
            <w:vMerge w:val="continue"/>
            <w:tcBorders>
              <w:top w:val="single" w:color="auto" w:sz="4" w:space="0"/>
              <w:left w:val="single" w:color="auto" w:sz="4" w:space="0"/>
              <w:bottom w:val="single" w:color="auto" w:sz="4" w:space="0"/>
              <w:right w:val="single" w:color="auto" w:sz="4" w:space="0"/>
            </w:tcBorders>
            <w:vAlign w:val="center"/>
          </w:tcPr>
          <w:p w14:paraId="6A7B10D6">
            <w:pPr>
              <w:widowControl/>
              <w:spacing w:beforeLines="0" w:afterLines="0" w:line="240" w:lineRule="auto"/>
              <w:jc w:val="left"/>
              <w:rPr>
                <w:rFonts w:hint="eastAsia" w:ascii="宋体" w:hAnsi="宋体" w:cs="宋体"/>
                <w:sz w:val="18"/>
                <w:szCs w:val="18"/>
              </w:rPr>
            </w:pPr>
          </w:p>
        </w:tc>
        <w:tc>
          <w:tcPr>
            <w:tcW w:w="861" w:type="pct"/>
            <w:vMerge w:val="continue"/>
            <w:tcBorders>
              <w:top w:val="single" w:color="auto" w:sz="4" w:space="0"/>
              <w:left w:val="single" w:color="auto" w:sz="4" w:space="0"/>
              <w:bottom w:val="single" w:color="auto" w:sz="4" w:space="0"/>
              <w:right w:val="single" w:color="auto" w:sz="4" w:space="0"/>
            </w:tcBorders>
            <w:vAlign w:val="center"/>
          </w:tcPr>
          <w:p w14:paraId="67FDE81B">
            <w:pPr>
              <w:widowControl/>
              <w:spacing w:beforeLines="0" w:afterLines="0" w:line="240" w:lineRule="auto"/>
              <w:jc w:val="left"/>
              <w:rPr>
                <w:rFonts w:hint="eastAsia" w:ascii="宋体" w:hAnsi="宋体" w:cs="宋体"/>
                <w:sz w:val="18"/>
                <w:szCs w:val="18"/>
              </w:rPr>
            </w:pPr>
          </w:p>
        </w:tc>
        <w:tc>
          <w:tcPr>
            <w:tcW w:w="1161" w:type="pct"/>
            <w:tcBorders>
              <w:top w:val="single" w:color="auto" w:sz="4" w:space="0"/>
              <w:left w:val="single" w:color="auto" w:sz="4" w:space="0"/>
              <w:bottom w:val="single" w:color="auto" w:sz="4" w:space="0"/>
              <w:right w:val="single" w:color="auto" w:sz="4" w:space="0"/>
            </w:tcBorders>
            <w:vAlign w:val="center"/>
          </w:tcPr>
          <w:p w14:paraId="3A7E5C41">
            <w:pPr>
              <w:pStyle w:val="146"/>
              <w:rPr>
                <w:rFonts w:hint="eastAsia" w:ascii="宋体" w:hAnsi="宋体" w:cs="宋体"/>
                <w:sz w:val="18"/>
                <w:szCs w:val="18"/>
              </w:rPr>
            </w:pPr>
            <w:r>
              <w:rPr>
                <w:rFonts w:hint="eastAsia" w:ascii="宋体" w:hAnsi="宋体" w:cs="宋体"/>
                <w:sz w:val="18"/>
                <w:szCs w:val="18"/>
              </w:rPr>
              <w:t>桥面铺装层温度</w:t>
            </w:r>
          </w:p>
        </w:tc>
        <w:tc>
          <w:tcPr>
            <w:tcW w:w="562" w:type="pct"/>
            <w:tcBorders>
              <w:top w:val="single" w:color="auto" w:sz="4" w:space="0"/>
              <w:left w:val="single" w:color="auto" w:sz="4" w:space="0"/>
              <w:bottom w:val="single" w:color="auto" w:sz="4" w:space="0"/>
              <w:right w:val="single" w:color="auto" w:sz="4" w:space="0"/>
            </w:tcBorders>
            <w:vAlign w:val="center"/>
          </w:tcPr>
          <w:p w14:paraId="24B71640">
            <w:pPr>
              <w:pStyle w:val="146"/>
              <w:rPr>
                <w:rFonts w:hint="eastAsia" w:ascii="宋体" w:hAnsi="宋体" w:cs="宋体"/>
                <w:sz w:val="18"/>
                <w:szCs w:val="18"/>
              </w:rPr>
            </w:pPr>
            <w:r>
              <w:rPr>
                <w:rFonts w:hint="eastAsia" w:ascii="宋体" w:hAnsi="宋体" w:cs="宋体"/>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1E16E051">
            <w:pPr>
              <w:pStyle w:val="146"/>
              <w:rPr>
                <w:rFonts w:hint="eastAsia" w:ascii="宋体" w:hAnsi="宋体" w:cs="宋体"/>
                <w:sz w:val="18"/>
                <w:szCs w:val="18"/>
              </w:rPr>
            </w:pPr>
            <w:r>
              <w:rPr>
                <w:rFonts w:hint="eastAsia" w:ascii="宋体" w:hAnsi="宋体" w:cs="宋体"/>
                <w:sz w:val="18"/>
                <w:szCs w:val="18"/>
              </w:rPr>
              <w:t>-</w:t>
            </w:r>
          </w:p>
        </w:tc>
      </w:tr>
      <w:tr w14:paraId="2427B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restart"/>
            <w:tcBorders>
              <w:top w:val="single" w:color="auto" w:sz="4" w:space="0"/>
              <w:left w:val="single" w:color="auto" w:sz="4" w:space="0"/>
              <w:right w:val="single" w:color="auto" w:sz="4" w:space="0"/>
            </w:tcBorders>
            <w:vAlign w:val="center"/>
          </w:tcPr>
          <w:p w14:paraId="20872B60">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10</w:t>
            </w:r>
          </w:p>
        </w:tc>
        <w:tc>
          <w:tcPr>
            <w:tcW w:w="361" w:type="pct"/>
            <w:vMerge w:val="continue"/>
            <w:tcBorders>
              <w:top w:val="single" w:color="auto" w:sz="4" w:space="0"/>
              <w:left w:val="single" w:color="auto" w:sz="4" w:space="0"/>
              <w:bottom w:val="single" w:color="auto" w:sz="4" w:space="0"/>
              <w:right w:val="single" w:color="auto" w:sz="4" w:space="0"/>
            </w:tcBorders>
            <w:vAlign w:val="center"/>
          </w:tcPr>
          <w:p w14:paraId="2D6B64FF">
            <w:pPr>
              <w:widowControl/>
              <w:spacing w:beforeLines="0" w:afterLines="0" w:line="240" w:lineRule="auto"/>
              <w:jc w:val="left"/>
              <w:rPr>
                <w:rFonts w:hint="eastAsia" w:ascii="宋体" w:hAnsi="宋体" w:cs="宋体"/>
                <w:sz w:val="18"/>
                <w:szCs w:val="18"/>
              </w:rPr>
            </w:pPr>
          </w:p>
        </w:tc>
        <w:tc>
          <w:tcPr>
            <w:tcW w:w="861" w:type="pct"/>
            <w:vMerge w:val="restart"/>
            <w:tcBorders>
              <w:top w:val="single" w:color="auto" w:sz="4" w:space="0"/>
              <w:left w:val="single" w:color="auto" w:sz="4" w:space="0"/>
              <w:bottom w:val="single" w:color="auto" w:sz="4" w:space="0"/>
              <w:right w:val="single" w:color="auto" w:sz="4" w:space="0"/>
            </w:tcBorders>
            <w:vAlign w:val="center"/>
          </w:tcPr>
          <w:p w14:paraId="4CA3CBBC">
            <w:pPr>
              <w:pStyle w:val="146"/>
              <w:rPr>
                <w:rFonts w:hint="eastAsia" w:ascii="宋体" w:hAnsi="宋体" w:cs="宋体"/>
                <w:sz w:val="18"/>
                <w:szCs w:val="18"/>
              </w:rPr>
            </w:pPr>
            <w:r>
              <w:rPr>
                <w:rFonts w:hint="eastAsia" w:ascii="宋体" w:hAnsi="宋体" w:cs="宋体"/>
                <w:sz w:val="18"/>
                <w:szCs w:val="18"/>
              </w:rPr>
              <w:t>船舶撞击</w:t>
            </w:r>
          </w:p>
        </w:tc>
        <w:tc>
          <w:tcPr>
            <w:tcW w:w="1161" w:type="pct"/>
            <w:tcBorders>
              <w:top w:val="single" w:color="auto" w:sz="4" w:space="0"/>
              <w:left w:val="single" w:color="auto" w:sz="4" w:space="0"/>
              <w:bottom w:val="single" w:color="auto" w:sz="4" w:space="0"/>
              <w:right w:val="single" w:color="auto" w:sz="4" w:space="0"/>
            </w:tcBorders>
            <w:vAlign w:val="center"/>
          </w:tcPr>
          <w:p w14:paraId="5D97C504">
            <w:pPr>
              <w:pStyle w:val="146"/>
              <w:rPr>
                <w:rFonts w:hint="eastAsia" w:ascii="宋体" w:hAnsi="宋体" w:cs="宋体"/>
                <w:sz w:val="18"/>
                <w:szCs w:val="18"/>
              </w:rPr>
            </w:pPr>
            <w:r>
              <w:rPr>
                <w:rFonts w:hint="eastAsia" w:ascii="宋体" w:hAnsi="宋体" w:cs="宋体"/>
                <w:sz w:val="18"/>
                <w:szCs w:val="18"/>
              </w:rPr>
              <w:t>桥墩加速度</w:t>
            </w:r>
          </w:p>
        </w:tc>
        <w:tc>
          <w:tcPr>
            <w:tcW w:w="562" w:type="pct"/>
            <w:tcBorders>
              <w:top w:val="single" w:color="auto" w:sz="4" w:space="0"/>
              <w:left w:val="single" w:color="auto" w:sz="4" w:space="0"/>
              <w:bottom w:val="single" w:color="auto" w:sz="4" w:space="0"/>
              <w:right w:val="single" w:color="auto" w:sz="4" w:space="0"/>
            </w:tcBorders>
            <w:vAlign w:val="center"/>
          </w:tcPr>
          <w:p w14:paraId="7080883A">
            <w:pPr>
              <w:pStyle w:val="146"/>
              <w:rPr>
                <w:rFonts w:hint="eastAsia" w:ascii="宋体" w:hAnsi="宋体" w:cs="宋体"/>
                <w:sz w:val="18"/>
                <w:szCs w:val="18"/>
              </w:rPr>
            </w:pPr>
            <w:r>
              <w:rPr>
                <w:rFonts w:hint="eastAsia" w:ascii="宋体" w:hAnsi="宋体" w:cs="宋体"/>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6811CD6E">
            <w:pPr>
              <w:pStyle w:val="146"/>
              <w:rPr>
                <w:rFonts w:cs="宋体"/>
                <w:bCs/>
                <w:sz w:val="18"/>
                <w:szCs w:val="18"/>
              </w:rPr>
            </w:pPr>
            <w:r>
              <w:rPr>
                <w:rFonts w:cs="宋体"/>
                <w:bCs/>
                <w:sz w:val="18"/>
                <w:szCs w:val="18"/>
              </w:rPr>
              <w:t>布设在有船撞风险</w:t>
            </w:r>
            <w:r>
              <w:rPr>
                <w:rFonts w:hint="eastAsia" w:cs="宋体"/>
                <w:bCs/>
                <w:sz w:val="18"/>
                <w:szCs w:val="18"/>
              </w:rPr>
              <w:t>的桥墩处</w:t>
            </w:r>
          </w:p>
        </w:tc>
      </w:tr>
      <w:tr w14:paraId="532F1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continue"/>
            <w:tcBorders>
              <w:left w:val="single" w:color="auto" w:sz="4" w:space="0"/>
              <w:bottom w:val="single" w:color="auto" w:sz="4" w:space="0"/>
              <w:right w:val="single" w:color="auto" w:sz="4" w:space="0"/>
            </w:tcBorders>
            <w:vAlign w:val="center"/>
          </w:tcPr>
          <w:p w14:paraId="495AD6C0">
            <w:pPr>
              <w:widowControl/>
              <w:spacing w:beforeLines="0" w:afterLines="0" w:line="240" w:lineRule="auto"/>
              <w:jc w:val="center"/>
              <w:rPr>
                <w:rFonts w:hint="eastAsia" w:ascii="宋体" w:hAnsi="宋体" w:cs="宋体"/>
                <w:sz w:val="18"/>
                <w:szCs w:val="18"/>
              </w:rPr>
            </w:pPr>
          </w:p>
        </w:tc>
        <w:tc>
          <w:tcPr>
            <w:tcW w:w="361" w:type="pct"/>
            <w:vMerge w:val="continue"/>
            <w:tcBorders>
              <w:top w:val="single" w:color="auto" w:sz="4" w:space="0"/>
              <w:left w:val="single" w:color="auto" w:sz="4" w:space="0"/>
              <w:bottom w:val="single" w:color="auto" w:sz="4" w:space="0"/>
              <w:right w:val="single" w:color="auto" w:sz="4" w:space="0"/>
            </w:tcBorders>
            <w:vAlign w:val="center"/>
          </w:tcPr>
          <w:p w14:paraId="4616BB7C">
            <w:pPr>
              <w:widowControl/>
              <w:spacing w:beforeLines="0" w:afterLines="0" w:line="240" w:lineRule="auto"/>
              <w:jc w:val="left"/>
              <w:rPr>
                <w:rFonts w:hint="eastAsia" w:ascii="宋体" w:hAnsi="宋体" w:cs="宋体"/>
                <w:sz w:val="18"/>
                <w:szCs w:val="18"/>
              </w:rPr>
            </w:pPr>
          </w:p>
        </w:tc>
        <w:tc>
          <w:tcPr>
            <w:tcW w:w="861" w:type="pct"/>
            <w:vMerge w:val="continue"/>
            <w:tcBorders>
              <w:top w:val="single" w:color="auto" w:sz="4" w:space="0"/>
              <w:left w:val="single" w:color="auto" w:sz="4" w:space="0"/>
              <w:bottom w:val="single" w:color="auto" w:sz="4" w:space="0"/>
              <w:right w:val="single" w:color="auto" w:sz="4" w:space="0"/>
            </w:tcBorders>
            <w:vAlign w:val="center"/>
          </w:tcPr>
          <w:p w14:paraId="58FFCAE8">
            <w:pPr>
              <w:widowControl/>
              <w:spacing w:beforeLines="0" w:afterLines="0" w:line="240" w:lineRule="auto"/>
              <w:jc w:val="left"/>
              <w:rPr>
                <w:rFonts w:hint="eastAsia" w:ascii="宋体" w:hAnsi="宋体" w:cs="宋体"/>
                <w:sz w:val="18"/>
                <w:szCs w:val="18"/>
              </w:rPr>
            </w:pPr>
          </w:p>
        </w:tc>
        <w:tc>
          <w:tcPr>
            <w:tcW w:w="1161" w:type="pct"/>
            <w:tcBorders>
              <w:top w:val="single" w:color="auto" w:sz="4" w:space="0"/>
              <w:left w:val="single" w:color="auto" w:sz="4" w:space="0"/>
              <w:bottom w:val="single" w:color="auto" w:sz="4" w:space="0"/>
              <w:right w:val="single" w:color="auto" w:sz="4" w:space="0"/>
            </w:tcBorders>
            <w:vAlign w:val="center"/>
          </w:tcPr>
          <w:p w14:paraId="7A157175">
            <w:pPr>
              <w:pStyle w:val="146"/>
              <w:rPr>
                <w:rFonts w:hint="eastAsia" w:ascii="宋体" w:hAnsi="宋体" w:eastAsia="宋体" w:cs="宋体"/>
                <w:sz w:val="18"/>
                <w:szCs w:val="18"/>
                <w:lang w:eastAsia="zh-CN"/>
              </w:rPr>
            </w:pPr>
            <w:r>
              <w:rPr>
                <w:rFonts w:hint="eastAsia" w:ascii="宋体" w:hAnsi="宋体" w:cs="宋体"/>
                <w:sz w:val="18"/>
                <w:szCs w:val="18"/>
                <w:lang w:eastAsia="zh-CN"/>
              </w:rPr>
              <w:t>视频监控</w:t>
            </w:r>
          </w:p>
        </w:tc>
        <w:tc>
          <w:tcPr>
            <w:tcW w:w="562" w:type="pct"/>
            <w:tcBorders>
              <w:top w:val="single" w:color="auto" w:sz="4" w:space="0"/>
              <w:left w:val="single" w:color="auto" w:sz="4" w:space="0"/>
              <w:bottom w:val="single" w:color="auto" w:sz="4" w:space="0"/>
              <w:right w:val="single" w:color="auto" w:sz="4" w:space="0"/>
            </w:tcBorders>
            <w:vAlign w:val="center"/>
          </w:tcPr>
          <w:p w14:paraId="55EF4CCF">
            <w:pPr>
              <w:pStyle w:val="146"/>
              <w:rPr>
                <w:rFonts w:hint="eastAsia" w:ascii="宋体" w:hAnsi="宋体" w:cs="宋体"/>
                <w:sz w:val="18"/>
                <w:szCs w:val="18"/>
              </w:rPr>
            </w:pPr>
            <w:r>
              <w:rPr>
                <w:rFonts w:hint="eastAsia" w:ascii="宋体" w:hAnsi="宋体" w:cs="宋体"/>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4ADBC35D">
            <w:pPr>
              <w:pStyle w:val="146"/>
              <w:rPr>
                <w:rFonts w:cs="宋体"/>
                <w:bCs/>
                <w:sz w:val="18"/>
                <w:szCs w:val="18"/>
              </w:rPr>
            </w:pPr>
            <w:r>
              <w:rPr>
                <w:rFonts w:cs="宋体"/>
                <w:bCs/>
                <w:sz w:val="18"/>
                <w:szCs w:val="18"/>
              </w:rPr>
              <w:t>布设在有船撞风险</w:t>
            </w:r>
            <w:r>
              <w:rPr>
                <w:rFonts w:hint="eastAsia" w:cs="宋体"/>
                <w:bCs/>
                <w:sz w:val="18"/>
                <w:szCs w:val="18"/>
              </w:rPr>
              <w:t>桥跨处</w:t>
            </w:r>
          </w:p>
        </w:tc>
      </w:tr>
      <w:tr w14:paraId="14395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restart"/>
            <w:tcBorders>
              <w:top w:val="single" w:color="auto" w:sz="4" w:space="0"/>
              <w:left w:val="single" w:color="auto" w:sz="4" w:space="0"/>
              <w:right w:val="single" w:color="auto" w:sz="4" w:space="0"/>
            </w:tcBorders>
            <w:vAlign w:val="center"/>
          </w:tcPr>
          <w:p w14:paraId="755BE748">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11</w:t>
            </w:r>
          </w:p>
        </w:tc>
        <w:tc>
          <w:tcPr>
            <w:tcW w:w="361" w:type="pct"/>
            <w:vMerge w:val="continue"/>
            <w:tcBorders>
              <w:top w:val="single" w:color="auto" w:sz="4" w:space="0"/>
              <w:left w:val="single" w:color="auto" w:sz="4" w:space="0"/>
              <w:bottom w:val="single" w:color="auto" w:sz="4" w:space="0"/>
              <w:right w:val="single" w:color="auto" w:sz="4" w:space="0"/>
            </w:tcBorders>
            <w:vAlign w:val="center"/>
          </w:tcPr>
          <w:p w14:paraId="5A2FE418">
            <w:pPr>
              <w:widowControl/>
              <w:spacing w:beforeLines="0" w:afterLines="0" w:line="240" w:lineRule="auto"/>
              <w:jc w:val="left"/>
              <w:rPr>
                <w:rFonts w:hint="eastAsia" w:ascii="宋体" w:hAnsi="宋体" w:cs="宋体"/>
                <w:sz w:val="18"/>
                <w:szCs w:val="18"/>
              </w:rPr>
            </w:pPr>
          </w:p>
        </w:tc>
        <w:tc>
          <w:tcPr>
            <w:tcW w:w="861" w:type="pct"/>
            <w:vMerge w:val="restart"/>
            <w:tcBorders>
              <w:top w:val="single" w:color="auto" w:sz="4" w:space="0"/>
              <w:left w:val="single" w:color="auto" w:sz="4" w:space="0"/>
              <w:bottom w:val="single" w:color="auto" w:sz="4" w:space="0"/>
              <w:right w:val="single" w:color="auto" w:sz="4" w:space="0"/>
            </w:tcBorders>
            <w:vAlign w:val="center"/>
          </w:tcPr>
          <w:p w14:paraId="76DE0C63">
            <w:pPr>
              <w:pStyle w:val="146"/>
              <w:rPr>
                <w:rFonts w:hint="eastAsia" w:ascii="宋体" w:hAnsi="宋体" w:cs="宋体"/>
                <w:sz w:val="18"/>
                <w:szCs w:val="18"/>
              </w:rPr>
            </w:pPr>
            <w:r>
              <w:rPr>
                <w:rFonts w:hint="eastAsia" w:ascii="宋体" w:hAnsi="宋体" w:cs="宋体"/>
                <w:sz w:val="18"/>
                <w:szCs w:val="18"/>
              </w:rPr>
              <w:t>车辆撞击</w:t>
            </w:r>
          </w:p>
        </w:tc>
        <w:tc>
          <w:tcPr>
            <w:tcW w:w="1161" w:type="pct"/>
            <w:tcBorders>
              <w:top w:val="single" w:color="auto" w:sz="4" w:space="0"/>
              <w:left w:val="single" w:color="auto" w:sz="4" w:space="0"/>
              <w:bottom w:val="single" w:color="auto" w:sz="4" w:space="0"/>
              <w:right w:val="single" w:color="auto" w:sz="4" w:space="0"/>
            </w:tcBorders>
            <w:vAlign w:val="center"/>
          </w:tcPr>
          <w:p w14:paraId="698FB8D0">
            <w:pPr>
              <w:pStyle w:val="146"/>
              <w:rPr>
                <w:rFonts w:hint="eastAsia" w:ascii="宋体" w:hAnsi="宋体" w:cs="宋体"/>
                <w:sz w:val="18"/>
                <w:szCs w:val="18"/>
              </w:rPr>
            </w:pPr>
            <w:r>
              <w:rPr>
                <w:rFonts w:hint="eastAsia" w:ascii="宋体" w:hAnsi="宋体" w:cs="宋体"/>
                <w:sz w:val="18"/>
                <w:szCs w:val="18"/>
              </w:rPr>
              <w:t>桥墩加速度</w:t>
            </w:r>
          </w:p>
        </w:tc>
        <w:tc>
          <w:tcPr>
            <w:tcW w:w="562" w:type="pct"/>
            <w:tcBorders>
              <w:top w:val="single" w:color="auto" w:sz="4" w:space="0"/>
              <w:left w:val="single" w:color="auto" w:sz="4" w:space="0"/>
              <w:bottom w:val="single" w:color="auto" w:sz="4" w:space="0"/>
              <w:right w:val="single" w:color="auto" w:sz="4" w:space="0"/>
            </w:tcBorders>
            <w:vAlign w:val="center"/>
          </w:tcPr>
          <w:p w14:paraId="46D576CD">
            <w:pPr>
              <w:pStyle w:val="146"/>
              <w:rPr>
                <w:rFonts w:hint="eastAsia" w:ascii="宋体" w:hAnsi="宋体" w:cs="宋体"/>
                <w:sz w:val="18"/>
                <w:szCs w:val="18"/>
              </w:rPr>
            </w:pPr>
            <w:r>
              <w:rPr>
                <w:rFonts w:hint="eastAsia" w:ascii="宋体" w:hAnsi="宋体" w:cs="宋体"/>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27D7BD0F">
            <w:pPr>
              <w:pStyle w:val="146"/>
              <w:rPr>
                <w:rFonts w:cs="宋体"/>
                <w:bCs/>
                <w:sz w:val="18"/>
                <w:szCs w:val="18"/>
              </w:rPr>
            </w:pPr>
            <w:r>
              <w:rPr>
                <w:rFonts w:cs="宋体"/>
                <w:bCs/>
                <w:sz w:val="18"/>
                <w:szCs w:val="18"/>
              </w:rPr>
              <w:t>布设在有</w:t>
            </w:r>
            <w:r>
              <w:rPr>
                <w:rFonts w:hint="eastAsia" w:cs="宋体"/>
                <w:bCs/>
                <w:sz w:val="18"/>
                <w:szCs w:val="18"/>
              </w:rPr>
              <w:t>车</w:t>
            </w:r>
            <w:r>
              <w:rPr>
                <w:rFonts w:cs="宋体"/>
                <w:bCs/>
                <w:sz w:val="18"/>
                <w:szCs w:val="18"/>
              </w:rPr>
              <w:t>撞风险</w:t>
            </w:r>
            <w:r>
              <w:rPr>
                <w:rFonts w:hint="eastAsia" w:cs="宋体"/>
                <w:bCs/>
                <w:sz w:val="18"/>
                <w:szCs w:val="18"/>
              </w:rPr>
              <w:t>的桥墩处</w:t>
            </w:r>
          </w:p>
        </w:tc>
      </w:tr>
      <w:tr w14:paraId="3F231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continue"/>
            <w:tcBorders>
              <w:left w:val="single" w:color="auto" w:sz="4" w:space="0"/>
              <w:bottom w:val="single" w:color="auto" w:sz="4" w:space="0"/>
              <w:right w:val="single" w:color="auto" w:sz="4" w:space="0"/>
            </w:tcBorders>
            <w:vAlign w:val="center"/>
          </w:tcPr>
          <w:p w14:paraId="100380BE">
            <w:pPr>
              <w:widowControl/>
              <w:spacing w:beforeLines="0" w:afterLines="0" w:line="240" w:lineRule="auto"/>
              <w:jc w:val="center"/>
              <w:rPr>
                <w:rFonts w:hint="eastAsia" w:ascii="宋体" w:hAnsi="宋体" w:cs="宋体"/>
                <w:sz w:val="18"/>
                <w:szCs w:val="18"/>
              </w:rPr>
            </w:pPr>
          </w:p>
        </w:tc>
        <w:tc>
          <w:tcPr>
            <w:tcW w:w="361" w:type="pct"/>
            <w:vMerge w:val="continue"/>
            <w:tcBorders>
              <w:top w:val="single" w:color="auto" w:sz="4" w:space="0"/>
              <w:left w:val="single" w:color="auto" w:sz="4" w:space="0"/>
              <w:bottom w:val="single" w:color="auto" w:sz="4" w:space="0"/>
              <w:right w:val="single" w:color="auto" w:sz="4" w:space="0"/>
            </w:tcBorders>
            <w:vAlign w:val="center"/>
          </w:tcPr>
          <w:p w14:paraId="3B1A20D2">
            <w:pPr>
              <w:widowControl/>
              <w:spacing w:beforeLines="0" w:afterLines="0" w:line="240" w:lineRule="auto"/>
              <w:jc w:val="left"/>
              <w:rPr>
                <w:rFonts w:hint="eastAsia" w:ascii="宋体" w:hAnsi="宋体" w:cs="宋体"/>
                <w:sz w:val="18"/>
                <w:szCs w:val="18"/>
              </w:rPr>
            </w:pPr>
          </w:p>
        </w:tc>
        <w:tc>
          <w:tcPr>
            <w:tcW w:w="861" w:type="pct"/>
            <w:vMerge w:val="continue"/>
            <w:tcBorders>
              <w:top w:val="single" w:color="auto" w:sz="4" w:space="0"/>
              <w:left w:val="single" w:color="auto" w:sz="4" w:space="0"/>
              <w:bottom w:val="single" w:color="auto" w:sz="4" w:space="0"/>
              <w:right w:val="single" w:color="auto" w:sz="4" w:space="0"/>
            </w:tcBorders>
            <w:vAlign w:val="center"/>
          </w:tcPr>
          <w:p w14:paraId="447D1567">
            <w:pPr>
              <w:widowControl/>
              <w:spacing w:beforeLines="0" w:afterLines="0" w:line="240" w:lineRule="auto"/>
              <w:jc w:val="left"/>
              <w:rPr>
                <w:rFonts w:hint="eastAsia" w:ascii="宋体" w:hAnsi="宋体" w:cs="宋体"/>
                <w:sz w:val="18"/>
                <w:szCs w:val="18"/>
              </w:rPr>
            </w:pPr>
          </w:p>
        </w:tc>
        <w:tc>
          <w:tcPr>
            <w:tcW w:w="1161" w:type="pct"/>
            <w:tcBorders>
              <w:top w:val="single" w:color="auto" w:sz="4" w:space="0"/>
              <w:left w:val="single" w:color="auto" w:sz="4" w:space="0"/>
              <w:bottom w:val="single" w:color="auto" w:sz="4" w:space="0"/>
              <w:right w:val="single" w:color="auto" w:sz="4" w:space="0"/>
            </w:tcBorders>
            <w:vAlign w:val="center"/>
          </w:tcPr>
          <w:p w14:paraId="379EBCB2">
            <w:pPr>
              <w:pStyle w:val="146"/>
              <w:rPr>
                <w:rFonts w:hint="eastAsia" w:ascii="宋体" w:hAnsi="宋体" w:eastAsia="宋体" w:cs="宋体"/>
                <w:sz w:val="18"/>
                <w:szCs w:val="18"/>
                <w:lang w:eastAsia="zh-CN"/>
              </w:rPr>
            </w:pPr>
            <w:r>
              <w:rPr>
                <w:rFonts w:hint="eastAsia" w:ascii="宋体" w:hAnsi="宋体" w:cs="宋体"/>
                <w:sz w:val="18"/>
                <w:szCs w:val="18"/>
                <w:lang w:eastAsia="zh-CN"/>
              </w:rPr>
              <w:t>视频监控</w:t>
            </w:r>
          </w:p>
        </w:tc>
        <w:tc>
          <w:tcPr>
            <w:tcW w:w="562" w:type="pct"/>
            <w:tcBorders>
              <w:top w:val="single" w:color="auto" w:sz="4" w:space="0"/>
              <w:left w:val="single" w:color="auto" w:sz="4" w:space="0"/>
              <w:bottom w:val="single" w:color="auto" w:sz="4" w:space="0"/>
              <w:right w:val="single" w:color="auto" w:sz="4" w:space="0"/>
            </w:tcBorders>
            <w:vAlign w:val="center"/>
          </w:tcPr>
          <w:p w14:paraId="37ABA34C">
            <w:pPr>
              <w:pStyle w:val="146"/>
              <w:rPr>
                <w:rFonts w:hint="eastAsia" w:ascii="宋体" w:hAnsi="宋体" w:cs="宋体"/>
                <w:sz w:val="18"/>
                <w:szCs w:val="18"/>
              </w:rPr>
            </w:pPr>
            <w:r>
              <w:rPr>
                <w:rFonts w:hint="eastAsia" w:ascii="宋体" w:hAnsi="宋体" w:cs="宋体"/>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7C2C6877">
            <w:pPr>
              <w:pStyle w:val="146"/>
              <w:rPr>
                <w:rFonts w:cs="宋体"/>
                <w:bCs/>
                <w:sz w:val="18"/>
                <w:szCs w:val="18"/>
              </w:rPr>
            </w:pPr>
            <w:r>
              <w:rPr>
                <w:rFonts w:cs="宋体"/>
                <w:bCs/>
                <w:sz w:val="18"/>
                <w:szCs w:val="18"/>
              </w:rPr>
              <w:t>布设在有船撞风险</w:t>
            </w:r>
            <w:r>
              <w:rPr>
                <w:rFonts w:hint="eastAsia" w:cs="宋体"/>
                <w:bCs/>
                <w:sz w:val="18"/>
                <w:szCs w:val="18"/>
              </w:rPr>
              <w:t>桥跨处</w:t>
            </w:r>
          </w:p>
        </w:tc>
      </w:tr>
      <w:tr w14:paraId="195CA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restart"/>
            <w:tcBorders>
              <w:top w:val="single" w:color="auto" w:sz="4" w:space="0"/>
              <w:left w:val="single" w:color="auto" w:sz="4" w:space="0"/>
              <w:right w:val="single" w:color="auto" w:sz="4" w:space="0"/>
            </w:tcBorders>
            <w:vAlign w:val="center"/>
          </w:tcPr>
          <w:p w14:paraId="7FD80D0E">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12</w:t>
            </w:r>
          </w:p>
        </w:tc>
        <w:tc>
          <w:tcPr>
            <w:tcW w:w="361" w:type="pct"/>
            <w:vMerge w:val="continue"/>
            <w:tcBorders>
              <w:top w:val="single" w:color="auto" w:sz="4" w:space="0"/>
              <w:left w:val="single" w:color="auto" w:sz="4" w:space="0"/>
              <w:bottom w:val="single" w:color="auto" w:sz="4" w:space="0"/>
              <w:right w:val="single" w:color="auto" w:sz="4" w:space="0"/>
            </w:tcBorders>
            <w:vAlign w:val="center"/>
          </w:tcPr>
          <w:p w14:paraId="6AFECB49">
            <w:pPr>
              <w:widowControl/>
              <w:spacing w:beforeLines="0" w:afterLines="0" w:line="240" w:lineRule="auto"/>
              <w:jc w:val="left"/>
              <w:rPr>
                <w:rFonts w:hint="eastAsia" w:ascii="宋体" w:hAnsi="宋体" w:cs="宋体"/>
                <w:sz w:val="18"/>
                <w:szCs w:val="18"/>
              </w:rPr>
            </w:pPr>
          </w:p>
        </w:tc>
        <w:tc>
          <w:tcPr>
            <w:tcW w:w="861" w:type="pct"/>
            <w:vMerge w:val="restart"/>
            <w:tcBorders>
              <w:top w:val="single" w:color="auto" w:sz="4" w:space="0"/>
              <w:left w:val="single" w:color="auto" w:sz="4" w:space="0"/>
              <w:bottom w:val="single" w:color="auto" w:sz="4" w:space="0"/>
              <w:right w:val="single" w:color="auto" w:sz="4" w:space="0"/>
            </w:tcBorders>
            <w:vAlign w:val="center"/>
          </w:tcPr>
          <w:p w14:paraId="7BD4286A">
            <w:pPr>
              <w:pStyle w:val="146"/>
              <w:rPr>
                <w:rFonts w:hint="eastAsia" w:ascii="宋体" w:hAnsi="宋体" w:cs="宋体"/>
                <w:sz w:val="18"/>
                <w:szCs w:val="18"/>
              </w:rPr>
            </w:pPr>
            <w:r>
              <w:rPr>
                <w:rFonts w:hint="eastAsia" w:ascii="宋体" w:hAnsi="宋体" w:cs="宋体"/>
                <w:sz w:val="18"/>
                <w:szCs w:val="18"/>
              </w:rPr>
              <w:t>地震</w:t>
            </w:r>
          </w:p>
        </w:tc>
        <w:tc>
          <w:tcPr>
            <w:tcW w:w="1161" w:type="pct"/>
            <w:tcBorders>
              <w:top w:val="single" w:color="auto" w:sz="4" w:space="0"/>
              <w:left w:val="single" w:color="auto" w:sz="4" w:space="0"/>
              <w:bottom w:val="single" w:color="auto" w:sz="4" w:space="0"/>
              <w:right w:val="single" w:color="auto" w:sz="4" w:space="0"/>
            </w:tcBorders>
            <w:vAlign w:val="center"/>
          </w:tcPr>
          <w:p w14:paraId="4A3F6270">
            <w:pPr>
              <w:pStyle w:val="146"/>
              <w:rPr>
                <w:rFonts w:hint="eastAsia" w:ascii="宋体" w:hAnsi="宋体" w:cs="宋体"/>
                <w:sz w:val="18"/>
                <w:szCs w:val="18"/>
              </w:rPr>
            </w:pPr>
            <w:r>
              <w:rPr>
                <w:rFonts w:hint="eastAsia" w:ascii="宋体" w:hAnsi="宋体" w:cs="宋体"/>
                <w:sz w:val="18"/>
                <w:szCs w:val="18"/>
              </w:rPr>
              <w:t>桥岸地表场地加速度</w:t>
            </w:r>
          </w:p>
        </w:tc>
        <w:tc>
          <w:tcPr>
            <w:tcW w:w="562" w:type="pct"/>
            <w:tcBorders>
              <w:top w:val="single" w:color="auto" w:sz="4" w:space="0"/>
              <w:left w:val="single" w:color="auto" w:sz="4" w:space="0"/>
              <w:bottom w:val="single" w:color="auto" w:sz="4" w:space="0"/>
              <w:right w:val="single" w:color="auto" w:sz="4" w:space="0"/>
            </w:tcBorders>
            <w:vAlign w:val="center"/>
          </w:tcPr>
          <w:p w14:paraId="6B9FA9B5">
            <w:pPr>
              <w:pStyle w:val="146"/>
              <w:rPr>
                <w:rFonts w:hint="eastAsia" w:ascii="宋体" w:hAnsi="宋体" w:cs="宋体"/>
                <w:sz w:val="18"/>
                <w:szCs w:val="18"/>
              </w:rPr>
            </w:pPr>
            <w:r>
              <w:rPr>
                <w:rFonts w:hint="eastAsia" w:ascii="宋体" w:hAnsi="宋体" w:cs="宋体"/>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6DD8E8F6">
            <w:pPr>
              <w:pStyle w:val="146"/>
              <w:rPr>
                <w:rFonts w:hint="eastAsia" w:ascii="宋体" w:hAnsi="宋体" w:cs="宋体"/>
                <w:sz w:val="18"/>
                <w:szCs w:val="18"/>
              </w:rPr>
            </w:pPr>
            <w:r>
              <w:rPr>
                <w:rFonts w:hint="eastAsia" w:ascii="宋体" w:hAnsi="宋体" w:cs="宋体"/>
                <w:sz w:val="18"/>
                <w:szCs w:val="18"/>
              </w:rPr>
              <w:t>桥岸地表</w:t>
            </w:r>
          </w:p>
        </w:tc>
      </w:tr>
      <w:tr w14:paraId="49E8B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continue"/>
            <w:tcBorders>
              <w:left w:val="single" w:color="auto" w:sz="4" w:space="0"/>
              <w:bottom w:val="single" w:color="auto" w:sz="4" w:space="0"/>
              <w:right w:val="single" w:color="auto" w:sz="4" w:space="0"/>
            </w:tcBorders>
            <w:vAlign w:val="center"/>
          </w:tcPr>
          <w:p w14:paraId="7BD4302A">
            <w:pPr>
              <w:widowControl/>
              <w:spacing w:beforeLines="0" w:afterLines="0" w:line="240" w:lineRule="auto"/>
              <w:jc w:val="center"/>
              <w:rPr>
                <w:rFonts w:hint="eastAsia" w:ascii="宋体" w:hAnsi="宋体" w:cs="宋体"/>
                <w:sz w:val="18"/>
                <w:szCs w:val="18"/>
              </w:rPr>
            </w:pPr>
          </w:p>
        </w:tc>
        <w:tc>
          <w:tcPr>
            <w:tcW w:w="361" w:type="pct"/>
            <w:vMerge w:val="continue"/>
            <w:tcBorders>
              <w:top w:val="single" w:color="auto" w:sz="4" w:space="0"/>
              <w:left w:val="single" w:color="auto" w:sz="4" w:space="0"/>
              <w:bottom w:val="single" w:color="auto" w:sz="4" w:space="0"/>
              <w:right w:val="single" w:color="auto" w:sz="4" w:space="0"/>
            </w:tcBorders>
            <w:vAlign w:val="center"/>
          </w:tcPr>
          <w:p w14:paraId="133D7863">
            <w:pPr>
              <w:widowControl/>
              <w:spacing w:beforeLines="0" w:afterLines="0" w:line="240" w:lineRule="auto"/>
              <w:jc w:val="left"/>
              <w:rPr>
                <w:rFonts w:hint="eastAsia" w:ascii="宋体" w:hAnsi="宋体" w:cs="宋体"/>
                <w:sz w:val="18"/>
                <w:szCs w:val="18"/>
              </w:rPr>
            </w:pPr>
          </w:p>
        </w:tc>
        <w:tc>
          <w:tcPr>
            <w:tcW w:w="861" w:type="pct"/>
            <w:vMerge w:val="continue"/>
            <w:tcBorders>
              <w:top w:val="single" w:color="auto" w:sz="4" w:space="0"/>
              <w:left w:val="single" w:color="auto" w:sz="4" w:space="0"/>
              <w:bottom w:val="single" w:color="auto" w:sz="4" w:space="0"/>
              <w:right w:val="single" w:color="auto" w:sz="4" w:space="0"/>
            </w:tcBorders>
            <w:vAlign w:val="center"/>
          </w:tcPr>
          <w:p w14:paraId="2845683C">
            <w:pPr>
              <w:widowControl/>
              <w:spacing w:beforeLines="0" w:afterLines="0" w:line="240" w:lineRule="auto"/>
              <w:jc w:val="left"/>
              <w:rPr>
                <w:rFonts w:hint="eastAsia" w:ascii="宋体" w:hAnsi="宋体" w:cs="宋体"/>
                <w:sz w:val="18"/>
                <w:szCs w:val="18"/>
              </w:rPr>
            </w:pPr>
          </w:p>
        </w:tc>
        <w:tc>
          <w:tcPr>
            <w:tcW w:w="1161" w:type="pct"/>
            <w:tcBorders>
              <w:top w:val="single" w:color="auto" w:sz="4" w:space="0"/>
              <w:left w:val="single" w:color="auto" w:sz="4" w:space="0"/>
              <w:bottom w:val="single" w:color="auto" w:sz="4" w:space="0"/>
              <w:right w:val="single" w:color="auto" w:sz="4" w:space="0"/>
            </w:tcBorders>
            <w:vAlign w:val="center"/>
          </w:tcPr>
          <w:p w14:paraId="1B9CB9F4">
            <w:pPr>
              <w:pStyle w:val="146"/>
              <w:rPr>
                <w:rFonts w:hint="eastAsia" w:ascii="宋体" w:hAnsi="宋体" w:cs="宋体"/>
                <w:sz w:val="18"/>
                <w:szCs w:val="18"/>
              </w:rPr>
            </w:pPr>
            <w:r>
              <w:rPr>
                <w:rFonts w:hint="eastAsia" w:ascii="宋体" w:hAnsi="宋体" w:cs="宋体"/>
                <w:sz w:val="18"/>
                <w:szCs w:val="18"/>
              </w:rPr>
              <w:t>承台顶或桥墩底部加速度</w:t>
            </w:r>
          </w:p>
        </w:tc>
        <w:tc>
          <w:tcPr>
            <w:tcW w:w="562" w:type="pct"/>
            <w:tcBorders>
              <w:top w:val="single" w:color="auto" w:sz="4" w:space="0"/>
              <w:left w:val="single" w:color="auto" w:sz="4" w:space="0"/>
              <w:bottom w:val="single" w:color="auto" w:sz="4" w:space="0"/>
              <w:right w:val="single" w:color="auto" w:sz="4" w:space="0"/>
            </w:tcBorders>
            <w:vAlign w:val="center"/>
          </w:tcPr>
          <w:p w14:paraId="44C7AC8B">
            <w:pPr>
              <w:pStyle w:val="146"/>
              <w:rPr>
                <w:rFonts w:hint="eastAsia" w:ascii="宋体" w:hAnsi="宋体" w:cs="宋体"/>
                <w:sz w:val="18"/>
                <w:szCs w:val="18"/>
              </w:rPr>
            </w:pPr>
            <w:r>
              <w:rPr>
                <w:rFonts w:hint="eastAsia" w:ascii="宋体" w:hAnsi="宋体" w:cs="宋体"/>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1B0EBF97">
            <w:pPr>
              <w:pStyle w:val="146"/>
              <w:rPr>
                <w:rFonts w:hint="eastAsia" w:ascii="宋体" w:hAnsi="宋体" w:cs="宋体"/>
                <w:sz w:val="18"/>
                <w:szCs w:val="18"/>
              </w:rPr>
            </w:pPr>
            <w:r>
              <w:rPr>
                <w:rFonts w:hint="eastAsia" w:ascii="宋体" w:hAnsi="宋体" w:cs="宋体"/>
                <w:sz w:val="18"/>
                <w:szCs w:val="18"/>
              </w:rPr>
              <w:t>承台顶或桥墩底部</w:t>
            </w:r>
          </w:p>
        </w:tc>
      </w:tr>
      <w:tr w14:paraId="37CB8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restart"/>
            <w:tcBorders>
              <w:top w:val="single" w:color="auto" w:sz="4" w:space="0"/>
              <w:left w:val="single" w:color="auto" w:sz="4" w:space="0"/>
              <w:right w:val="single" w:color="auto" w:sz="4" w:space="0"/>
            </w:tcBorders>
            <w:vAlign w:val="center"/>
          </w:tcPr>
          <w:p w14:paraId="47E4203C">
            <w:pPr>
              <w:pStyle w:val="146"/>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13</w:t>
            </w:r>
          </w:p>
        </w:tc>
        <w:tc>
          <w:tcPr>
            <w:tcW w:w="361" w:type="pct"/>
            <w:vMerge w:val="restart"/>
            <w:tcBorders>
              <w:top w:val="single" w:color="auto" w:sz="4" w:space="0"/>
              <w:left w:val="single" w:color="auto" w:sz="4" w:space="0"/>
              <w:right w:val="single" w:color="auto" w:sz="4" w:space="0"/>
            </w:tcBorders>
            <w:vAlign w:val="center"/>
          </w:tcPr>
          <w:p w14:paraId="73976190">
            <w:pPr>
              <w:pStyle w:val="146"/>
              <w:rPr>
                <w:rFonts w:hint="eastAsia" w:ascii="宋体" w:hAnsi="宋体" w:cs="宋体"/>
                <w:sz w:val="18"/>
                <w:szCs w:val="18"/>
              </w:rPr>
            </w:pPr>
            <w:r>
              <w:rPr>
                <w:rFonts w:hint="eastAsia" w:ascii="宋体" w:hAnsi="宋体" w:cs="宋体"/>
                <w:sz w:val="18"/>
                <w:szCs w:val="18"/>
              </w:rPr>
              <w:t>结构响应</w:t>
            </w:r>
          </w:p>
        </w:tc>
        <w:tc>
          <w:tcPr>
            <w:tcW w:w="861" w:type="pct"/>
            <w:vMerge w:val="restart"/>
            <w:tcBorders>
              <w:top w:val="single" w:color="auto" w:sz="4" w:space="0"/>
              <w:left w:val="single" w:color="auto" w:sz="4" w:space="0"/>
              <w:bottom w:val="single" w:color="auto" w:sz="4" w:space="0"/>
              <w:right w:val="single" w:color="auto" w:sz="4" w:space="0"/>
            </w:tcBorders>
            <w:vAlign w:val="center"/>
          </w:tcPr>
          <w:p w14:paraId="7DE049CC">
            <w:pPr>
              <w:pStyle w:val="146"/>
              <w:rPr>
                <w:rFonts w:hint="eastAsia" w:ascii="宋体" w:hAnsi="宋体" w:cs="宋体"/>
                <w:sz w:val="18"/>
                <w:szCs w:val="18"/>
              </w:rPr>
            </w:pPr>
            <w:r>
              <w:rPr>
                <w:rFonts w:hint="eastAsia" w:ascii="宋体" w:hAnsi="宋体" w:cs="宋体"/>
                <w:sz w:val="18"/>
                <w:szCs w:val="18"/>
              </w:rPr>
              <w:t>位移</w:t>
            </w:r>
          </w:p>
        </w:tc>
        <w:tc>
          <w:tcPr>
            <w:tcW w:w="1161" w:type="pct"/>
            <w:tcBorders>
              <w:top w:val="single" w:color="auto" w:sz="4" w:space="0"/>
              <w:left w:val="single" w:color="auto" w:sz="4" w:space="0"/>
              <w:bottom w:val="single" w:color="auto" w:sz="4" w:space="0"/>
              <w:right w:val="single" w:color="auto" w:sz="4" w:space="0"/>
            </w:tcBorders>
            <w:vAlign w:val="center"/>
          </w:tcPr>
          <w:p w14:paraId="5B4598CF">
            <w:pPr>
              <w:pStyle w:val="146"/>
              <w:rPr>
                <w:rFonts w:hint="eastAsia" w:ascii="宋体" w:hAnsi="宋体" w:cs="宋体"/>
                <w:bCs/>
                <w:sz w:val="18"/>
                <w:szCs w:val="18"/>
              </w:rPr>
            </w:pPr>
            <w:r>
              <w:rPr>
                <w:rFonts w:hint="eastAsia" w:ascii="宋体" w:hAnsi="宋体" w:cs="宋体"/>
                <w:bCs/>
                <w:sz w:val="18"/>
                <w:szCs w:val="18"/>
              </w:rPr>
              <w:t>主梁竖向位移</w:t>
            </w:r>
          </w:p>
        </w:tc>
        <w:tc>
          <w:tcPr>
            <w:tcW w:w="562" w:type="pct"/>
            <w:tcBorders>
              <w:top w:val="single" w:color="auto" w:sz="4" w:space="0"/>
              <w:left w:val="single" w:color="auto" w:sz="4" w:space="0"/>
              <w:bottom w:val="single" w:color="auto" w:sz="4" w:space="0"/>
              <w:right w:val="single" w:color="auto" w:sz="4" w:space="0"/>
            </w:tcBorders>
            <w:vAlign w:val="center"/>
          </w:tcPr>
          <w:p w14:paraId="414D49B5">
            <w:pPr>
              <w:pStyle w:val="146"/>
              <w:rPr>
                <w:rFonts w:hint="eastAsia" w:ascii="宋体" w:hAnsi="宋体" w:cs="宋体"/>
                <w:bCs/>
                <w:sz w:val="18"/>
                <w:szCs w:val="18"/>
              </w:rPr>
            </w:pPr>
            <w:r>
              <w:rPr>
                <w:rFonts w:hint="eastAsia" w:ascii="宋体" w:hAnsi="宋体" w:cs="宋体"/>
                <w:bCs/>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26E1F6AF">
            <w:pPr>
              <w:pStyle w:val="146"/>
              <w:rPr>
                <w:rFonts w:hint="eastAsia" w:ascii="宋体" w:hAnsi="宋体" w:cs="宋体"/>
                <w:sz w:val="18"/>
                <w:szCs w:val="18"/>
              </w:rPr>
            </w:pPr>
            <w:r>
              <w:rPr>
                <w:rFonts w:hint="eastAsia" w:ascii="宋体" w:hAnsi="宋体" w:cs="宋体"/>
                <w:sz w:val="18"/>
                <w:szCs w:val="18"/>
              </w:rPr>
              <w:t>主跨：跨中截面、1/4截面、3/4截面；边跨：跨中截面</w:t>
            </w:r>
            <w:r>
              <w:rPr>
                <w:rFonts w:hint="eastAsia" w:cs="宋体"/>
                <w:bCs/>
                <w:sz w:val="18"/>
                <w:szCs w:val="18"/>
              </w:rPr>
              <w:t>。宜布置于车道下方，</w:t>
            </w:r>
            <w:r>
              <w:rPr>
                <w:rFonts w:hint="eastAsia" w:cs="宋体"/>
                <w:bCs/>
                <w:sz w:val="18"/>
                <w:szCs w:val="18"/>
                <w:lang w:eastAsia="zh-CN"/>
              </w:rPr>
              <w:t>不低于</w:t>
            </w:r>
            <w:r>
              <w:rPr>
                <w:rFonts w:hint="eastAsia" w:cs="宋体"/>
                <w:bCs/>
                <w:sz w:val="18"/>
                <w:szCs w:val="18"/>
              </w:rPr>
              <w:t>2处</w:t>
            </w:r>
          </w:p>
        </w:tc>
      </w:tr>
      <w:tr w14:paraId="47C2F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continue"/>
            <w:tcBorders>
              <w:left w:val="single" w:color="auto" w:sz="4" w:space="0"/>
              <w:right w:val="single" w:color="auto" w:sz="4" w:space="0"/>
            </w:tcBorders>
            <w:vAlign w:val="center"/>
          </w:tcPr>
          <w:p w14:paraId="27701D7B">
            <w:pPr>
              <w:widowControl/>
              <w:spacing w:beforeLines="0" w:afterLines="0" w:line="240" w:lineRule="auto"/>
              <w:jc w:val="center"/>
              <w:rPr>
                <w:rFonts w:hint="eastAsia" w:ascii="宋体" w:hAnsi="宋体" w:cs="宋体"/>
                <w:sz w:val="18"/>
                <w:szCs w:val="18"/>
              </w:rPr>
            </w:pPr>
          </w:p>
        </w:tc>
        <w:tc>
          <w:tcPr>
            <w:tcW w:w="361" w:type="pct"/>
            <w:vMerge w:val="continue"/>
            <w:tcBorders>
              <w:left w:val="single" w:color="auto" w:sz="4" w:space="0"/>
              <w:right w:val="single" w:color="auto" w:sz="4" w:space="0"/>
            </w:tcBorders>
            <w:vAlign w:val="center"/>
          </w:tcPr>
          <w:p w14:paraId="2F72F28C">
            <w:pPr>
              <w:widowControl/>
              <w:spacing w:beforeLines="0" w:afterLines="0" w:line="240" w:lineRule="auto"/>
              <w:jc w:val="left"/>
              <w:rPr>
                <w:rFonts w:hint="eastAsia" w:ascii="宋体" w:hAnsi="宋体" w:cs="宋体"/>
                <w:sz w:val="18"/>
                <w:szCs w:val="18"/>
              </w:rPr>
            </w:pPr>
          </w:p>
        </w:tc>
        <w:tc>
          <w:tcPr>
            <w:tcW w:w="861" w:type="pct"/>
            <w:vMerge w:val="continue"/>
            <w:tcBorders>
              <w:top w:val="single" w:color="auto" w:sz="4" w:space="0"/>
              <w:left w:val="single" w:color="auto" w:sz="4" w:space="0"/>
              <w:bottom w:val="single" w:color="auto" w:sz="4" w:space="0"/>
              <w:right w:val="single" w:color="auto" w:sz="4" w:space="0"/>
            </w:tcBorders>
            <w:vAlign w:val="center"/>
          </w:tcPr>
          <w:p w14:paraId="6F9F2288">
            <w:pPr>
              <w:widowControl/>
              <w:spacing w:beforeLines="0" w:afterLines="0" w:line="240" w:lineRule="auto"/>
              <w:jc w:val="left"/>
              <w:rPr>
                <w:rFonts w:hint="eastAsia" w:ascii="宋体" w:hAnsi="宋体" w:cs="宋体"/>
                <w:sz w:val="18"/>
                <w:szCs w:val="18"/>
              </w:rPr>
            </w:pPr>
          </w:p>
        </w:tc>
        <w:tc>
          <w:tcPr>
            <w:tcW w:w="1161" w:type="pct"/>
            <w:tcBorders>
              <w:top w:val="single" w:color="auto" w:sz="4" w:space="0"/>
              <w:left w:val="single" w:color="auto" w:sz="4" w:space="0"/>
              <w:bottom w:val="single" w:color="auto" w:sz="4" w:space="0"/>
              <w:right w:val="single" w:color="auto" w:sz="4" w:space="0"/>
            </w:tcBorders>
            <w:vAlign w:val="center"/>
          </w:tcPr>
          <w:p w14:paraId="70BCBD77">
            <w:pPr>
              <w:pStyle w:val="146"/>
              <w:rPr>
                <w:rFonts w:hint="eastAsia" w:ascii="宋体" w:hAnsi="宋体" w:cs="宋体"/>
                <w:sz w:val="18"/>
                <w:szCs w:val="18"/>
              </w:rPr>
            </w:pPr>
            <w:r>
              <w:rPr>
                <w:rFonts w:hint="eastAsia" w:ascii="宋体" w:hAnsi="宋体" w:cs="宋体"/>
                <w:sz w:val="18"/>
                <w:szCs w:val="18"/>
              </w:rPr>
              <w:t>主梁横向位移</w:t>
            </w:r>
          </w:p>
        </w:tc>
        <w:tc>
          <w:tcPr>
            <w:tcW w:w="562" w:type="pct"/>
            <w:tcBorders>
              <w:top w:val="single" w:color="auto" w:sz="4" w:space="0"/>
              <w:left w:val="single" w:color="auto" w:sz="4" w:space="0"/>
              <w:bottom w:val="single" w:color="auto" w:sz="4" w:space="0"/>
              <w:right w:val="single" w:color="auto" w:sz="4" w:space="0"/>
            </w:tcBorders>
            <w:vAlign w:val="center"/>
          </w:tcPr>
          <w:p w14:paraId="599C92E3">
            <w:pPr>
              <w:pStyle w:val="146"/>
              <w:rPr>
                <w:rFonts w:hint="eastAsia" w:ascii="宋体" w:hAnsi="宋体" w:cs="宋体"/>
                <w:sz w:val="18"/>
                <w:szCs w:val="18"/>
              </w:rPr>
            </w:pPr>
            <w:r>
              <w:rPr>
                <w:rFonts w:hint="eastAsia" w:ascii="宋体" w:hAnsi="宋体" w:cs="宋体"/>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50837C6F">
            <w:pPr>
              <w:pStyle w:val="146"/>
              <w:rPr>
                <w:rFonts w:hint="eastAsia" w:ascii="宋体" w:hAnsi="宋体" w:cs="宋体"/>
                <w:sz w:val="18"/>
                <w:szCs w:val="18"/>
              </w:rPr>
            </w:pPr>
            <w:r>
              <w:rPr>
                <w:rFonts w:hint="eastAsia" w:ascii="宋体" w:hAnsi="宋体" w:cs="宋体"/>
                <w:sz w:val="18"/>
                <w:szCs w:val="18"/>
              </w:rPr>
              <w:t>梁端截面</w:t>
            </w:r>
          </w:p>
        </w:tc>
      </w:tr>
      <w:tr w14:paraId="0A43E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continue"/>
            <w:tcBorders>
              <w:left w:val="single" w:color="auto" w:sz="4" w:space="0"/>
              <w:right w:val="single" w:color="auto" w:sz="4" w:space="0"/>
            </w:tcBorders>
            <w:vAlign w:val="center"/>
          </w:tcPr>
          <w:p w14:paraId="28753FD0">
            <w:pPr>
              <w:widowControl/>
              <w:spacing w:beforeLines="0" w:afterLines="0" w:line="240" w:lineRule="auto"/>
              <w:jc w:val="center"/>
              <w:rPr>
                <w:rFonts w:hint="eastAsia" w:ascii="宋体" w:hAnsi="宋体" w:cs="宋体"/>
                <w:sz w:val="18"/>
                <w:szCs w:val="18"/>
              </w:rPr>
            </w:pPr>
          </w:p>
        </w:tc>
        <w:tc>
          <w:tcPr>
            <w:tcW w:w="361" w:type="pct"/>
            <w:vMerge w:val="continue"/>
            <w:tcBorders>
              <w:left w:val="single" w:color="auto" w:sz="4" w:space="0"/>
              <w:right w:val="single" w:color="auto" w:sz="4" w:space="0"/>
            </w:tcBorders>
            <w:vAlign w:val="center"/>
          </w:tcPr>
          <w:p w14:paraId="58839C78">
            <w:pPr>
              <w:widowControl/>
              <w:spacing w:beforeLines="0" w:afterLines="0" w:line="240" w:lineRule="auto"/>
              <w:jc w:val="left"/>
              <w:rPr>
                <w:rFonts w:hint="eastAsia" w:ascii="宋体" w:hAnsi="宋体" w:cs="宋体"/>
                <w:sz w:val="18"/>
                <w:szCs w:val="18"/>
              </w:rPr>
            </w:pPr>
          </w:p>
        </w:tc>
        <w:tc>
          <w:tcPr>
            <w:tcW w:w="861" w:type="pct"/>
            <w:vMerge w:val="continue"/>
            <w:tcBorders>
              <w:top w:val="single" w:color="auto" w:sz="4" w:space="0"/>
              <w:left w:val="single" w:color="auto" w:sz="4" w:space="0"/>
              <w:bottom w:val="single" w:color="auto" w:sz="4" w:space="0"/>
              <w:right w:val="single" w:color="auto" w:sz="4" w:space="0"/>
            </w:tcBorders>
            <w:vAlign w:val="center"/>
          </w:tcPr>
          <w:p w14:paraId="249B869A">
            <w:pPr>
              <w:widowControl/>
              <w:spacing w:beforeLines="0" w:afterLines="0" w:line="240" w:lineRule="auto"/>
              <w:jc w:val="left"/>
              <w:rPr>
                <w:rFonts w:hint="eastAsia" w:ascii="宋体" w:hAnsi="宋体" w:cs="宋体"/>
                <w:sz w:val="18"/>
                <w:szCs w:val="18"/>
              </w:rPr>
            </w:pPr>
          </w:p>
        </w:tc>
        <w:tc>
          <w:tcPr>
            <w:tcW w:w="1161" w:type="pct"/>
            <w:tcBorders>
              <w:top w:val="single" w:color="auto" w:sz="4" w:space="0"/>
              <w:left w:val="single" w:color="auto" w:sz="4" w:space="0"/>
              <w:bottom w:val="single" w:color="auto" w:sz="4" w:space="0"/>
              <w:right w:val="single" w:color="auto" w:sz="4" w:space="0"/>
            </w:tcBorders>
            <w:vAlign w:val="center"/>
          </w:tcPr>
          <w:p w14:paraId="08B4DC5E">
            <w:pPr>
              <w:pStyle w:val="146"/>
              <w:rPr>
                <w:rFonts w:hint="eastAsia" w:ascii="宋体" w:hAnsi="宋体" w:cs="宋体"/>
                <w:sz w:val="18"/>
                <w:szCs w:val="18"/>
              </w:rPr>
            </w:pPr>
            <w:r>
              <w:rPr>
                <w:rFonts w:hint="eastAsia" w:ascii="宋体" w:hAnsi="宋体" w:cs="宋体"/>
                <w:bCs/>
                <w:sz w:val="18"/>
                <w:szCs w:val="18"/>
              </w:rPr>
              <w:t>拱顶位移</w:t>
            </w:r>
          </w:p>
        </w:tc>
        <w:tc>
          <w:tcPr>
            <w:tcW w:w="562" w:type="pct"/>
            <w:tcBorders>
              <w:top w:val="single" w:color="auto" w:sz="4" w:space="0"/>
              <w:left w:val="single" w:color="auto" w:sz="4" w:space="0"/>
              <w:bottom w:val="single" w:color="auto" w:sz="4" w:space="0"/>
              <w:right w:val="single" w:color="auto" w:sz="4" w:space="0"/>
            </w:tcBorders>
            <w:vAlign w:val="center"/>
          </w:tcPr>
          <w:p w14:paraId="0EB706CD">
            <w:pPr>
              <w:pStyle w:val="146"/>
              <w:rPr>
                <w:rFonts w:hint="eastAsia" w:ascii="宋体" w:hAnsi="宋体" w:cs="宋体"/>
                <w:sz w:val="18"/>
                <w:szCs w:val="18"/>
              </w:rPr>
            </w:pPr>
            <w:r>
              <w:rPr>
                <w:rFonts w:hint="eastAsia" w:ascii="宋体" w:hAnsi="宋体" w:cs="宋体"/>
                <w:bCs/>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1CCC0C08">
            <w:pPr>
              <w:pStyle w:val="146"/>
              <w:rPr>
                <w:rFonts w:hint="eastAsia" w:ascii="宋体" w:hAnsi="宋体" w:cs="宋体"/>
                <w:sz w:val="18"/>
                <w:szCs w:val="18"/>
              </w:rPr>
            </w:pPr>
            <w:r>
              <w:rPr>
                <w:rFonts w:hint="eastAsia" w:ascii="宋体" w:hAnsi="宋体" w:cs="宋体"/>
                <w:sz w:val="18"/>
                <w:szCs w:val="18"/>
              </w:rPr>
              <w:t>拱顶截面</w:t>
            </w:r>
          </w:p>
        </w:tc>
      </w:tr>
      <w:tr w14:paraId="14CB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continue"/>
            <w:tcBorders>
              <w:left w:val="single" w:color="auto" w:sz="4" w:space="0"/>
              <w:right w:val="single" w:color="auto" w:sz="4" w:space="0"/>
            </w:tcBorders>
            <w:vAlign w:val="center"/>
          </w:tcPr>
          <w:p w14:paraId="7E0389D1">
            <w:pPr>
              <w:widowControl/>
              <w:spacing w:beforeLines="0" w:afterLines="0" w:line="240" w:lineRule="auto"/>
              <w:jc w:val="center"/>
              <w:rPr>
                <w:rFonts w:hint="eastAsia" w:ascii="宋体" w:hAnsi="宋体" w:cs="宋体"/>
                <w:sz w:val="18"/>
                <w:szCs w:val="18"/>
              </w:rPr>
            </w:pPr>
          </w:p>
        </w:tc>
        <w:tc>
          <w:tcPr>
            <w:tcW w:w="361" w:type="pct"/>
            <w:vMerge w:val="continue"/>
            <w:tcBorders>
              <w:left w:val="single" w:color="auto" w:sz="4" w:space="0"/>
              <w:right w:val="single" w:color="auto" w:sz="4" w:space="0"/>
            </w:tcBorders>
            <w:vAlign w:val="center"/>
          </w:tcPr>
          <w:p w14:paraId="3EDD2742">
            <w:pPr>
              <w:widowControl/>
              <w:spacing w:beforeLines="0" w:afterLines="0" w:line="240" w:lineRule="auto"/>
              <w:jc w:val="left"/>
              <w:rPr>
                <w:rFonts w:hint="eastAsia" w:ascii="宋体" w:hAnsi="宋体" w:cs="宋体"/>
                <w:sz w:val="18"/>
                <w:szCs w:val="18"/>
              </w:rPr>
            </w:pPr>
          </w:p>
        </w:tc>
        <w:tc>
          <w:tcPr>
            <w:tcW w:w="861" w:type="pct"/>
            <w:vMerge w:val="continue"/>
            <w:tcBorders>
              <w:top w:val="single" w:color="auto" w:sz="4" w:space="0"/>
              <w:left w:val="single" w:color="auto" w:sz="4" w:space="0"/>
              <w:bottom w:val="single" w:color="auto" w:sz="4" w:space="0"/>
              <w:right w:val="single" w:color="auto" w:sz="4" w:space="0"/>
            </w:tcBorders>
            <w:vAlign w:val="center"/>
          </w:tcPr>
          <w:p w14:paraId="413761D5">
            <w:pPr>
              <w:widowControl/>
              <w:spacing w:beforeLines="0" w:afterLines="0" w:line="240" w:lineRule="auto"/>
              <w:jc w:val="left"/>
              <w:rPr>
                <w:rFonts w:hint="eastAsia" w:ascii="宋体" w:hAnsi="宋体" w:cs="宋体"/>
                <w:sz w:val="18"/>
                <w:szCs w:val="18"/>
              </w:rPr>
            </w:pPr>
          </w:p>
        </w:tc>
        <w:tc>
          <w:tcPr>
            <w:tcW w:w="1161" w:type="pct"/>
            <w:tcBorders>
              <w:top w:val="single" w:color="auto" w:sz="4" w:space="0"/>
              <w:left w:val="single" w:color="auto" w:sz="4" w:space="0"/>
              <w:bottom w:val="single" w:color="auto" w:sz="4" w:space="0"/>
              <w:right w:val="single" w:color="auto" w:sz="4" w:space="0"/>
            </w:tcBorders>
            <w:vAlign w:val="center"/>
          </w:tcPr>
          <w:p w14:paraId="45A20605">
            <w:pPr>
              <w:pStyle w:val="146"/>
              <w:rPr>
                <w:rFonts w:hint="eastAsia" w:ascii="宋体" w:hAnsi="宋体" w:cs="宋体"/>
                <w:sz w:val="18"/>
                <w:szCs w:val="18"/>
              </w:rPr>
            </w:pPr>
            <w:r>
              <w:rPr>
                <w:rFonts w:hint="eastAsia" w:ascii="宋体" w:hAnsi="宋体" w:cs="宋体"/>
                <w:sz w:val="18"/>
                <w:szCs w:val="18"/>
              </w:rPr>
              <w:t>支座位移</w:t>
            </w:r>
          </w:p>
        </w:tc>
        <w:tc>
          <w:tcPr>
            <w:tcW w:w="562" w:type="pct"/>
            <w:tcBorders>
              <w:top w:val="single" w:color="auto" w:sz="4" w:space="0"/>
              <w:left w:val="single" w:color="auto" w:sz="4" w:space="0"/>
              <w:bottom w:val="single" w:color="auto" w:sz="4" w:space="0"/>
              <w:right w:val="single" w:color="auto" w:sz="4" w:space="0"/>
            </w:tcBorders>
            <w:vAlign w:val="center"/>
          </w:tcPr>
          <w:p w14:paraId="03AA3EE5">
            <w:pPr>
              <w:pStyle w:val="146"/>
              <w:rPr>
                <w:rFonts w:hint="eastAsia" w:ascii="宋体" w:hAnsi="宋体" w:cs="宋体"/>
                <w:sz w:val="18"/>
                <w:szCs w:val="18"/>
              </w:rPr>
            </w:pPr>
            <w:r>
              <w:rPr>
                <w:rFonts w:hint="eastAsia" w:ascii="宋体" w:hAnsi="宋体" w:cs="宋体"/>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6D983BBA">
            <w:pPr>
              <w:pStyle w:val="146"/>
              <w:rPr>
                <w:rFonts w:hint="eastAsia" w:ascii="宋体" w:hAnsi="宋体" w:cs="宋体"/>
                <w:sz w:val="18"/>
                <w:szCs w:val="18"/>
              </w:rPr>
            </w:pPr>
            <w:r>
              <w:rPr>
                <w:rFonts w:hint="eastAsia" w:ascii="宋体" w:hAnsi="宋体" w:cs="宋体"/>
                <w:sz w:val="18"/>
                <w:szCs w:val="18"/>
              </w:rPr>
              <w:t>-</w:t>
            </w:r>
          </w:p>
        </w:tc>
      </w:tr>
      <w:tr w14:paraId="5BB6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continue"/>
            <w:tcBorders>
              <w:left w:val="single" w:color="auto" w:sz="4" w:space="0"/>
              <w:right w:val="single" w:color="auto" w:sz="4" w:space="0"/>
            </w:tcBorders>
            <w:vAlign w:val="center"/>
          </w:tcPr>
          <w:p w14:paraId="54869A2C">
            <w:pPr>
              <w:widowControl/>
              <w:spacing w:beforeLines="0" w:afterLines="0" w:line="240" w:lineRule="auto"/>
              <w:jc w:val="center"/>
              <w:rPr>
                <w:rFonts w:hint="eastAsia" w:ascii="宋体" w:hAnsi="宋体" w:cs="宋体"/>
                <w:sz w:val="18"/>
                <w:szCs w:val="18"/>
              </w:rPr>
            </w:pPr>
          </w:p>
        </w:tc>
        <w:tc>
          <w:tcPr>
            <w:tcW w:w="361" w:type="pct"/>
            <w:vMerge w:val="continue"/>
            <w:tcBorders>
              <w:left w:val="single" w:color="auto" w:sz="4" w:space="0"/>
              <w:right w:val="single" w:color="auto" w:sz="4" w:space="0"/>
            </w:tcBorders>
            <w:vAlign w:val="center"/>
          </w:tcPr>
          <w:p w14:paraId="56EC397E">
            <w:pPr>
              <w:widowControl/>
              <w:spacing w:beforeLines="0" w:afterLines="0" w:line="240" w:lineRule="auto"/>
              <w:jc w:val="left"/>
              <w:rPr>
                <w:rFonts w:hint="eastAsia" w:ascii="宋体" w:hAnsi="宋体" w:cs="宋体"/>
                <w:sz w:val="18"/>
                <w:szCs w:val="18"/>
              </w:rPr>
            </w:pPr>
          </w:p>
        </w:tc>
        <w:tc>
          <w:tcPr>
            <w:tcW w:w="861" w:type="pct"/>
            <w:vMerge w:val="continue"/>
            <w:tcBorders>
              <w:top w:val="single" w:color="auto" w:sz="4" w:space="0"/>
              <w:left w:val="single" w:color="auto" w:sz="4" w:space="0"/>
              <w:bottom w:val="single" w:color="auto" w:sz="4" w:space="0"/>
              <w:right w:val="single" w:color="auto" w:sz="4" w:space="0"/>
            </w:tcBorders>
            <w:vAlign w:val="center"/>
          </w:tcPr>
          <w:p w14:paraId="6A33CA9B">
            <w:pPr>
              <w:widowControl/>
              <w:spacing w:beforeLines="0" w:afterLines="0" w:line="240" w:lineRule="auto"/>
              <w:jc w:val="left"/>
              <w:rPr>
                <w:rFonts w:hint="eastAsia" w:ascii="宋体" w:hAnsi="宋体" w:cs="宋体"/>
                <w:sz w:val="18"/>
                <w:szCs w:val="18"/>
              </w:rPr>
            </w:pPr>
          </w:p>
        </w:tc>
        <w:tc>
          <w:tcPr>
            <w:tcW w:w="1161" w:type="pct"/>
            <w:tcBorders>
              <w:top w:val="single" w:color="auto" w:sz="4" w:space="0"/>
              <w:left w:val="single" w:color="auto" w:sz="4" w:space="0"/>
              <w:bottom w:val="single" w:color="auto" w:sz="4" w:space="0"/>
              <w:right w:val="single" w:color="auto" w:sz="4" w:space="0"/>
            </w:tcBorders>
            <w:vAlign w:val="center"/>
          </w:tcPr>
          <w:p w14:paraId="4DFF71C7">
            <w:pPr>
              <w:pStyle w:val="146"/>
              <w:rPr>
                <w:rFonts w:hint="eastAsia" w:ascii="宋体" w:hAnsi="宋体" w:cs="宋体"/>
                <w:sz w:val="18"/>
                <w:szCs w:val="18"/>
              </w:rPr>
            </w:pPr>
            <w:r>
              <w:rPr>
                <w:rFonts w:hint="eastAsia" w:ascii="宋体" w:hAnsi="宋体" w:cs="宋体"/>
                <w:sz w:val="18"/>
                <w:szCs w:val="18"/>
              </w:rPr>
              <w:t>梁端纵向位移</w:t>
            </w:r>
          </w:p>
        </w:tc>
        <w:tc>
          <w:tcPr>
            <w:tcW w:w="562" w:type="pct"/>
            <w:tcBorders>
              <w:top w:val="single" w:color="auto" w:sz="4" w:space="0"/>
              <w:left w:val="single" w:color="auto" w:sz="4" w:space="0"/>
              <w:bottom w:val="single" w:color="auto" w:sz="4" w:space="0"/>
              <w:right w:val="single" w:color="auto" w:sz="4" w:space="0"/>
            </w:tcBorders>
            <w:vAlign w:val="center"/>
          </w:tcPr>
          <w:p w14:paraId="378C535B">
            <w:pPr>
              <w:pStyle w:val="146"/>
              <w:rPr>
                <w:rFonts w:hint="eastAsia" w:ascii="宋体" w:hAnsi="宋体" w:cs="宋体"/>
                <w:sz w:val="18"/>
                <w:szCs w:val="18"/>
              </w:rPr>
            </w:pPr>
            <w:r>
              <w:rPr>
                <w:rFonts w:hint="eastAsia" w:ascii="宋体" w:hAnsi="宋体" w:cs="宋体"/>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7F204CE9">
            <w:pPr>
              <w:pStyle w:val="146"/>
              <w:rPr>
                <w:rFonts w:hint="eastAsia" w:ascii="宋体" w:hAnsi="宋体" w:cs="宋体"/>
                <w:sz w:val="18"/>
                <w:szCs w:val="18"/>
              </w:rPr>
            </w:pPr>
            <w:r>
              <w:rPr>
                <w:rFonts w:hint="eastAsia" w:ascii="宋体" w:hAnsi="宋体" w:cs="宋体"/>
                <w:sz w:val="18"/>
                <w:szCs w:val="18"/>
              </w:rPr>
              <w:t>梁端截面</w:t>
            </w:r>
          </w:p>
        </w:tc>
      </w:tr>
      <w:tr w14:paraId="3D25C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continue"/>
            <w:tcBorders>
              <w:left w:val="single" w:color="auto" w:sz="4" w:space="0"/>
              <w:right w:val="single" w:color="auto" w:sz="4" w:space="0"/>
            </w:tcBorders>
            <w:vAlign w:val="center"/>
          </w:tcPr>
          <w:p w14:paraId="2A0F3470">
            <w:pPr>
              <w:widowControl/>
              <w:spacing w:beforeLines="0" w:afterLines="0" w:line="240" w:lineRule="auto"/>
              <w:jc w:val="center"/>
              <w:rPr>
                <w:rFonts w:hint="eastAsia" w:ascii="宋体" w:hAnsi="宋体" w:cs="宋体"/>
                <w:sz w:val="18"/>
                <w:szCs w:val="18"/>
              </w:rPr>
            </w:pPr>
          </w:p>
        </w:tc>
        <w:tc>
          <w:tcPr>
            <w:tcW w:w="361" w:type="pct"/>
            <w:vMerge w:val="continue"/>
            <w:tcBorders>
              <w:left w:val="single" w:color="auto" w:sz="4" w:space="0"/>
              <w:right w:val="single" w:color="auto" w:sz="4" w:space="0"/>
            </w:tcBorders>
            <w:vAlign w:val="center"/>
          </w:tcPr>
          <w:p w14:paraId="0D0716C5">
            <w:pPr>
              <w:widowControl/>
              <w:spacing w:beforeLines="0" w:afterLines="0" w:line="240" w:lineRule="auto"/>
              <w:jc w:val="left"/>
              <w:rPr>
                <w:rFonts w:hint="eastAsia" w:ascii="宋体" w:hAnsi="宋体" w:cs="宋体"/>
                <w:sz w:val="18"/>
                <w:szCs w:val="18"/>
              </w:rPr>
            </w:pPr>
          </w:p>
        </w:tc>
        <w:tc>
          <w:tcPr>
            <w:tcW w:w="861" w:type="pct"/>
            <w:vMerge w:val="continue"/>
            <w:tcBorders>
              <w:top w:val="single" w:color="auto" w:sz="4" w:space="0"/>
              <w:left w:val="single" w:color="auto" w:sz="4" w:space="0"/>
              <w:bottom w:val="single" w:color="auto" w:sz="4" w:space="0"/>
              <w:right w:val="single" w:color="auto" w:sz="4" w:space="0"/>
            </w:tcBorders>
            <w:vAlign w:val="center"/>
          </w:tcPr>
          <w:p w14:paraId="306C1703">
            <w:pPr>
              <w:widowControl/>
              <w:spacing w:beforeLines="0" w:afterLines="0" w:line="240" w:lineRule="auto"/>
              <w:jc w:val="left"/>
              <w:rPr>
                <w:rFonts w:hint="eastAsia" w:ascii="宋体" w:hAnsi="宋体" w:cs="宋体"/>
                <w:sz w:val="18"/>
                <w:szCs w:val="18"/>
              </w:rPr>
            </w:pPr>
          </w:p>
        </w:tc>
        <w:tc>
          <w:tcPr>
            <w:tcW w:w="1161" w:type="pct"/>
            <w:tcBorders>
              <w:top w:val="single" w:color="auto" w:sz="4" w:space="0"/>
              <w:left w:val="single" w:color="auto" w:sz="4" w:space="0"/>
              <w:bottom w:val="single" w:color="auto" w:sz="4" w:space="0"/>
              <w:right w:val="single" w:color="auto" w:sz="4" w:space="0"/>
            </w:tcBorders>
            <w:vAlign w:val="center"/>
          </w:tcPr>
          <w:p w14:paraId="467CE3AC">
            <w:pPr>
              <w:pStyle w:val="146"/>
              <w:rPr>
                <w:rFonts w:hint="eastAsia" w:ascii="宋体" w:hAnsi="宋体" w:cs="宋体"/>
                <w:sz w:val="18"/>
                <w:szCs w:val="18"/>
              </w:rPr>
            </w:pPr>
            <w:r>
              <w:rPr>
                <w:rFonts w:hint="eastAsia" w:ascii="宋体" w:hAnsi="宋体" w:cs="宋体"/>
                <w:sz w:val="18"/>
                <w:szCs w:val="18"/>
              </w:rPr>
              <w:t>墩顶倾斜</w:t>
            </w:r>
          </w:p>
        </w:tc>
        <w:tc>
          <w:tcPr>
            <w:tcW w:w="562" w:type="pct"/>
            <w:tcBorders>
              <w:top w:val="single" w:color="auto" w:sz="4" w:space="0"/>
              <w:left w:val="single" w:color="auto" w:sz="4" w:space="0"/>
              <w:bottom w:val="single" w:color="auto" w:sz="4" w:space="0"/>
              <w:right w:val="single" w:color="auto" w:sz="4" w:space="0"/>
            </w:tcBorders>
            <w:vAlign w:val="center"/>
          </w:tcPr>
          <w:p w14:paraId="25C5A428">
            <w:pPr>
              <w:pStyle w:val="146"/>
              <w:rPr>
                <w:rFonts w:hint="eastAsia" w:ascii="宋体" w:hAnsi="宋体" w:cs="宋体"/>
                <w:sz w:val="18"/>
                <w:szCs w:val="18"/>
              </w:rPr>
            </w:pPr>
            <w:r>
              <w:rPr>
                <w:rFonts w:hint="eastAsia" w:ascii="宋体" w:hAnsi="宋体" w:cs="宋体"/>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462E7FCC">
            <w:pPr>
              <w:pStyle w:val="146"/>
              <w:rPr>
                <w:rFonts w:hint="eastAsia" w:ascii="宋体" w:hAnsi="宋体" w:cs="宋体"/>
                <w:sz w:val="18"/>
                <w:szCs w:val="18"/>
              </w:rPr>
            </w:pPr>
            <w:r>
              <w:rPr>
                <w:rFonts w:hint="eastAsia" w:ascii="宋体" w:hAnsi="宋体" w:cs="宋体"/>
                <w:sz w:val="18"/>
                <w:szCs w:val="18"/>
              </w:rPr>
              <w:t>桥墩顶部</w:t>
            </w:r>
          </w:p>
        </w:tc>
      </w:tr>
      <w:tr w14:paraId="7A745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continue"/>
            <w:tcBorders>
              <w:left w:val="single" w:color="auto" w:sz="4" w:space="0"/>
              <w:bottom w:val="single" w:color="auto" w:sz="4" w:space="0"/>
              <w:right w:val="single" w:color="auto" w:sz="4" w:space="0"/>
            </w:tcBorders>
            <w:vAlign w:val="center"/>
          </w:tcPr>
          <w:p w14:paraId="1F70E312">
            <w:pPr>
              <w:widowControl/>
              <w:spacing w:beforeLines="0" w:afterLines="0" w:line="240" w:lineRule="auto"/>
              <w:jc w:val="center"/>
              <w:rPr>
                <w:rFonts w:hint="eastAsia" w:ascii="宋体" w:hAnsi="宋体" w:cs="宋体"/>
                <w:sz w:val="18"/>
                <w:szCs w:val="18"/>
              </w:rPr>
            </w:pPr>
          </w:p>
        </w:tc>
        <w:tc>
          <w:tcPr>
            <w:tcW w:w="361" w:type="pct"/>
            <w:vMerge w:val="continue"/>
            <w:tcBorders>
              <w:left w:val="single" w:color="auto" w:sz="4" w:space="0"/>
              <w:right w:val="single" w:color="auto" w:sz="4" w:space="0"/>
            </w:tcBorders>
            <w:vAlign w:val="center"/>
          </w:tcPr>
          <w:p w14:paraId="6857E825">
            <w:pPr>
              <w:widowControl/>
              <w:spacing w:beforeLines="0" w:afterLines="0" w:line="240" w:lineRule="auto"/>
              <w:jc w:val="left"/>
              <w:rPr>
                <w:rFonts w:hint="eastAsia" w:ascii="宋体" w:hAnsi="宋体" w:cs="宋体"/>
                <w:sz w:val="18"/>
                <w:szCs w:val="18"/>
              </w:rPr>
            </w:pPr>
          </w:p>
        </w:tc>
        <w:tc>
          <w:tcPr>
            <w:tcW w:w="861" w:type="pct"/>
            <w:vMerge w:val="continue"/>
            <w:tcBorders>
              <w:top w:val="single" w:color="auto" w:sz="4" w:space="0"/>
              <w:left w:val="single" w:color="auto" w:sz="4" w:space="0"/>
              <w:bottom w:val="single" w:color="auto" w:sz="4" w:space="0"/>
              <w:right w:val="single" w:color="auto" w:sz="4" w:space="0"/>
            </w:tcBorders>
            <w:vAlign w:val="center"/>
          </w:tcPr>
          <w:p w14:paraId="53AAFA15">
            <w:pPr>
              <w:widowControl/>
              <w:spacing w:beforeLines="0" w:afterLines="0" w:line="240" w:lineRule="auto"/>
              <w:jc w:val="left"/>
              <w:rPr>
                <w:rFonts w:hint="eastAsia" w:ascii="宋体" w:hAnsi="宋体" w:cs="宋体"/>
                <w:sz w:val="18"/>
                <w:szCs w:val="18"/>
              </w:rPr>
            </w:pPr>
          </w:p>
        </w:tc>
        <w:tc>
          <w:tcPr>
            <w:tcW w:w="1161" w:type="pct"/>
            <w:tcBorders>
              <w:top w:val="single" w:color="auto" w:sz="4" w:space="0"/>
              <w:left w:val="single" w:color="auto" w:sz="4" w:space="0"/>
              <w:bottom w:val="single" w:color="auto" w:sz="4" w:space="0"/>
              <w:right w:val="single" w:color="auto" w:sz="4" w:space="0"/>
            </w:tcBorders>
            <w:vAlign w:val="center"/>
          </w:tcPr>
          <w:p w14:paraId="050C683A">
            <w:pPr>
              <w:pStyle w:val="146"/>
              <w:rPr>
                <w:rFonts w:hint="eastAsia" w:ascii="宋体" w:hAnsi="宋体" w:cs="宋体"/>
                <w:sz w:val="18"/>
                <w:szCs w:val="18"/>
              </w:rPr>
            </w:pPr>
            <w:r>
              <w:rPr>
                <w:rFonts w:hint="eastAsia" w:ascii="宋体" w:hAnsi="宋体" w:cs="宋体"/>
                <w:sz w:val="18"/>
                <w:szCs w:val="18"/>
              </w:rPr>
              <w:t>桥台倾斜</w:t>
            </w:r>
          </w:p>
        </w:tc>
        <w:tc>
          <w:tcPr>
            <w:tcW w:w="562" w:type="pct"/>
            <w:tcBorders>
              <w:top w:val="single" w:color="auto" w:sz="4" w:space="0"/>
              <w:left w:val="single" w:color="auto" w:sz="4" w:space="0"/>
              <w:bottom w:val="single" w:color="auto" w:sz="4" w:space="0"/>
              <w:right w:val="single" w:color="auto" w:sz="4" w:space="0"/>
            </w:tcBorders>
            <w:vAlign w:val="center"/>
          </w:tcPr>
          <w:p w14:paraId="1E2C9865">
            <w:pPr>
              <w:pStyle w:val="146"/>
              <w:rPr>
                <w:rFonts w:hint="eastAsia" w:ascii="宋体" w:hAnsi="宋体" w:cs="宋体"/>
                <w:sz w:val="18"/>
                <w:szCs w:val="18"/>
              </w:rPr>
            </w:pPr>
            <w:r>
              <w:rPr>
                <w:rFonts w:hint="eastAsia" w:ascii="宋体" w:hAnsi="宋体" w:cs="宋体"/>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076562EA">
            <w:pPr>
              <w:pStyle w:val="146"/>
              <w:rPr>
                <w:rFonts w:hint="eastAsia" w:ascii="宋体" w:hAnsi="宋体" w:cs="宋体"/>
                <w:sz w:val="18"/>
                <w:szCs w:val="18"/>
              </w:rPr>
            </w:pPr>
            <w:r>
              <w:rPr>
                <w:rFonts w:hint="eastAsia" w:ascii="宋体" w:hAnsi="宋体" w:cs="宋体"/>
                <w:sz w:val="18"/>
                <w:szCs w:val="18"/>
              </w:rPr>
              <w:t>桥台顶部</w:t>
            </w:r>
          </w:p>
        </w:tc>
      </w:tr>
      <w:tr w14:paraId="19739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restart"/>
            <w:tcBorders>
              <w:top w:val="single" w:color="auto" w:sz="4" w:space="0"/>
              <w:left w:val="single" w:color="auto" w:sz="4" w:space="0"/>
              <w:right w:val="single" w:color="auto" w:sz="4" w:space="0"/>
            </w:tcBorders>
            <w:vAlign w:val="center"/>
          </w:tcPr>
          <w:p w14:paraId="5CAC2747">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14</w:t>
            </w:r>
          </w:p>
        </w:tc>
        <w:tc>
          <w:tcPr>
            <w:tcW w:w="361" w:type="pct"/>
            <w:vMerge w:val="continue"/>
            <w:tcBorders>
              <w:left w:val="single" w:color="auto" w:sz="4" w:space="0"/>
              <w:right w:val="single" w:color="auto" w:sz="4" w:space="0"/>
            </w:tcBorders>
            <w:vAlign w:val="center"/>
          </w:tcPr>
          <w:p w14:paraId="23AC03DE">
            <w:pPr>
              <w:widowControl/>
              <w:spacing w:beforeLines="0" w:afterLines="0" w:line="240" w:lineRule="auto"/>
              <w:jc w:val="left"/>
              <w:rPr>
                <w:rFonts w:hint="eastAsia" w:ascii="宋体" w:hAnsi="宋体" w:cs="宋体"/>
                <w:sz w:val="18"/>
                <w:szCs w:val="18"/>
              </w:rPr>
            </w:pPr>
          </w:p>
        </w:tc>
        <w:tc>
          <w:tcPr>
            <w:tcW w:w="861" w:type="pct"/>
            <w:vMerge w:val="restart"/>
            <w:tcBorders>
              <w:top w:val="single" w:color="auto" w:sz="4" w:space="0"/>
              <w:left w:val="single" w:color="auto" w:sz="4" w:space="0"/>
              <w:bottom w:val="single" w:color="auto" w:sz="4" w:space="0"/>
              <w:right w:val="single" w:color="auto" w:sz="4" w:space="0"/>
            </w:tcBorders>
            <w:vAlign w:val="center"/>
          </w:tcPr>
          <w:p w14:paraId="45AC2633">
            <w:pPr>
              <w:pStyle w:val="146"/>
              <w:rPr>
                <w:rFonts w:hint="eastAsia" w:ascii="宋体" w:hAnsi="宋体" w:cs="宋体"/>
                <w:sz w:val="18"/>
                <w:szCs w:val="18"/>
              </w:rPr>
            </w:pPr>
            <w:r>
              <w:rPr>
                <w:rFonts w:hint="eastAsia" w:ascii="宋体" w:hAnsi="宋体" w:cs="宋体"/>
                <w:sz w:val="18"/>
                <w:szCs w:val="18"/>
              </w:rPr>
              <w:t>应变</w:t>
            </w:r>
          </w:p>
        </w:tc>
        <w:tc>
          <w:tcPr>
            <w:tcW w:w="1161" w:type="pct"/>
            <w:tcBorders>
              <w:top w:val="single" w:color="auto" w:sz="4" w:space="0"/>
              <w:left w:val="single" w:color="auto" w:sz="4" w:space="0"/>
              <w:bottom w:val="single" w:color="auto" w:sz="4" w:space="0"/>
              <w:right w:val="single" w:color="auto" w:sz="4" w:space="0"/>
            </w:tcBorders>
            <w:vAlign w:val="center"/>
          </w:tcPr>
          <w:p w14:paraId="4CA82F82">
            <w:pPr>
              <w:pStyle w:val="146"/>
              <w:rPr>
                <w:rFonts w:hint="eastAsia" w:ascii="宋体" w:hAnsi="宋体" w:cs="宋体"/>
                <w:sz w:val="18"/>
                <w:szCs w:val="18"/>
              </w:rPr>
            </w:pPr>
            <w:r>
              <w:rPr>
                <w:rFonts w:hint="eastAsia" w:ascii="宋体" w:hAnsi="宋体" w:cs="宋体"/>
                <w:bCs/>
                <w:sz w:val="18"/>
                <w:szCs w:val="18"/>
              </w:rPr>
              <w:t>主梁关键截面应变</w:t>
            </w:r>
          </w:p>
        </w:tc>
        <w:tc>
          <w:tcPr>
            <w:tcW w:w="562" w:type="pct"/>
            <w:tcBorders>
              <w:top w:val="single" w:color="auto" w:sz="4" w:space="0"/>
              <w:left w:val="single" w:color="auto" w:sz="4" w:space="0"/>
              <w:bottom w:val="single" w:color="auto" w:sz="4" w:space="0"/>
              <w:right w:val="single" w:color="auto" w:sz="4" w:space="0"/>
            </w:tcBorders>
            <w:vAlign w:val="center"/>
          </w:tcPr>
          <w:p w14:paraId="6F61B861">
            <w:pPr>
              <w:pStyle w:val="146"/>
              <w:rPr>
                <w:rFonts w:hint="eastAsia" w:ascii="宋体" w:hAnsi="宋体" w:cs="宋体"/>
                <w:sz w:val="18"/>
                <w:szCs w:val="18"/>
              </w:rPr>
            </w:pPr>
            <w:r>
              <w:rPr>
                <w:rFonts w:hint="eastAsia" w:ascii="宋体" w:hAnsi="宋体" w:cs="宋体"/>
                <w:bCs/>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044C65AE">
            <w:pPr>
              <w:pStyle w:val="146"/>
              <w:rPr>
                <w:rFonts w:hint="eastAsia" w:ascii="宋体" w:hAnsi="宋体" w:cs="宋体"/>
                <w:sz w:val="18"/>
                <w:szCs w:val="18"/>
              </w:rPr>
            </w:pPr>
            <w:r>
              <w:rPr>
                <w:rFonts w:hint="eastAsia" w:ascii="宋体" w:hAnsi="宋体" w:cs="宋体"/>
                <w:sz w:val="18"/>
                <w:szCs w:val="18"/>
              </w:rPr>
              <w:t>跨中截面，</w:t>
            </w:r>
            <w:r>
              <w:rPr>
                <w:rFonts w:hint="eastAsia" w:cs="宋体"/>
                <w:bCs/>
                <w:sz w:val="18"/>
                <w:szCs w:val="18"/>
              </w:rPr>
              <w:t>宜布</w:t>
            </w:r>
            <w:r>
              <w:rPr>
                <w:rFonts w:hint="eastAsia" w:cs="宋体"/>
                <w:bCs/>
                <w:sz w:val="18"/>
                <w:szCs w:val="18"/>
                <w:lang w:eastAsia="zh-CN"/>
              </w:rPr>
              <w:t>置于</w:t>
            </w:r>
            <w:r>
              <w:rPr>
                <w:rFonts w:hint="eastAsia" w:cs="宋体"/>
                <w:bCs/>
                <w:sz w:val="18"/>
                <w:szCs w:val="18"/>
              </w:rPr>
              <w:t>车道下方，每个断面</w:t>
            </w:r>
            <w:r>
              <w:rPr>
                <w:rFonts w:hint="eastAsia" w:cs="宋体"/>
                <w:bCs/>
                <w:sz w:val="18"/>
                <w:szCs w:val="18"/>
                <w:lang w:eastAsia="zh-CN"/>
              </w:rPr>
              <w:t>不低于</w:t>
            </w:r>
            <w:r>
              <w:rPr>
                <w:rFonts w:hint="eastAsia" w:cs="宋体"/>
                <w:bCs/>
                <w:sz w:val="18"/>
                <w:szCs w:val="18"/>
              </w:rPr>
              <w:t>2处。</w:t>
            </w:r>
          </w:p>
        </w:tc>
      </w:tr>
      <w:tr w14:paraId="39B22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continue"/>
            <w:tcBorders>
              <w:left w:val="single" w:color="auto" w:sz="4" w:space="0"/>
              <w:bottom w:val="single" w:color="auto" w:sz="4" w:space="0"/>
              <w:right w:val="single" w:color="auto" w:sz="4" w:space="0"/>
            </w:tcBorders>
            <w:vAlign w:val="center"/>
          </w:tcPr>
          <w:p w14:paraId="0FD6BA1D">
            <w:pPr>
              <w:widowControl/>
              <w:spacing w:beforeLines="0" w:afterLines="0" w:line="240" w:lineRule="auto"/>
              <w:jc w:val="center"/>
              <w:rPr>
                <w:rFonts w:hint="eastAsia" w:ascii="宋体" w:hAnsi="宋体" w:cs="宋体"/>
                <w:sz w:val="18"/>
                <w:szCs w:val="18"/>
              </w:rPr>
            </w:pPr>
          </w:p>
        </w:tc>
        <w:tc>
          <w:tcPr>
            <w:tcW w:w="361" w:type="pct"/>
            <w:vMerge w:val="continue"/>
            <w:tcBorders>
              <w:left w:val="single" w:color="auto" w:sz="4" w:space="0"/>
              <w:right w:val="single" w:color="auto" w:sz="4" w:space="0"/>
            </w:tcBorders>
            <w:vAlign w:val="center"/>
          </w:tcPr>
          <w:p w14:paraId="3EA8F552">
            <w:pPr>
              <w:widowControl/>
              <w:spacing w:beforeLines="0" w:afterLines="0" w:line="240" w:lineRule="auto"/>
              <w:jc w:val="left"/>
              <w:rPr>
                <w:rFonts w:hint="eastAsia" w:ascii="宋体" w:hAnsi="宋体" w:cs="宋体"/>
                <w:sz w:val="18"/>
                <w:szCs w:val="18"/>
              </w:rPr>
            </w:pPr>
          </w:p>
        </w:tc>
        <w:tc>
          <w:tcPr>
            <w:tcW w:w="861" w:type="pct"/>
            <w:vMerge w:val="continue"/>
            <w:tcBorders>
              <w:top w:val="single" w:color="auto" w:sz="4" w:space="0"/>
              <w:left w:val="single" w:color="auto" w:sz="4" w:space="0"/>
              <w:bottom w:val="single" w:color="auto" w:sz="4" w:space="0"/>
              <w:right w:val="single" w:color="auto" w:sz="4" w:space="0"/>
            </w:tcBorders>
            <w:vAlign w:val="center"/>
          </w:tcPr>
          <w:p w14:paraId="43012D4A">
            <w:pPr>
              <w:widowControl/>
              <w:spacing w:beforeLines="0" w:afterLines="0" w:line="240" w:lineRule="auto"/>
              <w:jc w:val="left"/>
              <w:rPr>
                <w:rFonts w:hint="eastAsia" w:ascii="宋体" w:hAnsi="宋体" w:cs="宋体"/>
                <w:sz w:val="18"/>
                <w:szCs w:val="18"/>
              </w:rPr>
            </w:pPr>
          </w:p>
        </w:tc>
        <w:tc>
          <w:tcPr>
            <w:tcW w:w="1161" w:type="pct"/>
            <w:tcBorders>
              <w:top w:val="single" w:color="auto" w:sz="4" w:space="0"/>
              <w:left w:val="single" w:color="auto" w:sz="4" w:space="0"/>
              <w:bottom w:val="single" w:color="auto" w:sz="4" w:space="0"/>
              <w:right w:val="single" w:color="auto" w:sz="4" w:space="0"/>
            </w:tcBorders>
            <w:vAlign w:val="center"/>
          </w:tcPr>
          <w:p w14:paraId="4E000038">
            <w:pPr>
              <w:pStyle w:val="146"/>
              <w:rPr>
                <w:rFonts w:hint="eastAsia" w:ascii="宋体" w:hAnsi="宋体" w:cs="宋体"/>
                <w:bCs/>
                <w:sz w:val="18"/>
                <w:szCs w:val="18"/>
              </w:rPr>
            </w:pPr>
            <w:r>
              <w:rPr>
                <w:rFonts w:hint="eastAsia" w:ascii="宋体" w:hAnsi="宋体" w:cs="宋体"/>
                <w:bCs/>
                <w:sz w:val="18"/>
                <w:szCs w:val="18"/>
              </w:rPr>
              <w:t>主拱关键截面应变</w:t>
            </w:r>
          </w:p>
        </w:tc>
        <w:tc>
          <w:tcPr>
            <w:tcW w:w="562" w:type="pct"/>
            <w:tcBorders>
              <w:top w:val="single" w:color="auto" w:sz="4" w:space="0"/>
              <w:left w:val="single" w:color="auto" w:sz="4" w:space="0"/>
              <w:bottom w:val="single" w:color="auto" w:sz="4" w:space="0"/>
              <w:right w:val="single" w:color="auto" w:sz="4" w:space="0"/>
            </w:tcBorders>
            <w:vAlign w:val="center"/>
          </w:tcPr>
          <w:p w14:paraId="487F09D8">
            <w:pPr>
              <w:pStyle w:val="146"/>
              <w:rPr>
                <w:rFonts w:hint="eastAsia" w:ascii="宋体" w:hAnsi="宋体" w:cs="宋体"/>
                <w:bCs/>
                <w:sz w:val="18"/>
                <w:szCs w:val="18"/>
              </w:rPr>
            </w:pPr>
            <w:r>
              <w:rPr>
                <w:rFonts w:hint="eastAsia" w:ascii="宋体" w:hAnsi="宋体" w:cs="宋体"/>
                <w:bCs/>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26B27D35">
            <w:pPr>
              <w:pStyle w:val="146"/>
              <w:rPr>
                <w:rFonts w:hint="eastAsia" w:ascii="宋体" w:hAnsi="宋体" w:cs="宋体"/>
                <w:sz w:val="18"/>
                <w:szCs w:val="18"/>
              </w:rPr>
            </w:pPr>
            <w:r>
              <w:rPr>
                <w:rFonts w:hint="eastAsia" w:ascii="宋体" w:hAnsi="宋体" w:cs="宋体"/>
                <w:sz w:val="18"/>
                <w:szCs w:val="18"/>
              </w:rPr>
              <w:t>主拱圈拱脚截面、拱顶截面，</w:t>
            </w:r>
            <w:r>
              <w:rPr>
                <w:rFonts w:hint="eastAsia" w:cs="宋体"/>
                <w:bCs/>
                <w:sz w:val="18"/>
                <w:szCs w:val="18"/>
              </w:rPr>
              <w:t>每个断面</w:t>
            </w:r>
            <w:r>
              <w:rPr>
                <w:rFonts w:hint="eastAsia" w:cs="宋体"/>
                <w:bCs/>
                <w:sz w:val="18"/>
                <w:szCs w:val="18"/>
                <w:lang w:eastAsia="zh-CN"/>
              </w:rPr>
              <w:t>不低于</w:t>
            </w:r>
            <w:r>
              <w:rPr>
                <w:rFonts w:hint="eastAsia" w:cs="宋体"/>
                <w:bCs/>
                <w:sz w:val="18"/>
                <w:szCs w:val="18"/>
              </w:rPr>
              <w:t>2处</w:t>
            </w:r>
          </w:p>
        </w:tc>
      </w:tr>
      <w:tr w14:paraId="13F4D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restart"/>
            <w:tcBorders>
              <w:top w:val="single" w:color="auto" w:sz="4" w:space="0"/>
              <w:left w:val="single" w:color="auto" w:sz="4" w:space="0"/>
              <w:right w:val="single" w:color="auto" w:sz="4" w:space="0"/>
            </w:tcBorders>
            <w:vAlign w:val="center"/>
          </w:tcPr>
          <w:p w14:paraId="67F9FCB8">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15</w:t>
            </w:r>
          </w:p>
        </w:tc>
        <w:tc>
          <w:tcPr>
            <w:tcW w:w="361" w:type="pct"/>
            <w:vMerge w:val="continue"/>
            <w:tcBorders>
              <w:left w:val="single" w:color="auto" w:sz="4" w:space="0"/>
              <w:right w:val="single" w:color="auto" w:sz="4" w:space="0"/>
            </w:tcBorders>
            <w:vAlign w:val="center"/>
          </w:tcPr>
          <w:p w14:paraId="6BF6926F">
            <w:pPr>
              <w:widowControl/>
              <w:spacing w:beforeLines="0" w:afterLines="0" w:line="240" w:lineRule="auto"/>
              <w:jc w:val="left"/>
              <w:rPr>
                <w:rFonts w:hint="eastAsia" w:ascii="宋体" w:hAnsi="宋体" w:cs="宋体"/>
                <w:sz w:val="18"/>
                <w:szCs w:val="18"/>
              </w:rPr>
            </w:pPr>
          </w:p>
        </w:tc>
        <w:tc>
          <w:tcPr>
            <w:tcW w:w="861" w:type="pct"/>
            <w:vMerge w:val="restart"/>
            <w:tcBorders>
              <w:top w:val="single" w:color="auto" w:sz="4" w:space="0"/>
              <w:left w:val="single" w:color="auto" w:sz="4" w:space="0"/>
              <w:bottom w:val="single" w:color="auto" w:sz="4" w:space="0"/>
              <w:right w:val="single" w:color="auto" w:sz="4" w:space="0"/>
            </w:tcBorders>
            <w:vAlign w:val="center"/>
          </w:tcPr>
          <w:p w14:paraId="5E681F43">
            <w:pPr>
              <w:pStyle w:val="146"/>
              <w:rPr>
                <w:rFonts w:hint="eastAsia" w:ascii="宋体" w:hAnsi="宋体" w:cs="宋体"/>
                <w:sz w:val="18"/>
                <w:szCs w:val="18"/>
              </w:rPr>
            </w:pPr>
            <w:r>
              <w:rPr>
                <w:rFonts w:hint="eastAsia" w:ascii="宋体" w:hAnsi="宋体" w:cs="宋体"/>
                <w:sz w:val="18"/>
                <w:szCs w:val="18"/>
              </w:rPr>
              <w:t>索力</w:t>
            </w:r>
          </w:p>
        </w:tc>
        <w:tc>
          <w:tcPr>
            <w:tcW w:w="1161" w:type="pct"/>
            <w:tcBorders>
              <w:top w:val="single" w:color="auto" w:sz="4" w:space="0"/>
              <w:left w:val="single" w:color="auto" w:sz="4" w:space="0"/>
              <w:bottom w:val="single" w:color="auto" w:sz="4" w:space="0"/>
              <w:right w:val="single" w:color="auto" w:sz="4" w:space="0"/>
            </w:tcBorders>
            <w:vAlign w:val="center"/>
          </w:tcPr>
          <w:p w14:paraId="0CBCE34B">
            <w:pPr>
              <w:pStyle w:val="146"/>
              <w:rPr>
                <w:rFonts w:hint="eastAsia" w:ascii="宋体" w:hAnsi="宋体" w:cs="宋体"/>
                <w:bCs/>
                <w:sz w:val="18"/>
                <w:szCs w:val="18"/>
              </w:rPr>
            </w:pPr>
            <w:r>
              <w:rPr>
                <w:rFonts w:hint="eastAsia" w:ascii="宋体" w:hAnsi="宋体" w:cs="宋体"/>
                <w:bCs/>
                <w:sz w:val="18"/>
                <w:szCs w:val="18"/>
              </w:rPr>
              <w:t>吊杆（索）力</w:t>
            </w:r>
          </w:p>
        </w:tc>
        <w:tc>
          <w:tcPr>
            <w:tcW w:w="562" w:type="pct"/>
            <w:tcBorders>
              <w:top w:val="single" w:color="auto" w:sz="4" w:space="0"/>
              <w:left w:val="single" w:color="auto" w:sz="4" w:space="0"/>
              <w:bottom w:val="single" w:color="auto" w:sz="4" w:space="0"/>
              <w:right w:val="single" w:color="auto" w:sz="4" w:space="0"/>
            </w:tcBorders>
            <w:vAlign w:val="center"/>
          </w:tcPr>
          <w:p w14:paraId="1905B001">
            <w:pPr>
              <w:pStyle w:val="146"/>
              <w:rPr>
                <w:rFonts w:hint="eastAsia" w:ascii="宋体" w:hAnsi="宋体" w:cs="宋体"/>
                <w:bCs/>
                <w:sz w:val="18"/>
                <w:szCs w:val="18"/>
              </w:rPr>
            </w:pPr>
            <w:r>
              <w:rPr>
                <w:rFonts w:hint="eastAsia" w:ascii="宋体" w:hAnsi="宋体" w:cs="宋体"/>
                <w:bCs/>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54F914EA">
            <w:pPr>
              <w:pStyle w:val="146"/>
              <w:rPr>
                <w:rFonts w:hint="eastAsia" w:ascii="宋体" w:hAnsi="宋体" w:cs="宋体"/>
                <w:sz w:val="18"/>
                <w:szCs w:val="18"/>
              </w:rPr>
            </w:pPr>
            <w:r>
              <w:rPr>
                <w:rFonts w:hint="eastAsia" w:ascii="宋体" w:hAnsi="宋体" w:cs="宋体"/>
                <w:sz w:val="18"/>
                <w:szCs w:val="18"/>
              </w:rPr>
              <w:t>关键吊杆</w:t>
            </w:r>
          </w:p>
        </w:tc>
      </w:tr>
      <w:tr w14:paraId="0B331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continue"/>
            <w:tcBorders>
              <w:left w:val="single" w:color="auto" w:sz="4" w:space="0"/>
              <w:bottom w:val="single" w:color="auto" w:sz="4" w:space="0"/>
              <w:right w:val="single" w:color="auto" w:sz="4" w:space="0"/>
            </w:tcBorders>
            <w:vAlign w:val="center"/>
          </w:tcPr>
          <w:p w14:paraId="03836434">
            <w:pPr>
              <w:widowControl/>
              <w:spacing w:beforeLines="0" w:afterLines="0" w:line="240" w:lineRule="auto"/>
              <w:jc w:val="center"/>
              <w:rPr>
                <w:rFonts w:hint="eastAsia" w:ascii="宋体" w:hAnsi="宋体" w:cs="宋体"/>
                <w:sz w:val="18"/>
                <w:szCs w:val="18"/>
              </w:rPr>
            </w:pPr>
          </w:p>
        </w:tc>
        <w:tc>
          <w:tcPr>
            <w:tcW w:w="361" w:type="pct"/>
            <w:vMerge w:val="continue"/>
            <w:tcBorders>
              <w:left w:val="single" w:color="auto" w:sz="4" w:space="0"/>
              <w:right w:val="single" w:color="auto" w:sz="4" w:space="0"/>
            </w:tcBorders>
            <w:vAlign w:val="center"/>
          </w:tcPr>
          <w:p w14:paraId="6870F115">
            <w:pPr>
              <w:widowControl/>
              <w:spacing w:beforeLines="0" w:afterLines="0" w:line="240" w:lineRule="auto"/>
              <w:jc w:val="left"/>
              <w:rPr>
                <w:rFonts w:hint="eastAsia" w:ascii="宋体" w:hAnsi="宋体" w:cs="宋体"/>
                <w:sz w:val="18"/>
                <w:szCs w:val="18"/>
              </w:rPr>
            </w:pPr>
          </w:p>
        </w:tc>
        <w:tc>
          <w:tcPr>
            <w:tcW w:w="861" w:type="pct"/>
            <w:vMerge w:val="continue"/>
            <w:tcBorders>
              <w:top w:val="single" w:color="auto" w:sz="4" w:space="0"/>
              <w:left w:val="single" w:color="auto" w:sz="4" w:space="0"/>
              <w:bottom w:val="single" w:color="auto" w:sz="4" w:space="0"/>
              <w:right w:val="single" w:color="auto" w:sz="4" w:space="0"/>
            </w:tcBorders>
            <w:vAlign w:val="center"/>
          </w:tcPr>
          <w:p w14:paraId="1A1B9C66">
            <w:pPr>
              <w:widowControl/>
              <w:spacing w:beforeLines="0" w:afterLines="0" w:line="240" w:lineRule="auto"/>
              <w:jc w:val="left"/>
              <w:rPr>
                <w:rFonts w:hint="eastAsia" w:ascii="宋体" w:hAnsi="宋体" w:cs="宋体"/>
                <w:sz w:val="18"/>
                <w:szCs w:val="18"/>
              </w:rPr>
            </w:pPr>
          </w:p>
        </w:tc>
        <w:tc>
          <w:tcPr>
            <w:tcW w:w="1161" w:type="pct"/>
            <w:tcBorders>
              <w:top w:val="single" w:color="auto" w:sz="4" w:space="0"/>
              <w:left w:val="single" w:color="auto" w:sz="4" w:space="0"/>
              <w:bottom w:val="single" w:color="auto" w:sz="4" w:space="0"/>
              <w:right w:val="single" w:color="auto" w:sz="4" w:space="0"/>
            </w:tcBorders>
            <w:vAlign w:val="center"/>
          </w:tcPr>
          <w:p w14:paraId="55002BAE">
            <w:pPr>
              <w:pStyle w:val="146"/>
              <w:rPr>
                <w:rFonts w:hint="eastAsia" w:ascii="宋体" w:hAnsi="宋体" w:cs="宋体"/>
                <w:bCs/>
                <w:sz w:val="18"/>
                <w:szCs w:val="18"/>
              </w:rPr>
            </w:pPr>
            <w:r>
              <w:rPr>
                <w:rFonts w:hint="eastAsia" w:ascii="宋体" w:hAnsi="宋体" w:cs="宋体"/>
                <w:bCs/>
                <w:sz w:val="18"/>
                <w:szCs w:val="18"/>
              </w:rPr>
              <w:t>系杆力</w:t>
            </w:r>
          </w:p>
        </w:tc>
        <w:tc>
          <w:tcPr>
            <w:tcW w:w="562" w:type="pct"/>
            <w:tcBorders>
              <w:top w:val="single" w:color="auto" w:sz="4" w:space="0"/>
              <w:left w:val="single" w:color="auto" w:sz="4" w:space="0"/>
              <w:bottom w:val="single" w:color="auto" w:sz="4" w:space="0"/>
              <w:right w:val="single" w:color="auto" w:sz="4" w:space="0"/>
            </w:tcBorders>
            <w:vAlign w:val="center"/>
          </w:tcPr>
          <w:p w14:paraId="55D78CC6">
            <w:pPr>
              <w:pStyle w:val="146"/>
              <w:rPr>
                <w:rFonts w:hint="eastAsia" w:ascii="宋体" w:hAnsi="宋体" w:cs="宋体"/>
                <w:bCs/>
                <w:sz w:val="18"/>
                <w:szCs w:val="18"/>
              </w:rPr>
            </w:pPr>
            <w:r>
              <w:rPr>
                <w:rFonts w:hint="eastAsia" w:ascii="宋体" w:hAnsi="宋体" w:cs="宋体"/>
                <w:bCs/>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04606CDA">
            <w:pPr>
              <w:pStyle w:val="146"/>
              <w:rPr>
                <w:rFonts w:hint="eastAsia" w:ascii="宋体" w:hAnsi="宋体" w:cs="宋体"/>
                <w:sz w:val="18"/>
                <w:szCs w:val="18"/>
              </w:rPr>
            </w:pPr>
            <w:r>
              <w:rPr>
                <w:rFonts w:hint="eastAsia" w:ascii="宋体" w:hAnsi="宋体" w:cs="宋体"/>
                <w:sz w:val="18"/>
                <w:szCs w:val="18"/>
              </w:rPr>
              <w:t>关键吊杆</w:t>
            </w:r>
          </w:p>
        </w:tc>
      </w:tr>
      <w:tr w14:paraId="4B2B7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tcBorders>
              <w:top w:val="single" w:color="auto" w:sz="4" w:space="0"/>
              <w:left w:val="single" w:color="auto" w:sz="4" w:space="0"/>
              <w:bottom w:val="single" w:color="auto" w:sz="4" w:space="0"/>
              <w:right w:val="single" w:color="auto" w:sz="4" w:space="0"/>
            </w:tcBorders>
            <w:vAlign w:val="center"/>
          </w:tcPr>
          <w:p w14:paraId="2AE19CA6">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16</w:t>
            </w:r>
          </w:p>
        </w:tc>
        <w:tc>
          <w:tcPr>
            <w:tcW w:w="361" w:type="pct"/>
            <w:vMerge w:val="continue"/>
            <w:tcBorders>
              <w:left w:val="single" w:color="auto" w:sz="4" w:space="0"/>
              <w:right w:val="single" w:color="auto" w:sz="4" w:space="0"/>
            </w:tcBorders>
            <w:vAlign w:val="center"/>
          </w:tcPr>
          <w:p w14:paraId="6DB053DB">
            <w:pPr>
              <w:widowControl/>
              <w:spacing w:beforeLines="0" w:afterLines="0" w:line="240" w:lineRule="auto"/>
              <w:jc w:val="left"/>
              <w:rPr>
                <w:rFonts w:hint="eastAsia" w:ascii="宋体" w:hAnsi="宋体" w:cs="宋体"/>
                <w:sz w:val="18"/>
                <w:szCs w:val="18"/>
              </w:rPr>
            </w:pPr>
          </w:p>
        </w:tc>
        <w:tc>
          <w:tcPr>
            <w:tcW w:w="861" w:type="pct"/>
            <w:tcBorders>
              <w:top w:val="single" w:color="auto" w:sz="4" w:space="0"/>
              <w:left w:val="single" w:color="auto" w:sz="4" w:space="0"/>
              <w:bottom w:val="single" w:color="auto" w:sz="4" w:space="0"/>
              <w:right w:val="single" w:color="auto" w:sz="4" w:space="0"/>
            </w:tcBorders>
            <w:vAlign w:val="center"/>
          </w:tcPr>
          <w:p w14:paraId="00BB3E69">
            <w:pPr>
              <w:pStyle w:val="146"/>
              <w:rPr>
                <w:rFonts w:hint="eastAsia" w:ascii="宋体" w:hAnsi="宋体" w:cs="宋体"/>
                <w:sz w:val="18"/>
                <w:szCs w:val="18"/>
              </w:rPr>
            </w:pPr>
            <w:r>
              <w:rPr>
                <w:rFonts w:hint="eastAsia" w:ascii="宋体" w:hAnsi="宋体" w:cs="宋体"/>
                <w:sz w:val="18"/>
                <w:szCs w:val="18"/>
              </w:rPr>
              <w:t>支座反力</w:t>
            </w:r>
          </w:p>
        </w:tc>
        <w:tc>
          <w:tcPr>
            <w:tcW w:w="1161" w:type="pct"/>
            <w:tcBorders>
              <w:top w:val="single" w:color="auto" w:sz="4" w:space="0"/>
              <w:left w:val="single" w:color="auto" w:sz="4" w:space="0"/>
              <w:bottom w:val="single" w:color="auto" w:sz="4" w:space="0"/>
              <w:right w:val="single" w:color="auto" w:sz="4" w:space="0"/>
            </w:tcBorders>
            <w:vAlign w:val="center"/>
          </w:tcPr>
          <w:p w14:paraId="61AA34F9">
            <w:pPr>
              <w:pStyle w:val="146"/>
              <w:rPr>
                <w:rFonts w:hint="eastAsia" w:ascii="宋体" w:hAnsi="宋体" w:cs="宋体"/>
                <w:sz w:val="18"/>
                <w:szCs w:val="18"/>
              </w:rPr>
            </w:pPr>
            <w:r>
              <w:rPr>
                <w:rFonts w:hint="eastAsia" w:ascii="宋体" w:hAnsi="宋体" w:cs="宋体"/>
                <w:sz w:val="18"/>
                <w:szCs w:val="18"/>
              </w:rPr>
              <w:t>支座反力</w:t>
            </w:r>
          </w:p>
        </w:tc>
        <w:tc>
          <w:tcPr>
            <w:tcW w:w="562" w:type="pct"/>
            <w:tcBorders>
              <w:top w:val="single" w:color="auto" w:sz="4" w:space="0"/>
              <w:left w:val="single" w:color="auto" w:sz="4" w:space="0"/>
              <w:bottom w:val="single" w:color="auto" w:sz="4" w:space="0"/>
              <w:right w:val="single" w:color="auto" w:sz="4" w:space="0"/>
            </w:tcBorders>
            <w:vAlign w:val="center"/>
          </w:tcPr>
          <w:p w14:paraId="133A2008">
            <w:pPr>
              <w:pStyle w:val="146"/>
              <w:rPr>
                <w:rFonts w:hint="eastAsia" w:ascii="宋体" w:hAnsi="宋体" w:cs="宋体"/>
                <w:sz w:val="18"/>
                <w:szCs w:val="18"/>
              </w:rPr>
            </w:pPr>
            <w:r>
              <w:rPr>
                <w:rFonts w:hint="eastAsia" w:ascii="宋体" w:hAnsi="宋体" w:cs="宋体"/>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42BCDD44">
            <w:pPr>
              <w:pStyle w:val="146"/>
              <w:rPr>
                <w:rFonts w:hint="eastAsia" w:ascii="宋体" w:hAnsi="宋体" w:cs="宋体"/>
                <w:sz w:val="18"/>
                <w:szCs w:val="18"/>
              </w:rPr>
            </w:pPr>
            <w:r>
              <w:rPr>
                <w:rFonts w:hint="eastAsia" w:ascii="宋体" w:hAnsi="宋体" w:cs="宋体"/>
                <w:sz w:val="18"/>
                <w:szCs w:val="18"/>
              </w:rPr>
              <w:t>易脱空支座、受拉支座</w:t>
            </w:r>
          </w:p>
        </w:tc>
      </w:tr>
      <w:tr w14:paraId="384BE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restart"/>
            <w:tcBorders>
              <w:top w:val="single" w:color="auto" w:sz="4" w:space="0"/>
              <w:left w:val="single" w:color="auto" w:sz="4" w:space="0"/>
              <w:right w:val="single" w:color="auto" w:sz="4" w:space="0"/>
            </w:tcBorders>
            <w:vAlign w:val="center"/>
          </w:tcPr>
          <w:p w14:paraId="19339FCF">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17</w:t>
            </w:r>
          </w:p>
        </w:tc>
        <w:tc>
          <w:tcPr>
            <w:tcW w:w="361" w:type="pct"/>
            <w:vMerge w:val="continue"/>
            <w:tcBorders>
              <w:left w:val="single" w:color="auto" w:sz="4" w:space="0"/>
              <w:right w:val="single" w:color="auto" w:sz="4" w:space="0"/>
            </w:tcBorders>
            <w:vAlign w:val="center"/>
          </w:tcPr>
          <w:p w14:paraId="2AA264B5">
            <w:pPr>
              <w:widowControl/>
              <w:spacing w:beforeLines="0" w:afterLines="0" w:line="240" w:lineRule="auto"/>
              <w:jc w:val="left"/>
              <w:rPr>
                <w:rFonts w:hint="eastAsia" w:ascii="宋体" w:hAnsi="宋体" w:cs="宋体"/>
                <w:sz w:val="18"/>
                <w:szCs w:val="18"/>
              </w:rPr>
            </w:pPr>
          </w:p>
        </w:tc>
        <w:tc>
          <w:tcPr>
            <w:tcW w:w="861" w:type="pct"/>
            <w:vMerge w:val="restart"/>
            <w:tcBorders>
              <w:top w:val="single" w:color="auto" w:sz="4" w:space="0"/>
              <w:left w:val="single" w:color="auto" w:sz="4" w:space="0"/>
              <w:right w:val="single" w:color="auto" w:sz="4" w:space="0"/>
            </w:tcBorders>
            <w:vAlign w:val="center"/>
          </w:tcPr>
          <w:p w14:paraId="6A9DCC9F">
            <w:pPr>
              <w:pStyle w:val="146"/>
              <w:rPr>
                <w:rFonts w:hint="eastAsia" w:ascii="宋体" w:hAnsi="宋体" w:cs="宋体"/>
                <w:sz w:val="18"/>
                <w:szCs w:val="18"/>
              </w:rPr>
            </w:pPr>
            <w:r>
              <w:rPr>
                <w:rFonts w:hint="eastAsia" w:ascii="宋体" w:hAnsi="宋体" w:cs="宋体"/>
                <w:sz w:val="18"/>
                <w:szCs w:val="18"/>
              </w:rPr>
              <w:t>振动</w:t>
            </w:r>
          </w:p>
        </w:tc>
        <w:tc>
          <w:tcPr>
            <w:tcW w:w="1161" w:type="pct"/>
            <w:tcBorders>
              <w:top w:val="single" w:color="auto" w:sz="4" w:space="0"/>
              <w:left w:val="single" w:color="auto" w:sz="4" w:space="0"/>
              <w:bottom w:val="single" w:color="auto" w:sz="4" w:space="0"/>
              <w:right w:val="single" w:color="auto" w:sz="4" w:space="0"/>
            </w:tcBorders>
            <w:vAlign w:val="center"/>
          </w:tcPr>
          <w:p w14:paraId="4F4A4D40">
            <w:pPr>
              <w:pStyle w:val="146"/>
              <w:rPr>
                <w:rFonts w:hint="eastAsia" w:ascii="宋体" w:hAnsi="宋体" w:cs="宋体"/>
                <w:sz w:val="18"/>
                <w:szCs w:val="18"/>
              </w:rPr>
            </w:pPr>
            <w:r>
              <w:rPr>
                <w:rFonts w:hint="eastAsia" w:ascii="宋体" w:hAnsi="宋体" w:cs="宋体"/>
                <w:bCs/>
                <w:sz w:val="18"/>
                <w:szCs w:val="18"/>
              </w:rPr>
              <w:t>竖向振动加速度</w:t>
            </w:r>
          </w:p>
        </w:tc>
        <w:tc>
          <w:tcPr>
            <w:tcW w:w="562" w:type="pct"/>
            <w:tcBorders>
              <w:top w:val="single" w:color="auto" w:sz="4" w:space="0"/>
              <w:left w:val="single" w:color="auto" w:sz="4" w:space="0"/>
              <w:bottom w:val="single" w:color="auto" w:sz="4" w:space="0"/>
              <w:right w:val="single" w:color="auto" w:sz="4" w:space="0"/>
            </w:tcBorders>
            <w:vAlign w:val="center"/>
          </w:tcPr>
          <w:p w14:paraId="45A4D7AF">
            <w:pPr>
              <w:pStyle w:val="146"/>
              <w:rPr>
                <w:rFonts w:hint="eastAsia" w:ascii="宋体" w:hAnsi="宋体" w:cs="宋体"/>
                <w:sz w:val="18"/>
                <w:szCs w:val="18"/>
              </w:rPr>
            </w:pPr>
            <w:r>
              <w:rPr>
                <w:rFonts w:hint="eastAsia" w:ascii="宋体" w:hAnsi="宋体" w:cs="宋体"/>
                <w:bCs/>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25BB7377">
            <w:pPr>
              <w:pStyle w:val="146"/>
              <w:rPr>
                <w:rFonts w:hint="eastAsia" w:ascii="宋体" w:hAnsi="宋体" w:cs="宋体"/>
                <w:sz w:val="18"/>
                <w:szCs w:val="18"/>
              </w:rPr>
            </w:pPr>
            <w:r>
              <w:rPr>
                <w:rFonts w:hint="eastAsia" w:ascii="宋体" w:hAnsi="宋体" w:cs="宋体"/>
                <w:sz w:val="18"/>
                <w:szCs w:val="18"/>
              </w:rPr>
              <w:t>主拱圈拱顶截面、主梁跨中截面。</w:t>
            </w:r>
            <w:r>
              <w:rPr>
                <w:rFonts w:hint="eastAsia" w:cs="宋体"/>
                <w:bCs/>
                <w:sz w:val="18"/>
                <w:szCs w:val="18"/>
              </w:rPr>
              <w:t>每个断面</w:t>
            </w:r>
            <w:r>
              <w:rPr>
                <w:rFonts w:hint="eastAsia" w:cs="宋体"/>
                <w:bCs/>
                <w:sz w:val="18"/>
                <w:szCs w:val="18"/>
                <w:lang w:eastAsia="zh-CN"/>
              </w:rPr>
              <w:t>不低于</w:t>
            </w:r>
            <w:r>
              <w:rPr>
                <w:rFonts w:hint="eastAsia" w:cs="宋体"/>
                <w:bCs/>
                <w:sz w:val="18"/>
                <w:szCs w:val="18"/>
              </w:rPr>
              <w:t>2处。</w:t>
            </w:r>
          </w:p>
        </w:tc>
      </w:tr>
      <w:tr w14:paraId="6A08D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74" w:type="pct"/>
            <w:vMerge w:val="continue"/>
            <w:tcBorders>
              <w:left w:val="single" w:color="auto" w:sz="4" w:space="0"/>
              <w:right w:val="single" w:color="auto" w:sz="4" w:space="0"/>
            </w:tcBorders>
            <w:vAlign w:val="center"/>
          </w:tcPr>
          <w:p w14:paraId="383327AF">
            <w:pPr>
              <w:widowControl/>
              <w:spacing w:beforeLines="0" w:afterLines="0" w:line="240" w:lineRule="auto"/>
              <w:jc w:val="center"/>
              <w:rPr>
                <w:rFonts w:hint="eastAsia" w:ascii="宋体" w:hAnsi="宋体" w:cs="宋体"/>
                <w:sz w:val="18"/>
                <w:szCs w:val="18"/>
              </w:rPr>
            </w:pPr>
          </w:p>
        </w:tc>
        <w:tc>
          <w:tcPr>
            <w:tcW w:w="361" w:type="pct"/>
            <w:vMerge w:val="continue"/>
            <w:tcBorders>
              <w:left w:val="single" w:color="auto" w:sz="4" w:space="0"/>
              <w:bottom w:val="single" w:color="auto" w:sz="4" w:space="0"/>
              <w:right w:val="single" w:color="auto" w:sz="4" w:space="0"/>
            </w:tcBorders>
            <w:vAlign w:val="center"/>
          </w:tcPr>
          <w:p w14:paraId="2FF1DCDD">
            <w:pPr>
              <w:widowControl/>
              <w:spacing w:beforeLines="0" w:afterLines="0" w:line="240" w:lineRule="auto"/>
              <w:jc w:val="left"/>
              <w:rPr>
                <w:rFonts w:hint="eastAsia" w:ascii="宋体" w:hAnsi="宋体" w:cs="宋体"/>
                <w:sz w:val="18"/>
                <w:szCs w:val="18"/>
              </w:rPr>
            </w:pPr>
          </w:p>
        </w:tc>
        <w:tc>
          <w:tcPr>
            <w:tcW w:w="861" w:type="pct"/>
            <w:vMerge w:val="continue"/>
            <w:tcBorders>
              <w:left w:val="single" w:color="auto" w:sz="4" w:space="0"/>
              <w:bottom w:val="single" w:color="auto" w:sz="4" w:space="0"/>
              <w:right w:val="single" w:color="auto" w:sz="4" w:space="0"/>
            </w:tcBorders>
            <w:vAlign w:val="center"/>
          </w:tcPr>
          <w:p w14:paraId="3BC777B5">
            <w:pPr>
              <w:widowControl/>
              <w:spacing w:beforeLines="0" w:afterLines="0" w:line="240" w:lineRule="auto"/>
              <w:jc w:val="left"/>
              <w:rPr>
                <w:rFonts w:hint="eastAsia" w:ascii="宋体" w:hAnsi="宋体" w:cs="宋体"/>
                <w:sz w:val="18"/>
                <w:szCs w:val="18"/>
              </w:rPr>
            </w:pPr>
          </w:p>
        </w:tc>
        <w:tc>
          <w:tcPr>
            <w:tcW w:w="1161" w:type="pct"/>
            <w:tcBorders>
              <w:top w:val="single" w:color="auto" w:sz="4" w:space="0"/>
              <w:left w:val="single" w:color="auto" w:sz="4" w:space="0"/>
              <w:bottom w:val="single" w:color="auto" w:sz="4" w:space="0"/>
              <w:right w:val="single" w:color="auto" w:sz="4" w:space="0"/>
            </w:tcBorders>
            <w:vAlign w:val="center"/>
          </w:tcPr>
          <w:p w14:paraId="280543C4">
            <w:pPr>
              <w:pStyle w:val="146"/>
              <w:rPr>
                <w:rFonts w:hint="eastAsia" w:ascii="宋体" w:hAnsi="宋体" w:cs="宋体"/>
                <w:sz w:val="18"/>
                <w:szCs w:val="18"/>
              </w:rPr>
            </w:pPr>
            <w:r>
              <w:rPr>
                <w:rFonts w:hint="eastAsia" w:ascii="宋体" w:hAnsi="宋体" w:cs="宋体"/>
                <w:sz w:val="18"/>
                <w:szCs w:val="18"/>
              </w:rPr>
              <w:t>横向振动加速度</w:t>
            </w:r>
          </w:p>
        </w:tc>
        <w:tc>
          <w:tcPr>
            <w:tcW w:w="562" w:type="pct"/>
            <w:tcBorders>
              <w:top w:val="single" w:color="auto" w:sz="4" w:space="0"/>
              <w:left w:val="single" w:color="auto" w:sz="4" w:space="0"/>
              <w:bottom w:val="single" w:color="auto" w:sz="4" w:space="0"/>
              <w:right w:val="single" w:color="auto" w:sz="4" w:space="0"/>
            </w:tcBorders>
            <w:vAlign w:val="center"/>
          </w:tcPr>
          <w:p w14:paraId="77ABA1E3">
            <w:pPr>
              <w:pStyle w:val="146"/>
              <w:rPr>
                <w:rFonts w:hint="eastAsia" w:ascii="宋体" w:hAnsi="宋体" w:cs="宋体"/>
                <w:sz w:val="18"/>
                <w:szCs w:val="18"/>
              </w:rPr>
            </w:pPr>
            <w:r>
              <w:rPr>
                <w:rFonts w:hint="eastAsia" w:ascii="宋体" w:hAnsi="宋体" w:cs="宋体"/>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0A1665D6">
            <w:pPr>
              <w:pStyle w:val="146"/>
              <w:rPr>
                <w:rFonts w:hint="eastAsia" w:ascii="宋体" w:hAnsi="宋体" w:cs="宋体"/>
                <w:sz w:val="18"/>
                <w:szCs w:val="18"/>
              </w:rPr>
            </w:pPr>
            <w:r>
              <w:rPr>
                <w:rFonts w:hint="eastAsia" w:ascii="宋体" w:hAnsi="宋体" w:cs="宋体"/>
                <w:sz w:val="18"/>
                <w:szCs w:val="18"/>
              </w:rPr>
              <w:t>主拱圈拱顶截面、主梁跨中截面</w:t>
            </w:r>
          </w:p>
        </w:tc>
      </w:tr>
      <w:tr w14:paraId="40AB0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5000" w:type="pct"/>
            <w:gridSpan w:val="6"/>
            <w:tcBorders>
              <w:left w:val="single" w:color="auto" w:sz="4" w:space="0"/>
              <w:right w:val="single" w:color="auto" w:sz="4" w:space="0"/>
            </w:tcBorders>
            <w:vAlign w:val="center"/>
          </w:tcPr>
          <w:p w14:paraId="72B27596">
            <w:pPr>
              <w:pStyle w:val="146"/>
              <w:rPr>
                <w:rFonts w:hint="default" w:ascii="宋体" w:hAnsi="宋体" w:cs="宋体"/>
                <w:sz w:val="18"/>
                <w:szCs w:val="18"/>
                <w:lang w:val="en-US"/>
              </w:rPr>
            </w:pPr>
            <w:r>
              <w:rPr>
                <w:rFonts w:hint="eastAsia" w:ascii="黑体" w:hAnsi="黑体" w:eastAsia="黑体"/>
                <w:bCs/>
                <w:color w:val="auto"/>
              </w:rPr>
              <w:t>B.5.4</w:t>
            </w:r>
            <w:r>
              <w:rPr>
                <w:rFonts w:ascii="黑体" w:hAnsi="黑体" w:eastAsia="黑体"/>
                <w:bCs/>
                <w:color w:val="auto"/>
              </w:rPr>
              <w:t xml:space="preserve">  </w:t>
            </w:r>
            <w:r>
              <w:rPr>
                <w:rFonts w:hint="eastAsia" w:ascii="黑体" w:hAnsi="黑体" w:eastAsia="黑体"/>
                <w:bCs/>
                <w:color w:val="auto"/>
              </w:rPr>
              <w:t>中、下承式拱桥监测</w:t>
            </w:r>
            <w:r>
              <w:rPr>
                <w:rFonts w:hint="eastAsia" w:ascii="黑体" w:hAnsi="黑体" w:eastAsia="黑体"/>
                <w:bCs/>
                <w:color w:val="auto"/>
                <w:lang w:val="en-US" w:eastAsia="zh-CN"/>
              </w:rPr>
              <w:t>布点要求（续）</w:t>
            </w:r>
          </w:p>
        </w:tc>
      </w:tr>
      <w:tr w14:paraId="63D48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374" w:type="pct"/>
            <w:tcBorders>
              <w:left w:val="single" w:color="auto" w:sz="4" w:space="0"/>
              <w:right w:val="single" w:color="auto" w:sz="4" w:space="0"/>
            </w:tcBorders>
            <w:vAlign w:val="center"/>
          </w:tcPr>
          <w:p w14:paraId="29BEA5A9">
            <w:pPr>
              <w:pStyle w:val="146"/>
              <w:rPr>
                <w:rFonts w:hint="eastAsia" w:ascii="宋体" w:hAnsi="宋体" w:cs="宋体"/>
                <w:sz w:val="18"/>
                <w:szCs w:val="18"/>
              </w:rPr>
            </w:pPr>
            <w:r>
              <w:rPr>
                <w:rFonts w:hint="eastAsia" w:ascii="宋体" w:hAnsi="宋体" w:cs="宋体"/>
                <w:sz w:val="18"/>
                <w:szCs w:val="18"/>
                <w:lang w:val="en-US" w:eastAsia="zh-CN"/>
              </w:rPr>
              <w:t>序号</w:t>
            </w:r>
          </w:p>
        </w:tc>
        <w:tc>
          <w:tcPr>
            <w:tcW w:w="1223" w:type="pct"/>
            <w:gridSpan w:val="2"/>
            <w:tcBorders>
              <w:left w:val="single" w:color="auto" w:sz="4" w:space="0"/>
              <w:right w:val="single" w:color="auto" w:sz="4" w:space="0"/>
            </w:tcBorders>
            <w:vAlign w:val="center"/>
          </w:tcPr>
          <w:p w14:paraId="525A7775">
            <w:pPr>
              <w:pStyle w:val="146"/>
              <w:rPr>
                <w:rFonts w:hint="eastAsia" w:ascii="宋体" w:hAnsi="宋体" w:cs="宋体"/>
                <w:sz w:val="18"/>
                <w:szCs w:val="18"/>
              </w:rPr>
            </w:pPr>
            <w:r>
              <w:rPr>
                <w:rFonts w:hint="eastAsia" w:ascii="宋体" w:hAnsi="宋体" w:cs="宋体"/>
                <w:sz w:val="18"/>
                <w:szCs w:val="18"/>
              </w:rPr>
              <w:t>监测对象</w:t>
            </w:r>
          </w:p>
        </w:tc>
        <w:tc>
          <w:tcPr>
            <w:tcW w:w="1161" w:type="pct"/>
            <w:tcBorders>
              <w:left w:val="single" w:color="auto" w:sz="4" w:space="0"/>
              <w:right w:val="single" w:color="auto" w:sz="4" w:space="0"/>
            </w:tcBorders>
            <w:vAlign w:val="center"/>
          </w:tcPr>
          <w:p w14:paraId="536ABC8A">
            <w:pPr>
              <w:pStyle w:val="146"/>
              <w:rPr>
                <w:rFonts w:hint="eastAsia" w:ascii="宋体" w:hAnsi="宋体" w:cs="宋体"/>
                <w:sz w:val="18"/>
                <w:szCs w:val="18"/>
              </w:rPr>
            </w:pPr>
            <w:r>
              <w:rPr>
                <w:rFonts w:hint="eastAsia" w:ascii="宋体" w:hAnsi="宋体" w:cs="宋体"/>
                <w:sz w:val="18"/>
                <w:szCs w:val="18"/>
              </w:rPr>
              <w:t>监测指标</w:t>
            </w:r>
          </w:p>
        </w:tc>
        <w:tc>
          <w:tcPr>
            <w:tcW w:w="562" w:type="pct"/>
            <w:tcBorders>
              <w:left w:val="single" w:color="auto" w:sz="4" w:space="0"/>
              <w:right w:val="single" w:color="auto" w:sz="4" w:space="0"/>
            </w:tcBorders>
            <w:vAlign w:val="center"/>
          </w:tcPr>
          <w:p w14:paraId="178F60B3">
            <w:pPr>
              <w:pStyle w:val="146"/>
              <w:rPr>
                <w:rFonts w:hint="eastAsia" w:ascii="宋体" w:hAnsi="宋体" w:cs="宋体"/>
                <w:sz w:val="18"/>
                <w:szCs w:val="18"/>
              </w:rPr>
            </w:pPr>
            <w:r>
              <w:rPr>
                <w:rFonts w:hint="eastAsia" w:ascii="宋体" w:hAnsi="宋体" w:cs="宋体"/>
                <w:sz w:val="18"/>
                <w:szCs w:val="18"/>
              </w:rPr>
              <w:t>监测要求</w:t>
            </w:r>
          </w:p>
        </w:tc>
        <w:tc>
          <w:tcPr>
            <w:tcW w:w="1678" w:type="pct"/>
            <w:tcBorders>
              <w:left w:val="single" w:color="auto" w:sz="4" w:space="0"/>
              <w:right w:val="single" w:color="auto" w:sz="4" w:space="0"/>
            </w:tcBorders>
            <w:vAlign w:val="center"/>
          </w:tcPr>
          <w:p w14:paraId="435FAA27">
            <w:pPr>
              <w:pStyle w:val="146"/>
              <w:rPr>
                <w:rFonts w:hint="eastAsia" w:ascii="宋体" w:hAnsi="宋体" w:cs="宋体"/>
                <w:sz w:val="18"/>
                <w:szCs w:val="18"/>
              </w:rPr>
            </w:pPr>
            <w:r>
              <w:rPr>
                <w:rFonts w:hint="eastAsia" w:ascii="宋体" w:hAnsi="宋体" w:cs="宋体"/>
                <w:color w:val="000000"/>
                <w:kern w:val="0"/>
                <w:sz w:val="18"/>
                <w:szCs w:val="18"/>
              </w:rPr>
              <w:t>监测布</w:t>
            </w:r>
            <w:r>
              <w:rPr>
                <w:rFonts w:hint="eastAsia" w:ascii="宋体" w:hAnsi="宋体" w:cs="宋体"/>
                <w:color w:val="000000"/>
                <w:kern w:val="0"/>
                <w:sz w:val="18"/>
                <w:szCs w:val="18"/>
                <w:lang w:val="en-US" w:eastAsia="zh-CN"/>
              </w:rPr>
              <w:t>点</w:t>
            </w:r>
            <w:r>
              <w:rPr>
                <w:rFonts w:hint="eastAsia" w:ascii="宋体" w:hAnsi="宋体" w:cs="宋体"/>
                <w:color w:val="000000"/>
                <w:kern w:val="0"/>
                <w:sz w:val="18"/>
                <w:szCs w:val="18"/>
              </w:rPr>
              <w:t>要求</w:t>
            </w:r>
          </w:p>
        </w:tc>
      </w:tr>
      <w:tr w14:paraId="2E073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374" w:type="pct"/>
            <w:vMerge w:val="restart"/>
            <w:tcBorders>
              <w:left w:val="single" w:color="auto" w:sz="4" w:space="0"/>
              <w:right w:val="single" w:color="auto" w:sz="4" w:space="0"/>
            </w:tcBorders>
            <w:vAlign w:val="center"/>
          </w:tcPr>
          <w:p w14:paraId="3C84AE55">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17</w:t>
            </w:r>
          </w:p>
        </w:tc>
        <w:tc>
          <w:tcPr>
            <w:tcW w:w="361" w:type="pct"/>
            <w:vMerge w:val="restart"/>
            <w:tcBorders>
              <w:top w:val="single" w:color="auto" w:sz="4" w:space="0"/>
              <w:left w:val="single" w:color="auto" w:sz="4" w:space="0"/>
              <w:right w:val="single" w:color="auto" w:sz="4" w:space="0"/>
            </w:tcBorders>
            <w:vAlign w:val="center"/>
          </w:tcPr>
          <w:p w14:paraId="6A9FB838">
            <w:pPr>
              <w:widowControl/>
              <w:spacing w:beforeLines="0" w:afterLines="0" w:line="240" w:lineRule="auto"/>
              <w:jc w:val="left"/>
              <w:rPr>
                <w:rFonts w:hint="eastAsia" w:ascii="宋体" w:hAnsi="宋体" w:cs="宋体"/>
                <w:sz w:val="18"/>
                <w:szCs w:val="18"/>
              </w:rPr>
            </w:pPr>
            <w:r>
              <w:rPr>
                <w:rFonts w:hint="eastAsia" w:ascii="宋体" w:hAnsi="宋体" w:cs="宋体"/>
                <w:sz w:val="18"/>
                <w:szCs w:val="18"/>
              </w:rPr>
              <w:t>结构响应</w:t>
            </w:r>
          </w:p>
        </w:tc>
        <w:tc>
          <w:tcPr>
            <w:tcW w:w="861" w:type="pct"/>
            <w:vMerge w:val="restart"/>
            <w:tcBorders>
              <w:top w:val="single" w:color="auto" w:sz="4" w:space="0"/>
              <w:left w:val="single" w:color="auto" w:sz="4" w:space="0"/>
              <w:right w:val="single" w:color="auto" w:sz="4" w:space="0"/>
            </w:tcBorders>
            <w:vAlign w:val="center"/>
          </w:tcPr>
          <w:p w14:paraId="1D563F1C">
            <w:pPr>
              <w:widowControl/>
              <w:spacing w:beforeLines="0" w:afterLines="0" w:line="240" w:lineRule="auto"/>
              <w:jc w:val="center"/>
              <w:rPr>
                <w:rFonts w:hint="eastAsia" w:ascii="宋体" w:hAnsi="宋体" w:cs="宋体"/>
                <w:sz w:val="18"/>
                <w:szCs w:val="18"/>
              </w:rPr>
            </w:pPr>
            <w:r>
              <w:rPr>
                <w:rFonts w:hint="eastAsia" w:ascii="宋体" w:hAnsi="宋体" w:cs="宋体"/>
                <w:sz w:val="18"/>
                <w:szCs w:val="18"/>
              </w:rPr>
              <w:t>振动</w:t>
            </w:r>
          </w:p>
        </w:tc>
        <w:tc>
          <w:tcPr>
            <w:tcW w:w="1161" w:type="pct"/>
            <w:tcBorders>
              <w:top w:val="single" w:color="auto" w:sz="4" w:space="0"/>
              <w:left w:val="single" w:color="auto" w:sz="4" w:space="0"/>
              <w:bottom w:val="single" w:color="auto" w:sz="4" w:space="0"/>
              <w:right w:val="single" w:color="auto" w:sz="4" w:space="0"/>
            </w:tcBorders>
            <w:shd w:val="clear" w:color="auto" w:fill="auto"/>
            <w:vAlign w:val="center"/>
          </w:tcPr>
          <w:p w14:paraId="566B99A1">
            <w:pPr>
              <w:pStyle w:val="146"/>
              <w:rPr>
                <w:rFonts w:hint="eastAsia" w:ascii="宋体" w:hAnsi="宋体" w:eastAsia="宋体" w:cs="宋体"/>
                <w:kern w:val="2"/>
                <w:sz w:val="18"/>
                <w:szCs w:val="18"/>
                <w:lang w:val="en-US" w:eastAsia="zh-CN" w:bidi="ar-SA"/>
              </w:rPr>
            </w:pPr>
            <w:r>
              <w:rPr>
                <w:rFonts w:hint="eastAsia" w:ascii="宋体" w:hAnsi="宋体" w:cs="宋体"/>
                <w:sz w:val="18"/>
                <w:szCs w:val="18"/>
              </w:rPr>
              <w:t>纵向振动加速度</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6B2365EC">
            <w:pPr>
              <w:pStyle w:val="146"/>
              <w:rPr>
                <w:rFonts w:hint="eastAsia" w:ascii="宋体" w:hAnsi="宋体" w:eastAsia="宋体" w:cs="宋体"/>
                <w:kern w:val="2"/>
                <w:sz w:val="18"/>
                <w:szCs w:val="18"/>
                <w:lang w:val="en-US" w:eastAsia="zh-CN" w:bidi="ar-SA"/>
              </w:rPr>
            </w:pPr>
            <w:r>
              <w:rPr>
                <w:rFonts w:hint="eastAsia" w:ascii="宋体" w:hAnsi="宋体" w:cs="宋体"/>
                <w:sz w:val="18"/>
                <w:szCs w:val="18"/>
              </w:rPr>
              <w:t>○</w:t>
            </w:r>
          </w:p>
        </w:tc>
        <w:tc>
          <w:tcPr>
            <w:tcW w:w="1678" w:type="pct"/>
            <w:tcBorders>
              <w:top w:val="single" w:color="auto" w:sz="4" w:space="0"/>
              <w:left w:val="single" w:color="auto" w:sz="4" w:space="0"/>
              <w:bottom w:val="single" w:color="auto" w:sz="4" w:space="0"/>
              <w:right w:val="single" w:color="auto" w:sz="4" w:space="0"/>
            </w:tcBorders>
            <w:shd w:val="clear" w:color="auto" w:fill="auto"/>
            <w:vAlign w:val="center"/>
          </w:tcPr>
          <w:p w14:paraId="18411C29">
            <w:pPr>
              <w:pStyle w:val="146"/>
              <w:rPr>
                <w:rFonts w:hint="eastAsia" w:ascii="宋体" w:hAnsi="宋体" w:eastAsia="宋体" w:cs="宋体"/>
                <w:kern w:val="2"/>
                <w:sz w:val="18"/>
                <w:szCs w:val="18"/>
                <w:lang w:val="en-US" w:eastAsia="zh-CN" w:bidi="ar-SA"/>
              </w:rPr>
            </w:pPr>
            <w:r>
              <w:rPr>
                <w:rFonts w:hint="eastAsia" w:ascii="宋体" w:hAnsi="宋体" w:cs="宋体"/>
                <w:sz w:val="18"/>
                <w:szCs w:val="18"/>
              </w:rPr>
              <w:t>主拱圈拱顶截面</w:t>
            </w:r>
          </w:p>
        </w:tc>
      </w:tr>
      <w:tr w14:paraId="1C85D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continue"/>
            <w:tcBorders>
              <w:left w:val="single" w:color="auto" w:sz="4" w:space="0"/>
              <w:right w:val="single" w:color="auto" w:sz="4" w:space="0"/>
            </w:tcBorders>
            <w:vAlign w:val="center"/>
          </w:tcPr>
          <w:p w14:paraId="267131AB">
            <w:pPr>
              <w:widowControl/>
              <w:spacing w:beforeLines="0" w:afterLines="0" w:line="240" w:lineRule="auto"/>
              <w:jc w:val="center"/>
              <w:rPr>
                <w:rFonts w:hint="eastAsia" w:ascii="宋体" w:hAnsi="宋体" w:cs="宋体"/>
                <w:sz w:val="18"/>
                <w:szCs w:val="18"/>
              </w:rPr>
            </w:pPr>
          </w:p>
        </w:tc>
        <w:tc>
          <w:tcPr>
            <w:tcW w:w="361" w:type="pct"/>
            <w:vMerge w:val="continue"/>
            <w:tcBorders>
              <w:left w:val="single" w:color="auto" w:sz="4" w:space="0"/>
              <w:right w:val="single" w:color="auto" w:sz="4" w:space="0"/>
            </w:tcBorders>
            <w:vAlign w:val="center"/>
          </w:tcPr>
          <w:p w14:paraId="18F4480B">
            <w:pPr>
              <w:widowControl/>
              <w:spacing w:beforeLines="0" w:afterLines="0" w:line="240" w:lineRule="auto"/>
              <w:jc w:val="left"/>
              <w:rPr>
                <w:rFonts w:hint="eastAsia" w:ascii="宋体" w:hAnsi="宋体" w:cs="宋体"/>
                <w:sz w:val="18"/>
                <w:szCs w:val="18"/>
              </w:rPr>
            </w:pPr>
          </w:p>
        </w:tc>
        <w:tc>
          <w:tcPr>
            <w:tcW w:w="861" w:type="pct"/>
            <w:vMerge w:val="continue"/>
            <w:tcBorders>
              <w:left w:val="single" w:color="auto" w:sz="4" w:space="0"/>
              <w:right w:val="single" w:color="auto" w:sz="4" w:space="0"/>
            </w:tcBorders>
            <w:vAlign w:val="center"/>
          </w:tcPr>
          <w:p w14:paraId="43372E08">
            <w:pPr>
              <w:widowControl/>
              <w:spacing w:beforeLines="0" w:afterLines="0" w:line="240" w:lineRule="auto"/>
              <w:jc w:val="left"/>
              <w:rPr>
                <w:rFonts w:hint="eastAsia" w:ascii="宋体" w:hAnsi="宋体" w:cs="宋体"/>
                <w:sz w:val="18"/>
                <w:szCs w:val="18"/>
              </w:rPr>
            </w:pPr>
          </w:p>
        </w:tc>
        <w:tc>
          <w:tcPr>
            <w:tcW w:w="1161" w:type="pct"/>
            <w:tcBorders>
              <w:top w:val="single" w:color="auto" w:sz="4" w:space="0"/>
              <w:left w:val="single" w:color="auto" w:sz="4" w:space="0"/>
              <w:bottom w:val="single" w:color="auto" w:sz="4" w:space="0"/>
              <w:right w:val="single" w:color="auto" w:sz="4" w:space="0"/>
            </w:tcBorders>
            <w:vAlign w:val="center"/>
          </w:tcPr>
          <w:p w14:paraId="0DE71CB9">
            <w:pPr>
              <w:pStyle w:val="146"/>
              <w:rPr>
                <w:rFonts w:hint="eastAsia" w:ascii="宋体" w:hAnsi="宋体" w:cs="宋体"/>
                <w:sz w:val="18"/>
                <w:szCs w:val="18"/>
              </w:rPr>
            </w:pPr>
            <w:r>
              <w:rPr>
                <w:rFonts w:hint="eastAsia" w:ascii="宋体" w:hAnsi="宋体" w:cs="宋体"/>
                <w:sz w:val="18"/>
                <w:szCs w:val="18"/>
              </w:rPr>
              <w:t>桥墩顶部纵向及横向振动加速度</w:t>
            </w:r>
          </w:p>
        </w:tc>
        <w:tc>
          <w:tcPr>
            <w:tcW w:w="562" w:type="pct"/>
            <w:tcBorders>
              <w:top w:val="single" w:color="auto" w:sz="4" w:space="0"/>
              <w:left w:val="single" w:color="auto" w:sz="4" w:space="0"/>
              <w:bottom w:val="single" w:color="auto" w:sz="4" w:space="0"/>
              <w:right w:val="single" w:color="auto" w:sz="4" w:space="0"/>
            </w:tcBorders>
            <w:vAlign w:val="center"/>
          </w:tcPr>
          <w:p w14:paraId="2A415962">
            <w:pPr>
              <w:pStyle w:val="146"/>
              <w:rPr>
                <w:rFonts w:hint="eastAsia" w:ascii="宋体" w:hAnsi="宋体" w:cs="宋体"/>
                <w:sz w:val="18"/>
                <w:szCs w:val="18"/>
              </w:rPr>
            </w:pPr>
            <w:r>
              <w:rPr>
                <w:rFonts w:hint="eastAsia" w:ascii="宋体" w:hAnsi="宋体" w:cs="宋体"/>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27235691">
            <w:pPr>
              <w:pStyle w:val="146"/>
              <w:rPr>
                <w:rFonts w:hint="eastAsia" w:ascii="宋体" w:hAnsi="宋体" w:cs="宋体"/>
                <w:sz w:val="18"/>
                <w:szCs w:val="18"/>
              </w:rPr>
            </w:pPr>
            <w:r>
              <w:rPr>
                <w:rFonts w:hint="eastAsia" w:ascii="宋体" w:hAnsi="宋体" w:cs="宋体"/>
                <w:sz w:val="18"/>
                <w:szCs w:val="18"/>
              </w:rPr>
              <w:t>桥墩顶部</w:t>
            </w:r>
          </w:p>
        </w:tc>
      </w:tr>
      <w:tr w14:paraId="4999F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continue"/>
            <w:tcBorders>
              <w:left w:val="single" w:color="auto" w:sz="4" w:space="0"/>
              <w:bottom w:val="single" w:color="auto" w:sz="4" w:space="0"/>
              <w:right w:val="single" w:color="auto" w:sz="4" w:space="0"/>
            </w:tcBorders>
            <w:vAlign w:val="center"/>
          </w:tcPr>
          <w:p w14:paraId="2092E13D">
            <w:pPr>
              <w:widowControl/>
              <w:spacing w:beforeLines="0" w:afterLines="0" w:line="240" w:lineRule="auto"/>
              <w:jc w:val="center"/>
              <w:rPr>
                <w:rFonts w:hint="eastAsia" w:ascii="宋体" w:hAnsi="宋体" w:cs="宋体"/>
                <w:sz w:val="18"/>
                <w:szCs w:val="18"/>
              </w:rPr>
            </w:pPr>
          </w:p>
        </w:tc>
        <w:tc>
          <w:tcPr>
            <w:tcW w:w="361" w:type="pct"/>
            <w:vMerge w:val="continue"/>
            <w:tcBorders>
              <w:left w:val="single" w:color="auto" w:sz="4" w:space="0"/>
              <w:bottom w:val="single" w:color="auto" w:sz="4" w:space="0"/>
              <w:right w:val="single" w:color="auto" w:sz="4" w:space="0"/>
            </w:tcBorders>
            <w:vAlign w:val="center"/>
          </w:tcPr>
          <w:p w14:paraId="55DCDEBC">
            <w:pPr>
              <w:widowControl/>
              <w:spacing w:beforeLines="0" w:afterLines="0" w:line="240" w:lineRule="auto"/>
              <w:jc w:val="left"/>
              <w:rPr>
                <w:rFonts w:hint="eastAsia" w:ascii="宋体" w:hAnsi="宋体" w:cs="宋体"/>
                <w:sz w:val="18"/>
                <w:szCs w:val="18"/>
              </w:rPr>
            </w:pPr>
          </w:p>
        </w:tc>
        <w:tc>
          <w:tcPr>
            <w:tcW w:w="861" w:type="pct"/>
            <w:vMerge w:val="continue"/>
            <w:tcBorders>
              <w:left w:val="single" w:color="auto" w:sz="4" w:space="0"/>
              <w:bottom w:val="single" w:color="auto" w:sz="4" w:space="0"/>
              <w:right w:val="single" w:color="auto" w:sz="4" w:space="0"/>
            </w:tcBorders>
            <w:vAlign w:val="center"/>
          </w:tcPr>
          <w:p w14:paraId="2157E280">
            <w:pPr>
              <w:widowControl/>
              <w:spacing w:beforeLines="0" w:afterLines="0" w:line="240" w:lineRule="auto"/>
              <w:jc w:val="left"/>
              <w:rPr>
                <w:rFonts w:hint="eastAsia" w:ascii="宋体" w:hAnsi="宋体" w:cs="宋体"/>
                <w:sz w:val="18"/>
                <w:szCs w:val="18"/>
              </w:rPr>
            </w:pPr>
          </w:p>
        </w:tc>
        <w:tc>
          <w:tcPr>
            <w:tcW w:w="1161" w:type="pct"/>
            <w:tcBorders>
              <w:top w:val="single" w:color="auto" w:sz="4" w:space="0"/>
              <w:left w:val="single" w:color="auto" w:sz="4" w:space="0"/>
              <w:bottom w:val="single" w:color="auto" w:sz="4" w:space="0"/>
              <w:right w:val="single" w:color="auto" w:sz="4" w:space="0"/>
            </w:tcBorders>
            <w:vAlign w:val="center"/>
          </w:tcPr>
          <w:p w14:paraId="1051E1E5">
            <w:pPr>
              <w:pStyle w:val="146"/>
              <w:rPr>
                <w:rFonts w:hint="eastAsia" w:ascii="宋体" w:hAnsi="宋体" w:cs="宋体"/>
                <w:sz w:val="18"/>
                <w:szCs w:val="18"/>
              </w:rPr>
            </w:pPr>
            <w:r>
              <w:rPr>
                <w:rFonts w:hint="eastAsia" w:ascii="宋体" w:hAnsi="宋体" w:cs="宋体"/>
                <w:bCs/>
                <w:sz w:val="18"/>
                <w:szCs w:val="18"/>
              </w:rPr>
              <w:t>吊杆（索）振动加速度</w:t>
            </w:r>
          </w:p>
        </w:tc>
        <w:tc>
          <w:tcPr>
            <w:tcW w:w="562" w:type="pct"/>
            <w:tcBorders>
              <w:top w:val="single" w:color="auto" w:sz="4" w:space="0"/>
              <w:left w:val="single" w:color="auto" w:sz="4" w:space="0"/>
              <w:bottom w:val="single" w:color="auto" w:sz="4" w:space="0"/>
              <w:right w:val="single" w:color="auto" w:sz="4" w:space="0"/>
            </w:tcBorders>
            <w:vAlign w:val="center"/>
          </w:tcPr>
          <w:p w14:paraId="0ED7A34D">
            <w:pPr>
              <w:pStyle w:val="146"/>
              <w:rPr>
                <w:rFonts w:hint="eastAsia" w:ascii="宋体" w:hAnsi="宋体" w:cs="宋体"/>
                <w:sz w:val="18"/>
                <w:szCs w:val="18"/>
              </w:rPr>
            </w:pPr>
            <w:r>
              <w:rPr>
                <w:rFonts w:hint="eastAsia" w:ascii="宋体" w:hAnsi="宋体" w:cs="宋体"/>
                <w:bCs/>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048C3C1F">
            <w:pPr>
              <w:pStyle w:val="146"/>
              <w:rPr>
                <w:rFonts w:hint="eastAsia" w:ascii="宋体" w:hAnsi="宋体" w:cs="宋体"/>
                <w:sz w:val="18"/>
                <w:szCs w:val="18"/>
              </w:rPr>
            </w:pPr>
            <w:r>
              <w:rPr>
                <w:rFonts w:hint="eastAsia" w:ascii="宋体" w:hAnsi="宋体" w:cs="宋体"/>
                <w:sz w:val="18"/>
                <w:szCs w:val="18"/>
              </w:rPr>
              <w:t>关键吊杆</w:t>
            </w:r>
          </w:p>
        </w:tc>
      </w:tr>
      <w:tr w14:paraId="43B89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tcBorders>
              <w:top w:val="single" w:color="auto" w:sz="4" w:space="0"/>
              <w:left w:val="single" w:color="auto" w:sz="4" w:space="0"/>
              <w:bottom w:val="single" w:color="auto" w:sz="4" w:space="0"/>
              <w:right w:val="single" w:color="auto" w:sz="4" w:space="0"/>
            </w:tcBorders>
            <w:vAlign w:val="center"/>
          </w:tcPr>
          <w:p w14:paraId="02422948">
            <w:pPr>
              <w:pStyle w:val="146"/>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18</w:t>
            </w:r>
          </w:p>
        </w:tc>
        <w:tc>
          <w:tcPr>
            <w:tcW w:w="361" w:type="pct"/>
            <w:vMerge w:val="restart"/>
            <w:tcBorders>
              <w:top w:val="single" w:color="auto" w:sz="4" w:space="0"/>
              <w:left w:val="single" w:color="auto" w:sz="4" w:space="0"/>
              <w:bottom w:val="single" w:color="auto" w:sz="4" w:space="0"/>
              <w:right w:val="single" w:color="auto" w:sz="4" w:space="0"/>
            </w:tcBorders>
            <w:vAlign w:val="center"/>
          </w:tcPr>
          <w:p w14:paraId="3D61F6F7">
            <w:pPr>
              <w:pStyle w:val="146"/>
              <w:rPr>
                <w:rFonts w:hint="eastAsia" w:ascii="宋体" w:hAnsi="宋体" w:cs="宋体"/>
                <w:sz w:val="18"/>
                <w:szCs w:val="18"/>
              </w:rPr>
            </w:pPr>
            <w:r>
              <w:rPr>
                <w:rFonts w:hint="eastAsia" w:ascii="宋体" w:hAnsi="宋体" w:cs="宋体"/>
                <w:sz w:val="18"/>
                <w:szCs w:val="18"/>
              </w:rPr>
              <w:t>结构变化</w:t>
            </w:r>
          </w:p>
        </w:tc>
        <w:tc>
          <w:tcPr>
            <w:tcW w:w="861" w:type="pct"/>
            <w:tcBorders>
              <w:top w:val="single" w:color="auto" w:sz="4" w:space="0"/>
              <w:left w:val="single" w:color="auto" w:sz="4" w:space="0"/>
              <w:bottom w:val="single" w:color="auto" w:sz="4" w:space="0"/>
              <w:right w:val="single" w:color="auto" w:sz="4" w:space="0"/>
            </w:tcBorders>
            <w:vAlign w:val="center"/>
          </w:tcPr>
          <w:p w14:paraId="03D6327E">
            <w:pPr>
              <w:pStyle w:val="146"/>
              <w:rPr>
                <w:rFonts w:hint="eastAsia" w:ascii="宋体" w:hAnsi="宋体" w:cs="宋体"/>
                <w:sz w:val="18"/>
                <w:szCs w:val="18"/>
              </w:rPr>
            </w:pPr>
            <w:r>
              <w:rPr>
                <w:rFonts w:hint="eastAsia" w:ascii="宋体" w:hAnsi="宋体" w:cs="宋体"/>
                <w:sz w:val="18"/>
                <w:szCs w:val="18"/>
              </w:rPr>
              <w:t>基础冲刷</w:t>
            </w:r>
          </w:p>
        </w:tc>
        <w:tc>
          <w:tcPr>
            <w:tcW w:w="1161" w:type="pct"/>
            <w:tcBorders>
              <w:top w:val="single" w:color="auto" w:sz="4" w:space="0"/>
              <w:left w:val="single" w:color="auto" w:sz="4" w:space="0"/>
              <w:bottom w:val="single" w:color="auto" w:sz="4" w:space="0"/>
              <w:right w:val="single" w:color="auto" w:sz="4" w:space="0"/>
            </w:tcBorders>
            <w:vAlign w:val="center"/>
          </w:tcPr>
          <w:p w14:paraId="46A0DFC3">
            <w:pPr>
              <w:pStyle w:val="146"/>
              <w:rPr>
                <w:rFonts w:hint="eastAsia" w:ascii="宋体" w:hAnsi="宋体" w:cs="宋体"/>
                <w:sz w:val="18"/>
                <w:szCs w:val="18"/>
              </w:rPr>
            </w:pPr>
            <w:r>
              <w:rPr>
                <w:rFonts w:hint="eastAsia" w:ascii="宋体" w:hAnsi="宋体" w:cs="宋体"/>
                <w:sz w:val="18"/>
                <w:szCs w:val="18"/>
              </w:rPr>
              <w:t>基础冲刷深度</w:t>
            </w:r>
          </w:p>
        </w:tc>
        <w:tc>
          <w:tcPr>
            <w:tcW w:w="562" w:type="pct"/>
            <w:tcBorders>
              <w:top w:val="single" w:color="auto" w:sz="4" w:space="0"/>
              <w:left w:val="single" w:color="auto" w:sz="4" w:space="0"/>
              <w:bottom w:val="single" w:color="auto" w:sz="4" w:space="0"/>
              <w:right w:val="single" w:color="auto" w:sz="4" w:space="0"/>
            </w:tcBorders>
            <w:vAlign w:val="center"/>
          </w:tcPr>
          <w:p w14:paraId="2BF90932">
            <w:pPr>
              <w:pStyle w:val="146"/>
              <w:rPr>
                <w:rFonts w:hint="eastAsia" w:ascii="宋体" w:hAnsi="宋体" w:cs="宋体"/>
                <w:sz w:val="18"/>
                <w:szCs w:val="18"/>
              </w:rPr>
            </w:pPr>
            <w:r>
              <w:rPr>
                <w:rFonts w:hint="eastAsia" w:ascii="宋体" w:hAnsi="宋体" w:cs="宋体"/>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6B0426E3">
            <w:pPr>
              <w:pStyle w:val="146"/>
              <w:rPr>
                <w:rFonts w:hint="eastAsia" w:ascii="宋体" w:hAnsi="宋体" w:cs="宋体"/>
                <w:sz w:val="18"/>
                <w:szCs w:val="18"/>
              </w:rPr>
            </w:pPr>
            <w:r>
              <w:rPr>
                <w:rFonts w:hint="eastAsia" w:ascii="宋体" w:hAnsi="宋体" w:cs="宋体"/>
                <w:sz w:val="18"/>
                <w:szCs w:val="18"/>
              </w:rPr>
              <w:t>-</w:t>
            </w:r>
          </w:p>
        </w:tc>
      </w:tr>
      <w:tr w14:paraId="3917C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restart"/>
            <w:tcBorders>
              <w:top w:val="single" w:color="auto" w:sz="4" w:space="0"/>
              <w:left w:val="single" w:color="auto" w:sz="4" w:space="0"/>
              <w:right w:val="single" w:color="auto" w:sz="4" w:space="0"/>
            </w:tcBorders>
            <w:vAlign w:val="center"/>
          </w:tcPr>
          <w:p w14:paraId="3A5F4B56">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19</w:t>
            </w:r>
          </w:p>
        </w:tc>
        <w:tc>
          <w:tcPr>
            <w:tcW w:w="361" w:type="pct"/>
            <w:vMerge w:val="continue"/>
            <w:tcBorders>
              <w:top w:val="single" w:color="auto" w:sz="4" w:space="0"/>
              <w:left w:val="single" w:color="auto" w:sz="4" w:space="0"/>
              <w:bottom w:val="single" w:color="auto" w:sz="4" w:space="0"/>
              <w:right w:val="single" w:color="auto" w:sz="4" w:space="0"/>
            </w:tcBorders>
            <w:vAlign w:val="center"/>
          </w:tcPr>
          <w:p w14:paraId="458EC1A5">
            <w:pPr>
              <w:widowControl/>
              <w:spacing w:beforeLines="0" w:afterLines="0" w:line="240" w:lineRule="auto"/>
              <w:jc w:val="left"/>
              <w:rPr>
                <w:rFonts w:hint="eastAsia" w:ascii="宋体" w:hAnsi="宋体" w:cs="宋体"/>
                <w:sz w:val="18"/>
                <w:szCs w:val="18"/>
              </w:rPr>
            </w:pPr>
          </w:p>
        </w:tc>
        <w:tc>
          <w:tcPr>
            <w:tcW w:w="861" w:type="pct"/>
            <w:vMerge w:val="restart"/>
            <w:tcBorders>
              <w:top w:val="single" w:color="auto" w:sz="4" w:space="0"/>
              <w:left w:val="single" w:color="auto" w:sz="4" w:space="0"/>
              <w:bottom w:val="single" w:color="auto" w:sz="4" w:space="0"/>
              <w:right w:val="single" w:color="auto" w:sz="4" w:space="0"/>
            </w:tcBorders>
            <w:vAlign w:val="center"/>
          </w:tcPr>
          <w:p w14:paraId="1052C071">
            <w:pPr>
              <w:pStyle w:val="146"/>
              <w:rPr>
                <w:rFonts w:hint="eastAsia" w:ascii="宋体" w:hAnsi="宋体" w:cs="宋体"/>
                <w:sz w:val="18"/>
                <w:szCs w:val="18"/>
              </w:rPr>
            </w:pPr>
            <w:r>
              <w:rPr>
                <w:rFonts w:hint="eastAsia" w:ascii="宋体" w:hAnsi="宋体" w:cs="宋体"/>
                <w:sz w:val="18"/>
                <w:szCs w:val="18"/>
              </w:rPr>
              <w:t>位移</w:t>
            </w:r>
          </w:p>
        </w:tc>
        <w:tc>
          <w:tcPr>
            <w:tcW w:w="1161" w:type="pct"/>
            <w:tcBorders>
              <w:top w:val="single" w:color="auto" w:sz="4" w:space="0"/>
              <w:left w:val="single" w:color="auto" w:sz="4" w:space="0"/>
              <w:bottom w:val="single" w:color="auto" w:sz="4" w:space="0"/>
              <w:right w:val="single" w:color="auto" w:sz="4" w:space="0"/>
            </w:tcBorders>
            <w:vAlign w:val="center"/>
          </w:tcPr>
          <w:p w14:paraId="28C83833">
            <w:pPr>
              <w:pStyle w:val="146"/>
              <w:rPr>
                <w:rFonts w:hint="eastAsia" w:ascii="宋体" w:hAnsi="宋体" w:cs="宋体"/>
                <w:sz w:val="18"/>
                <w:szCs w:val="18"/>
              </w:rPr>
            </w:pPr>
            <w:r>
              <w:rPr>
                <w:rFonts w:hint="eastAsia" w:ascii="宋体" w:hAnsi="宋体" w:cs="宋体"/>
                <w:bCs/>
                <w:sz w:val="18"/>
                <w:szCs w:val="18"/>
              </w:rPr>
              <w:t>拱脚位移</w:t>
            </w:r>
          </w:p>
        </w:tc>
        <w:tc>
          <w:tcPr>
            <w:tcW w:w="562" w:type="pct"/>
            <w:tcBorders>
              <w:top w:val="single" w:color="auto" w:sz="4" w:space="0"/>
              <w:left w:val="single" w:color="auto" w:sz="4" w:space="0"/>
              <w:bottom w:val="single" w:color="auto" w:sz="4" w:space="0"/>
              <w:right w:val="single" w:color="auto" w:sz="4" w:space="0"/>
            </w:tcBorders>
            <w:vAlign w:val="center"/>
          </w:tcPr>
          <w:p w14:paraId="5E7C6E35">
            <w:pPr>
              <w:pStyle w:val="146"/>
              <w:rPr>
                <w:rFonts w:hint="eastAsia" w:ascii="宋体" w:hAnsi="宋体" w:cs="宋体"/>
                <w:sz w:val="18"/>
                <w:szCs w:val="18"/>
              </w:rPr>
            </w:pPr>
            <w:r>
              <w:rPr>
                <w:rFonts w:hint="eastAsia" w:ascii="宋体" w:hAnsi="宋体" w:cs="宋体"/>
                <w:bCs/>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73A94AA7">
            <w:pPr>
              <w:pStyle w:val="146"/>
              <w:rPr>
                <w:rFonts w:hint="eastAsia" w:ascii="宋体" w:hAnsi="宋体" w:cs="宋体"/>
                <w:sz w:val="18"/>
                <w:szCs w:val="18"/>
              </w:rPr>
            </w:pPr>
            <w:r>
              <w:rPr>
                <w:rFonts w:hint="eastAsia" w:ascii="宋体" w:hAnsi="宋体" w:cs="宋体"/>
                <w:sz w:val="18"/>
                <w:szCs w:val="18"/>
              </w:rPr>
              <w:t>-</w:t>
            </w:r>
          </w:p>
        </w:tc>
      </w:tr>
      <w:tr w14:paraId="64C34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continue"/>
            <w:tcBorders>
              <w:left w:val="single" w:color="auto" w:sz="4" w:space="0"/>
              <w:bottom w:val="single" w:color="auto" w:sz="4" w:space="0"/>
              <w:right w:val="single" w:color="auto" w:sz="4" w:space="0"/>
            </w:tcBorders>
            <w:vAlign w:val="center"/>
          </w:tcPr>
          <w:p w14:paraId="1CD2B1F4">
            <w:pPr>
              <w:widowControl/>
              <w:spacing w:beforeLines="0" w:afterLines="0" w:line="240" w:lineRule="auto"/>
              <w:jc w:val="center"/>
              <w:rPr>
                <w:rFonts w:hint="eastAsia" w:ascii="宋体" w:hAnsi="宋体" w:cs="宋体"/>
                <w:sz w:val="18"/>
                <w:szCs w:val="18"/>
              </w:rPr>
            </w:pPr>
          </w:p>
        </w:tc>
        <w:tc>
          <w:tcPr>
            <w:tcW w:w="361" w:type="pct"/>
            <w:vMerge w:val="continue"/>
            <w:tcBorders>
              <w:top w:val="single" w:color="auto" w:sz="4" w:space="0"/>
              <w:left w:val="single" w:color="auto" w:sz="4" w:space="0"/>
              <w:bottom w:val="single" w:color="auto" w:sz="4" w:space="0"/>
              <w:right w:val="single" w:color="auto" w:sz="4" w:space="0"/>
            </w:tcBorders>
            <w:vAlign w:val="center"/>
          </w:tcPr>
          <w:p w14:paraId="534F75D0">
            <w:pPr>
              <w:widowControl/>
              <w:spacing w:beforeLines="0" w:afterLines="0" w:line="240" w:lineRule="auto"/>
              <w:jc w:val="left"/>
              <w:rPr>
                <w:rFonts w:hint="eastAsia" w:ascii="宋体" w:hAnsi="宋体" w:cs="宋体"/>
                <w:sz w:val="18"/>
                <w:szCs w:val="18"/>
              </w:rPr>
            </w:pPr>
          </w:p>
        </w:tc>
        <w:tc>
          <w:tcPr>
            <w:tcW w:w="861" w:type="pct"/>
            <w:vMerge w:val="continue"/>
            <w:tcBorders>
              <w:top w:val="single" w:color="auto" w:sz="4" w:space="0"/>
              <w:left w:val="single" w:color="auto" w:sz="4" w:space="0"/>
              <w:bottom w:val="single" w:color="auto" w:sz="4" w:space="0"/>
              <w:right w:val="single" w:color="auto" w:sz="4" w:space="0"/>
            </w:tcBorders>
            <w:vAlign w:val="center"/>
          </w:tcPr>
          <w:p w14:paraId="3C08A4BD">
            <w:pPr>
              <w:widowControl/>
              <w:spacing w:beforeLines="0" w:afterLines="0" w:line="240" w:lineRule="auto"/>
              <w:jc w:val="left"/>
              <w:rPr>
                <w:rFonts w:hint="eastAsia" w:ascii="宋体" w:hAnsi="宋体" w:cs="宋体"/>
                <w:sz w:val="18"/>
                <w:szCs w:val="18"/>
              </w:rPr>
            </w:pPr>
          </w:p>
        </w:tc>
        <w:tc>
          <w:tcPr>
            <w:tcW w:w="1161" w:type="pct"/>
            <w:tcBorders>
              <w:top w:val="single" w:color="auto" w:sz="4" w:space="0"/>
              <w:left w:val="single" w:color="auto" w:sz="4" w:space="0"/>
              <w:bottom w:val="single" w:color="auto" w:sz="4" w:space="0"/>
              <w:right w:val="single" w:color="auto" w:sz="4" w:space="0"/>
            </w:tcBorders>
            <w:vAlign w:val="center"/>
          </w:tcPr>
          <w:p w14:paraId="2AA38BCF">
            <w:pPr>
              <w:pStyle w:val="146"/>
              <w:rPr>
                <w:rFonts w:hint="eastAsia" w:ascii="宋体" w:hAnsi="宋体" w:cs="宋体"/>
                <w:sz w:val="18"/>
                <w:szCs w:val="18"/>
              </w:rPr>
            </w:pPr>
            <w:r>
              <w:rPr>
                <w:rFonts w:hint="eastAsia" w:ascii="宋体" w:hAnsi="宋体" w:cs="宋体"/>
                <w:sz w:val="18"/>
                <w:szCs w:val="18"/>
              </w:rPr>
              <w:t>桥墩（台）沉降</w:t>
            </w:r>
          </w:p>
        </w:tc>
        <w:tc>
          <w:tcPr>
            <w:tcW w:w="562" w:type="pct"/>
            <w:tcBorders>
              <w:top w:val="single" w:color="auto" w:sz="4" w:space="0"/>
              <w:left w:val="single" w:color="auto" w:sz="4" w:space="0"/>
              <w:bottom w:val="single" w:color="auto" w:sz="4" w:space="0"/>
              <w:right w:val="single" w:color="auto" w:sz="4" w:space="0"/>
            </w:tcBorders>
            <w:vAlign w:val="center"/>
          </w:tcPr>
          <w:p w14:paraId="4FD33538">
            <w:pPr>
              <w:pStyle w:val="146"/>
              <w:rPr>
                <w:rFonts w:hint="eastAsia" w:ascii="宋体" w:hAnsi="宋体" w:cs="宋体"/>
                <w:sz w:val="18"/>
                <w:szCs w:val="18"/>
              </w:rPr>
            </w:pPr>
            <w:r>
              <w:rPr>
                <w:rFonts w:hint="eastAsia" w:ascii="宋体" w:hAnsi="宋体" w:cs="宋体"/>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34956011">
            <w:pPr>
              <w:pStyle w:val="146"/>
              <w:rPr>
                <w:rFonts w:hint="eastAsia" w:ascii="宋体" w:hAnsi="宋体" w:cs="宋体"/>
                <w:sz w:val="18"/>
                <w:szCs w:val="18"/>
              </w:rPr>
            </w:pPr>
            <w:r>
              <w:rPr>
                <w:rFonts w:hint="eastAsia" w:ascii="宋体" w:hAnsi="宋体" w:cs="宋体"/>
                <w:sz w:val="18"/>
                <w:szCs w:val="18"/>
              </w:rPr>
              <w:t>-</w:t>
            </w:r>
          </w:p>
        </w:tc>
      </w:tr>
      <w:tr w14:paraId="4E0B0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restart"/>
            <w:tcBorders>
              <w:top w:val="single" w:color="auto" w:sz="4" w:space="0"/>
              <w:left w:val="single" w:color="auto" w:sz="4" w:space="0"/>
              <w:right w:val="single" w:color="auto" w:sz="4" w:space="0"/>
            </w:tcBorders>
            <w:vAlign w:val="center"/>
          </w:tcPr>
          <w:p w14:paraId="4EAED7FD">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20</w:t>
            </w:r>
          </w:p>
        </w:tc>
        <w:tc>
          <w:tcPr>
            <w:tcW w:w="361" w:type="pct"/>
            <w:vMerge w:val="continue"/>
            <w:tcBorders>
              <w:top w:val="single" w:color="auto" w:sz="4" w:space="0"/>
              <w:left w:val="single" w:color="auto" w:sz="4" w:space="0"/>
              <w:bottom w:val="single" w:color="auto" w:sz="4" w:space="0"/>
              <w:right w:val="single" w:color="auto" w:sz="4" w:space="0"/>
            </w:tcBorders>
            <w:vAlign w:val="center"/>
          </w:tcPr>
          <w:p w14:paraId="07CD3930">
            <w:pPr>
              <w:widowControl/>
              <w:spacing w:beforeLines="0" w:afterLines="0" w:line="240" w:lineRule="auto"/>
              <w:jc w:val="left"/>
              <w:rPr>
                <w:rFonts w:hint="eastAsia" w:ascii="宋体" w:hAnsi="宋体" w:cs="宋体"/>
                <w:sz w:val="18"/>
                <w:szCs w:val="18"/>
              </w:rPr>
            </w:pPr>
          </w:p>
        </w:tc>
        <w:tc>
          <w:tcPr>
            <w:tcW w:w="861" w:type="pct"/>
            <w:vMerge w:val="restart"/>
            <w:tcBorders>
              <w:top w:val="single" w:color="auto" w:sz="4" w:space="0"/>
              <w:left w:val="single" w:color="auto" w:sz="4" w:space="0"/>
              <w:bottom w:val="single" w:color="auto" w:sz="4" w:space="0"/>
              <w:right w:val="single" w:color="auto" w:sz="4" w:space="0"/>
            </w:tcBorders>
            <w:vAlign w:val="center"/>
          </w:tcPr>
          <w:p w14:paraId="224EDAB9">
            <w:pPr>
              <w:pStyle w:val="146"/>
              <w:rPr>
                <w:rFonts w:hint="eastAsia" w:ascii="宋体" w:hAnsi="宋体" w:cs="宋体"/>
                <w:sz w:val="18"/>
                <w:szCs w:val="18"/>
              </w:rPr>
            </w:pPr>
            <w:r>
              <w:rPr>
                <w:rFonts w:hint="eastAsia" w:ascii="宋体" w:hAnsi="宋体" w:cs="宋体"/>
                <w:sz w:val="18"/>
                <w:szCs w:val="18"/>
              </w:rPr>
              <w:t>裂缝</w:t>
            </w:r>
          </w:p>
        </w:tc>
        <w:tc>
          <w:tcPr>
            <w:tcW w:w="1161" w:type="pct"/>
            <w:tcBorders>
              <w:top w:val="single" w:color="auto" w:sz="4" w:space="0"/>
              <w:left w:val="single" w:color="auto" w:sz="4" w:space="0"/>
              <w:bottom w:val="single" w:color="auto" w:sz="4" w:space="0"/>
              <w:right w:val="single" w:color="auto" w:sz="4" w:space="0"/>
            </w:tcBorders>
            <w:vAlign w:val="center"/>
          </w:tcPr>
          <w:p w14:paraId="6B7E64D0">
            <w:pPr>
              <w:pStyle w:val="146"/>
              <w:rPr>
                <w:rFonts w:hint="eastAsia" w:ascii="宋体" w:hAnsi="宋体" w:cs="宋体"/>
                <w:sz w:val="18"/>
                <w:szCs w:val="18"/>
              </w:rPr>
            </w:pPr>
            <w:r>
              <w:rPr>
                <w:rFonts w:hint="eastAsia" w:ascii="宋体" w:hAnsi="宋体" w:cs="宋体"/>
                <w:sz w:val="18"/>
                <w:szCs w:val="18"/>
              </w:rPr>
              <w:t>混凝土结构裂缝</w:t>
            </w:r>
          </w:p>
        </w:tc>
        <w:tc>
          <w:tcPr>
            <w:tcW w:w="562" w:type="pct"/>
            <w:tcBorders>
              <w:top w:val="single" w:color="auto" w:sz="4" w:space="0"/>
              <w:left w:val="single" w:color="auto" w:sz="4" w:space="0"/>
              <w:bottom w:val="single" w:color="auto" w:sz="4" w:space="0"/>
              <w:right w:val="single" w:color="auto" w:sz="4" w:space="0"/>
            </w:tcBorders>
            <w:vAlign w:val="center"/>
          </w:tcPr>
          <w:p w14:paraId="21F0EBF0">
            <w:pPr>
              <w:pStyle w:val="146"/>
              <w:rPr>
                <w:rFonts w:hint="eastAsia" w:ascii="宋体" w:hAnsi="宋体" w:cs="宋体"/>
                <w:sz w:val="18"/>
                <w:szCs w:val="18"/>
              </w:rPr>
            </w:pPr>
            <w:r>
              <w:rPr>
                <w:rFonts w:hint="eastAsia" w:ascii="宋体" w:hAnsi="宋体" w:cs="宋体"/>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26E196CE">
            <w:pPr>
              <w:pStyle w:val="146"/>
              <w:rPr>
                <w:rFonts w:hint="eastAsia" w:ascii="宋体" w:hAnsi="宋体" w:cs="宋体"/>
                <w:sz w:val="18"/>
                <w:szCs w:val="18"/>
              </w:rPr>
            </w:pPr>
            <w:r>
              <w:rPr>
                <w:rFonts w:hint="eastAsia" w:ascii="宋体" w:hAnsi="宋体" w:cs="宋体"/>
                <w:sz w:val="18"/>
                <w:szCs w:val="18"/>
              </w:rPr>
              <w:t>-</w:t>
            </w:r>
          </w:p>
        </w:tc>
      </w:tr>
      <w:tr w14:paraId="3A107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continue"/>
            <w:tcBorders>
              <w:left w:val="single" w:color="auto" w:sz="4" w:space="0"/>
              <w:bottom w:val="single" w:color="auto" w:sz="4" w:space="0"/>
              <w:right w:val="single" w:color="auto" w:sz="4" w:space="0"/>
            </w:tcBorders>
            <w:vAlign w:val="center"/>
          </w:tcPr>
          <w:p w14:paraId="22D181FA">
            <w:pPr>
              <w:widowControl/>
              <w:spacing w:beforeLines="0" w:afterLines="0" w:line="240" w:lineRule="auto"/>
              <w:jc w:val="center"/>
              <w:rPr>
                <w:rFonts w:hint="eastAsia" w:ascii="宋体" w:hAnsi="宋体" w:cs="宋体"/>
                <w:sz w:val="18"/>
                <w:szCs w:val="18"/>
              </w:rPr>
            </w:pPr>
          </w:p>
        </w:tc>
        <w:tc>
          <w:tcPr>
            <w:tcW w:w="361" w:type="pct"/>
            <w:vMerge w:val="continue"/>
            <w:tcBorders>
              <w:top w:val="single" w:color="auto" w:sz="4" w:space="0"/>
              <w:left w:val="single" w:color="auto" w:sz="4" w:space="0"/>
              <w:bottom w:val="single" w:color="auto" w:sz="4" w:space="0"/>
              <w:right w:val="single" w:color="auto" w:sz="4" w:space="0"/>
            </w:tcBorders>
            <w:vAlign w:val="center"/>
          </w:tcPr>
          <w:p w14:paraId="598A06CB">
            <w:pPr>
              <w:widowControl/>
              <w:spacing w:beforeLines="0" w:afterLines="0" w:line="240" w:lineRule="auto"/>
              <w:jc w:val="left"/>
              <w:rPr>
                <w:rFonts w:hint="eastAsia" w:ascii="宋体" w:hAnsi="宋体" w:cs="宋体"/>
                <w:sz w:val="18"/>
                <w:szCs w:val="18"/>
              </w:rPr>
            </w:pPr>
          </w:p>
        </w:tc>
        <w:tc>
          <w:tcPr>
            <w:tcW w:w="861" w:type="pct"/>
            <w:vMerge w:val="continue"/>
            <w:tcBorders>
              <w:top w:val="single" w:color="auto" w:sz="4" w:space="0"/>
              <w:left w:val="single" w:color="auto" w:sz="4" w:space="0"/>
              <w:bottom w:val="single" w:color="auto" w:sz="4" w:space="0"/>
              <w:right w:val="single" w:color="auto" w:sz="4" w:space="0"/>
            </w:tcBorders>
            <w:vAlign w:val="center"/>
          </w:tcPr>
          <w:p w14:paraId="23A407D4">
            <w:pPr>
              <w:widowControl/>
              <w:spacing w:beforeLines="0" w:afterLines="0" w:line="240" w:lineRule="auto"/>
              <w:jc w:val="left"/>
              <w:rPr>
                <w:rFonts w:hint="eastAsia" w:ascii="宋体" w:hAnsi="宋体" w:cs="宋体"/>
                <w:sz w:val="18"/>
                <w:szCs w:val="18"/>
              </w:rPr>
            </w:pPr>
          </w:p>
        </w:tc>
        <w:tc>
          <w:tcPr>
            <w:tcW w:w="1161" w:type="pct"/>
            <w:tcBorders>
              <w:top w:val="single" w:color="auto" w:sz="4" w:space="0"/>
              <w:left w:val="single" w:color="auto" w:sz="4" w:space="0"/>
              <w:bottom w:val="single" w:color="auto" w:sz="4" w:space="0"/>
              <w:right w:val="single" w:color="auto" w:sz="4" w:space="0"/>
            </w:tcBorders>
            <w:vAlign w:val="center"/>
          </w:tcPr>
          <w:p w14:paraId="22DE33AD">
            <w:pPr>
              <w:pStyle w:val="146"/>
              <w:rPr>
                <w:rFonts w:hint="eastAsia" w:ascii="宋体" w:hAnsi="宋体" w:cs="宋体"/>
                <w:sz w:val="18"/>
                <w:szCs w:val="18"/>
              </w:rPr>
            </w:pPr>
            <w:r>
              <w:rPr>
                <w:rFonts w:hint="eastAsia" w:ascii="宋体" w:hAnsi="宋体" w:cs="宋体"/>
                <w:sz w:val="18"/>
                <w:szCs w:val="18"/>
              </w:rPr>
              <w:t>钢结构裂缝</w:t>
            </w:r>
          </w:p>
        </w:tc>
        <w:tc>
          <w:tcPr>
            <w:tcW w:w="562" w:type="pct"/>
            <w:tcBorders>
              <w:top w:val="single" w:color="auto" w:sz="4" w:space="0"/>
              <w:left w:val="single" w:color="auto" w:sz="4" w:space="0"/>
              <w:bottom w:val="single" w:color="auto" w:sz="4" w:space="0"/>
              <w:right w:val="single" w:color="auto" w:sz="4" w:space="0"/>
            </w:tcBorders>
            <w:vAlign w:val="center"/>
          </w:tcPr>
          <w:p w14:paraId="4FBF68DE">
            <w:pPr>
              <w:pStyle w:val="146"/>
              <w:rPr>
                <w:rFonts w:hint="eastAsia" w:ascii="宋体" w:hAnsi="宋体" w:cs="宋体"/>
                <w:sz w:val="18"/>
                <w:szCs w:val="18"/>
              </w:rPr>
            </w:pPr>
            <w:r>
              <w:rPr>
                <w:rFonts w:hint="eastAsia" w:ascii="宋体" w:hAnsi="宋体" w:cs="宋体"/>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5C60595E">
            <w:pPr>
              <w:pStyle w:val="146"/>
              <w:rPr>
                <w:rFonts w:hint="eastAsia" w:ascii="宋体" w:hAnsi="宋体" w:cs="宋体"/>
                <w:sz w:val="18"/>
                <w:szCs w:val="18"/>
              </w:rPr>
            </w:pPr>
            <w:r>
              <w:rPr>
                <w:rFonts w:hint="eastAsia" w:ascii="宋体" w:hAnsi="宋体" w:cs="宋体"/>
                <w:sz w:val="18"/>
                <w:szCs w:val="18"/>
              </w:rPr>
              <w:t>-</w:t>
            </w:r>
          </w:p>
        </w:tc>
      </w:tr>
      <w:tr w14:paraId="4813F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restart"/>
            <w:tcBorders>
              <w:top w:val="single" w:color="auto" w:sz="4" w:space="0"/>
              <w:left w:val="single" w:color="auto" w:sz="4" w:space="0"/>
              <w:right w:val="single" w:color="auto" w:sz="4" w:space="0"/>
            </w:tcBorders>
            <w:vAlign w:val="center"/>
          </w:tcPr>
          <w:p w14:paraId="61E178D2">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21</w:t>
            </w:r>
          </w:p>
        </w:tc>
        <w:tc>
          <w:tcPr>
            <w:tcW w:w="361" w:type="pct"/>
            <w:vMerge w:val="continue"/>
            <w:tcBorders>
              <w:top w:val="single" w:color="auto" w:sz="4" w:space="0"/>
              <w:left w:val="single" w:color="auto" w:sz="4" w:space="0"/>
              <w:bottom w:val="single" w:color="auto" w:sz="4" w:space="0"/>
              <w:right w:val="single" w:color="auto" w:sz="4" w:space="0"/>
            </w:tcBorders>
            <w:vAlign w:val="center"/>
          </w:tcPr>
          <w:p w14:paraId="3E4D5A6B">
            <w:pPr>
              <w:widowControl/>
              <w:spacing w:beforeLines="0" w:afterLines="0" w:line="240" w:lineRule="auto"/>
              <w:jc w:val="left"/>
              <w:rPr>
                <w:rFonts w:hint="eastAsia" w:ascii="宋体" w:hAnsi="宋体" w:cs="宋体"/>
                <w:sz w:val="18"/>
                <w:szCs w:val="18"/>
              </w:rPr>
            </w:pPr>
          </w:p>
        </w:tc>
        <w:tc>
          <w:tcPr>
            <w:tcW w:w="861" w:type="pct"/>
            <w:vMerge w:val="restart"/>
            <w:tcBorders>
              <w:top w:val="single" w:color="auto" w:sz="4" w:space="0"/>
              <w:left w:val="single" w:color="auto" w:sz="4" w:space="0"/>
              <w:bottom w:val="single" w:color="auto" w:sz="4" w:space="0"/>
              <w:right w:val="single" w:color="auto" w:sz="4" w:space="0"/>
            </w:tcBorders>
            <w:vAlign w:val="center"/>
          </w:tcPr>
          <w:p w14:paraId="1924278E">
            <w:pPr>
              <w:pStyle w:val="146"/>
              <w:rPr>
                <w:rFonts w:hint="eastAsia" w:ascii="宋体" w:hAnsi="宋体" w:cs="宋体"/>
                <w:sz w:val="18"/>
                <w:szCs w:val="18"/>
              </w:rPr>
            </w:pPr>
            <w:r>
              <w:rPr>
                <w:rFonts w:hint="eastAsia" w:ascii="宋体" w:hAnsi="宋体" w:cs="宋体"/>
                <w:sz w:val="18"/>
                <w:szCs w:val="18"/>
              </w:rPr>
              <w:t>腐蚀</w:t>
            </w:r>
          </w:p>
        </w:tc>
        <w:tc>
          <w:tcPr>
            <w:tcW w:w="1161" w:type="pct"/>
            <w:tcBorders>
              <w:top w:val="single" w:color="auto" w:sz="4" w:space="0"/>
              <w:left w:val="single" w:color="auto" w:sz="4" w:space="0"/>
              <w:bottom w:val="single" w:color="auto" w:sz="4" w:space="0"/>
              <w:right w:val="single" w:color="auto" w:sz="4" w:space="0"/>
            </w:tcBorders>
            <w:vAlign w:val="center"/>
          </w:tcPr>
          <w:p w14:paraId="7A016C63">
            <w:pPr>
              <w:pStyle w:val="146"/>
              <w:rPr>
                <w:rFonts w:hint="eastAsia" w:ascii="宋体" w:hAnsi="宋体" w:cs="宋体"/>
                <w:sz w:val="18"/>
                <w:szCs w:val="18"/>
              </w:rPr>
            </w:pPr>
            <w:r>
              <w:rPr>
                <w:rFonts w:hint="eastAsia" w:ascii="宋体" w:hAnsi="宋体" w:cs="宋体"/>
                <w:sz w:val="18"/>
                <w:szCs w:val="18"/>
              </w:rPr>
              <w:t>墩身、承台混凝土氯离子浓度</w:t>
            </w:r>
          </w:p>
        </w:tc>
        <w:tc>
          <w:tcPr>
            <w:tcW w:w="562" w:type="pct"/>
            <w:tcBorders>
              <w:top w:val="single" w:color="auto" w:sz="4" w:space="0"/>
              <w:left w:val="single" w:color="auto" w:sz="4" w:space="0"/>
              <w:bottom w:val="single" w:color="auto" w:sz="4" w:space="0"/>
              <w:right w:val="single" w:color="auto" w:sz="4" w:space="0"/>
            </w:tcBorders>
            <w:vAlign w:val="center"/>
          </w:tcPr>
          <w:p w14:paraId="53C148AE">
            <w:pPr>
              <w:pStyle w:val="146"/>
              <w:rPr>
                <w:rFonts w:hint="eastAsia" w:ascii="宋体" w:hAnsi="宋体" w:cs="宋体"/>
                <w:sz w:val="18"/>
                <w:szCs w:val="18"/>
              </w:rPr>
            </w:pPr>
            <w:r>
              <w:rPr>
                <w:rFonts w:hint="eastAsia" w:ascii="宋体" w:hAnsi="宋体" w:cs="宋体"/>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02003BE5">
            <w:pPr>
              <w:pStyle w:val="146"/>
              <w:rPr>
                <w:rFonts w:hint="eastAsia" w:ascii="宋体" w:hAnsi="宋体" w:cs="宋体"/>
                <w:sz w:val="18"/>
                <w:szCs w:val="18"/>
              </w:rPr>
            </w:pPr>
            <w:r>
              <w:rPr>
                <w:rFonts w:hint="eastAsia" w:ascii="宋体" w:hAnsi="宋体" w:cs="宋体"/>
                <w:sz w:val="18"/>
                <w:szCs w:val="18"/>
              </w:rPr>
              <w:t>-</w:t>
            </w:r>
          </w:p>
        </w:tc>
      </w:tr>
      <w:tr w14:paraId="44D15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vMerge w:val="continue"/>
            <w:tcBorders>
              <w:left w:val="single" w:color="auto" w:sz="4" w:space="0"/>
              <w:bottom w:val="single" w:color="auto" w:sz="4" w:space="0"/>
              <w:right w:val="single" w:color="auto" w:sz="4" w:space="0"/>
            </w:tcBorders>
            <w:vAlign w:val="center"/>
          </w:tcPr>
          <w:p w14:paraId="22DE62CD">
            <w:pPr>
              <w:widowControl/>
              <w:spacing w:beforeLines="0" w:afterLines="0" w:line="240" w:lineRule="auto"/>
              <w:jc w:val="center"/>
              <w:rPr>
                <w:rFonts w:hint="eastAsia" w:ascii="宋体" w:hAnsi="宋体" w:cs="宋体"/>
                <w:sz w:val="18"/>
                <w:szCs w:val="18"/>
              </w:rPr>
            </w:pPr>
          </w:p>
        </w:tc>
        <w:tc>
          <w:tcPr>
            <w:tcW w:w="361" w:type="pct"/>
            <w:vMerge w:val="continue"/>
            <w:tcBorders>
              <w:top w:val="single" w:color="auto" w:sz="4" w:space="0"/>
              <w:left w:val="single" w:color="auto" w:sz="4" w:space="0"/>
              <w:bottom w:val="single" w:color="auto" w:sz="4" w:space="0"/>
              <w:right w:val="single" w:color="auto" w:sz="4" w:space="0"/>
            </w:tcBorders>
            <w:vAlign w:val="center"/>
          </w:tcPr>
          <w:p w14:paraId="125C4D86">
            <w:pPr>
              <w:widowControl/>
              <w:spacing w:beforeLines="0" w:afterLines="0" w:line="240" w:lineRule="auto"/>
              <w:jc w:val="left"/>
              <w:rPr>
                <w:rFonts w:hint="eastAsia" w:ascii="宋体" w:hAnsi="宋体" w:cs="宋体"/>
                <w:sz w:val="18"/>
                <w:szCs w:val="18"/>
              </w:rPr>
            </w:pPr>
          </w:p>
        </w:tc>
        <w:tc>
          <w:tcPr>
            <w:tcW w:w="861" w:type="pct"/>
            <w:vMerge w:val="continue"/>
            <w:tcBorders>
              <w:top w:val="single" w:color="auto" w:sz="4" w:space="0"/>
              <w:left w:val="single" w:color="auto" w:sz="4" w:space="0"/>
              <w:bottom w:val="single" w:color="auto" w:sz="4" w:space="0"/>
              <w:right w:val="single" w:color="auto" w:sz="4" w:space="0"/>
            </w:tcBorders>
            <w:vAlign w:val="center"/>
          </w:tcPr>
          <w:p w14:paraId="6697C6C0">
            <w:pPr>
              <w:widowControl/>
              <w:spacing w:beforeLines="0" w:afterLines="0" w:line="240" w:lineRule="auto"/>
              <w:jc w:val="left"/>
              <w:rPr>
                <w:rFonts w:hint="eastAsia" w:ascii="宋体" w:hAnsi="宋体" w:cs="宋体"/>
                <w:sz w:val="18"/>
                <w:szCs w:val="18"/>
              </w:rPr>
            </w:pPr>
          </w:p>
        </w:tc>
        <w:tc>
          <w:tcPr>
            <w:tcW w:w="1161" w:type="pct"/>
            <w:tcBorders>
              <w:top w:val="single" w:color="auto" w:sz="4" w:space="0"/>
              <w:left w:val="single" w:color="auto" w:sz="4" w:space="0"/>
              <w:bottom w:val="single" w:color="auto" w:sz="4" w:space="0"/>
              <w:right w:val="single" w:color="auto" w:sz="4" w:space="0"/>
            </w:tcBorders>
            <w:vAlign w:val="center"/>
          </w:tcPr>
          <w:p w14:paraId="50A15163">
            <w:pPr>
              <w:pStyle w:val="146"/>
              <w:rPr>
                <w:rFonts w:hint="eastAsia" w:ascii="宋体" w:hAnsi="宋体" w:cs="宋体"/>
                <w:sz w:val="18"/>
                <w:szCs w:val="18"/>
              </w:rPr>
            </w:pPr>
            <w:r>
              <w:rPr>
                <w:rFonts w:hint="eastAsia" w:ascii="宋体" w:hAnsi="宋体" w:cs="宋体"/>
                <w:sz w:val="18"/>
                <w:szCs w:val="18"/>
              </w:rPr>
              <w:t>墩身、承台混凝土氯离子侵蚀深度</w:t>
            </w:r>
          </w:p>
        </w:tc>
        <w:tc>
          <w:tcPr>
            <w:tcW w:w="562" w:type="pct"/>
            <w:tcBorders>
              <w:top w:val="single" w:color="auto" w:sz="4" w:space="0"/>
              <w:left w:val="single" w:color="auto" w:sz="4" w:space="0"/>
              <w:bottom w:val="single" w:color="auto" w:sz="4" w:space="0"/>
              <w:right w:val="single" w:color="auto" w:sz="4" w:space="0"/>
            </w:tcBorders>
            <w:vAlign w:val="center"/>
          </w:tcPr>
          <w:p w14:paraId="00B8BC8C">
            <w:pPr>
              <w:pStyle w:val="146"/>
              <w:rPr>
                <w:rFonts w:hint="eastAsia" w:ascii="宋体" w:hAnsi="宋体" w:cs="宋体"/>
                <w:sz w:val="18"/>
                <w:szCs w:val="18"/>
              </w:rPr>
            </w:pPr>
            <w:r>
              <w:rPr>
                <w:rFonts w:hint="eastAsia" w:ascii="宋体" w:hAnsi="宋体" w:cs="宋体"/>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127FF0E3">
            <w:pPr>
              <w:pStyle w:val="146"/>
              <w:rPr>
                <w:rFonts w:hint="eastAsia" w:ascii="宋体" w:hAnsi="宋体" w:cs="宋体"/>
                <w:sz w:val="18"/>
                <w:szCs w:val="18"/>
              </w:rPr>
            </w:pPr>
            <w:r>
              <w:rPr>
                <w:rFonts w:hint="eastAsia" w:ascii="宋体" w:hAnsi="宋体" w:cs="宋体"/>
                <w:sz w:val="18"/>
                <w:szCs w:val="18"/>
              </w:rPr>
              <w:t>-</w:t>
            </w:r>
          </w:p>
        </w:tc>
      </w:tr>
      <w:tr w14:paraId="175E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tcBorders>
              <w:top w:val="single" w:color="auto" w:sz="4" w:space="0"/>
              <w:left w:val="single" w:color="auto" w:sz="4" w:space="0"/>
              <w:bottom w:val="single" w:color="auto" w:sz="4" w:space="0"/>
              <w:right w:val="single" w:color="auto" w:sz="4" w:space="0"/>
            </w:tcBorders>
            <w:vAlign w:val="center"/>
          </w:tcPr>
          <w:p w14:paraId="2D8EA214">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22</w:t>
            </w:r>
          </w:p>
        </w:tc>
        <w:tc>
          <w:tcPr>
            <w:tcW w:w="361" w:type="pct"/>
            <w:vMerge w:val="continue"/>
            <w:tcBorders>
              <w:top w:val="single" w:color="auto" w:sz="4" w:space="0"/>
              <w:left w:val="single" w:color="auto" w:sz="4" w:space="0"/>
              <w:bottom w:val="single" w:color="auto" w:sz="4" w:space="0"/>
              <w:right w:val="single" w:color="auto" w:sz="4" w:space="0"/>
            </w:tcBorders>
            <w:vAlign w:val="center"/>
          </w:tcPr>
          <w:p w14:paraId="4699C3D8">
            <w:pPr>
              <w:widowControl/>
              <w:spacing w:beforeLines="0" w:afterLines="0" w:line="240" w:lineRule="auto"/>
              <w:jc w:val="left"/>
              <w:rPr>
                <w:rFonts w:hint="eastAsia" w:ascii="宋体" w:hAnsi="宋体" w:cs="宋体"/>
                <w:sz w:val="18"/>
                <w:szCs w:val="18"/>
              </w:rPr>
            </w:pPr>
          </w:p>
        </w:tc>
        <w:tc>
          <w:tcPr>
            <w:tcW w:w="861" w:type="pct"/>
            <w:tcBorders>
              <w:top w:val="single" w:color="auto" w:sz="4" w:space="0"/>
              <w:left w:val="single" w:color="auto" w:sz="4" w:space="0"/>
              <w:bottom w:val="single" w:color="auto" w:sz="4" w:space="0"/>
              <w:right w:val="single" w:color="auto" w:sz="4" w:space="0"/>
            </w:tcBorders>
            <w:vAlign w:val="center"/>
          </w:tcPr>
          <w:p w14:paraId="2B163C78">
            <w:pPr>
              <w:pStyle w:val="146"/>
              <w:rPr>
                <w:rFonts w:hint="eastAsia" w:ascii="宋体" w:hAnsi="宋体" w:cs="宋体"/>
                <w:sz w:val="18"/>
                <w:szCs w:val="18"/>
              </w:rPr>
            </w:pPr>
            <w:r>
              <w:rPr>
                <w:rFonts w:hint="eastAsia" w:ascii="宋体" w:hAnsi="宋体" w:cs="宋体"/>
                <w:sz w:val="18"/>
                <w:szCs w:val="18"/>
              </w:rPr>
              <w:t>断丝</w:t>
            </w:r>
          </w:p>
        </w:tc>
        <w:tc>
          <w:tcPr>
            <w:tcW w:w="1161" w:type="pct"/>
            <w:tcBorders>
              <w:top w:val="single" w:color="auto" w:sz="4" w:space="0"/>
              <w:left w:val="single" w:color="auto" w:sz="4" w:space="0"/>
              <w:bottom w:val="single" w:color="auto" w:sz="4" w:space="0"/>
              <w:right w:val="single" w:color="auto" w:sz="4" w:space="0"/>
            </w:tcBorders>
            <w:vAlign w:val="center"/>
          </w:tcPr>
          <w:p w14:paraId="438FF4A9">
            <w:pPr>
              <w:pStyle w:val="146"/>
              <w:rPr>
                <w:rFonts w:hint="eastAsia" w:ascii="宋体" w:hAnsi="宋体" w:cs="宋体"/>
                <w:sz w:val="18"/>
                <w:szCs w:val="18"/>
              </w:rPr>
            </w:pPr>
            <w:r>
              <w:rPr>
                <w:rFonts w:hint="eastAsia" w:ascii="宋体" w:hAnsi="宋体" w:cs="宋体"/>
                <w:sz w:val="18"/>
                <w:szCs w:val="18"/>
              </w:rPr>
              <w:t>吊杆（索）或系杆断丝</w:t>
            </w:r>
          </w:p>
        </w:tc>
        <w:tc>
          <w:tcPr>
            <w:tcW w:w="562" w:type="pct"/>
            <w:tcBorders>
              <w:top w:val="single" w:color="auto" w:sz="4" w:space="0"/>
              <w:left w:val="single" w:color="auto" w:sz="4" w:space="0"/>
              <w:bottom w:val="single" w:color="auto" w:sz="4" w:space="0"/>
              <w:right w:val="single" w:color="auto" w:sz="4" w:space="0"/>
            </w:tcBorders>
            <w:vAlign w:val="center"/>
          </w:tcPr>
          <w:p w14:paraId="1F661812">
            <w:pPr>
              <w:pStyle w:val="146"/>
              <w:rPr>
                <w:rFonts w:hint="eastAsia" w:ascii="宋体" w:hAnsi="宋体" w:cs="宋体"/>
                <w:sz w:val="18"/>
                <w:szCs w:val="18"/>
              </w:rPr>
            </w:pPr>
            <w:r>
              <w:rPr>
                <w:rFonts w:hint="eastAsia" w:ascii="宋体" w:hAnsi="宋体" w:cs="宋体"/>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78CD71E7">
            <w:pPr>
              <w:pStyle w:val="146"/>
              <w:rPr>
                <w:rFonts w:hint="eastAsia" w:ascii="宋体" w:hAnsi="宋体" w:cs="宋体"/>
                <w:sz w:val="18"/>
                <w:szCs w:val="18"/>
              </w:rPr>
            </w:pPr>
            <w:r>
              <w:rPr>
                <w:rFonts w:hint="eastAsia" w:ascii="宋体" w:hAnsi="宋体" w:cs="宋体"/>
                <w:sz w:val="18"/>
                <w:szCs w:val="18"/>
              </w:rPr>
              <w:t>-</w:t>
            </w:r>
          </w:p>
        </w:tc>
      </w:tr>
      <w:tr w14:paraId="36FDD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4" w:type="pct"/>
            <w:tcBorders>
              <w:top w:val="single" w:color="auto" w:sz="4" w:space="0"/>
              <w:left w:val="single" w:color="auto" w:sz="4" w:space="0"/>
              <w:bottom w:val="single" w:color="auto" w:sz="4" w:space="0"/>
              <w:right w:val="single" w:color="auto" w:sz="4" w:space="0"/>
            </w:tcBorders>
            <w:vAlign w:val="center"/>
          </w:tcPr>
          <w:p w14:paraId="302B0B54">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23</w:t>
            </w:r>
          </w:p>
        </w:tc>
        <w:tc>
          <w:tcPr>
            <w:tcW w:w="361" w:type="pct"/>
            <w:vMerge w:val="continue"/>
            <w:tcBorders>
              <w:top w:val="single" w:color="auto" w:sz="4" w:space="0"/>
              <w:left w:val="single" w:color="auto" w:sz="4" w:space="0"/>
              <w:bottom w:val="single" w:color="auto" w:sz="4" w:space="0"/>
              <w:right w:val="single" w:color="auto" w:sz="4" w:space="0"/>
            </w:tcBorders>
            <w:vAlign w:val="center"/>
          </w:tcPr>
          <w:p w14:paraId="7C5CF8B5">
            <w:pPr>
              <w:widowControl/>
              <w:spacing w:beforeLines="0" w:afterLines="0" w:line="240" w:lineRule="auto"/>
              <w:jc w:val="left"/>
              <w:rPr>
                <w:rFonts w:hint="eastAsia" w:ascii="宋体" w:hAnsi="宋体" w:cs="宋体"/>
                <w:sz w:val="18"/>
                <w:szCs w:val="18"/>
              </w:rPr>
            </w:pPr>
          </w:p>
        </w:tc>
        <w:tc>
          <w:tcPr>
            <w:tcW w:w="861" w:type="pct"/>
            <w:tcBorders>
              <w:top w:val="single" w:color="auto" w:sz="4" w:space="0"/>
              <w:left w:val="single" w:color="auto" w:sz="4" w:space="0"/>
              <w:bottom w:val="single" w:color="auto" w:sz="4" w:space="0"/>
              <w:right w:val="single" w:color="auto" w:sz="4" w:space="0"/>
            </w:tcBorders>
            <w:vAlign w:val="center"/>
          </w:tcPr>
          <w:p w14:paraId="4FA61B65">
            <w:pPr>
              <w:pStyle w:val="146"/>
              <w:rPr>
                <w:rFonts w:hint="eastAsia" w:ascii="宋体" w:hAnsi="宋体" w:cs="宋体"/>
                <w:sz w:val="18"/>
                <w:szCs w:val="18"/>
              </w:rPr>
            </w:pPr>
            <w:r>
              <w:rPr>
                <w:rFonts w:hint="eastAsia" w:ascii="宋体" w:hAnsi="宋体" w:cs="宋体"/>
                <w:sz w:val="18"/>
                <w:szCs w:val="18"/>
              </w:rPr>
              <w:t>螺栓状态</w:t>
            </w:r>
          </w:p>
        </w:tc>
        <w:tc>
          <w:tcPr>
            <w:tcW w:w="1161" w:type="pct"/>
            <w:tcBorders>
              <w:top w:val="single" w:color="auto" w:sz="4" w:space="0"/>
              <w:left w:val="single" w:color="auto" w:sz="4" w:space="0"/>
              <w:bottom w:val="single" w:color="auto" w:sz="4" w:space="0"/>
              <w:right w:val="single" w:color="auto" w:sz="4" w:space="0"/>
            </w:tcBorders>
            <w:vAlign w:val="center"/>
          </w:tcPr>
          <w:p w14:paraId="7D685E05">
            <w:pPr>
              <w:pStyle w:val="146"/>
              <w:rPr>
                <w:rFonts w:hint="eastAsia" w:ascii="宋体" w:hAnsi="宋体" w:cs="宋体"/>
                <w:sz w:val="18"/>
                <w:szCs w:val="18"/>
              </w:rPr>
            </w:pPr>
            <w:r>
              <w:rPr>
                <w:rFonts w:hint="eastAsia" w:ascii="宋体" w:hAnsi="宋体" w:cs="宋体"/>
                <w:sz w:val="18"/>
                <w:szCs w:val="18"/>
              </w:rPr>
              <w:t>高强螺栓紧固力、螺栓滑脱</w:t>
            </w:r>
          </w:p>
        </w:tc>
        <w:tc>
          <w:tcPr>
            <w:tcW w:w="562" w:type="pct"/>
            <w:tcBorders>
              <w:top w:val="single" w:color="auto" w:sz="4" w:space="0"/>
              <w:left w:val="single" w:color="auto" w:sz="4" w:space="0"/>
              <w:bottom w:val="single" w:color="auto" w:sz="4" w:space="0"/>
              <w:right w:val="single" w:color="auto" w:sz="4" w:space="0"/>
            </w:tcBorders>
            <w:vAlign w:val="center"/>
          </w:tcPr>
          <w:p w14:paraId="13A145ED">
            <w:pPr>
              <w:pStyle w:val="146"/>
              <w:rPr>
                <w:rFonts w:hint="eastAsia" w:ascii="宋体" w:hAnsi="宋体" w:cs="宋体"/>
                <w:sz w:val="18"/>
                <w:szCs w:val="18"/>
              </w:rPr>
            </w:pPr>
            <w:r>
              <w:rPr>
                <w:rFonts w:hint="eastAsia" w:ascii="宋体" w:hAnsi="宋体" w:cs="宋体"/>
                <w:sz w:val="18"/>
                <w:szCs w:val="18"/>
              </w:rPr>
              <w:t>◎</w:t>
            </w:r>
          </w:p>
        </w:tc>
        <w:tc>
          <w:tcPr>
            <w:tcW w:w="1678" w:type="pct"/>
            <w:tcBorders>
              <w:top w:val="single" w:color="auto" w:sz="4" w:space="0"/>
              <w:left w:val="single" w:color="auto" w:sz="4" w:space="0"/>
              <w:bottom w:val="single" w:color="auto" w:sz="4" w:space="0"/>
              <w:right w:val="single" w:color="auto" w:sz="4" w:space="0"/>
            </w:tcBorders>
            <w:vAlign w:val="center"/>
          </w:tcPr>
          <w:p w14:paraId="6A8C9937">
            <w:pPr>
              <w:pStyle w:val="146"/>
              <w:rPr>
                <w:rFonts w:hint="eastAsia" w:ascii="宋体" w:hAnsi="宋体" w:cs="宋体"/>
                <w:sz w:val="18"/>
                <w:szCs w:val="18"/>
              </w:rPr>
            </w:pPr>
            <w:r>
              <w:rPr>
                <w:rFonts w:hint="eastAsia" w:ascii="宋体" w:hAnsi="宋体" w:cs="宋体"/>
                <w:sz w:val="18"/>
                <w:szCs w:val="18"/>
              </w:rPr>
              <w:t>-</w:t>
            </w:r>
          </w:p>
        </w:tc>
      </w:tr>
      <w:tr w14:paraId="53F0F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14:paraId="01EA3FEE">
            <w:pPr>
              <w:pStyle w:val="146"/>
              <w:jc w:val="left"/>
              <w:rPr>
                <w:rFonts w:hint="eastAsia" w:ascii="宋体" w:hAnsi="宋体" w:cs="宋体"/>
                <w:sz w:val="18"/>
                <w:szCs w:val="18"/>
              </w:rPr>
            </w:pPr>
            <w:r>
              <w:rPr>
                <w:rFonts w:hint="eastAsia" w:ascii="宋体" w:hAnsi="宋体" w:cs="宋体"/>
                <w:sz w:val="18"/>
                <w:szCs w:val="18"/>
              </w:rPr>
              <w:t>注：1.“</w:t>
            </w:r>
            <w:r>
              <w:rPr>
                <w:rFonts w:hint="eastAsia" w:ascii="宋体" w:hAnsi="宋体" w:cs="宋体"/>
                <w:bCs/>
                <w:sz w:val="18"/>
                <w:szCs w:val="18"/>
              </w:rPr>
              <w:t>●</w:t>
            </w:r>
            <w:r>
              <w:rPr>
                <w:rFonts w:hint="eastAsia" w:ascii="宋体" w:hAnsi="宋体" w:cs="宋体"/>
                <w:sz w:val="18"/>
                <w:szCs w:val="18"/>
              </w:rPr>
              <w:t>”表示必选监测项、“◎”表示宜选监测项、“○”表示可选监测项；</w:t>
            </w:r>
          </w:p>
          <w:p w14:paraId="0910A1EE">
            <w:pPr>
              <w:pStyle w:val="146"/>
              <w:ind w:firstLine="360" w:firstLineChars="200"/>
              <w:jc w:val="left"/>
              <w:rPr>
                <w:rFonts w:hint="eastAsia" w:ascii="宋体" w:hAnsi="宋体" w:cs="宋体"/>
                <w:sz w:val="18"/>
                <w:szCs w:val="18"/>
              </w:rPr>
            </w:pPr>
            <w:r>
              <w:rPr>
                <w:rFonts w:hint="eastAsia" w:ascii="宋体" w:hAnsi="宋体" w:cs="宋体"/>
                <w:sz w:val="18"/>
                <w:szCs w:val="18"/>
              </w:rPr>
              <w:t>2.“―”表示测点布设可根据</w:t>
            </w:r>
            <w:r>
              <w:rPr>
                <w:rFonts w:hint="eastAsia" w:ascii="宋体" w:hAnsi="宋体" w:cs="宋体"/>
                <w:sz w:val="18"/>
                <w:szCs w:val="18"/>
                <w:lang w:eastAsia="zh-CN"/>
              </w:rPr>
              <w:t>现场情况</w:t>
            </w:r>
            <w:r>
              <w:rPr>
                <w:rFonts w:hint="eastAsia" w:ascii="宋体" w:hAnsi="宋体" w:cs="宋体"/>
                <w:sz w:val="18"/>
                <w:szCs w:val="18"/>
              </w:rPr>
              <w:t>选择桥址处适当位置；</w:t>
            </w:r>
          </w:p>
          <w:p w14:paraId="2B212417">
            <w:pPr>
              <w:pStyle w:val="146"/>
              <w:spacing w:before="24" w:after="24"/>
              <w:ind w:firstLine="360" w:firstLineChars="200"/>
              <w:jc w:val="left"/>
              <w:rPr>
                <w:rFonts w:hint="eastAsia" w:ascii="宋体" w:hAnsi="宋体" w:cs="宋体"/>
                <w:sz w:val="18"/>
                <w:szCs w:val="18"/>
              </w:rPr>
            </w:pPr>
            <w:r>
              <w:rPr>
                <w:rFonts w:hint="eastAsia" w:ascii="宋体" w:hAnsi="宋体" w:cs="宋体"/>
                <w:sz w:val="18"/>
                <w:szCs w:val="18"/>
              </w:rPr>
              <w:t>3.拱桥宜监测关键受力截面的变位和裂缝。有推力式拱可监测拱脚、四分点和拱顶等关键截面。无推力式拱桥可监测拱肋四分点和拱顶等关键截面。</w:t>
            </w:r>
          </w:p>
          <w:p w14:paraId="23F10CF9">
            <w:pPr>
              <w:pStyle w:val="146"/>
              <w:spacing w:before="24" w:after="24"/>
              <w:ind w:firstLine="360" w:firstLineChars="200"/>
              <w:jc w:val="left"/>
              <w:rPr>
                <w:rFonts w:hint="eastAsia" w:ascii="宋体" w:hAnsi="宋体" w:cs="宋体"/>
                <w:sz w:val="18"/>
                <w:szCs w:val="18"/>
              </w:rPr>
            </w:pPr>
            <w:r>
              <w:rPr>
                <w:rFonts w:hint="eastAsia" w:ascii="宋体" w:hAnsi="宋体" w:cs="宋体"/>
                <w:sz w:val="18"/>
                <w:szCs w:val="18"/>
              </w:rPr>
              <w:t>4.拱桥采用刚性系杆时宜监测关键截面应变，采用柔性系杆时宜监测索力变化。</w:t>
            </w:r>
          </w:p>
          <w:p w14:paraId="44551647">
            <w:pPr>
              <w:pStyle w:val="146"/>
              <w:ind w:firstLine="360" w:firstLineChars="200"/>
              <w:jc w:val="left"/>
              <w:rPr>
                <w:rFonts w:hint="eastAsia" w:ascii="宋体" w:hAnsi="宋体" w:cs="宋体"/>
                <w:sz w:val="18"/>
                <w:szCs w:val="18"/>
              </w:rPr>
            </w:pPr>
            <w:r>
              <w:rPr>
                <w:rFonts w:hint="eastAsia" w:ascii="宋体" w:hAnsi="宋体" w:cs="宋体"/>
                <w:sz w:val="18"/>
                <w:szCs w:val="18"/>
              </w:rPr>
              <w:t>5.对于中、下承式拱桥应在跨中布设风速风向监测点，风环境复杂时可在拱顶增设风速风向监测点</w:t>
            </w:r>
          </w:p>
        </w:tc>
      </w:tr>
    </w:tbl>
    <w:p w14:paraId="0172B7AC">
      <w:pPr>
        <w:pStyle w:val="98"/>
        <w:spacing w:before="31" w:after="31"/>
        <w:jc w:val="center"/>
        <w:rPr>
          <w:rFonts w:hint="eastAsia" w:ascii="黑体" w:hAnsi="黑体" w:eastAsia="黑体"/>
          <w:bCs/>
          <w:color w:val="auto"/>
        </w:rPr>
      </w:pPr>
    </w:p>
    <w:p w14:paraId="4FEBA42B">
      <w:pPr>
        <w:rPr>
          <w:rFonts w:hint="eastAsia" w:ascii="黑体" w:hAnsi="黑体" w:eastAsia="黑体"/>
          <w:bCs/>
          <w:color w:val="auto"/>
          <w:lang w:val="en-US" w:eastAsia="zh-CN"/>
        </w:rPr>
      </w:pPr>
      <w:r>
        <w:rPr>
          <w:rFonts w:hint="eastAsia"/>
          <w:b w:val="0"/>
          <w:bCs w:val="0"/>
          <w:lang w:val="en-US" w:eastAsia="zh-CN"/>
        </w:rPr>
        <w:t>斜拉桥监测布点要求见表B.5.5。</w:t>
      </w:r>
    </w:p>
    <w:p w14:paraId="13D757D0">
      <w:pPr>
        <w:pStyle w:val="98"/>
        <w:spacing w:before="31" w:after="31"/>
        <w:jc w:val="center"/>
        <w:rPr>
          <w:rFonts w:hint="default" w:ascii="黑体" w:hAnsi="黑体" w:eastAsia="黑体"/>
          <w:bCs/>
          <w:color w:val="auto"/>
          <w:lang w:val="en-US" w:eastAsia="zh-CN"/>
        </w:rPr>
      </w:pPr>
      <w:r>
        <w:rPr>
          <w:rFonts w:hint="eastAsia" w:ascii="黑体" w:hAnsi="黑体" w:eastAsia="黑体"/>
          <w:bCs/>
          <w:color w:val="auto"/>
        </w:rPr>
        <w:t>B.5.5</w:t>
      </w:r>
      <w:r>
        <w:rPr>
          <w:rFonts w:ascii="黑体" w:hAnsi="黑体" w:eastAsia="黑体"/>
          <w:bCs/>
          <w:color w:val="auto"/>
        </w:rPr>
        <w:t xml:space="preserve"> </w:t>
      </w:r>
      <w:r>
        <w:rPr>
          <w:rFonts w:hint="eastAsia" w:ascii="黑体" w:hAnsi="黑体" w:eastAsia="黑体"/>
          <w:bCs/>
          <w:color w:val="auto"/>
        </w:rPr>
        <w:t>斜拉桥监测</w:t>
      </w:r>
      <w:r>
        <w:rPr>
          <w:rFonts w:hint="eastAsia" w:ascii="黑体" w:hAnsi="黑体" w:eastAsia="黑体"/>
          <w:bCs/>
          <w:color w:val="auto"/>
          <w:lang w:val="en-US" w:eastAsia="zh-CN"/>
        </w:rPr>
        <w:t>布点要求</w:t>
      </w:r>
    </w:p>
    <w:tbl>
      <w:tblPr>
        <w:tblStyle w:val="35"/>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598"/>
        <w:gridCol w:w="1448"/>
        <w:gridCol w:w="1991"/>
        <w:gridCol w:w="941"/>
        <w:gridCol w:w="2922"/>
      </w:tblGrid>
      <w:tr w14:paraId="482F9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597" w:type="dxa"/>
            <w:tcBorders>
              <w:top w:val="single" w:color="auto" w:sz="4" w:space="0"/>
              <w:left w:val="single" w:color="auto" w:sz="4" w:space="0"/>
              <w:bottom w:val="single" w:color="auto" w:sz="4" w:space="0"/>
              <w:right w:val="single" w:color="auto" w:sz="4" w:space="0"/>
            </w:tcBorders>
            <w:vAlign w:val="center"/>
          </w:tcPr>
          <w:p w14:paraId="4AB3C76E">
            <w:pPr>
              <w:pStyle w:val="146"/>
              <w:rPr>
                <w:rFonts w:hint="eastAsia" w:ascii="宋体" w:hAnsi="宋体" w:eastAsia="宋体" w:cs="宋体"/>
                <w:sz w:val="18"/>
                <w:szCs w:val="18"/>
                <w:lang w:val="en-US" w:eastAsia="zh-CN"/>
              </w:rPr>
            </w:pPr>
            <w:r>
              <w:rPr>
                <w:rFonts w:hint="eastAsia" w:ascii="宋体" w:hAnsi="宋体" w:cs="宋体"/>
                <w:sz w:val="18"/>
                <w:szCs w:val="18"/>
                <w:lang w:val="en-US" w:eastAsia="zh-CN"/>
              </w:rPr>
              <w:t>序号</w:t>
            </w:r>
          </w:p>
        </w:tc>
        <w:tc>
          <w:tcPr>
            <w:tcW w:w="2046" w:type="dxa"/>
            <w:gridSpan w:val="2"/>
            <w:tcBorders>
              <w:top w:val="single" w:color="auto" w:sz="4" w:space="0"/>
              <w:left w:val="single" w:color="auto" w:sz="4" w:space="0"/>
              <w:bottom w:val="single" w:color="auto" w:sz="4" w:space="0"/>
              <w:right w:val="single" w:color="auto" w:sz="4" w:space="0"/>
            </w:tcBorders>
            <w:vAlign w:val="center"/>
          </w:tcPr>
          <w:p w14:paraId="2177E74D">
            <w:pPr>
              <w:pStyle w:val="146"/>
              <w:rPr>
                <w:rFonts w:hint="eastAsia" w:ascii="宋体" w:hAnsi="宋体" w:cs="宋体"/>
                <w:sz w:val="18"/>
                <w:szCs w:val="18"/>
              </w:rPr>
            </w:pPr>
            <w:r>
              <w:rPr>
                <w:rFonts w:hint="eastAsia" w:ascii="宋体" w:hAnsi="宋体" w:cs="宋体"/>
                <w:sz w:val="18"/>
                <w:szCs w:val="18"/>
              </w:rPr>
              <w:t>监测对象</w:t>
            </w:r>
          </w:p>
        </w:tc>
        <w:tc>
          <w:tcPr>
            <w:tcW w:w="1991" w:type="dxa"/>
            <w:tcBorders>
              <w:top w:val="single" w:color="auto" w:sz="4" w:space="0"/>
              <w:left w:val="single" w:color="auto" w:sz="4" w:space="0"/>
              <w:bottom w:val="single" w:color="auto" w:sz="4" w:space="0"/>
              <w:right w:val="single" w:color="auto" w:sz="4" w:space="0"/>
            </w:tcBorders>
            <w:vAlign w:val="center"/>
          </w:tcPr>
          <w:p w14:paraId="19328AE2">
            <w:pPr>
              <w:pStyle w:val="146"/>
              <w:rPr>
                <w:rFonts w:hint="eastAsia" w:ascii="宋体" w:hAnsi="宋体" w:cs="宋体"/>
                <w:sz w:val="18"/>
                <w:szCs w:val="18"/>
              </w:rPr>
            </w:pPr>
            <w:r>
              <w:rPr>
                <w:rFonts w:hint="eastAsia" w:ascii="宋体" w:hAnsi="宋体" w:cs="宋体"/>
                <w:sz w:val="18"/>
                <w:szCs w:val="18"/>
              </w:rPr>
              <w:t>监测指标</w:t>
            </w:r>
          </w:p>
        </w:tc>
        <w:tc>
          <w:tcPr>
            <w:tcW w:w="941" w:type="dxa"/>
            <w:tcBorders>
              <w:top w:val="single" w:color="auto" w:sz="4" w:space="0"/>
              <w:left w:val="single" w:color="auto" w:sz="4" w:space="0"/>
              <w:bottom w:val="single" w:color="auto" w:sz="4" w:space="0"/>
              <w:right w:val="single" w:color="auto" w:sz="4" w:space="0"/>
            </w:tcBorders>
            <w:vAlign w:val="center"/>
          </w:tcPr>
          <w:p w14:paraId="1374051C">
            <w:pPr>
              <w:pStyle w:val="146"/>
              <w:rPr>
                <w:rFonts w:hint="eastAsia" w:ascii="宋体" w:hAnsi="宋体" w:cs="宋体"/>
                <w:sz w:val="18"/>
                <w:szCs w:val="18"/>
              </w:rPr>
            </w:pPr>
            <w:r>
              <w:rPr>
                <w:rFonts w:hint="eastAsia" w:ascii="宋体" w:hAnsi="宋体" w:cs="宋体"/>
                <w:sz w:val="18"/>
                <w:szCs w:val="18"/>
              </w:rPr>
              <w:t>监测要求</w:t>
            </w:r>
          </w:p>
        </w:tc>
        <w:tc>
          <w:tcPr>
            <w:tcW w:w="2922" w:type="dxa"/>
            <w:tcBorders>
              <w:top w:val="single" w:color="auto" w:sz="4" w:space="0"/>
              <w:left w:val="single" w:color="auto" w:sz="4" w:space="0"/>
              <w:bottom w:val="single" w:color="auto" w:sz="4" w:space="0"/>
              <w:right w:val="single" w:color="auto" w:sz="4" w:space="0"/>
            </w:tcBorders>
            <w:vAlign w:val="center"/>
          </w:tcPr>
          <w:p w14:paraId="2F2B777F">
            <w:pPr>
              <w:pStyle w:val="146"/>
              <w:rPr>
                <w:rFonts w:hint="eastAsia" w:ascii="宋体" w:hAnsi="宋体" w:cs="宋体"/>
                <w:sz w:val="18"/>
                <w:szCs w:val="18"/>
              </w:rPr>
            </w:pPr>
            <w:r>
              <w:rPr>
                <w:rFonts w:hint="eastAsia" w:ascii="宋体" w:hAnsi="宋体" w:cs="宋体"/>
                <w:color w:val="000000"/>
                <w:kern w:val="0"/>
                <w:sz w:val="18"/>
                <w:szCs w:val="18"/>
              </w:rPr>
              <w:t>监测布</w:t>
            </w:r>
            <w:r>
              <w:rPr>
                <w:rFonts w:hint="eastAsia" w:ascii="宋体" w:hAnsi="宋体" w:cs="宋体"/>
                <w:color w:val="000000"/>
                <w:kern w:val="0"/>
                <w:sz w:val="18"/>
                <w:szCs w:val="18"/>
                <w:lang w:val="en-US" w:eastAsia="zh-CN"/>
              </w:rPr>
              <w:t>点</w:t>
            </w:r>
            <w:r>
              <w:rPr>
                <w:rFonts w:hint="eastAsia" w:ascii="宋体" w:hAnsi="宋体" w:cs="宋体"/>
                <w:color w:val="000000"/>
                <w:kern w:val="0"/>
                <w:sz w:val="18"/>
                <w:szCs w:val="18"/>
              </w:rPr>
              <w:t>要求</w:t>
            </w:r>
          </w:p>
        </w:tc>
      </w:tr>
      <w:tr w14:paraId="33C6E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97" w:type="dxa"/>
            <w:vMerge w:val="restart"/>
            <w:tcBorders>
              <w:top w:val="single" w:color="auto" w:sz="4" w:space="0"/>
              <w:left w:val="single" w:color="auto" w:sz="4" w:space="0"/>
              <w:right w:val="single" w:color="auto" w:sz="4" w:space="0"/>
            </w:tcBorders>
            <w:vAlign w:val="center"/>
          </w:tcPr>
          <w:p w14:paraId="70C896DE">
            <w:pPr>
              <w:pStyle w:val="146"/>
              <w:rPr>
                <w:rFonts w:hint="eastAsia" w:ascii="宋体" w:hAnsi="宋体" w:eastAsia="宋体" w:cs="宋体"/>
                <w:sz w:val="18"/>
                <w:szCs w:val="18"/>
                <w:lang w:val="en-US" w:eastAsia="zh-CN"/>
              </w:rPr>
            </w:pPr>
            <w:r>
              <w:rPr>
                <w:rFonts w:hint="eastAsia" w:ascii="宋体" w:hAnsi="宋体" w:cs="宋体"/>
                <w:sz w:val="18"/>
                <w:szCs w:val="18"/>
                <w:lang w:val="en-US" w:eastAsia="zh-CN"/>
              </w:rPr>
              <w:t>1</w:t>
            </w:r>
          </w:p>
        </w:tc>
        <w:tc>
          <w:tcPr>
            <w:tcW w:w="598" w:type="dxa"/>
            <w:vMerge w:val="restart"/>
            <w:tcBorders>
              <w:top w:val="single" w:color="auto" w:sz="4" w:space="0"/>
              <w:left w:val="single" w:color="auto" w:sz="4" w:space="0"/>
              <w:bottom w:val="single" w:color="auto" w:sz="4" w:space="0"/>
              <w:right w:val="single" w:color="auto" w:sz="4" w:space="0"/>
            </w:tcBorders>
            <w:vAlign w:val="center"/>
          </w:tcPr>
          <w:p w14:paraId="4CCB7DB7">
            <w:pPr>
              <w:pStyle w:val="146"/>
              <w:rPr>
                <w:rFonts w:hint="eastAsia" w:ascii="宋体" w:hAnsi="宋体" w:eastAsia="宋体" w:cs="宋体"/>
                <w:sz w:val="18"/>
                <w:szCs w:val="18"/>
                <w:lang w:eastAsia="zh-CN"/>
              </w:rPr>
            </w:pPr>
            <w:r>
              <w:rPr>
                <w:rFonts w:hint="eastAsia" w:ascii="宋体" w:hAnsi="宋体" w:cs="宋体"/>
                <w:sz w:val="18"/>
                <w:szCs w:val="18"/>
                <w:lang w:eastAsia="zh-CN"/>
              </w:rPr>
              <w:t>周边环境</w:t>
            </w:r>
          </w:p>
        </w:tc>
        <w:tc>
          <w:tcPr>
            <w:tcW w:w="1448" w:type="dxa"/>
            <w:vMerge w:val="restart"/>
            <w:tcBorders>
              <w:top w:val="single" w:color="auto" w:sz="4" w:space="0"/>
              <w:left w:val="single" w:color="auto" w:sz="4" w:space="0"/>
              <w:bottom w:val="single" w:color="auto" w:sz="4" w:space="0"/>
              <w:right w:val="single" w:color="auto" w:sz="4" w:space="0"/>
            </w:tcBorders>
            <w:vAlign w:val="center"/>
          </w:tcPr>
          <w:p w14:paraId="597FB9A3">
            <w:pPr>
              <w:pStyle w:val="146"/>
              <w:rPr>
                <w:rFonts w:hint="eastAsia" w:ascii="宋体" w:hAnsi="宋体" w:cs="宋体"/>
                <w:sz w:val="18"/>
                <w:szCs w:val="18"/>
              </w:rPr>
            </w:pPr>
            <w:r>
              <w:rPr>
                <w:rFonts w:hint="eastAsia" w:ascii="宋体" w:hAnsi="宋体" w:cs="宋体"/>
                <w:sz w:val="18"/>
                <w:szCs w:val="18"/>
              </w:rPr>
              <w:t>温度、湿度</w:t>
            </w:r>
          </w:p>
        </w:tc>
        <w:tc>
          <w:tcPr>
            <w:tcW w:w="1991" w:type="dxa"/>
            <w:tcBorders>
              <w:top w:val="single" w:color="auto" w:sz="4" w:space="0"/>
              <w:left w:val="single" w:color="auto" w:sz="4" w:space="0"/>
              <w:bottom w:val="single" w:color="auto" w:sz="4" w:space="0"/>
              <w:right w:val="single" w:color="auto" w:sz="4" w:space="0"/>
            </w:tcBorders>
            <w:vAlign w:val="center"/>
          </w:tcPr>
          <w:p w14:paraId="79AB3DFD">
            <w:pPr>
              <w:pStyle w:val="146"/>
              <w:rPr>
                <w:rFonts w:hint="eastAsia" w:ascii="宋体" w:hAnsi="宋体" w:cs="宋体"/>
                <w:bCs/>
                <w:sz w:val="18"/>
                <w:szCs w:val="18"/>
              </w:rPr>
            </w:pPr>
            <w:r>
              <w:rPr>
                <w:rFonts w:hint="eastAsia" w:ascii="宋体" w:hAnsi="宋体" w:cs="宋体"/>
                <w:bCs/>
                <w:sz w:val="18"/>
                <w:szCs w:val="18"/>
              </w:rPr>
              <w:t>桥址区环境温度、湿度</w:t>
            </w:r>
          </w:p>
        </w:tc>
        <w:tc>
          <w:tcPr>
            <w:tcW w:w="941" w:type="dxa"/>
            <w:tcBorders>
              <w:top w:val="single" w:color="auto" w:sz="4" w:space="0"/>
              <w:left w:val="single" w:color="auto" w:sz="4" w:space="0"/>
              <w:bottom w:val="single" w:color="auto" w:sz="4" w:space="0"/>
              <w:right w:val="single" w:color="auto" w:sz="4" w:space="0"/>
            </w:tcBorders>
            <w:vAlign w:val="center"/>
          </w:tcPr>
          <w:p w14:paraId="7D6CDF43">
            <w:pPr>
              <w:pStyle w:val="146"/>
              <w:rPr>
                <w:rFonts w:hint="eastAsia" w:ascii="宋体" w:hAnsi="宋体" w:cs="宋体"/>
                <w:bCs/>
                <w:sz w:val="18"/>
                <w:szCs w:val="18"/>
              </w:rPr>
            </w:pPr>
            <w:r>
              <w:rPr>
                <w:rFonts w:hint="eastAsia" w:ascii="宋体" w:hAnsi="宋体" w:cs="宋体"/>
                <w:bCs/>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586123A0">
            <w:pPr>
              <w:pStyle w:val="146"/>
              <w:rPr>
                <w:rFonts w:hint="eastAsia" w:ascii="宋体" w:hAnsi="宋体" w:cs="宋体"/>
                <w:sz w:val="18"/>
                <w:szCs w:val="18"/>
              </w:rPr>
            </w:pPr>
            <w:r>
              <w:rPr>
                <w:rFonts w:hint="eastAsia" w:cs="宋体"/>
                <w:bCs/>
                <w:sz w:val="18"/>
                <w:szCs w:val="18"/>
              </w:rPr>
              <w:t>桥梁中部</w:t>
            </w:r>
          </w:p>
        </w:tc>
      </w:tr>
      <w:tr w14:paraId="7F652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vMerge w:val="continue"/>
            <w:tcBorders>
              <w:left w:val="single" w:color="auto" w:sz="4" w:space="0"/>
              <w:right w:val="single" w:color="auto" w:sz="4" w:space="0"/>
            </w:tcBorders>
            <w:vAlign w:val="center"/>
          </w:tcPr>
          <w:p w14:paraId="7A766844">
            <w:pPr>
              <w:widowControl/>
              <w:spacing w:beforeLines="0" w:afterLines="0" w:line="240" w:lineRule="auto"/>
              <w:jc w:val="left"/>
              <w:rPr>
                <w:rFonts w:hint="eastAsia" w:ascii="宋体" w:hAnsi="宋体" w:cs="宋体"/>
                <w:sz w:val="18"/>
                <w:szCs w:val="18"/>
              </w:rPr>
            </w:pPr>
          </w:p>
        </w:tc>
        <w:tc>
          <w:tcPr>
            <w:tcW w:w="598" w:type="dxa"/>
            <w:vMerge w:val="continue"/>
            <w:tcBorders>
              <w:top w:val="single" w:color="auto" w:sz="4" w:space="0"/>
              <w:left w:val="single" w:color="auto" w:sz="4" w:space="0"/>
              <w:bottom w:val="single" w:color="auto" w:sz="4" w:space="0"/>
              <w:right w:val="single" w:color="auto" w:sz="4" w:space="0"/>
            </w:tcBorders>
            <w:vAlign w:val="center"/>
          </w:tcPr>
          <w:p w14:paraId="476EA4E4">
            <w:pPr>
              <w:widowControl/>
              <w:spacing w:beforeLines="0" w:afterLines="0" w:line="240" w:lineRule="auto"/>
              <w:jc w:val="left"/>
              <w:rPr>
                <w:rFonts w:hint="eastAsia" w:ascii="宋体" w:hAnsi="宋体" w:cs="宋体"/>
                <w:sz w:val="18"/>
                <w:szCs w:val="18"/>
              </w:rPr>
            </w:pPr>
          </w:p>
        </w:tc>
        <w:tc>
          <w:tcPr>
            <w:tcW w:w="1448" w:type="dxa"/>
            <w:vMerge w:val="continue"/>
            <w:tcBorders>
              <w:top w:val="single" w:color="auto" w:sz="4" w:space="0"/>
              <w:left w:val="single" w:color="auto" w:sz="4" w:space="0"/>
              <w:bottom w:val="single" w:color="auto" w:sz="4" w:space="0"/>
              <w:right w:val="single" w:color="auto" w:sz="4" w:space="0"/>
            </w:tcBorders>
            <w:vAlign w:val="center"/>
          </w:tcPr>
          <w:p w14:paraId="1EDB886D">
            <w:pPr>
              <w:widowControl/>
              <w:spacing w:beforeLines="0" w:afterLines="0" w:line="240" w:lineRule="auto"/>
              <w:jc w:val="left"/>
              <w:rPr>
                <w:rFonts w:hint="eastAsia" w:ascii="宋体" w:hAnsi="宋体" w:cs="宋体"/>
                <w:sz w:val="18"/>
                <w:szCs w:val="18"/>
              </w:rPr>
            </w:pPr>
          </w:p>
        </w:tc>
        <w:tc>
          <w:tcPr>
            <w:tcW w:w="1991" w:type="dxa"/>
            <w:tcBorders>
              <w:top w:val="single" w:color="auto" w:sz="4" w:space="0"/>
              <w:left w:val="single" w:color="auto" w:sz="4" w:space="0"/>
              <w:bottom w:val="single" w:color="auto" w:sz="4" w:space="0"/>
              <w:right w:val="single" w:color="auto" w:sz="4" w:space="0"/>
            </w:tcBorders>
            <w:vAlign w:val="center"/>
          </w:tcPr>
          <w:p w14:paraId="3F346C7B">
            <w:pPr>
              <w:pStyle w:val="146"/>
              <w:rPr>
                <w:rFonts w:hint="eastAsia" w:ascii="宋体" w:hAnsi="宋体" w:cs="宋体"/>
                <w:bCs/>
                <w:sz w:val="18"/>
                <w:szCs w:val="18"/>
              </w:rPr>
            </w:pPr>
            <w:r>
              <w:rPr>
                <w:rFonts w:hint="eastAsia" w:ascii="宋体" w:hAnsi="宋体" w:cs="宋体"/>
                <w:bCs/>
                <w:sz w:val="18"/>
                <w:szCs w:val="18"/>
              </w:rPr>
              <w:t>主梁内温度、湿度（封闭箱梁）</w:t>
            </w:r>
          </w:p>
        </w:tc>
        <w:tc>
          <w:tcPr>
            <w:tcW w:w="941" w:type="dxa"/>
            <w:tcBorders>
              <w:top w:val="single" w:color="auto" w:sz="4" w:space="0"/>
              <w:left w:val="single" w:color="auto" w:sz="4" w:space="0"/>
              <w:bottom w:val="single" w:color="auto" w:sz="4" w:space="0"/>
              <w:right w:val="single" w:color="auto" w:sz="4" w:space="0"/>
            </w:tcBorders>
            <w:vAlign w:val="center"/>
          </w:tcPr>
          <w:p w14:paraId="5A6237D9">
            <w:pPr>
              <w:pStyle w:val="146"/>
              <w:rPr>
                <w:rFonts w:hint="eastAsia" w:ascii="宋体" w:hAnsi="宋体" w:cs="宋体"/>
                <w:bCs/>
                <w:sz w:val="18"/>
                <w:szCs w:val="18"/>
              </w:rPr>
            </w:pPr>
            <w:r>
              <w:rPr>
                <w:rFonts w:hint="eastAsia" w:ascii="宋体" w:hAnsi="宋体" w:cs="宋体"/>
                <w:bCs/>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0D582660">
            <w:pPr>
              <w:pStyle w:val="146"/>
              <w:rPr>
                <w:rFonts w:hint="eastAsia" w:ascii="宋体" w:hAnsi="宋体" w:cs="宋体"/>
                <w:sz w:val="18"/>
                <w:szCs w:val="18"/>
              </w:rPr>
            </w:pPr>
            <w:r>
              <w:rPr>
                <w:rFonts w:cs="宋体"/>
                <w:bCs/>
                <w:sz w:val="18"/>
                <w:szCs w:val="18"/>
              </w:rPr>
              <w:t>布设在桥梁结构内、 外温度或湿度变化较大和对温度、湿度敏感的部位</w:t>
            </w:r>
          </w:p>
        </w:tc>
      </w:tr>
      <w:tr w14:paraId="1EEC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597" w:type="dxa"/>
            <w:vMerge w:val="continue"/>
            <w:tcBorders>
              <w:left w:val="single" w:color="auto" w:sz="4" w:space="0"/>
              <w:bottom w:val="single" w:color="auto" w:sz="4" w:space="0"/>
              <w:right w:val="single" w:color="auto" w:sz="4" w:space="0"/>
            </w:tcBorders>
            <w:vAlign w:val="center"/>
          </w:tcPr>
          <w:p w14:paraId="7B4723E1">
            <w:pPr>
              <w:widowControl/>
              <w:spacing w:beforeLines="0" w:afterLines="0" w:line="240" w:lineRule="auto"/>
              <w:jc w:val="left"/>
              <w:rPr>
                <w:rFonts w:hint="eastAsia" w:ascii="宋体" w:hAnsi="宋体" w:cs="宋体"/>
                <w:sz w:val="18"/>
                <w:szCs w:val="18"/>
              </w:rPr>
            </w:pPr>
          </w:p>
        </w:tc>
        <w:tc>
          <w:tcPr>
            <w:tcW w:w="598" w:type="dxa"/>
            <w:vMerge w:val="continue"/>
            <w:tcBorders>
              <w:top w:val="single" w:color="auto" w:sz="4" w:space="0"/>
              <w:left w:val="single" w:color="auto" w:sz="4" w:space="0"/>
              <w:bottom w:val="single" w:color="auto" w:sz="4" w:space="0"/>
              <w:right w:val="single" w:color="auto" w:sz="4" w:space="0"/>
            </w:tcBorders>
            <w:vAlign w:val="center"/>
          </w:tcPr>
          <w:p w14:paraId="0F03DE78">
            <w:pPr>
              <w:widowControl/>
              <w:spacing w:beforeLines="0" w:afterLines="0" w:line="240" w:lineRule="auto"/>
              <w:jc w:val="left"/>
              <w:rPr>
                <w:rFonts w:hint="eastAsia" w:ascii="宋体" w:hAnsi="宋体" w:cs="宋体"/>
                <w:sz w:val="18"/>
                <w:szCs w:val="18"/>
              </w:rPr>
            </w:pPr>
          </w:p>
        </w:tc>
        <w:tc>
          <w:tcPr>
            <w:tcW w:w="1448" w:type="dxa"/>
            <w:vMerge w:val="continue"/>
            <w:tcBorders>
              <w:top w:val="single" w:color="auto" w:sz="4" w:space="0"/>
              <w:left w:val="single" w:color="auto" w:sz="4" w:space="0"/>
              <w:bottom w:val="single" w:color="auto" w:sz="4" w:space="0"/>
              <w:right w:val="single" w:color="auto" w:sz="4" w:space="0"/>
            </w:tcBorders>
            <w:vAlign w:val="center"/>
          </w:tcPr>
          <w:p w14:paraId="1A0960DF">
            <w:pPr>
              <w:widowControl/>
              <w:spacing w:beforeLines="0" w:afterLines="0" w:line="240" w:lineRule="auto"/>
              <w:jc w:val="left"/>
              <w:rPr>
                <w:rFonts w:hint="eastAsia" w:ascii="宋体" w:hAnsi="宋体" w:cs="宋体"/>
                <w:sz w:val="18"/>
                <w:szCs w:val="18"/>
              </w:rPr>
            </w:pPr>
          </w:p>
        </w:tc>
        <w:tc>
          <w:tcPr>
            <w:tcW w:w="1991" w:type="dxa"/>
            <w:tcBorders>
              <w:top w:val="single" w:color="auto" w:sz="4" w:space="0"/>
              <w:left w:val="single" w:color="auto" w:sz="4" w:space="0"/>
              <w:bottom w:val="single" w:color="auto" w:sz="4" w:space="0"/>
              <w:right w:val="single" w:color="auto" w:sz="4" w:space="0"/>
            </w:tcBorders>
            <w:vAlign w:val="center"/>
          </w:tcPr>
          <w:p w14:paraId="5F8A3026">
            <w:pPr>
              <w:pStyle w:val="146"/>
              <w:rPr>
                <w:rFonts w:hint="eastAsia" w:ascii="宋体" w:hAnsi="宋体" w:cs="宋体"/>
                <w:bCs/>
                <w:sz w:val="18"/>
                <w:szCs w:val="18"/>
              </w:rPr>
            </w:pPr>
            <w:r>
              <w:rPr>
                <w:rFonts w:hint="eastAsia" w:ascii="宋体" w:hAnsi="宋体" w:cs="宋体"/>
                <w:bCs/>
                <w:sz w:val="18"/>
                <w:szCs w:val="18"/>
              </w:rPr>
              <w:t>索塔锚固区温度、湿度</w:t>
            </w:r>
          </w:p>
        </w:tc>
        <w:tc>
          <w:tcPr>
            <w:tcW w:w="941" w:type="dxa"/>
            <w:tcBorders>
              <w:top w:val="single" w:color="auto" w:sz="4" w:space="0"/>
              <w:left w:val="single" w:color="auto" w:sz="4" w:space="0"/>
              <w:bottom w:val="single" w:color="auto" w:sz="4" w:space="0"/>
              <w:right w:val="single" w:color="auto" w:sz="4" w:space="0"/>
            </w:tcBorders>
            <w:vAlign w:val="center"/>
          </w:tcPr>
          <w:p w14:paraId="4241989D">
            <w:pPr>
              <w:pStyle w:val="146"/>
              <w:rPr>
                <w:rFonts w:hint="eastAsia" w:ascii="宋体" w:hAnsi="宋体" w:cs="宋体"/>
                <w:bCs/>
                <w:sz w:val="18"/>
                <w:szCs w:val="18"/>
              </w:rPr>
            </w:pPr>
            <w:r>
              <w:rPr>
                <w:rFonts w:hint="eastAsia" w:ascii="宋体" w:hAnsi="宋体" w:cs="宋体"/>
                <w:bCs/>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3C047959">
            <w:pPr>
              <w:pStyle w:val="146"/>
              <w:rPr>
                <w:rFonts w:hint="eastAsia" w:ascii="宋体" w:hAnsi="宋体" w:cs="宋体"/>
                <w:sz w:val="18"/>
                <w:szCs w:val="18"/>
              </w:rPr>
            </w:pPr>
            <w:r>
              <w:rPr>
                <w:rFonts w:hint="eastAsia" w:ascii="宋体" w:hAnsi="宋体" w:cs="宋体"/>
                <w:sz w:val="18"/>
                <w:szCs w:val="18"/>
              </w:rPr>
              <w:t>-</w:t>
            </w:r>
          </w:p>
        </w:tc>
      </w:tr>
      <w:tr w14:paraId="040A2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tcBorders>
              <w:top w:val="single" w:color="auto" w:sz="4" w:space="0"/>
              <w:left w:val="single" w:color="auto" w:sz="4" w:space="0"/>
              <w:bottom w:val="single" w:color="auto" w:sz="4" w:space="0"/>
              <w:right w:val="single" w:color="auto" w:sz="4" w:space="0"/>
            </w:tcBorders>
            <w:vAlign w:val="center"/>
          </w:tcPr>
          <w:p w14:paraId="56FA3E57">
            <w:pPr>
              <w:widowControl/>
              <w:spacing w:beforeLines="0" w:afterLines="0" w:line="240"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2</w:t>
            </w:r>
          </w:p>
        </w:tc>
        <w:tc>
          <w:tcPr>
            <w:tcW w:w="598" w:type="dxa"/>
            <w:vMerge w:val="continue"/>
            <w:tcBorders>
              <w:top w:val="single" w:color="auto" w:sz="4" w:space="0"/>
              <w:left w:val="single" w:color="auto" w:sz="4" w:space="0"/>
              <w:bottom w:val="single" w:color="auto" w:sz="4" w:space="0"/>
              <w:right w:val="single" w:color="auto" w:sz="4" w:space="0"/>
            </w:tcBorders>
            <w:vAlign w:val="center"/>
          </w:tcPr>
          <w:p w14:paraId="3509B832">
            <w:pPr>
              <w:widowControl/>
              <w:spacing w:beforeLines="0" w:afterLines="0" w:line="240" w:lineRule="auto"/>
              <w:jc w:val="left"/>
              <w:rPr>
                <w:rFonts w:hint="eastAsia" w:ascii="宋体" w:hAnsi="宋体" w:cs="宋体"/>
                <w:sz w:val="18"/>
                <w:szCs w:val="18"/>
              </w:rPr>
            </w:pPr>
          </w:p>
        </w:tc>
        <w:tc>
          <w:tcPr>
            <w:tcW w:w="1448" w:type="dxa"/>
            <w:tcBorders>
              <w:top w:val="single" w:color="auto" w:sz="4" w:space="0"/>
              <w:left w:val="single" w:color="auto" w:sz="4" w:space="0"/>
              <w:bottom w:val="single" w:color="auto" w:sz="4" w:space="0"/>
              <w:right w:val="single" w:color="auto" w:sz="4" w:space="0"/>
            </w:tcBorders>
            <w:vAlign w:val="center"/>
          </w:tcPr>
          <w:p w14:paraId="7E871397">
            <w:pPr>
              <w:pStyle w:val="146"/>
              <w:rPr>
                <w:rFonts w:hint="eastAsia" w:ascii="宋体" w:hAnsi="宋体" w:cs="宋体"/>
                <w:sz w:val="18"/>
                <w:szCs w:val="18"/>
              </w:rPr>
            </w:pPr>
            <w:r>
              <w:rPr>
                <w:rFonts w:hint="eastAsia" w:ascii="宋体" w:hAnsi="宋体" w:cs="宋体"/>
                <w:sz w:val="18"/>
                <w:szCs w:val="18"/>
              </w:rPr>
              <w:t>结冰</w:t>
            </w:r>
          </w:p>
        </w:tc>
        <w:tc>
          <w:tcPr>
            <w:tcW w:w="1991" w:type="dxa"/>
            <w:tcBorders>
              <w:top w:val="single" w:color="auto" w:sz="4" w:space="0"/>
              <w:left w:val="single" w:color="auto" w:sz="4" w:space="0"/>
              <w:bottom w:val="single" w:color="auto" w:sz="4" w:space="0"/>
              <w:right w:val="single" w:color="auto" w:sz="4" w:space="0"/>
            </w:tcBorders>
            <w:vAlign w:val="center"/>
          </w:tcPr>
          <w:p w14:paraId="0BD6E44E">
            <w:pPr>
              <w:pStyle w:val="146"/>
              <w:rPr>
                <w:rFonts w:hint="eastAsia" w:ascii="宋体" w:hAnsi="宋体" w:cs="宋体"/>
                <w:sz w:val="18"/>
                <w:szCs w:val="18"/>
              </w:rPr>
            </w:pPr>
            <w:r>
              <w:rPr>
                <w:rFonts w:hint="eastAsia" w:ascii="宋体" w:hAnsi="宋体" w:cs="宋体"/>
                <w:sz w:val="18"/>
                <w:szCs w:val="18"/>
              </w:rPr>
              <w:t>桥面结冰、斜拉索结冰</w:t>
            </w:r>
          </w:p>
        </w:tc>
        <w:tc>
          <w:tcPr>
            <w:tcW w:w="941" w:type="dxa"/>
            <w:tcBorders>
              <w:top w:val="single" w:color="auto" w:sz="4" w:space="0"/>
              <w:left w:val="single" w:color="auto" w:sz="4" w:space="0"/>
              <w:bottom w:val="single" w:color="auto" w:sz="4" w:space="0"/>
              <w:right w:val="single" w:color="auto" w:sz="4" w:space="0"/>
            </w:tcBorders>
            <w:vAlign w:val="center"/>
          </w:tcPr>
          <w:p w14:paraId="55CE495B">
            <w:pPr>
              <w:pStyle w:val="146"/>
              <w:rPr>
                <w:rFonts w:hint="eastAsia" w:ascii="宋体" w:hAnsi="宋体" w:cs="宋体"/>
                <w:sz w:val="18"/>
                <w:szCs w:val="18"/>
              </w:rPr>
            </w:pPr>
            <w:r>
              <w:rPr>
                <w:rFonts w:hint="eastAsia" w:ascii="宋体" w:hAnsi="宋体" w:cs="宋体"/>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7DA085BB">
            <w:pPr>
              <w:pStyle w:val="146"/>
              <w:rPr>
                <w:rFonts w:hint="eastAsia" w:ascii="宋体" w:hAnsi="宋体" w:cs="宋体"/>
                <w:sz w:val="18"/>
                <w:szCs w:val="18"/>
              </w:rPr>
            </w:pPr>
            <w:r>
              <w:rPr>
                <w:rFonts w:hint="eastAsia" w:cs="宋体"/>
                <w:bCs/>
                <w:sz w:val="18"/>
                <w:szCs w:val="18"/>
              </w:rPr>
              <w:t>易结冰处</w:t>
            </w:r>
            <w:r>
              <w:rPr>
                <w:rFonts w:cs="宋体"/>
                <w:bCs/>
                <w:sz w:val="18"/>
                <w:szCs w:val="18"/>
              </w:rPr>
              <w:t>-</w:t>
            </w:r>
          </w:p>
        </w:tc>
      </w:tr>
      <w:tr w14:paraId="303FE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tcBorders>
              <w:top w:val="single" w:color="auto" w:sz="4" w:space="0"/>
              <w:left w:val="single" w:color="auto" w:sz="4" w:space="0"/>
              <w:bottom w:val="single" w:color="auto" w:sz="4" w:space="0"/>
              <w:right w:val="single" w:color="auto" w:sz="4" w:space="0"/>
            </w:tcBorders>
            <w:vAlign w:val="center"/>
          </w:tcPr>
          <w:p w14:paraId="741165B9">
            <w:pPr>
              <w:widowControl/>
              <w:spacing w:beforeLines="0" w:afterLines="0" w:line="240"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3</w:t>
            </w:r>
          </w:p>
        </w:tc>
        <w:tc>
          <w:tcPr>
            <w:tcW w:w="598" w:type="dxa"/>
            <w:vMerge w:val="continue"/>
            <w:tcBorders>
              <w:top w:val="single" w:color="auto" w:sz="4" w:space="0"/>
              <w:left w:val="single" w:color="auto" w:sz="4" w:space="0"/>
              <w:bottom w:val="single" w:color="auto" w:sz="4" w:space="0"/>
              <w:right w:val="single" w:color="auto" w:sz="4" w:space="0"/>
            </w:tcBorders>
            <w:vAlign w:val="center"/>
          </w:tcPr>
          <w:p w14:paraId="3AB13AC3">
            <w:pPr>
              <w:widowControl/>
              <w:spacing w:beforeLines="0" w:afterLines="0" w:line="240" w:lineRule="auto"/>
              <w:jc w:val="left"/>
              <w:rPr>
                <w:rFonts w:hint="eastAsia" w:ascii="宋体" w:hAnsi="宋体" w:cs="宋体"/>
                <w:sz w:val="18"/>
                <w:szCs w:val="18"/>
              </w:rPr>
            </w:pPr>
          </w:p>
        </w:tc>
        <w:tc>
          <w:tcPr>
            <w:tcW w:w="1448" w:type="dxa"/>
            <w:tcBorders>
              <w:top w:val="single" w:color="auto" w:sz="4" w:space="0"/>
              <w:left w:val="single" w:color="auto" w:sz="4" w:space="0"/>
              <w:bottom w:val="single" w:color="auto" w:sz="4" w:space="0"/>
              <w:right w:val="single" w:color="auto" w:sz="4" w:space="0"/>
            </w:tcBorders>
            <w:vAlign w:val="center"/>
          </w:tcPr>
          <w:p w14:paraId="4879EC3A">
            <w:pPr>
              <w:pStyle w:val="146"/>
              <w:rPr>
                <w:rFonts w:hint="eastAsia" w:ascii="宋体" w:hAnsi="宋体" w:cs="宋体"/>
                <w:sz w:val="18"/>
                <w:szCs w:val="18"/>
              </w:rPr>
            </w:pPr>
            <w:r>
              <w:rPr>
                <w:rFonts w:hint="eastAsia" w:ascii="宋体" w:hAnsi="宋体" w:cs="宋体"/>
                <w:sz w:val="18"/>
                <w:szCs w:val="18"/>
              </w:rPr>
              <w:t>雨量</w:t>
            </w:r>
          </w:p>
        </w:tc>
        <w:tc>
          <w:tcPr>
            <w:tcW w:w="1991" w:type="dxa"/>
            <w:tcBorders>
              <w:top w:val="single" w:color="auto" w:sz="4" w:space="0"/>
              <w:left w:val="single" w:color="auto" w:sz="4" w:space="0"/>
              <w:bottom w:val="single" w:color="auto" w:sz="4" w:space="0"/>
              <w:right w:val="single" w:color="auto" w:sz="4" w:space="0"/>
            </w:tcBorders>
            <w:vAlign w:val="center"/>
          </w:tcPr>
          <w:p w14:paraId="4B2C279D">
            <w:pPr>
              <w:pStyle w:val="146"/>
              <w:rPr>
                <w:rFonts w:hint="eastAsia" w:ascii="宋体" w:hAnsi="宋体" w:cs="宋体"/>
                <w:sz w:val="18"/>
                <w:szCs w:val="18"/>
              </w:rPr>
            </w:pPr>
            <w:r>
              <w:rPr>
                <w:rFonts w:hint="eastAsia" w:ascii="宋体" w:hAnsi="宋体" w:cs="宋体"/>
                <w:sz w:val="18"/>
                <w:szCs w:val="18"/>
              </w:rPr>
              <w:t>雨量</w:t>
            </w:r>
          </w:p>
        </w:tc>
        <w:tc>
          <w:tcPr>
            <w:tcW w:w="941" w:type="dxa"/>
            <w:tcBorders>
              <w:top w:val="single" w:color="auto" w:sz="4" w:space="0"/>
              <w:left w:val="single" w:color="auto" w:sz="4" w:space="0"/>
              <w:bottom w:val="single" w:color="auto" w:sz="4" w:space="0"/>
              <w:right w:val="single" w:color="auto" w:sz="4" w:space="0"/>
            </w:tcBorders>
            <w:vAlign w:val="center"/>
          </w:tcPr>
          <w:p w14:paraId="6FA26DED">
            <w:pPr>
              <w:pStyle w:val="146"/>
              <w:rPr>
                <w:rFonts w:hint="eastAsia" w:ascii="宋体" w:hAnsi="宋体" w:cs="宋体"/>
                <w:color w:val="FF0000"/>
                <w:sz w:val="18"/>
                <w:szCs w:val="18"/>
              </w:rPr>
            </w:pPr>
            <w:r>
              <w:rPr>
                <w:rFonts w:hint="eastAsia" w:ascii="宋体" w:hAnsi="宋体" w:cs="宋体"/>
                <w:color w:val="FF0000"/>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1483BEFD">
            <w:pPr>
              <w:pStyle w:val="146"/>
              <w:rPr>
                <w:rFonts w:hint="eastAsia" w:ascii="宋体" w:hAnsi="宋体" w:cs="宋体"/>
                <w:color w:val="FF0000"/>
                <w:sz w:val="18"/>
                <w:szCs w:val="18"/>
              </w:rPr>
            </w:pPr>
            <w:r>
              <w:rPr>
                <w:rFonts w:hint="eastAsia" w:ascii="宋体" w:hAnsi="宋体" w:cs="宋体"/>
                <w:color w:val="FF0000"/>
                <w:sz w:val="18"/>
                <w:szCs w:val="18"/>
              </w:rPr>
              <w:t>-</w:t>
            </w:r>
          </w:p>
        </w:tc>
      </w:tr>
      <w:tr w14:paraId="377B1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tcBorders>
              <w:top w:val="single" w:color="auto" w:sz="4" w:space="0"/>
              <w:left w:val="single" w:color="auto" w:sz="4" w:space="0"/>
              <w:bottom w:val="single" w:color="auto" w:sz="4" w:space="0"/>
              <w:right w:val="single" w:color="auto" w:sz="4" w:space="0"/>
            </w:tcBorders>
            <w:vAlign w:val="center"/>
          </w:tcPr>
          <w:p w14:paraId="763B83A3">
            <w:pPr>
              <w:widowControl/>
              <w:spacing w:beforeLines="0" w:afterLines="0" w:line="240"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4</w:t>
            </w:r>
          </w:p>
        </w:tc>
        <w:tc>
          <w:tcPr>
            <w:tcW w:w="598" w:type="dxa"/>
            <w:vMerge w:val="continue"/>
            <w:tcBorders>
              <w:top w:val="single" w:color="auto" w:sz="4" w:space="0"/>
              <w:left w:val="single" w:color="auto" w:sz="4" w:space="0"/>
              <w:bottom w:val="single" w:color="auto" w:sz="4" w:space="0"/>
              <w:right w:val="single" w:color="auto" w:sz="4" w:space="0"/>
            </w:tcBorders>
            <w:vAlign w:val="center"/>
          </w:tcPr>
          <w:p w14:paraId="5CDF71D0">
            <w:pPr>
              <w:widowControl/>
              <w:spacing w:beforeLines="0" w:afterLines="0" w:line="240" w:lineRule="auto"/>
              <w:jc w:val="left"/>
              <w:rPr>
                <w:rFonts w:hint="eastAsia" w:ascii="宋体" w:hAnsi="宋体" w:cs="宋体"/>
                <w:sz w:val="18"/>
                <w:szCs w:val="18"/>
              </w:rPr>
            </w:pPr>
          </w:p>
        </w:tc>
        <w:tc>
          <w:tcPr>
            <w:tcW w:w="1448" w:type="dxa"/>
            <w:tcBorders>
              <w:top w:val="single" w:color="auto" w:sz="4" w:space="0"/>
              <w:left w:val="single" w:color="auto" w:sz="4" w:space="0"/>
              <w:bottom w:val="single" w:color="auto" w:sz="4" w:space="0"/>
              <w:right w:val="single" w:color="auto" w:sz="4" w:space="0"/>
            </w:tcBorders>
            <w:vAlign w:val="center"/>
          </w:tcPr>
          <w:p w14:paraId="2077D2CD">
            <w:pPr>
              <w:pStyle w:val="146"/>
              <w:rPr>
                <w:rFonts w:hint="eastAsia" w:ascii="宋体" w:hAnsi="宋体" w:cs="宋体"/>
                <w:sz w:val="18"/>
                <w:szCs w:val="18"/>
              </w:rPr>
            </w:pPr>
            <w:r>
              <w:rPr>
                <w:rFonts w:hint="eastAsia" w:ascii="宋体" w:hAnsi="宋体" w:cs="宋体"/>
                <w:sz w:val="18"/>
                <w:szCs w:val="18"/>
              </w:rPr>
              <w:t>异常事件</w:t>
            </w:r>
          </w:p>
        </w:tc>
        <w:tc>
          <w:tcPr>
            <w:tcW w:w="1991" w:type="dxa"/>
            <w:tcBorders>
              <w:top w:val="single" w:color="auto" w:sz="4" w:space="0"/>
              <w:left w:val="single" w:color="auto" w:sz="4" w:space="0"/>
              <w:bottom w:val="single" w:color="auto" w:sz="4" w:space="0"/>
              <w:right w:val="single" w:color="auto" w:sz="4" w:space="0"/>
            </w:tcBorders>
            <w:vAlign w:val="center"/>
          </w:tcPr>
          <w:p w14:paraId="622D083A">
            <w:pPr>
              <w:pStyle w:val="146"/>
              <w:rPr>
                <w:rFonts w:hint="eastAsia" w:ascii="宋体" w:hAnsi="宋体" w:eastAsia="宋体" w:cs="宋体"/>
                <w:bCs/>
                <w:sz w:val="18"/>
                <w:szCs w:val="18"/>
                <w:lang w:eastAsia="zh-CN"/>
              </w:rPr>
            </w:pPr>
            <w:r>
              <w:rPr>
                <w:rFonts w:hint="eastAsia" w:ascii="宋体" w:hAnsi="宋体" w:cs="宋体"/>
                <w:bCs/>
                <w:sz w:val="18"/>
                <w:szCs w:val="18"/>
                <w:lang w:eastAsia="zh-CN"/>
              </w:rPr>
              <w:t>视频监控</w:t>
            </w:r>
          </w:p>
        </w:tc>
        <w:tc>
          <w:tcPr>
            <w:tcW w:w="941" w:type="dxa"/>
            <w:tcBorders>
              <w:top w:val="single" w:color="auto" w:sz="4" w:space="0"/>
              <w:left w:val="single" w:color="auto" w:sz="4" w:space="0"/>
              <w:bottom w:val="single" w:color="auto" w:sz="4" w:space="0"/>
              <w:right w:val="single" w:color="auto" w:sz="4" w:space="0"/>
            </w:tcBorders>
            <w:vAlign w:val="center"/>
          </w:tcPr>
          <w:p w14:paraId="46A07BFE">
            <w:pPr>
              <w:pStyle w:val="146"/>
              <w:rPr>
                <w:rFonts w:hint="eastAsia" w:ascii="宋体" w:hAnsi="宋体" w:cs="宋体"/>
                <w:bCs/>
                <w:sz w:val="18"/>
                <w:szCs w:val="18"/>
              </w:rPr>
            </w:pPr>
            <w:r>
              <w:rPr>
                <w:rFonts w:hint="eastAsia" w:ascii="宋体" w:hAnsi="宋体" w:cs="宋体"/>
                <w:bCs/>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33ECF053">
            <w:pPr>
              <w:pStyle w:val="146"/>
              <w:rPr>
                <w:rFonts w:hint="eastAsia" w:ascii="宋体" w:hAnsi="宋体" w:cs="宋体"/>
                <w:sz w:val="18"/>
                <w:szCs w:val="18"/>
              </w:rPr>
            </w:pPr>
            <w:r>
              <w:rPr>
                <w:rFonts w:hint="eastAsia" w:ascii="宋体" w:hAnsi="宋体" w:cs="宋体"/>
                <w:bCs/>
                <w:sz w:val="18"/>
                <w:szCs w:val="18"/>
              </w:rPr>
              <w:t>根据设备性能达到无监测盲区效果</w:t>
            </w:r>
          </w:p>
        </w:tc>
      </w:tr>
      <w:tr w14:paraId="14D0A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vMerge w:val="restart"/>
            <w:tcBorders>
              <w:top w:val="single" w:color="auto" w:sz="4" w:space="0"/>
              <w:left w:val="single" w:color="auto" w:sz="4" w:space="0"/>
              <w:right w:val="single" w:color="auto" w:sz="4" w:space="0"/>
            </w:tcBorders>
            <w:vAlign w:val="center"/>
          </w:tcPr>
          <w:p w14:paraId="3013C113">
            <w:pPr>
              <w:pStyle w:val="146"/>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5</w:t>
            </w:r>
          </w:p>
        </w:tc>
        <w:tc>
          <w:tcPr>
            <w:tcW w:w="598" w:type="dxa"/>
            <w:vMerge w:val="restart"/>
            <w:tcBorders>
              <w:top w:val="single" w:color="auto" w:sz="4" w:space="0"/>
              <w:left w:val="single" w:color="auto" w:sz="4" w:space="0"/>
              <w:right w:val="single" w:color="auto" w:sz="4" w:space="0"/>
            </w:tcBorders>
            <w:vAlign w:val="center"/>
          </w:tcPr>
          <w:p w14:paraId="14F39625">
            <w:pPr>
              <w:pStyle w:val="146"/>
              <w:rPr>
                <w:rFonts w:hint="eastAsia" w:ascii="宋体" w:hAnsi="宋体" w:cs="宋体"/>
                <w:sz w:val="18"/>
                <w:szCs w:val="18"/>
              </w:rPr>
            </w:pPr>
            <w:r>
              <w:rPr>
                <w:rFonts w:hint="eastAsia" w:ascii="宋体" w:hAnsi="宋体" w:cs="宋体"/>
                <w:sz w:val="18"/>
                <w:szCs w:val="18"/>
              </w:rPr>
              <w:t>外部作用</w:t>
            </w:r>
          </w:p>
        </w:tc>
        <w:tc>
          <w:tcPr>
            <w:tcW w:w="1448" w:type="dxa"/>
            <w:vMerge w:val="restart"/>
            <w:tcBorders>
              <w:top w:val="single" w:color="auto" w:sz="4" w:space="0"/>
              <w:left w:val="single" w:color="auto" w:sz="4" w:space="0"/>
              <w:bottom w:val="single" w:color="auto" w:sz="4" w:space="0"/>
              <w:right w:val="single" w:color="auto" w:sz="4" w:space="0"/>
            </w:tcBorders>
            <w:vAlign w:val="center"/>
          </w:tcPr>
          <w:p w14:paraId="5F58A196">
            <w:pPr>
              <w:pStyle w:val="146"/>
              <w:rPr>
                <w:rFonts w:hint="eastAsia" w:ascii="宋体" w:hAnsi="宋体" w:cs="宋体"/>
                <w:sz w:val="18"/>
                <w:szCs w:val="18"/>
              </w:rPr>
            </w:pPr>
            <w:r>
              <w:rPr>
                <w:rFonts w:hint="eastAsia" w:ascii="宋体" w:hAnsi="宋体" w:cs="宋体"/>
                <w:sz w:val="18"/>
                <w:szCs w:val="18"/>
              </w:rPr>
              <w:t>车辆荷载</w:t>
            </w:r>
          </w:p>
        </w:tc>
        <w:tc>
          <w:tcPr>
            <w:tcW w:w="1991" w:type="dxa"/>
            <w:tcBorders>
              <w:top w:val="single" w:color="auto" w:sz="4" w:space="0"/>
              <w:left w:val="single" w:color="auto" w:sz="4" w:space="0"/>
              <w:bottom w:val="single" w:color="auto" w:sz="4" w:space="0"/>
              <w:right w:val="single" w:color="auto" w:sz="4" w:space="0"/>
            </w:tcBorders>
            <w:vAlign w:val="center"/>
          </w:tcPr>
          <w:p w14:paraId="76CDD619">
            <w:pPr>
              <w:pStyle w:val="146"/>
              <w:rPr>
                <w:rFonts w:hint="eastAsia" w:ascii="宋体" w:hAnsi="宋体" w:cs="宋体"/>
                <w:bCs/>
                <w:sz w:val="18"/>
                <w:szCs w:val="18"/>
              </w:rPr>
            </w:pPr>
            <w:r>
              <w:rPr>
                <w:rFonts w:hint="eastAsia" w:ascii="宋体" w:hAnsi="宋体" w:cs="宋体"/>
                <w:bCs/>
                <w:sz w:val="18"/>
                <w:szCs w:val="18"/>
              </w:rPr>
              <w:t>所有车道车重、轴重、轴数、车速</w:t>
            </w:r>
          </w:p>
        </w:tc>
        <w:tc>
          <w:tcPr>
            <w:tcW w:w="941" w:type="dxa"/>
            <w:tcBorders>
              <w:top w:val="single" w:color="auto" w:sz="4" w:space="0"/>
              <w:left w:val="single" w:color="auto" w:sz="4" w:space="0"/>
              <w:bottom w:val="single" w:color="auto" w:sz="4" w:space="0"/>
              <w:right w:val="single" w:color="auto" w:sz="4" w:space="0"/>
            </w:tcBorders>
            <w:vAlign w:val="center"/>
          </w:tcPr>
          <w:p w14:paraId="0B9FDCC9">
            <w:pPr>
              <w:pStyle w:val="146"/>
              <w:rPr>
                <w:rFonts w:hint="eastAsia" w:ascii="宋体" w:hAnsi="宋体" w:cs="宋体"/>
                <w:bCs/>
                <w:sz w:val="18"/>
                <w:szCs w:val="18"/>
              </w:rPr>
            </w:pPr>
            <w:r>
              <w:rPr>
                <w:rFonts w:hint="eastAsia" w:ascii="宋体" w:hAnsi="宋体" w:cs="宋体"/>
                <w:bCs/>
                <w:sz w:val="18"/>
                <w:szCs w:val="18"/>
              </w:rPr>
              <w:t>●</w:t>
            </w:r>
          </w:p>
        </w:tc>
        <w:tc>
          <w:tcPr>
            <w:tcW w:w="2922" w:type="dxa"/>
            <w:vMerge w:val="restart"/>
            <w:tcBorders>
              <w:top w:val="single" w:color="auto" w:sz="4" w:space="0"/>
              <w:left w:val="single" w:color="auto" w:sz="4" w:space="0"/>
              <w:bottom w:val="single" w:color="auto" w:sz="4" w:space="0"/>
              <w:right w:val="single" w:color="auto" w:sz="4" w:space="0"/>
            </w:tcBorders>
            <w:vAlign w:val="center"/>
          </w:tcPr>
          <w:p w14:paraId="097DD2B2">
            <w:pPr>
              <w:pStyle w:val="146"/>
              <w:rPr>
                <w:rFonts w:hint="eastAsia" w:ascii="宋体" w:hAnsi="宋体" w:cs="宋体"/>
                <w:sz w:val="18"/>
                <w:szCs w:val="18"/>
              </w:rPr>
            </w:pPr>
            <w:r>
              <w:rPr>
                <w:rFonts w:hint="eastAsia" w:cs="宋体"/>
                <w:bCs/>
                <w:sz w:val="18"/>
                <w:szCs w:val="18"/>
              </w:rPr>
              <w:t>重载车</w:t>
            </w:r>
            <w:r>
              <w:rPr>
                <w:rFonts w:hint="eastAsia" w:cs="宋体"/>
                <w:bCs/>
                <w:sz w:val="18"/>
                <w:szCs w:val="18"/>
                <w:lang w:eastAsia="zh-CN"/>
              </w:rPr>
              <w:t>道车</w:t>
            </w:r>
            <w:r>
              <w:rPr>
                <w:rFonts w:hint="eastAsia" w:cs="宋体"/>
                <w:bCs/>
                <w:sz w:val="18"/>
                <w:szCs w:val="18"/>
              </w:rPr>
              <w:t>流行进方向的前侧布设</w:t>
            </w:r>
          </w:p>
        </w:tc>
      </w:tr>
      <w:tr w14:paraId="0A8C5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597" w:type="dxa"/>
            <w:vMerge w:val="continue"/>
            <w:tcBorders>
              <w:left w:val="single" w:color="auto" w:sz="4" w:space="0"/>
              <w:right w:val="single" w:color="auto" w:sz="4" w:space="0"/>
            </w:tcBorders>
            <w:vAlign w:val="center"/>
          </w:tcPr>
          <w:p w14:paraId="5D88AF0D">
            <w:pPr>
              <w:widowControl/>
              <w:spacing w:beforeLines="0" w:afterLines="0" w:line="240" w:lineRule="auto"/>
              <w:jc w:val="center"/>
              <w:rPr>
                <w:rFonts w:hint="eastAsia" w:ascii="宋体" w:hAnsi="宋体" w:cs="宋体"/>
                <w:sz w:val="18"/>
                <w:szCs w:val="18"/>
              </w:rPr>
            </w:pPr>
          </w:p>
        </w:tc>
        <w:tc>
          <w:tcPr>
            <w:tcW w:w="598" w:type="dxa"/>
            <w:vMerge w:val="continue"/>
            <w:tcBorders>
              <w:left w:val="single" w:color="auto" w:sz="4" w:space="0"/>
              <w:right w:val="single" w:color="auto" w:sz="4" w:space="0"/>
            </w:tcBorders>
            <w:vAlign w:val="center"/>
          </w:tcPr>
          <w:p w14:paraId="16AD525C">
            <w:pPr>
              <w:widowControl/>
              <w:spacing w:beforeLines="0" w:afterLines="0" w:line="240" w:lineRule="auto"/>
              <w:jc w:val="left"/>
              <w:rPr>
                <w:rFonts w:hint="eastAsia" w:ascii="宋体" w:hAnsi="宋体" w:cs="宋体"/>
                <w:sz w:val="18"/>
                <w:szCs w:val="18"/>
              </w:rPr>
            </w:pPr>
          </w:p>
        </w:tc>
        <w:tc>
          <w:tcPr>
            <w:tcW w:w="1448" w:type="dxa"/>
            <w:vMerge w:val="continue"/>
            <w:tcBorders>
              <w:top w:val="single" w:color="auto" w:sz="4" w:space="0"/>
              <w:left w:val="single" w:color="auto" w:sz="4" w:space="0"/>
              <w:bottom w:val="single" w:color="auto" w:sz="4" w:space="0"/>
              <w:right w:val="single" w:color="auto" w:sz="4" w:space="0"/>
            </w:tcBorders>
            <w:vAlign w:val="center"/>
          </w:tcPr>
          <w:p w14:paraId="0888C67A">
            <w:pPr>
              <w:widowControl/>
              <w:spacing w:beforeLines="0" w:afterLines="0" w:line="240" w:lineRule="auto"/>
              <w:jc w:val="left"/>
              <w:rPr>
                <w:rFonts w:hint="eastAsia" w:ascii="宋体" w:hAnsi="宋体" w:cs="宋体"/>
                <w:sz w:val="18"/>
                <w:szCs w:val="18"/>
              </w:rPr>
            </w:pPr>
          </w:p>
        </w:tc>
        <w:tc>
          <w:tcPr>
            <w:tcW w:w="1991" w:type="dxa"/>
            <w:tcBorders>
              <w:top w:val="single" w:color="auto" w:sz="4" w:space="0"/>
              <w:left w:val="single" w:color="auto" w:sz="4" w:space="0"/>
              <w:bottom w:val="single" w:color="auto" w:sz="4" w:space="0"/>
              <w:right w:val="single" w:color="auto" w:sz="4" w:space="0"/>
            </w:tcBorders>
            <w:vAlign w:val="center"/>
          </w:tcPr>
          <w:p w14:paraId="5C717BF8">
            <w:pPr>
              <w:pStyle w:val="146"/>
              <w:rPr>
                <w:rFonts w:hint="eastAsia" w:ascii="宋体" w:hAnsi="宋体" w:cs="宋体"/>
                <w:bCs/>
                <w:sz w:val="18"/>
                <w:szCs w:val="18"/>
              </w:rPr>
            </w:pPr>
            <w:r>
              <w:rPr>
                <w:rFonts w:hint="eastAsia" w:ascii="宋体" w:hAnsi="宋体" w:cs="宋体"/>
                <w:bCs/>
                <w:sz w:val="18"/>
                <w:szCs w:val="18"/>
              </w:rPr>
              <w:t>所有车道车流量</w:t>
            </w:r>
          </w:p>
        </w:tc>
        <w:tc>
          <w:tcPr>
            <w:tcW w:w="941" w:type="dxa"/>
            <w:tcBorders>
              <w:top w:val="single" w:color="auto" w:sz="4" w:space="0"/>
              <w:left w:val="single" w:color="auto" w:sz="4" w:space="0"/>
              <w:bottom w:val="single" w:color="auto" w:sz="4" w:space="0"/>
              <w:right w:val="single" w:color="auto" w:sz="4" w:space="0"/>
            </w:tcBorders>
            <w:vAlign w:val="center"/>
          </w:tcPr>
          <w:p w14:paraId="6A43A555">
            <w:pPr>
              <w:pStyle w:val="146"/>
              <w:rPr>
                <w:rFonts w:hint="eastAsia" w:ascii="宋体" w:hAnsi="宋体" w:cs="宋体"/>
                <w:bCs/>
                <w:sz w:val="18"/>
                <w:szCs w:val="18"/>
              </w:rPr>
            </w:pPr>
            <w:r>
              <w:rPr>
                <w:rFonts w:hint="eastAsia" w:ascii="宋体" w:hAnsi="宋体" w:cs="宋体"/>
                <w:bCs/>
                <w:sz w:val="18"/>
                <w:szCs w:val="18"/>
              </w:rPr>
              <w:t>●</w:t>
            </w:r>
          </w:p>
        </w:tc>
        <w:tc>
          <w:tcPr>
            <w:tcW w:w="2922" w:type="dxa"/>
            <w:vMerge w:val="continue"/>
            <w:tcBorders>
              <w:top w:val="single" w:color="auto" w:sz="4" w:space="0"/>
              <w:left w:val="single" w:color="auto" w:sz="4" w:space="0"/>
              <w:bottom w:val="single" w:color="auto" w:sz="4" w:space="0"/>
              <w:right w:val="single" w:color="auto" w:sz="4" w:space="0"/>
            </w:tcBorders>
            <w:vAlign w:val="center"/>
          </w:tcPr>
          <w:p w14:paraId="09344EC8">
            <w:pPr>
              <w:widowControl/>
              <w:spacing w:beforeLines="0" w:afterLines="0" w:line="240" w:lineRule="auto"/>
              <w:jc w:val="left"/>
              <w:rPr>
                <w:rFonts w:hint="eastAsia" w:ascii="宋体" w:hAnsi="宋体" w:cs="宋体"/>
                <w:sz w:val="18"/>
                <w:szCs w:val="18"/>
              </w:rPr>
            </w:pPr>
          </w:p>
        </w:tc>
      </w:tr>
      <w:tr w14:paraId="014A6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vMerge w:val="continue"/>
            <w:tcBorders>
              <w:left w:val="single" w:color="auto" w:sz="4" w:space="0"/>
              <w:bottom w:val="single" w:color="auto" w:sz="4" w:space="0"/>
              <w:right w:val="single" w:color="auto" w:sz="4" w:space="0"/>
            </w:tcBorders>
            <w:vAlign w:val="center"/>
          </w:tcPr>
          <w:p w14:paraId="14DA087B">
            <w:pPr>
              <w:widowControl/>
              <w:spacing w:beforeLines="0" w:afterLines="0" w:line="240" w:lineRule="auto"/>
              <w:jc w:val="center"/>
              <w:rPr>
                <w:rFonts w:hint="eastAsia" w:ascii="宋体" w:hAnsi="宋体" w:cs="宋体"/>
                <w:sz w:val="18"/>
                <w:szCs w:val="18"/>
              </w:rPr>
            </w:pPr>
          </w:p>
        </w:tc>
        <w:tc>
          <w:tcPr>
            <w:tcW w:w="598" w:type="dxa"/>
            <w:vMerge w:val="continue"/>
            <w:tcBorders>
              <w:left w:val="single" w:color="auto" w:sz="4" w:space="0"/>
              <w:right w:val="single" w:color="auto" w:sz="4" w:space="0"/>
            </w:tcBorders>
            <w:vAlign w:val="center"/>
          </w:tcPr>
          <w:p w14:paraId="0951022C">
            <w:pPr>
              <w:widowControl/>
              <w:spacing w:beforeLines="0" w:afterLines="0" w:line="240" w:lineRule="auto"/>
              <w:jc w:val="left"/>
              <w:rPr>
                <w:rFonts w:hint="eastAsia" w:ascii="宋体" w:hAnsi="宋体" w:cs="宋体"/>
                <w:sz w:val="18"/>
                <w:szCs w:val="18"/>
              </w:rPr>
            </w:pPr>
          </w:p>
        </w:tc>
        <w:tc>
          <w:tcPr>
            <w:tcW w:w="1448" w:type="dxa"/>
            <w:vMerge w:val="continue"/>
            <w:tcBorders>
              <w:top w:val="single" w:color="auto" w:sz="4" w:space="0"/>
              <w:left w:val="single" w:color="auto" w:sz="4" w:space="0"/>
              <w:bottom w:val="single" w:color="auto" w:sz="4" w:space="0"/>
              <w:right w:val="single" w:color="auto" w:sz="4" w:space="0"/>
            </w:tcBorders>
            <w:vAlign w:val="center"/>
          </w:tcPr>
          <w:p w14:paraId="636251D1">
            <w:pPr>
              <w:widowControl/>
              <w:spacing w:beforeLines="0" w:afterLines="0" w:line="240" w:lineRule="auto"/>
              <w:jc w:val="left"/>
              <w:rPr>
                <w:rFonts w:hint="eastAsia" w:ascii="宋体" w:hAnsi="宋体" w:cs="宋体"/>
                <w:sz w:val="18"/>
                <w:szCs w:val="18"/>
              </w:rPr>
            </w:pPr>
          </w:p>
        </w:tc>
        <w:tc>
          <w:tcPr>
            <w:tcW w:w="1991" w:type="dxa"/>
            <w:tcBorders>
              <w:top w:val="single" w:color="auto" w:sz="4" w:space="0"/>
              <w:left w:val="single" w:color="auto" w:sz="4" w:space="0"/>
              <w:bottom w:val="single" w:color="auto" w:sz="4" w:space="0"/>
              <w:right w:val="single" w:color="auto" w:sz="4" w:space="0"/>
            </w:tcBorders>
            <w:vAlign w:val="center"/>
          </w:tcPr>
          <w:p w14:paraId="5217E66F">
            <w:pPr>
              <w:pStyle w:val="146"/>
              <w:rPr>
                <w:rFonts w:hint="eastAsia" w:ascii="宋体" w:hAnsi="宋体" w:eastAsia="宋体" w:cs="宋体"/>
                <w:sz w:val="18"/>
                <w:szCs w:val="18"/>
                <w:lang w:eastAsia="zh-CN"/>
              </w:rPr>
            </w:pPr>
            <w:r>
              <w:rPr>
                <w:rFonts w:hint="eastAsia" w:ascii="宋体" w:hAnsi="宋体" w:cs="宋体"/>
                <w:sz w:val="18"/>
                <w:szCs w:val="18"/>
              </w:rPr>
              <w:t>所有车道的车辆空间分布</w:t>
            </w:r>
            <w:r>
              <w:rPr>
                <w:rFonts w:hint="eastAsia" w:ascii="宋体" w:hAnsi="宋体" w:cs="宋体"/>
                <w:sz w:val="18"/>
                <w:szCs w:val="18"/>
                <w:lang w:eastAsia="zh-CN"/>
              </w:rPr>
              <w:t>视频监控</w:t>
            </w:r>
          </w:p>
        </w:tc>
        <w:tc>
          <w:tcPr>
            <w:tcW w:w="941" w:type="dxa"/>
            <w:tcBorders>
              <w:top w:val="single" w:color="auto" w:sz="4" w:space="0"/>
              <w:left w:val="single" w:color="auto" w:sz="4" w:space="0"/>
              <w:bottom w:val="single" w:color="auto" w:sz="4" w:space="0"/>
              <w:right w:val="single" w:color="auto" w:sz="4" w:space="0"/>
            </w:tcBorders>
            <w:vAlign w:val="center"/>
          </w:tcPr>
          <w:p w14:paraId="7BA3F6EE">
            <w:pPr>
              <w:pStyle w:val="146"/>
              <w:rPr>
                <w:rFonts w:hint="eastAsia" w:ascii="宋体" w:hAnsi="宋体" w:cs="宋体"/>
                <w:sz w:val="18"/>
                <w:szCs w:val="18"/>
              </w:rPr>
            </w:pPr>
            <w:r>
              <w:rPr>
                <w:rFonts w:hint="eastAsia" w:ascii="宋体" w:hAnsi="宋体" w:cs="宋体"/>
                <w:sz w:val="18"/>
                <w:szCs w:val="18"/>
              </w:rPr>
              <w:t>○</w:t>
            </w:r>
          </w:p>
        </w:tc>
        <w:tc>
          <w:tcPr>
            <w:tcW w:w="2922" w:type="dxa"/>
            <w:vMerge w:val="continue"/>
            <w:tcBorders>
              <w:top w:val="single" w:color="auto" w:sz="4" w:space="0"/>
              <w:left w:val="single" w:color="auto" w:sz="4" w:space="0"/>
              <w:bottom w:val="single" w:color="auto" w:sz="4" w:space="0"/>
              <w:right w:val="single" w:color="auto" w:sz="4" w:space="0"/>
            </w:tcBorders>
            <w:vAlign w:val="center"/>
          </w:tcPr>
          <w:p w14:paraId="4F1DF718">
            <w:pPr>
              <w:widowControl/>
              <w:spacing w:beforeLines="0" w:afterLines="0" w:line="240" w:lineRule="auto"/>
              <w:jc w:val="left"/>
              <w:rPr>
                <w:rFonts w:hint="eastAsia" w:ascii="宋体" w:hAnsi="宋体" w:cs="宋体"/>
                <w:sz w:val="18"/>
                <w:szCs w:val="18"/>
              </w:rPr>
            </w:pPr>
          </w:p>
        </w:tc>
      </w:tr>
      <w:tr w14:paraId="6ADAD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tcBorders>
              <w:top w:val="single" w:color="auto" w:sz="4" w:space="0"/>
              <w:left w:val="single" w:color="auto" w:sz="4" w:space="0"/>
              <w:bottom w:val="single" w:color="auto" w:sz="4" w:space="0"/>
              <w:right w:val="single" w:color="auto" w:sz="4" w:space="0"/>
            </w:tcBorders>
            <w:vAlign w:val="center"/>
          </w:tcPr>
          <w:p w14:paraId="391A886D">
            <w:pPr>
              <w:widowControl/>
              <w:spacing w:beforeLines="0" w:afterLines="0" w:line="240"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6</w:t>
            </w:r>
          </w:p>
        </w:tc>
        <w:tc>
          <w:tcPr>
            <w:tcW w:w="598" w:type="dxa"/>
            <w:vMerge w:val="continue"/>
            <w:tcBorders>
              <w:left w:val="single" w:color="auto" w:sz="4" w:space="0"/>
              <w:right w:val="single" w:color="auto" w:sz="4" w:space="0"/>
            </w:tcBorders>
            <w:vAlign w:val="center"/>
          </w:tcPr>
          <w:p w14:paraId="15EB1E3E">
            <w:pPr>
              <w:widowControl/>
              <w:spacing w:beforeLines="0" w:afterLines="0" w:line="240" w:lineRule="auto"/>
              <w:jc w:val="left"/>
              <w:rPr>
                <w:rFonts w:hint="eastAsia" w:ascii="宋体" w:hAnsi="宋体" w:cs="宋体"/>
                <w:sz w:val="18"/>
                <w:szCs w:val="18"/>
              </w:rPr>
            </w:pPr>
          </w:p>
        </w:tc>
        <w:tc>
          <w:tcPr>
            <w:tcW w:w="1448" w:type="dxa"/>
            <w:tcBorders>
              <w:top w:val="single" w:color="auto" w:sz="4" w:space="0"/>
              <w:left w:val="single" w:color="auto" w:sz="4" w:space="0"/>
              <w:bottom w:val="single" w:color="auto" w:sz="4" w:space="0"/>
              <w:right w:val="single" w:color="auto" w:sz="4" w:space="0"/>
            </w:tcBorders>
            <w:vAlign w:val="center"/>
          </w:tcPr>
          <w:p w14:paraId="136AB574">
            <w:pPr>
              <w:pStyle w:val="146"/>
              <w:rPr>
                <w:rFonts w:hint="eastAsia" w:ascii="宋体" w:hAnsi="宋体" w:cs="宋体"/>
                <w:sz w:val="18"/>
                <w:szCs w:val="18"/>
              </w:rPr>
            </w:pPr>
            <w:r>
              <w:rPr>
                <w:rFonts w:hint="eastAsia" w:ascii="宋体" w:hAnsi="宋体" w:cs="宋体"/>
                <w:sz w:val="18"/>
                <w:szCs w:val="18"/>
              </w:rPr>
              <w:t>水位</w:t>
            </w:r>
          </w:p>
        </w:tc>
        <w:tc>
          <w:tcPr>
            <w:tcW w:w="1991" w:type="dxa"/>
            <w:tcBorders>
              <w:top w:val="single" w:color="auto" w:sz="4" w:space="0"/>
              <w:left w:val="single" w:color="auto" w:sz="4" w:space="0"/>
              <w:bottom w:val="single" w:color="auto" w:sz="4" w:space="0"/>
              <w:right w:val="single" w:color="auto" w:sz="4" w:space="0"/>
            </w:tcBorders>
            <w:vAlign w:val="center"/>
          </w:tcPr>
          <w:p w14:paraId="66543E4A">
            <w:pPr>
              <w:pStyle w:val="146"/>
              <w:rPr>
                <w:rFonts w:hint="eastAsia" w:ascii="宋体" w:hAnsi="宋体" w:cs="宋体"/>
                <w:bCs/>
                <w:sz w:val="18"/>
                <w:szCs w:val="18"/>
              </w:rPr>
            </w:pPr>
            <w:r>
              <w:rPr>
                <w:rFonts w:hint="eastAsia" w:ascii="宋体" w:hAnsi="宋体" w:cs="宋体"/>
                <w:sz w:val="18"/>
                <w:szCs w:val="18"/>
              </w:rPr>
              <w:t>水面至梁底的距离</w:t>
            </w:r>
          </w:p>
        </w:tc>
        <w:tc>
          <w:tcPr>
            <w:tcW w:w="941" w:type="dxa"/>
            <w:tcBorders>
              <w:top w:val="single" w:color="auto" w:sz="4" w:space="0"/>
              <w:left w:val="single" w:color="auto" w:sz="4" w:space="0"/>
              <w:bottom w:val="single" w:color="auto" w:sz="4" w:space="0"/>
              <w:right w:val="single" w:color="auto" w:sz="4" w:space="0"/>
            </w:tcBorders>
            <w:vAlign w:val="center"/>
          </w:tcPr>
          <w:p w14:paraId="43F1157E">
            <w:pPr>
              <w:pStyle w:val="146"/>
              <w:rPr>
                <w:rFonts w:hint="eastAsia" w:ascii="宋体" w:hAnsi="宋体" w:cs="宋体"/>
                <w:bCs/>
                <w:sz w:val="18"/>
                <w:szCs w:val="18"/>
              </w:rPr>
            </w:pPr>
            <w:r>
              <w:rPr>
                <w:rFonts w:hint="eastAsia" w:ascii="宋体" w:hAnsi="宋体" w:cs="宋体"/>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4A4E0B40">
            <w:pPr>
              <w:pStyle w:val="146"/>
              <w:rPr>
                <w:rFonts w:hint="eastAsia" w:ascii="宋体" w:hAnsi="宋体" w:cs="宋体"/>
                <w:sz w:val="18"/>
                <w:szCs w:val="18"/>
              </w:rPr>
            </w:pPr>
            <w:r>
              <w:rPr>
                <w:rFonts w:hint="eastAsia" w:ascii="宋体" w:hAnsi="宋体" w:cs="宋体"/>
                <w:sz w:val="18"/>
                <w:szCs w:val="18"/>
              </w:rPr>
              <w:t>-</w:t>
            </w:r>
          </w:p>
        </w:tc>
      </w:tr>
      <w:tr w14:paraId="51B9E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tcBorders>
              <w:top w:val="single" w:color="auto" w:sz="4" w:space="0"/>
              <w:left w:val="single" w:color="auto" w:sz="4" w:space="0"/>
              <w:bottom w:val="single" w:color="auto" w:sz="4" w:space="0"/>
              <w:right w:val="single" w:color="auto" w:sz="4" w:space="0"/>
            </w:tcBorders>
            <w:vAlign w:val="center"/>
          </w:tcPr>
          <w:p w14:paraId="58C97FE4">
            <w:pPr>
              <w:widowControl/>
              <w:spacing w:beforeLines="0" w:afterLines="0" w:line="240"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7</w:t>
            </w:r>
          </w:p>
        </w:tc>
        <w:tc>
          <w:tcPr>
            <w:tcW w:w="598" w:type="dxa"/>
            <w:vMerge w:val="continue"/>
            <w:tcBorders>
              <w:left w:val="single" w:color="auto" w:sz="4" w:space="0"/>
              <w:right w:val="single" w:color="auto" w:sz="4" w:space="0"/>
            </w:tcBorders>
            <w:vAlign w:val="center"/>
          </w:tcPr>
          <w:p w14:paraId="55D8E688">
            <w:pPr>
              <w:widowControl/>
              <w:spacing w:beforeLines="0" w:afterLines="0" w:line="240" w:lineRule="auto"/>
              <w:jc w:val="left"/>
              <w:rPr>
                <w:rFonts w:hint="eastAsia" w:ascii="宋体" w:hAnsi="宋体" w:cs="宋体"/>
                <w:sz w:val="18"/>
                <w:szCs w:val="18"/>
              </w:rPr>
            </w:pPr>
          </w:p>
        </w:tc>
        <w:tc>
          <w:tcPr>
            <w:tcW w:w="1448" w:type="dxa"/>
            <w:tcBorders>
              <w:top w:val="single" w:color="auto" w:sz="4" w:space="0"/>
              <w:left w:val="single" w:color="auto" w:sz="4" w:space="0"/>
              <w:bottom w:val="single" w:color="auto" w:sz="4" w:space="0"/>
              <w:right w:val="single" w:color="auto" w:sz="4" w:space="0"/>
            </w:tcBorders>
            <w:vAlign w:val="center"/>
          </w:tcPr>
          <w:p w14:paraId="530E5727">
            <w:pPr>
              <w:pStyle w:val="146"/>
              <w:rPr>
                <w:rFonts w:hint="eastAsia" w:ascii="宋体" w:hAnsi="宋体" w:cs="宋体"/>
                <w:sz w:val="18"/>
                <w:szCs w:val="18"/>
              </w:rPr>
            </w:pPr>
            <w:r>
              <w:rPr>
                <w:rFonts w:hint="eastAsia" w:ascii="宋体" w:hAnsi="宋体" w:cs="宋体"/>
                <w:sz w:val="18"/>
                <w:szCs w:val="18"/>
              </w:rPr>
              <w:t>流速</w:t>
            </w:r>
          </w:p>
        </w:tc>
        <w:tc>
          <w:tcPr>
            <w:tcW w:w="1991" w:type="dxa"/>
            <w:tcBorders>
              <w:top w:val="single" w:color="auto" w:sz="4" w:space="0"/>
              <w:left w:val="single" w:color="auto" w:sz="4" w:space="0"/>
              <w:bottom w:val="single" w:color="auto" w:sz="4" w:space="0"/>
              <w:right w:val="single" w:color="auto" w:sz="4" w:space="0"/>
            </w:tcBorders>
            <w:vAlign w:val="center"/>
          </w:tcPr>
          <w:p w14:paraId="795128E4">
            <w:pPr>
              <w:pStyle w:val="146"/>
              <w:rPr>
                <w:rFonts w:hint="eastAsia" w:ascii="宋体" w:hAnsi="宋体" w:cs="宋体"/>
                <w:bCs/>
                <w:sz w:val="18"/>
                <w:szCs w:val="18"/>
              </w:rPr>
            </w:pPr>
            <w:r>
              <w:rPr>
                <w:rFonts w:hint="eastAsia" w:ascii="宋体" w:hAnsi="宋体" w:cs="宋体"/>
                <w:sz w:val="18"/>
                <w:szCs w:val="18"/>
              </w:rPr>
              <w:t>水流流速</w:t>
            </w:r>
          </w:p>
        </w:tc>
        <w:tc>
          <w:tcPr>
            <w:tcW w:w="941" w:type="dxa"/>
            <w:tcBorders>
              <w:top w:val="single" w:color="auto" w:sz="4" w:space="0"/>
              <w:left w:val="single" w:color="auto" w:sz="4" w:space="0"/>
              <w:bottom w:val="single" w:color="auto" w:sz="4" w:space="0"/>
              <w:right w:val="single" w:color="auto" w:sz="4" w:space="0"/>
            </w:tcBorders>
            <w:vAlign w:val="center"/>
          </w:tcPr>
          <w:p w14:paraId="2FC01334">
            <w:pPr>
              <w:pStyle w:val="146"/>
              <w:rPr>
                <w:rFonts w:hint="eastAsia" w:ascii="宋体" w:hAnsi="宋体" w:cs="宋体"/>
                <w:bCs/>
                <w:sz w:val="18"/>
                <w:szCs w:val="18"/>
              </w:rPr>
            </w:pPr>
            <w:r>
              <w:rPr>
                <w:rFonts w:hint="eastAsia" w:ascii="宋体" w:hAnsi="宋体" w:cs="宋体"/>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03D8F5D9">
            <w:pPr>
              <w:pStyle w:val="146"/>
              <w:rPr>
                <w:rFonts w:hint="eastAsia" w:ascii="宋体" w:hAnsi="宋体" w:cs="宋体"/>
                <w:sz w:val="18"/>
                <w:szCs w:val="18"/>
              </w:rPr>
            </w:pPr>
            <w:r>
              <w:rPr>
                <w:rFonts w:hint="eastAsia" w:ascii="宋体" w:hAnsi="宋体" w:cs="宋体"/>
                <w:sz w:val="18"/>
                <w:szCs w:val="18"/>
              </w:rPr>
              <w:t>-</w:t>
            </w:r>
          </w:p>
        </w:tc>
      </w:tr>
      <w:tr w14:paraId="41C0D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7" w:type="dxa"/>
            <w:vMerge w:val="restart"/>
            <w:tcBorders>
              <w:top w:val="single" w:color="auto" w:sz="4" w:space="0"/>
              <w:left w:val="single" w:color="auto" w:sz="4" w:space="0"/>
              <w:right w:val="single" w:color="auto" w:sz="4" w:space="0"/>
            </w:tcBorders>
            <w:vAlign w:val="center"/>
          </w:tcPr>
          <w:p w14:paraId="4112D1CA">
            <w:pPr>
              <w:widowControl/>
              <w:spacing w:beforeLines="0" w:afterLines="0" w:line="240"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8</w:t>
            </w:r>
          </w:p>
        </w:tc>
        <w:tc>
          <w:tcPr>
            <w:tcW w:w="598" w:type="dxa"/>
            <w:vMerge w:val="continue"/>
            <w:tcBorders>
              <w:left w:val="single" w:color="auto" w:sz="4" w:space="0"/>
              <w:right w:val="single" w:color="auto" w:sz="4" w:space="0"/>
            </w:tcBorders>
            <w:vAlign w:val="center"/>
          </w:tcPr>
          <w:p w14:paraId="3C43EAB4">
            <w:pPr>
              <w:widowControl/>
              <w:spacing w:beforeLines="0" w:afterLines="0" w:line="240" w:lineRule="auto"/>
              <w:jc w:val="left"/>
              <w:rPr>
                <w:rFonts w:hint="eastAsia" w:ascii="宋体" w:hAnsi="宋体" w:cs="宋体"/>
                <w:sz w:val="18"/>
                <w:szCs w:val="18"/>
              </w:rPr>
            </w:pPr>
          </w:p>
        </w:tc>
        <w:tc>
          <w:tcPr>
            <w:tcW w:w="1448" w:type="dxa"/>
            <w:vMerge w:val="restart"/>
            <w:tcBorders>
              <w:top w:val="single" w:color="auto" w:sz="4" w:space="0"/>
              <w:left w:val="single" w:color="auto" w:sz="4" w:space="0"/>
              <w:bottom w:val="single" w:color="auto" w:sz="4" w:space="0"/>
              <w:right w:val="single" w:color="auto" w:sz="4" w:space="0"/>
            </w:tcBorders>
            <w:vAlign w:val="center"/>
          </w:tcPr>
          <w:p w14:paraId="1EA84246">
            <w:pPr>
              <w:pStyle w:val="146"/>
              <w:rPr>
                <w:rFonts w:hint="eastAsia" w:ascii="宋体" w:hAnsi="宋体" w:cs="宋体"/>
                <w:sz w:val="18"/>
                <w:szCs w:val="18"/>
              </w:rPr>
            </w:pPr>
            <w:r>
              <w:rPr>
                <w:rFonts w:hint="eastAsia" w:ascii="宋体" w:hAnsi="宋体" w:cs="宋体"/>
                <w:sz w:val="18"/>
                <w:szCs w:val="18"/>
              </w:rPr>
              <w:t>风速、风向</w:t>
            </w:r>
          </w:p>
        </w:tc>
        <w:tc>
          <w:tcPr>
            <w:tcW w:w="1991" w:type="dxa"/>
            <w:tcBorders>
              <w:top w:val="single" w:color="auto" w:sz="4" w:space="0"/>
              <w:left w:val="single" w:color="auto" w:sz="4" w:space="0"/>
              <w:bottom w:val="single" w:color="auto" w:sz="4" w:space="0"/>
              <w:right w:val="single" w:color="auto" w:sz="4" w:space="0"/>
            </w:tcBorders>
            <w:vAlign w:val="center"/>
          </w:tcPr>
          <w:p w14:paraId="744BB972">
            <w:pPr>
              <w:pStyle w:val="146"/>
              <w:rPr>
                <w:rFonts w:hint="eastAsia" w:ascii="宋体" w:hAnsi="宋体" w:cs="宋体"/>
                <w:bCs/>
                <w:sz w:val="18"/>
                <w:szCs w:val="18"/>
              </w:rPr>
            </w:pPr>
            <w:r>
              <w:rPr>
                <w:rFonts w:hint="eastAsia" w:ascii="宋体" w:hAnsi="宋体" w:cs="宋体"/>
                <w:bCs/>
                <w:sz w:val="18"/>
                <w:szCs w:val="18"/>
              </w:rPr>
              <w:t>桥面风速、风向</w:t>
            </w:r>
          </w:p>
        </w:tc>
        <w:tc>
          <w:tcPr>
            <w:tcW w:w="941" w:type="dxa"/>
            <w:tcBorders>
              <w:top w:val="single" w:color="auto" w:sz="4" w:space="0"/>
              <w:left w:val="single" w:color="auto" w:sz="4" w:space="0"/>
              <w:bottom w:val="single" w:color="auto" w:sz="4" w:space="0"/>
              <w:right w:val="single" w:color="auto" w:sz="4" w:space="0"/>
            </w:tcBorders>
            <w:vAlign w:val="center"/>
          </w:tcPr>
          <w:p w14:paraId="5950C5D9">
            <w:pPr>
              <w:pStyle w:val="146"/>
              <w:rPr>
                <w:rFonts w:hint="eastAsia" w:ascii="宋体" w:hAnsi="宋体" w:cs="宋体"/>
                <w:bCs/>
                <w:sz w:val="18"/>
                <w:szCs w:val="18"/>
              </w:rPr>
            </w:pPr>
            <w:r>
              <w:rPr>
                <w:rFonts w:hint="eastAsia" w:ascii="宋体" w:hAnsi="宋体" w:cs="宋体"/>
                <w:bCs/>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74B6BC7E">
            <w:pPr>
              <w:pStyle w:val="146"/>
              <w:rPr>
                <w:rFonts w:hint="eastAsia" w:ascii="宋体" w:hAnsi="宋体" w:cs="宋体"/>
                <w:sz w:val="18"/>
                <w:szCs w:val="18"/>
              </w:rPr>
            </w:pPr>
            <w:r>
              <w:rPr>
                <w:rFonts w:cs="宋体"/>
                <w:bCs/>
                <w:sz w:val="18"/>
                <w:szCs w:val="18"/>
              </w:rPr>
              <w:t>主要风向侧的桥面跨中处</w:t>
            </w:r>
            <w:r>
              <w:rPr>
                <w:rFonts w:hint="eastAsia" w:cs="宋体"/>
                <w:bCs/>
                <w:sz w:val="18"/>
                <w:szCs w:val="18"/>
              </w:rPr>
              <w:t>，</w:t>
            </w:r>
            <w:r>
              <w:rPr>
                <w:rFonts w:cs="宋体"/>
                <w:bCs/>
                <w:sz w:val="18"/>
                <w:szCs w:val="18"/>
              </w:rPr>
              <w:t>布设高度至少高于桥面2 m</w:t>
            </w:r>
          </w:p>
        </w:tc>
      </w:tr>
      <w:tr w14:paraId="23035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597" w:type="dxa"/>
            <w:vMerge w:val="continue"/>
            <w:tcBorders>
              <w:left w:val="single" w:color="auto" w:sz="4" w:space="0"/>
              <w:bottom w:val="single" w:color="auto" w:sz="4" w:space="0"/>
              <w:right w:val="single" w:color="auto" w:sz="4" w:space="0"/>
            </w:tcBorders>
            <w:vAlign w:val="center"/>
          </w:tcPr>
          <w:p w14:paraId="03E3C528">
            <w:pPr>
              <w:widowControl/>
              <w:spacing w:beforeLines="0" w:afterLines="0" w:line="240" w:lineRule="auto"/>
              <w:jc w:val="center"/>
              <w:rPr>
                <w:rFonts w:hint="eastAsia" w:ascii="宋体" w:hAnsi="宋体" w:cs="宋体"/>
                <w:sz w:val="18"/>
                <w:szCs w:val="18"/>
              </w:rPr>
            </w:pPr>
          </w:p>
        </w:tc>
        <w:tc>
          <w:tcPr>
            <w:tcW w:w="598" w:type="dxa"/>
            <w:vMerge w:val="continue"/>
            <w:tcBorders>
              <w:left w:val="single" w:color="auto" w:sz="4" w:space="0"/>
              <w:right w:val="single" w:color="auto" w:sz="4" w:space="0"/>
            </w:tcBorders>
            <w:vAlign w:val="center"/>
          </w:tcPr>
          <w:p w14:paraId="5AEEDDEB">
            <w:pPr>
              <w:widowControl/>
              <w:spacing w:beforeLines="0" w:afterLines="0" w:line="240" w:lineRule="auto"/>
              <w:jc w:val="left"/>
              <w:rPr>
                <w:rFonts w:hint="eastAsia" w:ascii="宋体" w:hAnsi="宋体" w:cs="宋体"/>
                <w:sz w:val="18"/>
                <w:szCs w:val="18"/>
              </w:rPr>
            </w:pPr>
          </w:p>
        </w:tc>
        <w:tc>
          <w:tcPr>
            <w:tcW w:w="1448" w:type="dxa"/>
            <w:vMerge w:val="continue"/>
            <w:tcBorders>
              <w:top w:val="single" w:color="auto" w:sz="4" w:space="0"/>
              <w:left w:val="single" w:color="auto" w:sz="4" w:space="0"/>
              <w:bottom w:val="single" w:color="auto" w:sz="4" w:space="0"/>
              <w:right w:val="single" w:color="auto" w:sz="4" w:space="0"/>
            </w:tcBorders>
            <w:vAlign w:val="center"/>
          </w:tcPr>
          <w:p w14:paraId="768536D4">
            <w:pPr>
              <w:widowControl/>
              <w:spacing w:beforeLines="0" w:afterLines="0" w:line="240" w:lineRule="auto"/>
              <w:jc w:val="left"/>
              <w:rPr>
                <w:rFonts w:hint="eastAsia" w:ascii="宋体" w:hAnsi="宋体" w:cs="宋体"/>
                <w:sz w:val="18"/>
                <w:szCs w:val="18"/>
              </w:rPr>
            </w:pPr>
          </w:p>
        </w:tc>
        <w:tc>
          <w:tcPr>
            <w:tcW w:w="1991" w:type="dxa"/>
            <w:tcBorders>
              <w:top w:val="single" w:color="auto" w:sz="4" w:space="0"/>
              <w:left w:val="single" w:color="auto" w:sz="4" w:space="0"/>
              <w:bottom w:val="single" w:color="auto" w:sz="4" w:space="0"/>
              <w:right w:val="single" w:color="auto" w:sz="4" w:space="0"/>
            </w:tcBorders>
            <w:vAlign w:val="center"/>
          </w:tcPr>
          <w:p w14:paraId="57D801D1">
            <w:pPr>
              <w:pStyle w:val="146"/>
              <w:rPr>
                <w:rFonts w:hint="eastAsia" w:ascii="宋体" w:hAnsi="宋体" w:cs="宋体"/>
                <w:sz w:val="18"/>
                <w:szCs w:val="18"/>
              </w:rPr>
            </w:pPr>
            <w:r>
              <w:rPr>
                <w:rFonts w:hint="eastAsia" w:ascii="宋体" w:hAnsi="宋体" w:cs="宋体"/>
                <w:bCs/>
                <w:sz w:val="18"/>
                <w:szCs w:val="18"/>
              </w:rPr>
              <w:t>塔顶风速、风向</w:t>
            </w:r>
          </w:p>
        </w:tc>
        <w:tc>
          <w:tcPr>
            <w:tcW w:w="941" w:type="dxa"/>
            <w:tcBorders>
              <w:top w:val="single" w:color="auto" w:sz="4" w:space="0"/>
              <w:left w:val="single" w:color="auto" w:sz="4" w:space="0"/>
              <w:bottom w:val="single" w:color="auto" w:sz="4" w:space="0"/>
              <w:right w:val="single" w:color="auto" w:sz="4" w:space="0"/>
            </w:tcBorders>
            <w:vAlign w:val="center"/>
          </w:tcPr>
          <w:p w14:paraId="41111D54">
            <w:pPr>
              <w:pStyle w:val="146"/>
              <w:rPr>
                <w:rFonts w:hint="eastAsia" w:ascii="宋体" w:hAnsi="宋体" w:cs="宋体"/>
                <w:sz w:val="18"/>
                <w:szCs w:val="18"/>
              </w:rPr>
            </w:pPr>
            <w:r>
              <w:rPr>
                <w:rFonts w:hint="eastAsia" w:ascii="宋体" w:hAnsi="宋体" w:cs="宋体"/>
                <w:bCs/>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4EF32517">
            <w:pPr>
              <w:pStyle w:val="146"/>
              <w:rPr>
                <w:rFonts w:hint="eastAsia" w:ascii="宋体" w:hAnsi="宋体" w:cs="宋体"/>
                <w:sz w:val="18"/>
                <w:szCs w:val="18"/>
              </w:rPr>
            </w:pPr>
            <w:r>
              <w:rPr>
                <w:rFonts w:hint="eastAsia" w:ascii="宋体" w:hAnsi="宋体" w:cs="宋体"/>
                <w:sz w:val="18"/>
                <w:szCs w:val="18"/>
              </w:rPr>
              <w:t>索塔塔顶</w:t>
            </w:r>
          </w:p>
        </w:tc>
      </w:tr>
      <w:tr w14:paraId="71BAE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vMerge w:val="restart"/>
            <w:tcBorders>
              <w:top w:val="single" w:color="auto" w:sz="4" w:space="0"/>
              <w:left w:val="single" w:color="auto" w:sz="4" w:space="0"/>
              <w:right w:val="single" w:color="auto" w:sz="4" w:space="0"/>
            </w:tcBorders>
            <w:vAlign w:val="center"/>
          </w:tcPr>
          <w:p w14:paraId="217ED1CF">
            <w:pPr>
              <w:widowControl/>
              <w:spacing w:beforeLines="0" w:afterLines="0" w:line="240"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9</w:t>
            </w:r>
          </w:p>
        </w:tc>
        <w:tc>
          <w:tcPr>
            <w:tcW w:w="598" w:type="dxa"/>
            <w:vMerge w:val="continue"/>
            <w:tcBorders>
              <w:left w:val="single" w:color="auto" w:sz="4" w:space="0"/>
              <w:right w:val="single" w:color="auto" w:sz="4" w:space="0"/>
            </w:tcBorders>
            <w:vAlign w:val="center"/>
          </w:tcPr>
          <w:p w14:paraId="141EDF63">
            <w:pPr>
              <w:widowControl/>
              <w:spacing w:beforeLines="0" w:afterLines="0" w:line="240" w:lineRule="auto"/>
              <w:jc w:val="left"/>
              <w:rPr>
                <w:rFonts w:hint="eastAsia" w:ascii="宋体" w:hAnsi="宋体" w:cs="宋体"/>
                <w:sz w:val="18"/>
                <w:szCs w:val="18"/>
              </w:rPr>
            </w:pPr>
          </w:p>
        </w:tc>
        <w:tc>
          <w:tcPr>
            <w:tcW w:w="1448" w:type="dxa"/>
            <w:vMerge w:val="restart"/>
            <w:tcBorders>
              <w:top w:val="single" w:color="auto" w:sz="4" w:space="0"/>
              <w:left w:val="single" w:color="auto" w:sz="4" w:space="0"/>
              <w:bottom w:val="single" w:color="auto" w:sz="4" w:space="0"/>
              <w:right w:val="single" w:color="auto" w:sz="4" w:space="0"/>
            </w:tcBorders>
            <w:vAlign w:val="center"/>
          </w:tcPr>
          <w:p w14:paraId="763B2286">
            <w:pPr>
              <w:pStyle w:val="146"/>
              <w:rPr>
                <w:rFonts w:hint="eastAsia" w:ascii="宋体" w:hAnsi="宋体" w:cs="宋体"/>
                <w:sz w:val="18"/>
                <w:szCs w:val="18"/>
              </w:rPr>
            </w:pPr>
            <w:r>
              <w:rPr>
                <w:rFonts w:hint="eastAsia" w:ascii="宋体" w:hAnsi="宋体" w:cs="宋体"/>
                <w:sz w:val="18"/>
                <w:szCs w:val="18"/>
              </w:rPr>
              <w:t>结构温度</w:t>
            </w:r>
          </w:p>
        </w:tc>
        <w:tc>
          <w:tcPr>
            <w:tcW w:w="1991" w:type="dxa"/>
            <w:tcBorders>
              <w:top w:val="single" w:color="auto" w:sz="4" w:space="0"/>
              <w:left w:val="single" w:color="auto" w:sz="4" w:space="0"/>
              <w:bottom w:val="single" w:color="auto" w:sz="4" w:space="0"/>
              <w:right w:val="single" w:color="auto" w:sz="4" w:space="0"/>
            </w:tcBorders>
            <w:vAlign w:val="center"/>
          </w:tcPr>
          <w:p w14:paraId="54487A49">
            <w:pPr>
              <w:pStyle w:val="146"/>
              <w:rPr>
                <w:rFonts w:hint="eastAsia" w:ascii="宋体" w:hAnsi="宋体" w:cs="宋体"/>
                <w:bCs/>
                <w:sz w:val="18"/>
                <w:szCs w:val="18"/>
              </w:rPr>
            </w:pPr>
            <w:r>
              <w:rPr>
                <w:rFonts w:hint="eastAsia" w:ascii="宋体" w:hAnsi="宋体" w:cs="宋体"/>
                <w:bCs/>
                <w:sz w:val="18"/>
                <w:szCs w:val="18"/>
              </w:rPr>
              <w:t>混凝土或钢结构构件温度</w:t>
            </w:r>
          </w:p>
        </w:tc>
        <w:tc>
          <w:tcPr>
            <w:tcW w:w="941" w:type="dxa"/>
            <w:tcBorders>
              <w:top w:val="single" w:color="auto" w:sz="4" w:space="0"/>
              <w:left w:val="single" w:color="auto" w:sz="4" w:space="0"/>
              <w:bottom w:val="single" w:color="auto" w:sz="4" w:space="0"/>
              <w:right w:val="single" w:color="auto" w:sz="4" w:space="0"/>
            </w:tcBorders>
            <w:vAlign w:val="center"/>
          </w:tcPr>
          <w:p w14:paraId="1527A688">
            <w:pPr>
              <w:pStyle w:val="146"/>
              <w:rPr>
                <w:rFonts w:hint="eastAsia" w:ascii="宋体" w:hAnsi="宋体" w:cs="宋体"/>
                <w:bCs/>
                <w:sz w:val="18"/>
                <w:szCs w:val="18"/>
              </w:rPr>
            </w:pPr>
            <w:r>
              <w:rPr>
                <w:rFonts w:hint="eastAsia" w:ascii="宋体" w:hAnsi="宋体" w:cs="宋体"/>
                <w:bCs/>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49D4B490">
            <w:pPr>
              <w:pStyle w:val="146"/>
              <w:rPr>
                <w:rFonts w:hint="eastAsia" w:ascii="宋体" w:hAnsi="宋体" w:cs="宋体"/>
                <w:sz w:val="18"/>
                <w:szCs w:val="18"/>
              </w:rPr>
            </w:pPr>
            <w:r>
              <w:rPr>
                <w:rFonts w:hint="eastAsia" w:cs="宋体"/>
                <w:bCs/>
                <w:sz w:val="18"/>
                <w:szCs w:val="18"/>
              </w:rPr>
              <w:t>跨中截面，</w:t>
            </w:r>
            <w:r>
              <w:rPr>
                <w:rFonts w:hint="eastAsia" w:cs="宋体"/>
                <w:bCs/>
                <w:sz w:val="18"/>
                <w:szCs w:val="18"/>
                <w:lang w:eastAsia="zh-CN"/>
              </w:rPr>
              <w:t>不低于</w:t>
            </w:r>
            <w:r>
              <w:rPr>
                <w:rFonts w:hint="eastAsia" w:cs="宋体"/>
                <w:bCs/>
                <w:sz w:val="18"/>
                <w:szCs w:val="18"/>
              </w:rPr>
              <w:t>2处</w:t>
            </w:r>
          </w:p>
        </w:tc>
      </w:tr>
      <w:tr w14:paraId="36DA8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vMerge w:val="continue"/>
            <w:tcBorders>
              <w:left w:val="single" w:color="auto" w:sz="4" w:space="0"/>
              <w:bottom w:val="single" w:color="auto" w:sz="4" w:space="0"/>
              <w:right w:val="single" w:color="auto" w:sz="4" w:space="0"/>
            </w:tcBorders>
            <w:vAlign w:val="center"/>
          </w:tcPr>
          <w:p w14:paraId="1D726ED4">
            <w:pPr>
              <w:widowControl/>
              <w:spacing w:beforeLines="0" w:afterLines="0" w:line="240" w:lineRule="auto"/>
              <w:jc w:val="center"/>
              <w:rPr>
                <w:rFonts w:hint="eastAsia" w:ascii="宋体" w:hAnsi="宋体" w:cs="宋体"/>
                <w:sz w:val="18"/>
                <w:szCs w:val="18"/>
              </w:rPr>
            </w:pPr>
          </w:p>
        </w:tc>
        <w:tc>
          <w:tcPr>
            <w:tcW w:w="598" w:type="dxa"/>
            <w:vMerge w:val="continue"/>
            <w:tcBorders>
              <w:left w:val="single" w:color="auto" w:sz="4" w:space="0"/>
              <w:bottom w:val="single" w:color="auto" w:sz="4" w:space="0"/>
              <w:right w:val="single" w:color="auto" w:sz="4" w:space="0"/>
            </w:tcBorders>
            <w:vAlign w:val="center"/>
          </w:tcPr>
          <w:p w14:paraId="26AD356C">
            <w:pPr>
              <w:widowControl/>
              <w:spacing w:beforeLines="0" w:afterLines="0" w:line="240" w:lineRule="auto"/>
              <w:jc w:val="left"/>
              <w:rPr>
                <w:rFonts w:hint="eastAsia" w:ascii="宋体" w:hAnsi="宋体" w:cs="宋体"/>
                <w:sz w:val="18"/>
                <w:szCs w:val="18"/>
              </w:rPr>
            </w:pPr>
          </w:p>
        </w:tc>
        <w:tc>
          <w:tcPr>
            <w:tcW w:w="1448" w:type="dxa"/>
            <w:vMerge w:val="continue"/>
            <w:tcBorders>
              <w:top w:val="single" w:color="auto" w:sz="4" w:space="0"/>
              <w:left w:val="single" w:color="auto" w:sz="4" w:space="0"/>
              <w:bottom w:val="single" w:color="auto" w:sz="4" w:space="0"/>
              <w:right w:val="single" w:color="auto" w:sz="4" w:space="0"/>
            </w:tcBorders>
            <w:vAlign w:val="center"/>
          </w:tcPr>
          <w:p w14:paraId="685686EE">
            <w:pPr>
              <w:widowControl/>
              <w:spacing w:beforeLines="0" w:afterLines="0" w:line="240" w:lineRule="auto"/>
              <w:jc w:val="left"/>
              <w:rPr>
                <w:rFonts w:hint="eastAsia" w:ascii="宋体" w:hAnsi="宋体" w:cs="宋体"/>
                <w:sz w:val="18"/>
                <w:szCs w:val="18"/>
              </w:rPr>
            </w:pPr>
          </w:p>
        </w:tc>
        <w:tc>
          <w:tcPr>
            <w:tcW w:w="1991" w:type="dxa"/>
            <w:tcBorders>
              <w:top w:val="single" w:color="auto" w:sz="4" w:space="0"/>
              <w:left w:val="single" w:color="auto" w:sz="4" w:space="0"/>
              <w:bottom w:val="single" w:color="auto" w:sz="4" w:space="0"/>
              <w:right w:val="single" w:color="auto" w:sz="4" w:space="0"/>
            </w:tcBorders>
            <w:vAlign w:val="center"/>
          </w:tcPr>
          <w:p w14:paraId="44373C07">
            <w:pPr>
              <w:pStyle w:val="146"/>
              <w:rPr>
                <w:rFonts w:hint="eastAsia" w:ascii="宋体" w:hAnsi="宋体" w:cs="宋体"/>
                <w:sz w:val="18"/>
                <w:szCs w:val="18"/>
              </w:rPr>
            </w:pPr>
            <w:r>
              <w:rPr>
                <w:rFonts w:hint="eastAsia" w:ascii="宋体" w:hAnsi="宋体" w:cs="宋体"/>
                <w:sz w:val="18"/>
                <w:szCs w:val="18"/>
              </w:rPr>
              <w:t>桥面铺装层温度</w:t>
            </w:r>
          </w:p>
        </w:tc>
        <w:tc>
          <w:tcPr>
            <w:tcW w:w="941" w:type="dxa"/>
            <w:tcBorders>
              <w:top w:val="single" w:color="auto" w:sz="4" w:space="0"/>
              <w:left w:val="single" w:color="auto" w:sz="4" w:space="0"/>
              <w:bottom w:val="single" w:color="auto" w:sz="4" w:space="0"/>
              <w:right w:val="single" w:color="auto" w:sz="4" w:space="0"/>
            </w:tcBorders>
            <w:vAlign w:val="center"/>
          </w:tcPr>
          <w:p w14:paraId="1197F858">
            <w:pPr>
              <w:pStyle w:val="146"/>
              <w:rPr>
                <w:rFonts w:hint="eastAsia" w:ascii="宋体" w:hAnsi="宋体" w:cs="宋体"/>
                <w:sz w:val="18"/>
                <w:szCs w:val="18"/>
              </w:rPr>
            </w:pPr>
            <w:r>
              <w:rPr>
                <w:rFonts w:hint="eastAsia" w:ascii="宋体" w:hAnsi="宋体" w:cs="宋体"/>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131565AB">
            <w:pPr>
              <w:pStyle w:val="146"/>
              <w:rPr>
                <w:rFonts w:hint="eastAsia" w:ascii="宋体" w:hAnsi="宋体" w:cs="宋体"/>
                <w:sz w:val="18"/>
                <w:szCs w:val="18"/>
              </w:rPr>
            </w:pPr>
            <w:r>
              <w:rPr>
                <w:rFonts w:hint="eastAsia" w:ascii="宋体" w:hAnsi="宋体" w:cs="宋体"/>
                <w:sz w:val="18"/>
                <w:szCs w:val="18"/>
              </w:rPr>
              <w:t>-</w:t>
            </w:r>
          </w:p>
        </w:tc>
      </w:tr>
      <w:tr w14:paraId="4FA5B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8497" w:type="dxa"/>
            <w:gridSpan w:val="6"/>
            <w:tcBorders>
              <w:left w:val="single" w:color="auto" w:sz="4" w:space="0"/>
              <w:bottom w:val="single" w:color="auto" w:sz="4" w:space="0"/>
              <w:right w:val="single" w:color="auto" w:sz="4" w:space="0"/>
            </w:tcBorders>
            <w:vAlign w:val="center"/>
          </w:tcPr>
          <w:p w14:paraId="62753CEA">
            <w:pPr>
              <w:pStyle w:val="146"/>
              <w:rPr>
                <w:rFonts w:hint="eastAsia" w:ascii="宋体" w:hAnsi="宋体" w:cs="宋体"/>
                <w:sz w:val="18"/>
                <w:szCs w:val="18"/>
              </w:rPr>
            </w:pPr>
            <w:r>
              <w:rPr>
                <w:rFonts w:hint="eastAsia" w:ascii="黑体" w:hAnsi="黑体" w:eastAsia="黑体"/>
                <w:bCs/>
                <w:color w:val="auto"/>
              </w:rPr>
              <w:t>B.5.5</w:t>
            </w:r>
            <w:r>
              <w:rPr>
                <w:rFonts w:ascii="黑体" w:hAnsi="黑体" w:eastAsia="黑体"/>
                <w:bCs/>
                <w:color w:val="auto"/>
              </w:rPr>
              <w:t xml:space="preserve"> </w:t>
            </w:r>
            <w:r>
              <w:rPr>
                <w:rFonts w:hint="eastAsia" w:ascii="黑体" w:hAnsi="黑体" w:eastAsia="黑体"/>
                <w:bCs/>
                <w:color w:val="auto"/>
              </w:rPr>
              <w:t>斜拉桥监测</w:t>
            </w:r>
            <w:r>
              <w:rPr>
                <w:rFonts w:hint="eastAsia" w:ascii="黑体" w:hAnsi="黑体" w:eastAsia="黑体"/>
                <w:bCs/>
                <w:color w:val="auto"/>
                <w:lang w:val="en-US" w:eastAsia="zh-CN"/>
              </w:rPr>
              <w:t>布点要求（续）</w:t>
            </w:r>
          </w:p>
        </w:tc>
      </w:tr>
      <w:tr w14:paraId="3A604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597" w:type="dxa"/>
            <w:tcBorders>
              <w:left w:val="single" w:color="auto" w:sz="4" w:space="0"/>
              <w:bottom w:val="single" w:color="auto" w:sz="4" w:space="0"/>
              <w:right w:val="single" w:color="auto" w:sz="4" w:space="0"/>
            </w:tcBorders>
            <w:shd w:val="clear" w:color="auto" w:fill="auto"/>
            <w:vAlign w:val="center"/>
          </w:tcPr>
          <w:p w14:paraId="3648854B">
            <w:pPr>
              <w:pStyle w:val="146"/>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序号</w:t>
            </w:r>
          </w:p>
        </w:tc>
        <w:tc>
          <w:tcPr>
            <w:tcW w:w="2046" w:type="dxa"/>
            <w:gridSpan w:val="2"/>
            <w:tcBorders>
              <w:left w:val="single" w:color="auto" w:sz="4" w:space="0"/>
              <w:bottom w:val="single" w:color="auto" w:sz="4" w:space="0"/>
              <w:right w:val="single" w:color="auto" w:sz="4" w:space="0"/>
            </w:tcBorders>
            <w:shd w:val="clear" w:color="auto" w:fill="auto"/>
            <w:vAlign w:val="center"/>
          </w:tcPr>
          <w:p w14:paraId="335C1C06">
            <w:pPr>
              <w:pStyle w:val="146"/>
              <w:rPr>
                <w:rFonts w:hint="eastAsia" w:ascii="宋体" w:hAnsi="宋体" w:eastAsia="宋体" w:cs="宋体"/>
                <w:kern w:val="2"/>
                <w:sz w:val="18"/>
                <w:szCs w:val="18"/>
                <w:lang w:val="en-US" w:eastAsia="zh-CN" w:bidi="ar-SA"/>
              </w:rPr>
            </w:pPr>
            <w:r>
              <w:rPr>
                <w:rFonts w:hint="eastAsia" w:ascii="宋体" w:hAnsi="宋体" w:cs="宋体"/>
                <w:sz w:val="18"/>
                <w:szCs w:val="18"/>
              </w:rPr>
              <w:t>监测对象</w:t>
            </w:r>
          </w:p>
        </w:tc>
        <w:tc>
          <w:tcPr>
            <w:tcW w:w="1991" w:type="dxa"/>
            <w:tcBorders>
              <w:left w:val="single" w:color="auto" w:sz="4" w:space="0"/>
              <w:bottom w:val="single" w:color="auto" w:sz="4" w:space="0"/>
              <w:right w:val="single" w:color="auto" w:sz="4" w:space="0"/>
            </w:tcBorders>
            <w:shd w:val="clear" w:color="auto" w:fill="auto"/>
            <w:vAlign w:val="center"/>
          </w:tcPr>
          <w:p w14:paraId="17F380A5">
            <w:pPr>
              <w:pStyle w:val="146"/>
              <w:rPr>
                <w:rFonts w:hint="eastAsia" w:ascii="宋体" w:hAnsi="宋体" w:eastAsia="宋体" w:cs="宋体"/>
                <w:kern w:val="2"/>
                <w:sz w:val="18"/>
                <w:szCs w:val="18"/>
                <w:lang w:val="en-US" w:eastAsia="zh-CN" w:bidi="ar-SA"/>
              </w:rPr>
            </w:pPr>
            <w:r>
              <w:rPr>
                <w:rFonts w:hint="eastAsia" w:ascii="宋体" w:hAnsi="宋体" w:cs="宋体"/>
                <w:sz w:val="18"/>
                <w:szCs w:val="18"/>
              </w:rPr>
              <w:t>监测指标</w:t>
            </w:r>
          </w:p>
        </w:tc>
        <w:tc>
          <w:tcPr>
            <w:tcW w:w="941" w:type="dxa"/>
            <w:tcBorders>
              <w:left w:val="single" w:color="auto" w:sz="4" w:space="0"/>
              <w:bottom w:val="single" w:color="auto" w:sz="4" w:space="0"/>
              <w:right w:val="single" w:color="auto" w:sz="4" w:space="0"/>
            </w:tcBorders>
            <w:shd w:val="clear" w:color="auto" w:fill="auto"/>
            <w:vAlign w:val="center"/>
          </w:tcPr>
          <w:p w14:paraId="07AB298E">
            <w:pPr>
              <w:pStyle w:val="146"/>
              <w:rPr>
                <w:rFonts w:hint="eastAsia" w:ascii="宋体" w:hAnsi="宋体" w:eastAsia="宋体" w:cs="宋体"/>
                <w:kern w:val="2"/>
                <w:sz w:val="18"/>
                <w:szCs w:val="18"/>
                <w:lang w:val="en-US" w:eastAsia="zh-CN" w:bidi="ar-SA"/>
              </w:rPr>
            </w:pPr>
            <w:r>
              <w:rPr>
                <w:rFonts w:hint="eastAsia" w:ascii="宋体" w:hAnsi="宋体" w:cs="宋体"/>
                <w:sz w:val="18"/>
                <w:szCs w:val="18"/>
              </w:rPr>
              <w:t>监测要求</w:t>
            </w:r>
          </w:p>
        </w:tc>
        <w:tc>
          <w:tcPr>
            <w:tcW w:w="2922" w:type="dxa"/>
            <w:tcBorders>
              <w:left w:val="single" w:color="auto" w:sz="4" w:space="0"/>
              <w:bottom w:val="single" w:color="auto" w:sz="4" w:space="0"/>
              <w:right w:val="single" w:color="auto" w:sz="4" w:space="0"/>
            </w:tcBorders>
            <w:shd w:val="clear" w:color="auto" w:fill="auto"/>
            <w:vAlign w:val="center"/>
          </w:tcPr>
          <w:p w14:paraId="557A8F0A">
            <w:pPr>
              <w:pStyle w:val="146"/>
              <w:rPr>
                <w:rFonts w:hint="eastAsia" w:ascii="宋体" w:hAnsi="宋体" w:eastAsia="宋体" w:cs="宋体"/>
                <w:kern w:val="2"/>
                <w:sz w:val="18"/>
                <w:szCs w:val="18"/>
                <w:lang w:val="en-US" w:eastAsia="zh-CN" w:bidi="ar-SA"/>
              </w:rPr>
            </w:pPr>
            <w:r>
              <w:rPr>
                <w:rFonts w:hint="eastAsia" w:ascii="宋体" w:hAnsi="宋体" w:cs="宋体"/>
                <w:color w:val="000000"/>
                <w:kern w:val="0"/>
                <w:sz w:val="18"/>
                <w:szCs w:val="18"/>
              </w:rPr>
              <w:t>监测布</w:t>
            </w:r>
            <w:r>
              <w:rPr>
                <w:rFonts w:hint="eastAsia" w:ascii="宋体" w:hAnsi="宋体" w:cs="宋体"/>
                <w:color w:val="000000"/>
                <w:kern w:val="0"/>
                <w:sz w:val="18"/>
                <w:szCs w:val="18"/>
                <w:lang w:val="en-US" w:eastAsia="zh-CN"/>
              </w:rPr>
              <w:t>点</w:t>
            </w:r>
            <w:r>
              <w:rPr>
                <w:rFonts w:hint="eastAsia" w:ascii="宋体" w:hAnsi="宋体" w:cs="宋体"/>
                <w:color w:val="000000"/>
                <w:kern w:val="0"/>
                <w:sz w:val="18"/>
                <w:szCs w:val="18"/>
              </w:rPr>
              <w:t>要求</w:t>
            </w:r>
          </w:p>
        </w:tc>
      </w:tr>
      <w:tr w14:paraId="096F8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vMerge w:val="restart"/>
            <w:tcBorders>
              <w:top w:val="single" w:color="auto" w:sz="4" w:space="0"/>
              <w:left w:val="single" w:color="auto" w:sz="4" w:space="0"/>
              <w:right w:val="single" w:color="auto" w:sz="4" w:space="0"/>
            </w:tcBorders>
            <w:vAlign w:val="center"/>
          </w:tcPr>
          <w:p w14:paraId="348E61DA">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10</w:t>
            </w:r>
          </w:p>
        </w:tc>
        <w:tc>
          <w:tcPr>
            <w:tcW w:w="598" w:type="dxa"/>
            <w:vMerge w:val="restart"/>
            <w:tcBorders>
              <w:top w:val="single" w:color="auto" w:sz="4" w:space="0"/>
              <w:left w:val="single" w:color="auto" w:sz="4" w:space="0"/>
              <w:right w:val="single" w:color="auto" w:sz="4" w:space="0"/>
            </w:tcBorders>
            <w:vAlign w:val="center"/>
          </w:tcPr>
          <w:p w14:paraId="64AAE36E">
            <w:pPr>
              <w:widowControl/>
              <w:spacing w:beforeLines="0" w:afterLines="0" w:line="240" w:lineRule="auto"/>
              <w:jc w:val="left"/>
              <w:rPr>
                <w:rFonts w:hint="eastAsia" w:ascii="宋体" w:hAnsi="宋体" w:cs="宋体"/>
                <w:sz w:val="18"/>
                <w:szCs w:val="18"/>
              </w:rPr>
            </w:pPr>
          </w:p>
        </w:tc>
        <w:tc>
          <w:tcPr>
            <w:tcW w:w="1448" w:type="dxa"/>
            <w:vMerge w:val="restart"/>
            <w:tcBorders>
              <w:top w:val="single" w:color="auto" w:sz="4" w:space="0"/>
              <w:left w:val="single" w:color="auto" w:sz="4" w:space="0"/>
              <w:bottom w:val="single" w:color="auto" w:sz="4" w:space="0"/>
              <w:right w:val="single" w:color="auto" w:sz="4" w:space="0"/>
            </w:tcBorders>
            <w:vAlign w:val="center"/>
          </w:tcPr>
          <w:p w14:paraId="0016C225">
            <w:pPr>
              <w:pStyle w:val="146"/>
              <w:rPr>
                <w:rFonts w:hint="eastAsia" w:ascii="宋体" w:hAnsi="宋体" w:cs="宋体"/>
                <w:sz w:val="18"/>
                <w:szCs w:val="18"/>
              </w:rPr>
            </w:pPr>
            <w:r>
              <w:rPr>
                <w:rFonts w:hint="eastAsia" w:ascii="宋体" w:hAnsi="宋体" w:cs="宋体"/>
                <w:sz w:val="18"/>
                <w:szCs w:val="18"/>
              </w:rPr>
              <w:t>船舶撞击</w:t>
            </w:r>
          </w:p>
        </w:tc>
        <w:tc>
          <w:tcPr>
            <w:tcW w:w="1991" w:type="dxa"/>
            <w:tcBorders>
              <w:top w:val="single" w:color="auto" w:sz="4" w:space="0"/>
              <w:left w:val="single" w:color="auto" w:sz="4" w:space="0"/>
              <w:bottom w:val="single" w:color="auto" w:sz="4" w:space="0"/>
              <w:right w:val="single" w:color="auto" w:sz="4" w:space="0"/>
            </w:tcBorders>
            <w:vAlign w:val="center"/>
          </w:tcPr>
          <w:p w14:paraId="6A09FD53">
            <w:pPr>
              <w:pStyle w:val="146"/>
              <w:rPr>
                <w:rFonts w:hint="eastAsia" w:ascii="宋体" w:hAnsi="宋体" w:cs="宋体"/>
                <w:sz w:val="18"/>
                <w:szCs w:val="18"/>
              </w:rPr>
            </w:pPr>
            <w:r>
              <w:rPr>
                <w:rFonts w:hint="eastAsia" w:ascii="宋体" w:hAnsi="宋体" w:cs="宋体"/>
                <w:sz w:val="18"/>
                <w:szCs w:val="18"/>
              </w:rPr>
              <w:t>桥墩加速度</w:t>
            </w:r>
          </w:p>
        </w:tc>
        <w:tc>
          <w:tcPr>
            <w:tcW w:w="941" w:type="dxa"/>
            <w:tcBorders>
              <w:top w:val="single" w:color="auto" w:sz="4" w:space="0"/>
              <w:left w:val="single" w:color="auto" w:sz="4" w:space="0"/>
              <w:bottom w:val="single" w:color="auto" w:sz="4" w:space="0"/>
              <w:right w:val="single" w:color="auto" w:sz="4" w:space="0"/>
            </w:tcBorders>
            <w:vAlign w:val="center"/>
          </w:tcPr>
          <w:p w14:paraId="49E34E35">
            <w:pPr>
              <w:pStyle w:val="146"/>
              <w:rPr>
                <w:rFonts w:hint="eastAsia" w:ascii="宋体" w:hAnsi="宋体" w:cs="宋体"/>
                <w:sz w:val="18"/>
                <w:szCs w:val="18"/>
              </w:rPr>
            </w:pPr>
            <w:r>
              <w:rPr>
                <w:rFonts w:hint="eastAsia" w:ascii="宋体" w:hAnsi="宋体" w:cs="宋体"/>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3E47D06C">
            <w:pPr>
              <w:pStyle w:val="146"/>
              <w:rPr>
                <w:rFonts w:hint="eastAsia" w:ascii="宋体" w:hAnsi="宋体" w:cs="宋体"/>
                <w:sz w:val="18"/>
                <w:szCs w:val="18"/>
              </w:rPr>
            </w:pPr>
            <w:r>
              <w:rPr>
                <w:rFonts w:cs="宋体"/>
                <w:bCs/>
                <w:sz w:val="18"/>
                <w:szCs w:val="18"/>
              </w:rPr>
              <w:t>布设在有船撞风险</w:t>
            </w:r>
            <w:r>
              <w:rPr>
                <w:rFonts w:hint="eastAsia" w:cs="宋体"/>
                <w:bCs/>
                <w:sz w:val="18"/>
                <w:szCs w:val="18"/>
              </w:rPr>
              <w:t>的桥墩处</w:t>
            </w:r>
          </w:p>
        </w:tc>
      </w:tr>
      <w:tr w14:paraId="7DEE5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vMerge w:val="continue"/>
            <w:tcBorders>
              <w:left w:val="single" w:color="auto" w:sz="4" w:space="0"/>
              <w:bottom w:val="single" w:color="auto" w:sz="4" w:space="0"/>
              <w:right w:val="single" w:color="auto" w:sz="4" w:space="0"/>
            </w:tcBorders>
            <w:vAlign w:val="center"/>
          </w:tcPr>
          <w:p w14:paraId="47341FB7">
            <w:pPr>
              <w:widowControl/>
              <w:spacing w:beforeLines="0" w:afterLines="0" w:line="240" w:lineRule="auto"/>
              <w:jc w:val="center"/>
              <w:rPr>
                <w:rFonts w:hint="eastAsia" w:ascii="宋体" w:hAnsi="宋体" w:cs="宋体"/>
                <w:sz w:val="18"/>
                <w:szCs w:val="18"/>
              </w:rPr>
            </w:pPr>
          </w:p>
        </w:tc>
        <w:tc>
          <w:tcPr>
            <w:tcW w:w="598" w:type="dxa"/>
            <w:vMerge w:val="continue"/>
            <w:tcBorders>
              <w:left w:val="single" w:color="auto" w:sz="4" w:space="0"/>
              <w:right w:val="single" w:color="auto" w:sz="4" w:space="0"/>
            </w:tcBorders>
            <w:vAlign w:val="center"/>
          </w:tcPr>
          <w:p w14:paraId="5D913212">
            <w:pPr>
              <w:widowControl/>
              <w:spacing w:beforeLines="0" w:afterLines="0" w:line="240" w:lineRule="auto"/>
              <w:jc w:val="left"/>
              <w:rPr>
                <w:rFonts w:hint="eastAsia" w:ascii="宋体" w:hAnsi="宋体" w:cs="宋体"/>
                <w:sz w:val="18"/>
                <w:szCs w:val="18"/>
              </w:rPr>
            </w:pPr>
          </w:p>
        </w:tc>
        <w:tc>
          <w:tcPr>
            <w:tcW w:w="1448" w:type="dxa"/>
            <w:vMerge w:val="continue"/>
            <w:tcBorders>
              <w:top w:val="single" w:color="auto" w:sz="4" w:space="0"/>
              <w:left w:val="single" w:color="auto" w:sz="4" w:space="0"/>
              <w:bottom w:val="single" w:color="auto" w:sz="4" w:space="0"/>
              <w:right w:val="single" w:color="auto" w:sz="4" w:space="0"/>
            </w:tcBorders>
            <w:vAlign w:val="center"/>
          </w:tcPr>
          <w:p w14:paraId="7EFFDF99">
            <w:pPr>
              <w:widowControl/>
              <w:spacing w:beforeLines="0" w:afterLines="0" w:line="240" w:lineRule="auto"/>
              <w:jc w:val="left"/>
              <w:rPr>
                <w:rFonts w:hint="eastAsia" w:ascii="宋体" w:hAnsi="宋体" w:cs="宋体"/>
                <w:sz w:val="18"/>
                <w:szCs w:val="18"/>
              </w:rPr>
            </w:pPr>
          </w:p>
        </w:tc>
        <w:tc>
          <w:tcPr>
            <w:tcW w:w="1991" w:type="dxa"/>
            <w:tcBorders>
              <w:top w:val="single" w:color="auto" w:sz="4" w:space="0"/>
              <w:left w:val="single" w:color="auto" w:sz="4" w:space="0"/>
              <w:bottom w:val="single" w:color="auto" w:sz="4" w:space="0"/>
              <w:right w:val="single" w:color="auto" w:sz="4" w:space="0"/>
            </w:tcBorders>
            <w:vAlign w:val="center"/>
          </w:tcPr>
          <w:p w14:paraId="44A92ED3">
            <w:pPr>
              <w:pStyle w:val="146"/>
              <w:rPr>
                <w:rFonts w:hint="eastAsia" w:ascii="宋体" w:hAnsi="宋体" w:eastAsia="宋体" w:cs="宋体"/>
                <w:sz w:val="18"/>
                <w:szCs w:val="18"/>
                <w:lang w:eastAsia="zh-CN"/>
              </w:rPr>
            </w:pPr>
            <w:r>
              <w:rPr>
                <w:rFonts w:hint="eastAsia" w:ascii="宋体" w:hAnsi="宋体" w:cs="宋体"/>
                <w:sz w:val="18"/>
                <w:szCs w:val="18"/>
                <w:lang w:eastAsia="zh-CN"/>
              </w:rPr>
              <w:t>视频监控</w:t>
            </w:r>
          </w:p>
        </w:tc>
        <w:tc>
          <w:tcPr>
            <w:tcW w:w="941" w:type="dxa"/>
            <w:tcBorders>
              <w:top w:val="single" w:color="auto" w:sz="4" w:space="0"/>
              <w:left w:val="single" w:color="auto" w:sz="4" w:space="0"/>
              <w:bottom w:val="single" w:color="auto" w:sz="4" w:space="0"/>
              <w:right w:val="single" w:color="auto" w:sz="4" w:space="0"/>
            </w:tcBorders>
            <w:vAlign w:val="center"/>
          </w:tcPr>
          <w:p w14:paraId="4734FCF1">
            <w:pPr>
              <w:pStyle w:val="146"/>
              <w:rPr>
                <w:rFonts w:hint="eastAsia" w:ascii="宋体" w:hAnsi="宋体" w:cs="宋体"/>
                <w:sz w:val="18"/>
                <w:szCs w:val="18"/>
              </w:rPr>
            </w:pPr>
            <w:r>
              <w:rPr>
                <w:rFonts w:hint="eastAsia" w:ascii="宋体" w:hAnsi="宋体" w:cs="宋体"/>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16DD7E82">
            <w:pPr>
              <w:pStyle w:val="146"/>
              <w:rPr>
                <w:rFonts w:hint="eastAsia" w:ascii="宋体" w:hAnsi="宋体" w:cs="宋体"/>
                <w:sz w:val="18"/>
                <w:szCs w:val="18"/>
              </w:rPr>
            </w:pPr>
            <w:r>
              <w:rPr>
                <w:rFonts w:cs="宋体"/>
                <w:bCs/>
                <w:sz w:val="18"/>
                <w:szCs w:val="18"/>
              </w:rPr>
              <w:t>布设在有船撞风险</w:t>
            </w:r>
            <w:r>
              <w:rPr>
                <w:rFonts w:hint="eastAsia" w:cs="宋体"/>
                <w:bCs/>
                <w:sz w:val="18"/>
                <w:szCs w:val="18"/>
              </w:rPr>
              <w:t>桥跨处</w:t>
            </w:r>
          </w:p>
        </w:tc>
      </w:tr>
      <w:tr w14:paraId="44E2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vMerge w:val="restart"/>
            <w:tcBorders>
              <w:top w:val="single" w:color="auto" w:sz="4" w:space="0"/>
              <w:left w:val="single" w:color="auto" w:sz="4" w:space="0"/>
              <w:right w:val="single" w:color="auto" w:sz="4" w:space="0"/>
            </w:tcBorders>
            <w:vAlign w:val="center"/>
          </w:tcPr>
          <w:p w14:paraId="587038FB">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11</w:t>
            </w:r>
          </w:p>
        </w:tc>
        <w:tc>
          <w:tcPr>
            <w:tcW w:w="598" w:type="dxa"/>
            <w:vMerge w:val="continue"/>
            <w:tcBorders>
              <w:left w:val="single" w:color="auto" w:sz="4" w:space="0"/>
              <w:right w:val="single" w:color="auto" w:sz="4" w:space="0"/>
            </w:tcBorders>
            <w:vAlign w:val="center"/>
          </w:tcPr>
          <w:p w14:paraId="675D8466">
            <w:pPr>
              <w:widowControl/>
              <w:spacing w:beforeLines="0" w:afterLines="0" w:line="240" w:lineRule="auto"/>
              <w:jc w:val="left"/>
              <w:rPr>
                <w:rFonts w:hint="eastAsia" w:ascii="宋体" w:hAnsi="宋体" w:cs="宋体"/>
                <w:sz w:val="18"/>
                <w:szCs w:val="18"/>
              </w:rPr>
            </w:pPr>
          </w:p>
        </w:tc>
        <w:tc>
          <w:tcPr>
            <w:tcW w:w="1448" w:type="dxa"/>
            <w:vMerge w:val="restart"/>
            <w:tcBorders>
              <w:top w:val="single" w:color="auto" w:sz="4" w:space="0"/>
              <w:left w:val="single" w:color="auto" w:sz="4" w:space="0"/>
              <w:bottom w:val="single" w:color="auto" w:sz="4" w:space="0"/>
              <w:right w:val="single" w:color="auto" w:sz="4" w:space="0"/>
            </w:tcBorders>
            <w:vAlign w:val="center"/>
          </w:tcPr>
          <w:p w14:paraId="250ED1EF">
            <w:pPr>
              <w:pStyle w:val="146"/>
              <w:rPr>
                <w:rFonts w:hint="eastAsia" w:ascii="宋体" w:hAnsi="宋体" w:cs="宋体"/>
                <w:sz w:val="18"/>
                <w:szCs w:val="18"/>
              </w:rPr>
            </w:pPr>
            <w:r>
              <w:rPr>
                <w:rFonts w:hint="eastAsia" w:ascii="宋体" w:hAnsi="宋体" w:cs="宋体"/>
                <w:sz w:val="18"/>
                <w:szCs w:val="18"/>
              </w:rPr>
              <w:t>车辆撞击</w:t>
            </w:r>
          </w:p>
        </w:tc>
        <w:tc>
          <w:tcPr>
            <w:tcW w:w="1991" w:type="dxa"/>
            <w:tcBorders>
              <w:top w:val="single" w:color="auto" w:sz="4" w:space="0"/>
              <w:left w:val="single" w:color="auto" w:sz="4" w:space="0"/>
              <w:bottom w:val="single" w:color="auto" w:sz="4" w:space="0"/>
              <w:right w:val="single" w:color="auto" w:sz="4" w:space="0"/>
            </w:tcBorders>
            <w:vAlign w:val="center"/>
          </w:tcPr>
          <w:p w14:paraId="009BBD06">
            <w:pPr>
              <w:pStyle w:val="146"/>
              <w:rPr>
                <w:rFonts w:hint="eastAsia" w:ascii="宋体" w:hAnsi="宋体" w:cs="宋体"/>
                <w:sz w:val="18"/>
                <w:szCs w:val="18"/>
              </w:rPr>
            </w:pPr>
            <w:r>
              <w:rPr>
                <w:rFonts w:hint="eastAsia" w:ascii="宋体" w:hAnsi="宋体" w:cs="宋体"/>
                <w:sz w:val="18"/>
                <w:szCs w:val="18"/>
              </w:rPr>
              <w:t>桥墩加速度</w:t>
            </w:r>
          </w:p>
        </w:tc>
        <w:tc>
          <w:tcPr>
            <w:tcW w:w="941" w:type="dxa"/>
            <w:tcBorders>
              <w:top w:val="single" w:color="auto" w:sz="4" w:space="0"/>
              <w:left w:val="single" w:color="auto" w:sz="4" w:space="0"/>
              <w:bottom w:val="single" w:color="auto" w:sz="4" w:space="0"/>
              <w:right w:val="single" w:color="auto" w:sz="4" w:space="0"/>
            </w:tcBorders>
            <w:vAlign w:val="center"/>
          </w:tcPr>
          <w:p w14:paraId="3733825D">
            <w:pPr>
              <w:pStyle w:val="146"/>
              <w:rPr>
                <w:rFonts w:hint="eastAsia" w:ascii="宋体" w:hAnsi="宋体" w:cs="宋体"/>
                <w:sz w:val="18"/>
                <w:szCs w:val="18"/>
              </w:rPr>
            </w:pPr>
            <w:r>
              <w:rPr>
                <w:rFonts w:hint="eastAsia" w:ascii="宋体" w:hAnsi="宋体" w:cs="宋体"/>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215C3D1F">
            <w:pPr>
              <w:pStyle w:val="146"/>
              <w:rPr>
                <w:rFonts w:hint="eastAsia" w:ascii="宋体" w:hAnsi="宋体" w:cs="宋体"/>
                <w:sz w:val="18"/>
                <w:szCs w:val="18"/>
              </w:rPr>
            </w:pPr>
            <w:r>
              <w:rPr>
                <w:rFonts w:cs="宋体"/>
                <w:bCs/>
                <w:sz w:val="18"/>
                <w:szCs w:val="18"/>
              </w:rPr>
              <w:t>布设在有</w:t>
            </w:r>
            <w:r>
              <w:rPr>
                <w:rFonts w:hint="eastAsia" w:cs="宋体"/>
                <w:bCs/>
                <w:sz w:val="18"/>
                <w:szCs w:val="18"/>
              </w:rPr>
              <w:t>车</w:t>
            </w:r>
            <w:r>
              <w:rPr>
                <w:rFonts w:cs="宋体"/>
                <w:bCs/>
                <w:sz w:val="18"/>
                <w:szCs w:val="18"/>
              </w:rPr>
              <w:t>撞风险</w:t>
            </w:r>
            <w:r>
              <w:rPr>
                <w:rFonts w:hint="eastAsia" w:cs="宋体"/>
                <w:bCs/>
                <w:sz w:val="18"/>
                <w:szCs w:val="18"/>
              </w:rPr>
              <w:t>的桥墩处</w:t>
            </w:r>
          </w:p>
        </w:tc>
      </w:tr>
      <w:tr w14:paraId="5E802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vMerge w:val="continue"/>
            <w:tcBorders>
              <w:left w:val="single" w:color="auto" w:sz="4" w:space="0"/>
              <w:bottom w:val="single" w:color="auto" w:sz="4" w:space="0"/>
              <w:right w:val="single" w:color="auto" w:sz="4" w:space="0"/>
            </w:tcBorders>
            <w:vAlign w:val="center"/>
          </w:tcPr>
          <w:p w14:paraId="644C3478">
            <w:pPr>
              <w:widowControl/>
              <w:spacing w:beforeLines="0" w:afterLines="0" w:line="240" w:lineRule="auto"/>
              <w:jc w:val="center"/>
              <w:rPr>
                <w:rFonts w:hint="eastAsia" w:ascii="宋体" w:hAnsi="宋体" w:cs="宋体"/>
                <w:sz w:val="18"/>
                <w:szCs w:val="18"/>
              </w:rPr>
            </w:pPr>
          </w:p>
        </w:tc>
        <w:tc>
          <w:tcPr>
            <w:tcW w:w="598" w:type="dxa"/>
            <w:vMerge w:val="continue"/>
            <w:tcBorders>
              <w:left w:val="single" w:color="auto" w:sz="4" w:space="0"/>
              <w:right w:val="single" w:color="auto" w:sz="4" w:space="0"/>
            </w:tcBorders>
            <w:vAlign w:val="center"/>
          </w:tcPr>
          <w:p w14:paraId="7CF3B1C5">
            <w:pPr>
              <w:widowControl/>
              <w:spacing w:beforeLines="0" w:afterLines="0" w:line="240" w:lineRule="auto"/>
              <w:jc w:val="left"/>
              <w:rPr>
                <w:rFonts w:hint="eastAsia" w:ascii="宋体" w:hAnsi="宋体" w:cs="宋体"/>
                <w:sz w:val="18"/>
                <w:szCs w:val="18"/>
              </w:rPr>
            </w:pPr>
          </w:p>
        </w:tc>
        <w:tc>
          <w:tcPr>
            <w:tcW w:w="1448" w:type="dxa"/>
            <w:vMerge w:val="continue"/>
            <w:tcBorders>
              <w:top w:val="single" w:color="auto" w:sz="4" w:space="0"/>
              <w:left w:val="single" w:color="auto" w:sz="4" w:space="0"/>
              <w:bottom w:val="single" w:color="auto" w:sz="4" w:space="0"/>
              <w:right w:val="single" w:color="auto" w:sz="4" w:space="0"/>
            </w:tcBorders>
            <w:vAlign w:val="center"/>
          </w:tcPr>
          <w:p w14:paraId="38CF2D83">
            <w:pPr>
              <w:widowControl/>
              <w:spacing w:beforeLines="0" w:afterLines="0" w:line="240" w:lineRule="auto"/>
              <w:jc w:val="left"/>
              <w:rPr>
                <w:rFonts w:hint="eastAsia" w:ascii="宋体" w:hAnsi="宋体" w:cs="宋体"/>
                <w:sz w:val="18"/>
                <w:szCs w:val="18"/>
              </w:rPr>
            </w:pPr>
          </w:p>
        </w:tc>
        <w:tc>
          <w:tcPr>
            <w:tcW w:w="1991" w:type="dxa"/>
            <w:tcBorders>
              <w:top w:val="single" w:color="auto" w:sz="4" w:space="0"/>
              <w:left w:val="single" w:color="auto" w:sz="4" w:space="0"/>
              <w:bottom w:val="single" w:color="auto" w:sz="4" w:space="0"/>
              <w:right w:val="single" w:color="auto" w:sz="4" w:space="0"/>
            </w:tcBorders>
            <w:vAlign w:val="center"/>
          </w:tcPr>
          <w:p w14:paraId="7D5666CC">
            <w:pPr>
              <w:pStyle w:val="146"/>
              <w:rPr>
                <w:rFonts w:hint="eastAsia" w:ascii="宋体" w:hAnsi="宋体" w:eastAsia="宋体" w:cs="宋体"/>
                <w:sz w:val="18"/>
                <w:szCs w:val="18"/>
                <w:lang w:eastAsia="zh-CN"/>
              </w:rPr>
            </w:pPr>
            <w:r>
              <w:rPr>
                <w:rFonts w:hint="eastAsia" w:ascii="宋体" w:hAnsi="宋体" w:cs="宋体"/>
                <w:sz w:val="18"/>
                <w:szCs w:val="18"/>
                <w:lang w:eastAsia="zh-CN"/>
              </w:rPr>
              <w:t>视频监控</w:t>
            </w:r>
          </w:p>
        </w:tc>
        <w:tc>
          <w:tcPr>
            <w:tcW w:w="941" w:type="dxa"/>
            <w:tcBorders>
              <w:top w:val="single" w:color="auto" w:sz="4" w:space="0"/>
              <w:left w:val="single" w:color="auto" w:sz="4" w:space="0"/>
              <w:bottom w:val="single" w:color="auto" w:sz="4" w:space="0"/>
              <w:right w:val="single" w:color="auto" w:sz="4" w:space="0"/>
            </w:tcBorders>
            <w:vAlign w:val="center"/>
          </w:tcPr>
          <w:p w14:paraId="3FC6DC53">
            <w:pPr>
              <w:pStyle w:val="146"/>
              <w:rPr>
                <w:rFonts w:hint="eastAsia" w:ascii="宋体" w:hAnsi="宋体" w:cs="宋体"/>
                <w:sz w:val="18"/>
                <w:szCs w:val="18"/>
              </w:rPr>
            </w:pPr>
            <w:r>
              <w:rPr>
                <w:rFonts w:hint="eastAsia" w:ascii="宋体" w:hAnsi="宋体" w:cs="宋体"/>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5A127A11">
            <w:pPr>
              <w:pStyle w:val="146"/>
              <w:rPr>
                <w:rFonts w:hint="eastAsia" w:ascii="宋体" w:hAnsi="宋体" w:cs="宋体"/>
                <w:sz w:val="18"/>
                <w:szCs w:val="18"/>
              </w:rPr>
            </w:pPr>
            <w:r>
              <w:rPr>
                <w:rFonts w:cs="宋体"/>
                <w:bCs/>
                <w:sz w:val="18"/>
                <w:szCs w:val="18"/>
              </w:rPr>
              <w:t>布设在有船撞风险</w:t>
            </w:r>
            <w:r>
              <w:rPr>
                <w:rFonts w:hint="eastAsia" w:cs="宋体"/>
                <w:bCs/>
                <w:sz w:val="18"/>
                <w:szCs w:val="18"/>
              </w:rPr>
              <w:t>桥跨处</w:t>
            </w:r>
          </w:p>
        </w:tc>
      </w:tr>
      <w:tr w14:paraId="11CFE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vMerge w:val="restart"/>
            <w:tcBorders>
              <w:top w:val="single" w:color="auto" w:sz="4" w:space="0"/>
              <w:left w:val="single" w:color="auto" w:sz="4" w:space="0"/>
              <w:right w:val="single" w:color="auto" w:sz="4" w:space="0"/>
            </w:tcBorders>
            <w:vAlign w:val="center"/>
          </w:tcPr>
          <w:p w14:paraId="45741D7B">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12</w:t>
            </w:r>
          </w:p>
        </w:tc>
        <w:tc>
          <w:tcPr>
            <w:tcW w:w="598" w:type="dxa"/>
            <w:vMerge w:val="continue"/>
            <w:tcBorders>
              <w:left w:val="single" w:color="auto" w:sz="4" w:space="0"/>
              <w:right w:val="single" w:color="auto" w:sz="4" w:space="0"/>
            </w:tcBorders>
            <w:vAlign w:val="center"/>
          </w:tcPr>
          <w:p w14:paraId="7AB41009">
            <w:pPr>
              <w:widowControl/>
              <w:spacing w:beforeLines="0" w:afterLines="0" w:line="240" w:lineRule="auto"/>
              <w:jc w:val="left"/>
              <w:rPr>
                <w:rFonts w:hint="eastAsia" w:ascii="宋体" w:hAnsi="宋体" w:cs="宋体"/>
                <w:sz w:val="18"/>
                <w:szCs w:val="18"/>
              </w:rPr>
            </w:pPr>
          </w:p>
        </w:tc>
        <w:tc>
          <w:tcPr>
            <w:tcW w:w="1448" w:type="dxa"/>
            <w:vMerge w:val="restart"/>
            <w:tcBorders>
              <w:top w:val="single" w:color="auto" w:sz="4" w:space="0"/>
              <w:left w:val="single" w:color="auto" w:sz="4" w:space="0"/>
              <w:bottom w:val="single" w:color="auto" w:sz="4" w:space="0"/>
              <w:right w:val="single" w:color="auto" w:sz="4" w:space="0"/>
            </w:tcBorders>
            <w:vAlign w:val="center"/>
          </w:tcPr>
          <w:p w14:paraId="440EE48F">
            <w:pPr>
              <w:pStyle w:val="146"/>
              <w:rPr>
                <w:rFonts w:hint="eastAsia" w:ascii="宋体" w:hAnsi="宋体" w:cs="宋体"/>
                <w:sz w:val="18"/>
                <w:szCs w:val="18"/>
              </w:rPr>
            </w:pPr>
            <w:r>
              <w:rPr>
                <w:rFonts w:hint="eastAsia" w:ascii="宋体" w:hAnsi="宋体" w:cs="宋体"/>
                <w:sz w:val="18"/>
                <w:szCs w:val="18"/>
              </w:rPr>
              <w:t>地震</w:t>
            </w:r>
          </w:p>
        </w:tc>
        <w:tc>
          <w:tcPr>
            <w:tcW w:w="1991" w:type="dxa"/>
            <w:tcBorders>
              <w:top w:val="single" w:color="auto" w:sz="4" w:space="0"/>
              <w:left w:val="single" w:color="auto" w:sz="4" w:space="0"/>
              <w:bottom w:val="single" w:color="auto" w:sz="4" w:space="0"/>
              <w:right w:val="single" w:color="auto" w:sz="4" w:space="0"/>
            </w:tcBorders>
            <w:vAlign w:val="center"/>
          </w:tcPr>
          <w:p w14:paraId="599DE9C9">
            <w:pPr>
              <w:pStyle w:val="146"/>
              <w:rPr>
                <w:rFonts w:hint="eastAsia" w:ascii="宋体" w:hAnsi="宋体" w:cs="宋体"/>
                <w:sz w:val="18"/>
                <w:szCs w:val="18"/>
              </w:rPr>
            </w:pPr>
            <w:r>
              <w:rPr>
                <w:rFonts w:hint="eastAsia" w:ascii="宋体" w:hAnsi="宋体" w:cs="宋体"/>
                <w:sz w:val="18"/>
                <w:szCs w:val="18"/>
              </w:rPr>
              <w:t>桥岸地表场地加速度</w:t>
            </w:r>
          </w:p>
        </w:tc>
        <w:tc>
          <w:tcPr>
            <w:tcW w:w="941" w:type="dxa"/>
            <w:tcBorders>
              <w:top w:val="single" w:color="auto" w:sz="4" w:space="0"/>
              <w:left w:val="single" w:color="auto" w:sz="4" w:space="0"/>
              <w:bottom w:val="single" w:color="auto" w:sz="4" w:space="0"/>
              <w:right w:val="single" w:color="auto" w:sz="4" w:space="0"/>
            </w:tcBorders>
            <w:vAlign w:val="center"/>
          </w:tcPr>
          <w:p w14:paraId="67C7AE17">
            <w:pPr>
              <w:pStyle w:val="146"/>
              <w:rPr>
                <w:rFonts w:hint="eastAsia" w:ascii="宋体" w:hAnsi="宋体" w:cs="宋体"/>
                <w:sz w:val="18"/>
                <w:szCs w:val="18"/>
              </w:rPr>
            </w:pPr>
            <w:r>
              <w:rPr>
                <w:rFonts w:hint="eastAsia" w:ascii="宋体" w:hAnsi="宋体" w:cs="宋体"/>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673DCDB4">
            <w:pPr>
              <w:pStyle w:val="146"/>
              <w:rPr>
                <w:rFonts w:hint="eastAsia" w:ascii="宋体" w:hAnsi="宋体" w:cs="宋体"/>
                <w:sz w:val="18"/>
                <w:szCs w:val="18"/>
              </w:rPr>
            </w:pPr>
            <w:r>
              <w:rPr>
                <w:rFonts w:hint="eastAsia" w:ascii="宋体" w:hAnsi="宋体" w:cs="宋体"/>
                <w:sz w:val="18"/>
                <w:szCs w:val="18"/>
              </w:rPr>
              <w:t>桥岸地表</w:t>
            </w:r>
          </w:p>
        </w:tc>
      </w:tr>
      <w:tr w14:paraId="3556F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vMerge w:val="continue"/>
            <w:tcBorders>
              <w:left w:val="single" w:color="auto" w:sz="4" w:space="0"/>
              <w:bottom w:val="single" w:color="auto" w:sz="4" w:space="0"/>
              <w:right w:val="single" w:color="auto" w:sz="4" w:space="0"/>
            </w:tcBorders>
            <w:vAlign w:val="center"/>
          </w:tcPr>
          <w:p w14:paraId="5B150377">
            <w:pPr>
              <w:widowControl/>
              <w:spacing w:beforeLines="0" w:afterLines="0" w:line="240" w:lineRule="auto"/>
              <w:jc w:val="center"/>
              <w:rPr>
                <w:rFonts w:hint="eastAsia" w:ascii="宋体" w:hAnsi="宋体" w:cs="宋体"/>
                <w:sz w:val="18"/>
                <w:szCs w:val="18"/>
              </w:rPr>
            </w:pPr>
          </w:p>
        </w:tc>
        <w:tc>
          <w:tcPr>
            <w:tcW w:w="598" w:type="dxa"/>
            <w:vMerge w:val="continue"/>
            <w:tcBorders>
              <w:left w:val="single" w:color="auto" w:sz="4" w:space="0"/>
              <w:bottom w:val="single" w:color="auto" w:sz="4" w:space="0"/>
              <w:right w:val="single" w:color="auto" w:sz="4" w:space="0"/>
            </w:tcBorders>
            <w:vAlign w:val="center"/>
          </w:tcPr>
          <w:p w14:paraId="2EA04F71">
            <w:pPr>
              <w:widowControl/>
              <w:spacing w:beforeLines="0" w:afterLines="0" w:line="240" w:lineRule="auto"/>
              <w:jc w:val="left"/>
              <w:rPr>
                <w:rFonts w:hint="eastAsia" w:ascii="宋体" w:hAnsi="宋体" w:cs="宋体"/>
                <w:sz w:val="18"/>
                <w:szCs w:val="18"/>
              </w:rPr>
            </w:pPr>
          </w:p>
        </w:tc>
        <w:tc>
          <w:tcPr>
            <w:tcW w:w="1448" w:type="dxa"/>
            <w:vMerge w:val="continue"/>
            <w:tcBorders>
              <w:top w:val="single" w:color="auto" w:sz="4" w:space="0"/>
              <w:left w:val="single" w:color="auto" w:sz="4" w:space="0"/>
              <w:bottom w:val="single" w:color="auto" w:sz="4" w:space="0"/>
              <w:right w:val="single" w:color="auto" w:sz="4" w:space="0"/>
            </w:tcBorders>
            <w:vAlign w:val="center"/>
          </w:tcPr>
          <w:p w14:paraId="4CE6942B">
            <w:pPr>
              <w:widowControl/>
              <w:spacing w:beforeLines="0" w:afterLines="0" w:line="240" w:lineRule="auto"/>
              <w:jc w:val="left"/>
              <w:rPr>
                <w:rFonts w:hint="eastAsia" w:ascii="宋体" w:hAnsi="宋体" w:cs="宋体"/>
                <w:sz w:val="18"/>
                <w:szCs w:val="18"/>
              </w:rPr>
            </w:pPr>
          </w:p>
        </w:tc>
        <w:tc>
          <w:tcPr>
            <w:tcW w:w="1991" w:type="dxa"/>
            <w:tcBorders>
              <w:top w:val="single" w:color="auto" w:sz="4" w:space="0"/>
              <w:left w:val="single" w:color="auto" w:sz="4" w:space="0"/>
              <w:bottom w:val="single" w:color="auto" w:sz="4" w:space="0"/>
              <w:right w:val="single" w:color="auto" w:sz="4" w:space="0"/>
            </w:tcBorders>
            <w:vAlign w:val="center"/>
          </w:tcPr>
          <w:p w14:paraId="4EAF4730">
            <w:pPr>
              <w:pStyle w:val="146"/>
              <w:rPr>
                <w:rFonts w:hint="eastAsia" w:ascii="宋体" w:hAnsi="宋体" w:cs="宋体"/>
                <w:sz w:val="18"/>
                <w:szCs w:val="18"/>
              </w:rPr>
            </w:pPr>
            <w:r>
              <w:rPr>
                <w:rFonts w:hint="eastAsia" w:ascii="宋体" w:hAnsi="宋体" w:cs="宋体"/>
                <w:sz w:val="18"/>
                <w:szCs w:val="18"/>
              </w:rPr>
              <w:t>承台顶或桥墩底部加速度</w:t>
            </w:r>
          </w:p>
        </w:tc>
        <w:tc>
          <w:tcPr>
            <w:tcW w:w="941" w:type="dxa"/>
            <w:tcBorders>
              <w:top w:val="single" w:color="auto" w:sz="4" w:space="0"/>
              <w:left w:val="single" w:color="auto" w:sz="4" w:space="0"/>
              <w:bottom w:val="single" w:color="auto" w:sz="4" w:space="0"/>
              <w:right w:val="single" w:color="auto" w:sz="4" w:space="0"/>
            </w:tcBorders>
            <w:vAlign w:val="center"/>
          </w:tcPr>
          <w:p w14:paraId="0AFCFC4C">
            <w:pPr>
              <w:pStyle w:val="146"/>
              <w:rPr>
                <w:rFonts w:hint="eastAsia" w:ascii="宋体" w:hAnsi="宋体" w:cs="宋体"/>
                <w:sz w:val="18"/>
                <w:szCs w:val="18"/>
              </w:rPr>
            </w:pPr>
            <w:r>
              <w:rPr>
                <w:rFonts w:hint="eastAsia" w:ascii="宋体" w:hAnsi="宋体" w:cs="宋体"/>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4B849B02">
            <w:pPr>
              <w:pStyle w:val="146"/>
              <w:rPr>
                <w:rFonts w:hint="eastAsia" w:ascii="宋体" w:hAnsi="宋体" w:cs="宋体"/>
                <w:sz w:val="18"/>
                <w:szCs w:val="18"/>
              </w:rPr>
            </w:pPr>
            <w:r>
              <w:rPr>
                <w:rFonts w:hint="eastAsia" w:ascii="宋体" w:hAnsi="宋体" w:cs="宋体"/>
                <w:sz w:val="18"/>
                <w:szCs w:val="18"/>
              </w:rPr>
              <w:t>承台顶或桥墩底部</w:t>
            </w:r>
          </w:p>
        </w:tc>
      </w:tr>
      <w:tr w14:paraId="0B35F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vMerge w:val="restart"/>
            <w:tcBorders>
              <w:top w:val="single" w:color="auto" w:sz="4" w:space="0"/>
              <w:left w:val="single" w:color="auto" w:sz="4" w:space="0"/>
              <w:right w:val="single" w:color="auto" w:sz="4" w:space="0"/>
            </w:tcBorders>
            <w:vAlign w:val="center"/>
          </w:tcPr>
          <w:p w14:paraId="3CD54E59">
            <w:pPr>
              <w:pStyle w:val="146"/>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13</w:t>
            </w:r>
          </w:p>
        </w:tc>
        <w:tc>
          <w:tcPr>
            <w:tcW w:w="598" w:type="dxa"/>
            <w:vMerge w:val="restart"/>
            <w:tcBorders>
              <w:top w:val="single" w:color="auto" w:sz="4" w:space="0"/>
              <w:left w:val="single" w:color="auto" w:sz="4" w:space="0"/>
              <w:right w:val="single" w:color="auto" w:sz="4" w:space="0"/>
            </w:tcBorders>
            <w:vAlign w:val="center"/>
          </w:tcPr>
          <w:p w14:paraId="10185473">
            <w:pPr>
              <w:pStyle w:val="146"/>
              <w:rPr>
                <w:rFonts w:hint="eastAsia" w:ascii="宋体" w:hAnsi="宋体" w:cs="宋体"/>
                <w:sz w:val="18"/>
                <w:szCs w:val="18"/>
              </w:rPr>
            </w:pPr>
            <w:r>
              <w:rPr>
                <w:rFonts w:hint="eastAsia" w:ascii="宋体" w:hAnsi="宋体" w:cs="宋体"/>
                <w:sz w:val="18"/>
                <w:szCs w:val="18"/>
              </w:rPr>
              <w:t>结构响应</w:t>
            </w:r>
          </w:p>
        </w:tc>
        <w:tc>
          <w:tcPr>
            <w:tcW w:w="1448" w:type="dxa"/>
            <w:vMerge w:val="restart"/>
            <w:tcBorders>
              <w:top w:val="single" w:color="auto" w:sz="4" w:space="0"/>
              <w:left w:val="single" w:color="auto" w:sz="4" w:space="0"/>
              <w:bottom w:val="single" w:color="auto" w:sz="4" w:space="0"/>
              <w:right w:val="single" w:color="auto" w:sz="4" w:space="0"/>
            </w:tcBorders>
            <w:vAlign w:val="center"/>
          </w:tcPr>
          <w:p w14:paraId="58269CCB">
            <w:pPr>
              <w:pStyle w:val="146"/>
              <w:rPr>
                <w:rFonts w:hint="eastAsia" w:ascii="宋体" w:hAnsi="宋体" w:cs="宋体"/>
                <w:sz w:val="18"/>
                <w:szCs w:val="18"/>
              </w:rPr>
            </w:pPr>
            <w:r>
              <w:rPr>
                <w:rFonts w:hint="eastAsia" w:ascii="宋体" w:hAnsi="宋体" w:cs="宋体"/>
                <w:sz w:val="18"/>
                <w:szCs w:val="18"/>
              </w:rPr>
              <w:t>位移</w:t>
            </w:r>
          </w:p>
        </w:tc>
        <w:tc>
          <w:tcPr>
            <w:tcW w:w="1991" w:type="dxa"/>
            <w:tcBorders>
              <w:top w:val="single" w:color="auto" w:sz="4" w:space="0"/>
              <w:left w:val="single" w:color="auto" w:sz="4" w:space="0"/>
              <w:bottom w:val="single" w:color="auto" w:sz="4" w:space="0"/>
              <w:right w:val="single" w:color="auto" w:sz="4" w:space="0"/>
            </w:tcBorders>
            <w:vAlign w:val="center"/>
          </w:tcPr>
          <w:p w14:paraId="1B20FF99">
            <w:pPr>
              <w:pStyle w:val="146"/>
              <w:rPr>
                <w:rFonts w:hint="eastAsia" w:ascii="宋体" w:hAnsi="宋体" w:cs="宋体"/>
                <w:bCs/>
                <w:sz w:val="18"/>
                <w:szCs w:val="18"/>
              </w:rPr>
            </w:pPr>
            <w:r>
              <w:rPr>
                <w:rFonts w:hint="eastAsia" w:ascii="宋体" w:hAnsi="宋体" w:cs="宋体"/>
                <w:bCs/>
                <w:sz w:val="18"/>
                <w:szCs w:val="18"/>
              </w:rPr>
              <w:t>主梁竖向位移</w:t>
            </w:r>
          </w:p>
        </w:tc>
        <w:tc>
          <w:tcPr>
            <w:tcW w:w="941" w:type="dxa"/>
            <w:tcBorders>
              <w:top w:val="single" w:color="auto" w:sz="4" w:space="0"/>
              <w:left w:val="single" w:color="auto" w:sz="4" w:space="0"/>
              <w:bottom w:val="single" w:color="auto" w:sz="4" w:space="0"/>
              <w:right w:val="single" w:color="auto" w:sz="4" w:space="0"/>
            </w:tcBorders>
            <w:vAlign w:val="center"/>
          </w:tcPr>
          <w:p w14:paraId="09E76DC3">
            <w:pPr>
              <w:pStyle w:val="146"/>
              <w:rPr>
                <w:rFonts w:hint="eastAsia" w:ascii="宋体" w:hAnsi="宋体" w:cs="宋体"/>
                <w:bCs/>
                <w:sz w:val="18"/>
                <w:szCs w:val="18"/>
              </w:rPr>
            </w:pPr>
            <w:r>
              <w:rPr>
                <w:rFonts w:hint="eastAsia" w:ascii="宋体" w:hAnsi="宋体" w:cs="宋体"/>
                <w:bCs/>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18CDE7FB">
            <w:pPr>
              <w:pStyle w:val="146"/>
              <w:rPr>
                <w:rFonts w:hint="eastAsia" w:ascii="宋体" w:hAnsi="宋体" w:cs="宋体"/>
                <w:sz w:val="18"/>
                <w:szCs w:val="18"/>
              </w:rPr>
            </w:pPr>
            <w:r>
              <w:rPr>
                <w:rFonts w:hint="eastAsia" w:ascii="宋体" w:hAnsi="宋体" w:cs="宋体"/>
                <w:sz w:val="18"/>
                <w:szCs w:val="18"/>
              </w:rPr>
              <w:t>主跨：跨中截面、1/4截面、3/4截面；边跨：跨中截面。</w:t>
            </w:r>
            <w:r>
              <w:rPr>
                <w:rFonts w:hint="eastAsia" w:cs="宋体"/>
                <w:bCs/>
                <w:sz w:val="18"/>
                <w:szCs w:val="18"/>
              </w:rPr>
              <w:t>宜布置于车道下方，</w:t>
            </w:r>
            <w:r>
              <w:rPr>
                <w:rFonts w:hint="eastAsia" w:cs="宋体"/>
                <w:bCs/>
                <w:sz w:val="18"/>
                <w:szCs w:val="18"/>
                <w:lang w:eastAsia="zh-CN"/>
              </w:rPr>
              <w:t>不低于</w:t>
            </w:r>
            <w:r>
              <w:rPr>
                <w:rFonts w:hint="eastAsia" w:cs="宋体"/>
                <w:bCs/>
                <w:sz w:val="18"/>
                <w:szCs w:val="18"/>
              </w:rPr>
              <w:t>2处。</w:t>
            </w:r>
          </w:p>
        </w:tc>
      </w:tr>
      <w:tr w14:paraId="4E975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vMerge w:val="continue"/>
            <w:tcBorders>
              <w:left w:val="single" w:color="auto" w:sz="4" w:space="0"/>
              <w:right w:val="single" w:color="auto" w:sz="4" w:space="0"/>
            </w:tcBorders>
            <w:vAlign w:val="center"/>
          </w:tcPr>
          <w:p w14:paraId="6D2C2C4C">
            <w:pPr>
              <w:widowControl/>
              <w:spacing w:beforeLines="0" w:afterLines="0" w:line="240" w:lineRule="auto"/>
              <w:jc w:val="left"/>
              <w:rPr>
                <w:rFonts w:hint="eastAsia" w:ascii="宋体" w:hAnsi="宋体" w:cs="宋体"/>
                <w:sz w:val="18"/>
                <w:szCs w:val="18"/>
              </w:rPr>
            </w:pPr>
          </w:p>
        </w:tc>
        <w:tc>
          <w:tcPr>
            <w:tcW w:w="598" w:type="dxa"/>
            <w:vMerge w:val="continue"/>
            <w:tcBorders>
              <w:left w:val="single" w:color="auto" w:sz="4" w:space="0"/>
              <w:right w:val="single" w:color="auto" w:sz="4" w:space="0"/>
            </w:tcBorders>
            <w:vAlign w:val="center"/>
          </w:tcPr>
          <w:p w14:paraId="3B6949B8">
            <w:pPr>
              <w:widowControl/>
              <w:spacing w:beforeLines="0" w:afterLines="0" w:line="240" w:lineRule="auto"/>
              <w:jc w:val="left"/>
              <w:rPr>
                <w:rFonts w:hint="eastAsia" w:ascii="宋体" w:hAnsi="宋体" w:cs="宋体"/>
                <w:sz w:val="18"/>
                <w:szCs w:val="18"/>
              </w:rPr>
            </w:pPr>
          </w:p>
        </w:tc>
        <w:tc>
          <w:tcPr>
            <w:tcW w:w="1448" w:type="dxa"/>
            <w:vMerge w:val="continue"/>
            <w:tcBorders>
              <w:top w:val="single" w:color="auto" w:sz="4" w:space="0"/>
              <w:left w:val="single" w:color="auto" w:sz="4" w:space="0"/>
              <w:bottom w:val="single" w:color="auto" w:sz="4" w:space="0"/>
              <w:right w:val="single" w:color="auto" w:sz="4" w:space="0"/>
            </w:tcBorders>
            <w:vAlign w:val="center"/>
          </w:tcPr>
          <w:p w14:paraId="04BC9808">
            <w:pPr>
              <w:widowControl/>
              <w:spacing w:beforeLines="0" w:afterLines="0" w:line="240" w:lineRule="auto"/>
              <w:jc w:val="left"/>
              <w:rPr>
                <w:rFonts w:hint="eastAsia" w:ascii="宋体" w:hAnsi="宋体" w:cs="宋体"/>
                <w:sz w:val="18"/>
                <w:szCs w:val="18"/>
              </w:rPr>
            </w:pPr>
          </w:p>
        </w:tc>
        <w:tc>
          <w:tcPr>
            <w:tcW w:w="1991" w:type="dxa"/>
            <w:tcBorders>
              <w:top w:val="single" w:color="auto" w:sz="4" w:space="0"/>
              <w:left w:val="single" w:color="auto" w:sz="4" w:space="0"/>
              <w:bottom w:val="single" w:color="auto" w:sz="4" w:space="0"/>
              <w:right w:val="single" w:color="auto" w:sz="4" w:space="0"/>
            </w:tcBorders>
            <w:vAlign w:val="center"/>
          </w:tcPr>
          <w:p w14:paraId="08AAA34D">
            <w:pPr>
              <w:pStyle w:val="146"/>
              <w:rPr>
                <w:rFonts w:hint="eastAsia" w:ascii="宋体" w:hAnsi="宋体" w:cs="宋体"/>
                <w:sz w:val="18"/>
                <w:szCs w:val="18"/>
              </w:rPr>
            </w:pPr>
            <w:r>
              <w:rPr>
                <w:rFonts w:hint="eastAsia" w:ascii="宋体" w:hAnsi="宋体" w:cs="宋体"/>
                <w:sz w:val="18"/>
                <w:szCs w:val="18"/>
              </w:rPr>
              <w:t>主梁横向位移</w:t>
            </w:r>
          </w:p>
        </w:tc>
        <w:tc>
          <w:tcPr>
            <w:tcW w:w="941" w:type="dxa"/>
            <w:tcBorders>
              <w:top w:val="single" w:color="auto" w:sz="4" w:space="0"/>
              <w:left w:val="single" w:color="auto" w:sz="4" w:space="0"/>
              <w:bottom w:val="single" w:color="auto" w:sz="4" w:space="0"/>
              <w:right w:val="single" w:color="auto" w:sz="4" w:space="0"/>
            </w:tcBorders>
            <w:vAlign w:val="center"/>
          </w:tcPr>
          <w:p w14:paraId="52690EC3">
            <w:pPr>
              <w:pStyle w:val="146"/>
              <w:rPr>
                <w:rFonts w:hint="eastAsia" w:ascii="宋体" w:hAnsi="宋体" w:cs="宋体"/>
                <w:sz w:val="18"/>
                <w:szCs w:val="18"/>
              </w:rPr>
            </w:pPr>
            <w:r>
              <w:rPr>
                <w:rFonts w:hint="eastAsia" w:ascii="宋体" w:hAnsi="宋体" w:cs="宋体"/>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1C110C7B">
            <w:pPr>
              <w:pStyle w:val="146"/>
              <w:rPr>
                <w:rFonts w:hint="eastAsia" w:ascii="宋体" w:hAnsi="宋体" w:cs="宋体"/>
                <w:sz w:val="18"/>
                <w:szCs w:val="18"/>
              </w:rPr>
            </w:pPr>
            <w:r>
              <w:rPr>
                <w:rFonts w:hint="eastAsia" w:ascii="宋体" w:hAnsi="宋体" w:cs="宋体"/>
                <w:sz w:val="18"/>
                <w:szCs w:val="18"/>
              </w:rPr>
              <w:t>梁端截面</w:t>
            </w:r>
          </w:p>
        </w:tc>
      </w:tr>
      <w:tr w14:paraId="376CA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vMerge w:val="continue"/>
            <w:tcBorders>
              <w:left w:val="single" w:color="auto" w:sz="4" w:space="0"/>
              <w:right w:val="single" w:color="auto" w:sz="4" w:space="0"/>
            </w:tcBorders>
            <w:vAlign w:val="center"/>
          </w:tcPr>
          <w:p w14:paraId="0B068528">
            <w:pPr>
              <w:widowControl/>
              <w:spacing w:beforeLines="0" w:afterLines="0" w:line="240" w:lineRule="auto"/>
              <w:jc w:val="left"/>
              <w:rPr>
                <w:rFonts w:hint="eastAsia" w:ascii="宋体" w:hAnsi="宋体" w:cs="宋体"/>
                <w:sz w:val="18"/>
                <w:szCs w:val="18"/>
              </w:rPr>
            </w:pPr>
          </w:p>
        </w:tc>
        <w:tc>
          <w:tcPr>
            <w:tcW w:w="598" w:type="dxa"/>
            <w:vMerge w:val="continue"/>
            <w:tcBorders>
              <w:left w:val="single" w:color="auto" w:sz="4" w:space="0"/>
              <w:right w:val="single" w:color="auto" w:sz="4" w:space="0"/>
            </w:tcBorders>
            <w:vAlign w:val="center"/>
          </w:tcPr>
          <w:p w14:paraId="5C76C3B1">
            <w:pPr>
              <w:widowControl/>
              <w:spacing w:beforeLines="0" w:afterLines="0" w:line="240" w:lineRule="auto"/>
              <w:jc w:val="left"/>
              <w:rPr>
                <w:rFonts w:hint="eastAsia" w:ascii="宋体" w:hAnsi="宋体" w:cs="宋体"/>
                <w:sz w:val="18"/>
                <w:szCs w:val="18"/>
              </w:rPr>
            </w:pPr>
          </w:p>
        </w:tc>
        <w:tc>
          <w:tcPr>
            <w:tcW w:w="1448" w:type="dxa"/>
            <w:vMerge w:val="continue"/>
            <w:tcBorders>
              <w:top w:val="single" w:color="auto" w:sz="4" w:space="0"/>
              <w:left w:val="single" w:color="auto" w:sz="4" w:space="0"/>
              <w:bottom w:val="single" w:color="auto" w:sz="4" w:space="0"/>
              <w:right w:val="single" w:color="auto" w:sz="4" w:space="0"/>
            </w:tcBorders>
            <w:vAlign w:val="center"/>
          </w:tcPr>
          <w:p w14:paraId="38FAAA94">
            <w:pPr>
              <w:widowControl/>
              <w:spacing w:beforeLines="0" w:afterLines="0" w:line="240" w:lineRule="auto"/>
              <w:jc w:val="left"/>
              <w:rPr>
                <w:rFonts w:hint="eastAsia" w:ascii="宋体" w:hAnsi="宋体" w:cs="宋体"/>
                <w:sz w:val="18"/>
                <w:szCs w:val="18"/>
              </w:rPr>
            </w:pPr>
          </w:p>
        </w:tc>
        <w:tc>
          <w:tcPr>
            <w:tcW w:w="1991" w:type="dxa"/>
            <w:tcBorders>
              <w:top w:val="single" w:color="auto" w:sz="4" w:space="0"/>
              <w:left w:val="single" w:color="auto" w:sz="4" w:space="0"/>
              <w:bottom w:val="single" w:color="auto" w:sz="4" w:space="0"/>
              <w:right w:val="single" w:color="auto" w:sz="4" w:space="0"/>
            </w:tcBorders>
            <w:vAlign w:val="center"/>
          </w:tcPr>
          <w:p w14:paraId="1F5E4373">
            <w:pPr>
              <w:pStyle w:val="146"/>
              <w:rPr>
                <w:rFonts w:hint="eastAsia" w:ascii="宋体" w:hAnsi="宋体" w:cs="宋体"/>
                <w:bCs/>
                <w:sz w:val="18"/>
                <w:szCs w:val="18"/>
              </w:rPr>
            </w:pPr>
            <w:r>
              <w:rPr>
                <w:rFonts w:hint="eastAsia" w:ascii="宋体" w:hAnsi="宋体" w:cs="宋体"/>
                <w:bCs/>
                <w:sz w:val="18"/>
                <w:szCs w:val="18"/>
              </w:rPr>
              <w:t>支座位移</w:t>
            </w:r>
          </w:p>
        </w:tc>
        <w:tc>
          <w:tcPr>
            <w:tcW w:w="941" w:type="dxa"/>
            <w:tcBorders>
              <w:top w:val="single" w:color="auto" w:sz="4" w:space="0"/>
              <w:left w:val="single" w:color="auto" w:sz="4" w:space="0"/>
              <w:bottom w:val="single" w:color="auto" w:sz="4" w:space="0"/>
              <w:right w:val="single" w:color="auto" w:sz="4" w:space="0"/>
            </w:tcBorders>
            <w:vAlign w:val="center"/>
          </w:tcPr>
          <w:p w14:paraId="126ADEC8">
            <w:pPr>
              <w:pStyle w:val="146"/>
              <w:rPr>
                <w:rFonts w:hint="eastAsia" w:ascii="宋体" w:hAnsi="宋体" w:cs="宋体"/>
                <w:sz w:val="18"/>
                <w:szCs w:val="18"/>
              </w:rPr>
            </w:pPr>
            <w:r>
              <w:rPr>
                <w:rFonts w:hint="eastAsia" w:ascii="宋体" w:hAnsi="宋体" w:cs="宋体"/>
                <w:bCs/>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23D483DF">
            <w:pPr>
              <w:pStyle w:val="146"/>
              <w:rPr>
                <w:rFonts w:hint="eastAsia" w:ascii="宋体" w:hAnsi="宋体" w:cs="宋体"/>
                <w:sz w:val="18"/>
                <w:szCs w:val="18"/>
              </w:rPr>
            </w:pPr>
            <w:r>
              <w:rPr>
                <w:rFonts w:hint="eastAsia" w:ascii="宋体" w:hAnsi="宋体" w:cs="宋体"/>
                <w:sz w:val="18"/>
                <w:szCs w:val="18"/>
              </w:rPr>
              <w:t>-</w:t>
            </w:r>
          </w:p>
        </w:tc>
      </w:tr>
      <w:tr w14:paraId="0D8D6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vMerge w:val="continue"/>
            <w:tcBorders>
              <w:left w:val="single" w:color="auto" w:sz="4" w:space="0"/>
              <w:right w:val="single" w:color="auto" w:sz="4" w:space="0"/>
            </w:tcBorders>
            <w:vAlign w:val="center"/>
          </w:tcPr>
          <w:p w14:paraId="5370B3DD">
            <w:pPr>
              <w:widowControl/>
              <w:spacing w:beforeLines="0" w:afterLines="0" w:line="240" w:lineRule="auto"/>
              <w:jc w:val="left"/>
              <w:rPr>
                <w:rFonts w:hint="eastAsia" w:ascii="宋体" w:hAnsi="宋体" w:cs="宋体"/>
                <w:sz w:val="18"/>
                <w:szCs w:val="18"/>
              </w:rPr>
            </w:pPr>
          </w:p>
        </w:tc>
        <w:tc>
          <w:tcPr>
            <w:tcW w:w="598" w:type="dxa"/>
            <w:vMerge w:val="continue"/>
            <w:tcBorders>
              <w:left w:val="single" w:color="auto" w:sz="4" w:space="0"/>
              <w:right w:val="single" w:color="auto" w:sz="4" w:space="0"/>
            </w:tcBorders>
            <w:vAlign w:val="center"/>
          </w:tcPr>
          <w:p w14:paraId="65B57AA6">
            <w:pPr>
              <w:widowControl/>
              <w:spacing w:beforeLines="0" w:afterLines="0" w:line="240" w:lineRule="auto"/>
              <w:jc w:val="left"/>
              <w:rPr>
                <w:rFonts w:hint="eastAsia" w:ascii="宋体" w:hAnsi="宋体" w:cs="宋体"/>
                <w:sz w:val="18"/>
                <w:szCs w:val="18"/>
              </w:rPr>
            </w:pPr>
          </w:p>
        </w:tc>
        <w:tc>
          <w:tcPr>
            <w:tcW w:w="1448" w:type="dxa"/>
            <w:vMerge w:val="continue"/>
            <w:tcBorders>
              <w:top w:val="single" w:color="auto" w:sz="4" w:space="0"/>
              <w:left w:val="single" w:color="auto" w:sz="4" w:space="0"/>
              <w:bottom w:val="single" w:color="auto" w:sz="4" w:space="0"/>
              <w:right w:val="single" w:color="auto" w:sz="4" w:space="0"/>
            </w:tcBorders>
            <w:vAlign w:val="center"/>
          </w:tcPr>
          <w:p w14:paraId="1EAFB976">
            <w:pPr>
              <w:widowControl/>
              <w:spacing w:beforeLines="0" w:afterLines="0" w:line="240" w:lineRule="auto"/>
              <w:jc w:val="left"/>
              <w:rPr>
                <w:rFonts w:hint="eastAsia" w:ascii="宋体" w:hAnsi="宋体" w:cs="宋体"/>
                <w:sz w:val="18"/>
                <w:szCs w:val="18"/>
              </w:rPr>
            </w:pPr>
          </w:p>
        </w:tc>
        <w:tc>
          <w:tcPr>
            <w:tcW w:w="1991" w:type="dxa"/>
            <w:tcBorders>
              <w:top w:val="single" w:color="auto" w:sz="4" w:space="0"/>
              <w:left w:val="single" w:color="auto" w:sz="4" w:space="0"/>
              <w:bottom w:val="single" w:color="auto" w:sz="4" w:space="0"/>
              <w:right w:val="single" w:color="auto" w:sz="4" w:space="0"/>
            </w:tcBorders>
            <w:vAlign w:val="center"/>
          </w:tcPr>
          <w:p w14:paraId="726477AF">
            <w:pPr>
              <w:pStyle w:val="146"/>
              <w:rPr>
                <w:rFonts w:hint="eastAsia" w:ascii="宋体" w:hAnsi="宋体" w:cs="宋体"/>
                <w:bCs/>
                <w:sz w:val="18"/>
                <w:szCs w:val="18"/>
              </w:rPr>
            </w:pPr>
            <w:r>
              <w:rPr>
                <w:rFonts w:hint="eastAsia" w:ascii="宋体" w:hAnsi="宋体" w:cs="宋体"/>
                <w:bCs/>
                <w:sz w:val="18"/>
                <w:szCs w:val="18"/>
              </w:rPr>
              <w:t>梁端纵向位移</w:t>
            </w:r>
          </w:p>
        </w:tc>
        <w:tc>
          <w:tcPr>
            <w:tcW w:w="941" w:type="dxa"/>
            <w:tcBorders>
              <w:top w:val="single" w:color="auto" w:sz="4" w:space="0"/>
              <w:left w:val="single" w:color="auto" w:sz="4" w:space="0"/>
              <w:bottom w:val="single" w:color="auto" w:sz="4" w:space="0"/>
              <w:right w:val="single" w:color="auto" w:sz="4" w:space="0"/>
            </w:tcBorders>
            <w:vAlign w:val="center"/>
          </w:tcPr>
          <w:p w14:paraId="5DF24F90">
            <w:pPr>
              <w:pStyle w:val="146"/>
              <w:rPr>
                <w:rFonts w:hint="eastAsia" w:ascii="宋体" w:hAnsi="宋体" w:cs="宋体"/>
                <w:sz w:val="18"/>
                <w:szCs w:val="18"/>
              </w:rPr>
            </w:pPr>
            <w:r>
              <w:rPr>
                <w:rFonts w:hint="eastAsia" w:ascii="宋体" w:hAnsi="宋体" w:cs="宋体"/>
                <w:bCs/>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1E9B0937">
            <w:pPr>
              <w:pStyle w:val="146"/>
              <w:rPr>
                <w:rFonts w:hint="eastAsia" w:ascii="宋体" w:hAnsi="宋体" w:cs="宋体"/>
                <w:sz w:val="18"/>
                <w:szCs w:val="18"/>
              </w:rPr>
            </w:pPr>
            <w:r>
              <w:rPr>
                <w:rFonts w:hint="eastAsia" w:ascii="宋体" w:hAnsi="宋体" w:cs="宋体"/>
                <w:sz w:val="18"/>
                <w:szCs w:val="18"/>
              </w:rPr>
              <w:t>梁端截面</w:t>
            </w:r>
          </w:p>
        </w:tc>
      </w:tr>
      <w:tr w14:paraId="44DAA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597" w:type="dxa"/>
            <w:vMerge w:val="continue"/>
            <w:tcBorders>
              <w:left w:val="single" w:color="auto" w:sz="4" w:space="0"/>
              <w:right w:val="single" w:color="auto" w:sz="4" w:space="0"/>
            </w:tcBorders>
            <w:vAlign w:val="center"/>
          </w:tcPr>
          <w:p w14:paraId="5CCE0AF0">
            <w:pPr>
              <w:widowControl/>
              <w:spacing w:beforeLines="0" w:afterLines="0" w:line="240" w:lineRule="auto"/>
              <w:jc w:val="left"/>
              <w:rPr>
                <w:rFonts w:hint="eastAsia" w:ascii="宋体" w:hAnsi="宋体" w:cs="宋体"/>
                <w:sz w:val="18"/>
                <w:szCs w:val="18"/>
              </w:rPr>
            </w:pPr>
          </w:p>
        </w:tc>
        <w:tc>
          <w:tcPr>
            <w:tcW w:w="598" w:type="dxa"/>
            <w:vMerge w:val="continue"/>
            <w:tcBorders>
              <w:left w:val="single" w:color="auto" w:sz="4" w:space="0"/>
              <w:right w:val="single" w:color="auto" w:sz="4" w:space="0"/>
            </w:tcBorders>
            <w:vAlign w:val="center"/>
          </w:tcPr>
          <w:p w14:paraId="33F801A2">
            <w:pPr>
              <w:widowControl/>
              <w:spacing w:beforeLines="0" w:afterLines="0" w:line="240" w:lineRule="auto"/>
              <w:jc w:val="left"/>
              <w:rPr>
                <w:rFonts w:hint="eastAsia" w:ascii="宋体" w:hAnsi="宋体" w:cs="宋体"/>
                <w:sz w:val="18"/>
                <w:szCs w:val="18"/>
              </w:rPr>
            </w:pPr>
          </w:p>
        </w:tc>
        <w:tc>
          <w:tcPr>
            <w:tcW w:w="1448" w:type="dxa"/>
            <w:vMerge w:val="continue"/>
            <w:tcBorders>
              <w:top w:val="single" w:color="auto" w:sz="4" w:space="0"/>
              <w:left w:val="single" w:color="auto" w:sz="4" w:space="0"/>
              <w:bottom w:val="single" w:color="auto" w:sz="4" w:space="0"/>
              <w:right w:val="single" w:color="auto" w:sz="4" w:space="0"/>
            </w:tcBorders>
            <w:vAlign w:val="center"/>
          </w:tcPr>
          <w:p w14:paraId="038F9522">
            <w:pPr>
              <w:widowControl/>
              <w:spacing w:beforeLines="0" w:afterLines="0" w:line="240" w:lineRule="auto"/>
              <w:jc w:val="left"/>
              <w:rPr>
                <w:rFonts w:hint="eastAsia" w:ascii="宋体" w:hAnsi="宋体" w:cs="宋体"/>
                <w:sz w:val="18"/>
                <w:szCs w:val="18"/>
              </w:rPr>
            </w:pPr>
          </w:p>
        </w:tc>
        <w:tc>
          <w:tcPr>
            <w:tcW w:w="1991" w:type="dxa"/>
            <w:tcBorders>
              <w:top w:val="single" w:color="auto" w:sz="4" w:space="0"/>
              <w:left w:val="single" w:color="auto" w:sz="4" w:space="0"/>
              <w:bottom w:val="single" w:color="auto" w:sz="4" w:space="0"/>
              <w:right w:val="single" w:color="auto" w:sz="4" w:space="0"/>
            </w:tcBorders>
            <w:vAlign w:val="center"/>
          </w:tcPr>
          <w:p w14:paraId="51585DD2">
            <w:pPr>
              <w:pStyle w:val="146"/>
              <w:rPr>
                <w:rFonts w:hint="eastAsia" w:ascii="宋体" w:hAnsi="宋体" w:cs="宋体"/>
                <w:bCs/>
                <w:sz w:val="18"/>
                <w:szCs w:val="18"/>
              </w:rPr>
            </w:pPr>
            <w:r>
              <w:rPr>
                <w:rFonts w:hint="eastAsia" w:ascii="宋体" w:hAnsi="宋体" w:cs="宋体"/>
                <w:bCs/>
                <w:sz w:val="18"/>
                <w:szCs w:val="18"/>
              </w:rPr>
              <w:t>塔顶偏位</w:t>
            </w:r>
          </w:p>
        </w:tc>
        <w:tc>
          <w:tcPr>
            <w:tcW w:w="941" w:type="dxa"/>
            <w:tcBorders>
              <w:top w:val="single" w:color="auto" w:sz="4" w:space="0"/>
              <w:left w:val="single" w:color="auto" w:sz="4" w:space="0"/>
              <w:bottom w:val="single" w:color="auto" w:sz="4" w:space="0"/>
              <w:right w:val="single" w:color="auto" w:sz="4" w:space="0"/>
            </w:tcBorders>
            <w:vAlign w:val="center"/>
          </w:tcPr>
          <w:p w14:paraId="3658707E">
            <w:pPr>
              <w:pStyle w:val="146"/>
              <w:rPr>
                <w:rFonts w:hint="eastAsia" w:ascii="宋体" w:hAnsi="宋体" w:cs="宋体"/>
                <w:bCs/>
                <w:sz w:val="18"/>
                <w:szCs w:val="18"/>
              </w:rPr>
            </w:pPr>
            <w:r>
              <w:rPr>
                <w:rFonts w:hint="eastAsia" w:ascii="宋体" w:hAnsi="宋体" w:cs="宋体"/>
                <w:bCs/>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4FDFAA3E">
            <w:pPr>
              <w:pStyle w:val="146"/>
              <w:rPr>
                <w:rFonts w:hint="eastAsia" w:ascii="宋体" w:hAnsi="宋体" w:cs="宋体"/>
                <w:sz w:val="18"/>
                <w:szCs w:val="18"/>
              </w:rPr>
            </w:pPr>
            <w:r>
              <w:rPr>
                <w:rFonts w:hint="eastAsia" w:ascii="宋体" w:hAnsi="宋体" w:cs="宋体"/>
                <w:sz w:val="18"/>
                <w:szCs w:val="18"/>
              </w:rPr>
              <w:t>索塔塔顶</w:t>
            </w:r>
          </w:p>
        </w:tc>
      </w:tr>
      <w:tr w14:paraId="11EEA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vMerge w:val="continue"/>
            <w:tcBorders>
              <w:left w:val="single" w:color="auto" w:sz="4" w:space="0"/>
              <w:right w:val="single" w:color="auto" w:sz="4" w:space="0"/>
            </w:tcBorders>
            <w:vAlign w:val="center"/>
          </w:tcPr>
          <w:p w14:paraId="0A5283BA">
            <w:pPr>
              <w:widowControl/>
              <w:spacing w:beforeLines="0" w:afterLines="0" w:line="240" w:lineRule="auto"/>
              <w:jc w:val="left"/>
              <w:rPr>
                <w:rFonts w:hint="eastAsia" w:ascii="宋体" w:hAnsi="宋体" w:cs="宋体"/>
                <w:sz w:val="18"/>
                <w:szCs w:val="18"/>
              </w:rPr>
            </w:pPr>
          </w:p>
        </w:tc>
        <w:tc>
          <w:tcPr>
            <w:tcW w:w="598" w:type="dxa"/>
            <w:vMerge w:val="continue"/>
            <w:tcBorders>
              <w:left w:val="single" w:color="auto" w:sz="4" w:space="0"/>
              <w:right w:val="single" w:color="auto" w:sz="4" w:space="0"/>
            </w:tcBorders>
            <w:vAlign w:val="center"/>
          </w:tcPr>
          <w:p w14:paraId="0B8DA26C">
            <w:pPr>
              <w:widowControl/>
              <w:spacing w:beforeLines="0" w:afterLines="0" w:line="240" w:lineRule="auto"/>
              <w:jc w:val="left"/>
              <w:rPr>
                <w:rFonts w:hint="eastAsia" w:ascii="宋体" w:hAnsi="宋体" w:cs="宋体"/>
                <w:sz w:val="18"/>
                <w:szCs w:val="18"/>
              </w:rPr>
            </w:pPr>
          </w:p>
        </w:tc>
        <w:tc>
          <w:tcPr>
            <w:tcW w:w="1448" w:type="dxa"/>
            <w:vMerge w:val="continue"/>
            <w:tcBorders>
              <w:top w:val="single" w:color="auto" w:sz="4" w:space="0"/>
              <w:left w:val="single" w:color="auto" w:sz="4" w:space="0"/>
              <w:bottom w:val="single" w:color="auto" w:sz="4" w:space="0"/>
              <w:right w:val="single" w:color="auto" w:sz="4" w:space="0"/>
            </w:tcBorders>
            <w:vAlign w:val="center"/>
          </w:tcPr>
          <w:p w14:paraId="4AC20F39">
            <w:pPr>
              <w:widowControl/>
              <w:spacing w:beforeLines="0" w:afterLines="0" w:line="240" w:lineRule="auto"/>
              <w:jc w:val="left"/>
              <w:rPr>
                <w:rFonts w:hint="eastAsia" w:ascii="宋体" w:hAnsi="宋体" w:cs="宋体"/>
                <w:sz w:val="18"/>
                <w:szCs w:val="18"/>
              </w:rPr>
            </w:pPr>
          </w:p>
        </w:tc>
        <w:tc>
          <w:tcPr>
            <w:tcW w:w="1991" w:type="dxa"/>
            <w:tcBorders>
              <w:top w:val="single" w:color="auto" w:sz="4" w:space="0"/>
              <w:left w:val="single" w:color="auto" w:sz="4" w:space="0"/>
              <w:bottom w:val="single" w:color="auto" w:sz="4" w:space="0"/>
              <w:right w:val="single" w:color="auto" w:sz="4" w:space="0"/>
            </w:tcBorders>
            <w:vAlign w:val="center"/>
          </w:tcPr>
          <w:p w14:paraId="6AD65B65">
            <w:pPr>
              <w:pStyle w:val="146"/>
              <w:rPr>
                <w:rFonts w:hint="eastAsia" w:ascii="宋体" w:hAnsi="宋体" w:cs="宋体"/>
                <w:sz w:val="18"/>
                <w:szCs w:val="18"/>
              </w:rPr>
            </w:pPr>
            <w:r>
              <w:rPr>
                <w:rFonts w:hint="eastAsia" w:ascii="宋体" w:hAnsi="宋体" w:cs="宋体"/>
                <w:sz w:val="18"/>
                <w:szCs w:val="18"/>
              </w:rPr>
              <w:t>墩顶倾斜</w:t>
            </w:r>
          </w:p>
        </w:tc>
        <w:tc>
          <w:tcPr>
            <w:tcW w:w="941" w:type="dxa"/>
            <w:tcBorders>
              <w:top w:val="single" w:color="auto" w:sz="4" w:space="0"/>
              <w:left w:val="single" w:color="auto" w:sz="4" w:space="0"/>
              <w:bottom w:val="single" w:color="auto" w:sz="4" w:space="0"/>
              <w:right w:val="single" w:color="auto" w:sz="4" w:space="0"/>
            </w:tcBorders>
            <w:vAlign w:val="center"/>
          </w:tcPr>
          <w:p w14:paraId="77DC4564">
            <w:pPr>
              <w:pStyle w:val="146"/>
              <w:rPr>
                <w:rFonts w:hint="eastAsia" w:ascii="宋体" w:hAnsi="宋体" w:cs="宋体"/>
                <w:sz w:val="18"/>
                <w:szCs w:val="18"/>
              </w:rPr>
            </w:pPr>
            <w:r>
              <w:rPr>
                <w:rFonts w:hint="eastAsia" w:ascii="宋体" w:hAnsi="宋体" w:cs="宋体"/>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432BE3FE">
            <w:pPr>
              <w:pStyle w:val="146"/>
              <w:rPr>
                <w:rFonts w:hint="eastAsia" w:ascii="宋体" w:hAnsi="宋体" w:cs="宋体"/>
                <w:sz w:val="18"/>
                <w:szCs w:val="18"/>
              </w:rPr>
            </w:pPr>
            <w:r>
              <w:rPr>
                <w:rFonts w:hint="eastAsia" w:ascii="宋体" w:hAnsi="宋体" w:cs="宋体"/>
                <w:sz w:val="18"/>
                <w:szCs w:val="18"/>
              </w:rPr>
              <w:t>桥墩顶部</w:t>
            </w:r>
          </w:p>
        </w:tc>
      </w:tr>
      <w:tr w14:paraId="138FB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vMerge w:val="continue"/>
            <w:tcBorders>
              <w:left w:val="single" w:color="auto" w:sz="4" w:space="0"/>
              <w:bottom w:val="single" w:color="auto" w:sz="4" w:space="0"/>
              <w:right w:val="single" w:color="auto" w:sz="4" w:space="0"/>
            </w:tcBorders>
            <w:vAlign w:val="center"/>
          </w:tcPr>
          <w:p w14:paraId="1DD3885B">
            <w:pPr>
              <w:widowControl/>
              <w:spacing w:beforeLines="0" w:afterLines="0" w:line="240" w:lineRule="auto"/>
              <w:jc w:val="left"/>
              <w:rPr>
                <w:rFonts w:hint="eastAsia" w:ascii="宋体" w:hAnsi="宋体" w:cs="宋体"/>
                <w:sz w:val="18"/>
                <w:szCs w:val="18"/>
              </w:rPr>
            </w:pPr>
          </w:p>
        </w:tc>
        <w:tc>
          <w:tcPr>
            <w:tcW w:w="598" w:type="dxa"/>
            <w:vMerge w:val="continue"/>
            <w:tcBorders>
              <w:left w:val="single" w:color="auto" w:sz="4" w:space="0"/>
              <w:right w:val="single" w:color="auto" w:sz="4" w:space="0"/>
            </w:tcBorders>
            <w:vAlign w:val="center"/>
          </w:tcPr>
          <w:p w14:paraId="198CC30B">
            <w:pPr>
              <w:widowControl/>
              <w:spacing w:beforeLines="0" w:afterLines="0" w:line="240" w:lineRule="auto"/>
              <w:jc w:val="left"/>
              <w:rPr>
                <w:rFonts w:hint="eastAsia" w:ascii="宋体" w:hAnsi="宋体" w:cs="宋体"/>
                <w:sz w:val="18"/>
                <w:szCs w:val="18"/>
              </w:rPr>
            </w:pPr>
          </w:p>
        </w:tc>
        <w:tc>
          <w:tcPr>
            <w:tcW w:w="1448" w:type="dxa"/>
            <w:vMerge w:val="continue"/>
            <w:tcBorders>
              <w:top w:val="single" w:color="auto" w:sz="4" w:space="0"/>
              <w:left w:val="single" w:color="auto" w:sz="4" w:space="0"/>
              <w:bottom w:val="single" w:color="auto" w:sz="4" w:space="0"/>
              <w:right w:val="single" w:color="auto" w:sz="4" w:space="0"/>
            </w:tcBorders>
            <w:vAlign w:val="center"/>
          </w:tcPr>
          <w:p w14:paraId="41440943">
            <w:pPr>
              <w:widowControl/>
              <w:spacing w:beforeLines="0" w:afterLines="0" w:line="240" w:lineRule="auto"/>
              <w:jc w:val="left"/>
              <w:rPr>
                <w:rFonts w:hint="eastAsia" w:ascii="宋体" w:hAnsi="宋体" w:cs="宋体"/>
                <w:sz w:val="18"/>
                <w:szCs w:val="18"/>
              </w:rPr>
            </w:pPr>
          </w:p>
        </w:tc>
        <w:tc>
          <w:tcPr>
            <w:tcW w:w="1991" w:type="dxa"/>
            <w:tcBorders>
              <w:top w:val="single" w:color="auto" w:sz="4" w:space="0"/>
              <w:left w:val="single" w:color="auto" w:sz="4" w:space="0"/>
              <w:bottom w:val="single" w:color="auto" w:sz="4" w:space="0"/>
              <w:right w:val="single" w:color="auto" w:sz="4" w:space="0"/>
            </w:tcBorders>
            <w:vAlign w:val="center"/>
          </w:tcPr>
          <w:p w14:paraId="152E4729">
            <w:pPr>
              <w:pStyle w:val="146"/>
              <w:rPr>
                <w:rFonts w:hint="eastAsia" w:ascii="宋体" w:hAnsi="宋体" w:cs="宋体"/>
                <w:sz w:val="18"/>
                <w:szCs w:val="18"/>
              </w:rPr>
            </w:pPr>
            <w:r>
              <w:rPr>
                <w:rFonts w:hint="eastAsia" w:ascii="宋体" w:hAnsi="宋体" w:cs="宋体"/>
                <w:sz w:val="18"/>
                <w:szCs w:val="18"/>
              </w:rPr>
              <w:t>桥台倾斜</w:t>
            </w:r>
          </w:p>
        </w:tc>
        <w:tc>
          <w:tcPr>
            <w:tcW w:w="941" w:type="dxa"/>
            <w:tcBorders>
              <w:top w:val="single" w:color="auto" w:sz="4" w:space="0"/>
              <w:left w:val="single" w:color="auto" w:sz="4" w:space="0"/>
              <w:bottom w:val="single" w:color="auto" w:sz="4" w:space="0"/>
              <w:right w:val="single" w:color="auto" w:sz="4" w:space="0"/>
            </w:tcBorders>
            <w:vAlign w:val="center"/>
          </w:tcPr>
          <w:p w14:paraId="14E2599B">
            <w:pPr>
              <w:pStyle w:val="146"/>
              <w:rPr>
                <w:rFonts w:hint="eastAsia" w:ascii="宋体" w:hAnsi="宋体" w:cs="宋体"/>
                <w:sz w:val="18"/>
                <w:szCs w:val="18"/>
              </w:rPr>
            </w:pPr>
            <w:r>
              <w:rPr>
                <w:rFonts w:hint="eastAsia" w:ascii="宋体" w:hAnsi="宋体" w:cs="宋体"/>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5FED5B48">
            <w:pPr>
              <w:pStyle w:val="146"/>
              <w:rPr>
                <w:rFonts w:hint="eastAsia" w:ascii="宋体" w:hAnsi="宋体" w:cs="宋体"/>
                <w:sz w:val="18"/>
                <w:szCs w:val="18"/>
              </w:rPr>
            </w:pPr>
            <w:r>
              <w:rPr>
                <w:rFonts w:hint="eastAsia" w:ascii="宋体" w:hAnsi="宋体" w:cs="宋体"/>
                <w:sz w:val="18"/>
                <w:szCs w:val="18"/>
              </w:rPr>
              <w:t>桥台顶部</w:t>
            </w:r>
          </w:p>
        </w:tc>
      </w:tr>
      <w:tr w14:paraId="7D80A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vMerge w:val="restart"/>
            <w:tcBorders>
              <w:top w:val="single" w:color="auto" w:sz="4" w:space="0"/>
              <w:left w:val="single" w:color="auto" w:sz="4" w:space="0"/>
              <w:right w:val="single" w:color="auto" w:sz="4" w:space="0"/>
            </w:tcBorders>
            <w:vAlign w:val="center"/>
          </w:tcPr>
          <w:p w14:paraId="5B33ECD4">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14</w:t>
            </w:r>
          </w:p>
        </w:tc>
        <w:tc>
          <w:tcPr>
            <w:tcW w:w="598" w:type="dxa"/>
            <w:vMerge w:val="continue"/>
            <w:tcBorders>
              <w:left w:val="single" w:color="auto" w:sz="4" w:space="0"/>
              <w:right w:val="single" w:color="auto" w:sz="4" w:space="0"/>
            </w:tcBorders>
            <w:vAlign w:val="center"/>
          </w:tcPr>
          <w:p w14:paraId="13067276">
            <w:pPr>
              <w:widowControl/>
              <w:spacing w:beforeLines="0" w:afterLines="0" w:line="240" w:lineRule="auto"/>
              <w:jc w:val="left"/>
              <w:rPr>
                <w:rFonts w:hint="eastAsia" w:ascii="宋体" w:hAnsi="宋体" w:cs="宋体"/>
                <w:sz w:val="18"/>
                <w:szCs w:val="18"/>
              </w:rPr>
            </w:pPr>
          </w:p>
        </w:tc>
        <w:tc>
          <w:tcPr>
            <w:tcW w:w="1448" w:type="dxa"/>
            <w:vMerge w:val="restart"/>
            <w:tcBorders>
              <w:top w:val="single" w:color="auto" w:sz="4" w:space="0"/>
              <w:left w:val="single" w:color="auto" w:sz="4" w:space="0"/>
              <w:bottom w:val="single" w:color="auto" w:sz="4" w:space="0"/>
              <w:right w:val="single" w:color="auto" w:sz="4" w:space="0"/>
            </w:tcBorders>
            <w:vAlign w:val="center"/>
          </w:tcPr>
          <w:p w14:paraId="043B1719">
            <w:pPr>
              <w:pStyle w:val="146"/>
              <w:rPr>
                <w:rFonts w:hint="eastAsia" w:ascii="宋体" w:hAnsi="宋体" w:cs="宋体"/>
                <w:sz w:val="18"/>
                <w:szCs w:val="18"/>
              </w:rPr>
            </w:pPr>
            <w:r>
              <w:rPr>
                <w:rFonts w:hint="eastAsia" w:ascii="宋体" w:hAnsi="宋体" w:cs="宋体"/>
                <w:sz w:val="18"/>
                <w:szCs w:val="18"/>
              </w:rPr>
              <w:t>转角</w:t>
            </w:r>
          </w:p>
        </w:tc>
        <w:tc>
          <w:tcPr>
            <w:tcW w:w="1991" w:type="dxa"/>
            <w:tcBorders>
              <w:top w:val="single" w:color="auto" w:sz="4" w:space="0"/>
              <w:left w:val="single" w:color="auto" w:sz="4" w:space="0"/>
              <w:bottom w:val="single" w:color="auto" w:sz="4" w:space="0"/>
              <w:right w:val="single" w:color="auto" w:sz="4" w:space="0"/>
            </w:tcBorders>
            <w:vAlign w:val="center"/>
          </w:tcPr>
          <w:p w14:paraId="4DB528D0">
            <w:pPr>
              <w:pStyle w:val="146"/>
              <w:rPr>
                <w:rFonts w:hint="eastAsia" w:ascii="宋体" w:hAnsi="宋体" w:cs="宋体"/>
                <w:sz w:val="18"/>
                <w:szCs w:val="18"/>
              </w:rPr>
            </w:pPr>
            <w:r>
              <w:rPr>
                <w:rFonts w:hint="eastAsia" w:ascii="宋体" w:hAnsi="宋体" w:cs="宋体"/>
                <w:sz w:val="18"/>
                <w:szCs w:val="18"/>
              </w:rPr>
              <w:t>塔顶转角</w:t>
            </w:r>
          </w:p>
        </w:tc>
        <w:tc>
          <w:tcPr>
            <w:tcW w:w="941" w:type="dxa"/>
            <w:tcBorders>
              <w:top w:val="single" w:color="auto" w:sz="4" w:space="0"/>
              <w:left w:val="single" w:color="auto" w:sz="4" w:space="0"/>
              <w:bottom w:val="single" w:color="auto" w:sz="4" w:space="0"/>
              <w:right w:val="single" w:color="auto" w:sz="4" w:space="0"/>
            </w:tcBorders>
            <w:vAlign w:val="center"/>
          </w:tcPr>
          <w:p w14:paraId="6B82DD16">
            <w:pPr>
              <w:pStyle w:val="146"/>
              <w:rPr>
                <w:rFonts w:hint="eastAsia" w:ascii="宋体" w:hAnsi="宋体" w:cs="宋体"/>
                <w:sz w:val="18"/>
                <w:szCs w:val="18"/>
              </w:rPr>
            </w:pPr>
            <w:r>
              <w:rPr>
                <w:rFonts w:hint="eastAsia" w:ascii="宋体" w:hAnsi="宋体" w:cs="宋体"/>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00F09B5E">
            <w:pPr>
              <w:pStyle w:val="146"/>
              <w:rPr>
                <w:rFonts w:hint="eastAsia" w:ascii="宋体" w:hAnsi="宋体" w:cs="宋体"/>
                <w:sz w:val="18"/>
                <w:szCs w:val="18"/>
              </w:rPr>
            </w:pPr>
            <w:r>
              <w:rPr>
                <w:rFonts w:hint="eastAsia" w:ascii="宋体" w:hAnsi="宋体" w:cs="宋体"/>
                <w:sz w:val="18"/>
                <w:szCs w:val="18"/>
              </w:rPr>
              <w:t>索塔塔顶</w:t>
            </w:r>
          </w:p>
        </w:tc>
      </w:tr>
      <w:tr w14:paraId="70AA9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vMerge w:val="continue"/>
            <w:tcBorders>
              <w:left w:val="single" w:color="auto" w:sz="4" w:space="0"/>
              <w:right w:val="single" w:color="auto" w:sz="4" w:space="0"/>
            </w:tcBorders>
            <w:vAlign w:val="center"/>
          </w:tcPr>
          <w:p w14:paraId="2B714186">
            <w:pPr>
              <w:widowControl/>
              <w:spacing w:beforeLines="0" w:afterLines="0" w:line="240" w:lineRule="auto"/>
              <w:jc w:val="center"/>
              <w:rPr>
                <w:rFonts w:hint="eastAsia" w:ascii="宋体" w:hAnsi="宋体" w:cs="宋体"/>
                <w:sz w:val="18"/>
                <w:szCs w:val="18"/>
              </w:rPr>
            </w:pPr>
          </w:p>
        </w:tc>
        <w:tc>
          <w:tcPr>
            <w:tcW w:w="598" w:type="dxa"/>
            <w:vMerge w:val="continue"/>
            <w:tcBorders>
              <w:left w:val="single" w:color="auto" w:sz="4" w:space="0"/>
              <w:right w:val="single" w:color="auto" w:sz="4" w:space="0"/>
            </w:tcBorders>
            <w:vAlign w:val="center"/>
          </w:tcPr>
          <w:p w14:paraId="494C44F4">
            <w:pPr>
              <w:widowControl/>
              <w:spacing w:beforeLines="0" w:afterLines="0" w:line="240" w:lineRule="auto"/>
              <w:jc w:val="left"/>
              <w:rPr>
                <w:rFonts w:hint="eastAsia" w:ascii="宋体" w:hAnsi="宋体" w:cs="宋体"/>
                <w:sz w:val="18"/>
                <w:szCs w:val="18"/>
              </w:rPr>
            </w:pPr>
          </w:p>
        </w:tc>
        <w:tc>
          <w:tcPr>
            <w:tcW w:w="1448" w:type="dxa"/>
            <w:vMerge w:val="continue"/>
            <w:tcBorders>
              <w:top w:val="single" w:color="auto" w:sz="4" w:space="0"/>
              <w:left w:val="single" w:color="auto" w:sz="4" w:space="0"/>
              <w:bottom w:val="single" w:color="auto" w:sz="4" w:space="0"/>
              <w:right w:val="single" w:color="auto" w:sz="4" w:space="0"/>
            </w:tcBorders>
            <w:vAlign w:val="center"/>
          </w:tcPr>
          <w:p w14:paraId="118C82D1">
            <w:pPr>
              <w:widowControl/>
              <w:spacing w:beforeLines="0" w:afterLines="0" w:line="240" w:lineRule="auto"/>
              <w:jc w:val="left"/>
              <w:rPr>
                <w:rFonts w:hint="eastAsia" w:ascii="宋体" w:hAnsi="宋体" w:cs="宋体"/>
                <w:sz w:val="18"/>
                <w:szCs w:val="18"/>
              </w:rPr>
            </w:pPr>
          </w:p>
        </w:tc>
        <w:tc>
          <w:tcPr>
            <w:tcW w:w="1991" w:type="dxa"/>
            <w:tcBorders>
              <w:top w:val="single" w:color="auto" w:sz="4" w:space="0"/>
              <w:left w:val="single" w:color="auto" w:sz="4" w:space="0"/>
              <w:bottom w:val="single" w:color="auto" w:sz="4" w:space="0"/>
              <w:right w:val="single" w:color="auto" w:sz="4" w:space="0"/>
            </w:tcBorders>
            <w:vAlign w:val="center"/>
          </w:tcPr>
          <w:p w14:paraId="4FAA0CA8">
            <w:pPr>
              <w:pStyle w:val="146"/>
              <w:rPr>
                <w:rFonts w:hint="eastAsia" w:ascii="宋体" w:hAnsi="宋体" w:cs="宋体"/>
                <w:sz w:val="18"/>
                <w:szCs w:val="18"/>
              </w:rPr>
            </w:pPr>
            <w:r>
              <w:rPr>
                <w:rFonts w:hint="eastAsia" w:ascii="宋体" w:hAnsi="宋体" w:cs="宋体"/>
                <w:bCs/>
                <w:sz w:val="18"/>
                <w:szCs w:val="18"/>
              </w:rPr>
              <w:t>梁端水平转角</w:t>
            </w:r>
          </w:p>
        </w:tc>
        <w:tc>
          <w:tcPr>
            <w:tcW w:w="941" w:type="dxa"/>
            <w:tcBorders>
              <w:top w:val="single" w:color="auto" w:sz="4" w:space="0"/>
              <w:left w:val="single" w:color="auto" w:sz="4" w:space="0"/>
              <w:bottom w:val="single" w:color="auto" w:sz="4" w:space="0"/>
              <w:right w:val="single" w:color="auto" w:sz="4" w:space="0"/>
            </w:tcBorders>
            <w:vAlign w:val="center"/>
          </w:tcPr>
          <w:p w14:paraId="1D5B0D4E">
            <w:pPr>
              <w:pStyle w:val="146"/>
              <w:rPr>
                <w:rFonts w:hint="eastAsia" w:ascii="宋体" w:hAnsi="宋体" w:cs="宋体"/>
                <w:sz w:val="18"/>
                <w:szCs w:val="18"/>
              </w:rPr>
            </w:pPr>
            <w:r>
              <w:rPr>
                <w:rFonts w:hint="eastAsia" w:ascii="宋体" w:hAnsi="宋体" w:cs="宋体"/>
                <w:bCs/>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75F9394D">
            <w:pPr>
              <w:pStyle w:val="146"/>
              <w:rPr>
                <w:rFonts w:hint="eastAsia" w:ascii="宋体" w:hAnsi="宋体" w:cs="宋体"/>
                <w:sz w:val="18"/>
                <w:szCs w:val="18"/>
              </w:rPr>
            </w:pPr>
            <w:r>
              <w:rPr>
                <w:rFonts w:hint="eastAsia" w:ascii="宋体" w:hAnsi="宋体" w:cs="宋体"/>
                <w:sz w:val="18"/>
                <w:szCs w:val="18"/>
              </w:rPr>
              <w:t>梁端截面</w:t>
            </w:r>
          </w:p>
        </w:tc>
      </w:tr>
      <w:tr w14:paraId="75CFE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vMerge w:val="continue"/>
            <w:tcBorders>
              <w:left w:val="single" w:color="auto" w:sz="4" w:space="0"/>
              <w:bottom w:val="single" w:color="auto" w:sz="4" w:space="0"/>
              <w:right w:val="single" w:color="auto" w:sz="4" w:space="0"/>
            </w:tcBorders>
            <w:vAlign w:val="center"/>
          </w:tcPr>
          <w:p w14:paraId="49DA92B9">
            <w:pPr>
              <w:widowControl/>
              <w:spacing w:beforeLines="0" w:afterLines="0" w:line="240" w:lineRule="auto"/>
              <w:jc w:val="center"/>
              <w:rPr>
                <w:rFonts w:hint="eastAsia" w:ascii="宋体" w:hAnsi="宋体" w:cs="宋体"/>
                <w:sz w:val="18"/>
                <w:szCs w:val="18"/>
              </w:rPr>
            </w:pPr>
          </w:p>
        </w:tc>
        <w:tc>
          <w:tcPr>
            <w:tcW w:w="598" w:type="dxa"/>
            <w:vMerge w:val="continue"/>
            <w:tcBorders>
              <w:left w:val="single" w:color="auto" w:sz="4" w:space="0"/>
              <w:right w:val="single" w:color="auto" w:sz="4" w:space="0"/>
            </w:tcBorders>
            <w:vAlign w:val="center"/>
          </w:tcPr>
          <w:p w14:paraId="70EE155C">
            <w:pPr>
              <w:widowControl/>
              <w:spacing w:beforeLines="0" w:afterLines="0" w:line="240" w:lineRule="auto"/>
              <w:jc w:val="left"/>
              <w:rPr>
                <w:rFonts w:hint="eastAsia" w:ascii="宋体" w:hAnsi="宋体" w:cs="宋体"/>
                <w:sz w:val="18"/>
                <w:szCs w:val="18"/>
              </w:rPr>
            </w:pPr>
          </w:p>
        </w:tc>
        <w:tc>
          <w:tcPr>
            <w:tcW w:w="1448" w:type="dxa"/>
            <w:vMerge w:val="continue"/>
            <w:tcBorders>
              <w:top w:val="single" w:color="auto" w:sz="4" w:space="0"/>
              <w:left w:val="single" w:color="auto" w:sz="4" w:space="0"/>
              <w:bottom w:val="single" w:color="auto" w:sz="4" w:space="0"/>
              <w:right w:val="single" w:color="auto" w:sz="4" w:space="0"/>
            </w:tcBorders>
            <w:vAlign w:val="center"/>
          </w:tcPr>
          <w:p w14:paraId="56029E20">
            <w:pPr>
              <w:widowControl/>
              <w:spacing w:beforeLines="0" w:afterLines="0" w:line="240" w:lineRule="auto"/>
              <w:jc w:val="left"/>
              <w:rPr>
                <w:rFonts w:hint="eastAsia" w:ascii="宋体" w:hAnsi="宋体" w:cs="宋体"/>
                <w:sz w:val="18"/>
                <w:szCs w:val="18"/>
              </w:rPr>
            </w:pPr>
          </w:p>
        </w:tc>
        <w:tc>
          <w:tcPr>
            <w:tcW w:w="1991" w:type="dxa"/>
            <w:tcBorders>
              <w:top w:val="single" w:color="auto" w:sz="4" w:space="0"/>
              <w:left w:val="single" w:color="auto" w:sz="4" w:space="0"/>
              <w:bottom w:val="single" w:color="auto" w:sz="4" w:space="0"/>
              <w:right w:val="single" w:color="auto" w:sz="4" w:space="0"/>
            </w:tcBorders>
            <w:vAlign w:val="center"/>
          </w:tcPr>
          <w:p w14:paraId="2AEF3920">
            <w:pPr>
              <w:pStyle w:val="146"/>
              <w:rPr>
                <w:rFonts w:hint="eastAsia" w:ascii="宋体" w:hAnsi="宋体" w:cs="宋体"/>
                <w:sz w:val="18"/>
                <w:szCs w:val="18"/>
              </w:rPr>
            </w:pPr>
            <w:r>
              <w:rPr>
                <w:rFonts w:hint="eastAsia" w:ascii="宋体" w:hAnsi="宋体" w:cs="宋体"/>
                <w:bCs/>
                <w:sz w:val="18"/>
                <w:szCs w:val="18"/>
              </w:rPr>
              <w:t>梁端竖向转角</w:t>
            </w:r>
          </w:p>
        </w:tc>
        <w:tc>
          <w:tcPr>
            <w:tcW w:w="941" w:type="dxa"/>
            <w:tcBorders>
              <w:top w:val="single" w:color="auto" w:sz="4" w:space="0"/>
              <w:left w:val="single" w:color="auto" w:sz="4" w:space="0"/>
              <w:bottom w:val="single" w:color="auto" w:sz="4" w:space="0"/>
              <w:right w:val="single" w:color="auto" w:sz="4" w:space="0"/>
            </w:tcBorders>
            <w:vAlign w:val="center"/>
          </w:tcPr>
          <w:p w14:paraId="10A3CFA4">
            <w:pPr>
              <w:pStyle w:val="146"/>
              <w:rPr>
                <w:rFonts w:hint="eastAsia" w:ascii="宋体" w:hAnsi="宋体" w:cs="宋体"/>
                <w:sz w:val="18"/>
                <w:szCs w:val="18"/>
              </w:rPr>
            </w:pPr>
            <w:r>
              <w:rPr>
                <w:rFonts w:hint="eastAsia" w:ascii="宋体" w:hAnsi="宋体" w:cs="宋体"/>
                <w:bCs/>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40055F8F">
            <w:pPr>
              <w:pStyle w:val="146"/>
              <w:rPr>
                <w:rFonts w:hint="eastAsia" w:ascii="宋体" w:hAnsi="宋体" w:cs="宋体"/>
                <w:sz w:val="18"/>
                <w:szCs w:val="18"/>
              </w:rPr>
            </w:pPr>
            <w:r>
              <w:rPr>
                <w:rFonts w:hint="eastAsia" w:ascii="宋体" w:hAnsi="宋体" w:cs="宋体"/>
                <w:sz w:val="18"/>
                <w:szCs w:val="18"/>
              </w:rPr>
              <w:t>梁端截面</w:t>
            </w:r>
          </w:p>
        </w:tc>
      </w:tr>
      <w:tr w14:paraId="09620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vMerge w:val="restart"/>
            <w:tcBorders>
              <w:top w:val="single" w:color="auto" w:sz="4" w:space="0"/>
              <w:left w:val="single" w:color="auto" w:sz="4" w:space="0"/>
              <w:right w:val="single" w:color="auto" w:sz="4" w:space="0"/>
            </w:tcBorders>
            <w:vAlign w:val="center"/>
          </w:tcPr>
          <w:p w14:paraId="3AB2CF73">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15</w:t>
            </w:r>
          </w:p>
        </w:tc>
        <w:tc>
          <w:tcPr>
            <w:tcW w:w="598" w:type="dxa"/>
            <w:vMerge w:val="continue"/>
            <w:tcBorders>
              <w:left w:val="single" w:color="auto" w:sz="4" w:space="0"/>
              <w:right w:val="single" w:color="auto" w:sz="4" w:space="0"/>
            </w:tcBorders>
            <w:vAlign w:val="center"/>
          </w:tcPr>
          <w:p w14:paraId="4B1703BA">
            <w:pPr>
              <w:widowControl/>
              <w:spacing w:beforeLines="0" w:afterLines="0" w:line="240" w:lineRule="auto"/>
              <w:jc w:val="left"/>
              <w:rPr>
                <w:rFonts w:hint="eastAsia" w:ascii="宋体" w:hAnsi="宋体" w:cs="宋体"/>
                <w:sz w:val="18"/>
                <w:szCs w:val="18"/>
              </w:rPr>
            </w:pPr>
          </w:p>
        </w:tc>
        <w:tc>
          <w:tcPr>
            <w:tcW w:w="1448" w:type="dxa"/>
            <w:vMerge w:val="restart"/>
            <w:tcBorders>
              <w:top w:val="single" w:color="auto" w:sz="4" w:space="0"/>
              <w:left w:val="single" w:color="auto" w:sz="4" w:space="0"/>
              <w:bottom w:val="single" w:color="auto" w:sz="4" w:space="0"/>
              <w:right w:val="single" w:color="auto" w:sz="4" w:space="0"/>
            </w:tcBorders>
            <w:vAlign w:val="center"/>
          </w:tcPr>
          <w:p w14:paraId="078DF7F4">
            <w:pPr>
              <w:pStyle w:val="146"/>
              <w:rPr>
                <w:rFonts w:hint="eastAsia" w:ascii="宋体" w:hAnsi="宋体" w:cs="宋体"/>
                <w:sz w:val="18"/>
                <w:szCs w:val="18"/>
              </w:rPr>
            </w:pPr>
            <w:r>
              <w:rPr>
                <w:rFonts w:hint="eastAsia" w:ascii="宋体" w:hAnsi="宋体" w:cs="宋体"/>
                <w:sz w:val="18"/>
                <w:szCs w:val="18"/>
              </w:rPr>
              <w:t>应变</w:t>
            </w:r>
          </w:p>
        </w:tc>
        <w:tc>
          <w:tcPr>
            <w:tcW w:w="1991" w:type="dxa"/>
            <w:tcBorders>
              <w:top w:val="single" w:color="auto" w:sz="4" w:space="0"/>
              <w:left w:val="single" w:color="auto" w:sz="4" w:space="0"/>
              <w:bottom w:val="single" w:color="auto" w:sz="4" w:space="0"/>
              <w:right w:val="single" w:color="auto" w:sz="4" w:space="0"/>
            </w:tcBorders>
            <w:vAlign w:val="center"/>
          </w:tcPr>
          <w:p w14:paraId="680D72A3">
            <w:pPr>
              <w:pStyle w:val="146"/>
              <w:rPr>
                <w:rFonts w:hint="eastAsia" w:ascii="宋体" w:hAnsi="宋体" w:cs="宋体"/>
                <w:bCs/>
                <w:sz w:val="18"/>
                <w:szCs w:val="18"/>
              </w:rPr>
            </w:pPr>
            <w:r>
              <w:rPr>
                <w:rFonts w:hint="eastAsia" w:ascii="宋体" w:hAnsi="宋体" w:cs="宋体"/>
                <w:bCs/>
                <w:sz w:val="18"/>
                <w:szCs w:val="18"/>
              </w:rPr>
              <w:t>主梁关键截面应变</w:t>
            </w:r>
          </w:p>
        </w:tc>
        <w:tc>
          <w:tcPr>
            <w:tcW w:w="941" w:type="dxa"/>
            <w:tcBorders>
              <w:top w:val="single" w:color="auto" w:sz="4" w:space="0"/>
              <w:left w:val="single" w:color="auto" w:sz="4" w:space="0"/>
              <w:bottom w:val="single" w:color="auto" w:sz="4" w:space="0"/>
              <w:right w:val="single" w:color="auto" w:sz="4" w:space="0"/>
            </w:tcBorders>
            <w:vAlign w:val="center"/>
          </w:tcPr>
          <w:p w14:paraId="3F4AB590">
            <w:pPr>
              <w:pStyle w:val="146"/>
              <w:rPr>
                <w:rFonts w:hint="eastAsia" w:ascii="宋体" w:hAnsi="宋体" w:cs="宋体"/>
                <w:bCs/>
                <w:sz w:val="18"/>
                <w:szCs w:val="18"/>
              </w:rPr>
            </w:pPr>
            <w:r>
              <w:rPr>
                <w:rFonts w:hint="eastAsia" w:ascii="宋体" w:hAnsi="宋体" w:cs="宋体"/>
                <w:bCs/>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30F0EF7E">
            <w:pPr>
              <w:pStyle w:val="146"/>
              <w:rPr>
                <w:rFonts w:hint="eastAsia" w:ascii="宋体" w:hAnsi="宋体" w:cs="宋体"/>
                <w:sz w:val="18"/>
                <w:szCs w:val="18"/>
              </w:rPr>
            </w:pPr>
            <w:r>
              <w:rPr>
                <w:rFonts w:hint="eastAsia" w:ascii="宋体" w:hAnsi="宋体" w:cs="宋体"/>
                <w:sz w:val="18"/>
                <w:szCs w:val="18"/>
              </w:rPr>
              <w:t>边跨最大正弯矩截面、支点处最大负弯矩截面、主跨跨中截面。</w:t>
            </w:r>
            <w:r>
              <w:rPr>
                <w:rFonts w:hint="eastAsia" w:cs="宋体"/>
                <w:bCs/>
                <w:sz w:val="18"/>
                <w:szCs w:val="18"/>
              </w:rPr>
              <w:t>宜布</w:t>
            </w:r>
            <w:r>
              <w:rPr>
                <w:rFonts w:hint="eastAsia" w:cs="宋体"/>
                <w:bCs/>
                <w:sz w:val="18"/>
                <w:szCs w:val="18"/>
                <w:lang w:eastAsia="zh-CN"/>
              </w:rPr>
              <w:t>置于</w:t>
            </w:r>
            <w:r>
              <w:rPr>
                <w:rFonts w:hint="eastAsia" w:cs="宋体"/>
                <w:bCs/>
                <w:sz w:val="18"/>
                <w:szCs w:val="18"/>
              </w:rPr>
              <w:t>车道下方，每个断面</w:t>
            </w:r>
            <w:r>
              <w:rPr>
                <w:rFonts w:hint="eastAsia" w:cs="宋体"/>
                <w:bCs/>
                <w:sz w:val="18"/>
                <w:szCs w:val="18"/>
                <w:lang w:eastAsia="zh-CN"/>
              </w:rPr>
              <w:t>不低于</w:t>
            </w:r>
            <w:r>
              <w:rPr>
                <w:rFonts w:hint="eastAsia" w:cs="宋体"/>
                <w:bCs/>
                <w:sz w:val="18"/>
                <w:szCs w:val="18"/>
              </w:rPr>
              <w:t>2处。</w:t>
            </w:r>
          </w:p>
        </w:tc>
      </w:tr>
      <w:tr w14:paraId="7EF8C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vMerge w:val="continue"/>
            <w:tcBorders>
              <w:left w:val="single" w:color="auto" w:sz="4" w:space="0"/>
              <w:bottom w:val="single" w:color="auto" w:sz="4" w:space="0"/>
              <w:right w:val="single" w:color="auto" w:sz="4" w:space="0"/>
            </w:tcBorders>
            <w:vAlign w:val="center"/>
          </w:tcPr>
          <w:p w14:paraId="53D6C90D">
            <w:pPr>
              <w:widowControl/>
              <w:spacing w:beforeLines="0" w:afterLines="0" w:line="240" w:lineRule="auto"/>
              <w:jc w:val="center"/>
              <w:rPr>
                <w:rFonts w:hint="eastAsia" w:ascii="宋体" w:hAnsi="宋体" w:cs="宋体"/>
                <w:sz w:val="18"/>
                <w:szCs w:val="18"/>
              </w:rPr>
            </w:pPr>
          </w:p>
        </w:tc>
        <w:tc>
          <w:tcPr>
            <w:tcW w:w="598" w:type="dxa"/>
            <w:vMerge w:val="continue"/>
            <w:tcBorders>
              <w:left w:val="single" w:color="auto" w:sz="4" w:space="0"/>
              <w:right w:val="single" w:color="auto" w:sz="4" w:space="0"/>
            </w:tcBorders>
            <w:vAlign w:val="center"/>
          </w:tcPr>
          <w:p w14:paraId="3037C86C">
            <w:pPr>
              <w:widowControl/>
              <w:spacing w:beforeLines="0" w:afterLines="0" w:line="240" w:lineRule="auto"/>
              <w:jc w:val="left"/>
              <w:rPr>
                <w:rFonts w:hint="eastAsia" w:ascii="宋体" w:hAnsi="宋体" w:cs="宋体"/>
                <w:sz w:val="18"/>
                <w:szCs w:val="18"/>
              </w:rPr>
            </w:pPr>
          </w:p>
        </w:tc>
        <w:tc>
          <w:tcPr>
            <w:tcW w:w="1448" w:type="dxa"/>
            <w:vMerge w:val="continue"/>
            <w:tcBorders>
              <w:top w:val="single" w:color="auto" w:sz="4" w:space="0"/>
              <w:left w:val="single" w:color="auto" w:sz="4" w:space="0"/>
              <w:bottom w:val="single" w:color="auto" w:sz="4" w:space="0"/>
              <w:right w:val="single" w:color="auto" w:sz="4" w:space="0"/>
            </w:tcBorders>
            <w:vAlign w:val="center"/>
          </w:tcPr>
          <w:p w14:paraId="00D1A21D">
            <w:pPr>
              <w:widowControl/>
              <w:spacing w:beforeLines="0" w:afterLines="0" w:line="240" w:lineRule="auto"/>
              <w:jc w:val="left"/>
              <w:rPr>
                <w:rFonts w:hint="eastAsia" w:ascii="宋体" w:hAnsi="宋体" w:cs="宋体"/>
                <w:sz w:val="18"/>
                <w:szCs w:val="18"/>
              </w:rPr>
            </w:pPr>
          </w:p>
        </w:tc>
        <w:tc>
          <w:tcPr>
            <w:tcW w:w="1991" w:type="dxa"/>
            <w:tcBorders>
              <w:top w:val="single" w:color="auto" w:sz="4" w:space="0"/>
              <w:left w:val="single" w:color="auto" w:sz="4" w:space="0"/>
              <w:bottom w:val="single" w:color="auto" w:sz="4" w:space="0"/>
              <w:right w:val="single" w:color="auto" w:sz="4" w:space="0"/>
            </w:tcBorders>
            <w:vAlign w:val="center"/>
          </w:tcPr>
          <w:p w14:paraId="339A4BCF">
            <w:pPr>
              <w:pStyle w:val="146"/>
              <w:rPr>
                <w:rFonts w:hint="eastAsia" w:ascii="宋体" w:hAnsi="宋体" w:cs="宋体"/>
                <w:sz w:val="18"/>
                <w:szCs w:val="18"/>
              </w:rPr>
            </w:pPr>
            <w:r>
              <w:rPr>
                <w:rFonts w:hint="eastAsia" w:ascii="宋体" w:hAnsi="宋体" w:cs="宋体"/>
                <w:bCs/>
                <w:sz w:val="18"/>
                <w:szCs w:val="18"/>
              </w:rPr>
              <w:t>索塔关键截面应变</w:t>
            </w:r>
          </w:p>
        </w:tc>
        <w:tc>
          <w:tcPr>
            <w:tcW w:w="941" w:type="dxa"/>
            <w:tcBorders>
              <w:top w:val="single" w:color="auto" w:sz="4" w:space="0"/>
              <w:left w:val="single" w:color="auto" w:sz="4" w:space="0"/>
              <w:bottom w:val="single" w:color="auto" w:sz="4" w:space="0"/>
              <w:right w:val="single" w:color="auto" w:sz="4" w:space="0"/>
            </w:tcBorders>
            <w:vAlign w:val="center"/>
          </w:tcPr>
          <w:p w14:paraId="44CFE121">
            <w:pPr>
              <w:pStyle w:val="146"/>
              <w:rPr>
                <w:rFonts w:hint="eastAsia" w:ascii="宋体" w:hAnsi="宋体" w:cs="宋体"/>
                <w:bCs/>
                <w:sz w:val="18"/>
                <w:szCs w:val="18"/>
              </w:rPr>
            </w:pPr>
            <w:r>
              <w:rPr>
                <w:rFonts w:hint="eastAsia" w:ascii="宋体" w:hAnsi="宋体" w:cs="宋体"/>
                <w:bCs/>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6A4BD9CC">
            <w:pPr>
              <w:pStyle w:val="146"/>
              <w:rPr>
                <w:rFonts w:hint="eastAsia" w:ascii="宋体" w:hAnsi="宋体" w:cs="宋体"/>
                <w:sz w:val="18"/>
                <w:szCs w:val="18"/>
              </w:rPr>
            </w:pPr>
            <w:r>
              <w:rPr>
                <w:rFonts w:hint="eastAsia" w:ascii="宋体" w:hAnsi="宋体" w:cs="宋体"/>
                <w:sz w:val="18"/>
                <w:szCs w:val="18"/>
              </w:rPr>
              <w:t>索塔根部结构</w:t>
            </w:r>
          </w:p>
        </w:tc>
      </w:tr>
      <w:tr w14:paraId="41EAB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tcBorders>
              <w:top w:val="single" w:color="auto" w:sz="4" w:space="0"/>
              <w:left w:val="single" w:color="auto" w:sz="4" w:space="0"/>
              <w:bottom w:val="single" w:color="auto" w:sz="4" w:space="0"/>
              <w:right w:val="single" w:color="auto" w:sz="4" w:space="0"/>
            </w:tcBorders>
            <w:vAlign w:val="center"/>
          </w:tcPr>
          <w:p w14:paraId="060B89A3">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16</w:t>
            </w:r>
          </w:p>
        </w:tc>
        <w:tc>
          <w:tcPr>
            <w:tcW w:w="598" w:type="dxa"/>
            <w:vMerge w:val="continue"/>
            <w:tcBorders>
              <w:left w:val="single" w:color="auto" w:sz="4" w:space="0"/>
              <w:right w:val="single" w:color="auto" w:sz="4" w:space="0"/>
            </w:tcBorders>
            <w:vAlign w:val="center"/>
          </w:tcPr>
          <w:p w14:paraId="76905827">
            <w:pPr>
              <w:widowControl/>
              <w:spacing w:beforeLines="0" w:afterLines="0" w:line="240" w:lineRule="auto"/>
              <w:jc w:val="left"/>
              <w:rPr>
                <w:rFonts w:hint="eastAsia" w:ascii="宋体" w:hAnsi="宋体" w:cs="宋体"/>
                <w:sz w:val="18"/>
                <w:szCs w:val="18"/>
              </w:rPr>
            </w:pPr>
          </w:p>
        </w:tc>
        <w:tc>
          <w:tcPr>
            <w:tcW w:w="1448" w:type="dxa"/>
            <w:tcBorders>
              <w:top w:val="single" w:color="auto" w:sz="4" w:space="0"/>
              <w:left w:val="single" w:color="auto" w:sz="4" w:space="0"/>
              <w:bottom w:val="single" w:color="auto" w:sz="4" w:space="0"/>
              <w:right w:val="single" w:color="auto" w:sz="4" w:space="0"/>
            </w:tcBorders>
            <w:vAlign w:val="center"/>
          </w:tcPr>
          <w:p w14:paraId="28A650B9">
            <w:pPr>
              <w:pStyle w:val="146"/>
              <w:rPr>
                <w:rFonts w:hint="eastAsia" w:ascii="宋体" w:hAnsi="宋体" w:cs="宋体"/>
                <w:sz w:val="18"/>
                <w:szCs w:val="18"/>
              </w:rPr>
            </w:pPr>
            <w:r>
              <w:rPr>
                <w:rFonts w:hint="eastAsia" w:ascii="宋体" w:hAnsi="宋体" w:cs="宋体"/>
                <w:sz w:val="18"/>
                <w:szCs w:val="18"/>
              </w:rPr>
              <w:t>索力</w:t>
            </w:r>
          </w:p>
        </w:tc>
        <w:tc>
          <w:tcPr>
            <w:tcW w:w="1991" w:type="dxa"/>
            <w:tcBorders>
              <w:top w:val="single" w:color="auto" w:sz="4" w:space="0"/>
              <w:left w:val="single" w:color="auto" w:sz="4" w:space="0"/>
              <w:bottom w:val="single" w:color="auto" w:sz="4" w:space="0"/>
              <w:right w:val="single" w:color="auto" w:sz="4" w:space="0"/>
            </w:tcBorders>
            <w:vAlign w:val="center"/>
          </w:tcPr>
          <w:p w14:paraId="0AE45CF8">
            <w:pPr>
              <w:pStyle w:val="146"/>
              <w:rPr>
                <w:rFonts w:hint="eastAsia" w:ascii="宋体" w:hAnsi="宋体" w:cs="宋体"/>
                <w:sz w:val="18"/>
                <w:szCs w:val="18"/>
              </w:rPr>
            </w:pPr>
            <w:r>
              <w:rPr>
                <w:rFonts w:hint="eastAsia" w:ascii="宋体" w:hAnsi="宋体" w:cs="宋体"/>
                <w:bCs/>
                <w:sz w:val="18"/>
                <w:szCs w:val="18"/>
              </w:rPr>
              <w:t>斜拉索索力</w:t>
            </w:r>
          </w:p>
        </w:tc>
        <w:tc>
          <w:tcPr>
            <w:tcW w:w="941" w:type="dxa"/>
            <w:tcBorders>
              <w:top w:val="single" w:color="auto" w:sz="4" w:space="0"/>
              <w:left w:val="single" w:color="auto" w:sz="4" w:space="0"/>
              <w:bottom w:val="single" w:color="auto" w:sz="4" w:space="0"/>
              <w:right w:val="single" w:color="auto" w:sz="4" w:space="0"/>
            </w:tcBorders>
            <w:vAlign w:val="center"/>
          </w:tcPr>
          <w:p w14:paraId="03E0A4D7">
            <w:pPr>
              <w:pStyle w:val="146"/>
              <w:rPr>
                <w:rFonts w:hint="eastAsia" w:ascii="宋体" w:hAnsi="宋体" w:cs="宋体"/>
                <w:bCs/>
                <w:sz w:val="18"/>
                <w:szCs w:val="18"/>
              </w:rPr>
            </w:pPr>
            <w:r>
              <w:rPr>
                <w:rFonts w:hint="eastAsia" w:ascii="宋体" w:hAnsi="宋体" w:cs="宋体"/>
                <w:bCs/>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375D8E0F">
            <w:pPr>
              <w:pStyle w:val="146"/>
              <w:rPr>
                <w:rFonts w:hint="eastAsia" w:ascii="宋体" w:hAnsi="宋体" w:cs="宋体"/>
                <w:sz w:val="18"/>
                <w:szCs w:val="18"/>
              </w:rPr>
            </w:pPr>
            <w:r>
              <w:rPr>
                <w:rFonts w:hint="eastAsia" w:ascii="宋体" w:hAnsi="宋体" w:cs="宋体"/>
                <w:sz w:val="18"/>
                <w:szCs w:val="18"/>
              </w:rPr>
              <w:t>关键斜拉索</w:t>
            </w:r>
          </w:p>
        </w:tc>
      </w:tr>
      <w:tr w14:paraId="3C7CB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tcBorders>
              <w:top w:val="single" w:color="auto" w:sz="4" w:space="0"/>
              <w:left w:val="single" w:color="auto" w:sz="4" w:space="0"/>
              <w:right w:val="single" w:color="auto" w:sz="4" w:space="0"/>
            </w:tcBorders>
            <w:vAlign w:val="center"/>
          </w:tcPr>
          <w:p w14:paraId="3DAF090A">
            <w:pPr>
              <w:widowControl/>
              <w:spacing w:beforeLines="0" w:afterLines="0" w:line="240" w:lineRule="auto"/>
              <w:jc w:val="left"/>
              <w:rPr>
                <w:rFonts w:hint="default" w:ascii="宋体" w:hAnsi="宋体" w:eastAsia="宋体" w:cs="宋体"/>
                <w:sz w:val="18"/>
                <w:szCs w:val="18"/>
                <w:lang w:val="en-US" w:eastAsia="zh-CN"/>
              </w:rPr>
            </w:pPr>
            <w:r>
              <w:rPr>
                <w:rFonts w:hint="eastAsia" w:ascii="宋体" w:hAnsi="宋体" w:cs="宋体"/>
                <w:sz w:val="18"/>
                <w:szCs w:val="18"/>
                <w:lang w:val="en-US" w:eastAsia="zh-CN"/>
              </w:rPr>
              <w:t>17</w:t>
            </w:r>
          </w:p>
        </w:tc>
        <w:tc>
          <w:tcPr>
            <w:tcW w:w="598" w:type="dxa"/>
            <w:vMerge w:val="continue"/>
            <w:tcBorders>
              <w:left w:val="single" w:color="auto" w:sz="4" w:space="0"/>
              <w:right w:val="single" w:color="auto" w:sz="4" w:space="0"/>
            </w:tcBorders>
            <w:vAlign w:val="center"/>
          </w:tcPr>
          <w:p w14:paraId="39BD6748">
            <w:pPr>
              <w:pStyle w:val="146"/>
              <w:rPr>
                <w:rFonts w:hint="eastAsia" w:ascii="宋体" w:hAnsi="宋体" w:cs="宋体"/>
                <w:sz w:val="18"/>
                <w:szCs w:val="18"/>
              </w:rPr>
            </w:pPr>
          </w:p>
        </w:tc>
        <w:tc>
          <w:tcPr>
            <w:tcW w:w="1448" w:type="dxa"/>
            <w:tcBorders>
              <w:top w:val="single" w:color="auto" w:sz="4" w:space="0"/>
              <w:left w:val="single" w:color="auto" w:sz="4" w:space="0"/>
              <w:bottom w:val="single" w:color="auto" w:sz="4" w:space="0"/>
              <w:right w:val="single" w:color="auto" w:sz="4" w:space="0"/>
            </w:tcBorders>
            <w:vAlign w:val="center"/>
          </w:tcPr>
          <w:p w14:paraId="6F840E88">
            <w:pPr>
              <w:pStyle w:val="146"/>
              <w:rPr>
                <w:rFonts w:hint="eastAsia" w:ascii="宋体" w:hAnsi="宋体" w:cs="宋体"/>
                <w:sz w:val="18"/>
                <w:szCs w:val="18"/>
              </w:rPr>
            </w:pPr>
            <w:r>
              <w:rPr>
                <w:rFonts w:hint="eastAsia" w:ascii="宋体" w:hAnsi="宋体" w:cs="宋体"/>
                <w:sz w:val="18"/>
                <w:szCs w:val="18"/>
              </w:rPr>
              <w:t>支座反力</w:t>
            </w:r>
          </w:p>
        </w:tc>
        <w:tc>
          <w:tcPr>
            <w:tcW w:w="1991" w:type="dxa"/>
            <w:tcBorders>
              <w:top w:val="single" w:color="auto" w:sz="4" w:space="0"/>
              <w:left w:val="single" w:color="auto" w:sz="4" w:space="0"/>
              <w:bottom w:val="single" w:color="auto" w:sz="4" w:space="0"/>
              <w:right w:val="single" w:color="auto" w:sz="4" w:space="0"/>
            </w:tcBorders>
            <w:vAlign w:val="center"/>
          </w:tcPr>
          <w:p w14:paraId="6234E0AD">
            <w:pPr>
              <w:pStyle w:val="146"/>
              <w:rPr>
                <w:rFonts w:hint="eastAsia" w:ascii="宋体" w:hAnsi="宋体" w:cs="宋体"/>
                <w:sz w:val="18"/>
                <w:szCs w:val="18"/>
              </w:rPr>
            </w:pPr>
            <w:r>
              <w:rPr>
                <w:rFonts w:hint="eastAsia" w:ascii="宋体" w:hAnsi="宋体" w:cs="宋体"/>
                <w:sz w:val="18"/>
                <w:szCs w:val="18"/>
              </w:rPr>
              <w:t>支座反力</w:t>
            </w:r>
          </w:p>
        </w:tc>
        <w:tc>
          <w:tcPr>
            <w:tcW w:w="941" w:type="dxa"/>
            <w:tcBorders>
              <w:top w:val="single" w:color="auto" w:sz="4" w:space="0"/>
              <w:left w:val="single" w:color="auto" w:sz="4" w:space="0"/>
              <w:bottom w:val="single" w:color="auto" w:sz="4" w:space="0"/>
              <w:right w:val="single" w:color="auto" w:sz="4" w:space="0"/>
            </w:tcBorders>
            <w:vAlign w:val="center"/>
          </w:tcPr>
          <w:p w14:paraId="40CD7A96">
            <w:pPr>
              <w:pStyle w:val="146"/>
              <w:rPr>
                <w:rFonts w:hint="eastAsia" w:ascii="宋体" w:hAnsi="宋体" w:cs="宋体"/>
                <w:sz w:val="18"/>
                <w:szCs w:val="18"/>
              </w:rPr>
            </w:pPr>
            <w:r>
              <w:rPr>
                <w:rFonts w:hint="eastAsia" w:ascii="宋体" w:hAnsi="宋体" w:cs="宋体"/>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1543D2AF">
            <w:pPr>
              <w:pStyle w:val="146"/>
              <w:rPr>
                <w:rFonts w:hint="eastAsia" w:ascii="宋体" w:hAnsi="宋体" w:cs="宋体"/>
                <w:sz w:val="18"/>
                <w:szCs w:val="18"/>
              </w:rPr>
            </w:pPr>
            <w:r>
              <w:rPr>
                <w:rFonts w:hint="eastAsia" w:ascii="宋体" w:hAnsi="宋体" w:cs="宋体"/>
                <w:sz w:val="18"/>
                <w:szCs w:val="18"/>
              </w:rPr>
              <w:t>易脱空支座、受拉支座</w:t>
            </w:r>
          </w:p>
        </w:tc>
      </w:tr>
      <w:tr w14:paraId="560C0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vMerge w:val="restart"/>
            <w:tcBorders>
              <w:top w:val="single" w:color="auto" w:sz="4" w:space="0"/>
              <w:left w:val="single" w:color="auto" w:sz="4" w:space="0"/>
              <w:right w:val="single" w:color="auto" w:sz="4" w:space="0"/>
            </w:tcBorders>
            <w:vAlign w:val="center"/>
          </w:tcPr>
          <w:p w14:paraId="3D1A4867">
            <w:pPr>
              <w:widowControl/>
              <w:spacing w:beforeLines="0" w:afterLines="0" w:line="240" w:lineRule="auto"/>
              <w:jc w:val="left"/>
              <w:rPr>
                <w:rFonts w:hint="default" w:ascii="宋体" w:hAnsi="宋体" w:eastAsia="宋体" w:cs="宋体"/>
                <w:sz w:val="18"/>
                <w:szCs w:val="18"/>
                <w:lang w:val="en-US" w:eastAsia="zh-CN"/>
              </w:rPr>
            </w:pPr>
            <w:r>
              <w:rPr>
                <w:rFonts w:hint="eastAsia" w:ascii="宋体" w:hAnsi="宋体" w:cs="宋体"/>
                <w:sz w:val="18"/>
                <w:szCs w:val="18"/>
                <w:lang w:val="en-US" w:eastAsia="zh-CN"/>
              </w:rPr>
              <w:t>18</w:t>
            </w:r>
          </w:p>
        </w:tc>
        <w:tc>
          <w:tcPr>
            <w:tcW w:w="598" w:type="dxa"/>
            <w:vMerge w:val="continue"/>
            <w:tcBorders>
              <w:left w:val="single" w:color="auto" w:sz="4" w:space="0"/>
              <w:right w:val="single" w:color="auto" w:sz="4" w:space="0"/>
            </w:tcBorders>
            <w:vAlign w:val="center"/>
          </w:tcPr>
          <w:p w14:paraId="14FAC672">
            <w:pPr>
              <w:pStyle w:val="146"/>
              <w:rPr>
                <w:rFonts w:hint="eastAsia" w:ascii="宋体" w:hAnsi="宋体" w:cs="宋体"/>
                <w:sz w:val="18"/>
                <w:szCs w:val="18"/>
              </w:rPr>
            </w:pPr>
          </w:p>
        </w:tc>
        <w:tc>
          <w:tcPr>
            <w:tcW w:w="1448" w:type="dxa"/>
            <w:vMerge w:val="restart"/>
            <w:tcBorders>
              <w:top w:val="single" w:color="auto" w:sz="4" w:space="0"/>
              <w:left w:val="single" w:color="auto" w:sz="4" w:space="0"/>
              <w:bottom w:val="single" w:color="auto" w:sz="4" w:space="0"/>
              <w:right w:val="single" w:color="auto" w:sz="4" w:space="0"/>
            </w:tcBorders>
            <w:vAlign w:val="center"/>
          </w:tcPr>
          <w:p w14:paraId="42A5929C">
            <w:pPr>
              <w:pStyle w:val="146"/>
              <w:rPr>
                <w:rFonts w:hint="eastAsia" w:ascii="宋体" w:hAnsi="宋体" w:cs="宋体"/>
                <w:sz w:val="18"/>
                <w:szCs w:val="18"/>
              </w:rPr>
            </w:pPr>
            <w:r>
              <w:rPr>
                <w:rFonts w:hint="eastAsia" w:ascii="宋体" w:hAnsi="宋体" w:cs="宋体"/>
                <w:sz w:val="18"/>
                <w:szCs w:val="18"/>
              </w:rPr>
              <w:t>振动</w:t>
            </w:r>
          </w:p>
        </w:tc>
        <w:tc>
          <w:tcPr>
            <w:tcW w:w="1991" w:type="dxa"/>
            <w:tcBorders>
              <w:top w:val="single" w:color="auto" w:sz="4" w:space="0"/>
              <w:left w:val="single" w:color="auto" w:sz="4" w:space="0"/>
              <w:bottom w:val="single" w:color="auto" w:sz="4" w:space="0"/>
              <w:right w:val="single" w:color="auto" w:sz="4" w:space="0"/>
            </w:tcBorders>
            <w:vAlign w:val="center"/>
          </w:tcPr>
          <w:p w14:paraId="0002011C">
            <w:pPr>
              <w:pStyle w:val="146"/>
              <w:rPr>
                <w:rFonts w:hint="eastAsia" w:ascii="宋体" w:hAnsi="宋体" w:cs="宋体"/>
                <w:bCs/>
                <w:sz w:val="18"/>
                <w:szCs w:val="18"/>
              </w:rPr>
            </w:pPr>
            <w:r>
              <w:rPr>
                <w:rFonts w:hint="eastAsia" w:ascii="宋体" w:hAnsi="宋体" w:cs="宋体"/>
                <w:bCs/>
                <w:sz w:val="18"/>
                <w:szCs w:val="18"/>
              </w:rPr>
              <w:t>主梁竖向振动加速度</w:t>
            </w:r>
          </w:p>
        </w:tc>
        <w:tc>
          <w:tcPr>
            <w:tcW w:w="941" w:type="dxa"/>
            <w:tcBorders>
              <w:top w:val="single" w:color="auto" w:sz="4" w:space="0"/>
              <w:left w:val="single" w:color="auto" w:sz="4" w:space="0"/>
              <w:bottom w:val="single" w:color="auto" w:sz="4" w:space="0"/>
              <w:right w:val="single" w:color="auto" w:sz="4" w:space="0"/>
            </w:tcBorders>
            <w:vAlign w:val="center"/>
          </w:tcPr>
          <w:p w14:paraId="26B0BF3A">
            <w:pPr>
              <w:pStyle w:val="146"/>
              <w:rPr>
                <w:rFonts w:hint="eastAsia" w:ascii="宋体" w:hAnsi="宋体" w:cs="宋体"/>
                <w:bCs/>
                <w:sz w:val="18"/>
                <w:szCs w:val="18"/>
              </w:rPr>
            </w:pPr>
            <w:r>
              <w:rPr>
                <w:rFonts w:hint="eastAsia" w:ascii="宋体" w:hAnsi="宋体" w:cs="宋体"/>
                <w:bCs/>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4FB9074C">
            <w:pPr>
              <w:pStyle w:val="146"/>
              <w:rPr>
                <w:rFonts w:hint="eastAsia" w:ascii="宋体" w:hAnsi="宋体" w:cs="宋体"/>
                <w:sz w:val="18"/>
                <w:szCs w:val="18"/>
              </w:rPr>
            </w:pPr>
            <w:r>
              <w:rPr>
                <w:rFonts w:hint="eastAsia" w:ascii="宋体" w:hAnsi="宋体" w:cs="宋体"/>
                <w:sz w:val="18"/>
                <w:szCs w:val="18"/>
              </w:rPr>
              <w:t>主跨：跨中截面、1/4 截面、3/4 截面；边跨：跨中截面。</w:t>
            </w:r>
            <w:r>
              <w:rPr>
                <w:rFonts w:hint="eastAsia" w:cs="宋体"/>
                <w:bCs/>
                <w:sz w:val="18"/>
                <w:szCs w:val="18"/>
              </w:rPr>
              <w:t>每个断面</w:t>
            </w:r>
            <w:r>
              <w:rPr>
                <w:rFonts w:hint="eastAsia" w:cs="宋体"/>
                <w:bCs/>
                <w:sz w:val="18"/>
                <w:szCs w:val="18"/>
                <w:lang w:eastAsia="zh-CN"/>
              </w:rPr>
              <w:t>不低于</w:t>
            </w:r>
            <w:r>
              <w:rPr>
                <w:rFonts w:hint="eastAsia" w:cs="宋体"/>
                <w:bCs/>
                <w:sz w:val="18"/>
                <w:szCs w:val="18"/>
              </w:rPr>
              <w:t>2处。</w:t>
            </w:r>
          </w:p>
        </w:tc>
      </w:tr>
      <w:tr w14:paraId="662E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vMerge w:val="continue"/>
            <w:tcBorders>
              <w:left w:val="single" w:color="auto" w:sz="4" w:space="0"/>
              <w:right w:val="single" w:color="auto" w:sz="4" w:space="0"/>
            </w:tcBorders>
            <w:vAlign w:val="center"/>
          </w:tcPr>
          <w:p w14:paraId="1250BA90">
            <w:pPr>
              <w:widowControl/>
              <w:spacing w:beforeLines="0" w:afterLines="0" w:line="240" w:lineRule="auto"/>
              <w:jc w:val="left"/>
              <w:rPr>
                <w:rFonts w:hint="eastAsia" w:ascii="宋体" w:hAnsi="宋体" w:cs="宋体"/>
                <w:sz w:val="18"/>
                <w:szCs w:val="18"/>
              </w:rPr>
            </w:pPr>
          </w:p>
        </w:tc>
        <w:tc>
          <w:tcPr>
            <w:tcW w:w="598" w:type="dxa"/>
            <w:vMerge w:val="continue"/>
            <w:tcBorders>
              <w:left w:val="single" w:color="auto" w:sz="4" w:space="0"/>
              <w:right w:val="single" w:color="auto" w:sz="4" w:space="0"/>
            </w:tcBorders>
            <w:vAlign w:val="center"/>
          </w:tcPr>
          <w:p w14:paraId="5B5FA3F1">
            <w:pPr>
              <w:widowControl/>
              <w:spacing w:beforeLines="0" w:afterLines="0" w:line="240" w:lineRule="auto"/>
              <w:jc w:val="left"/>
              <w:rPr>
                <w:rFonts w:hint="eastAsia" w:ascii="宋体" w:hAnsi="宋体" w:cs="宋体"/>
                <w:sz w:val="18"/>
                <w:szCs w:val="18"/>
              </w:rPr>
            </w:pPr>
          </w:p>
        </w:tc>
        <w:tc>
          <w:tcPr>
            <w:tcW w:w="1448" w:type="dxa"/>
            <w:vMerge w:val="continue"/>
            <w:tcBorders>
              <w:top w:val="single" w:color="auto" w:sz="4" w:space="0"/>
              <w:left w:val="single" w:color="auto" w:sz="4" w:space="0"/>
              <w:bottom w:val="single" w:color="auto" w:sz="4" w:space="0"/>
              <w:right w:val="single" w:color="auto" w:sz="4" w:space="0"/>
            </w:tcBorders>
            <w:vAlign w:val="center"/>
          </w:tcPr>
          <w:p w14:paraId="7FC2BD31">
            <w:pPr>
              <w:widowControl/>
              <w:spacing w:beforeLines="0" w:afterLines="0" w:line="240" w:lineRule="auto"/>
              <w:jc w:val="left"/>
              <w:rPr>
                <w:rFonts w:hint="eastAsia" w:ascii="宋体" w:hAnsi="宋体" w:cs="宋体"/>
                <w:sz w:val="18"/>
                <w:szCs w:val="18"/>
              </w:rPr>
            </w:pPr>
          </w:p>
        </w:tc>
        <w:tc>
          <w:tcPr>
            <w:tcW w:w="1991" w:type="dxa"/>
            <w:tcBorders>
              <w:top w:val="single" w:color="auto" w:sz="4" w:space="0"/>
              <w:left w:val="single" w:color="auto" w:sz="4" w:space="0"/>
              <w:bottom w:val="single" w:color="auto" w:sz="4" w:space="0"/>
              <w:right w:val="single" w:color="auto" w:sz="4" w:space="0"/>
            </w:tcBorders>
            <w:vAlign w:val="center"/>
          </w:tcPr>
          <w:p w14:paraId="64F11066">
            <w:pPr>
              <w:pStyle w:val="146"/>
              <w:rPr>
                <w:rFonts w:hint="eastAsia" w:ascii="宋体" w:hAnsi="宋体" w:cs="宋体"/>
                <w:bCs/>
                <w:sz w:val="18"/>
                <w:szCs w:val="18"/>
              </w:rPr>
            </w:pPr>
            <w:r>
              <w:rPr>
                <w:rFonts w:hint="eastAsia" w:ascii="宋体" w:hAnsi="宋体" w:cs="宋体"/>
                <w:bCs/>
                <w:sz w:val="18"/>
                <w:szCs w:val="18"/>
              </w:rPr>
              <w:t>主梁横向振动加速度</w:t>
            </w:r>
          </w:p>
        </w:tc>
        <w:tc>
          <w:tcPr>
            <w:tcW w:w="941" w:type="dxa"/>
            <w:tcBorders>
              <w:top w:val="single" w:color="auto" w:sz="4" w:space="0"/>
              <w:left w:val="single" w:color="auto" w:sz="4" w:space="0"/>
              <w:bottom w:val="single" w:color="auto" w:sz="4" w:space="0"/>
              <w:right w:val="single" w:color="auto" w:sz="4" w:space="0"/>
            </w:tcBorders>
            <w:vAlign w:val="center"/>
          </w:tcPr>
          <w:p w14:paraId="1FD344E8">
            <w:pPr>
              <w:pStyle w:val="146"/>
              <w:rPr>
                <w:rFonts w:hint="eastAsia" w:ascii="宋体" w:hAnsi="宋体" w:cs="宋体"/>
                <w:bCs/>
                <w:sz w:val="18"/>
                <w:szCs w:val="18"/>
              </w:rPr>
            </w:pPr>
            <w:r>
              <w:rPr>
                <w:rFonts w:hint="eastAsia" w:ascii="宋体" w:hAnsi="宋体" w:cs="宋体"/>
                <w:bCs/>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6365C596">
            <w:pPr>
              <w:pStyle w:val="146"/>
              <w:rPr>
                <w:rFonts w:hint="eastAsia" w:ascii="宋体" w:hAnsi="宋体" w:cs="宋体"/>
                <w:sz w:val="18"/>
                <w:szCs w:val="18"/>
              </w:rPr>
            </w:pPr>
            <w:r>
              <w:rPr>
                <w:rFonts w:hint="eastAsia" w:ascii="宋体" w:hAnsi="宋体" w:cs="宋体"/>
                <w:sz w:val="18"/>
                <w:szCs w:val="18"/>
              </w:rPr>
              <w:t>主跨：跨中截面</w:t>
            </w:r>
          </w:p>
        </w:tc>
      </w:tr>
      <w:tr w14:paraId="397E7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vMerge w:val="continue"/>
            <w:tcBorders>
              <w:left w:val="single" w:color="auto" w:sz="4" w:space="0"/>
              <w:right w:val="single" w:color="auto" w:sz="4" w:space="0"/>
            </w:tcBorders>
            <w:vAlign w:val="center"/>
          </w:tcPr>
          <w:p w14:paraId="7EAFD218">
            <w:pPr>
              <w:widowControl/>
              <w:spacing w:beforeLines="0" w:afterLines="0" w:line="240" w:lineRule="auto"/>
              <w:jc w:val="left"/>
              <w:rPr>
                <w:rFonts w:hint="eastAsia" w:ascii="宋体" w:hAnsi="宋体" w:cs="宋体"/>
                <w:sz w:val="18"/>
                <w:szCs w:val="18"/>
              </w:rPr>
            </w:pPr>
          </w:p>
        </w:tc>
        <w:tc>
          <w:tcPr>
            <w:tcW w:w="598" w:type="dxa"/>
            <w:vMerge w:val="continue"/>
            <w:tcBorders>
              <w:left w:val="single" w:color="auto" w:sz="4" w:space="0"/>
              <w:right w:val="single" w:color="auto" w:sz="4" w:space="0"/>
            </w:tcBorders>
            <w:vAlign w:val="center"/>
          </w:tcPr>
          <w:p w14:paraId="4B319CF4">
            <w:pPr>
              <w:widowControl/>
              <w:spacing w:beforeLines="0" w:afterLines="0" w:line="240" w:lineRule="auto"/>
              <w:jc w:val="left"/>
              <w:rPr>
                <w:rFonts w:hint="eastAsia" w:ascii="宋体" w:hAnsi="宋体" w:cs="宋体"/>
                <w:sz w:val="18"/>
                <w:szCs w:val="18"/>
              </w:rPr>
            </w:pPr>
          </w:p>
        </w:tc>
        <w:tc>
          <w:tcPr>
            <w:tcW w:w="1448" w:type="dxa"/>
            <w:vMerge w:val="continue"/>
            <w:tcBorders>
              <w:top w:val="single" w:color="auto" w:sz="4" w:space="0"/>
              <w:left w:val="single" w:color="auto" w:sz="4" w:space="0"/>
              <w:bottom w:val="single" w:color="auto" w:sz="4" w:space="0"/>
              <w:right w:val="single" w:color="auto" w:sz="4" w:space="0"/>
            </w:tcBorders>
            <w:vAlign w:val="center"/>
          </w:tcPr>
          <w:p w14:paraId="7A311105">
            <w:pPr>
              <w:widowControl/>
              <w:spacing w:beforeLines="0" w:afterLines="0" w:line="240" w:lineRule="auto"/>
              <w:jc w:val="left"/>
              <w:rPr>
                <w:rFonts w:hint="eastAsia" w:ascii="宋体" w:hAnsi="宋体" w:cs="宋体"/>
                <w:sz w:val="18"/>
                <w:szCs w:val="18"/>
              </w:rPr>
            </w:pPr>
          </w:p>
        </w:tc>
        <w:tc>
          <w:tcPr>
            <w:tcW w:w="1991" w:type="dxa"/>
            <w:tcBorders>
              <w:top w:val="single" w:color="auto" w:sz="4" w:space="0"/>
              <w:left w:val="single" w:color="auto" w:sz="4" w:space="0"/>
              <w:bottom w:val="single" w:color="auto" w:sz="4" w:space="0"/>
              <w:right w:val="single" w:color="auto" w:sz="4" w:space="0"/>
            </w:tcBorders>
            <w:vAlign w:val="center"/>
          </w:tcPr>
          <w:p w14:paraId="2DF6EAE5">
            <w:pPr>
              <w:pStyle w:val="146"/>
              <w:rPr>
                <w:rFonts w:hint="eastAsia" w:ascii="宋体" w:hAnsi="宋体" w:cs="宋体"/>
                <w:sz w:val="18"/>
                <w:szCs w:val="18"/>
              </w:rPr>
            </w:pPr>
            <w:r>
              <w:rPr>
                <w:rFonts w:hint="eastAsia" w:ascii="宋体" w:hAnsi="宋体" w:cs="宋体"/>
                <w:sz w:val="18"/>
                <w:szCs w:val="18"/>
              </w:rPr>
              <w:t>主梁纵向振动加速度</w:t>
            </w:r>
          </w:p>
        </w:tc>
        <w:tc>
          <w:tcPr>
            <w:tcW w:w="941" w:type="dxa"/>
            <w:tcBorders>
              <w:top w:val="single" w:color="auto" w:sz="4" w:space="0"/>
              <w:left w:val="single" w:color="auto" w:sz="4" w:space="0"/>
              <w:bottom w:val="single" w:color="auto" w:sz="4" w:space="0"/>
              <w:right w:val="single" w:color="auto" w:sz="4" w:space="0"/>
            </w:tcBorders>
            <w:vAlign w:val="center"/>
          </w:tcPr>
          <w:p w14:paraId="1613D2AC">
            <w:pPr>
              <w:pStyle w:val="146"/>
              <w:rPr>
                <w:rFonts w:hint="eastAsia" w:ascii="宋体" w:hAnsi="宋体" w:cs="宋体"/>
                <w:sz w:val="18"/>
                <w:szCs w:val="18"/>
              </w:rPr>
            </w:pPr>
            <w:r>
              <w:rPr>
                <w:rFonts w:hint="eastAsia" w:ascii="宋体" w:hAnsi="宋体" w:cs="宋体"/>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44290685">
            <w:pPr>
              <w:pStyle w:val="146"/>
              <w:rPr>
                <w:rFonts w:hint="eastAsia" w:ascii="宋体" w:hAnsi="宋体" w:cs="宋体"/>
                <w:sz w:val="18"/>
                <w:szCs w:val="18"/>
              </w:rPr>
            </w:pPr>
            <w:r>
              <w:rPr>
                <w:rFonts w:hint="eastAsia" w:ascii="宋体" w:hAnsi="宋体" w:cs="宋体"/>
                <w:sz w:val="18"/>
                <w:szCs w:val="18"/>
              </w:rPr>
              <w:t>塔梁连接处或支座位置处</w:t>
            </w:r>
          </w:p>
        </w:tc>
      </w:tr>
      <w:tr w14:paraId="7A8B1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vMerge w:val="continue"/>
            <w:tcBorders>
              <w:left w:val="single" w:color="auto" w:sz="4" w:space="0"/>
              <w:right w:val="single" w:color="auto" w:sz="4" w:space="0"/>
            </w:tcBorders>
            <w:vAlign w:val="center"/>
          </w:tcPr>
          <w:p w14:paraId="68B3F1BE">
            <w:pPr>
              <w:widowControl/>
              <w:spacing w:beforeLines="0" w:afterLines="0" w:line="240" w:lineRule="auto"/>
              <w:jc w:val="left"/>
              <w:rPr>
                <w:rFonts w:hint="eastAsia" w:ascii="宋体" w:hAnsi="宋体" w:cs="宋体"/>
                <w:sz w:val="18"/>
                <w:szCs w:val="18"/>
              </w:rPr>
            </w:pPr>
          </w:p>
        </w:tc>
        <w:tc>
          <w:tcPr>
            <w:tcW w:w="598" w:type="dxa"/>
            <w:vMerge w:val="continue"/>
            <w:tcBorders>
              <w:left w:val="single" w:color="auto" w:sz="4" w:space="0"/>
              <w:right w:val="single" w:color="auto" w:sz="4" w:space="0"/>
            </w:tcBorders>
            <w:vAlign w:val="center"/>
          </w:tcPr>
          <w:p w14:paraId="0F5F8A7F">
            <w:pPr>
              <w:widowControl/>
              <w:spacing w:beforeLines="0" w:afterLines="0" w:line="240" w:lineRule="auto"/>
              <w:jc w:val="left"/>
              <w:rPr>
                <w:rFonts w:hint="eastAsia" w:ascii="宋体" w:hAnsi="宋体" w:cs="宋体"/>
                <w:sz w:val="18"/>
                <w:szCs w:val="18"/>
              </w:rPr>
            </w:pPr>
          </w:p>
        </w:tc>
        <w:tc>
          <w:tcPr>
            <w:tcW w:w="1448" w:type="dxa"/>
            <w:vMerge w:val="continue"/>
            <w:tcBorders>
              <w:top w:val="single" w:color="auto" w:sz="4" w:space="0"/>
              <w:left w:val="single" w:color="auto" w:sz="4" w:space="0"/>
              <w:bottom w:val="single" w:color="auto" w:sz="4" w:space="0"/>
              <w:right w:val="single" w:color="auto" w:sz="4" w:space="0"/>
            </w:tcBorders>
            <w:vAlign w:val="center"/>
          </w:tcPr>
          <w:p w14:paraId="182C4079">
            <w:pPr>
              <w:widowControl/>
              <w:spacing w:beforeLines="0" w:afterLines="0" w:line="240" w:lineRule="auto"/>
              <w:jc w:val="left"/>
              <w:rPr>
                <w:rFonts w:hint="eastAsia" w:ascii="宋体" w:hAnsi="宋体" w:cs="宋体"/>
                <w:sz w:val="18"/>
                <w:szCs w:val="18"/>
              </w:rPr>
            </w:pPr>
          </w:p>
        </w:tc>
        <w:tc>
          <w:tcPr>
            <w:tcW w:w="1991" w:type="dxa"/>
            <w:tcBorders>
              <w:top w:val="single" w:color="auto" w:sz="4" w:space="0"/>
              <w:left w:val="single" w:color="auto" w:sz="4" w:space="0"/>
              <w:bottom w:val="single" w:color="auto" w:sz="4" w:space="0"/>
              <w:right w:val="single" w:color="auto" w:sz="4" w:space="0"/>
            </w:tcBorders>
            <w:vAlign w:val="center"/>
          </w:tcPr>
          <w:p w14:paraId="4E69E39C">
            <w:pPr>
              <w:pStyle w:val="146"/>
              <w:rPr>
                <w:rFonts w:hint="eastAsia" w:ascii="宋体" w:hAnsi="宋体" w:cs="宋体"/>
                <w:sz w:val="18"/>
                <w:szCs w:val="18"/>
              </w:rPr>
            </w:pPr>
            <w:r>
              <w:rPr>
                <w:rFonts w:hint="eastAsia" w:ascii="宋体" w:hAnsi="宋体" w:cs="宋体"/>
                <w:bCs/>
                <w:sz w:val="18"/>
                <w:szCs w:val="18"/>
              </w:rPr>
              <w:t>塔顶水平双向振动加速度</w:t>
            </w:r>
          </w:p>
        </w:tc>
        <w:tc>
          <w:tcPr>
            <w:tcW w:w="941" w:type="dxa"/>
            <w:tcBorders>
              <w:top w:val="single" w:color="auto" w:sz="4" w:space="0"/>
              <w:left w:val="single" w:color="auto" w:sz="4" w:space="0"/>
              <w:bottom w:val="single" w:color="auto" w:sz="4" w:space="0"/>
              <w:right w:val="single" w:color="auto" w:sz="4" w:space="0"/>
            </w:tcBorders>
            <w:vAlign w:val="center"/>
          </w:tcPr>
          <w:p w14:paraId="2EE49080">
            <w:pPr>
              <w:pStyle w:val="146"/>
              <w:rPr>
                <w:rFonts w:hint="eastAsia" w:ascii="宋体" w:hAnsi="宋体" w:cs="宋体"/>
                <w:sz w:val="18"/>
                <w:szCs w:val="18"/>
              </w:rPr>
            </w:pPr>
            <w:r>
              <w:rPr>
                <w:rFonts w:hint="eastAsia" w:ascii="宋体" w:hAnsi="宋体" w:cs="宋体"/>
                <w:bCs/>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410BEB79">
            <w:pPr>
              <w:pStyle w:val="146"/>
              <w:rPr>
                <w:rFonts w:hint="eastAsia" w:ascii="宋体" w:hAnsi="宋体" w:cs="宋体"/>
                <w:sz w:val="18"/>
                <w:szCs w:val="18"/>
              </w:rPr>
            </w:pPr>
            <w:r>
              <w:rPr>
                <w:rFonts w:hint="eastAsia" w:ascii="宋体" w:hAnsi="宋体" w:cs="宋体"/>
                <w:sz w:val="18"/>
                <w:szCs w:val="18"/>
              </w:rPr>
              <w:t>索塔塔顶</w:t>
            </w:r>
          </w:p>
        </w:tc>
      </w:tr>
      <w:tr w14:paraId="26023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vMerge w:val="continue"/>
            <w:tcBorders>
              <w:left w:val="single" w:color="auto" w:sz="4" w:space="0"/>
              <w:bottom w:val="single" w:color="auto" w:sz="4" w:space="0"/>
              <w:right w:val="single" w:color="auto" w:sz="4" w:space="0"/>
            </w:tcBorders>
            <w:vAlign w:val="center"/>
          </w:tcPr>
          <w:p w14:paraId="24183343">
            <w:pPr>
              <w:widowControl/>
              <w:spacing w:beforeLines="0" w:afterLines="0" w:line="240" w:lineRule="auto"/>
              <w:jc w:val="left"/>
              <w:rPr>
                <w:rFonts w:hint="eastAsia" w:ascii="宋体" w:hAnsi="宋体" w:cs="宋体"/>
                <w:sz w:val="18"/>
                <w:szCs w:val="18"/>
              </w:rPr>
            </w:pPr>
          </w:p>
        </w:tc>
        <w:tc>
          <w:tcPr>
            <w:tcW w:w="598" w:type="dxa"/>
            <w:vMerge w:val="continue"/>
            <w:tcBorders>
              <w:left w:val="single" w:color="auto" w:sz="4" w:space="0"/>
              <w:bottom w:val="single" w:color="auto" w:sz="4" w:space="0"/>
              <w:right w:val="single" w:color="auto" w:sz="4" w:space="0"/>
            </w:tcBorders>
            <w:vAlign w:val="center"/>
          </w:tcPr>
          <w:p w14:paraId="74624AA9">
            <w:pPr>
              <w:widowControl/>
              <w:spacing w:beforeLines="0" w:afterLines="0" w:line="240" w:lineRule="auto"/>
              <w:jc w:val="left"/>
              <w:rPr>
                <w:rFonts w:hint="eastAsia" w:ascii="宋体" w:hAnsi="宋体" w:cs="宋体"/>
                <w:sz w:val="18"/>
                <w:szCs w:val="18"/>
              </w:rPr>
            </w:pPr>
          </w:p>
        </w:tc>
        <w:tc>
          <w:tcPr>
            <w:tcW w:w="1448" w:type="dxa"/>
            <w:vMerge w:val="continue"/>
            <w:tcBorders>
              <w:top w:val="single" w:color="auto" w:sz="4" w:space="0"/>
              <w:left w:val="single" w:color="auto" w:sz="4" w:space="0"/>
              <w:bottom w:val="single" w:color="auto" w:sz="4" w:space="0"/>
              <w:right w:val="single" w:color="auto" w:sz="4" w:space="0"/>
            </w:tcBorders>
            <w:vAlign w:val="center"/>
          </w:tcPr>
          <w:p w14:paraId="492ADD00">
            <w:pPr>
              <w:widowControl/>
              <w:spacing w:beforeLines="0" w:afterLines="0" w:line="240" w:lineRule="auto"/>
              <w:jc w:val="left"/>
              <w:rPr>
                <w:rFonts w:hint="eastAsia" w:ascii="宋体" w:hAnsi="宋体" w:cs="宋体"/>
                <w:sz w:val="18"/>
                <w:szCs w:val="18"/>
              </w:rPr>
            </w:pPr>
          </w:p>
        </w:tc>
        <w:tc>
          <w:tcPr>
            <w:tcW w:w="1991" w:type="dxa"/>
            <w:tcBorders>
              <w:top w:val="single" w:color="auto" w:sz="4" w:space="0"/>
              <w:left w:val="single" w:color="auto" w:sz="4" w:space="0"/>
              <w:bottom w:val="single" w:color="auto" w:sz="4" w:space="0"/>
              <w:right w:val="single" w:color="auto" w:sz="4" w:space="0"/>
            </w:tcBorders>
            <w:vAlign w:val="center"/>
          </w:tcPr>
          <w:p w14:paraId="3CCAF6E6">
            <w:pPr>
              <w:pStyle w:val="146"/>
              <w:rPr>
                <w:rFonts w:hint="eastAsia" w:ascii="宋体" w:hAnsi="宋体" w:cs="宋体"/>
                <w:sz w:val="18"/>
                <w:szCs w:val="18"/>
              </w:rPr>
            </w:pPr>
            <w:r>
              <w:rPr>
                <w:rFonts w:hint="eastAsia" w:ascii="宋体" w:hAnsi="宋体" w:cs="宋体"/>
                <w:bCs/>
                <w:sz w:val="18"/>
                <w:szCs w:val="18"/>
              </w:rPr>
              <w:t>斜拉索振动加速度</w:t>
            </w:r>
          </w:p>
        </w:tc>
        <w:tc>
          <w:tcPr>
            <w:tcW w:w="941" w:type="dxa"/>
            <w:tcBorders>
              <w:top w:val="single" w:color="auto" w:sz="4" w:space="0"/>
              <w:left w:val="single" w:color="auto" w:sz="4" w:space="0"/>
              <w:bottom w:val="single" w:color="auto" w:sz="4" w:space="0"/>
              <w:right w:val="single" w:color="auto" w:sz="4" w:space="0"/>
            </w:tcBorders>
            <w:vAlign w:val="center"/>
          </w:tcPr>
          <w:p w14:paraId="69CDB65A">
            <w:pPr>
              <w:pStyle w:val="146"/>
              <w:rPr>
                <w:rFonts w:hint="eastAsia" w:ascii="宋体" w:hAnsi="宋体" w:cs="宋体"/>
                <w:sz w:val="18"/>
                <w:szCs w:val="18"/>
              </w:rPr>
            </w:pPr>
            <w:r>
              <w:rPr>
                <w:rFonts w:hint="eastAsia" w:ascii="宋体" w:hAnsi="宋体" w:cs="宋体"/>
                <w:bCs/>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72D62455">
            <w:pPr>
              <w:pStyle w:val="146"/>
              <w:rPr>
                <w:rFonts w:hint="eastAsia" w:ascii="宋体" w:hAnsi="宋体" w:cs="宋体"/>
                <w:sz w:val="18"/>
                <w:szCs w:val="18"/>
              </w:rPr>
            </w:pPr>
            <w:r>
              <w:rPr>
                <w:rFonts w:hint="eastAsia" w:ascii="宋体" w:hAnsi="宋体" w:cs="宋体"/>
                <w:sz w:val="18"/>
                <w:szCs w:val="18"/>
              </w:rPr>
              <w:t>关键斜拉索</w:t>
            </w:r>
          </w:p>
        </w:tc>
      </w:tr>
      <w:tr w14:paraId="30407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597" w:type="dxa"/>
            <w:tcBorders>
              <w:top w:val="single" w:color="auto" w:sz="4" w:space="0"/>
              <w:left w:val="single" w:color="auto" w:sz="4" w:space="0"/>
              <w:bottom w:val="single" w:color="auto" w:sz="4" w:space="0"/>
              <w:right w:val="single" w:color="auto" w:sz="4" w:space="0"/>
            </w:tcBorders>
            <w:vAlign w:val="center"/>
          </w:tcPr>
          <w:p w14:paraId="7940A2C7">
            <w:pPr>
              <w:pStyle w:val="146"/>
              <w:rPr>
                <w:rFonts w:hint="default" w:ascii="宋体" w:hAnsi="宋体" w:eastAsia="宋体" w:cs="宋体"/>
                <w:sz w:val="18"/>
                <w:szCs w:val="18"/>
                <w:lang w:val="en-US" w:eastAsia="zh-CN"/>
              </w:rPr>
            </w:pPr>
            <w:r>
              <w:rPr>
                <w:rFonts w:hint="eastAsia" w:ascii="宋体" w:hAnsi="宋体" w:cs="宋体"/>
                <w:sz w:val="18"/>
                <w:szCs w:val="18"/>
                <w:lang w:val="en-US" w:eastAsia="zh-CN"/>
              </w:rPr>
              <w:t>19</w:t>
            </w:r>
          </w:p>
        </w:tc>
        <w:tc>
          <w:tcPr>
            <w:tcW w:w="598" w:type="dxa"/>
            <w:vMerge w:val="restart"/>
            <w:tcBorders>
              <w:top w:val="single" w:color="auto" w:sz="4" w:space="0"/>
              <w:left w:val="single" w:color="auto" w:sz="4" w:space="0"/>
              <w:right w:val="single" w:color="auto" w:sz="4" w:space="0"/>
            </w:tcBorders>
            <w:vAlign w:val="center"/>
          </w:tcPr>
          <w:p w14:paraId="60894194">
            <w:pPr>
              <w:pStyle w:val="146"/>
              <w:rPr>
                <w:rFonts w:hint="eastAsia" w:ascii="宋体" w:hAnsi="宋体" w:cs="宋体"/>
                <w:sz w:val="18"/>
                <w:szCs w:val="18"/>
              </w:rPr>
            </w:pPr>
            <w:r>
              <w:rPr>
                <w:rFonts w:hint="eastAsia" w:ascii="宋体" w:hAnsi="宋体" w:cs="宋体"/>
                <w:sz w:val="18"/>
                <w:szCs w:val="18"/>
              </w:rPr>
              <w:t>结构变化</w:t>
            </w:r>
          </w:p>
        </w:tc>
        <w:tc>
          <w:tcPr>
            <w:tcW w:w="1448" w:type="dxa"/>
            <w:tcBorders>
              <w:top w:val="single" w:color="auto" w:sz="4" w:space="0"/>
              <w:left w:val="single" w:color="auto" w:sz="4" w:space="0"/>
              <w:bottom w:val="single" w:color="auto" w:sz="4" w:space="0"/>
              <w:right w:val="single" w:color="auto" w:sz="4" w:space="0"/>
            </w:tcBorders>
            <w:vAlign w:val="center"/>
          </w:tcPr>
          <w:p w14:paraId="5B1CA569">
            <w:pPr>
              <w:pStyle w:val="146"/>
              <w:rPr>
                <w:rFonts w:hint="eastAsia" w:ascii="宋体" w:hAnsi="宋体" w:cs="宋体"/>
                <w:sz w:val="18"/>
                <w:szCs w:val="18"/>
              </w:rPr>
            </w:pPr>
            <w:r>
              <w:rPr>
                <w:rFonts w:hint="eastAsia" w:ascii="宋体" w:hAnsi="宋体" w:cs="宋体"/>
                <w:sz w:val="18"/>
                <w:szCs w:val="18"/>
              </w:rPr>
              <w:t>基础冲刷</w:t>
            </w:r>
          </w:p>
        </w:tc>
        <w:tc>
          <w:tcPr>
            <w:tcW w:w="1991" w:type="dxa"/>
            <w:tcBorders>
              <w:top w:val="single" w:color="auto" w:sz="4" w:space="0"/>
              <w:left w:val="single" w:color="auto" w:sz="4" w:space="0"/>
              <w:bottom w:val="single" w:color="auto" w:sz="4" w:space="0"/>
              <w:right w:val="single" w:color="auto" w:sz="4" w:space="0"/>
            </w:tcBorders>
            <w:vAlign w:val="center"/>
          </w:tcPr>
          <w:p w14:paraId="0CAB60F7">
            <w:pPr>
              <w:pStyle w:val="146"/>
              <w:rPr>
                <w:rFonts w:hint="eastAsia" w:ascii="宋体" w:hAnsi="宋体" w:cs="宋体"/>
                <w:sz w:val="18"/>
                <w:szCs w:val="18"/>
              </w:rPr>
            </w:pPr>
            <w:r>
              <w:rPr>
                <w:rFonts w:hint="eastAsia" w:ascii="宋体" w:hAnsi="宋体" w:cs="宋体"/>
                <w:sz w:val="18"/>
                <w:szCs w:val="18"/>
              </w:rPr>
              <w:t>基础冲刷深度</w:t>
            </w:r>
          </w:p>
        </w:tc>
        <w:tc>
          <w:tcPr>
            <w:tcW w:w="941" w:type="dxa"/>
            <w:tcBorders>
              <w:top w:val="single" w:color="auto" w:sz="4" w:space="0"/>
              <w:left w:val="single" w:color="auto" w:sz="4" w:space="0"/>
              <w:bottom w:val="single" w:color="auto" w:sz="4" w:space="0"/>
              <w:right w:val="single" w:color="auto" w:sz="4" w:space="0"/>
            </w:tcBorders>
            <w:vAlign w:val="center"/>
          </w:tcPr>
          <w:p w14:paraId="640EACD1">
            <w:pPr>
              <w:pStyle w:val="146"/>
              <w:rPr>
                <w:rFonts w:hint="eastAsia" w:ascii="宋体" w:hAnsi="宋体" w:cs="宋体"/>
                <w:sz w:val="18"/>
                <w:szCs w:val="18"/>
              </w:rPr>
            </w:pPr>
            <w:r>
              <w:rPr>
                <w:rFonts w:hint="eastAsia" w:ascii="宋体" w:hAnsi="宋体" w:cs="宋体"/>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6CD01B33">
            <w:pPr>
              <w:pStyle w:val="146"/>
              <w:rPr>
                <w:rFonts w:hint="eastAsia" w:ascii="宋体" w:hAnsi="宋体" w:cs="宋体"/>
                <w:sz w:val="18"/>
                <w:szCs w:val="18"/>
              </w:rPr>
            </w:pPr>
            <w:r>
              <w:rPr>
                <w:rFonts w:hint="eastAsia" w:ascii="宋体" w:hAnsi="宋体" w:cs="宋体"/>
                <w:sz w:val="18"/>
                <w:szCs w:val="18"/>
              </w:rPr>
              <w:t>-</w:t>
            </w:r>
          </w:p>
        </w:tc>
      </w:tr>
      <w:tr w14:paraId="5AC39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tcBorders>
              <w:top w:val="single" w:color="auto" w:sz="4" w:space="0"/>
              <w:left w:val="single" w:color="auto" w:sz="4" w:space="0"/>
              <w:bottom w:val="single" w:color="auto" w:sz="4" w:space="0"/>
              <w:right w:val="single" w:color="auto" w:sz="4" w:space="0"/>
            </w:tcBorders>
            <w:vAlign w:val="center"/>
          </w:tcPr>
          <w:p w14:paraId="732F0817">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20</w:t>
            </w:r>
          </w:p>
        </w:tc>
        <w:tc>
          <w:tcPr>
            <w:tcW w:w="598" w:type="dxa"/>
            <w:vMerge w:val="continue"/>
            <w:tcBorders>
              <w:left w:val="single" w:color="auto" w:sz="4" w:space="0"/>
              <w:right w:val="single" w:color="auto" w:sz="4" w:space="0"/>
            </w:tcBorders>
            <w:vAlign w:val="center"/>
          </w:tcPr>
          <w:p w14:paraId="3A3B0D1E">
            <w:pPr>
              <w:pStyle w:val="146"/>
              <w:rPr>
                <w:rFonts w:hint="eastAsia" w:ascii="宋体" w:hAnsi="宋体" w:cs="宋体"/>
                <w:sz w:val="18"/>
                <w:szCs w:val="18"/>
              </w:rPr>
            </w:pPr>
          </w:p>
        </w:tc>
        <w:tc>
          <w:tcPr>
            <w:tcW w:w="1448" w:type="dxa"/>
            <w:vMerge w:val="restart"/>
            <w:tcBorders>
              <w:top w:val="single" w:color="auto" w:sz="4" w:space="0"/>
              <w:left w:val="single" w:color="auto" w:sz="4" w:space="0"/>
              <w:bottom w:val="single" w:color="auto" w:sz="4" w:space="0"/>
              <w:right w:val="single" w:color="auto" w:sz="4" w:space="0"/>
            </w:tcBorders>
            <w:vAlign w:val="center"/>
          </w:tcPr>
          <w:p w14:paraId="6BFA6CF1">
            <w:pPr>
              <w:pStyle w:val="146"/>
              <w:rPr>
                <w:rFonts w:hint="eastAsia" w:ascii="宋体" w:hAnsi="宋体" w:cs="宋体"/>
                <w:sz w:val="18"/>
                <w:szCs w:val="18"/>
              </w:rPr>
            </w:pPr>
            <w:r>
              <w:rPr>
                <w:rFonts w:hint="eastAsia" w:ascii="宋体" w:hAnsi="宋体" w:cs="宋体"/>
                <w:sz w:val="18"/>
                <w:szCs w:val="18"/>
              </w:rPr>
              <w:t>裂缝</w:t>
            </w:r>
          </w:p>
        </w:tc>
        <w:tc>
          <w:tcPr>
            <w:tcW w:w="1991" w:type="dxa"/>
            <w:tcBorders>
              <w:top w:val="single" w:color="auto" w:sz="4" w:space="0"/>
              <w:left w:val="single" w:color="auto" w:sz="4" w:space="0"/>
              <w:bottom w:val="single" w:color="auto" w:sz="4" w:space="0"/>
              <w:right w:val="single" w:color="auto" w:sz="4" w:space="0"/>
            </w:tcBorders>
            <w:vAlign w:val="center"/>
          </w:tcPr>
          <w:p w14:paraId="73514C67">
            <w:pPr>
              <w:pStyle w:val="146"/>
              <w:rPr>
                <w:rFonts w:hint="eastAsia" w:ascii="宋体" w:hAnsi="宋体" w:cs="宋体"/>
                <w:sz w:val="18"/>
                <w:szCs w:val="18"/>
              </w:rPr>
            </w:pPr>
            <w:r>
              <w:rPr>
                <w:rFonts w:hint="eastAsia" w:ascii="宋体" w:hAnsi="宋体" w:cs="宋体"/>
                <w:sz w:val="18"/>
                <w:szCs w:val="18"/>
              </w:rPr>
              <w:t>混凝土结构裂缝</w:t>
            </w:r>
          </w:p>
        </w:tc>
        <w:tc>
          <w:tcPr>
            <w:tcW w:w="941" w:type="dxa"/>
            <w:tcBorders>
              <w:top w:val="single" w:color="auto" w:sz="4" w:space="0"/>
              <w:left w:val="single" w:color="auto" w:sz="4" w:space="0"/>
              <w:bottom w:val="single" w:color="auto" w:sz="4" w:space="0"/>
              <w:right w:val="single" w:color="auto" w:sz="4" w:space="0"/>
            </w:tcBorders>
            <w:vAlign w:val="center"/>
          </w:tcPr>
          <w:p w14:paraId="23726AE8">
            <w:pPr>
              <w:pStyle w:val="146"/>
              <w:rPr>
                <w:rFonts w:hint="eastAsia" w:ascii="宋体" w:hAnsi="宋体" w:cs="宋体"/>
                <w:sz w:val="18"/>
                <w:szCs w:val="18"/>
              </w:rPr>
            </w:pPr>
            <w:r>
              <w:rPr>
                <w:rFonts w:hint="eastAsia" w:ascii="宋体" w:hAnsi="宋体" w:cs="宋体"/>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59845C67">
            <w:pPr>
              <w:pStyle w:val="146"/>
              <w:rPr>
                <w:rFonts w:hint="eastAsia" w:ascii="宋体" w:hAnsi="宋体" w:cs="宋体"/>
                <w:sz w:val="18"/>
                <w:szCs w:val="18"/>
              </w:rPr>
            </w:pPr>
            <w:r>
              <w:rPr>
                <w:rFonts w:hint="eastAsia" w:ascii="宋体" w:hAnsi="宋体" w:cs="宋体"/>
                <w:sz w:val="18"/>
                <w:szCs w:val="18"/>
              </w:rPr>
              <w:t>-</w:t>
            </w:r>
          </w:p>
        </w:tc>
      </w:tr>
      <w:tr w14:paraId="0EAB8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tcBorders>
              <w:top w:val="single" w:color="auto" w:sz="4" w:space="0"/>
              <w:left w:val="single" w:color="auto" w:sz="4" w:space="0"/>
              <w:bottom w:val="single" w:color="auto" w:sz="4" w:space="0"/>
              <w:right w:val="single" w:color="auto" w:sz="4" w:space="0"/>
            </w:tcBorders>
            <w:vAlign w:val="center"/>
          </w:tcPr>
          <w:p w14:paraId="69F80E7C">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21</w:t>
            </w:r>
          </w:p>
        </w:tc>
        <w:tc>
          <w:tcPr>
            <w:tcW w:w="598" w:type="dxa"/>
            <w:vMerge w:val="continue"/>
            <w:tcBorders>
              <w:left w:val="single" w:color="auto" w:sz="4" w:space="0"/>
              <w:right w:val="single" w:color="auto" w:sz="4" w:space="0"/>
            </w:tcBorders>
            <w:vAlign w:val="center"/>
          </w:tcPr>
          <w:p w14:paraId="42198811">
            <w:pPr>
              <w:widowControl/>
              <w:spacing w:beforeLines="0" w:afterLines="0" w:line="240" w:lineRule="auto"/>
              <w:jc w:val="left"/>
              <w:rPr>
                <w:rFonts w:hint="eastAsia" w:ascii="宋体" w:hAnsi="宋体" w:cs="宋体"/>
                <w:sz w:val="18"/>
                <w:szCs w:val="18"/>
              </w:rPr>
            </w:pPr>
          </w:p>
        </w:tc>
        <w:tc>
          <w:tcPr>
            <w:tcW w:w="1448" w:type="dxa"/>
            <w:vMerge w:val="continue"/>
            <w:tcBorders>
              <w:top w:val="single" w:color="auto" w:sz="4" w:space="0"/>
              <w:left w:val="single" w:color="auto" w:sz="4" w:space="0"/>
              <w:bottom w:val="single" w:color="auto" w:sz="4" w:space="0"/>
              <w:right w:val="single" w:color="auto" w:sz="4" w:space="0"/>
            </w:tcBorders>
            <w:vAlign w:val="center"/>
          </w:tcPr>
          <w:p w14:paraId="55472F14">
            <w:pPr>
              <w:widowControl/>
              <w:spacing w:beforeLines="0" w:afterLines="0" w:line="240" w:lineRule="auto"/>
              <w:jc w:val="left"/>
              <w:rPr>
                <w:rFonts w:hint="eastAsia" w:ascii="宋体" w:hAnsi="宋体" w:cs="宋体"/>
                <w:sz w:val="18"/>
                <w:szCs w:val="18"/>
              </w:rPr>
            </w:pPr>
          </w:p>
        </w:tc>
        <w:tc>
          <w:tcPr>
            <w:tcW w:w="1991" w:type="dxa"/>
            <w:tcBorders>
              <w:top w:val="single" w:color="auto" w:sz="4" w:space="0"/>
              <w:left w:val="single" w:color="auto" w:sz="4" w:space="0"/>
              <w:bottom w:val="single" w:color="auto" w:sz="4" w:space="0"/>
              <w:right w:val="single" w:color="auto" w:sz="4" w:space="0"/>
            </w:tcBorders>
            <w:vAlign w:val="center"/>
          </w:tcPr>
          <w:p w14:paraId="4CD144FB">
            <w:pPr>
              <w:pStyle w:val="146"/>
              <w:rPr>
                <w:rFonts w:hint="eastAsia" w:ascii="宋体" w:hAnsi="宋体" w:cs="宋体"/>
                <w:sz w:val="18"/>
                <w:szCs w:val="18"/>
              </w:rPr>
            </w:pPr>
            <w:r>
              <w:rPr>
                <w:rFonts w:hint="eastAsia" w:ascii="宋体" w:hAnsi="宋体" w:cs="宋体"/>
                <w:sz w:val="18"/>
                <w:szCs w:val="18"/>
              </w:rPr>
              <w:t>钢结构裂缝</w:t>
            </w:r>
          </w:p>
        </w:tc>
        <w:tc>
          <w:tcPr>
            <w:tcW w:w="941" w:type="dxa"/>
            <w:tcBorders>
              <w:top w:val="single" w:color="auto" w:sz="4" w:space="0"/>
              <w:left w:val="single" w:color="auto" w:sz="4" w:space="0"/>
              <w:bottom w:val="single" w:color="auto" w:sz="4" w:space="0"/>
              <w:right w:val="single" w:color="auto" w:sz="4" w:space="0"/>
            </w:tcBorders>
            <w:vAlign w:val="center"/>
          </w:tcPr>
          <w:p w14:paraId="20D1444B">
            <w:pPr>
              <w:pStyle w:val="146"/>
              <w:rPr>
                <w:rFonts w:hint="eastAsia" w:ascii="宋体" w:hAnsi="宋体" w:cs="宋体"/>
                <w:sz w:val="18"/>
                <w:szCs w:val="18"/>
              </w:rPr>
            </w:pPr>
            <w:r>
              <w:rPr>
                <w:rFonts w:hint="eastAsia" w:ascii="宋体" w:hAnsi="宋体" w:cs="宋体"/>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1932E8AE">
            <w:pPr>
              <w:pStyle w:val="146"/>
              <w:rPr>
                <w:rFonts w:hint="eastAsia" w:ascii="宋体" w:hAnsi="宋体" w:cs="宋体"/>
                <w:sz w:val="18"/>
                <w:szCs w:val="18"/>
              </w:rPr>
            </w:pPr>
            <w:r>
              <w:rPr>
                <w:rFonts w:hint="eastAsia" w:ascii="宋体" w:hAnsi="宋体" w:cs="宋体"/>
                <w:sz w:val="18"/>
                <w:szCs w:val="18"/>
              </w:rPr>
              <w:t>-</w:t>
            </w:r>
          </w:p>
        </w:tc>
      </w:tr>
      <w:tr w14:paraId="7F4C1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tcBorders>
              <w:top w:val="single" w:color="auto" w:sz="4" w:space="0"/>
              <w:left w:val="single" w:color="auto" w:sz="4" w:space="0"/>
              <w:bottom w:val="single" w:color="auto" w:sz="4" w:space="0"/>
              <w:right w:val="single" w:color="auto" w:sz="4" w:space="0"/>
            </w:tcBorders>
            <w:vAlign w:val="center"/>
          </w:tcPr>
          <w:p w14:paraId="5AD460FD">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22</w:t>
            </w:r>
          </w:p>
        </w:tc>
        <w:tc>
          <w:tcPr>
            <w:tcW w:w="598" w:type="dxa"/>
            <w:vMerge w:val="continue"/>
            <w:tcBorders>
              <w:left w:val="single" w:color="auto" w:sz="4" w:space="0"/>
              <w:right w:val="single" w:color="auto" w:sz="4" w:space="0"/>
            </w:tcBorders>
            <w:vAlign w:val="center"/>
          </w:tcPr>
          <w:p w14:paraId="7B2E99AB">
            <w:pPr>
              <w:pStyle w:val="146"/>
              <w:rPr>
                <w:rFonts w:hint="eastAsia" w:ascii="宋体" w:hAnsi="宋体" w:cs="宋体"/>
                <w:sz w:val="18"/>
                <w:szCs w:val="18"/>
              </w:rPr>
            </w:pPr>
          </w:p>
        </w:tc>
        <w:tc>
          <w:tcPr>
            <w:tcW w:w="1448" w:type="dxa"/>
            <w:tcBorders>
              <w:top w:val="single" w:color="auto" w:sz="4" w:space="0"/>
              <w:left w:val="single" w:color="auto" w:sz="4" w:space="0"/>
              <w:bottom w:val="single" w:color="auto" w:sz="4" w:space="0"/>
              <w:right w:val="single" w:color="auto" w:sz="4" w:space="0"/>
            </w:tcBorders>
            <w:vAlign w:val="center"/>
          </w:tcPr>
          <w:p w14:paraId="552D0E7A">
            <w:pPr>
              <w:pStyle w:val="146"/>
              <w:rPr>
                <w:rFonts w:hint="eastAsia" w:ascii="宋体" w:hAnsi="宋体" w:cs="宋体"/>
                <w:sz w:val="18"/>
                <w:szCs w:val="18"/>
              </w:rPr>
            </w:pPr>
            <w:r>
              <w:rPr>
                <w:rFonts w:hint="eastAsia" w:ascii="宋体" w:hAnsi="宋体" w:cs="宋体"/>
                <w:sz w:val="18"/>
                <w:szCs w:val="18"/>
              </w:rPr>
              <w:t>结构变位</w:t>
            </w:r>
          </w:p>
        </w:tc>
        <w:tc>
          <w:tcPr>
            <w:tcW w:w="1991" w:type="dxa"/>
            <w:tcBorders>
              <w:top w:val="single" w:color="auto" w:sz="4" w:space="0"/>
              <w:left w:val="single" w:color="auto" w:sz="4" w:space="0"/>
              <w:bottom w:val="single" w:color="auto" w:sz="4" w:space="0"/>
              <w:right w:val="single" w:color="auto" w:sz="4" w:space="0"/>
            </w:tcBorders>
            <w:vAlign w:val="center"/>
          </w:tcPr>
          <w:p w14:paraId="7031EF25">
            <w:pPr>
              <w:pStyle w:val="146"/>
              <w:rPr>
                <w:rFonts w:hint="eastAsia" w:ascii="宋体" w:hAnsi="宋体" w:cs="宋体"/>
                <w:sz w:val="18"/>
                <w:szCs w:val="18"/>
              </w:rPr>
            </w:pPr>
            <w:r>
              <w:rPr>
                <w:rFonts w:hint="eastAsia" w:ascii="宋体" w:hAnsi="宋体" w:cs="宋体"/>
                <w:sz w:val="18"/>
                <w:szCs w:val="18"/>
              </w:rPr>
              <w:t>桥墩（台）沉降</w:t>
            </w:r>
          </w:p>
        </w:tc>
        <w:tc>
          <w:tcPr>
            <w:tcW w:w="941" w:type="dxa"/>
            <w:tcBorders>
              <w:top w:val="single" w:color="auto" w:sz="4" w:space="0"/>
              <w:left w:val="single" w:color="auto" w:sz="4" w:space="0"/>
              <w:bottom w:val="single" w:color="auto" w:sz="4" w:space="0"/>
              <w:right w:val="single" w:color="auto" w:sz="4" w:space="0"/>
            </w:tcBorders>
            <w:vAlign w:val="center"/>
          </w:tcPr>
          <w:p w14:paraId="5085F852">
            <w:pPr>
              <w:pStyle w:val="146"/>
              <w:rPr>
                <w:rFonts w:hint="eastAsia" w:ascii="宋体" w:hAnsi="宋体" w:cs="宋体"/>
                <w:sz w:val="18"/>
                <w:szCs w:val="18"/>
              </w:rPr>
            </w:pPr>
            <w:r>
              <w:rPr>
                <w:rFonts w:hint="eastAsia" w:ascii="宋体" w:hAnsi="宋体" w:cs="宋体"/>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7C1F65E1">
            <w:pPr>
              <w:pStyle w:val="146"/>
              <w:rPr>
                <w:rFonts w:hint="eastAsia" w:ascii="宋体" w:hAnsi="宋体" w:cs="宋体"/>
                <w:sz w:val="18"/>
                <w:szCs w:val="18"/>
              </w:rPr>
            </w:pPr>
            <w:r>
              <w:rPr>
                <w:rFonts w:hint="eastAsia" w:ascii="宋体" w:hAnsi="宋体" w:cs="宋体"/>
                <w:sz w:val="18"/>
                <w:szCs w:val="18"/>
              </w:rPr>
              <w:t>-</w:t>
            </w:r>
          </w:p>
        </w:tc>
      </w:tr>
      <w:tr w14:paraId="30A38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tcBorders>
              <w:top w:val="single" w:color="auto" w:sz="4" w:space="0"/>
              <w:left w:val="single" w:color="auto" w:sz="4" w:space="0"/>
              <w:bottom w:val="single" w:color="auto" w:sz="4" w:space="0"/>
              <w:right w:val="single" w:color="auto" w:sz="4" w:space="0"/>
            </w:tcBorders>
            <w:vAlign w:val="center"/>
          </w:tcPr>
          <w:p w14:paraId="7504F605">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23</w:t>
            </w:r>
          </w:p>
        </w:tc>
        <w:tc>
          <w:tcPr>
            <w:tcW w:w="598" w:type="dxa"/>
            <w:vMerge w:val="continue"/>
            <w:tcBorders>
              <w:left w:val="single" w:color="auto" w:sz="4" w:space="0"/>
              <w:right w:val="single" w:color="auto" w:sz="4" w:space="0"/>
            </w:tcBorders>
            <w:vAlign w:val="center"/>
          </w:tcPr>
          <w:p w14:paraId="0C3B6E63">
            <w:pPr>
              <w:pStyle w:val="146"/>
              <w:rPr>
                <w:rFonts w:hint="eastAsia" w:ascii="宋体" w:hAnsi="宋体" w:cs="宋体"/>
                <w:sz w:val="18"/>
                <w:szCs w:val="18"/>
              </w:rPr>
            </w:pPr>
          </w:p>
        </w:tc>
        <w:tc>
          <w:tcPr>
            <w:tcW w:w="1448" w:type="dxa"/>
            <w:vMerge w:val="restart"/>
            <w:tcBorders>
              <w:top w:val="single" w:color="auto" w:sz="4" w:space="0"/>
              <w:left w:val="single" w:color="auto" w:sz="4" w:space="0"/>
              <w:bottom w:val="single" w:color="auto" w:sz="4" w:space="0"/>
              <w:right w:val="single" w:color="auto" w:sz="4" w:space="0"/>
            </w:tcBorders>
            <w:vAlign w:val="center"/>
          </w:tcPr>
          <w:p w14:paraId="07B81331">
            <w:pPr>
              <w:pStyle w:val="146"/>
              <w:rPr>
                <w:rFonts w:hint="eastAsia" w:ascii="宋体" w:hAnsi="宋体" w:cs="宋体"/>
                <w:sz w:val="18"/>
                <w:szCs w:val="18"/>
              </w:rPr>
            </w:pPr>
            <w:r>
              <w:rPr>
                <w:rFonts w:hint="eastAsia" w:ascii="宋体" w:hAnsi="宋体" w:cs="宋体"/>
                <w:sz w:val="18"/>
                <w:szCs w:val="18"/>
              </w:rPr>
              <w:t>腐蚀</w:t>
            </w:r>
          </w:p>
        </w:tc>
        <w:tc>
          <w:tcPr>
            <w:tcW w:w="1991" w:type="dxa"/>
            <w:tcBorders>
              <w:top w:val="single" w:color="auto" w:sz="4" w:space="0"/>
              <w:left w:val="single" w:color="auto" w:sz="4" w:space="0"/>
              <w:bottom w:val="single" w:color="auto" w:sz="4" w:space="0"/>
              <w:right w:val="single" w:color="auto" w:sz="4" w:space="0"/>
            </w:tcBorders>
            <w:vAlign w:val="center"/>
          </w:tcPr>
          <w:p w14:paraId="1B10A150">
            <w:pPr>
              <w:pStyle w:val="146"/>
              <w:rPr>
                <w:rFonts w:hint="eastAsia" w:ascii="宋体" w:hAnsi="宋体" w:cs="宋体"/>
                <w:sz w:val="18"/>
                <w:szCs w:val="18"/>
              </w:rPr>
            </w:pPr>
            <w:r>
              <w:rPr>
                <w:rFonts w:hint="eastAsia" w:ascii="宋体" w:hAnsi="宋体" w:cs="宋体"/>
                <w:sz w:val="18"/>
                <w:szCs w:val="18"/>
              </w:rPr>
              <w:t>墩身、承台混凝土氯离子浓度</w:t>
            </w:r>
          </w:p>
        </w:tc>
        <w:tc>
          <w:tcPr>
            <w:tcW w:w="941" w:type="dxa"/>
            <w:tcBorders>
              <w:top w:val="single" w:color="auto" w:sz="4" w:space="0"/>
              <w:left w:val="single" w:color="auto" w:sz="4" w:space="0"/>
              <w:bottom w:val="single" w:color="auto" w:sz="4" w:space="0"/>
              <w:right w:val="single" w:color="auto" w:sz="4" w:space="0"/>
            </w:tcBorders>
            <w:vAlign w:val="center"/>
          </w:tcPr>
          <w:p w14:paraId="20D8F44F">
            <w:pPr>
              <w:pStyle w:val="146"/>
              <w:rPr>
                <w:rFonts w:hint="eastAsia" w:ascii="宋体" w:hAnsi="宋体" w:cs="宋体"/>
                <w:sz w:val="18"/>
                <w:szCs w:val="18"/>
              </w:rPr>
            </w:pPr>
            <w:r>
              <w:rPr>
                <w:rFonts w:hint="eastAsia" w:ascii="宋体" w:hAnsi="宋体" w:cs="宋体"/>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7861052B">
            <w:pPr>
              <w:pStyle w:val="146"/>
              <w:rPr>
                <w:rFonts w:hint="eastAsia" w:ascii="宋体" w:hAnsi="宋体" w:cs="宋体"/>
                <w:sz w:val="18"/>
                <w:szCs w:val="18"/>
              </w:rPr>
            </w:pPr>
            <w:r>
              <w:rPr>
                <w:rFonts w:hint="eastAsia" w:ascii="宋体" w:hAnsi="宋体" w:cs="宋体"/>
                <w:sz w:val="18"/>
                <w:szCs w:val="18"/>
              </w:rPr>
              <w:t>-</w:t>
            </w:r>
          </w:p>
        </w:tc>
      </w:tr>
      <w:tr w14:paraId="0B769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tcBorders>
              <w:top w:val="single" w:color="auto" w:sz="4" w:space="0"/>
              <w:left w:val="single" w:color="auto" w:sz="4" w:space="0"/>
              <w:bottom w:val="single" w:color="auto" w:sz="4" w:space="0"/>
              <w:right w:val="single" w:color="auto" w:sz="4" w:space="0"/>
            </w:tcBorders>
            <w:vAlign w:val="center"/>
          </w:tcPr>
          <w:p w14:paraId="2946217F">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24</w:t>
            </w:r>
          </w:p>
        </w:tc>
        <w:tc>
          <w:tcPr>
            <w:tcW w:w="598" w:type="dxa"/>
            <w:vMerge w:val="continue"/>
            <w:tcBorders>
              <w:left w:val="single" w:color="auto" w:sz="4" w:space="0"/>
              <w:right w:val="single" w:color="auto" w:sz="4" w:space="0"/>
            </w:tcBorders>
            <w:vAlign w:val="center"/>
          </w:tcPr>
          <w:p w14:paraId="0482D644">
            <w:pPr>
              <w:widowControl/>
              <w:spacing w:beforeLines="0" w:afterLines="0" w:line="240" w:lineRule="auto"/>
              <w:jc w:val="left"/>
              <w:rPr>
                <w:rFonts w:hint="eastAsia" w:ascii="宋体" w:hAnsi="宋体" w:cs="宋体"/>
                <w:sz w:val="18"/>
                <w:szCs w:val="18"/>
              </w:rPr>
            </w:pPr>
          </w:p>
        </w:tc>
        <w:tc>
          <w:tcPr>
            <w:tcW w:w="1448" w:type="dxa"/>
            <w:vMerge w:val="continue"/>
            <w:tcBorders>
              <w:top w:val="single" w:color="auto" w:sz="4" w:space="0"/>
              <w:left w:val="single" w:color="auto" w:sz="4" w:space="0"/>
              <w:bottom w:val="single" w:color="auto" w:sz="4" w:space="0"/>
              <w:right w:val="single" w:color="auto" w:sz="4" w:space="0"/>
            </w:tcBorders>
            <w:vAlign w:val="center"/>
          </w:tcPr>
          <w:p w14:paraId="0F239EDA">
            <w:pPr>
              <w:widowControl/>
              <w:spacing w:beforeLines="0" w:afterLines="0" w:line="240" w:lineRule="auto"/>
              <w:jc w:val="left"/>
              <w:rPr>
                <w:rFonts w:hint="eastAsia" w:ascii="宋体" w:hAnsi="宋体" w:cs="宋体"/>
                <w:sz w:val="18"/>
                <w:szCs w:val="18"/>
              </w:rPr>
            </w:pPr>
          </w:p>
        </w:tc>
        <w:tc>
          <w:tcPr>
            <w:tcW w:w="1991" w:type="dxa"/>
            <w:tcBorders>
              <w:top w:val="single" w:color="auto" w:sz="4" w:space="0"/>
              <w:left w:val="single" w:color="auto" w:sz="4" w:space="0"/>
              <w:bottom w:val="single" w:color="auto" w:sz="4" w:space="0"/>
              <w:right w:val="single" w:color="auto" w:sz="4" w:space="0"/>
            </w:tcBorders>
            <w:vAlign w:val="center"/>
          </w:tcPr>
          <w:p w14:paraId="26671678">
            <w:pPr>
              <w:pStyle w:val="146"/>
              <w:rPr>
                <w:rFonts w:hint="eastAsia" w:ascii="宋体" w:hAnsi="宋体" w:cs="宋体"/>
                <w:sz w:val="18"/>
                <w:szCs w:val="18"/>
              </w:rPr>
            </w:pPr>
            <w:r>
              <w:rPr>
                <w:rFonts w:hint="eastAsia" w:ascii="宋体" w:hAnsi="宋体" w:cs="宋体"/>
                <w:sz w:val="18"/>
                <w:szCs w:val="18"/>
              </w:rPr>
              <w:t>墩身、承台混凝土氯离子侵蚀深度</w:t>
            </w:r>
          </w:p>
        </w:tc>
        <w:tc>
          <w:tcPr>
            <w:tcW w:w="941" w:type="dxa"/>
            <w:tcBorders>
              <w:top w:val="single" w:color="auto" w:sz="4" w:space="0"/>
              <w:left w:val="single" w:color="auto" w:sz="4" w:space="0"/>
              <w:bottom w:val="single" w:color="auto" w:sz="4" w:space="0"/>
              <w:right w:val="single" w:color="auto" w:sz="4" w:space="0"/>
            </w:tcBorders>
            <w:vAlign w:val="center"/>
          </w:tcPr>
          <w:p w14:paraId="7FE5C8B2">
            <w:pPr>
              <w:pStyle w:val="146"/>
              <w:rPr>
                <w:rFonts w:hint="eastAsia" w:ascii="宋体" w:hAnsi="宋体" w:cs="宋体"/>
                <w:sz w:val="18"/>
                <w:szCs w:val="18"/>
              </w:rPr>
            </w:pPr>
            <w:r>
              <w:rPr>
                <w:rFonts w:hint="eastAsia" w:ascii="宋体" w:hAnsi="宋体" w:cs="宋体"/>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10EC02DB">
            <w:pPr>
              <w:pStyle w:val="146"/>
              <w:rPr>
                <w:rFonts w:hint="eastAsia" w:ascii="宋体" w:hAnsi="宋体" w:cs="宋体"/>
                <w:sz w:val="18"/>
                <w:szCs w:val="18"/>
              </w:rPr>
            </w:pPr>
            <w:r>
              <w:rPr>
                <w:rFonts w:hint="eastAsia" w:ascii="宋体" w:hAnsi="宋体" w:cs="宋体"/>
                <w:sz w:val="18"/>
                <w:szCs w:val="18"/>
              </w:rPr>
              <w:t>-</w:t>
            </w:r>
          </w:p>
        </w:tc>
      </w:tr>
      <w:tr w14:paraId="06AAB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tcBorders>
              <w:top w:val="single" w:color="auto" w:sz="4" w:space="0"/>
              <w:left w:val="single" w:color="auto" w:sz="4" w:space="0"/>
              <w:bottom w:val="single" w:color="auto" w:sz="4" w:space="0"/>
              <w:right w:val="single" w:color="auto" w:sz="4" w:space="0"/>
            </w:tcBorders>
            <w:vAlign w:val="center"/>
          </w:tcPr>
          <w:p w14:paraId="6074AB1A">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25</w:t>
            </w:r>
          </w:p>
        </w:tc>
        <w:tc>
          <w:tcPr>
            <w:tcW w:w="598" w:type="dxa"/>
            <w:vMerge w:val="continue"/>
            <w:tcBorders>
              <w:left w:val="single" w:color="auto" w:sz="4" w:space="0"/>
              <w:right w:val="single" w:color="auto" w:sz="4" w:space="0"/>
            </w:tcBorders>
            <w:vAlign w:val="center"/>
          </w:tcPr>
          <w:p w14:paraId="450DD496">
            <w:pPr>
              <w:pStyle w:val="146"/>
              <w:rPr>
                <w:rFonts w:hint="eastAsia" w:ascii="宋体" w:hAnsi="宋体" w:cs="宋体"/>
                <w:sz w:val="18"/>
                <w:szCs w:val="18"/>
              </w:rPr>
            </w:pPr>
          </w:p>
        </w:tc>
        <w:tc>
          <w:tcPr>
            <w:tcW w:w="1448" w:type="dxa"/>
            <w:tcBorders>
              <w:top w:val="single" w:color="auto" w:sz="4" w:space="0"/>
              <w:left w:val="single" w:color="auto" w:sz="4" w:space="0"/>
              <w:bottom w:val="single" w:color="auto" w:sz="4" w:space="0"/>
              <w:right w:val="single" w:color="auto" w:sz="4" w:space="0"/>
            </w:tcBorders>
            <w:vAlign w:val="center"/>
          </w:tcPr>
          <w:p w14:paraId="4F8B8A0E">
            <w:pPr>
              <w:pStyle w:val="146"/>
              <w:rPr>
                <w:rFonts w:hint="eastAsia" w:ascii="宋体" w:hAnsi="宋体" w:cs="宋体"/>
                <w:sz w:val="18"/>
                <w:szCs w:val="18"/>
              </w:rPr>
            </w:pPr>
            <w:r>
              <w:rPr>
                <w:rFonts w:hint="eastAsia" w:ascii="宋体" w:hAnsi="宋体" w:cs="宋体"/>
                <w:sz w:val="18"/>
                <w:szCs w:val="18"/>
              </w:rPr>
              <w:t>预应力</w:t>
            </w:r>
          </w:p>
        </w:tc>
        <w:tc>
          <w:tcPr>
            <w:tcW w:w="1991" w:type="dxa"/>
            <w:tcBorders>
              <w:top w:val="single" w:color="auto" w:sz="4" w:space="0"/>
              <w:left w:val="single" w:color="auto" w:sz="4" w:space="0"/>
              <w:bottom w:val="single" w:color="auto" w:sz="4" w:space="0"/>
              <w:right w:val="single" w:color="auto" w:sz="4" w:space="0"/>
            </w:tcBorders>
            <w:vAlign w:val="center"/>
          </w:tcPr>
          <w:p w14:paraId="17AC8BB9">
            <w:pPr>
              <w:pStyle w:val="146"/>
              <w:rPr>
                <w:rFonts w:hint="eastAsia" w:ascii="宋体" w:hAnsi="宋体" w:cs="宋体"/>
                <w:sz w:val="18"/>
                <w:szCs w:val="18"/>
              </w:rPr>
            </w:pPr>
            <w:r>
              <w:rPr>
                <w:rFonts w:hint="eastAsia" w:ascii="宋体" w:hAnsi="宋体" w:cs="宋体"/>
                <w:sz w:val="18"/>
                <w:szCs w:val="18"/>
              </w:rPr>
              <w:t>体外预应力</w:t>
            </w:r>
          </w:p>
        </w:tc>
        <w:tc>
          <w:tcPr>
            <w:tcW w:w="941" w:type="dxa"/>
            <w:tcBorders>
              <w:top w:val="single" w:color="auto" w:sz="4" w:space="0"/>
              <w:left w:val="single" w:color="auto" w:sz="4" w:space="0"/>
              <w:bottom w:val="single" w:color="auto" w:sz="4" w:space="0"/>
              <w:right w:val="single" w:color="auto" w:sz="4" w:space="0"/>
            </w:tcBorders>
            <w:vAlign w:val="center"/>
          </w:tcPr>
          <w:p w14:paraId="01F597A5">
            <w:pPr>
              <w:pStyle w:val="146"/>
              <w:rPr>
                <w:rFonts w:hint="eastAsia" w:ascii="宋体" w:hAnsi="宋体" w:cs="宋体"/>
                <w:sz w:val="18"/>
                <w:szCs w:val="18"/>
              </w:rPr>
            </w:pPr>
            <w:r>
              <w:rPr>
                <w:rFonts w:hint="eastAsia" w:ascii="宋体" w:hAnsi="宋体" w:cs="宋体"/>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085B0115">
            <w:pPr>
              <w:pStyle w:val="146"/>
              <w:rPr>
                <w:rFonts w:hint="eastAsia" w:ascii="宋体" w:hAnsi="宋体" w:cs="宋体"/>
                <w:sz w:val="18"/>
                <w:szCs w:val="18"/>
              </w:rPr>
            </w:pPr>
            <w:r>
              <w:rPr>
                <w:rFonts w:hint="eastAsia" w:ascii="宋体" w:hAnsi="宋体" w:cs="宋体"/>
                <w:sz w:val="18"/>
                <w:szCs w:val="18"/>
              </w:rPr>
              <w:t>-</w:t>
            </w:r>
          </w:p>
        </w:tc>
      </w:tr>
      <w:tr w14:paraId="47E6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tcBorders>
              <w:top w:val="single" w:color="auto" w:sz="4" w:space="0"/>
              <w:left w:val="single" w:color="auto" w:sz="4" w:space="0"/>
              <w:bottom w:val="single" w:color="auto" w:sz="4" w:space="0"/>
              <w:right w:val="single" w:color="auto" w:sz="4" w:space="0"/>
            </w:tcBorders>
            <w:vAlign w:val="center"/>
          </w:tcPr>
          <w:p w14:paraId="652172F0">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26</w:t>
            </w:r>
          </w:p>
        </w:tc>
        <w:tc>
          <w:tcPr>
            <w:tcW w:w="598" w:type="dxa"/>
            <w:vMerge w:val="continue"/>
            <w:tcBorders>
              <w:left w:val="single" w:color="auto" w:sz="4" w:space="0"/>
              <w:right w:val="single" w:color="auto" w:sz="4" w:space="0"/>
            </w:tcBorders>
            <w:vAlign w:val="center"/>
          </w:tcPr>
          <w:p w14:paraId="32D4BCF1">
            <w:pPr>
              <w:pStyle w:val="146"/>
              <w:rPr>
                <w:rFonts w:hint="eastAsia" w:ascii="宋体" w:hAnsi="宋体" w:cs="宋体"/>
                <w:sz w:val="18"/>
                <w:szCs w:val="18"/>
              </w:rPr>
            </w:pPr>
          </w:p>
        </w:tc>
        <w:tc>
          <w:tcPr>
            <w:tcW w:w="1448" w:type="dxa"/>
            <w:tcBorders>
              <w:top w:val="single" w:color="auto" w:sz="4" w:space="0"/>
              <w:left w:val="single" w:color="auto" w:sz="4" w:space="0"/>
              <w:bottom w:val="single" w:color="auto" w:sz="4" w:space="0"/>
              <w:right w:val="single" w:color="auto" w:sz="4" w:space="0"/>
            </w:tcBorders>
            <w:vAlign w:val="center"/>
          </w:tcPr>
          <w:p w14:paraId="260E211B">
            <w:pPr>
              <w:pStyle w:val="146"/>
              <w:rPr>
                <w:rFonts w:hint="eastAsia" w:ascii="宋体" w:hAnsi="宋体" w:cs="宋体"/>
                <w:sz w:val="18"/>
                <w:szCs w:val="18"/>
              </w:rPr>
            </w:pPr>
            <w:r>
              <w:rPr>
                <w:rFonts w:hint="eastAsia" w:ascii="宋体" w:hAnsi="宋体" w:cs="宋体"/>
                <w:sz w:val="18"/>
                <w:szCs w:val="18"/>
              </w:rPr>
              <w:t>断丝</w:t>
            </w:r>
          </w:p>
        </w:tc>
        <w:tc>
          <w:tcPr>
            <w:tcW w:w="1991" w:type="dxa"/>
            <w:tcBorders>
              <w:top w:val="single" w:color="auto" w:sz="4" w:space="0"/>
              <w:left w:val="single" w:color="auto" w:sz="4" w:space="0"/>
              <w:bottom w:val="single" w:color="auto" w:sz="4" w:space="0"/>
              <w:right w:val="single" w:color="auto" w:sz="4" w:space="0"/>
            </w:tcBorders>
            <w:vAlign w:val="center"/>
          </w:tcPr>
          <w:p w14:paraId="40511C06">
            <w:pPr>
              <w:pStyle w:val="146"/>
              <w:rPr>
                <w:rFonts w:hint="eastAsia" w:ascii="宋体" w:hAnsi="宋体" w:cs="宋体"/>
                <w:sz w:val="18"/>
                <w:szCs w:val="18"/>
              </w:rPr>
            </w:pPr>
            <w:r>
              <w:rPr>
                <w:rFonts w:hint="eastAsia" w:ascii="宋体" w:hAnsi="宋体" w:cs="宋体"/>
                <w:sz w:val="18"/>
                <w:szCs w:val="18"/>
              </w:rPr>
              <w:t>斜拉索断丝</w:t>
            </w:r>
          </w:p>
        </w:tc>
        <w:tc>
          <w:tcPr>
            <w:tcW w:w="941" w:type="dxa"/>
            <w:tcBorders>
              <w:top w:val="single" w:color="auto" w:sz="4" w:space="0"/>
              <w:left w:val="single" w:color="auto" w:sz="4" w:space="0"/>
              <w:bottom w:val="single" w:color="auto" w:sz="4" w:space="0"/>
              <w:right w:val="single" w:color="auto" w:sz="4" w:space="0"/>
            </w:tcBorders>
            <w:vAlign w:val="center"/>
          </w:tcPr>
          <w:p w14:paraId="414CB5FF">
            <w:pPr>
              <w:pStyle w:val="146"/>
              <w:rPr>
                <w:rFonts w:hint="eastAsia" w:ascii="宋体" w:hAnsi="宋体" w:cs="宋体"/>
                <w:sz w:val="18"/>
                <w:szCs w:val="18"/>
              </w:rPr>
            </w:pPr>
            <w:r>
              <w:rPr>
                <w:rFonts w:hint="eastAsia" w:ascii="宋体" w:hAnsi="宋体" w:cs="宋体"/>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4D6C12DE">
            <w:pPr>
              <w:pStyle w:val="146"/>
              <w:rPr>
                <w:rFonts w:hint="eastAsia" w:ascii="宋体" w:hAnsi="宋体" w:cs="宋体"/>
                <w:sz w:val="18"/>
                <w:szCs w:val="18"/>
              </w:rPr>
            </w:pPr>
            <w:r>
              <w:rPr>
                <w:rFonts w:hint="eastAsia" w:ascii="宋体" w:hAnsi="宋体" w:cs="宋体"/>
                <w:sz w:val="18"/>
                <w:szCs w:val="18"/>
              </w:rPr>
              <w:t>-</w:t>
            </w:r>
          </w:p>
        </w:tc>
      </w:tr>
      <w:tr w14:paraId="08485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tcBorders>
              <w:top w:val="single" w:color="auto" w:sz="4" w:space="0"/>
              <w:left w:val="single" w:color="auto" w:sz="4" w:space="0"/>
              <w:bottom w:val="single" w:color="auto" w:sz="4" w:space="0"/>
              <w:right w:val="single" w:color="auto" w:sz="4" w:space="0"/>
            </w:tcBorders>
            <w:vAlign w:val="center"/>
          </w:tcPr>
          <w:p w14:paraId="5AD685D5">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27</w:t>
            </w:r>
          </w:p>
        </w:tc>
        <w:tc>
          <w:tcPr>
            <w:tcW w:w="598" w:type="dxa"/>
            <w:vMerge w:val="continue"/>
            <w:tcBorders>
              <w:left w:val="single" w:color="auto" w:sz="4" w:space="0"/>
              <w:bottom w:val="single" w:color="auto" w:sz="4" w:space="0"/>
              <w:right w:val="single" w:color="auto" w:sz="4" w:space="0"/>
            </w:tcBorders>
            <w:vAlign w:val="center"/>
          </w:tcPr>
          <w:p w14:paraId="50B68748">
            <w:pPr>
              <w:pStyle w:val="146"/>
              <w:rPr>
                <w:rFonts w:hint="eastAsia" w:ascii="宋体" w:hAnsi="宋体" w:cs="宋体"/>
                <w:sz w:val="18"/>
                <w:szCs w:val="18"/>
              </w:rPr>
            </w:pPr>
          </w:p>
        </w:tc>
        <w:tc>
          <w:tcPr>
            <w:tcW w:w="1448" w:type="dxa"/>
            <w:tcBorders>
              <w:top w:val="single" w:color="auto" w:sz="4" w:space="0"/>
              <w:left w:val="single" w:color="auto" w:sz="4" w:space="0"/>
              <w:bottom w:val="single" w:color="auto" w:sz="4" w:space="0"/>
              <w:right w:val="single" w:color="auto" w:sz="4" w:space="0"/>
            </w:tcBorders>
            <w:vAlign w:val="center"/>
          </w:tcPr>
          <w:p w14:paraId="6CC57B94">
            <w:pPr>
              <w:pStyle w:val="146"/>
              <w:rPr>
                <w:rFonts w:hint="eastAsia" w:ascii="宋体" w:hAnsi="宋体" w:cs="宋体"/>
                <w:sz w:val="18"/>
                <w:szCs w:val="18"/>
              </w:rPr>
            </w:pPr>
            <w:r>
              <w:rPr>
                <w:rFonts w:hint="eastAsia" w:ascii="宋体" w:hAnsi="宋体" w:cs="宋体"/>
                <w:sz w:val="18"/>
                <w:szCs w:val="18"/>
              </w:rPr>
              <w:t>螺栓状态</w:t>
            </w:r>
          </w:p>
        </w:tc>
        <w:tc>
          <w:tcPr>
            <w:tcW w:w="1991" w:type="dxa"/>
            <w:tcBorders>
              <w:top w:val="single" w:color="auto" w:sz="4" w:space="0"/>
              <w:left w:val="single" w:color="auto" w:sz="4" w:space="0"/>
              <w:bottom w:val="single" w:color="auto" w:sz="4" w:space="0"/>
              <w:right w:val="single" w:color="auto" w:sz="4" w:space="0"/>
            </w:tcBorders>
            <w:vAlign w:val="center"/>
          </w:tcPr>
          <w:p w14:paraId="04B14A75">
            <w:pPr>
              <w:pStyle w:val="146"/>
              <w:rPr>
                <w:rFonts w:hint="eastAsia" w:ascii="宋体" w:hAnsi="宋体" w:cs="宋体"/>
                <w:sz w:val="18"/>
                <w:szCs w:val="18"/>
              </w:rPr>
            </w:pPr>
            <w:r>
              <w:rPr>
                <w:rFonts w:hint="eastAsia" w:ascii="宋体" w:hAnsi="宋体" w:cs="宋体"/>
                <w:sz w:val="18"/>
                <w:szCs w:val="18"/>
              </w:rPr>
              <w:t>高强螺栓紧固力、螺栓滑脱</w:t>
            </w:r>
          </w:p>
        </w:tc>
        <w:tc>
          <w:tcPr>
            <w:tcW w:w="941" w:type="dxa"/>
            <w:tcBorders>
              <w:top w:val="single" w:color="auto" w:sz="4" w:space="0"/>
              <w:left w:val="single" w:color="auto" w:sz="4" w:space="0"/>
              <w:bottom w:val="single" w:color="auto" w:sz="4" w:space="0"/>
              <w:right w:val="single" w:color="auto" w:sz="4" w:space="0"/>
            </w:tcBorders>
            <w:vAlign w:val="center"/>
          </w:tcPr>
          <w:p w14:paraId="1C9F92C6">
            <w:pPr>
              <w:pStyle w:val="146"/>
              <w:rPr>
                <w:rFonts w:hint="eastAsia" w:ascii="宋体" w:hAnsi="宋体" w:cs="宋体"/>
                <w:sz w:val="18"/>
                <w:szCs w:val="18"/>
              </w:rPr>
            </w:pPr>
            <w:r>
              <w:rPr>
                <w:rFonts w:hint="eastAsia" w:ascii="宋体" w:hAnsi="宋体" w:cs="宋体"/>
                <w:sz w:val="18"/>
                <w:szCs w:val="18"/>
              </w:rPr>
              <w:t>◎</w:t>
            </w:r>
          </w:p>
        </w:tc>
        <w:tc>
          <w:tcPr>
            <w:tcW w:w="2922" w:type="dxa"/>
            <w:tcBorders>
              <w:top w:val="single" w:color="auto" w:sz="4" w:space="0"/>
              <w:left w:val="single" w:color="auto" w:sz="4" w:space="0"/>
              <w:bottom w:val="single" w:color="auto" w:sz="4" w:space="0"/>
              <w:right w:val="single" w:color="auto" w:sz="4" w:space="0"/>
            </w:tcBorders>
            <w:vAlign w:val="center"/>
          </w:tcPr>
          <w:p w14:paraId="41D04E4C">
            <w:pPr>
              <w:pStyle w:val="146"/>
              <w:rPr>
                <w:rFonts w:hint="eastAsia" w:ascii="宋体" w:hAnsi="宋体" w:cs="宋体"/>
                <w:sz w:val="18"/>
                <w:szCs w:val="18"/>
              </w:rPr>
            </w:pPr>
            <w:r>
              <w:rPr>
                <w:rFonts w:hint="eastAsia" w:ascii="宋体" w:hAnsi="宋体" w:cs="宋体"/>
                <w:sz w:val="18"/>
                <w:szCs w:val="18"/>
              </w:rPr>
              <w:t>-</w:t>
            </w:r>
          </w:p>
        </w:tc>
      </w:tr>
      <w:tr w14:paraId="6B32E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97" w:type="dxa"/>
            <w:gridSpan w:val="6"/>
            <w:tcBorders>
              <w:top w:val="single" w:color="auto" w:sz="4" w:space="0"/>
              <w:left w:val="single" w:color="auto" w:sz="4" w:space="0"/>
              <w:bottom w:val="single" w:color="auto" w:sz="4" w:space="0"/>
              <w:right w:val="single" w:color="auto" w:sz="4" w:space="0"/>
            </w:tcBorders>
            <w:vAlign w:val="center"/>
          </w:tcPr>
          <w:p w14:paraId="2CCE4CC1">
            <w:pPr>
              <w:pStyle w:val="146"/>
              <w:jc w:val="left"/>
              <w:rPr>
                <w:rFonts w:hint="eastAsia" w:ascii="宋体" w:hAnsi="宋体" w:cs="宋体"/>
                <w:sz w:val="18"/>
                <w:szCs w:val="18"/>
              </w:rPr>
            </w:pPr>
            <w:r>
              <w:rPr>
                <w:rFonts w:hint="eastAsia" w:ascii="宋体" w:hAnsi="宋体" w:cs="宋体"/>
                <w:sz w:val="18"/>
                <w:szCs w:val="18"/>
              </w:rPr>
              <w:t>注：1.“</w:t>
            </w:r>
            <w:r>
              <w:rPr>
                <w:rFonts w:hint="eastAsia" w:ascii="宋体" w:hAnsi="宋体" w:cs="宋体"/>
                <w:bCs/>
                <w:sz w:val="18"/>
                <w:szCs w:val="18"/>
              </w:rPr>
              <w:t>●</w:t>
            </w:r>
            <w:r>
              <w:rPr>
                <w:rFonts w:hint="eastAsia" w:ascii="宋体" w:hAnsi="宋体" w:cs="宋体"/>
                <w:sz w:val="18"/>
                <w:szCs w:val="18"/>
              </w:rPr>
              <w:t>”表示必选监测项、“◎”表示宜选监测项、“○”表示可选监测项；</w:t>
            </w:r>
          </w:p>
          <w:p w14:paraId="66FA130F">
            <w:pPr>
              <w:pStyle w:val="146"/>
              <w:ind w:firstLine="360" w:firstLineChars="200"/>
              <w:jc w:val="left"/>
              <w:rPr>
                <w:rFonts w:hint="eastAsia" w:ascii="宋体" w:hAnsi="宋体" w:cs="宋体"/>
                <w:sz w:val="18"/>
                <w:szCs w:val="18"/>
              </w:rPr>
            </w:pPr>
            <w:r>
              <w:rPr>
                <w:rFonts w:hint="eastAsia" w:ascii="宋体" w:hAnsi="宋体" w:cs="宋体"/>
                <w:sz w:val="18"/>
                <w:szCs w:val="18"/>
              </w:rPr>
              <w:t>2.“―”表示测点布设可根据</w:t>
            </w:r>
            <w:r>
              <w:rPr>
                <w:rFonts w:hint="eastAsia" w:ascii="宋体" w:hAnsi="宋体" w:cs="宋体"/>
                <w:sz w:val="18"/>
                <w:szCs w:val="18"/>
                <w:lang w:eastAsia="zh-CN"/>
              </w:rPr>
              <w:t>现场情况</w:t>
            </w:r>
            <w:r>
              <w:rPr>
                <w:rFonts w:hint="eastAsia" w:ascii="宋体" w:hAnsi="宋体" w:cs="宋体"/>
                <w:sz w:val="18"/>
                <w:szCs w:val="18"/>
              </w:rPr>
              <w:t>选择桥址处适当位置；</w:t>
            </w:r>
          </w:p>
          <w:p w14:paraId="42D6D519">
            <w:pPr>
              <w:pStyle w:val="146"/>
              <w:spacing w:before="24" w:after="24"/>
              <w:ind w:firstLine="360" w:firstLineChars="200"/>
              <w:jc w:val="left"/>
              <w:rPr>
                <w:rFonts w:hint="eastAsia" w:ascii="宋体" w:hAnsi="宋体" w:cs="宋体"/>
                <w:sz w:val="18"/>
                <w:szCs w:val="18"/>
              </w:rPr>
            </w:pPr>
            <w:r>
              <w:rPr>
                <w:rFonts w:hint="eastAsia" w:ascii="宋体" w:hAnsi="宋体" w:cs="宋体"/>
                <w:sz w:val="18"/>
                <w:szCs w:val="18"/>
              </w:rPr>
              <w:t>3.</w:t>
            </w:r>
            <w:r>
              <w:rPr>
                <w:rFonts w:hint="eastAsia"/>
              </w:rPr>
              <w:t xml:space="preserve"> </w:t>
            </w:r>
            <w:r>
              <w:rPr>
                <w:rFonts w:hint="eastAsia" w:ascii="宋体" w:hAnsi="宋体" w:cs="宋体"/>
                <w:sz w:val="18"/>
                <w:szCs w:val="18"/>
              </w:rPr>
              <w:t>斜拉桥宜重点监测主梁挠度、索塔变位和斜拉索索力，监测内容应</w:t>
            </w:r>
            <w:r>
              <w:rPr>
                <w:rFonts w:hint="eastAsia" w:ascii="宋体" w:hAnsi="宋体" w:cs="宋体"/>
                <w:sz w:val="18"/>
                <w:szCs w:val="18"/>
                <w:lang w:eastAsia="zh-CN"/>
              </w:rPr>
              <w:t>符合以下要求</w:t>
            </w:r>
            <w:r>
              <w:rPr>
                <w:rFonts w:hint="eastAsia" w:ascii="宋体" w:hAnsi="宋体" w:cs="宋体"/>
                <w:sz w:val="18"/>
                <w:szCs w:val="18"/>
              </w:rPr>
              <w:t>：</w:t>
            </w:r>
          </w:p>
          <w:p w14:paraId="343819AF">
            <w:pPr>
              <w:pStyle w:val="146"/>
              <w:spacing w:before="24" w:after="24"/>
              <w:ind w:firstLine="540" w:firstLineChars="300"/>
              <w:jc w:val="left"/>
              <w:rPr>
                <w:rFonts w:hint="eastAsia" w:ascii="宋体" w:hAnsi="宋体" w:cs="宋体"/>
                <w:sz w:val="18"/>
                <w:szCs w:val="18"/>
              </w:rPr>
            </w:pPr>
            <w:r>
              <w:rPr>
                <w:rFonts w:hint="eastAsia" w:ascii="宋体" w:hAnsi="宋体" w:cs="宋体"/>
                <w:sz w:val="18"/>
                <w:szCs w:val="18"/>
              </w:rPr>
              <w:t>a）应监测主梁主跨跨中、 四分点和边跨跨中等关键截面的挠度。中央索面斜拉桥的主梁挠度监测测点可在主梁两侧对称布设；</w:t>
            </w:r>
          </w:p>
          <w:p w14:paraId="40793CA8">
            <w:pPr>
              <w:pStyle w:val="146"/>
              <w:spacing w:before="24" w:after="24"/>
              <w:ind w:firstLine="540" w:firstLineChars="300"/>
              <w:jc w:val="left"/>
              <w:rPr>
                <w:rFonts w:hint="eastAsia" w:ascii="宋体" w:hAnsi="宋体" w:cs="宋体"/>
                <w:sz w:val="18"/>
                <w:szCs w:val="18"/>
              </w:rPr>
            </w:pPr>
            <w:r>
              <w:rPr>
                <w:rFonts w:hint="eastAsia" w:ascii="宋体" w:hAnsi="宋体" w:cs="宋体"/>
                <w:sz w:val="18"/>
                <w:szCs w:val="18"/>
              </w:rPr>
              <w:t>b）应对索塔纵桥向和横桥向的位移进行监测；</w:t>
            </w:r>
          </w:p>
          <w:p w14:paraId="0A69E6E9">
            <w:pPr>
              <w:pStyle w:val="146"/>
              <w:spacing w:before="24" w:after="24"/>
              <w:ind w:firstLine="540" w:firstLineChars="300"/>
              <w:jc w:val="left"/>
              <w:rPr>
                <w:rFonts w:hint="eastAsia" w:ascii="宋体" w:hAnsi="宋体" w:cs="宋体"/>
                <w:sz w:val="18"/>
                <w:szCs w:val="18"/>
              </w:rPr>
            </w:pPr>
            <w:r>
              <w:rPr>
                <w:rFonts w:hint="eastAsia" w:ascii="宋体" w:hAnsi="宋体" w:cs="宋体"/>
                <w:sz w:val="18"/>
                <w:szCs w:val="18"/>
              </w:rPr>
              <w:t>c）应选取有代表性的斜拉索进行索力和振动监测。</w:t>
            </w:r>
          </w:p>
          <w:p w14:paraId="4FE12B79">
            <w:pPr>
              <w:pStyle w:val="146"/>
              <w:spacing w:before="24" w:after="24"/>
              <w:ind w:firstLine="360" w:firstLineChars="200"/>
              <w:jc w:val="left"/>
              <w:rPr>
                <w:rFonts w:hint="eastAsia" w:ascii="宋体" w:hAnsi="宋体" w:cs="宋体"/>
                <w:sz w:val="18"/>
                <w:szCs w:val="18"/>
              </w:rPr>
            </w:pPr>
            <w:r>
              <w:rPr>
                <w:rFonts w:hint="eastAsia" w:ascii="宋体" w:hAnsi="宋体" w:cs="宋体"/>
                <w:sz w:val="18"/>
                <w:szCs w:val="18"/>
              </w:rPr>
              <w:t>4.宜对索塔锚固区裂缝、 斜拉索锚头内湿度、 钢箱梁应变和裂缝等进行监测</w:t>
            </w:r>
          </w:p>
          <w:p w14:paraId="2ECD1378">
            <w:pPr>
              <w:pStyle w:val="146"/>
              <w:ind w:firstLine="360" w:firstLineChars="200"/>
              <w:jc w:val="left"/>
              <w:rPr>
                <w:rFonts w:hint="eastAsia" w:ascii="宋体" w:hAnsi="宋体" w:cs="宋体"/>
                <w:sz w:val="18"/>
                <w:szCs w:val="18"/>
              </w:rPr>
            </w:pPr>
            <w:r>
              <w:rPr>
                <w:rFonts w:hint="eastAsia" w:ascii="宋体" w:hAnsi="宋体" w:cs="宋体"/>
                <w:sz w:val="18"/>
                <w:szCs w:val="18"/>
              </w:rPr>
              <w:t>5.</w:t>
            </w:r>
            <w:r>
              <w:rPr>
                <w:rFonts w:hint="eastAsia"/>
              </w:rPr>
              <w:t xml:space="preserve"> </w:t>
            </w:r>
            <w:r>
              <w:rPr>
                <w:rFonts w:hint="eastAsia" w:ascii="宋体" w:hAnsi="宋体" w:cs="宋体"/>
                <w:sz w:val="18"/>
                <w:szCs w:val="18"/>
              </w:rPr>
              <w:t>跨度小于800米的斜拉桥，宜在主梁跨中两侧和塔顶各布设</w:t>
            </w:r>
            <w:r>
              <w:rPr>
                <w:rFonts w:hint="eastAsia" w:ascii="宋体" w:hAnsi="宋体" w:cs="宋体"/>
                <w:sz w:val="18"/>
                <w:szCs w:val="18"/>
                <w:lang w:eastAsia="zh-CN"/>
              </w:rPr>
              <w:t>不低于</w:t>
            </w:r>
            <w:r>
              <w:rPr>
                <w:rFonts w:hint="eastAsia" w:ascii="宋体" w:hAnsi="宋体" w:cs="宋体"/>
                <w:sz w:val="18"/>
                <w:szCs w:val="18"/>
              </w:rPr>
              <w:t>一个风速风向监测点。跨度大于等于800米的斜拉桥，结合风场空间相关性，宜增加风速风向监测点。</w:t>
            </w:r>
          </w:p>
        </w:tc>
      </w:tr>
    </w:tbl>
    <w:p w14:paraId="2B0ABE80">
      <w:pPr>
        <w:pStyle w:val="98"/>
        <w:spacing w:before="31" w:after="31"/>
        <w:jc w:val="center"/>
        <w:rPr>
          <w:rFonts w:hint="eastAsia" w:ascii="黑体" w:hAnsi="黑体" w:eastAsia="黑体"/>
          <w:bCs/>
          <w:color w:val="auto"/>
        </w:rPr>
      </w:pPr>
    </w:p>
    <w:p w14:paraId="0D8AA9CF">
      <w:pPr>
        <w:rPr>
          <w:rFonts w:hint="eastAsia" w:ascii="黑体" w:hAnsi="黑体" w:eastAsia="黑体"/>
          <w:bCs/>
          <w:color w:val="auto"/>
          <w:lang w:val="en-US" w:eastAsia="zh-CN"/>
        </w:rPr>
      </w:pPr>
      <w:r>
        <w:rPr>
          <w:rFonts w:hint="eastAsia"/>
          <w:b w:val="0"/>
          <w:bCs w:val="0"/>
          <w:lang w:val="en-US" w:eastAsia="zh-CN"/>
        </w:rPr>
        <w:t>悬索桥监测布点要求见表B.5.6。</w:t>
      </w:r>
    </w:p>
    <w:p w14:paraId="02F07592">
      <w:pPr>
        <w:pStyle w:val="98"/>
        <w:spacing w:before="31" w:after="31"/>
        <w:jc w:val="center"/>
        <w:rPr>
          <w:rFonts w:hint="default" w:eastAsia="黑体"/>
          <w:lang w:val="en-US" w:eastAsia="zh-CN"/>
        </w:rPr>
      </w:pPr>
      <w:r>
        <w:rPr>
          <w:rFonts w:hint="eastAsia" w:ascii="黑体" w:hAnsi="黑体" w:eastAsia="黑体"/>
          <w:bCs/>
          <w:color w:val="auto"/>
        </w:rPr>
        <w:t>B.5.6</w:t>
      </w:r>
      <w:r>
        <w:rPr>
          <w:rFonts w:ascii="黑体" w:hAnsi="黑体" w:eastAsia="黑体"/>
          <w:bCs/>
          <w:color w:val="auto"/>
        </w:rPr>
        <w:t xml:space="preserve">  </w:t>
      </w:r>
      <w:r>
        <w:rPr>
          <w:rFonts w:hint="eastAsia" w:ascii="黑体" w:hAnsi="黑体" w:eastAsia="黑体"/>
          <w:bCs/>
          <w:color w:val="auto"/>
        </w:rPr>
        <w:t>悬索桥监测</w:t>
      </w:r>
      <w:r>
        <w:rPr>
          <w:rFonts w:hint="eastAsia" w:ascii="黑体" w:hAnsi="黑体" w:eastAsia="黑体"/>
          <w:bCs/>
          <w:color w:val="auto"/>
          <w:lang w:val="en-US" w:eastAsia="zh-CN"/>
        </w:rPr>
        <w:t>布点要求</w:t>
      </w:r>
    </w:p>
    <w:tbl>
      <w:tblPr>
        <w:tblStyle w:val="35"/>
        <w:tblW w:w="0" w:type="auto"/>
        <w:tblInd w:w="1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5"/>
        <w:gridCol w:w="7"/>
        <w:gridCol w:w="593"/>
        <w:gridCol w:w="1515"/>
        <w:gridCol w:w="1995"/>
        <w:gridCol w:w="945"/>
        <w:gridCol w:w="2835"/>
      </w:tblGrid>
      <w:tr w14:paraId="3A113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585" w:type="dxa"/>
            <w:tcBorders>
              <w:top w:val="single" w:color="auto" w:sz="4" w:space="0"/>
              <w:left w:val="single" w:color="auto" w:sz="4" w:space="0"/>
              <w:bottom w:val="single" w:color="auto" w:sz="4" w:space="0"/>
              <w:right w:val="single" w:color="auto" w:sz="4" w:space="0"/>
            </w:tcBorders>
            <w:vAlign w:val="center"/>
          </w:tcPr>
          <w:p w14:paraId="4AB67757">
            <w:pPr>
              <w:pStyle w:val="146"/>
              <w:rPr>
                <w:rFonts w:hint="eastAsia" w:ascii="宋体" w:hAnsi="宋体" w:eastAsia="宋体" w:cs="宋体"/>
                <w:sz w:val="18"/>
                <w:szCs w:val="18"/>
                <w:lang w:val="en-US" w:eastAsia="zh-CN"/>
              </w:rPr>
            </w:pPr>
            <w:r>
              <w:rPr>
                <w:rFonts w:hint="eastAsia" w:ascii="宋体" w:hAnsi="宋体" w:cs="宋体"/>
                <w:sz w:val="18"/>
                <w:szCs w:val="18"/>
                <w:lang w:val="en-US" w:eastAsia="zh-CN"/>
              </w:rPr>
              <w:t>序号</w:t>
            </w:r>
          </w:p>
        </w:tc>
        <w:tc>
          <w:tcPr>
            <w:tcW w:w="2115" w:type="dxa"/>
            <w:gridSpan w:val="3"/>
            <w:tcBorders>
              <w:top w:val="single" w:color="auto" w:sz="4" w:space="0"/>
              <w:left w:val="single" w:color="auto" w:sz="4" w:space="0"/>
              <w:bottom w:val="single" w:color="auto" w:sz="4" w:space="0"/>
              <w:right w:val="single" w:color="auto" w:sz="4" w:space="0"/>
            </w:tcBorders>
            <w:vAlign w:val="center"/>
          </w:tcPr>
          <w:p w14:paraId="71CC5E82">
            <w:pPr>
              <w:pStyle w:val="146"/>
              <w:rPr>
                <w:rFonts w:hint="eastAsia" w:ascii="宋体" w:hAnsi="宋体" w:cs="宋体"/>
                <w:sz w:val="18"/>
                <w:szCs w:val="18"/>
              </w:rPr>
            </w:pPr>
            <w:r>
              <w:rPr>
                <w:rFonts w:hint="eastAsia" w:ascii="宋体" w:hAnsi="宋体" w:cs="宋体"/>
                <w:sz w:val="18"/>
                <w:szCs w:val="18"/>
              </w:rPr>
              <w:t>监测对象</w:t>
            </w:r>
          </w:p>
        </w:tc>
        <w:tc>
          <w:tcPr>
            <w:tcW w:w="1995" w:type="dxa"/>
            <w:tcBorders>
              <w:top w:val="single" w:color="auto" w:sz="4" w:space="0"/>
              <w:left w:val="single" w:color="auto" w:sz="4" w:space="0"/>
              <w:bottom w:val="single" w:color="auto" w:sz="4" w:space="0"/>
              <w:right w:val="single" w:color="auto" w:sz="4" w:space="0"/>
            </w:tcBorders>
            <w:vAlign w:val="center"/>
          </w:tcPr>
          <w:p w14:paraId="566148BA">
            <w:pPr>
              <w:pStyle w:val="146"/>
              <w:rPr>
                <w:rFonts w:hint="eastAsia" w:ascii="宋体" w:hAnsi="宋体" w:cs="宋体"/>
                <w:sz w:val="18"/>
                <w:szCs w:val="18"/>
              </w:rPr>
            </w:pPr>
            <w:r>
              <w:rPr>
                <w:rFonts w:hint="eastAsia" w:ascii="宋体" w:hAnsi="宋体" w:cs="宋体"/>
                <w:sz w:val="18"/>
                <w:szCs w:val="18"/>
              </w:rPr>
              <w:t>监测指标</w:t>
            </w:r>
          </w:p>
        </w:tc>
        <w:tc>
          <w:tcPr>
            <w:tcW w:w="945" w:type="dxa"/>
            <w:tcBorders>
              <w:top w:val="single" w:color="auto" w:sz="4" w:space="0"/>
              <w:left w:val="single" w:color="auto" w:sz="4" w:space="0"/>
              <w:bottom w:val="single" w:color="auto" w:sz="4" w:space="0"/>
              <w:right w:val="single" w:color="auto" w:sz="4" w:space="0"/>
            </w:tcBorders>
            <w:vAlign w:val="center"/>
          </w:tcPr>
          <w:p w14:paraId="1F596D4A">
            <w:pPr>
              <w:pStyle w:val="146"/>
              <w:rPr>
                <w:rFonts w:hint="eastAsia" w:ascii="宋体" w:hAnsi="宋体" w:cs="宋体"/>
                <w:sz w:val="18"/>
                <w:szCs w:val="18"/>
              </w:rPr>
            </w:pPr>
            <w:r>
              <w:rPr>
                <w:rFonts w:hint="eastAsia" w:ascii="宋体" w:hAnsi="宋体" w:cs="宋体"/>
                <w:sz w:val="18"/>
                <w:szCs w:val="18"/>
              </w:rPr>
              <w:t>监测要求</w:t>
            </w:r>
          </w:p>
        </w:tc>
        <w:tc>
          <w:tcPr>
            <w:tcW w:w="2835" w:type="dxa"/>
            <w:tcBorders>
              <w:top w:val="single" w:color="auto" w:sz="4" w:space="0"/>
              <w:left w:val="single" w:color="auto" w:sz="4" w:space="0"/>
              <w:bottom w:val="single" w:color="auto" w:sz="4" w:space="0"/>
              <w:right w:val="single" w:color="auto" w:sz="4" w:space="0"/>
            </w:tcBorders>
            <w:vAlign w:val="center"/>
          </w:tcPr>
          <w:p w14:paraId="1E2F7274">
            <w:pPr>
              <w:pStyle w:val="146"/>
              <w:rPr>
                <w:rFonts w:hint="eastAsia" w:ascii="宋体" w:hAnsi="宋体" w:cs="宋体"/>
                <w:sz w:val="18"/>
                <w:szCs w:val="18"/>
              </w:rPr>
            </w:pPr>
            <w:r>
              <w:rPr>
                <w:rFonts w:hint="eastAsia" w:ascii="宋体" w:hAnsi="宋体" w:cs="宋体"/>
                <w:color w:val="000000"/>
                <w:kern w:val="0"/>
                <w:sz w:val="18"/>
                <w:szCs w:val="18"/>
              </w:rPr>
              <w:t>监测布</w:t>
            </w:r>
            <w:r>
              <w:rPr>
                <w:rFonts w:hint="eastAsia" w:ascii="宋体" w:hAnsi="宋体" w:cs="宋体"/>
                <w:color w:val="000000"/>
                <w:kern w:val="0"/>
                <w:sz w:val="18"/>
                <w:szCs w:val="18"/>
                <w:lang w:val="en-US" w:eastAsia="zh-CN"/>
              </w:rPr>
              <w:t>点</w:t>
            </w:r>
            <w:r>
              <w:rPr>
                <w:rFonts w:hint="eastAsia" w:ascii="宋体" w:hAnsi="宋体" w:cs="宋体"/>
                <w:color w:val="000000"/>
                <w:kern w:val="0"/>
                <w:sz w:val="18"/>
                <w:szCs w:val="18"/>
              </w:rPr>
              <w:t>要求</w:t>
            </w:r>
          </w:p>
        </w:tc>
      </w:tr>
      <w:tr w14:paraId="74FEC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592" w:type="dxa"/>
            <w:gridSpan w:val="2"/>
            <w:vMerge w:val="restart"/>
            <w:tcBorders>
              <w:top w:val="single" w:color="auto" w:sz="4" w:space="0"/>
              <w:left w:val="single" w:color="auto" w:sz="4" w:space="0"/>
              <w:right w:val="single" w:color="auto" w:sz="4" w:space="0"/>
            </w:tcBorders>
            <w:vAlign w:val="center"/>
          </w:tcPr>
          <w:p w14:paraId="1AB018FF">
            <w:pPr>
              <w:pStyle w:val="146"/>
              <w:rPr>
                <w:rFonts w:hint="eastAsia" w:ascii="宋体" w:hAnsi="宋体" w:eastAsia="宋体" w:cs="宋体"/>
                <w:sz w:val="18"/>
                <w:szCs w:val="18"/>
                <w:lang w:val="en-US" w:eastAsia="zh-CN"/>
              </w:rPr>
            </w:pPr>
            <w:r>
              <w:rPr>
                <w:rFonts w:hint="eastAsia" w:ascii="宋体" w:hAnsi="宋体" w:cs="宋体"/>
                <w:sz w:val="18"/>
                <w:szCs w:val="18"/>
                <w:lang w:val="en-US" w:eastAsia="zh-CN"/>
              </w:rPr>
              <w:t>1</w:t>
            </w:r>
          </w:p>
        </w:tc>
        <w:tc>
          <w:tcPr>
            <w:tcW w:w="593" w:type="dxa"/>
            <w:vMerge w:val="restart"/>
            <w:tcBorders>
              <w:top w:val="single" w:color="auto" w:sz="4" w:space="0"/>
              <w:left w:val="single" w:color="auto" w:sz="4" w:space="0"/>
              <w:bottom w:val="single" w:color="auto" w:sz="4" w:space="0"/>
              <w:right w:val="single" w:color="auto" w:sz="4" w:space="0"/>
            </w:tcBorders>
            <w:vAlign w:val="center"/>
          </w:tcPr>
          <w:p w14:paraId="72EEBB08">
            <w:pPr>
              <w:pStyle w:val="146"/>
              <w:rPr>
                <w:rFonts w:hint="eastAsia" w:ascii="宋体" w:hAnsi="宋体" w:eastAsia="宋体" w:cs="宋体"/>
                <w:sz w:val="18"/>
                <w:szCs w:val="18"/>
                <w:lang w:eastAsia="zh-CN"/>
              </w:rPr>
            </w:pPr>
            <w:r>
              <w:rPr>
                <w:rFonts w:hint="eastAsia" w:ascii="宋体" w:hAnsi="宋体" w:cs="宋体"/>
                <w:sz w:val="18"/>
                <w:szCs w:val="18"/>
                <w:lang w:eastAsia="zh-CN"/>
              </w:rPr>
              <w:t>周边环境</w:t>
            </w:r>
          </w:p>
        </w:tc>
        <w:tc>
          <w:tcPr>
            <w:tcW w:w="1515" w:type="dxa"/>
            <w:vMerge w:val="restart"/>
            <w:tcBorders>
              <w:top w:val="single" w:color="auto" w:sz="4" w:space="0"/>
              <w:left w:val="single" w:color="auto" w:sz="4" w:space="0"/>
              <w:bottom w:val="single" w:color="auto" w:sz="4" w:space="0"/>
              <w:right w:val="single" w:color="auto" w:sz="4" w:space="0"/>
            </w:tcBorders>
            <w:vAlign w:val="center"/>
          </w:tcPr>
          <w:p w14:paraId="0F62BC6C">
            <w:pPr>
              <w:pStyle w:val="146"/>
              <w:rPr>
                <w:rFonts w:hint="eastAsia" w:ascii="宋体" w:hAnsi="宋体" w:cs="宋体"/>
                <w:sz w:val="18"/>
                <w:szCs w:val="18"/>
              </w:rPr>
            </w:pPr>
            <w:r>
              <w:rPr>
                <w:rFonts w:hint="eastAsia" w:ascii="宋体" w:hAnsi="宋体" w:cs="宋体"/>
                <w:sz w:val="18"/>
                <w:szCs w:val="18"/>
              </w:rPr>
              <w:t>温度、湿度</w:t>
            </w:r>
          </w:p>
        </w:tc>
        <w:tc>
          <w:tcPr>
            <w:tcW w:w="1995" w:type="dxa"/>
            <w:tcBorders>
              <w:top w:val="single" w:color="auto" w:sz="4" w:space="0"/>
              <w:left w:val="single" w:color="auto" w:sz="4" w:space="0"/>
              <w:bottom w:val="single" w:color="auto" w:sz="4" w:space="0"/>
              <w:right w:val="single" w:color="auto" w:sz="4" w:space="0"/>
            </w:tcBorders>
            <w:vAlign w:val="center"/>
          </w:tcPr>
          <w:p w14:paraId="41EBAD89">
            <w:pPr>
              <w:pStyle w:val="146"/>
              <w:rPr>
                <w:rFonts w:hint="eastAsia" w:ascii="宋体" w:hAnsi="宋体" w:cs="宋体"/>
                <w:bCs/>
                <w:sz w:val="18"/>
                <w:szCs w:val="18"/>
              </w:rPr>
            </w:pPr>
            <w:r>
              <w:rPr>
                <w:rFonts w:hint="eastAsia" w:ascii="宋体" w:hAnsi="宋体" w:cs="宋体"/>
                <w:bCs/>
                <w:sz w:val="18"/>
                <w:szCs w:val="18"/>
              </w:rPr>
              <w:t>桥址区环境温度、湿度</w:t>
            </w:r>
          </w:p>
        </w:tc>
        <w:tc>
          <w:tcPr>
            <w:tcW w:w="945" w:type="dxa"/>
            <w:tcBorders>
              <w:top w:val="single" w:color="auto" w:sz="4" w:space="0"/>
              <w:left w:val="single" w:color="auto" w:sz="4" w:space="0"/>
              <w:bottom w:val="single" w:color="auto" w:sz="4" w:space="0"/>
              <w:right w:val="single" w:color="auto" w:sz="4" w:space="0"/>
            </w:tcBorders>
            <w:vAlign w:val="center"/>
          </w:tcPr>
          <w:p w14:paraId="2F64021C">
            <w:pPr>
              <w:pStyle w:val="146"/>
              <w:rPr>
                <w:rFonts w:hint="eastAsia" w:ascii="宋体" w:hAnsi="宋体" w:cs="宋体"/>
                <w:bCs/>
                <w:sz w:val="18"/>
                <w:szCs w:val="18"/>
              </w:rPr>
            </w:pPr>
            <w:r>
              <w:rPr>
                <w:rFonts w:hint="eastAsia" w:ascii="宋体" w:hAnsi="宋体" w:cs="宋体"/>
                <w:bCs/>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46BCF612">
            <w:pPr>
              <w:pStyle w:val="146"/>
              <w:rPr>
                <w:rFonts w:hint="eastAsia" w:ascii="宋体" w:hAnsi="宋体" w:cs="宋体"/>
                <w:sz w:val="18"/>
                <w:szCs w:val="18"/>
              </w:rPr>
            </w:pPr>
            <w:r>
              <w:rPr>
                <w:rFonts w:hint="eastAsia" w:cs="宋体"/>
                <w:bCs/>
                <w:sz w:val="18"/>
                <w:szCs w:val="18"/>
              </w:rPr>
              <w:t>桥梁中部</w:t>
            </w:r>
          </w:p>
        </w:tc>
      </w:tr>
      <w:tr w14:paraId="0A3E2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continue"/>
            <w:tcBorders>
              <w:left w:val="single" w:color="auto" w:sz="4" w:space="0"/>
              <w:right w:val="single" w:color="auto" w:sz="4" w:space="0"/>
            </w:tcBorders>
            <w:vAlign w:val="center"/>
          </w:tcPr>
          <w:p w14:paraId="3E7EA426">
            <w:pPr>
              <w:widowControl/>
              <w:spacing w:beforeLines="0" w:afterLines="0" w:line="240" w:lineRule="auto"/>
              <w:jc w:val="left"/>
              <w:rPr>
                <w:rFonts w:hint="eastAsia" w:ascii="宋体" w:hAnsi="宋体" w:cs="宋体"/>
                <w:sz w:val="18"/>
                <w:szCs w:val="18"/>
              </w:rPr>
            </w:pPr>
          </w:p>
        </w:tc>
        <w:tc>
          <w:tcPr>
            <w:tcW w:w="593" w:type="dxa"/>
            <w:vMerge w:val="continue"/>
            <w:tcBorders>
              <w:top w:val="single" w:color="auto" w:sz="4" w:space="0"/>
              <w:left w:val="single" w:color="auto" w:sz="4" w:space="0"/>
              <w:bottom w:val="single" w:color="auto" w:sz="4" w:space="0"/>
              <w:right w:val="single" w:color="auto" w:sz="4" w:space="0"/>
            </w:tcBorders>
            <w:vAlign w:val="center"/>
          </w:tcPr>
          <w:p w14:paraId="24A4B462">
            <w:pPr>
              <w:widowControl/>
              <w:spacing w:beforeLines="0" w:afterLines="0" w:line="240" w:lineRule="auto"/>
              <w:jc w:val="left"/>
              <w:rPr>
                <w:rFonts w:hint="eastAsia" w:ascii="宋体" w:hAnsi="宋体" w:cs="宋体"/>
                <w:sz w:val="18"/>
                <w:szCs w:val="18"/>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69362F73">
            <w:pPr>
              <w:widowControl/>
              <w:spacing w:beforeLines="0" w:afterLines="0" w:line="240" w:lineRule="auto"/>
              <w:jc w:val="left"/>
              <w:rPr>
                <w:rFonts w:hint="eastAsia" w:ascii="宋体" w:hAnsi="宋体" w:cs="宋体"/>
                <w:sz w:val="18"/>
                <w:szCs w:val="18"/>
              </w:rPr>
            </w:pPr>
          </w:p>
        </w:tc>
        <w:tc>
          <w:tcPr>
            <w:tcW w:w="1995" w:type="dxa"/>
            <w:tcBorders>
              <w:top w:val="single" w:color="auto" w:sz="4" w:space="0"/>
              <w:left w:val="single" w:color="auto" w:sz="4" w:space="0"/>
              <w:bottom w:val="single" w:color="auto" w:sz="4" w:space="0"/>
              <w:right w:val="single" w:color="auto" w:sz="4" w:space="0"/>
            </w:tcBorders>
            <w:vAlign w:val="center"/>
          </w:tcPr>
          <w:p w14:paraId="1F0A6E92">
            <w:pPr>
              <w:pStyle w:val="146"/>
              <w:rPr>
                <w:rFonts w:hint="eastAsia" w:ascii="宋体" w:hAnsi="宋体" w:cs="宋体"/>
                <w:bCs/>
                <w:sz w:val="18"/>
                <w:szCs w:val="18"/>
              </w:rPr>
            </w:pPr>
            <w:r>
              <w:rPr>
                <w:rFonts w:hint="eastAsia" w:ascii="宋体" w:hAnsi="宋体" w:cs="宋体"/>
                <w:bCs/>
                <w:sz w:val="18"/>
                <w:szCs w:val="18"/>
              </w:rPr>
              <w:t>主梁内温度、湿度（封闭箱梁）</w:t>
            </w:r>
          </w:p>
        </w:tc>
        <w:tc>
          <w:tcPr>
            <w:tcW w:w="945" w:type="dxa"/>
            <w:tcBorders>
              <w:top w:val="single" w:color="auto" w:sz="4" w:space="0"/>
              <w:left w:val="single" w:color="auto" w:sz="4" w:space="0"/>
              <w:bottom w:val="single" w:color="auto" w:sz="4" w:space="0"/>
              <w:right w:val="single" w:color="auto" w:sz="4" w:space="0"/>
            </w:tcBorders>
            <w:vAlign w:val="center"/>
          </w:tcPr>
          <w:p w14:paraId="1A13489A">
            <w:pPr>
              <w:pStyle w:val="146"/>
              <w:rPr>
                <w:rFonts w:hint="eastAsia" w:ascii="宋体" w:hAnsi="宋体" w:cs="宋体"/>
                <w:bCs/>
                <w:sz w:val="18"/>
                <w:szCs w:val="18"/>
              </w:rPr>
            </w:pPr>
            <w:r>
              <w:rPr>
                <w:rFonts w:hint="eastAsia" w:ascii="宋体" w:hAnsi="宋体" w:cs="宋体"/>
                <w:bCs/>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21C29DCA">
            <w:pPr>
              <w:pStyle w:val="146"/>
              <w:rPr>
                <w:rFonts w:hint="eastAsia" w:ascii="宋体" w:hAnsi="宋体" w:cs="宋体"/>
                <w:sz w:val="18"/>
                <w:szCs w:val="18"/>
              </w:rPr>
            </w:pPr>
            <w:r>
              <w:rPr>
                <w:rFonts w:cs="宋体"/>
                <w:bCs/>
                <w:sz w:val="18"/>
                <w:szCs w:val="18"/>
              </w:rPr>
              <w:t>布设在桥梁结构内、 外温度或湿度变化较大和对温度、湿度敏感的部位</w:t>
            </w:r>
          </w:p>
        </w:tc>
      </w:tr>
      <w:tr w14:paraId="15D22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continue"/>
            <w:tcBorders>
              <w:left w:val="single" w:color="auto" w:sz="4" w:space="0"/>
              <w:right w:val="single" w:color="auto" w:sz="4" w:space="0"/>
            </w:tcBorders>
            <w:vAlign w:val="center"/>
          </w:tcPr>
          <w:p w14:paraId="60C1E228">
            <w:pPr>
              <w:widowControl/>
              <w:spacing w:beforeLines="0" w:afterLines="0" w:line="240" w:lineRule="auto"/>
              <w:jc w:val="left"/>
              <w:rPr>
                <w:rFonts w:hint="eastAsia" w:ascii="宋体" w:hAnsi="宋体" w:cs="宋体"/>
                <w:sz w:val="18"/>
                <w:szCs w:val="18"/>
              </w:rPr>
            </w:pPr>
          </w:p>
        </w:tc>
        <w:tc>
          <w:tcPr>
            <w:tcW w:w="593" w:type="dxa"/>
            <w:vMerge w:val="continue"/>
            <w:tcBorders>
              <w:top w:val="single" w:color="auto" w:sz="4" w:space="0"/>
              <w:left w:val="single" w:color="auto" w:sz="4" w:space="0"/>
              <w:bottom w:val="single" w:color="auto" w:sz="4" w:space="0"/>
              <w:right w:val="single" w:color="auto" w:sz="4" w:space="0"/>
            </w:tcBorders>
            <w:vAlign w:val="center"/>
          </w:tcPr>
          <w:p w14:paraId="2550CAD9">
            <w:pPr>
              <w:widowControl/>
              <w:spacing w:beforeLines="0" w:afterLines="0" w:line="240" w:lineRule="auto"/>
              <w:jc w:val="left"/>
              <w:rPr>
                <w:rFonts w:hint="eastAsia" w:ascii="宋体" w:hAnsi="宋体" w:cs="宋体"/>
                <w:sz w:val="18"/>
                <w:szCs w:val="18"/>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71F621EE">
            <w:pPr>
              <w:widowControl/>
              <w:spacing w:beforeLines="0" w:afterLines="0" w:line="240" w:lineRule="auto"/>
              <w:jc w:val="left"/>
              <w:rPr>
                <w:rFonts w:hint="eastAsia" w:ascii="宋体" w:hAnsi="宋体" w:cs="宋体"/>
                <w:sz w:val="18"/>
                <w:szCs w:val="18"/>
              </w:rPr>
            </w:pPr>
          </w:p>
        </w:tc>
        <w:tc>
          <w:tcPr>
            <w:tcW w:w="1995" w:type="dxa"/>
            <w:tcBorders>
              <w:top w:val="single" w:color="auto" w:sz="4" w:space="0"/>
              <w:left w:val="single" w:color="auto" w:sz="4" w:space="0"/>
              <w:bottom w:val="single" w:color="auto" w:sz="4" w:space="0"/>
              <w:right w:val="single" w:color="auto" w:sz="4" w:space="0"/>
            </w:tcBorders>
            <w:vAlign w:val="center"/>
          </w:tcPr>
          <w:p w14:paraId="6C36B2C6">
            <w:pPr>
              <w:pStyle w:val="146"/>
              <w:rPr>
                <w:rFonts w:hint="eastAsia" w:ascii="宋体" w:hAnsi="宋体" w:cs="宋体"/>
                <w:sz w:val="18"/>
                <w:szCs w:val="18"/>
              </w:rPr>
            </w:pPr>
            <w:r>
              <w:rPr>
                <w:rFonts w:hint="eastAsia" w:ascii="宋体" w:hAnsi="宋体" w:cs="宋体"/>
                <w:sz w:val="18"/>
                <w:szCs w:val="18"/>
              </w:rPr>
              <w:t>主缆内温度、湿度</w:t>
            </w:r>
          </w:p>
        </w:tc>
        <w:tc>
          <w:tcPr>
            <w:tcW w:w="945" w:type="dxa"/>
            <w:tcBorders>
              <w:top w:val="single" w:color="auto" w:sz="4" w:space="0"/>
              <w:left w:val="single" w:color="auto" w:sz="4" w:space="0"/>
              <w:bottom w:val="single" w:color="auto" w:sz="4" w:space="0"/>
              <w:right w:val="single" w:color="auto" w:sz="4" w:space="0"/>
            </w:tcBorders>
            <w:vAlign w:val="center"/>
          </w:tcPr>
          <w:p w14:paraId="3F088D78">
            <w:pPr>
              <w:pStyle w:val="146"/>
              <w:rPr>
                <w:rFonts w:hint="eastAsia" w:ascii="宋体" w:hAnsi="宋体" w:cs="宋体"/>
                <w:bCs/>
                <w:sz w:val="18"/>
                <w:szCs w:val="18"/>
              </w:rPr>
            </w:pPr>
            <w:r>
              <w:rPr>
                <w:rFonts w:hint="eastAsia" w:ascii="宋体" w:hAnsi="宋体" w:cs="宋体"/>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4837204C">
            <w:pPr>
              <w:pStyle w:val="146"/>
              <w:rPr>
                <w:rFonts w:hint="eastAsia" w:ascii="宋体" w:hAnsi="宋体" w:cs="宋体"/>
                <w:sz w:val="18"/>
                <w:szCs w:val="18"/>
              </w:rPr>
            </w:pPr>
            <w:r>
              <w:rPr>
                <w:rFonts w:hint="eastAsia" w:ascii="宋体" w:hAnsi="宋体" w:cs="宋体"/>
                <w:sz w:val="18"/>
                <w:szCs w:val="18"/>
              </w:rPr>
              <w:t>-</w:t>
            </w:r>
          </w:p>
        </w:tc>
      </w:tr>
      <w:tr w14:paraId="4D42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continue"/>
            <w:tcBorders>
              <w:left w:val="single" w:color="auto" w:sz="4" w:space="0"/>
              <w:right w:val="single" w:color="auto" w:sz="4" w:space="0"/>
            </w:tcBorders>
            <w:vAlign w:val="center"/>
          </w:tcPr>
          <w:p w14:paraId="6EA282B0">
            <w:pPr>
              <w:widowControl/>
              <w:spacing w:beforeLines="0" w:afterLines="0" w:line="240" w:lineRule="auto"/>
              <w:jc w:val="left"/>
              <w:rPr>
                <w:rFonts w:hint="eastAsia" w:ascii="宋体" w:hAnsi="宋体" w:cs="宋体"/>
                <w:sz w:val="18"/>
                <w:szCs w:val="18"/>
              </w:rPr>
            </w:pPr>
          </w:p>
        </w:tc>
        <w:tc>
          <w:tcPr>
            <w:tcW w:w="593" w:type="dxa"/>
            <w:vMerge w:val="continue"/>
            <w:tcBorders>
              <w:top w:val="single" w:color="auto" w:sz="4" w:space="0"/>
              <w:left w:val="single" w:color="auto" w:sz="4" w:space="0"/>
              <w:bottom w:val="single" w:color="auto" w:sz="4" w:space="0"/>
              <w:right w:val="single" w:color="auto" w:sz="4" w:space="0"/>
            </w:tcBorders>
            <w:vAlign w:val="center"/>
          </w:tcPr>
          <w:p w14:paraId="11434507">
            <w:pPr>
              <w:widowControl/>
              <w:spacing w:beforeLines="0" w:afterLines="0" w:line="240" w:lineRule="auto"/>
              <w:jc w:val="left"/>
              <w:rPr>
                <w:rFonts w:hint="eastAsia" w:ascii="宋体" w:hAnsi="宋体" w:cs="宋体"/>
                <w:sz w:val="18"/>
                <w:szCs w:val="18"/>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7E9D871E">
            <w:pPr>
              <w:widowControl/>
              <w:spacing w:beforeLines="0" w:afterLines="0" w:line="240" w:lineRule="auto"/>
              <w:jc w:val="left"/>
              <w:rPr>
                <w:rFonts w:hint="eastAsia" w:ascii="宋体" w:hAnsi="宋体" w:cs="宋体"/>
                <w:sz w:val="18"/>
                <w:szCs w:val="18"/>
              </w:rPr>
            </w:pPr>
          </w:p>
        </w:tc>
        <w:tc>
          <w:tcPr>
            <w:tcW w:w="1995" w:type="dxa"/>
            <w:tcBorders>
              <w:top w:val="single" w:color="auto" w:sz="4" w:space="0"/>
              <w:left w:val="single" w:color="auto" w:sz="4" w:space="0"/>
              <w:bottom w:val="single" w:color="auto" w:sz="4" w:space="0"/>
              <w:right w:val="single" w:color="auto" w:sz="4" w:space="0"/>
            </w:tcBorders>
            <w:vAlign w:val="center"/>
          </w:tcPr>
          <w:p w14:paraId="6799BA4C">
            <w:pPr>
              <w:pStyle w:val="146"/>
              <w:rPr>
                <w:rFonts w:hint="eastAsia" w:ascii="宋体" w:hAnsi="宋体" w:cs="宋体"/>
                <w:sz w:val="18"/>
                <w:szCs w:val="18"/>
              </w:rPr>
            </w:pPr>
            <w:r>
              <w:rPr>
                <w:rFonts w:hint="eastAsia" w:ascii="宋体" w:hAnsi="宋体" w:cs="宋体"/>
                <w:bCs/>
                <w:sz w:val="18"/>
                <w:szCs w:val="18"/>
              </w:rPr>
              <w:t>锚室内温度、湿度</w:t>
            </w:r>
          </w:p>
          <w:p w14:paraId="489CE7AC">
            <w:pPr>
              <w:pStyle w:val="146"/>
              <w:rPr>
                <w:rFonts w:hint="eastAsia" w:ascii="宋体" w:hAnsi="宋体" w:cs="宋体"/>
                <w:sz w:val="18"/>
                <w:szCs w:val="18"/>
              </w:rPr>
            </w:pPr>
            <w:r>
              <w:rPr>
                <w:rFonts w:hint="eastAsia" w:ascii="宋体" w:hAnsi="宋体" w:cs="宋体"/>
                <w:bCs/>
                <w:sz w:val="18"/>
                <w:szCs w:val="18"/>
              </w:rPr>
              <w:t>（地锚式悬索桥）</w:t>
            </w:r>
          </w:p>
        </w:tc>
        <w:tc>
          <w:tcPr>
            <w:tcW w:w="945" w:type="dxa"/>
            <w:tcBorders>
              <w:top w:val="single" w:color="auto" w:sz="4" w:space="0"/>
              <w:left w:val="single" w:color="auto" w:sz="4" w:space="0"/>
              <w:bottom w:val="single" w:color="auto" w:sz="4" w:space="0"/>
              <w:right w:val="single" w:color="auto" w:sz="4" w:space="0"/>
            </w:tcBorders>
            <w:vAlign w:val="center"/>
          </w:tcPr>
          <w:p w14:paraId="59256C8B">
            <w:pPr>
              <w:pStyle w:val="146"/>
              <w:rPr>
                <w:rFonts w:hint="eastAsia" w:ascii="宋体" w:hAnsi="宋体" w:cs="宋体"/>
                <w:sz w:val="18"/>
                <w:szCs w:val="18"/>
              </w:rPr>
            </w:pPr>
            <w:r>
              <w:rPr>
                <w:rFonts w:hint="eastAsia" w:ascii="宋体" w:hAnsi="宋体" w:cs="宋体"/>
                <w:bCs/>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7A49576B">
            <w:pPr>
              <w:pStyle w:val="146"/>
              <w:rPr>
                <w:rFonts w:hint="eastAsia" w:ascii="宋体" w:hAnsi="宋体" w:cs="宋体"/>
                <w:sz w:val="18"/>
                <w:szCs w:val="18"/>
              </w:rPr>
            </w:pPr>
            <w:r>
              <w:rPr>
                <w:rFonts w:hint="eastAsia" w:ascii="宋体" w:hAnsi="宋体" w:cs="宋体"/>
                <w:sz w:val="18"/>
                <w:szCs w:val="18"/>
              </w:rPr>
              <w:t>-</w:t>
            </w:r>
          </w:p>
        </w:tc>
      </w:tr>
      <w:tr w14:paraId="74F55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continue"/>
            <w:tcBorders>
              <w:left w:val="single" w:color="auto" w:sz="4" w:space="0"/>
              <w:right w:val="single" w:color="auto" w:sz="4" w:space="0"/>
            </w:tcBorders>
            <w:vAlign w:val="center"/>
          </w:tcPr>
          <w:p w14:paraId="45EDEE4E">
            <w:pPr>
              <w:widowControl/>
              <w:spacing w:beforeLines="0" w:afterLines="0" w:line="240" w:lineRule="auto"/>
              <w:jc w:val="left"/>
              <w:rPr>
                <w:rFonts w:hint="eastAsia" w:ascii="宋体" w:hAnsi="宋体" w:cs="宋体"/>
                <w:sz w:val="18"/>
                <w:szCs w:val="18"/>
              </w:rPr>
            </w:pPr>
          </w:p>
        </w:tc>
        <w:tc>
          <w:tcPr>
            <w:tcW w:w="593" w:type="dxa"/>
            <w:vMerge w:val="continue"/>
            <w:tcBorders>
              <w:top w:val="single" w:color="auto" w:sz="4" w:space="0"/>
              <w:left w:val="single" w:color="auto" w:sz="4" w:space="0"/>
              <w:bottom w:val="single" w:color="auto" w:sz="4" w:space="0"/>
              <w:right w:val="single" w:color="auto" w:sz="4" w:space="0"/>
            </w:tcBorders>
            <w:vAlign w:val="center"/>
          </w:tcPr>
          <w:p w14:paraId="61DC0AF9">
            <w:pPr>
              <w:widowControl/>
              <w:spacing w:beforeLines="0" w:afterLines="0" w:line="240" w:lineRule="auto"/>
              <w:jc w:val="left"/>
              <w:rPr>
                <w:rFonts w:hint="eastAsia" w:ascii="宋体" w:hAnsi="宋体" w:cs="宋体"/>
                <w:sz w:val="18"/>
                <w:szCs w:val="18"/>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073AAAEC">
            <w:pPr>
              <w:widowControl/>
              <w:spacing w:beforeLines="0" w:afterLines="0" w:line="240" w:lineRule="auto"/>
              <w:jc w:val="left"/>
              <w:rPr>
                <w:rFonts w:hint="eastAsia" w:ascii="宋体" w:hAnsi="宋体" w:cs="宋体"/>
                <w:sz w:val="18"/>
                <w:szCs w:val="18"/>
              </w:rPr>
            </w:pPr>
          </w:p>
        </w:tc>
        <w:tc>
          <w:tcPr>
            <w:tcW w:w="1995" w:type="dxa"/>
            <w:tcBorders>
              <w:top w:val="single" w:color="auto" w:sz="4" w:space="0"/>
              <w:left w:val="single" w:color="auto" w:sz="4" w:space="0"/>
              <w:bottom w:val="single" w:color="auto" w:sz="4" w:space="0"/>
              <w:right w:val="single" w:color="auto" w:sz="4" w:space="0"/>
            </w:tcBorders>
            <w:vAlign w:val="center"/>
          </w:tcPr>
          <w:p w14:paraId="46AF40D9">
            <w:pPr>
              <w:pStyle w:val="146"/>
              <w:rPr>
                <w:rFonts w:hint="eastAsia" w:ascii="宋体" w:hAnsi="宋体" w:cs="宋体"/>
                <w:sz w:val="18"/>
                <w:szCs w:val="18"/>
              </w:rPr>
            </w:pPr>
            <w:r>
              <w:rPr>
                <w:rFonts w:hint="eastAsia" w:ascii="宋体" w:hAnsi="宋体" w:cs="宋体"/>
                <w:bCs/>
                <w:sz w:val="18"/>
                <w:szCs w:val="18"/>
              </w:rPr>
              <w:t>鞍罩内温度、湿度</w:t>
            </w:r>
          </w:p>
        </w:tc>
        <w:tc>
          <w:tcPr>
            <w:tcW w:w="945" w:type="dxa"/>
            <w:tcBorders>
              <w:top w:val="single" w:color="auto" w:sz="4" w:space="0"/>
              <w:left w:val="single" w:color="auto" w:sz="4" w:space="0"/>
              <w:bottom w:val="single" w:color="auto" w:sz="4" w:space="0"/>
              <w:right w:val="single" w:color="auto" w:sz="4" w:space="0"/>
            </w:tcBorders>
            <w:vAlign w:val="center"/>
          </w:tcPr>
          <w:p w14:paraId="22DFB930">
            <w:pPr>
              <w:pStyle w:val="146"/>
              <w:rPr>
                <w:rFonts w:hint="eastAsia" w:ascii="宋体" w:hAnsi="宋体" w:cs="宋体"/>
                <w:sz w:val="18"/>
                <w:szCs w:val="18"/>
              </w:rPr>
            </w:pPr>
            <w:r>
              <w:rPr>
                <w:rFonts w:hint="eastAsia" w:ascii="宋体" w:hAnsi="宋体" w:cs="宋体"/>
                <w:bCs/>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157D33EE">
            <w:pPr>
              <w:pStyle w:val="146"/>
              <w:rPr>
                <w:rFonts w:hint="eastAsia" w:ascii="宋体" w:hAnsi="宋体" w:cs="宋体"/>
                <w:sz w:val="18"/>
                <w:szCs w:val="18"/>
              </w:rPr>
            </w:pPr>
            <w:r>
              <w:rPr>
                <w:rFonts w:hint="eastAsia" w:ascii="宋体" w:hAnsi="宋体" w:cs="宋体"/>
                <w:sz w:val="18"/>
                <w:szCs w:val="18"/>
              </w:rPr>
              <w:t>-</w:t>
            </w:r>
          </w:p>
        </w:tc>
      </w:tr>
      <w:tr w14:paraId="1782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continue"/>
            <w:tcBorders>
              <w:left w:val="single" w:color="auto" w:sz="4" w:space="0"/>
              <w:bottom w:val="single" w:color="auto" w:sz="4" w:space="0"/>
              <w:right w:val="single" w:color="auto" w:sz="4" w:space="0"/>
            </w:tcBorders>
            <w:vAlign w:val="center"/>
          </w:tcPr>
          <w:p w14:paraId="558463B9">
            <w:pPr>
              <w:widowControl/>
              <w:spacing w:beforeLines="0" w:afterLines="0" w:line="240" w:lineRule="auto"/>
              <w:jc w:val="left"/>
              <w:rPr>
                <w:rFonts w:hint="eastAsia" w:ascii="宋体" w:hAnsi="宋体" w:cs="宋体"/>
                <w:sz w:val="18"/>
                <w:szCs w:val="18"/>
              </w:rPr>
            </w:pPr>
          </w:p>
        </w:tc>
        <w:tc>
          <w:tcPr>
            <w:tcW w:w="593" w:type="dxa"/>
            <w:vMerge w:val="continue"/>
            <w:tcBorders>
              <w:top w:val="single" w:color="auto" w:sz="4" w:space="0"/>
              <w:left w:val="single" w:color="auto" w:sz="4" w:space="0"/>
              <w:bottom w:val="single" w:color="auto" w:sz="4" w:space="0"/>
              <w:right w:val="single" w:color="auto" w:sz="4" w:space="0"/>
            </w:tcBorders>
            <w:vAlign w:val="center"/>
          </w:tcPr>
          <w:p w14:paraId="243D7DF0">
            <w:pPr>
              <w:widowControl/>
              <w:spacing w:beforeLines="0" w:afterLines="0" w:line="240" w:lineRule="auto"/>
              <w:jc w:val="left"/>
              <w:rPr>
                <w:rFonts w:hint="eastAsia" w:ascii="宋体" w:hAnsi="宋体" w:cs="宋体"/>
                <w:sz w:val="18"/>
                <w:szCs w:val="18"/>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71479C6D">
            <w:pPr>
              <w:widowControl/>
              <w:spacing w:beforeLines="0" w:afterLines="0" w:line="240" w:lineRule="auto"/>
              <w:jc w:val="left"/>
              <w:rPr>
                <w:rFonts w:hint="eastAsia" w:ascii="宋体" w:hAnsi="宋体" w:cs="宋体"/>
                <w:sz w:val="18"/>
                <w:szCs w:val="18"/>
              </w:rPr>
            </w:pPr>
          </w:p>
        </w:tc>
        <w:tc>
          <w:tcPr>
            <w:tcW w:w="1995" w:type="dxa"/>
            <w:tcBorders>
              <w:top w:val="single" w:color="auto" w:sz="4" w:space="0"/>
              <w:left w:val="single" w:color="auto" w:sz="4" w:space="0"/>
              <w:bottom w:val="single" w:color="auto" w:sz="4" w:space="0"/>
              <w:right w:val="single" w:color="auto" w:sz="4" w:space="0"/>
            </w:tcBorders>
            <w:vAlign w:val="center"/>
          </w:tcPr>
          <w:p w14:paraId="1EADBB93">
            <w:pPr>
              <w:pStyle w:val="146"/>
              <w:rPr>
                <w:rFonts w:hint="eastAsia" w:ascii="宋体" w:hAnsi="宋体" w:cs="宋体"/>
                <w:sz w:val="18"/>
                <w:szCs w:val="18"/>
              </w:rPr>
            </w:pPr>
            <w:r>
              <w:rPr>
                <w:rFonts w:hint="eastAsia" w:ascii="宋体" w:hAnsi="宋体" w:cs="宋体"/>
                <w:sz w:val="18"/>
                <w:szCs w:val="18"/>
              </w:rPr>
              <w:t>索塔内温度、湿度</w:t>
            </w:r>
          </w:p>
        </w:tc>
        <w:tc>
          <w:tcPr>
            <w:tcW w:w="945" w:type="dxa"/>
            <w:tcBorders>
              <w:top w:val="single" w:color="auto" w:sz="4" w:space="0"/>
              <w:left w:val="single" w:color="auto" w:sz="4" w:space="0"/>
              <w:bottom w:val="single" w:color="auto" w:sz="4" w:space="0"/>
              <w:right w:val="single" w:color="auto" w:sz="4" w:space="0"/>
            </w:tcBorders>
            <w:vAlign w:val="center"/>
          </w:tcPr>
          <w:p w14:paraId="4480E8B6">
            <w:pPr>
              <w:pStyle w:val="146"/>
              <w:rPr>
                <w:rFonts w:hint="eastAsia" w:ascii="宋体" w:hAnsi="宋体" w:cs="宋体"/>
                <w:sz w:val="18"/>
                <w:szCs w:val="18"/>
              </w:rPr>
            </w:pPr>
            <w:r>
              <w:rPr>
                <w:rFonts w:hint="eastAsia" w:ascii="宋体" w:hAnsi="宋体" w:cs="宋体"/>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59D332EA">
            <w:pPr>
              <w:pStyle w:val="146"/>
              <w:rPr>
                <w:rFonts w:hint="eastAsia" w:ascii="宋体" w:hAnsi="宋体" w:cs="宋体"/>
                <w:sz w:val="18"/>
                <w:szCs w:val="18"/>
              </w:rPr>
            </w:pPr>
            <w:r>
              <w:rPr>
                <w:rFonts w:hint="eastAsia" w:ascii="宋体" w:hAnsi="宋体" w:cs="宋体"/>
                <w:sz w:val="18"/>
                <w:szCs w:val="18"/>
              </w:rPr>
              <w:t>-</w:t>
            </w:r>
          </w:p>
        </w:tc>
      </w:tr>
      <w:tr w14:paraId="2AFB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tcBorders>
              <w:top w:val="single" w:color="auto" w:sz="4" w:space="0"/>
              <w:left w:val="single" w:color="auto" w:sz="4" w:space="0"/>
              <w:bottom w:val="single" w:color="auto" w:sz="4" w:space="0"/>
              <w:right w:val="single" w:color="auto" w:sz="4" w:space="0"/>
            </w:tcBorders>
            <w:vAlign w:val="center"/>
          </w:tcPr>
          <w:p w14:paraId="165C5CA2">
            <w:pPr>
              <w:widowControl/>
              <w:spacing w:beforeLines="0" w:afterLines="0" w:line="240"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2</w:t>
            </w:r>
          </w:p>
        </w:tc>
        <w:tc>
          <w:tcPr>
            <w:tcW w:w="593" w:type="dxa"/>
            <w:vMerge w:val="continue"/>
            <w:tcBorders>
              <w:top w:val="single" w:color="auto" w:sz="4" w:space="0"/>
              <w:left w:val="single" w:color="auto" w:sz="4" w:space="0"/>
              <w:bottom w:val="single" w:color="auto" w:sz="4" w:space="0"/>
              <w:right w:val="single" w:color="auto" w:sz="4" w:space="0"/>
            </w:tcBorders>
            <w:vAlign w:val="center"/>
          </w:tcPr>
          <w:p w14:paraId="13936EF7">
            <w:pPr>
              <w:widowControl/>
              <w:spacing w:beforeLines="0" w:afterLines="0" w:line="240" w:lineRule="auto"/>
              <w:jc w:val="left"/>
              <w:rPr>
                <w:rFonts w:hint="eastAsia" w:ascii="宋体" w:hAnsi="宋体" w:cs="宋体"/>
                <w:sz w:val="18"/>
                <w:szCs w:val="18"/>
              </w:rPr>
            </w:pPr>
          </w:p>
        </w:tc>
        <w:tc>
          <w:tcPr>
            <w:tcW w:w="1515" w:type="dxa"/>
            <w:tcBorders>
              <w:top w:val="single" w:color="auto" w:sz="4" w:space="0"/>
              <w:left w:val="single" w:color="auto" w:sz="4" w:space="0"/>
              <w:bottom w:val="single" w:color="auto" w:sz="4" w:space="0"/>
              <w:right w:val="single" w:color="auto" w:sz="4" w:space="0"/>
            </w:tcBorders>
            <w:vAlign w:val="center"/>
          </w:tcPr>
          <w:p w14:paraId="2DC03FC2">
            <w:pPr>
              <w:pStyle w:val="146"/>
              <w:rPr>
                <w:rFonts w:hint="eastAsia" w:ascii="宋体" w:hAnsi="宋体" w:cs="宋体"/>
                <w:sz w:val="18"/>
                <w:szCs w:val="18"/>
              </w:rPr>
            </w:pPr>
            <w:r>
              <w:rPr>
                <w:rFonts w:hint="eastAsia" w:ascii="宋体" w:hAnsi="宋体" w:cs="宋体"/>
                <w:sz w:val="18"/>
                <w:szCs w:val="18"/>
              </w:rPr>
              <w:t>结冰</w:t>
            </w:r>
          </w:p>
        </w:tc>
        <w:tc>
          <w:tcPr>
            <w:tcW w:w="1995" w:type="dxa"/>
            <w:tcBorders>
              <w:top w:val="single" w:color="auto" w:sz="4" w:space="0"/>
              <w:left w:val="single" w:color="auto" w:sz="4" w:space="0"/>
              <w:bottom w:val="single" w:color="auto" w:sz="4" w:space="0"/>
              <w:right w:val="single" w:color="auto" w:sz="4" w:space="0"/>
            </w:tcBorders>
            <w:vAlign w:val="center"/>
          </w:tcPr>
          <w:p w14:paraId="7DF5F835">
            <w:pPr>
              <w:pStyle w:val="146"/>
              <w:rPr>
                <w:rFonts w:hint="eastAsia" w:ascii="宋体" w:hAnsi="宋体" w:cs="宋体"/>
                <w:sz w:val="18"/>
                <w:szCs w:val="18"/>
              </w:rPr>
            </w:pPr>
            <w:r>
              <w:rPr>
                <w:rFonts w:hint="eastAsia" w:ascii="宋体" w:hAnsi="宋体" w:cs="宋体"/>
                <w:sz w:val="18"/>
                <w:szCs w:val="18"/>
              </w:rPr>
              <w:t>桥面结冰、主缆结冰</w:t>
            </w:r>
          </w:p>
        </w:tc>
        <w:tc>
          <w:tcPr>
            <w:tcW w:w="945" w:type="dxa"/>
            <w:tcBorders>
              <w:top w:val="single" w:color="auto" w:sz="4" w:space="0"/>
              <w:left w:val="single" w:color="auto" w:sz="4" w:space="0"/>
              <w:bottom w:val="single" w:color="auto" w:sz="4" w:space="0"/>
              <w:right w:val="single" w:color="auto" w:sz="4" w:space="0"/>
            </w:tcBorders>
            <w:vAlign w:val="center"/>
          </w:tcPr>
          <w:p w14:paraId="7FC32CD7">
            <w:pPr>
              <w:pStyle w:val="146"/>
              <w:rPr>
                <w:rFonts w:hint="eastAsia" w:ascii="宋体" w:hAnsi="宋体" w:cs="宋体"/>
                <w:sz w:val="18"/>
                <w:szCs w:val="18"/>
              </w:rPr>
            </w:pPr>
            <w:r>
              <w:rPr>
                <w:rFonts w:hint="eastAsia" w:ascii="宋体" w:hAnsi="宋体" w:cs="宋体"/>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6FB1706A">
            <w:pPr>
              <w:pStyle w:val="146"/>
              <w:rPr>
                <w:rFonts w:hint="eastAsia" w:ascii="宋体" w:hAnsi="宋体" w:cs="宋体"/>
                <w:sz w:val="18"/>
                <w:szCs w:val="18"/>
              </w:rPr>
            </w:pPr>
            <w:r>
              <w:rPr>
                <w:rFonts w:hint="eastAsia" w:cs="宋体"/>
                <w:bCs/>
                <w:sz w:val="18"/>
                <w:szCs w:val="18"/>
              </w:rPr>
              <w:t>易结冰处</w:t>
            </w:r>
            <w:r>
              <w:rPr>
                <w:rFonts w:cs="宋体"/>
                <w:bCs/>
                <w:sz w:val="18"/>
                <w:szCs w:val="18"/>
              </w:rPr>
              <w:t>-</w:t>
            </w:r>
          </w:p>
        </w:tc>
      </w:tr>
      <w:tr w14:paraId="7D201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tcBorders>
              <w:top w:val="single" w:color="auto" w:sz="4" w:space="0"/>
              <w:left w:val="single" w:color="auto" w:sz="4" w:space="0"/>
              <w:bottom w:val="single" w:color="auto" w:sz="4" w:space="0"/>
              <w:right w:val="single" w:color="auto" w:sz="4" w:space="0"/>
            </w:tcBorders>
            <w:vAlign w:val="center"/>
          </w:tcPr>
          <w:p w14:paraId="33E1A577">
            <w:pPr>
              <w:widowControl/>
              <w:spacing w:beforeLines="0" w:afterLines="0" w:line="240"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3</w:t>
            </w:r>
          </w:p>
        </w:tc>
        <w:tc>
          <w:tcPr>
            <w:tcW w:w="593" w:type="dxa"/>
            <w:vMerge w:val="continue"/>
            <w:tcBorders>
              <w:top w:val="single" w:color="auto" w:sz="4" w:space="0"/>
              <w:left w:val="single" w:color="auto" w:sz="4" w:space="0"/>
              <w:bottom w:val="single" w:color="auto" w:sz="4" w:space="0"/>
              <w:right w:val="single" w:color="auto" w:sz="4" w:space="0"/>
            </w:tcBorders>
            <w:vAlign w:val="center"/>
          </w:tcPr>
          <w:p w14:paraId="238A316D">
            <w:pPr>
              <w:widowControl/>
              <w:spacing w:beforeLines="0" w:afterLines="0" w:line="240" w:lineRule="auto"/>
              <w:jc w:val="left"/>
              <w:rPr>
                <w:rFonts w:hint="eastAsia" w:ascii="宋体" w:hAnsi="宋体" w:cs="宋体"/>
                <w:sz w:val="18"/>
                <w:szCs w:val="18"/>
              </w:rPr>
            </w:pPr>
          </w:p>
        </w:tc>
        <w:tc>
          <w:tcPr>
            <w:tcW w:w="1515" w:type="dxa"/>
            <w:tcBorders>
              <w:top w:val="single" w:color="auto" w:sz="4" w:space="0"/>
              <w:left w:val="single" w:color="auto" w:sz="4" w:space="0"/>
              <w:bottom w:val="single" w:color="auto" w:sz="4" w:space="0"/>
              <w:right w:val="single" w:color="auto" w:sz="4" w:space="0"/>
            </w:tcBorders>
            <w:vAlign w:val="center"/>
          </w:tcPr>
          <w:p w14:paraId="163196C7">
            <w:pPr>
              <w:pStyle w:val="146"/>
              <w:rPr>
                <w:rFonts w:hint="eastAsia" w:ascii="宋体" w:hAnsi="宋体" w:cs="宋体"/>
                <w:sz w:val="18"/>
                <w:szCs w:val="18"/>
              </w:rPr>
            </w:pPr>
            <w:r>
              <w:rPr>
                <w:rFonts w:hint="eastAsia" w:ascii="宋体" w:hAnsi="宋体" w:cs="宋体"/>
                <w:sz w:val="18"/>
                <w:szCs w:val="18"/>
              </w:rPr>
              <w:t>雨量</w:t>
            </w:r>
          </w:p>
        </w:tc>
        <w:tc>
          <w:tcPr>
            <w:tcW w:w="1995" w:type="dxa"/>
            <w:tcBorders>
              <w:top w:val="single" w:color="auto" w:sz="4" w:space="0"/>
              <w:left w:val="single" w:color="auto" w:sz="4" w:space="0"/>
              <w:bottom w:val="single" w:color="auto" w:sz="4" w:space="0"/>
              <w:right w:val="single" w:color="auto" w:sz="4" w:space="0"/>
            </w:tcBorders>
            <w:vAlign w:val="center"/>
          </w:tcPr>
          <w:p w14:paraId="01D83E42">
            <w:pPr>
              <w:pStyle w:val="146"/>
              <w:rPr>
                <w:rFonts w:hint="eastAsia" w:ascii="宋体" w:hAnsi="宋体" w:cs="宋体"/>
                <w:sz w:val="18"/>
                <w:szCs w:val="18"/>
              </w:rPr>
            </w:pPr>
            <w:r>
              <w:rPr>
                <w:rFonts w:hint="eastAsia" w:ascii="宋体" w:hAnsi="宋体" w:cs="宋体"/>
                <w:sz w:val="18"/>
                <w:szCs w:val="18"/>
              </w:rPr>
              <w:t>雨量</w:t>
            </w:r>
          </w:p>
        </w:tc>
        <w:tc>
          <w:tcPr>
            <w:tcW w:w="945" w:type="dxa"/>
            <w:tcBorders>
              <w:top w:val="single" w:color="auto" w:sz="4" w:space="0"/>
              <w:left w:val="single" w:color="auto" w:sz="4" w:space="0"/>
              <w:bottom w:val="single" w:color="auto" w:sz="4" w:space="0"/>
              <w:right w:val="single" w:color="auto" w:sz="4" w:space="0"/>
            </w:tcBorders>
            <w:vAlign w:val="center"/>
          </w:tcPr>
          <w:p w14:paraId="25CFAF7A">
            <w:pPr>
              <w:pStyle w:val="146"/>
              <w:rPr>
                <w:rFonts w:hint="eastAsia" w:ascii="宋体" w:hAnsi="宋体" w:cs="宋体"/>
                <w:sz w:val="18"/>
                <w:szCs w:val="18"/>
              </w:rPr>
            </w:pPr>
            <w:r>
              <w:rPr>
                <w:rFonts w:hint="eastAsia" w:ascii="宋体" w:hAnsi="宋体" w:cs="宋体"/>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5FC47B5B">
            <w:pPr>
              <w:pStyle w:val="146"/>
              <w:rPr>
                <w:rFonts w:hint="eastAsia" w:ascii="宋体" w:hAnsi="宋体" w:cs="宋体"/>
                <w:color w:val="FF0000"/>
                <w:sz w:val="18"/>
                <w:szCs w:val="18"/>
              </w:rPr>
            </w:pPr>
            <w:r>
              <w:rPr>
                <w:rFonts w:hint="eastAsia" w:ascii="宋体" w:hAnsi="宋体" w:cs="宋体"/>
                <w:color w:val="FF0000"/>
                <w:sz w:val="18"/>
                <w:szCs w:val="18"/>
              </w:rPr>
              <w:t>-</w:t>
            </w:r>
          </w:p>
        </w:tc>
      </w:tr>
      <w:tr w14:paraId="12314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tcBorders>
              <w:top w:val="single" w:color="auto" w:sz="4" w:space="0"/>
              <w:left w:val="single" w:color="auto" w:sz="4" w:space="0"/>
              <w:bottom w:val="single" w:color="auto" w:sz="4" w:space="0"/>
              <w:right w:val="single" w:color="auto" w:sz="4" w:space="0"/>
            </w:tcBorders>
            <w:vAlign w:val="center"/>
          </w:tcPr>
          <w:p w14:paraId="32747A23">
            <w:pPr>
              <w:widowControl/>
              <w:spacing w:beforeLines="0" w:afterLines="0" w:line="240"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4</w:t>
            </w:r>
          </w:p>
        </w:tc>
        <w:tc>
          <w:tcPr>
            <w:tcW w:w="593" w:type="dxa"/>
            <w:vMerge w:val="continue"/>
            <w:tcBorders>
              <w:top w:val="single" w:color="auto" w:sz="4" w:space="0"/>
              <w:left w:val="single" w:color="auto" w:sz="4" w:space="0"/>
              <w:bottom w:val="single" w:color="auto" w:sz="4" w:space="0"/>
              <w:right w:val="single" w:color="auto" w:sz="4" w:space="0"/>
            </w:tcBorders>
            <w:vAlign w:val="center"/>
          </w:tcPr>
          <w:p w14:paraId="5EB7AA31">
            <w:pPr>
              <w:widowControl/>
              <w:spacing w:beforeLines="0" w:afterLines="0" w:line="240" w:lineRule="auto"/>
              <w:jc w:val="left"/>
              <w:rPr>
                <w:rFonts w:hint="eastAsia" w:ascii="宋体" w:hAnsi="宋体" w:cs="宋体"/>
                <w:sz w:val="18"/>
                <w:szCs w:val="18"/>
              </w:rPr>
            </w:pPr>
          </w:p>
        </w:tc>
        <w:tc>
          <w:tcPr>
            <w:tcW w:w="1515" w:type="dxa"/>
            <w:tcBorders>
              <w:top w:val="single" w:color="auto" w:sz="4" w:space="0"/>
              <w:left w:val="single" w:color="auto" w:sz="4" w:space="0"/>
              <w:bottom w:val="single" w:color="auto" w:sz="4" w:space="0"/>
              <w:right w:val="single" w:color="auto" w:sz="4" w:space="0"/>
            </w:tcBorders>
            <w:vAlign w:val="center"/>
          </w:tcPr>
          <w:p w14:paraId="7B600C68">
            <w:pPr>
              <w:pStyle w:val="146"/>
              <w:rPr>
                <w:rFonts w:hint="eastAsia" w:ascii="宋体" w:hAnsi="宋体" w:cs="宋体"/>
                <w:sz w:val="18"/>
                <w:szCs w:val="18"/>
              </w:rPr>
            </w:pPr>
            <w:r>
              <w:rPr>
                <w:rFonts w:hint="eastAsia" w:ascii="宋体" w:hAnsi="宋体" w:cs="宋体"/>
                <w:sz w:val="18"/>
                <w:szCs w:val="18"/>
              </w:rPr>
              <w:t>异常事件</w:t>
            </w:r>
          </w:p>
        </w:tc>
        <w:tc>
          <w:tcPr>
            <w:tcW w:w="1995" w:type="dxa"/>
            <w:tcBorders>
              <w:top w:val="single" w:color="auto" w:sz="4" w:space="0"/>
              <w:left w:val="single" w:color="auto" w:sz="4" w:space="0"/>
              <w:bottom w:val="single" w:color="auto" w:sz="4" w:space="0"/>
              <w:right w:val="single" w:color="auto" w:sz="4" w:space="0"/>
            </w:tcBorders>
            <w:vAlign w:val="center"/>
          </w:tcPr>
          <w:p w14:paraId="01A32E27">
            <w:pPr>
              <w:pStyle w:val="146"/>
              <w:rPr>
                <w:rFonts w:hint="eastAsia" w:ascii="宋体" w:hAnsi="宋体" w:eastAsia="宋体" w:cs="宋体"/>
                <w:bCs/>
                <w:sz w:val="18"/>
                <w:szCs w:val="18"/>
                <w:lang w:eastAsia="zh-CN"/>
              </w:rPr>
            </w:pPr>
            <w:r>
              <w:rPr>
                <w:rFonts w:hint="eastAsia" w:ascii="宋体" w:hAnsi="宋体" w:cs="宋体"/>
                <w:bCs/>
                <w:sz w:val="18"/>
                <w:szCs w:val="18"/>
                <w:lang w:eastAsia="zh-CN"/>
              </w:rPr>
              <w:t>视频监控</w:t>
            </w:r>
          </w:p>
        </w:tc>
        <w:tc>
          <w:tcPr>
            <w:tcW w:w="945" w:type="dxa"/>
            <w:tcBorders>
              <w:top w:val="single" w:color="auto" w:sz="4" w:space="0"/>
              <w:left w:val="single" w:color="auto" w:sz="4" w:space="0"/>
              <w:bottom w:val="single" w:color="auto" w:sz="4" w:space="0"/>
              <w:right w:val="single" w:color="auto" w:sz="4" w:space="0"/>
            </w:tcBorders>
            <w:vAlign w:val="center"/>
          </w:tcPr>
          <w:p w14:paraId="66CCFA31">
            <w:pPr>
              <w:pStyle w:val="146"/>
              <w:rPr>
                <w:rFonts w:hint="eastAsia" w:ascii="宋体" w:hAnsi="宋体" w:cs="宋体"/>
                <w:bCs/>
                <w:sz w:val="18"/>
                <w:szCs w:val="18"/>
              </w:rPr>
            </w:pPr>
            <w:r>
              <w:rPr>
                <w:rFonts w:hint="eastAsia" w:ascii="宋体" w:hAnsi="宋体" w:cs="宋体"/>
                <w:bCs/>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55D7B435">
            <w:pPr>
              <w:pStyle w:val="146"/>
              <w:rPr>
                <w:rFonts w:hint="eastAsia" w:ascii="宋体" w:hAnsi="宋体" w:cs="宋体"/>
                <w:sz w:val="18"/>
                <w:szCs w:val="18"/>
              </w:rPr>
            </w:pPr>
            <w:r>
              <w:rPr>
                <w:rFonts w:hint="eastAsia" w:ascii="宋体" w:hAnsi="宋体" w:cs="宋体"/>
                <w:bCs/>
                <w:sz w:val="18"/>
                <w:szCs w:val="18"/>
              </w:rPr>
              <w:t>根据设备性能达到无监测盲区效果</w:t>
            </w:r>
          </w:p>
        </w:tc>
      </w:tr>
      <w:tr w14:paraId="398D5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restart"/>
            <w:tcBorders>
              <w:top w:val="single" w:color="auto" w:sz="4" w:space="0"/>
              <w:left w:val="single" w:color="auto" w:sz="4" w:space="0"/>
              <w:right w:val="single" w:color="auto" w:sz="4" w:space="0"/>
            </w:tcBorders>
            <w:vAlign w:val="center"/>
          </w:tcPr>
          <w:p w14:paraId="63A5875C">
            <w:pPr>
              <w:pStyle w:val="146"/>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5</w:t>
            </w:r>
          </w:p>
        </w:tc>
        <w:tc>
          <w:tcPr>
            <w:tcW w:w="593" w:type="dxa"/>
            <w:vMerge w:val="restart"/>
            <w:tcBorders>
              <w:top w:val="single" w:color="auto" w:sz="4" w:space="0"/>
              <w:left w:val="single" w:color="auto" w:sz="4" w:space="0"/>
              <w:right w:val="single" w:color="auto" w:sz="4" w:space="0"/>
            </w:tcBorders>
            <w:vAlign w:val="center"/>
          </w:tcPr>
          <w:p w14:paraId="40216AA7">
            <w:pPr>
              <w:pStyle w:val="146"/>
              <w:rPr>
                <w:rFonts w:hint="eastAsia" w:ascii="宋体" w:hAnsi="宋体" w:cs="宋体"/>
                <w:sz w:val="18"/>
                <w:szCs w:val="18"/>
              </w:rPr>
            </w:pPr>
          </w:p>
          <w:p w14:paraId="35C74A47">
            <w:pPr>
              <w:pStyle w:val="146"/>
              <w:rPr>
                <w:rFonts w:hint="eastAsia" w:ascii="宋体" w:hAnsi="宋体" w:cs="宋体"/>
                <w:sz w:val="18"/>
                <w:szCs w:val="18"/>
              </w:rPr>
            </w:pPr>
          </w:p>
          <w:p w14:paraId="54ACFEC7">
            <w:pPr>
              <w:pStyle w:val="146"/>
              <w:rPr>
                <w:rFonts w:hint="eastAsia" w:ascii="宋体" w:hAnsi="宋体" w:cs="宋体"/>
                <w:sz w:val="18"/>
                <w:szCs w:val="18"/>
              </w:rPr>
            </w:pPr>
          </w:p>
          <w:p w14:paraId="6ACD0AEE">
            <w:pPr>
              <w:pStyle w:val="146"/>
              <w:rPr>
                <w:rFonts w:hint="eastAsia" w:ascii="宋体" w:hAnsi="宋体" w:cs="宋体"/>
                <w:sz w:val="18"/>
                <w:szCs w:val="18"/>
              </w:rPr>
            </w:pPr>
          </w:p>
          <w:p w14:paraId="42298E96">
            <w:pPr>
              <w:pStyle w:val="146"/>
              <w:rPr>
                <w:rFonts w:hint="eastAsia" w:ascii="宋体" w:hAnsi="宋体" w:cs="宋体"/>
                <w:sz w:val="18"/>
                <w:szCs w:val="18"/>
              </w:rPr>
            </w:pPr>
          </w:p>
          <w:p w14:paraId="5AB514D8">
            <w:pPr>
              <w:pStyle w:val="146"/>
              <w:rPr>
                <w:rFonts w:hint="eastAsia" w:ascii="宋体" w:hAnsi="宋体" w:cs="宋体"/>
                <w:sz w:val="18"/>
                <w:szCs w:val="18"/>
              </w:rPr>
            </w:pPr>
          </w:p>
          <w:p w14:paraId="78719E2F">
            <w:pPr>
              <w:pStyle w:val="146"/>
              <w:rPr>
                <w:rFonts w:hint="eastAsia" w:ascii="宋体" w:hAnsi="宋体" w:cs="宋体"/>
                <w:sz w:val="18"/>
                <w:szCs w:val="18"/>
              </w:rPr>
            </w:pPr>
          </w:p>
          <w:p w14:paraId="449011D0">
            <w:pPr>
              <w:pStyle w:val="146"/>
              <w:rPr>
                <w:rFonts w:hint="eastAsia" w:ascii="宋体" w:hAnsi="宋体" w:cs="宋体"/>
                <w:sz w:val="18"/>
                <w:szCs w:val="18"/>
              </w:rPr>
            </w:pPr>
          </w:p>
          <w:p w14:paraId="4FE04B65">
            <w:pPr>
              <w:pStyle w:val="146"/>
              <w:rPr>
                <w:rFonts w:hint="eastAsia" w:ascii="宋体" w:hAnsi="宋体" w:cs="宋体"/>
                <w:sz w:val="18"/>
                <w:szCs w:val="18"/>
              </w:rPr>
            </w:pPr>
            <w:r>
              <w:rPr>
                <w:rFonts w:hint="eastAsia" w:ascii="宋体" w:hAnsi="宋体" w:cs="宋体"/>
                <w:sz w:val="18"/>
                <w:szCs w:val="18"/>
              </w:rPr>
              <w:t>外部作用</w:t>
            </w:r>
          </w:p>
        </w:tc>
        <w:tc>
          <w:tcPr>
            <w:tcW w:w="1515" w:type="dxa"/>
            <w:vMerge w:val="restart"/>
            <w:tcBorders>
              <w:top w:val="single" w:color="auto" w:sz="4" w:space="0"/>
              <w:left w:val="single" w:color="auto" w:sz="4" w:space="0"/>
              <w:bottom w:val="single" w:color="auto" w:sz="4" w:space="0"/>
              <w:right w:val="single" w:color="auto" w:sz="4" w:space="0"/>
            </w:tcBorders>
            <w:vAlign w:val="center"/>
          </w:tcPr>
          <w:p w14:paraId="543E4065">
            <w:pPr>
              <w:pStyle w:val="146"/>
              <w:rPr>
                <w:rFonts w:hint="eastAsia" w:ascii="宋体" w:hAnsi="宋体" w:cs="宋体"/>
                <w:sz w:val="18"/>
                <w:szCs w:val="18"/>
              </w:rPr>
            </w:pPr>
            <w:r>
              <w:rPr>
                <w:rFonts w:hint="eastAsia" w:ascii="宋体" w:hAnsi="宋体" w:cs="宋体"/>
                <w:sz w:val="18"/>
                <w:szCs w:val="18"/>
              </w:rPr>
              <w:t>车辆荷载</w:t>
            </w:r>
          </w:p>
        </w:tc>
        <w:tc>
          <w:tcPr>
            <w:tcW w:w="1995" w:type="dxa"/>
            <w:tcBorders>
              <w:top w:val="single" w:color="auto" w:sz="4" w:space="0"/>
              <w:left w:val="single" w:color="auto" w:sz="4" w:space="0"/>
              <w:bottom w:val="single" w:color="auto" w:sz="4" w:space="0"/>
              <w:right w:val="single" w:color="auto" w:sz="4" w:space="0"/>
            </w:tcBorders>
            <w:vAlign w:val="center"/>
          </w:tcPr>
          <w:p w14:paraId="5434B723">
            <w:pPr>
              <w:pStyle w:val="146"/>
              <w:rPr>
                <w:rFonts w:hint="eastAsia" w:ascii="宋体" w:hAnsi="宋体" w:cs="宋体"/>
                <w:bCs/>
                <w:sz w:val="18"/>
                <w:szCs w:val="18"/>
              </w:rPr>
            </w:pPr>
            <w:r>
              <w:rPr>
                <w:rFonts w:hint="eastAsia" w:ascii="宋体" w:hAnsi="宋体" w:cs="宋体"/>
                <w:bCs/>
                <w:sz w:val="18"/>
                <w:szCs w:val="18"/>
              </w:rPr>
              <w:t>所有车道车重、轴重、轴数、车速</w:t>
            </w:r>
          </w:p>
        </w:tc>
        <w:tc>
          <w:tcPr>
            <w:tcW w:w="945" w:type="dxa"/>
            <w:tcBorders>
              <w:top w:val="single" w:color="auto" w:sz="4" w:space="0"/>
              <w:left w:val="single" w:color="auto" w:sz="4" w:space="0"/>
              <w:bottom w:val="single" w:color="auto" w:sz="4" w:space="0"/>
              <w:right w:val="single" w:color="auto" w:sz="4" w:space="0"/>
            </w:tcBorders>
            <w:vAlign w:val="center"/>
          </w:tcPr>
          <w:p w14:paraId="380243E7">
            <w:pPr>
              <w:pStyle w:val="146"/>
              <w:rPr>
                <w:rFonts w:hint="eastAsia" w:ascii="宋体" w:hAnsi="宋体" w:cs="宋体"/>
                <w:bCs/>
                <w:sz w:val="18"/>
                <w:szCs w:val="18"/>
              </w:rPr>
            </w:pPr>
            <w:r>
              <w:rPr>
                <w:rFonts w:hint="eastAsia" w:ascii="宋体" w:hAnsi="宋体" w:cs="宋体"/>
                <w:bCs/>
                <w:sz w:val="18"/>
                <w:szCs w:val="18"/>
              </w:rPr>
              <w:t>●</w:t>
            </w:r>
          </w:p>
        </w:tc>
        <w:tc>
          <w:tcPr>
            <w:tcW w:w="2835" w:type="dxa"/>
            <w:vMerge w:val="restart"/>
            <w:tcBorders>
              <w:top w:val="single" w:color="auto" w:sz="4" w:space="0"/>
              <w:left w:val="single" w:color="auto" w:sz="4" w:space="0"/>
              <w:bottom w:val="single" w:color="auto" w:sz="4" w:space="0"/>
              <w:right w:val="single" w:color="auto" w:sz="4" w:space="0"/>
            </w:tcBorders>
            <w:vAlign w:val="center"/>
          </w:tcPr>
          <w:p w14:paraId="4641FAEC">
            <w:pPr>
              <w:pStyle w:val="146"/>
              <w:rPr>
                <w:rFonts w:hint="eastAsia" w:ascii="宋体" w:hAnsi="宋体" w:cs="宋体"/>
                <w:sz w:val="18"/>
                <w:szCs w:val="18"/>
              </w:rPr>
            </w:pPr>
            <w:r>
              <w:rPr>
                <w:rFonts w:hint="eastAsia" w:cs="宋体"/>
                <w:bCs/>
                <w:sz w:val="18"/>
                <w:szCs w:val="18"/>
              </w:rPr>
              <w:t>重载车</w:t>
            </w:r>
            <w:r>
              <w:rPr>
                <w:rFonts w:hint="eastAsia" w:cs="宋体"/>
                <w:bCs/>
                <w:sz w:val="18"/>
                <w:szCs w:val="18"/>
                <w:lang w:eastAsia="zh-CN"/>
              </w:rPr>
              <w:t>道车</w:t>
            </w:r>
            <w:r>
              <w:rPr>
                <w:rFonts w:hint="eastAsia" w:cs="宋体"/>
                <w:bCs/>
                <w:sz w:val="18"/>
                <w:szCs w:val="18"/>
              </w:rPr>
              <w:t>流行进方向的前侧布设</w:t>
            </w:r>
          </w:p>
        </w:tc>
      </w:tr>
      <w:tr w14:paraId="72691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continue"/>
            <w:tcBorders>
              <w:left w:val="single" w:color="auto" w:sz="4" w:space="0"/>
              <w:right w:val="single" w:color="auto" w:sz="4" w:space="0"/>
            </w:tcBorders>
            <w:vAlign w:val="center"/>
          </w:tcPr>
          <w:p w14:paraId="56390D20">
            <w:pPr>
              <w:widowControl/>
              <w:spacing w:beforeLines="0" w:afterLines="0" w:line="240" w:lineRule="auto"/>
              <w:jc w:val="center"/>
              <w:rPr>
                <w:rFonts w:hint="eastAsia" w:ascii="宋体" w:hAnsi="宋体" w:cs="宋体"/>
                <w:sz w:val="18"/>
                <w:szCs w:val="18"/>
              </w:rPr>
            </w:pPr>
          </w:p>
        </w:tc>
        <w:tc>
          <w:tcPr>
            <w:tcW w:w="593" w:type="dxa"/>
            <w:vMerge w:val="continue"/>
            <w:tcBorders>
              <w:left w:val="single" w:color="auto" w:sz="4" w:space="0"/>
              <w:right w:val="single" w:color="auto" w:sz="4" w:space="0"/>
            </w:tcBorders>
            <w:vAlign w:val="center"/>
          </w:tcPr>
          <w:p w14:paraId="0A5C1A07">
            <w:pPr>
              <w:widowControl/>
              <w:spacing w:beforeLines="0" w:afterLines="0" w:line="240" w:lineRule="auto"/>
              <w:jc w:val="left"/>
              <w:rPr>
                <w:rFonts w:hint="eastAsia" w:ascii="宋体" w:hAnsi="宋体" w:cs="宋体"/>
                <w:sz w:val="18"/>
                <w:szCs w:val="18"/>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7C1EE98E">
            <w:pPr>
              <w:widowControl/>
              <w:spacing w:beforeLines="0" w:afterLines="0" w:line="240" w:lineRule="auto"/>
              <w:jc w:val="left"/>
              <w:rPr>
                <w:rFonts w:hint="eastAsia" w:ascii="宋体" w:hAnsi="宋体" w:cs="宋体"/>
                <w:sz w:val="18"/>
                <w:szCs w:val="18"/>
              </w:rPr>
            </w:pPr>
          </w:p>
        </w:tc>
        <w:tc>
          <w:tcPr>
            <w:tcW w:w="1995" w:type="dxa"/>
            <w:tcBorders>
              <w:top w:val="single" w:color="auto" w:sz="4" w:space="0"/>
              <w:left w:val="single" w:color="auto" w:sz="4" w:space="0"/>
              <w:bottom w:val="single" w:color="auto" w:sz="4" w:space="0"/>
              <w:right w:val="single" w:color="auto" w:sz="4" w:space="0"/>
            </w:tcBorders>
            <w:vAlign w:val="center"/>
          </w:tcPr>
          <w:p w14:paraId="545008B1">
            <w:pPr>
              <w:pStyle w:val="146"/>
              <w:rPr>
                <w:rFonts w:hint="eastAsia" w:ascii="宋体" w:hAnsi="宋体" w:cs="宋体"/>
                <w:bCs/>
                <w:sz w:val="18"/>
                <w:szCs w:val="18"/>
              </w:rPr>
            </w:pPr>
            <w:r>
              <w:rPr>
                <w:rFonts w:hint="eastAsia" w:ascii="宋体" w:hAnsi="宋体" w:cs="宋体"/>
                <w:bCs/>
                <w:sz w:val="18"/>
                <w:szCs w:val="18"/>
              </w:rPr>
              <w:t>所有车道车流量</w:t>
            </w:r>
          </w:p>
        </w:tc>
        <w:tc>
          <w:tcPr>
            <w:tcW w:w="945" w:type="dxa"/>
            <w:tcBorders>
              <w:top w:val="single" w:color="auto" w:sz="4" w:space="0"/>
              <w:left w:val="single" w:color="auto" w:sz="4" w:space="0"/>
              <w:bottom w:val="single" w:color="auto" w:sz="4" w:space="0"/>
              <w:right w:val="single" w:color="auto" w:sz="4" w:space="0"/>
            </w:tcBorders>
            <w:vAlign w:val="center"/>
          </w:tcPr>
          <w:p w14:paraId="0CC20DAD">
            <w:pPr>
              <w:pStyle w:val="146"/>
              <w:rPr>
                <w:rFonts w:hint="eastAsia" w:ascii="宋体" w:hAnsi="宋体" w:cs="宋体"/>
                <w:bCs/>
                <w:sz w:val="18"/>
                <w:szCs w:val="18"/>
              </w:rPr>
            </w:pPr>
            <w:r>
              <w:rPr>
                <w:rFonts w:hint="eastAsia" w:ascii="宋体" w:hAnsi="宋体" w:cs="宋体"/>
                <w:bCs/>
                <w:sz w:val="18"/>
                <w:szCs w:val="18"/>
              </w:rPr>
              <w:t>●</w:t>
            </w:r>
          </w:p>
        </w:tc>
        <w:tc>
          <w:tcPr>
            <w:tcW w:w="2835" w:type="dxa"/>
            <w:vMerge w:val="continue"/>
            <w:tcBorders>
              <w:top w:val="single" w:color="auto" w:sz="4" w:space="0"/>
              <w:left w:val="single" w:color="auto" w:sz="4" w:space="0"/>
              <w:bottom w:val="single" w:color="auto" w:sz="4" w:space="0"/>
              <w:right w:val="single" w:color="auto" w:sz="4" w:space="0"/>
            </w:tcBorders>
            <w:vAlign w:val="center"/>
          </w:tcPr>
          <w:p w14:paraId="6116F468">
            <w:pPr>
              <w:widowControl/>
              <w:spacing w:beforeLines="0" w:afterLines="0" w:line="240" w:lineRule="auto"/>
              <w:jc w:val="left"/>
              <w:rPr>
                <w:rFonts w:hint="eastAsia" w:ascii="宋体" w:hAnsi="宋体" w:cs="宋体"/>
                <w:sz w:val="18"/>
                <w:szCs w:val="18"/>
              </w:rPr>
            </w:pPr>
          </w:p>
        </w:tc>
      </w:tr>
      <w:tr w14:paraId="0445A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continue"/>
            <w:tcBorders>
              <w:left w:val="single" w:color="auto" w:sz="4" w:space="0"/>
              <w:bottom w:val="single" w:color="auto" w:sz="4" w:space="0"/>
              <w:right w:val="single" w:color="auto" w:sz="4" w:space="0"/>
            </w:tcBorders>
            <w:vAlign w:val="center"/>
          </w:tcPr>
          <w:p w14:paraId="0F554B48">
            <w:pPr>
              <w:widowControl/>
              <w:spacing w:beforeLines="0" w:afterLines="0" w:line="240" w:lineRule="auto"/>
              <w:jc w:val="center"/>
              <w:rPr>
                <w:rFonts w:hint="eastAsia" w:ascii="宋体" w:hAnsi="宋体" w:cs="宋体"/>
                <w:sz w:val="18"/>
                <w:szCs w:val="18"/>
              </w:rPr>
            </w:pPr>
          </w:p>
        </w:tc>
        <w:tc>
          <w:tcPr>
            <w:tcW w:w="593" w:type="dxa"/>
            <w:vMerge w:val="continue"/>
            <w:tcBorders>
              <w:left w:val="single" w:color="auto" w:sz="4" w:space="0"/>
              <w:right w:val="single" w:color="auto" w:sz="4" w:space="0"/>
            </w:tcBorders>
            <w:vAlign w:val="center"/>
          </w:tcPr>
          <w:p w14:paraId="7079D5F1">
            <w:pPr>
              <w:widowControl/>
              <w:spacing w:beforeLines="0" w:afterLines="0" w:line="240" w:lineRule="auto"/>
              <w:jc w:val="left"/>
              <w:rPr>
                <w:rFonts w:hint="eastAsia" w:ascii="宋体" w:hAnsi="宋体" w:cs="宋体"/>
                <w:sz w:val="18"/>
                <w:szCs w:val="18"/>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0D0E1520">
            <w:pPr>
              <w:widowControl/>
              <w:spacing w:beforeLines="0" w:afterLines="0" w:line="240" w:lineRule="auto"/>
              <w:jc w:val="left"/>
              <w:rPr>
                <w:rFonts w:hint="eastAsia" w:ascii="宋体" w:hAnsi="宋体" w:cs="宋体"/>
                <w:sz w:val="18"/>
                <w:szCs w:val="18"/>
              </w:rPr>
            </w:pPr>
          </w:p>
        </w:tc>
        <w:tc>
          <w:tcPr>
            <w:tcW w:w="1995" w:type="dxa"/>
            <w:tcBorders>
              <w:top w:val="single" w:color="auto" w:sz="4" w:space="0"/>
              <w:left w:val="single" w:color="auto" w:sz="4" w:space="0"/>
              <w:bottom w:val="single" w:color="auto" w:sz="4" w:space="0"/>
              <w:right w:val="single" w:color="auto" w:sz="4" w:space="0"/>
            </w:tcBorders>
            <w:vAlign w:val="center"/>
          </w:tcPr>
          <w:p w14:paraId="2332CA0B">
            <w:pPr>
              <w:pStyle w:val="146"/>
              <w:rPr>
                <w:rFonts w:hint="eastAsia" w:ascii="宋体" w:hAnsi="宋体" w:eastAsia="宋体" w:cs="宋体"/>
                <w:sz w:val="18"/>
                <w:szCs w:val="18"/>
                <w:lang w:eastAsia="zh-CN"/>
              </w:rPr>
            </w:pPr>
            <w:r>
              <w:rPr>
                <w:rFonts w:hint="eastAsia" w:ascii="宋体" w:hAnsi="宋体" w:cs="宋体"/>
                <w:sz w:val="18"/>
                <w:szCs w:val="18"/>
              </w:rPr>
              <w:t>所有车道的车辆空间分布</w:t>
            </w:r>
            <w:r>
              <w:rPr>
                <w:rFonts w:hint="eastAsia" w:ascii="宋体" w:hAnsi="宋体" w:cs="宋体"/>
                <w:sz w:val="18"/>
                <w:szCs w:val="18"/>
                <w:lang w:eastAsia="zh-CN"/>
              </w:rPr>
              <w:t>视频监控</w:t>
            </w:r>
          </w:p>
        </w:tc>
        <w:tc>
          <w:tcPr>
            <w:tcW w:w="945" w:type="dxa"/>
            <w:tcBorders>
              <w:top w:val="single" w:color="auto" w:sz="4" w:space="0"/>
              <w:left w:val="single" w:color="auto" w:sz="4" w:space="0"/>
              <w:bottom w:val="single" w:color="auto" w:sz="4" w:space="0"/>
              <w:right w:val="single" w:color="auto" w:sz="4" w:space="0"/>
            </w:tcBorders>
            <w:vAlign w:val="center"/>
          </w:tcPr>
          <w:p w14:paraId="59B66A88">
            <w:pPr>
              <w:pStyle w:val="146"/>
              <w:rPr>
                <w:rFonts w:hint="eastAsia" w:ascii="宋体" w:hAnsi="宋体" w:cs="宋体"/>
                <w:sz w:val="18"/>
                <w:szCs w:val="18"/>
              </w:rPr>
            </w:pPr>
            <w:r>
              <w:rPr>
                <w:rFonts w:hint="eastAsia" w:ascii="宋体" w:hAnsi="宋体" w:cs="宋体"/>
                <w:sz w:val="18"/>
                <w:szCs w:val="18"/>
              </w:rPr>
              <w:t>○</w:t>
            </w:r>
          </w:p>
        </w:tc>
        <w:tc>
          <w:tcPr>
            <w:tcW w:w="2835" w:type="dxa"/>
            <w:vMerge w:val="continue"/>
            <w:tcBorders>
              <w:top w:val="single" w:color="auto" w:sz="4" w:space="0"/>
              <w:left w:val="single" w:color="auto" w:sz="4" w:space="0"/>
              <w:bottom w:val="single" w:color="auto" w:sz="4" w:space="0"/>
              <w:right w:val="single" w:color="auto" w:sz="4" w:space="0"/>
            </w:tcBorders>
            <w:vAlign w:val="center"/>
          </w:tcPr>
          <w:p w14:paraId="687986C3">
            <w:pPr>
              <w:widowControl/>
              <w:spacing w:beforeLines="0" w:afterLines="0" w:line="240" w:lineRule="auto"/>
              <w:jc w:val="left"/>
              <w:rPr>
                <w:rFonts w:hint="eastAsia" w:ascii="宋体" w:hAnsi="宋体" w:cs="宋体"/>
                <w:sz w:val="18"/>
                <w:szCs w:val="18"/>
              </w:rPr>
            </w:pPr>
          </w:p>
        </w:tc>
      </w:tr>
      <w:tr w14:paraId="23998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tcBorders>
              <w:top w:val="single" w:color="auto" w:sz="4" w:space="0"/>
              <w:left w:val="single" w:color="auto" w:sz="4" w:space="0"/>
              <w:bottom w:val="single" w:color="auto" w:sz="4" w:space="0"/>
              <w:right w:val="single" w:color="auto" w:sz="4" w:space="0"/>
            </w:tcBorders>
            <w:vAlign w:val="center"/>
          </w:tcPr>
          <w:p w14:paraId="5856BE48">
            <w:pPr>
              <w:widowControl/>
              <w:spacing w:beforeLines="0" w:afterLines="0" w:line="240"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6</w:t>
            </w:r>
          </w:p>
        </w:tc>
        <w:tc>
          <w:tcPr>
            <w:tcW w:w="593" w:type="dxa"/>
            <w:vMerge w:val="continue"/>
            <w:tcBorders>
              <w:left w:val="single" w:color="auto" w:sz="4" w:space="0"/>
              <w:right w:val="single" w:color="auto" w:sz="4" w:space="0"/>
            </w:tcBorders>
            <w:vAlign w:val="center"/>
          </w:tcPr>
          <w:p w14:paraId="3A759ED4">
            <w:pPr>
              <w:widowControl/>
              <w:spacing w:beforeLines="0" w:afterLines="0" w:line="240" w:lineRule="auto"/>
              <w:jc w:val="left"/>
              <w:rPr>
                <w:rFonts w:hint="eastAsia" w:ascii="宋体" w:hAnsi="宋体" w:cs="宋体"/>
                <w:sz w:val="18"/>
                <w:szCs w:val="18"/>
              </w:rPr>
            </w:pPr>
          </w:p>
        </w:tc>
        <w:tc>
          <w:tcPr>
            <w:tcW w:w="1515" w:type="dxa"/>
            <w:tcBorders>
              <w:top w:val="single" w:color="auto" w:sz="4" w:space="0"/>
              <w:left w:val="single" w:color="auto" w:sz="4" w:space="0"/>
              <w:bottom w:val="single" w:color="auto" w:sz="4" w:space="0"/>
              <w:right w:val="single" w:color="auto" w:sz="4" w:space="0"/>
            </w:tcBorders>
            <w:vAlign w:val="center"/>
          </w:tcPr>
          <w:p w14:paraId="62D1F455">
            <w:pPr>
              <w:pStyle w:val="146"/>
              <w:rPr>
                <w:rFonts w:hint="eastAsia" w:ascii="宋体" w:hAnsi="宋体" w:cs="宋体"/>
                <w:sz w:val="18"/>
                <w:szCs w:val="18"/>
              </w:rPr>
            </w:pPr>
            <w:r>
              <w:rPr>
                <w:rFonts w:hint="eastAsia" w:ascii="宋体" w:hAnsi="宋体" w:cs="宋体"/>
                <w:sz w:val="18"/>
                <w:szCs w:val="18"/>
              </w:rPr>
              <w:t>水位</w:t>
            </w:r>
          </w:p>
        </w:tc>
        <w:tc>
          <w:tcPr>
            <w:tcW w:w="1995" w:type="dxa"/>
            <w:tcBorders>
              <w:top w:val="single" w:color="auto" w:sz="4" w:space="0"/>
              <w:left w:val="single" w:color="auto" w:sz="4" w:space="0"/>
              <w:bottom w:val="single" w:color="auto" w:sz="4" w:space="0"/>
              <w:right w:val="single" w:color="auto" w:sz="4" w:space="0"/>
            </w:tcBorders>
            <w:vAlign w:val="center"/>
          </w:tcPr>
          <w:p w14:paraId="005EA947">
            <w:pPr>
              <w:pStyle w:val="146"/>
              <w:rPr>
                <w:rFonts w:hint="eastAsia" w:ascii="宋体" w:hAnsi="宋体" w:cs="宋体"/>
                <w:bCs/>
                <w:sz w:val="18"/>
                <w:szCs w:val="18"/>
              </w:rPr>
            </w:pPr>
            <w:r>
              <w:rPr>
                <w:rFonts w:hint="eastAsia" w:ascii="宋体" w:hAnsi="宋体" w:cs="宋体"/>
                <w:sz w:val="18"/>
                <w:szCs w:val="18"/>
              </w:rPr>
              <w:t>水面至梁底的距离</w:t>
            </w:r>
          </w:p>
        </w:tc>
        <w:tc>
          <w:tcPr>
            <w:tcW w:w="945" w:type="dxa"/>
            <w:tcBorders>
              <w:top w:val="single" w:color="auto" w:sz="4" w:space="0"/>
              <w:left w:val="single" w:color="auto" w:sz="4" w:space="0"/>
              <w:bottom w:val="single" w:color="auto" w:sz="4" w:space="0"/>
              <w:right w:val="single" w:color="auto" w:sz="4" w:space="0"/>
            </w:tcBorders>
            <w:vAlign w:val="center"/>
          </w:tcPr>
          <w:p w14:paraId="4552A084">
            <w:pPr>
              <w:pStyle w:val="146"/>
              <w:rPr>
                <w:rFonts w:hint="eastAsia" w:ascii="宋体" w:hAnsi="宋体" w:cs="宋体"/>
                <w:bCs/>
                <w:sz w:val="18"/>
                <w:szCs w:val="18"/>
              </w:rPr>
            </w:pPr>
            <w:r>
              <w:rPr>
                <w:rFonts w:hint="eastAsia" w:ascii="宋体" w:hAnsi="宋体" w:cs="宋体"/>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199DF9BF">
            <w:pPr>
              <w:pStyle w:val="146"/>
              <w:rPr>
                <w:rFonts w:hint="eastAsia" w:ascii="宋体" w:hAnsi="宋体" w:cs="宋体"/>
                <w:sz w:val="18"/>
                <w:szCs w:val="18"/>
              </w:rPr>
            </w:pPr>
            <w:r>
              <w:rPr>
                <w:rFonts w:hint="eastAsia" w:ascii="宋体" w:hAnsi="宋体" w:cs="宋体"/>
                <w:sz w:val="18"/>
                <w:szCs w:val="18"/>
              </w:rPr>
              <w:t>-</w:t>
            </w:r>
          </w:p>
        </w:tc>
      </w:tr>
      <w:tr w14:paraId="57F18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tcBorders>
              <w:top w:val="single" w:color="auto" w:sz="4" w:space="0"/>
              <w:left w:val="single" w:color="auto" w:sz="4" w:space="0"/>
              <w:right w:val="single" w:color="auto" w:sz="4" w:space="0"/>
            </w:tcBorders>
            <w:vAlign w:val="center"/>
          </w:tcPr>
          <w:p w14:paraId="2DB85D04">
            <w:pPr>
              <w:widowControl/>
              <w:spacing w:beforeLines="0" w:afterLines="0" w:line="240"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7</w:t>
            </w:r>
          </w:p>
        </w:tc>
        <w:tc>
          <w:tcPr>
            <w:tcW w:w="593" w:type="dxa"/>
            <w:vMerge w:val="continue"/>
            <w:tcBorders>
              <w:left w:val="single" w:color="auto" w:sz="4" w:space="0"/>
              <w:right w:val="single" w:color="auto" w:sz="4" w:space="0"/>
            </w:tcBorders>
            <w:vAlign w:val="center"/>
          </w:tcPr>
          <w:p w14:paraId="274285B3">
            <w:pPr>
              <w:widowControl/>
              <w:spacing w:beforeLines="0" w:afterLines="0" w:line="240" w:lineRule="auto"/>
              <w:jc w:val="left"/>
              <w:rPr>
                <w:rFonts w:hint="eastAsia" w:ascii="宋体" w:hAnsi="宋体" w:cs="宋体"/>
                <w:sz w:val="18"/>
                <w:szCs w:val="18"/>
              </w:rPr>
            </w:pPr>
          </w:p>
        </w:tc>
        <w:tc>
          <w:tcPr>
            <w:tcW w:w="1515" w:type="dxa"/>
            <w:tcBorders>
              <w:top w:val="single" w:color="auto" w:sz="4" w:space="0"/>
              <w:left w:val="single" w:color="auto" w:sz="4" w:space="0"/>
              <w:bottom w:val="single" w:color="auto" w:sz="4" w:space="0"/>
              <w:right w:val="single" w:color="auto" w:sz="4" w:space="0"/>
            </w:tcBorders>
            <w:vAlign w:val="center"/>
          </w:tcPr>
          <w:p w14:paraId="2572B78C">
            <w:pPr>
              <w:pStyle w:val="146"/>
              <w:rPr>
                <w:rFonts w:hint="eastAsia" w:ascii="宋体" w:hAnsi="宋体" w:cs="宋体"/>
                <w:sz w:val="18"/>
                <w:szCs w:val="18"/>
              </w:rPr>
            </w:pPr>
            <w:r>
              <w:rPr>
                <w:rFonts w:hint="eastAsia" w:ascii="宋体" w:hAnsi="宋体" w:cs="宋体"/>
                <w:sz w:val="18"/>
                <w:szCs w:val="18"/>
              </w:rPr>
              <w:t>流速</w:t>
            </w:r>
          </w:p>
        </w:tc>
        <w:tc>
          <w:tcPr>
            <w:tcW w:w="1995" w:type="dxa"/>
            <w:tcBorders>
              <w:top w:val="single" w:color="auto" w:sz="4" w:space="0"/>
              <w:left w:val="single" w:color="auto" w:sz="4" w:space="0"/>
              <w:bottom w:val="single" w:color="auto" w:sz="4" w:space="0"/>
              <w:right w:val="single" w:color="auto" w:sz="4" w:space="0"/>
            </w:tcBorders>
            <w:vAlign w:val="center"/>
          </w:tcPr>
          <w:p w14:paraId="4DDA39DD">
            <w:pPr>
              <w:pStyle w:val="146"/>
              <w:rPr>
                <w:rFonts w:hint="eastAsia" w:ascii="宋体" w:hAnsi="宋体" w:cs="宋体"/>
                <w:bCs/>
                <w:sz w:val="18"/>
                <w:szCs w:val="18"/>
              </w:rPr>
            </w:pPr>
            <w:r>
              <w:rPr>
                <w:rFonts w:hint="eastAsia" w:ascii="宋体" w:hAnsi="宋体" w:cs="宋体"/>
                <w:sz w:val="18"/>
                <w:szCs w:val="18"/>
              </w:rPr>
              <w:t>水流流速</w:t>
            </w:r>
          </w:p>
        </w:tc>
        <w:tc>
          <w:tcPr>
            <w:tcW w:w="945" w:type="dxa"/>
            <w:tcBorders>
              <w:top w:val="single" w:color="auto" w:sz="4" w:space="0"/>
              <w:left w:val="single" w:color="auto" w:sz="4" w:space="0"/>
              <w:bottom w:val="single" w:color="auto" w:sz="4" w:space="0"/>
              <w:right w:val="single" w:color="auto" w:sz="4" w:space="0"/>
            </w:tcBorders>
            <w:vAlign w:val="center"/>
          </w:tcPr>
          <w:p w14:paraId="76505F1A">
            <w:pPr>
              <w:pStyle w:val="146"/>
              <w:rPr>
                <w:rFonts w:hint="eastAsia" w:ascii="宋体" w:hAnsi="宋体" w:cs="宋体"/>
                <w:bCs/>
                <w:sz w:val="18"/>
                <w:szCs w:val="18"/>
              </w:rPr>
            </w:pPr>
            <w:r>
              <w:rPr>
                <w:rFonts w:hint="eastAsia" w:ascii="宋体" w:hAnsi="宋体" w:cs="宋体"/>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393F8E27">
            <w:pPr>
              <w:pStyle w:val="146"/>
              <w:rPr>
                <w:rFonts w:hint="eastAsia" w:ascii="宋体" w:hAnsi="宋体" w:cs="宋体"/>
                <w:sz w:val="18"/>
                <w:szCs w:val="18"/>
              </w:rPr>
            </w:pPr>
            <w:r>
              <w:rPr>
                <w:rFonts w:hint="eastAsia" w:ascii="宋体" w:hAnsi="宋体" w:cs="宋体"/>
                <w:sz w:val="18"/>
                <w:szCs w:val="18"/>
              </w:rPr>
              <w:t>-</w:t>
            </w:r>
          </w:p>
        </w:tc>
      </w:tr>
      <w:tr w14:paraId="019E4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restart"/>
            <w:tcBorders>
              <w:left w:val="single" w:color="auto" w:sz="4" w:space="0"/>
              <w:right w:val="single" w:color="auto" w:sz="4" w:space="0"/>
            </w:tcBorders>
            <w:vAlign w:val="center"/>
          </w:tcPr>
          <w:p w14:paraId="192A60EF">
            <w:pPr>
              <w:widowControl/>
              <w:spacing w:beforeLines="0" w:afterLines="0" w:line="240"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8</w:t>
            </w:r>
          </w:p>
        </w:tc>
        <w:tc>
          <w:tcPr>
            <w:tcW w:w="593" w:type="dxa"/>
            <w:vMerge w:val="continue"/>
            <w:tcBorders>
              <w:left w:val="single" w:color="auto" w:sz="4" w:space="0"/>
              <w:right w:val="single" w:color="auto" w:sz="4" w:space="0"/>
            </w:tcBorders>
            <w:vAlign w:val="center"/>
          </w:tcPr>
          <w:p w14:paraId="5741FCF4">
            <w:pPr>
              <w:widowControl/>
              <w:spacing w:beforeLines="0" w:afterLines="0" w:line="240" w:lineRule="auto"/>
              <w:jc w:val="left"/>
              <w:rPr>
                <w:rFonts w:hint="eastAsia" w:ascii="宋体" w:hAnsi="宋体" w:cs="宋体"/>
                <w:sz w:val="18"/>
                <w:szCs w:val="18"/>
              </w:rPr>
            </w:pPr>
          </w:p>
        </w:tc>
        <w:tc>
          <w:tcPr>
            <w:tcW w:w="1515" w:type="dxa"/>
            <w:vMerge w:val="restart"/>
            <w:tcBorders>
              <w:top w:val="single" w:color="auto" w:sz="4" w:space="0"/>
              <w:left w:val="single" w:color="auto" w:sz="4" w:space="0"/>
              <w:bottom w:val="single" w:color="auto" w:sz="4" w:space="0"/>
              <w:right w:val="single" w:color="auto" w:sz="4" w:space="0"/>
            </w:tcBorders>
            <w:vAlign w:val="center"/>
          </w:tcPr>
          <w:p w14:paraId="5794F7CF">
            <w:pPr>
              <w:pStyle w:val="146"/>
              <w:rPr>
                <w:rFonts w:hint="eastAsia" w:ascii="宋体" w:hAnsi="宋体" w:cs="宋体"/>
                <w:sz w:val="18"/>
                <w:szCs w:val="18"/>
              </w:rPr>
            </w:pPr>
            <w:r>
              <w:rPr>
                <w:rFonts w:hint="eastAsia" w:ascii="宋体" w:hAnsi="宋体" w:cs="宋体"/>
                <w:sz w:val="18"/>
                <w:szCs w:val="18"/>
              </w:rPr>
              <w:t>风速、风向</w:t>
            </w:r>
          </w:p>
        </w:tc>
        <w:tc>
          <w:tcPr>
            <w:tcW w:w="1995" w:type="dxa"/>
            <w:tcBorders>
              <w:top w:val="single" w:color="auto" w:sz="4" w:space="0"/>
              <w:left w:val="single" w:color="auto" w:sz="4" w:space="0"/>
              <w:bottom w:val="single" w:color="auto" w:sz="4" w:space="0"/>
              <w:right w:val="single" w:color="auto" w:sz="4" w:space="0"/>
            </w:tcBorders>
            <w:vAlign w:val="center"/>
          </w:tcPr>
          <w:p w14:paraId="56CB55D7">
            <w:pPr>
              <w:pStyle w:val="146"/>
              <w:rPr>
                <w:rFonts w:hint="eastAsia" w:ascii="宋体" w:hAnsi="宋体" w:cs="宋体"/>
                <w:bCs/>
                <w:sz w:val="18"/>
                <w:szCs w:val="18"/>
              </w:rPr>
            </w:pPr>
            <w:r>
              <w:rPr>
                <w:rFonts w:hint="eastAsia" w:ascii="宋体" w:hAnsi="宋体" w:cs="宋体"/>
                <w:bCs/>
                <w:sz w:val="18"/>
                <w:szCs w:val="18"/>
              </w:rPr>
              <w:t>桥面风速、风向</w:t>
            </w:r>
          </w:p>
        </w:tc>
        <w:tc>
          <w:tcPr>
            <w:tcW w:w="945" w:type="dxa"/>
            <w:tcBorders>
              <w:top w:val="single" w:color="auto" w:sz="4" w:space="0"/>
              <w:left w:val="single" w:color="auto" w:sz="4" w:space="0"/>
              <w:bottom w:val="single" w:color="auto" w:sz="4" w:space="0"/>
              <w:right w:val="single" w:color="auto" w:sz="4" w:space="0"/>
            </w:tcBorders>
            <w:vAlign w:val="center"/>
          </w:tcPr>
          <w:p w14:paraId="1CF77001">
            <w:pPr>
              <w:pStyle w:val="146"/>
              <w:rPr>
                <w:rFonts w:hint="eastAsia" w:ascii="宋体" w:hAnsi="宋体" w:cs="宋体"/>
                <w:bCs/>
                <w:sz w:val="18"/>
                <w:szCs w:val="18"/>
              </w:rPr>
            </w:pPr>
            <w:r>
              <w:rPr>
                <w:rFonts w:hint="eastAsia" w:ascii="宋体" w:hAnsi="宋体" w:cs="宋体"/>
                <w:bCs/>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068D5805">
            <w:pPr>
              <w:pStyle w:val="146"/>
              <w:rPr>
                <w:rFonts w:hint="eastAsia" w:ascii="Times New Roman" w:hAnsi="Times New Roman" w:cs="宋体"/>
                <w:bCs/>
                <w:sz w:val="18"/>
                <w:szCs w:val="18"/>
              </w:rPr>
            </w:pPr>
            <w:r>
              <w:rPr>
                <w:rFonts w:cs="宋体"/>
                <w:bCs/>
                <w:sz w:val="18"/>
                <w:szCs w:val="18"/>
              </w:rPr>
              <w:t>主要风向侧的桥面跨中处</w:t>
            </w:r>
            <w:r>
              <w:rPr>
                <w:rFonts w:hint="eastAsia" w:cs="宋体"/>
                <w:bCs/>
                <w:sz w:val="18"/>
                <w:szCs w:val="18"/>
              </w:rPr>
              <w:t>，</w:t>
            </w:r>
            <w:r>
              <w:rPr>
                <w:rFonts w:cs="宋体"/>
                <w:bCs/>
                <w:sz w:val="18"/>
                <w:szCs w:val="18"/>
              </w:rPr>
              <w:t>布设高度至少高于桥面2 m</w:t>
            </w:r>
          </w:p>
        </w:tc>
      </w:tr>
      <w:tr w14:paraId="2A653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continue"/>
            <w:tcBorders>
              <w:left w:val="single" w:color="auto" w:sz="4" w:space="0"/>
              <w:right w:val="single" w:color="auto" w:sz="4" w:space="0"/>
            </w:tcBorders>
            <w:vAlign w:val="center"/>
          </w:tcPr>
          <w:p w14:paraId="14DAE4C8">
            <w:pPr>
              <w:widowControl/>
              <w:spacing w:beforeLines="0" w:afterLines="0" w:line="240" w:lineRule="auto"/>
              <w:jc w:val="center"/>
              <w:rPr>
                <w:rFonts w:hint="eastAsia" w:ascii="宋体" w:hAnsi="宋体" w:cs="宋体"/>
                <w:sz w:val="18"/>
                <w:szCs w:val="18"/>
              </w:rPr>
            </w:pPr>
          </w:p>
        </w:tc>
        <w:tc>
          <w:tcPr>
            <w:tcW w:w="593" w:type="dxa"/>
            <w:vMerge w:val="continue"/>
            <w:tcBorders>
              <w:left w:val="single" w:color="auto" w:sz="4" w:space="0"/>
              <w:right w:val="single" w:color="auto" w:sz="4" w:space="0"/>
            </w:tcBorders>
            <w:vAlign w:val="center"/>
          </w:tcPr>
          <w:p w14:paraId="42CAF04D">
            <w:pPr>
              <w:widowControl/>
              <w:spacing w:beforeLines="0" w:afterLines="0" w:line="240" w:lineRule="auto"/>
              <w:jc w:val="left"/>
              <w:rPr>
                <w:rFonts w:hint="eastAsia" w:ascii="宋体" w:hAnsi="宋体" w:cs="宋体"/>
                <w:sz w:val="18"/>
                <w:szCs w:val="18"/>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3ECB855E">
            <w:pPr>
              <w:widowControl/>
              <w:spacing w:beforeLines="0" w:afterLines="0" w:line="240" w:lineRule="auto"/>
              <w:jc w:val="left"/>
              <w:rPr>
                <w:rFonts w:hint="eastAsia" w:ascii="宋体" w:hAnsi="宋体" w:cs="宋体"/>
                <w:sz w:val="18"/>
                <w:szCs w:val="18"/>
              </w:rPr>
            </w:pPr>
          </w:p>
        </w:tc>
        <w:tc>
          <w:tcPr>
            <w:tcW w:w="1995" w:type="dxa"/>
            <w:tcBorders>
              <w:top w:val="single" w:color="auto" w:sz="4" w:space="0"/>
              <w:left w:val="single" w:color="auto" w:sz="4" w:space="0"/>
              <w:bottom w:val="single" w:color="auto" w:sz="4" w:space="0"/>
              <w:right w:val="single" w:color="auto" w:sz="4" w:space="0"/>
            </w:tcBorders>
            <w:vAlign w:val="center"/>
          </w:tcPr>
          <w:p w14:paraId="09DE3A68">
            <w:pPr>
              <w:pStyle w:val="146"/>
              <w:rPr>
                <w:rFonts w:hint="eastAsia" w:ascii="宋体" w:hAnsi="宋体" w:cs="宋体"/>
                <w:sz w:val="18"/>
                <w:szCs w:val="18"/>
              </w:rPr>
            </w:pPr>
            <w:r>
              <w:rPr>
                <w:rFonts w:hint="eastAsia" w:ascii="宋体" w:hAnsi="宋体" w:cs="宋体"/>
                <w:bCs/>
                <w:sz w:val="18"/>
                <w:szCs w:val="18"/>
              </w:rPr>
              <w:t>塔顶风速、风向</w:t>
            </w:r>
          </w:p>
        </w:tc>
        <w:tc>
          <w:tcPr>
            <w:tcW w:w="945" w:type="dxa"/>
            <w:tcBorders>
              <w:top w:val="single" w:color="auto" w:sz="4" w:space="0"/>
              <w:left w:val="single" w:color="auto" w:sz="4" w:space="0"/>
              <w:bottom w:val="single" w:color="auto" w:sz="4" w:space="0"/>
              <w:right w:val="single" w:color="auto" w:sz="4" w:space="0"/>
            </w:tcBorders>
            <w:vAlign w:val="center"/>
          </w:tcPr>
          <w:p w14:paraId="55C57C0E">
            <w:pPr>
              <w:pStyle w:val="146"/>
              <w:rPr>
                <w:rFonts w:hint="eastAsia" w:ascii="宋体" w:hAnsi="宋体" w:cs="宋体"/>
                <w:sz w:val="18"/>
                <w:szCs w:val="18"/>
              </w:rPr>
            </w:pPr>
            <w:r>
              <w:rPr>
                <w:rFonts w:hint="eastAsia" w:ascii="宋体" w:hAnsi="宋体" w:cs="宋体"/>
                <w:bCs/>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5BB5E7D3">
            <w:pPr>
              <w:pStyle w:val="146"/>
              <w:rPr>
                <w:rFonts w:hint="eastAsia" w:ascii="Times New Roman" w:hAnsi="Times New Roman" w:cs="宋体"/>
                <w:bCs/>
                <w:sz w:val="18"/>
                <w:szCs w:val="18"/>
              </w:rPr>
            </w:pPr>
            <w:r>
              <w:rPr>
                <w:rFonts w:hint="eastAsia" w:ascii="Times New Roman" w:hAnsi="Times New Roman" w:cs="宋体"/>
                <w:bCs/>
                <w:sz w:val="18"/>
                <w:szCs w:val="18"/>
              </w:rPr>
              <w:t>索塔塔顶</w:t>
            </w:r>
          </w:p>
        </w:tc>
      </w:tr>
      <w:tr w14:paraId="68340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tcBorders>
              <w:left w:val="single" w:color="auto" w:sz="4" w:space="0"/>
              <w:bottom w:val="single" w:color="auto" w:sz="4" w:space="0"/>
              <w:right w:val="single" w:color="auto" w:sz="4" w:space="0"/>
            </w:tcBorders>
            <w:vAlign w:val="center"/>
          </w:tcPr>
          <w:p w14:paraId="65065FEA">
            <w:pPr>
              <w:widowControl/>
              <w:spacing w:beforeLines="0" w:afterLines="0" w:line="240"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9</w:t>
            </w:r>
          </w:p>
        </w:tc>
        <w:tc>
          <w:tcPr>
            <w:tcW w:w="593" w:type="dxa"/>
            <w:vMerge w:val="continue"/>
            <w:tcBorders>
              <w:left w:val="single" w:color="auto" w:sz="4" w:space="0"/>
              <w:right w:val="single" w:color="auto" w:sz="4" w:space="0"/>
            </w:tcBorders>
            <w:vAlign w:val="center"/>
          </w:tcPr>
          <w:p w14:paraId="0FB5C339">
            <w:pPr>
              <w:widowControl/>
              <w:spacing w:beforeLines="0" w:afterLines="0" w:line="240" w:lineRule="auto"/>
              <w:jc w:val="left"/>
              <w:rPr>
                <w:rFonts w:hint="eastAsia" w:ascii="宋体" w:hAnsi="宋体" w:cs="宋体"/>
                <w:sz w:val="18"/>
                <w:szCs w:val="18"/>
              </w:rPr>
            </w:pPr>
          </w:p>
        </w:tc>
        <w:tc>
          <w:tcPr>
            <w:tcW w:w="1515" w:type="dxa"/>
            <w:tcBorders>
              <w:top w:val="single" w:color="auto" w:sz="4" w:space="0"/>
              <w:left w:val="single" w:color="auto" w:sz="4" w:space="0"/>
              <w:bottom w:val="single" w:color="auto" w:sz="4" w:space="0"/>
              <w:right w:val="single" w:color="auto" w:sz="4" w:space="0"/>
            </w:tcBorders>
            <w:vAlign w:val="center"/>
          </w:tcPr>
          <w:p w14:paraId="39A09101">
            <w:pPr>
              <w:pStyle w:val="146"/>
              <w:rPr>
                <w:rFonts w:hint="eastAsia" w:ascii="宋体" w:hAnsi="宋体" w:cs="宋体"/>
                <w:sz w:val="18"/>
                <w:szCs w:val="18"/>
              </w:rPr>
            </w:pPr>
            <w:r>
              <w:rPr>
                <w:rFonts w:hint="eastAsia" w:ascii="宋体" w:hAnsi="宋体" w:cs="宋体"/>
                <w:sz w:val="18"/>
                <w:szCs w:val="18"/>
              </w:rPr>
              <w:t>风压</w:t>
            </w:r>
          </w:p>
        </w:tc>
        <w:tc>
          <w:tcPr>
            <w:tcW w:w="1995" w:type="dxa"/>
            <w:tcBorders>
              <w:top w:val="single" w:color="auto" w:sz="4" w:space="0"/>
              <w:left w:val="single" w:color="auto" w:sz="4" w:space="0"/>
              <w:bottom w:val="single" w:color="auto" w:sz="4" w:space="0"/>
              <w:right w:val="single" w:color="auto" w:sz="4" w:space="0"/>
            </w:tcBorders>
            <w:vAlign w:val="center"/>
          </w:tcPr>
          <w:p w14:paraId="36C9AC76">
            <w:pPr>
              <w:pStyle w:val="146"/>
              <w:rPr>
                <w:rFonts w:hint="eastAsia" w:ascii="宋体" w:hAnsi="宋体" w:cs="宋体"/>
                <w:sz w:val="18"/>
                <w:szCs w:val="18"/>
              </w:rPr>
            </w:pPr>
            <w:r>
              <w:rPr>
                <w:rFonts w:hint="eastAsia" w:ascii="宋体" w:hAnsi="宋体" w:cs="宋体"/>
                <w:sz w:val="18"/>
                <w:szCs w:val="18"/>
              </w:rPr>
              <w:t>主梁风压</w:t>
            </w:r>
          </w:p>
        </w:tc>
        <w:tc>
          <w:tcPr>
            <w:tcW w:w="945" w:type="dxa"/>
            <w:tcBorders>
              <w:top w:val="single" w:color="auto" w:sz="4" w:space="0"/>
              <w:left w:val="single" w:color="auto" w:sz="4" w:space="0"/>
              <w:bottom w:val="single" w:color="auto" w:sz="4" w:space="0"/>
              <w:right w:val="single" w:color="auto" w:sz="4" w:space="0"/>
            </w:tcBorders>
            <w:vAlign w:val="center"/>
          </w:tcPr>
          <w:p w14:paraId="1AAFEAFB">
            <w:pPr>
              <w:pStyle w:val="146"/>
              <w:rPr>
                <w:rFonts w:hint="eastAsia" w:ascii="宋体" w:hAnsi="宋体" w:cs="宋体"/>
                <w:sz w:val="18"/>
                <w:szCs w:val="18"/>
              </w:rPr>
            </w:pPr>
            <w:r>
              <w:rPr>
                <w:rFonts w:hint="eastAsia" w:ascii="宋体" w:hAnsi="宋体" w:cs="宋体"/>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01B99C73">
            <w:pPr>
              <w:pStyle w:val="146"/>
              <w:rPr>
                <w:rFonts w:hint="eastAsia" w:ascii="Times New Roman" w:hAnsi="Times New Roman" w:cs="宋体"/>
                <w:bCs/>
                <w:sz w:val="18"/>
                <w:szCs w:val="18"/>
              </w:rPr>
            </w:pPr>
            <w:r>
              <w:rPr>
                <w:rFonts w:hint="eastAsia" w:ascii="Times New Roman" w:hAnsi="Times New Roman" w:cs="宋体"/>
                <w:bCs/>
                <w:sz w:val="18"/>
                <w:szCs w:val="18"/>
              </w:rPr>
              <w:t>主跨跨中</w:t>
            </w:r>
          </w:p>
        </w:tc>
      </w:tr>
      <w:tr w14:paraId="37936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restart"/>
            <w:tcBorders>
              <w:top w:val="single" w:color="auto" w:sz="4" w:space="0"/>
              <w:left w:val="single" w:color="auto" w:sz="4" w:space="0"/>
              <w:right w:val="single" w:color="auto" w:sz="4" w:space="0"/>
            </w:tcBorders>
            <w:vAlign w:val="center"/>
          </w:tcPr>
          <w:p w14:paraId="1A2CA3DE">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10</w:t>
            </w:r>
          </w:p>
        </w:tc>
        <w:tc>
          <w:tcPr>
            <w:tcW w:w="593" w:type="dxa"/>
            <w:vMerge w:val="continue"/>
            <w:tcBorders>
              <w:left w:val="single" w:color="auto" w:sz="4" w:space="0"/>
              <w:right w:val="single" w:color="auto" w:sz="4" w:space="0"/>
            </w:tcBorders>
            <w:vAlign w:val="center"/>
          </w:tcPr>
          <w:p w14:paraId="69AB15D9">
            <w:pPr>
              <w:widowControl/>
              <w:spacing w:beforeLines="0" w:afterLines="0" w:line="240" w:lineRule="auto"/>
              <w:jc w:val="left"/>
              <w:rPr>
                <w:rFonts w:hint="eastAsia" w:ascii="宋体" w:hAnsi="宋体" w:cs="宋体"/>
                <w:sz w:val="18"/>
                <w:szCs w:val="18"/>
              </w:rPr>
            </w:pPr>
          </w:p>
        </w:tc>
        <w:tc>
          <w:tcPr>
            <w:tcW w:w="1515" w:type="dxa"/>
            <w:vMerge w:val="restart"/>
            <w:tcBorders>
              <w:top w:val="single" w:color="auto" w:sz="4" w:space="0"/>
              <w:left w:val="single" w:color="auto" w:sz="4" w:space="0"/>
              <w:bottom w:val="single" w:color="auto" w:sz="4" w:space="0"/>
              <w:right w:val="single" w:color="auto" w:sz="4" w:space="0"/>
            </w:tcBorders>
            <w:vAlign w:val="center"/>
          </w:tcPr>
          <w:p w14:paraId="04AB4466">
            <w:pPr>
              <w:pStyle w:val="146"/>
              <w:rPr>
                <w:rFonts w:hint="eastAsia" w:ascii="宋体" w:hAnsi="宋体" w:cs="宋体"/>
                <w:sz w:val="18"/>
                <w:szCs w:val="18"/>
              </w:rPr>
            </w:pPr>
            <w:r>
              <w:rPr>
                <w:rFonts w:hint="eastAsia" w:ascii="宋体" w:hAnsi="宋体" w:cs="宋体"/>
                <w:sz w:val="18"/>
                <w:szCs w:val="18"/>
              </w:rPr>
              <w:t>结构温度</w:t>
            </w:r>
          </w:p>
        </w:tc>
        <w:tc>
          <w:tcPr>
            <w:tcW w:w="1995" w:type="dxa"/>
            <w:tcBorders>
              <w:top w:val="single" w:color="auto" w:sz="4" w:space="0"/>
              <w:left w:val="single" w:color="auto" w:sz="4" w:space="0"/>
              <w:bottom w:val="single" w:color="auto" w:sz="4" w:space="0"/>
              <w:right w:val="single" w:color="auto" w:sz="4" w:space="0"/>
            </w:tcBorders>
            <w:vAlign w:val="center"/>
          </w:tcPr>
          <w:p w14:paraId="15E3DCC9">
            <w:pPr>
              <w:pStyle w:val="146"/>
              <w:rPr>
                <w:rFonts w:hint="eastAsia" w:ascii="宋体" w:hAnsi="宋体" w:cs="宋体"/>
                <w:bCs/>
                <w:sz w:val="18"/>
                <w:szCs w:val="18"/>
              </w:rPr>
            </w:pPr>
            <w:r>
              <w:rPr>
                <w:rFonts w:hint="eastAsia" w:ascii="宋体" w:hAnsi="宋体" w:cs="宋体"/>
                <w:bCs/>
                <w:sz w:val="18"/>
                <w:szCs w:val="18"/>
              </w:rPr>
              <w:t>混凝土或钢结构构件温度</w:t>
            </w:r>
          </w:p>
        </w:tc>
        <w:tc>
          <w:tcPr>
            <w:tcW w:w="945" w:type="dxa"/>
            <w:tcBorders>
              <w:top w:val="single" w:color="auto" w:sz="4" w:space="0"/>
              <w:left w:val="single" w:color="auto" w:sz="4" w:space="0"/>
              <w:bottom w:val="single" w:color="auto" w:sz="4" w:space="0"/>
              <w:right w:val="single" w:color="auto" w:sz="4" w:space="0"/>
            </w:tcBorders>
            <w:vAlign w:val="center"/>
          </w:tcPr>
          <w:p w14:paraId="4162DB9E">
            <w:pPr>
              <w:pStyle w:val="146"/>
              <w:rPr>
                <w:rFonts w:hint="eastAsia" w:ascii="宋体" w:hAnsi="宋体" w:cs="宋体"/>
                <w:bCs/>
                <w:sz w:val="18"/>
                <w:szCs w:val="18"/>
              </w:rPr>
            </w:pPr>
            <w:r>
              <w:rPr>
                <w:rFonts w:hint="eastAsia" w:ascii="宋体" w:hAnsi="宋体" w:cs="宋体"/>
                <w:bCs/>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1455CB5A">
            <w:pPr>
              <w:pStyle w:val="146"/>
              <w:rPr>
                <w:rFonts w:hint="eastAsia" w:ascii="Times New Roman" w:hAnsi="Times New Roman" w:cs="宋体"/>
                <w:bCs/>
                <w:sz w:val="18"/>
                <w:szCs w:val="18"/>
              </w:rPr>
            </w:pPr>
            <w:r>
              <w:rPr>
                <w:rFonts w:hint="eastAsia" w:cs="宋体"/>
                <w:bCs/>
                <w:sz w:val="18"/>
                <w:szCs w:val="18"/>
              </w:rPr>
              <w:t>跨中截面，</w:t>
            </w:r>
            <w:r>
              <w:rPr>
                <w:rFonts w:hint="eastAsia" w:cs="宋体"/>
                <w:bCs/>
                <w:sz w:val="18"/>
                <w:szCs w:val="18"/>
                <w:lang w:eastAsia="zh-CN"/>
              </w:rPr>
              <w:t>不低于</w:t>
            </w:r>
            <w:r>
              <w:rPr>
                <w:rFonts w:hint="eastAsia" w:cs="宋体"/>
                <w:bCs/>
                <w:sz w:val="18"/>
                <w:szCs w:val="18"/>
              </w:rPr>
              <w:t>2处</w:t>
            </w:r>
          </w:p>
        </w:tc>
      </w:tr>
      <w:tr w14:paraId="32748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continue"/>
            <w:tcBorders>
              <w:left w:val="single" w:color="auto" w:sz="4" w:space="0"/>
              <w:bottom w:val="single" w:color="auto" w:sz="4" w:space="0"/>
              <w:right w:val="single" w:color="auto" w:sz="4" w:space="0"/>
            </w:tcBorders>
            <w:vAlign w:val="center"/>
          </w:tcPr>
          <w:p w14:paraId="71684C44">
            <w:pPr>
              <w:widowControl/>
              <w:spacing w:beforeLines="0" w:afterLines="0" w:line="240" w:lineRule="auto"/>
              <w:jc w:val="center"/>
              <w:rPr>
                <w:rFonts w:hint="eastAsia" w:ascii="宋体" w:hAnsi="宋体" w:cs="宋体"/>
                <w:sz w:val="18"/>
                <w:szCs w:val="18"/>
              </w:rPr>
            </w:pPr>
          </w:p>
        </w:tc>
        <w:tc>
          <w:tcPr>
            <w:tcW w:w="593" w:type="dxa"/>
            <w:vMerge w:val="continue"/>
            <w:tcBorders>
              <w:left w:val="single" w:color="auto" w:sz="4" w:space="0"/>
              <w:right w:val="single" w:color="auto" w:sz="4" w:space="0"/>
            </w:tcBorders>
            <w:vAlign w:val="center"/>
          </w:tcPr>
          <w:p w14:paraId="1C9C1EA9">
            <w:pPr>
              <w:widowControl/>
              <w:spacing w:beforeLines="0" w:afterLines="0" w:line="240" w:lineRule="auto"/>
              <w:jc w:val="left"/>
              <w:rPr>
                <w:rFonts w:hint="eastAsia" w:ascii="宋体" w:hAnsi="宋体" w:cs="宋体"/>
                <w:sz w:val="18"/>
                <w:szCs w:val="18"/>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468F380C">
            <w:pPr>
              <w:widowControl/>
              <w:spacing w:beforeLines="0" w:afterLines="0" w:line="240" w:lineRule="auto"/>
              <w:jc w:val="left"/>
              <w:rPr>
                <w:rFonts w:hint="eastAsia" w:ascii="宋体" w:hAnsi="宋体" w:cs="宋体"/>
                <w:sz w:val="18"/>
                <w:szCs w:val="18"/>
              </w:rPr>
            </w:pPr>
          </w:p>
        </w:tc>
        <w:tc>
          <w:tcPr>
            <w:tcW w:w="1995" w:type="dxa"/>
            <w:tcBorders>
              <w:top w:val="single" w:color="auto" w:sz="4" w:space="0"/>
              <w:left w:val="single" w:color="auto" w:sz="4" w:space="0"/>
              <w:bottom w:val="single" w:color="auto" w:sz="4" w:space="0"/>
              <w:right w:val="single" w:color="auto" w:sz="4" w:space="0"/>
            </w:tcBorders>
            <w:vAlign w:val="center"/>
          </w:tcPr>
          <w:p w14:paraId="2F640B41">
            <w:pPr>
              <w:pStyle w:val="146"/>
              <w:rPr>
                <w:rFonts w:hint="eastAsia" w:ascii="宋体" w:hAnsi="宋体" w:cs="宋体"/>
                <w:sz w:val="18"/>
                <w:szCs w:val="18"/>
              </w:rPr>
            </w:pPr>
            <w:r>
              <w:rPr>
                <w:rFonts w:hint="eastAsia" w:ascii="宋体" w:hAnsi="宋体" w:cs="宋体"/>
                <w:sz w:val="18"/>
                <w:szCs w:val="18"/>
              </w:rPr>
              <w:t>桥面铺装层温度</w:t>
            </w:r>
          </w:p>
        </w:tc>
        <w:tc>
          <w:tcPr>
            <w:tcW w:w="945" w:type="dxa"/>
            <w:tcBorders>
              <w:top w:val="single" w:color="auto" w:sz="4" w:space="0"/>
              <w:left w:val="single" w:color="auto" w:sz="4" w:space="0"/>
              <w:bottom w:val="single" w:color="auto" w:sz="4" w:space="0"/>
              <w:right w:val="single" w:color="auto" w:sz="4" w:space="0"/>
            </w:tcBorders>
            <w:vAlign w:val="center"/>
          </w:tcPr>
          <w:p w14:paraId="61628159">
            <w:pPr>
              <w:pStyle w:val="146"/>
              <w:rPr>
                <w:rFonts w:hint="eastAsia" w:ascii="宋体" w:hAnsi="宋体" w:cs="宋体"/>
                <w:sz w:val="18"/>
                <w:szCs w:val="18"/>
              </w:rPr>
            </w:pPr>
            <w:r>
              <w:rPr>
                <w:rFonts w:hint="eastAsia" w:ascii="宋体" w:hAnsi="宋体" w:cs="宋体"/>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3301BD47">
            <w:pPr>
              <w:pStyle w:val="146"/>
              <w:rPr>
                <w:rFonts w:hint="eastAsia" w:ascii="Times New Roman" w:hAnsi="Times New Roman" w:cs="宋体"/>
                <w:bCs/>
                <w:sz w:val="18"/>
                <w:szCs w:val="18"/>
              </w:rPr>
            </w:pPr>
            <w:r>
              <w:rPr>
                <w:rFonts w:hint="eastAsia" w:ascii="Times New Roman" w:hAnsi="Times New Roman" w:cs="宋体"/>
                <w:bCs/>
                <w:sz w:val="18"/>
                <w:szCs w:val="18"/>
              </w:rPr>
              <w:t>-</w:t>
            </w:r>
          </w:p>
        </w:tc>
      </w:tr>
      <w:tr w14:paraId="68390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restart"/>
            <w:tcBorders>
              <w:top w:val="single" w:color="auto" w:sz="4" w:space="0"/>
              <w:left w:val="single" w:color="auto" w:sz="4" w:space="0"/>
              <w:right w:val="single" w:color="auto" w:sz="4" w:space="0"/>
            </w:tcBorders>
            <w:vAlign w:val="center"/>
          </w:tcPr>
          <w:p w14:paraId="6D0F3840">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11</w:t>
            </w:r>
          </w:p>
        </w:tc>
        <w:tc>
          <w:tcPr>
            <w:tcW w:w="593" w:type="dxa"/>
            <w:vMerge w:val="continue"/>
            <w:tcBorders>
              <w:left w:val="single" w:color="auto" w:sz="4" w:space="0"/>
              <w:right w:val="single" w:color="auto" w:sz="4" w:space="0"/>
            </w:tcBorders>
            <w:vAlign w:val="center"/>
          </w:tcPr>
          <w:p w14:paraId="4C478C0B">
            <w:pPr>
              <w:widowControl/>
              <w:spacing w:beforeLines="0" w:afterLines="0" w:line="240" w:lineRule="auto"/>
              <w:jc w:val="left"/>
              <w:rPr>
                <w:rFonts w:hint="eastAsia" w:ascii="宋体" w:hAnsi="宋体" w:cs="宋体"/>
                <w:sz w:val="18"/>
                <w:szCs w:val="18"/>
              </w:rPr>
            </w:pPr>
          </w:p>
        </w:tc>
        <w:tc>
          <w:tcPr>
            <w:tcW w:w="1515" w:type="dxa"/>
            <w:vMerge w:val="restart"/>
            <w:tcBorders>
              <w:top w:val="single" w:color="auto" w:sz="4" w:space="0"/>
              <w:left w:val="single" w:color="auto" w:sz="4" w:space="0"/>
              <w:bottom w:val="single" w:color="auto" w:sz="4" w:space="0"/>
              <w:right w:val="single" w:color="auto" w:sz="4" w:space="0"/>
            </w:tcBorders>
            <w:vAlign w:val="center"/>
          </w:tcPr>
          <w:p w14:paraId="31C42744">
            <w:pPr>
              <w:pStyle w:val="146"/>
              <w:rPr>
                <w:rFonts w:hint="eastAsia" w:ascii="宋体" w:hAnsi="宋体" w:cs="宋体"/>
                <w:sz w:val="18"/>
                <w:szCs w:val="18"/>
              </w:rPr>
            </w:pPr>
            <w:r>
              <w:rPr>
                <w:rFonts w:hint="eastAsia" w:ascii="宋体" w:hAnsi="宋体" w:cs="宋体"/>
                <w:sz w:val="18"/>
                <w:szCs w:val="18"/>
              </w:rPr>
              <w:t>船舶撞击</w:t>
            </w:r>
          </w:p>
        </w:tc>
        <w:tc>
          <w:tcPr>
            <w:tcW w:w="1995" w:type="dxa"/>
            <w:tcBorders>
              <w:top w:val="single" w:color="auto" w:sz="4" w:space="0"/>
              <w:left w:val="single" w:color="auto" w:sz="4" w:space="0"/>
              <w:bottom w:val="single" w:color="auto" w:sz="4" w:space="0"/>
              <w:right w:val="single" w:color="auto" w:sz="4" w:space="0"/>
            </w:tcBorders>
            <w:vAlign w:val="center"/>
          </w:tcPr>
          <w:p w14:paraId="2439EC80">
            <w:pPr>
              <w:pStyle w:val="146"/>
              <w:rPr>
                <w:rFonts w:hint="eastAsia" w:ascii="宋体" w:hAnsi="宋体" w:cs="宋体"/>
                <w:sz w:val="18"/>
                <w:szCs w:val="18"/>
              </w:rPr>
            </w:pPr>
            <w:r>
              <w:rPr>
                <w:rFonts w:hint="eastAsia" w:ascii="宋体" w:hAnsi="宋体" w:cs="宋体"/>
                <w:sz w:val="18"/>
                <w:szCs w:val="18"/>
              </w:rPr>
              <w:t>桥墩加速度</w:t>
            </w:r>
          </w:p>
        </w:tc>
        <w:tc>
          <w:tcPr>
            <w:tcW w:w="945" w:type="dxa"/>
            <w:tcBorders>
              <w:top w:val="single" w:color="auto" w:sz="4" w:space="0"/>
              <w:left w:val="single" w:color="auto" w:sz="4" w:space="0"/>
              <w:bottom w:val="single" w:color="auto" w:sz="4" w:space="0"/>
              <w:right w:val="single" w:color="auto" w:sz="4" w:space="0"/>
            </w:tcBorders>
            <w:vAlign w:val="center"/>
          </w:tcPr>
          <w:p w14:paraId="3E82069D">
            <w:pPr>
              <w:pStyle w:val="146"/>
              <w:rPr>
                <w:rFonts w:hint="eastAsia" w:ascii="宋体" w:hAnsi="宋体" w:cs="宋体"/>
                <w:sz w:val="18"/>
                <w:szCs w:val="18"/>
              </w:rPr>
            </w:pPr>
            <w:r>
              <w:rPr>
                <w:rFonts w:hint="eastAsia" w:ascii="宋体" w:hAnsi="宋体" w:cs="宋体"/>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46BA1768">
            <w:pPr>
              <w:pStyle w:val="146"/>
              <w:rPr>
                <w:rFonts w:hint="eastAsia" w:ascii="Times New Roman" w:hAnsi="Times New Roman" w:cs="宋体"/>
                <w:bCs/>
                <w:sz w:val="18"/>
                <w:szCs w:val="18"/>
              </w:rPr>
            </w:pPr>
            <w:r>
              <w:rPr>
                <w:rFonts w:cs="宋体"/>
                <w:bCs/>
                <w:sz w:val="18"/>
                <w:szCs w:val="18"/>
              </w:rPr>
              <w:t>布设在有船撞风险</w:t>
            </w:r>
            <w:r>
              <w:rPr>
                <w:rFonts w:hint="eastAsia" w:cs="宋体"/>
                <w:bCs/>
                <w:sz w:val="18"/>
                <w:szCs w:val="18"/>
              </w:rPr>
              <w:t>的桥墩处</w:t>
            </w:r>
          </w:p>
        </w:tc>
      </w:tr>
      <w:tr w14:paraId="43510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continue"/>
            <w:tcBorders>
              <w:left w:val="single" w:color="auto" w:sz="4" w:space="0"/>
              <w:bottom w:val="single" w:color="auto" w:sz="4" w:space="0"/>
              <w:right w:val="single" w:color="auto" w:sz="4" w:space="0"/>
            </w:tcBorders>
            <w:vAlign w:val="center"/>
          </w:tcPr>
          <w:p w14:paraId="6C9DFCF0">
            <w:pPr>
              <w:widowControl/>
              <w:spacing w:beforeLines="0" w:afterLines="0" w:line="240" w:lineRule="auto"/>
              <w:jc w:val="center"/>
              <w:rPr>
                <w:rFonts w:hint="eastAsia" w:ascii="宋体" w:hAnsi="宋体" w:cs="宋体"/>
                <w:sz w:val="18"/>
                <w:szCs w:val="18"/>
              </w:rPr>
            </w:pPr>
          </w:p>
        </w:tc>
        <w:tc>
          <w:tcPr>
            <w:tcW w:w="593" w:type="dxa"/>
            <w:vMerge w:val="continue"/>
            <w:tcBorders>
              <w:left w:val="single" w:color="auto" w:sz="4" w:space="0"/>
              <w:right w:val="single" w:color="auto" w:sz="4" w:space="0"/>
            </w:tcBorders>
            <w:vAlign w:val="center"/>
          </w:tcPr>
          <w:p w14:paraId="28EC140D">
            <w:pPr>
              <w:widowControl/>
              <w:spacing w:beforeLines="0" w:afterLines="0" w:line="240" w:lineRule="auto"/>
              <w:jc w:val="left"/>
              <w:rPr>
                <w:rFonts w:hint="eastAsia" w:ascii="宋体" w:hAnsi="宋体" w:cs="宋体"/>
                <w:sz w:val="18"/>
                <w:szCs w:val="18"/>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1402E082">
            <w:pPr>
              <w:widowControl/>
              <w:spacing w:beforeLines="0" w:afterLines="0" w:line="240" w:lineRule="auto"/>
              <w:jc w:val="left"/>
              <w:rPr>
                <w:rFonts w:hint="eastAsia" w:ascii="宋体" w:hAnsi="宋体" w:cs="宋体"/>
                <w:sz w:val="18"/>
                <w:szCs w:val="18"/>
              </w:rPr>
            </w:pPr>
          </w:p>
        </w:tc>
        <w:tc>
          <w:tcPr>
            <w:tcW w:w="1995" w:type="dxa"/>
            <w:tcBorders>
              <w:top w:val="single" w:color="auto" w:sz="4" w:space="0"/>
              <w:left w:val="single" w:color="auto" w:sz="4" w:space="0"/>
              <w:bottom w:val="single" w:color="auto" w:sz="4" w:space="0"/>
              <w:right w:val="single" w:color="auto" w:sz="4" w:space="0"/>
            </w:tcBorders>
            <w:vAlign w:val="center"/>
          </w:tcPr>
          <w:p w14:paraId="611A20BC">
            <w:pPr>
              <w:pStyle w:val="146"/>
              <w:rPr>
                <w:rFonts w:hint="eastAsia" w:ascii="宋体" w:hAnsi="宋体" w:eastAsia="宋体" w:cs="宋体"/>
                <w:sz w:val="18"/>
                <w:szCs w:val="18"/>
                <w:lang w:eastAsia="zh-CN"/>
              </w:rPr>
            </w:pPr>
            <w:r>
              <w:rPr>
                <w:rFonts w:hint="eastAsia" w:ascii="宋体" w:hAnsi="宋体" w:cs="宋体"/>
                <w:sz w:val="18"/>
                <w:szCs w:val="18"/>
                <w:lang w:eastAsia="zh-CN"/>
              </w:rPr>
              <w:t>视频监控</w:t>
            </w:r>
          </w:p>
        </w:tc>
        <w:tc>
          <w:tcPr>
            <w:tcW w:w="945" w:type="dxa"/>
            <w:tcBorders>
              <w:top w:val="single" w:color="auto" w:sz="4" w:space="0"/>
              <w:left w:val="single" w:color="auto" w:sz="4" w:space="0"/>
              <w:bottom w:val="single" w:color="auto" w:sz="4" w:space="0"/>
              <w:right w:val="single" w:color="auto" w:sz="4" w:space="0"/>
            </w:tcBorders>
            <w:vAlign w:val="center"/>
          </w:tcPr>
          <w:p w14:paraId="56EE677F">
            <w:pPr>
              <w:pStyle w:val="146"/>
              <w:rPr>
                <w:rFonts w:hint="eastAsia" w:ascii="宋体" w:hAnsi="宋体" w:cs="宋体"/>
                <w:sz w:val="18"/>
                <w:szCs w:val="18"/>
              </w:rPr>
            </w:pPr>
            <w:r>
              <w:rPr>
                <w:rFonts w:hint="eastAsia" w:ascii="宋体" w:hAnsi="宋体" w:cs="宋体"/>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3A7FC122">
            <w:pPr>
              <w:pStyle w:val="146"/>
              <w:rPr>
                <w:rFonts w:hint="eastAsia" w:ascii="Times New Roman" w:hAnsi="Times New Roman" w:cs="宋体"/>
                <w:bCs/>
                <w:sz w:val="18"/>
                <w:szCs w:val="18"/>
              </w:rPr>
            </w:pPr>
            <w:r>
              <w:rPr>
                <w:rFonts w:cs="宋体"/>
                <w:bCs/>
                <w:sz w:val="18"/>
                <w:szCs w:val="18"/>
              </w:rPr>
              <w:t>布设在有船撞风险</w:t>
            </w:r>
            <w:r>
              <w:rPr>
                <w:rFonts w:hint="eastAsia" w:cs="宋体"/>
                <w:bCs/>
                <w:sz w:val="18"/>
                <w:szCs w:val="18"/>
              </w:rPr>
              <w:t>桥跨处</w:t>
            </w:r>
          </w:p>
        </w:tc>
      </w:tr>
      <w:tr w14:paraId="03D2E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restart"/>
            <w:tcBorders>
              <w:top w:val="single" w:color="auto" w:sz="4" w:space="0"/>
              <w:left w:val="single" w:color="auto" w:sz="4" w:space="0"/>
              <w:right w:val="single" w:color="auto" w:sz="4" w:space="0"/>
            </w:tcBorders>
            <w:vAlign w:val="center"/>
          </w:tcPr>
          <w:p w14:paraId="37FB30AF">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12</w:t>
            </w:r>
          </w:p>
        </w:tc>
        <w:tc>
          <w:tcPr>
            <w:tcW w:w="593" w:type="dxa"/>
            <w:vMerge w:val="continue"/>
            <w:tcBorders>
              <w:left w:val="single" w:color="auto" w:sz="4" w:space="0"/>
              <w:right w:val="single" w:color="auto" w:sz="4" w:space="0"/>
            </w:tcBorders>
            <w:vAlign w:val="center"/>
          </w:tcPr>
          <w:p w14:paraId="45D7FE40">
            <w:pPr>
              <w:widowControl/>
              <w:spacing w:beforeLines="0" w:afterLines="0" w:line="240" w:lineRule="auto"/>
              <w:jc w:val="left"/>
              <w:rPr>
                <w:rFonts w:hint="eastAsia" w:ascii="宋体" w:hAnsi="宋体" w:cs="宋体"/>
                <w:sz w:val="18"/>
                <w:szCs w:val="18"/>
              </w:rPr>
            </w:pPr>
          </w:p>
        </w:tc>
        <w:tc>
          <w:tcPr>
            <w:tcW w:w="1515" w:type="dxa"/>
            <w:vMerge w:val="restart"/>
            <w:tcBorders>
              <w:top w:val="single" w:color="auto" w:sz="4" w:space="0"/>
              <w:left w:val="single" w:color="auto" w:sz="4" w:space="0"/>
              <w:bottom w:val="single" w:color="auto" w:sz="4" w:space="0"/>
              <w:right w:val="single" w:color="auto" w:sz="4" w:space="0"/>
            </w:tcBorders>
            <w:vAlign w:val="center"/>
          </w:tcPr>
          <w:p w14:paraId="3014DEDD">
            <w:pPr>
              <w:pStyle w:val="146"/>
              <w:rPr>
                <w:rFonts w:hint="eastAsia" w:ascii="宋体" w:hAnsi="宋体" w:cs="宋体"/>
                <w:sz w:val="18"/>
                <w:szCs w:val="18"/>
              </w:rPr>
            </w:pPr>
            <w:r>
              <w:rPr>
                <w:rFonts w:hint="eastAsia" w:ascii="宋体" w:hAnsi="宋体" w:cs="宋体"/>
                <w:sz w:val="18"/>
                <w:szCs w:val="18"/>
              </w:rPr>
              <w:t>车辆撞击</w:t>
            </w:r>
          </w:p>
        </w:tc>
        <w:tc>
          <w:tcPr>
            <w:tcW w:w="1995" w:type="dxa"/>
            <w:tcBorders>
              <w:top w:val="single" w:color="auto" w:sz="4" w:space="0"/>
              <w:left w:val="single" w:color="auto" w:sz="4" w:space="0"/>
              <w:bottom w:val="single" w:color="auto" w:sz="4" w:space="0"/>
              <w:right w:val="single" w:color="auto" w:sz="4" w:space="0"/>
            </w:tcBorders>
            <w:vAlign w:val="center"/>
          </w:tcPr>
          <w:p w14:paraId="74C7570F">
            <w:pPr>
              <w:pStyle w:val="146"/>
              <w:rPr>
                <w:rFonts w:hint="eastAsia" w:ascii="宋体" w:hAnsi="宋体" w:cs="宋体"/>
                <w:sz w:val="18"/>
                <w:szCs w:val="18"/>
              </w:rPr>
            </w:pPr>
            <w:r>
              <w:rPr>
                <w:rFonts w:hint="eastAsia" w:ascii="宋体" w:hAnsi="宋体" w:cs="宋体"/>
                <w:sz w:val="18"/>
                <w:szCs w:val="18"/>
              </w:rPr>
              <w:t>桥墩加速度</w:t>
            </w:r>
          </w:p>
        </w:tc>
        <w:tc>
          <w:tcPr>
            <w:tcW w:w="945" w:type="dxa"/>
            <w:tcBorders>
              <w:top w:val="single" w:color="auto" w:sz="4" w:space="0"/>
              <w:left w:val="single" w:color="auto" w:sz="4" w:space="0"/>
              <w:bottom w:val="single" w:color="auto" w:sz="4" w:space="0"/>
              <w:right w:val="single" w:color="auto" w:sz="4" w:space="0"/>
            </w:tcBorders>
            <w:vAlign w:val="center"/>
          </w:tcPr>
          <w:p w14:paraId="06377533">
            <w:pPr>
              <w:pStyle w:val="146"/>
              <w:rPr>
                <w:rFonts w:hint="eastAsia" w:ascii="宋体" w:hAnsi="宋体" w:cs="宋体"/>
                <w:sz w:val="18"/>
                <w:szCs w:val="18"/>
              </w:rPr>
            </w:pPr>
            <w:r>
              <w:rPr>
                <w:rFonts w:hint="eastAsia" w:ascii="宋体" w:hAnsi="宋体" w:cs="宋体"/>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6D3A8716">
            <w:pPr>
              <w:pStyle w:val="146"/>
              <w:rPr>
                <w:rFonts w:hint="eastAsia" w:ascii="Times New Roman" w:hAnsi="Times New Roman" w:cs="宋体"/>
                <w:bCs/>
                <w:sz w:val="18"/>
                <w:szCs w:val="18"/>
              </w:rPr>
            </w:pPr>
            <w:r>
              <w:rPr>
                <w:rFonts w:cs="宋体"/>
                <w:bCs/>
                <w:sz w:val="18"/>
                <w:szCs w:val="18"/>
              </w:rPr>
              <w:t>布设在有</w:t>
            </w:r>
            <w:r>
              <w:rPr>
                <w:rFonts w:hint="eastAsia" w:cs="宋体"/>
                <w:bCs/>
                <w:sz w:val="18"/>
                <w:szCs w:val="18"/>
              </w:rPr>
              <w:t>车</w:t>
            </w:r>
            <w:r>
              <w:rPr>
                <w:rFonts w:cs="宋体"/>
                <w:bCs/>
                <w:sz w:val="18"/>
                <w:szCs w:val="18"/>
              </w:rPr>
              <w:t>撞风险</w:t>
            </w:r>
            <w:r>
              <w:rPr>
                <w:rFonts w:hint="eastAsia" w:cs="宋体"/>
                <w:bCs/>
                <w:sz w:val="18"/>
                <w:szCs w:val="18"/>
              </w:rPr>
              <w:t>的桥墩处</w:t>
            </w:r>
          </w:p>
        </w:tc>
      </w:tr>
      <w:tr w14:paraId="602BB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continue"/>
            <w:tcBorders>
              <w:left w:val="single" w:color="auto" w:sz="4" w:space="0"/>
              <w:bottom w:val="single" w:color="auto" w:sz="4" w:space="0"/>
              <w:right w:val="single" w:color="auto" w:sz="4" w:space="0"/>
            </w:tcBorders>
            <w:vAlign w:val="center"/>
          </w:tcPr>
          <w:p w14:paraId="0B9401BC">
            <w:pPr>
              <w:widowControl/>
              <w:spacing w:beforeLines="0" w:afterLines="0" w:line="240" w:lineRule="auto"/>
              <w:jc w:val="center"/>
              <w:rPr>
                <w:rFonts w:hint="eastAsia" w:ascii="宋体" w:hAnsi="宋体" w:cs="宋体"/>
                <w:sz w:val="18"/>
                <w:szCs w:val="18"/>
              </w:rPr>
            </w:pPr>
          </w:p>
        </w:tc>
        <w:tc>
          <w:tcPr>
            <w:tcW w:w="593" w:type="dxa"/>
            <w:vMerge w:val="continue"/>
            <w:tcBorders>
              <w:left w:val="single" w:color="auto" w:sz="4" w:space="0"/>
              <w:right w:val="single" w:color="auto" w:sz="4" w:space="0"/>
            </w:tcBorders>
            <w:vAlign w:val="center"/>
          </w:tcPr>
          <w:p w14:paraId="6F997576">
            <w:pPr>
              <w:widowControl/>
              <w:spacing w:beforeLines="0" w:afterLines="0" w:line="240" w:lineRule="auto"/>
              <w:jc w:val="left"/>
              <w:rPr>
                <w:rFonts w:hint="eastAsia" w:ascii="宋体" w:hAnsi="宋体" w:cs="宋体"/>
                <w:sz w:val="18"/>
                <w:szCs w:val="18"/>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5FB821FA">
            <w:pPr>
              <w:widowControl/>
              <w:spacing w:beforeLines="0" w:afterLines="0" w:line="240" w:lineRule="auto"/>
              <w:jc w:val="left"/>
              <w:rPr>
                <w:rFonts w:hint="eastAsia" w:ascii="宋体" w:hAnsi="宋体" w:cs="宋体"/>
                <w:sz w:val="18"/>
                <w:szCs w:val="18"/>
              </w:rPr>
            </w:pPr>
          </w:p>
        </w:tc>
        <w:tc>
          <w:tcPr>
            <w:tcW w:w="1995" w:type="dxa"/>
            <w:tcBorders>
              <w:top w:val="single" w:color="auto" w:sz="4" w:space="0"/>
              <w:left w:val="single" w:color="auto" w:sz="4" w:space="0"/>
              <w:bottom w:val="single" w:color="auto" w:sz="4" w:space="0"/>
              <w:right w:val="single" w:color="auto" w:sz="4" w:space="0"/>
            </w:tcBorders>
            <w:vAlign w:val="center"/>
          </w:tcPr>
          <w:p w14:paraId="2277FAF6">
            <w:pPr>
              <w:pStyle w:val="146"/>
              <w:rPr>
                <w:rFonts w:hint="eastAsia" w:ascii="宋体" w:hAnsi="宋体" w:eastAsia="宋体" w:cs="宋体"/>
                <w:sz w:val="18"/>
                <w:szCs w:val="18"/>
                <w:lang w:eastAsia="zh-CN"/>
              </w:rPr>
            </w:pPr>
            <w:r>
              <w:rPr>
                <w:rFonts w:hint="eastAsia" w:ascii="宋体" w:hAnsi="宋体" w:cs="宋体"/>
                <w:sz w:val="18"/>
                <w:szCs w:val="18"/>
                <w:lang w:eastAsia="zh-CN"/>
              </w:rPr>
              <w:t>视频监控</w:t>
            </w:r>
          </w:p>
        </w:tc>
        <w:tc>
          <w:tcPr>
            <w:tcW w:w="945" w:type="dxa"/>
            <w:tcBorders>
              <w:top w:val="single" w:color="auto" w:sz="4" w:space="0"/>
              <w:left w:val="single" w:color="auto" w:sz="4" w:space="0"/>
              <w:bottom w:val="single" w:color="auto" w:sz="4" w:space="0"/>
              <w:right w:val="single" w:color="auto" w:sz="4" w:space="0"/>
            </w:tcBorders>
            <w:vAlign w:val="center"/>
          </w:tcPr>
          <w:p w14:paraId="79C3214F">
            <w:pPr>
              <w:pStyle w:val="146"/>
              <w:rPr>
                <w:rFonts w:hint="eastAsia" w:ascii="宋体" w:hAnsi="宋体" w:cs="宋体"/>
                <w:sz w:val="18"/>
                <w:szCs w:val="18"/>
              </w:rPr>
            </w:pPr>
            <w:r>
              <w:rPr>
                <w:rFonts w:hint="eastAsia" w:ascii="宋体" w:hAnsi="宋体" w:cs="宋体"/>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5960534D">
            <w:pPr>
              <w:pStyle w:val="146"/>
              <w:rPr>
                <w:rFonts w:hint="eastAsia" w:ascii="Times New Roman" w:hAnsi="Times New Roman" w:cs="宋体"/>
                <w:bCs/>
                <w:sz w:val="18"/>
                <w:szCs w:val="18"/>
              </w:rPr>
            </w:pPr>
            <w:r>
              <w:rPr>
                <w:rFonts w:cs="宋体"/>
                <w:bCs/>
                <w:sz w:val="18"/>
                <w:szCs w:val="18"/>
              </w:rPr>
              <w:t>布设在有船撞风险</w:t>
            </w:r>
            <w:r>
              <w:rPr>
                <w:rFonts w:hint="eastAsia" w:cs="宋体"/>
                <w:bCs/>
                <w:sz w:val="18"/>
                <w:szCs w:val="18"/>
              </w:rPr>
              <w:t>桥跨处</w:t>
            </w:r>
          </w:p>
        </w:tc>
      </w:tr>
      <w:tr w14:paraId="00AC6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restart"/>
            <w:tcBorders>
              <w:top w:val="single" w:color="auto" w:sz="4" w:space="0"/>
              <w:left w:val="single" w:color="auto" w:sz="4" w:space="0"/>
              <w:right w:val="single" w:color="auto" w:sz="4" w:space="0"/>
            </w:tcBorders>
            <w:vAlign w:val="center"/>
          </w:tcPr>
          <w:p w14:paraId="08127EF2">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13</w:t>
            </w:r>
          </w:p>
        </w:tc>
        <w:tc>
          <w:tcPr>
            <w:tcW w:w="593" w:type="dxa"/>
            <w:vMerge w:val="continue"/>
            <w:tcBorders>
              <w:left w:val="single" w:color="auto" w:sz="4" w:space="0"/>
              <w:right w:val="single" w:color="auto" w:sz="4" w:space="0"/>
            </w:tcBorders>
            <w:vAlign w:val="center"/>
          </w:tcPr>
          <w:p w14:paraId="3B878D5B">
            <w:pPr>
              <w:widowControl/>
              <w:spacing w:beforeLines="0" w:afterLines="0" w:line="240" w:lineRule="auto"/>
              <w:jc w:val="left"/>
              <w:rPr>
                <w:rFonts w:hint="eastAsia" w:ascii="宋体" w:hAnsi="宋体" w:cs="宋体"/>
                <w:sz w:val="18"/>
                <w:szCs w:val="18"/>
              </w:rPr>
            </w:pPr>
          </w:p>
        </w:tc>
        <w:tc>
          <w:tcPr>
            <w:tcW w:w="1515" w:type="dxa"/>
            <w:vMerge w:val="restart"/>
            <w:tcBorders>
              <w:top w:val="single" w:color="auto" w:sz="4" w:space="0"/>
              <w:left w:val="single" w:color="auto" w:sz="4" w:space="0"/>
              <w:bottom w:val="single" w:color="auto" w:sz="4" w:space="0"/>
              <w:right w:val="single" w:color="auto" w:sz="4" w:space="0"/>
            </w:tcBorders>
            <w:vAlign w:val="center"/>
          </w:tcPr>
          <w:p w14:paraId="025CCE0B">
            <w:pPr>
              <w:pStyle w:val="146"/>
              <w:rPr>
                <w:rFonts w:hint="eastAsia" w:ascii="宋体" w:hAnsi="宋体" w:cs="宋体"/>
                <w:sz w:val="18"/>
                <w:szCs w:val="18"/>
              </w:rPr>
            </w:pPr>
            <w:r>
              <w:rPr>
                <w:rFonts w:hint="eastAsia" w:ascii="宋体" w:hAnsi="宋体" w:cs="宋体"/>
                <w:sz w:val="18"/>
                <w:szCs w:val="18"/>
              </w:rPr>
              <w:t>地震</w:t>
            </w:r>
          </w:p>
        </w:tc>
        <w:tc>
          <w:tcPr>
            <w:tcW w:w="1995" w:type="dxa"/>
            <w:tcBorders>
              <w:top w:val="single" w:color="auto" w:sz="4" w:space="0"/>
              <w:left w:val="single" w:color="auto" w:sz="4" w:space="0"/>
              <w:bottom w:val="single" w:color="auto" w:sz="4" w:space="0"/>
              <w:right w:val="single" w:color="auto" w:sz="4" w:space="0"/>
            </w:tcBorders>
            <w:vAlign w:val="center"/>
          </w:tcPr>
          <w:p w14:paraId="6EF1A330">
            <w:pPr>
              <w:pStyle w:val="146"/>
              <w:rPr>
                <w:rFonts w:hint="eastAsia" w:ascii="宋体" w:hAnsi="宋体" w:cs="宋体"/>
                <w:sz w:val="18"/>
                <w:szCs w:val="18"/>
              </w:rPr>
            </w:pPr>
            <w:r>
              <w:rPr>
                <w:rFonts w:hint="eastAsia" w:ascii="宋体" w:hAnsi="宋体" w:cs="宋体"/>
                <w:sz w:val="18"/>
                <w:szCs w:val="18"/>
              </w:rPr>
              <w:t>桥岸地表场地加速度</w:t>
            </w:r>
          </w:p>
        </w:tc>
        <w:tc>
          <w:tcPr>
            <w:tcW w:w="945" w:type="dxa"/>
            <w:tcBorders>
              <w:top w:val="single" w:color="auto" w:sz="4" w:space="0"/>
              <w:left w:val="single" w:color="auto" w:sz="4" w:space="0"/>
              <w:bottom w:val="single" w:color="auto" w:sz="4" w:space="0"/>
              <w:right w:val="single" w:color="auto" w:sz="4" w:space="0"/>
            </w:tcBorders>
            <w:vAlign w:val="center"/>
          </w:tcPr>
          <w:p w14:paraId="7369182A">
            <w:pPr>
              <w:pStyle w:val="146"/>
              <w:rPr>
                <w:rFonts w:hint="eastAsia" w:ascii="宋体" w:hAnsi="宋体" w:cs="宋体"/>
                <w:sz w:val="18"/>
                <w:szCs w:val="18"/>
              </w:rPr>
            </w:pPr>
            <w:r>
              <w:rPr>
                <w:rFonts w:hint="eastAsia" w:ascii="宋体" w:hAnsi="宋体" w:cs="宋体"/>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78C21433">
            <w:pPr>
              <w:pStyle w:val="146"/>
              <w:rPr>
                <w:rFonts w:hint="eastAsia" w:ascii="Times New Roman" w:hAnsi="Times New Roman" w:cs="宋体"/>
                <w:bCs/>
                <w:sz w:val="18"/>
                <w:szCs w:val="18"/>
              </w:rPr>
            </w:pPr>
            <w:r>
              <w:rPr>
                <w:rFonts w:hint="eastAsia" w:ascii="Times New Roman" w:hAnsi="Times New Roman" w:cs="宋体"/>
                <w:bCs/>
                <w:sz w:val="18"/>
                <w:szCs w:val="18"/>
              </w:rPr>
              <w:t>桥岸地表</w:t>
            </w:r>
          </w:p>
        </w:tc>
      </w:tr>
      <w:tr w14:paraId="10406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continue"/>
            <w:tcBorders>
              <w:left w:val="single" w:color="auto" w:sz="4" w:space="0"/>
              <w:bottom w:val="single" w:color="auto" w:sz="4" w:space="0"/>
              <w:right w:val="single" w:color="auto" w:sz="4" w:space="0"/>
            </w:tcBorders>
            <w:vAlign w:val="center"/>
          </w:tcPr>
          <w:p w14:paraId="554AE5A5">
            <w:pPr>
              <w:widowControl/>
              <w:spacing w:beforeLines="0" w:afterLines="0" w:line="240" w:lineRule="auto"/>
              <w:jc w:val="center"/>
              <w:rPr>
                <w:rFonts w:hint="eastAsia" w:ascii="宋体" w:hAnsi="宋体" w:cs="宋体"/>
                <w:sz w:val="18"/>
                <w:szCs w:val="18"/>
              </w:rPr>
            </w:pPr>
          </w:p>
        </w:tc>
        <w:tc>
          <w:tcPr>
            <w:tcW w:w="593" w:type="dxa"/>
            <w:vMerge w:val="continue"/>
            <w:tcBorders>
              <w:left w:val="single" w:color="auto" w:sz="4" w:space="0"/>
              <w:bottom w:val="single" w:color="auto" w:sz="4" w:space="0"/>
              <w:right w:val="single" w:color="auto" w:sz="4" w:space="0"/>
            </w:tcBorders>
            <w:vAlign w:val="center"/>
          </w:tcPr>
          <w:p w14:paraId="6F037ED4">
            <w:pPr>
              <w:widowControl/>
              <w:spacing w:beforeLines="0" w:afterLines="0" w:line="240" w:lineRule="auto"/>
              <w:jc w:val="left"/>
              <w:rPr>
                <w:rFonts w:hint="eastAsia" w:ascii="宋体" w:hAnsi="宋体" w:cs="宋体"/>
                <w:sz w:val="18"/>
                <w:szCs w:val="18"/>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02546BFD">
            <w:pPr>
              <w:widowControl/>
              <w:spacing w:beforeLines="0" w:afterLines="0" w:line="240" w:lineRule="auto"/>
              <w:jc w:val="left"/>
              <w:rPr>
                <w:rFonts w:hint="eastAsia" w:ascii="宋体" w:hAnsi="宋体" w:cs="宋体"/>
                <w:sz w:val="18"/>
                <w:szCs w:val="18"/>
              </w:rPr>
            </w:pPr>
          </w:p>
        </w:tc>
        <w:tc>
          <w:tcPr>
            <w:tcW w:w="1995" w:type="dxa"/>
            <w:tcBorders>
              <w:top w:val="single" w:color="auto" w:sz="4" w:space="0"/>
              <w:left w:val="single" w:color="auto" w:sz="4" w:space="0"/>
              <w:bottom w:val="single" w:color="auto" w:sz="4" w:space="0"/>
              <w:right w:val="single" w:color="auto" w:sz="4" w:space="0"/>
            </w:tcBorders>
            <w:vAlign w:val="center"/>
          </w:tcPr>
          <w:p w14:paraId="2290A32F">
            <w:pPr>
              <w:pStyle w:val="146"/>
              <w:rPr>
                <w:rFonts w:hint="eastAsia" w:ascii="宋体" w:hAnsi="宋体" w:cs="宋体"/>
                <w:sz w:val="18"/>
                <w:szCs w:val="18"/>
              </w:rPr>
            </w:pPr>
            <w:r>
              <w:rPr>
                <w:rFonts w:hint="eastAsia" w:ascii="宋体" w:hAnsi="宋体" w:cs="宋体"/>
                <w:sz w:val="18"/>
                <w:szCs w:val="18"/>
              </w:rPr>
              <w:t>承台顶或桥墩底部加速度</w:t>
            </w:r>
          </w:p>
        </w:tc>
        <w:tc>
          <w:tcPr>
            <w:tcW w:w="945" w:type="dxa"/>
            <w:tcBorders>
              <w:top w:val="single" w:color="auto" w:sz="4" w:space="0"/>
              <w:left w:val="single" w:color="auto" w:sz="4" w:space="0"/>
              <w:bottom w:val="single" w:color="auto" w:sz="4" w:space="0"/>
              <w:right w:val="single" w:color="auto" w:sz="4" w:space="0"/>
            </w:tcBorders>
            <w:vAlign w:val="center"/>
          </w:tcPr>
          <w:p w14:paraId="2EF8588A">
            <w:pPr>
              <w:pStyle w:val="146"/>
              <w:rPr>
                <w:rFonts w:hint="eastAsia" w:ascii="宋体" w:hAnsi="宋体" w:cs="宋体"/>
                <w:sz w:val="18"/>
                <w:szCs w:val="18"/>
              </w:rPr>
            </w:pPr>
            <w:r>
              <w:rPr>
                <w:rFonts w:hint="eastAsia" w:ascii="宋体" w:hAnsi="宋体" w:cs="宋体"/>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6DE30A18">
            <w:pPr>
              <w:pStyle w:val="146"/>
              <w:rPr>
                <w:rFonts w:hint="eastAsia" w:ascii="Times New Roman" w:hAnsi="Times New Roman" w:cs="宋体"/>
                <w:bCs/>
                <w:sz w:val="18"/>
                <w:szCs w:val="18"/>
              </w:rPr>
            </w:pPr>
            <w:r>
              <w:rPr>
                <w:rFonts w:hint="eastAsia" w:ascii="Times New Roman" w:hAnsi="Times New Roman" w:cs="宋体"/>
                <w:bCs/>
                <w:sz w:val="18"/>
                <w:szCs w:val="18"/>
              </w:rPr>
              <w:t>承台顶或桥墩底部</w:t>
            </w:r>
          </w:p>
        </w:tc>
      </w:tr>
      <w:tr w14:paraId="371DC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restart"/>
            <w:tcBorders>
              <w:top w:val="single" w:color="auto" w:sz="4" w:space="0"/>
              <w:left w:val="single" w:color="auto" w:sz="4" w:space="0"/>
              <w:right w:val="single" w:color="auto" w:sz="4" w:space="0"/>
            </w:tcBorders>
            <w:vAlign w:val="center"/>
          </w:tcPr>
          <w:p w14:paraId="048C03CA">
            <w:pPr>
              <w:pStyle w:val="146"/>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14</w:t>
            </w:r>
          </w:p>
        </w:tc>
        <w:tc>
          <w:tcPr>
            <w:tcW w:w="593" w:type="dxa"/>
            <w:vMerge w:val="restart"/>
            <w:tcBorders>
              <w:top w:val="single" w:color="auto" w:sz="4" w:space="0"/>
              <w:left w:val="single" w:color="auto" w:sz="4" w:space="0"/>
              <w:right w:val="single" w:color="auto" w:sz="4" w:space="0"/>
            </w:tcBorders>
            <w:vAlign w:val="center"/>
          </w:tcPr>
          <w:p w14:paraId="2C1EAD1B">
            <w:pPr>
              <w:pStyle w:val="146"/>
              <w:rPr>
                <w:rFonts w:hint="eastAsia" w:ascii="宋体" w:hAnsi="宋体" w:cs="宋体"/>
                <w:sz w:val="18"/>
                <w:szCs w:val="18"/>
              </w:rPr>
            </w:pPr>
            <w:r>
              <w:rPr>
                <w:rFonts w:hint="eastAsia" w:ascii="宋体" w:hAnsi="宋体" w:cs="宋体"/>
                <w:sz w:val="18"/>
                <w:szCs w:val="18"/>
              </w:rPr>
              <w:t>结构响应</w:t>
            </w:r>
          </w:p>
        </w:tc>
        <w:tc>
          <w:tcPr>
            <w:tcW w:w="1515" w:type="dxa"/>
            <w:vMerge w:val="restart"/>
            <w:tcBorders>
              <w:top w:val="single" w:color="auto" w:sz="4" w:space="0"/>
              <w:left w:val="single" w:color="auto" w:sz="4" w:space="0"/>
              <w:right w:val="single" w:color="auto" w:sz="4" w:space="0"/>
            </w:tcBorders>
            <w:vAlign w:val="center"/>
          </w:tcPr>
          <w:p w14:paraId="2346C09A">
            <w:pPr>
              <w:pStyle w:val="146"/>
              <w:rPr>
                <w:rFonts w:hint="eastAsia" w:ascii="宋体" w:hAnsi="宋体" w:cs="宋体"/>
                <w:sz w:val="18"/>
                <w:szCs w:val="18"/>
              </w:rPr>
            </w:pPr>
            <w:r>
              <w:rPr>
                <w:rFonts w:hint="eastAsia" w:ascii="宋体" w:hAnsi="宋体" w:cs="宋体"/>
                <w:sz w:val="18"/>
                <w:szCs w:val="18"/>
              </w:rPr>
              <w:t>位移</w:t>
            </w:r>
          </w:p>
        </w:tc>
        <w:tc>
          <w:tcPr>
            <w:tcW w:w="1995" w:type="dxa"/>
            <w:tcBorders>
              <w:top w:val="single" w:color="auto" w:sz="4" w:space="0"/>
              <w:left w:val="single" w:color="auto" w:sz="4" w:space="0"/>
              <w:bottom w:val="single" w:color="auto" w:sz="4" w:space="0"/>
              <w:right w:val="single" w:color="auto" w:sz="4" w:space="0"/>
            </w:tcBorders>
            <w:vAlign w:val="center"/>
          </w:tcPr>
          <w:p w14:paraId="6E31E64C">
            <w:pPr>
              <w:pStyle w:val="146"/>
              <w:rPr>
                <w:rFonts w:hint="eastAsia" w:ascii="宋体" w:hAnsi="宋体" w:cs="宋体"/>
                <w:bCs/>
                <w:sz w:val="18"/>
                <w:szCs w:val="18"/>
              </w:rPr>
            </w:pPr>
            <w:r>
              <w:rPr>
                <w:rFonts w:hint="eastAsia" w:ascii="宋体" w:hAnsi="宋体" w:cs="宋体"/>
                <w:bCs/>
                <w:sz w:val="18"/>
                <w:szCs w:val="18"/>
              </w:rPr>
              <w:t>主梁竖向位移</w:t>
            </w:r>
          </w:p>
        </w:tc>
        <w:tc>
          <w:tcPr>
            <w:tcW w:w="945" w:type="dxa"/>
            <w:tcBorders>
              <w:top w:val="single" w:color="auto" w:sz="4" w:space="0"/>
              <w:left w:val="single" w:color="auto" w:sz="4" w:space="0"/>
              <w:bottom w:val="single" w:color="auto" w:sz="4" w:space="0"/>
              <w:right w:val="single" w:color="auto" w:sz="4" w:space="0"/>
            </w:tcBorders>
            <w:vAlign w:val="center"/>
          </w:tcPr>
          <w:p w14:paraId="0F2F1F14">
            <w:pPr>
              <w:pStyle w:val="146"/>
              <w:rPr>
                <w:rFonts w:hint="eastAsia" w:ascii="宋体" w:hAnsi="宋体" w:cs="宋体"/>
                <w:bCs/>
                <w:sz w:val="18"/>
                <w:szCs w:val="18"/>
              </w:rPr>
            </w:pPr>
            <w:r>
              <w:rPr>
                <w:rFonts w:hint="eastAsia" w:ascii="宋体" w:hAnsi="宋体" w:cs="宋体"/>
                <w:bCs/>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4304EB79">
            <w:pPr>
              <w:pStyle w:val="146"/>
              <w:rPr>
                <w:rFonts w:hint="eastAsia" w:ascii="宋体" w:hAnsi="宋体" w:cs="宋体"/>
                <w:sz w:val="18"/>
                <w:szCs w:val="18"/>
              </w:rPr>
            </w:pPr>
            <w:r>
              <w:rPr>
                <w:rFonts w:hint="eastAsia" w:ascii="宋体" w:hAnsi="宋体" w:cs="宋体"/>
                <w:sz w:val="18"/>
                <w:szCs w:val="18"/>
              </w:rPr>
              <w:t>主跨：跨中截面、1/4截面、3/4截面；边跨：跨中截面</w:t>
            </w:r>
            <w:r>
              <w:rPr>
                <w:rFonts w:hint="eastAsia" w:cs="宋体"/>
                <w:bCs/>
                <w:sz w:val="18"/>
                <w:szCs w:val="18"/>
              </w:rPr>
              <w:t>。宜布置于车道下方，</w:t>
            </w:r>
            <w:r>
              <w:rPr>
                <w:rFonts w:hint="eastAsia" w:cs="宋体"/>
                <w:bCs/>
                <w:sz w:val="18"/>
                <w:szCs w:val="18"/>
                <w:lang w:eastAsia="zh-CN"/>
              </w:rPr>
              <w:t>不低于</w:t>
            </w:r>
            <w:r>
              <w:rPr>
                <w:rFonts w:hint="eastAsia" w:cs="宋体"/>
                <w:bCs/>
                <w:sz w:val="18"/>
                <w:szCs w:val="18"/>
              </w:rPr>
              <w:t>2处。</w:t>
            </w:r>
          </w:p>
        </w:tc>
      </w:tr>
      <w:tr w14:paraId="0EB2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continue"/>
            <w:tcBorders>
              <w:left w:val="single" w:color="auto" w:sz="4" w:space="0"/>
              <w:right w:val="single" w:color="auto" w:sz="4" w:space="0"/>
            </w:tcBorders>
            <w:vAlign w:val="center"/>
          </w:tcPr>
          <w:p w14:paraId="6A4F9A80">
            <w:pPr>
              <w:widowControl/>
              <w:spacing w:beforeLines="0" w:afterLines="0" w:line="240" w:lineRule="auto"/>
              <w:jc w:val="center"/>
              <w:rPr>
                <w:rFonts w:hint="eastAsia" w:ascii="宋体" w:hAnsi="宋体" w:cs="宋体"/>
                <w:sz w:val="18"/>
                <w:szCs w:val="18"/>
              </w:rPr>
            </w:pPr>
          </w:p>
        </w:tc>
        <w:tc>
          <w:tcPr>
            <w:tcW w:w="593" w:type="dxa"/>
            <w:vMerge w:val="continue"/>
            <w:tcBorders>
              <w:left w:val="single" w:color="auto" w:sz="4" w:space="0"/>
              <w:right w:val="single" w:color="auto" w:sz="4" w:space="0"/>
            </w:tcBorders>
            <w:vAlign w:val="center"/>
          </w:tcPr>
          <w:p w14:paraId="6740A99E">
            <w:pPr>
              <w:widowControl/>
              <w:spacing w:beforeLines="0" w:afterLines="0" w:line="240" w:lineRule="auto"/>
              <w:jc w:val="left"/>
              <w:rPr>
                <w:rFonts w:hint="eastAsia" w:ascii="宋体" w:hAnsi="宋体" w:cs="宋体"/>
                <w:sz w:val="18"/>
                <w:szCs w:val="18"/>
              </w:rPr>
            </w:pPr>
          </w:p>
        </w:tc>
        <w:tc>
          <w:tcPr>
            <w:tcW w:w="1515" w:type="dxa"/>
            <w:vMerge w:val="continue"/>
            <w:tcBorders>
              <w:left w:val="single" w:color="auto" w:sz="4" w:space="0"/>
              <w:right w:val="single" w:color="auto" w:sz="4" w:space="0"/>
            </w:tcBorders>
            <w:vAlign w:val="center"/>
          </w:tcPr>
          <w:p w14:paraId="5CDD7527">
            <w:pPr>
              <w:widowControl/>
              <w:spacing w:beforeLines="0" w:afterLines="0" w:line="240" w:lineRule="auto"/>
              <w:jc w:val="left"/>
              <w:rPr>
                <w:rFonts w:hint="eastAsia" w:ascii="宋体" w:hAnsi="宋体" w:cs="宋体"/>
                <w:sz w:val="18"/>
                <w:szCs w:val="18"/>
              </w:rPr>
            </w:pPr>
          </w:p>
        </w:tc>
        <w:tc>
          <w:tcPr>
            <w:tcW w:w="1995" w:type="dxa"/>
            <w:tcBorders>
              <w:top w:val="single" w:color="auto" w:sz="4" w:space="0"/>
              <w:left w:val="single" w:color="auto" w:sz="4" w:space="0"/>
              <w:bottom w:val="single" w:color="auto" w:sz="4" w:space="0"/>
              <w:right w:val="single" w:color="auto" w:sz="4" w:space="0"/>
            </w:tcBorders>
            <w:vAlign w:val="center"/>
          </w:tcPr>
          <w:p w14:paraId="1A065B7D">
            <w:pPr>
              <w:pStyle w:val="146"/>
              <w:rPr>
                <w:rFonts w:hint="eastAsia" w:ascii="宋体" w:hAnsi="宋体" w:cs="宋体"/>
                <w:bCs/>
                <w:sz w:val="18"/>
                <w:szCs w:val="18"/>
              </w:rPr>
            </w:pPr>
            <w:r>
              <w:rPr>
                <w:rFonts w:hint="eastAsia" w:ascii="宋体" w:hAnsi="宋体" w:cs="宋体"/>
                <w:bCs/>
                <w:sz w:val="18"/>
                <w:szCs w:val="18"/>
              </w:rPr>
              <w:t>主梁横向位移</w:t>
            </w:r>
          </w:p>
        </w:tc>
        <w:tc>
          <w:tcPr>
            <w:tcW w:w="945" w:type="dxa"/>
            <w:tcBorders>
              <w:top w:val="single" w:color="auto" w:sz="4" w:space="0"/>
              <w:left w:val="single" w:color="auto" w:sz="4" w:space="0"/>
              <w:bottom w:val="single" w:color="auto" w:sz="4" w:space="0"/>
              <w:right w:val="single" w:color="auto" w:sz="4" w:space="0"/>
            </w:tcBorders>
            <w:vAlign w:val="center"/>
          </w:tcPr>
          <w:p w14:paraId="4339FE32">
            <w:pPr>
              <w:pStyle w:val="146"/>
              <w:rPr>
                <w:rFonts w:hint="eastAsia" w:ascii="宋体" w:hAnsi="宋体" w:cs="宋体"/>
                <w:sz w:val="18"/>
                <w:szCs w:val="18"/>
              </w:rPr>
            </w:pPr>
            <w:r>
              <w:rPr>
                <w:rFonts w:hint="eastAsia" w:ascii="宋体" w:hAnsi="宋体" w:cs="宋体"/>
                <w:bCs/>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4FD2FFED">
            <w:pPr>
              <w:pStyle w:val="146"/>
              <w:rPr>
                <w:rFonts w:hint="eastAsia" w:ascii="宋体" w:hAnsi="宋体" w:cs="宋体"/>
                <w:sz w:val="18"/>
                <w:szCs w:val="18"/>
              </w:rPr>
            </w:pPr>
            <w:r>
              <w:rPr>
                <w:rFonts w:hint="eastAsia" w:ascii="宋体" w:hAnsi="宋体" w:cs="宋体"/>
                <w:sz w:val="18"/>
                <w:szCs w:val="18"/>
              </w:rPr>
              <w:t>梁端截面</w:t>
            </w:r>
          </w:p>
        </w:tc>
      </w:tr>
      <w:tr w14:paraId="7210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continue"/>
            <w:tcBorders>
              <w:left w:val="single" w:color="auto" w:sz="4" w:space="0"/>
              <w:right w:val="single" w:color="auto" w:sz="4" w:space="0"/>
            </w:tcBorders>
            <w:vAlign w:val="center"/>
          </w:tcPr>
          <w:p w14:paraId="5168D52F">
            <w:pPr>
              <w:widowControl/>
              <w:spacing w:beforeLines="0" w:afterLines="0" w:line="240" w:lineRule="auto"/>
              <w:jc w:val="center"/>
              <w:rPr>
                <w:rFonts w:hint="eastAsia" w:ascii="宋体" w:hAnsi="宋体" w:cs="宋体"/>
                <w:sz w:val="18"/>
                <w:szCs w:val="18"/>
              </w:rPr>
            </w:pPr>
          </w:p>
        </w:tc>
        <w:tc>
          <w:tcPr>
            <w:tcW w:w="593" w:type="dxa"/>
            <w:vMerge w:val="continue"/>
            <w:tcBorders>
              <w:left w:val="single" w:color="auto" w:sz="4" w:space="0"/>
              <w:right w:val="single" w:color="auto" w:sz="4" w:space="0"/>
            </w:tcBorders>
            <w:vAlign w:val="center"/>
          </w:tcPr>
          <w:p w14:paraId="683714BE">
            <w:pPr>
              <w:widowControl/>
              <w:spacing w:beforeLines="0" w:afterLines="0" w:line="240" w:lineRule="auto"/>
              <w:jc w:val="left"/>
              <w:rPr>
                <w:rFonts w:hint="eastAsia" w:ascii="宋体" w:hAnsi="宋体" w:cs="宋体"/>
                <w:sz w:val="18"/>
                <w:szCs w:val="18"/>
              </w:rPr>
            </w:pPr>
          </w:p>
        </w:tc>
        <w:tc>
          <w:tcPr>
            <w:tcW w:w="1515" w:type="dxa"/>
            <w:vMerge w:val="continue"/>
            <w:tcBorders>
              <w:left w:val="single" w:color="auto" w:sz="4" w:space="0"/>
              <w:right w:val="single" w:color="auto" w:sz="4" w:space="0"/>
            </w:tcBorders>
            <w:vAlign w:val="center"/>
          </w:tcPr>
          <w:p w14:paraId="4887A0A3">
            <w:pPr>
              <w:widowControl/>
              <w:spacing w:beforeLines="0" w:afterLines="0" w:line="240" w:lineRule="auto"/>
              <w:jc w:val="left"/>
              <w:rPr>
                <w:rFonts w:hint="eastAsia" w:ascii="宋体" w:hAnsi="宋体" w:cs="宋体"/>
                <w:sz w:val="18"/>
                <w:szCs w:val="18"/>
              </w:rPr>
            </w:pPr>
          </w:p>
        </w:tc>
        <w:tc>
          <w:tcPr>
            <w:tcW w:w="1995" w:type="dxa"/>
            <w:tcBorders>
              <w:top w:val="single" w:color="auto" w:sz="4" w:space="0"/>
              <w:left w:val="single" w:color="auto" w:sz="4" w:space="0"/>
              <w:bottom w:val="single" w:color="auto" w:sz="4" w:space="0"/>
              <w:right w:val="single" w:color="auto" w:sz="4" w:space="0"/>
            </w:tcBorders>
            <w:vAlign w:val="center"/>
          </w:tcPr>
          <w:p w14:paraId="296FC67D">
            <w:pPr>
              <w:pStyle w:val="146"/>
              <w:rPr>
                <w:rFonts w:hint="eastAsia" w:ascii="宋体" w:hAnsi="宋体" w:cs="宋体"/>
                <w:bCs/>
                <w:sz w:val="18"/>
                <w:szCs w:val="18"/>
              </w:rPr>
            </w:pPr>
            <w:r>
              <w:rPr>
                <w:rFonts w:hint="eastAsia" w:ascii="宋体" w:hAnsi="宋体" w:cs="宋体"/>
                <w:bCs/>
                <w:sz w:val="18"/>
                <w:szCs w:val="18"/>
              </w:rPr>
              <w:t>支座位移</w:t>
            </w:r>
          </w:p>
        </w:tc>
        <w:tc>
          <w:tcPr>
            <w:tcW w:w="945" w:type="dxa"/>
            <w:tcBorders>
              <w:top w:val="single" w:color="auto" w:sz="4" w:space="0"/>
              <w:left w:val="single" w:color="auto" w:sz="4" w:space="0"/>
              <w:bottom w:val="single" w:color="auto" w:sz="4" w:space="0"/>
              <w:right w:val="single" w:color="auto" w:sz="4" w:space="0"/>
            </w:tcBorders>
            <w:vAlign w:val="center"/>
          </w:tcPr>
          <w:p w14:paraId="232BCEB2">
            <w:pPr>
              <w:pStyle w:val="146"/>
              <w:rPr>
                <w:rFonts w:hint="eastAsia" w:ascii="宋体" w:hAnsi="宋体" w:cs="宋体"/>
                <w:sz w:val="18"/>
                <w:szCs w:val="18"/>
              </w:rPr>
            </w:pPr>
            <w:r>
              <w:rPr>
                <w:rFonts w:hint="eastAsia" w:ascii="宋体" w:hAnsi="宋体" w:cs="宋体"/>
                <w:bCs/>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57324532">
            <w:pPr>
              <w:pStyle w:val="146"/>
              <w:rPr>
                <w:rFonts w:hint="eastAsia" w:ascii="宋体" w:hAnsi="宋体" w:cs="宋体"/>
                <w:sz w:val="18"/>
                <w:szCs w:val="18"/>
              </w:rPr>
            </w:pPr>
            <w:r>
              <w:rPr>
                <w:rFonts w:hint="eastAsia" w:ascii="宋体" w:hAnsi="宋体" w:cs="宋体"/>
                <w:sz w:val="18"/>
                <w:szCs w:val="18"/>
              </w:rPr>
              <w:t>-</w:t>
            </w:r>
          </w:p>
        </w:tc>
      </w:tr>
      <w:tr w14:paraId="0C1F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continue"/>
            <w:tcBorders>
              <w:left w:val="single" w:color="auto" w:sz="4" w:space="0"/>
              <w:right w:val="single" w:color="auto" w:sz="4" w:space="0"/>
            </w:tcBorders>
            <w:vAlign w:val="center"/>
          </w:tcPr>
          <w:p w14:paraId="5238264E">
            <w:pPr>
              <w:widowControl/>
              <w:spacing w:beforeLines="0" w:afterLines="0" w:line="240" w:lineRule="auto"/>
              <w:jc w:val="center"/>
              <w:rPr>
                <w:rFonts w:hint="eastAsia" w:ascii="宋体" w:hAnsi="宋体" w:cs="宋体"/>
                <w:sz w:val="18"/>
                <w:szCs w:val="18"/>
              </w:rPr>
            </w:pPr>
          </w:p>
        </w:tc>
        <w:tc>
          <w:tcPr>
            <w:tcW w:w="593" w:type="dxa"/>
            <w:vMerge w:val="continue"/>
            <w:tcBorders>
              <w:left w:val="single" w:color="auto" w:sz="4" w:space="0"/>
              <w:right w:val="single" w:color="auto" w:sz="4" w:space="0"/>
            </w:tcBorders>
            <w:vAlign w:val="center"/>
          </w:tcPr>
          <w:p w14:paraId="6CDA193D">
            <w:pPr>
              <w:widowControl/>
              <w:spacing w:beforeLines="0" w:afterLines="0" w:line="240" w:lineRule="auto"/>
              <w:jc w:val="left"/>
              <w:rPr>
                <w:rFonts w:hint="eastAsia" w:ascii="宋体" w:hAnsi="宋体" w:cs="宋体"/>
                <w:sz w:val="18"/>
                <w:szCs w:val="18"/>
              </w:rPr>
            </w:pPr>
          </w:p>
        </w:tc>
        <w:tc>
          <w:tcPr>
            <w:tcW w:w="1515" w:type="dxa"/>
            <w:vMerge w:val="continue"/>
            <w:tcBorders>
              <w:left w:val="single" w:color="auto" w:sz="4" w:space="0"/>
              <w:right w:val="single" w:color="auto" w:sz="4" w:space="0"/>
            </w:tcBorders>
            <w:vAlign w:val="center"/>
          </w:tcPr>
          <w:p w14:paraId="103DDC94">
            <w:pPr>
              <w:widowControl/>
              <w:spacing w:beforeLines="0" w:afterLines="0" w:line="240" w:lineRule="auto"/>
              <w:jc w:val="left"/>
              <w:rPr>
                <w:rFonts w:hint="eastAsia" w:ascii="宋体" w:hAnsi="宋体" w:cs="宋体"/>
                <w:sz w:val="18"/>
                <w:szCs w:val="18"/>
              </w:rPr>
            </w:pPr>
          </w:p>
        </w:tc>
        <w:tc>
          <w:tcPr>
            <w:tcW w:w="1995" w:type="dxa"/>
            <w:tcBorders>
              <w:top w:val="single" w:color="auto" w:sz="4" w:space="0"/>
              <w:left w:val="single" w:color="auto" w:sz="4" w:space="0"/>
              <w:bottom w:val="single" w:color="auto" w:sz="4" w:space="0"/>
              <w:right w:val="single" w:color="auto" w:sz="4" w:space="0"/>
            </w:tcBorders>
            <w:vAlign w:val="center"/>
          </w:tcPr>
          <w:p w14:paraId="3A174C96">
            <w:pPr>
              <w:pStyle w:val="146"/>
              <w:rPr>
                <w:rFonts w:hint="eastAsia" w:ascii="宋体" w:hAnsi="宋体" w:cs="宋体"/>
                <w:bCs/>
                <w:sz w:val="18"/>
                <w:szCs w:val="18"/>
              </w:rPr>
            </w:pPr>
            <w:r>
              <w:rPr>
                <w:rFonts w:hint="eastAsia" w:ascii="宋体" w:hAnsi="宋体" w:cs="宋体"/>
                <w:bCs/>
                <w:sz w:val="18"/>
                <w:szCs w:val="18"/>
              </w:rPr>
              <w:t>梁端纵向位移</w:t>
            </w:r>
          </w:p>
        </w:tc>
        <w:tc>
          <w:tcPr>
            <w:tcW w:w="945" w:type="dxa"/>
            <w:tcBorders>
              <w:top w:val="single" w:color="auto" w:sz="4" w:space="0"/>
              <w:left w:val="single" w:color="auto" w:sz="4" w:space="0"/>
              <w:bottom w:val="single" w:color="auto" w:sz="4" w:space="0"/>
              <w:right w:val="single" w:color="auto" w:sz="4" w:space="0"/>
            </w:tcBorders>
            <w:vAlign w:val="center"/>
          </w:tcPr>
          <w:p w14:paraId="440A9382">
            <w:pPr>
              <w:pStyle w:val="146"/>
              <w:rPr>
                <w:rFonts w:hint="eastAsia" w:ascii="宋体" w:hAnsi="宋体" w:cs="宋体"/>
                <w:sz w:val="18"/>
                <w:szCs w:val="18"/>
              </w:rPr>
            </w:pPr>
            <w:r>
              <w:rPr>
                <w:rFonts w:hint="eastAsia" w:ascii="宋体" w:hAnsi="宋体" w:cs="宋体"/>
                <w:bCs/>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0831AB43">
            <w:pPr>
              <w:pStyle w:val="146"/>
              <w:rPr>
                <w:rFonts w:hint="eastAsia" w:ascii="宋体" w:hAnsi="宋体" w:cs="宋体"/>
                <w:sz w:val="18"/>
                <w:szCs w:val="18"/>
              </w:rPr>
            </w:pPr>
            <w:r>
              <w:rPr>
                <w:rFonts w:hint="eastAsia" w:ascii="宋体" w:hAnsi="宋体" w:cs="宋体"/>
                <w:sz w:val="18"/>
                <w:szCs w:val="18"/>
              </w:rPr>
              <w:t>梁端截面</w:t>
            </w:r>
          </w:p>
        </w:tc>
      </w:tr>
      <w:tr w14:paraId="401A9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continue"/>
            <w:tcBorders>
              <w:left w:val="single" w:color="auto" w:sz="4" w:space="0"/>
              <w:right w:val="single" w:color="auto" w:sz="4" w:space="0"/>
            </w:tcBorders>
            <w:vAlign w:val="center"/>
          </w:tcPr>
          <w:p w14:paraId="2444138B">
            <w:pPr>
              <w:widowControl/>
              <w:spacing w:beforeLines="0" w:afterLines="0" w:line="240" w:lineRule="auto"/>
              <w:jc w:val="center"/>
              <w:rPr>
                <w:rFonts w:hint="eastAsia" w:ascii="宋体" w:hAnsi="宋体" w:cs="宋体"/>
                <w:sz w:val="18"/>
                <w:szCs w:val="18"/>
              </w:rPr>
            </w:pPr>
          </w:p>
        </w:tc>
        <w:tc>
          <w:tcPr>
            <w:tcW w:w="593" w:type="dxa"/>
            <w:vMerge w:val="continue"/>
            <w:tcBorders>
              <w:left w:val="single" w:color="auto" w:sz="4" w:space="0"/>
              <w:right w:val="single" w:color="auto" w:sz="4" w:space="0"/>
            </w:tcBorders>
            <w:vAlign w:val="center"/>
          </w:tcPr>
          <w:p w14:paraId="08473F3B">
            <w:pPr>
              <w:widowControl/>
              <w:spacing w:beforeLines="0" w:afterLines="0" w:line="240" w:lineRule="auto"/>
              <w:jc w:val="left"/>
              <w:rPr>
                <w:rFonts w:hint="eastAsia" w:ascii="宋体" w:hAnsi="宋体" w:cs="宋体"/>
                <w:sz w:val="18"/>
                <w:szCs w:val="18"/>
              </w:rPr>
            </w:pPr>
          </w:p>
        </w:tc>
        <w:tc>
          <w:tcPr>
            <w:tcW w:w="1515" w:type="dxa"/>
            <w:vMerge w:val="continue"/>
            <w:tcBorders>
              <w:left w:val="single" w:color="auto" w:sz="4" w:space="0"/>
              <w:right w:val="single" w:color="auto" w:sz="4" w:space="0"/>
            </w:tcBorders>
            <w:vAlign w:val="center"/>
          </w:tcPr>
          <w:p w14:paraId="65977C05">
            <w:pPr>
              <w:widowControl/>
              <w:spacing w:beforeLines="0" w:afterLines="0" w:line="240" w:lineRule="auto"/>
              <w:jc w:val="left"/>
              <w:rPr>
                <w:rFonts w:hint="eastAsia" w:ascii="宋体" w:hAnsi="宋体" w:cs="宋体"/>
                <w:sz w:val="18"/>
                <w:szCs w:val="18"/>
              </w:rPr>
            </w:pPr>
          </w:p>
        </w:tc>
        <w:tc>
          <w:tcPr>
            <w:tcW w:w="1995" w:type="dxa"/>
            <w:tcBorders>
              <w:top w:val="single" w:color="auto" w:sz="4" w:space="0"/>
              <w:left w:val="single" w:color="auto" w:sz="4" w:space="0"/>
              <w:bottom w:val="single" w:color="auto" w:sz="4" w:space="0"/>
              <w:right w:val="single" w:color="auto" w:sz="4" w:space="0"/>
            </w:tcBorders>
            <w:vAlign w:val="center"/>
          </w:tcPr>
          <w:p w14:paraId="7CBA33AF">
            <w:pPr>
              <w:pStyle w:val="146"/>
              <w:rPr>
                <w:rFonts w:hint="eastAsia" w:ascii="宋体" w:hAnsi="宋体" w:cs="宋体"/>
                <w:bCs/>
                <w:sz w:val="18"/>
                <w:szCs w:val="18"/>
              </w:rPr>
            </w:pPr>
            <w:r>
              <w:rPr>
                <w:rFonts w:hint="eastAsia" w:ascii="宋体" w:hAnsi="宋体" w:cs="宋体"/>
                <w:bCs/>
                <w:sz w:val="18"/>
                <w:szCs w:val="18"/>
              </w:rPr>
              <w:t>塔顶偏位</w:t>
            </w:r>
          </w:p>
        </w:tc>
        <w:tc>
          <w:tcPr>
            <w:tcW w:w="945" w:type="dxa"/>
            <w:tcBorders>
              <w:top w:val="single" w:color="auto" w:sz="4" w:space="0"/>
              <w:left w:val="single" w:color="auto" w:sz="4" w:space="0"/>
              <w:bottom w:val="single" w:color="auto" w:sz="4" w:space="0"/>
              <w:right w:val="single" w:color="auto" w:sz="4" w:space="0"/>
            </w:tcBorders>
            <w:vAlign w:val="center"/>
          </w:tcPr>
          <w:p w14:paraId="18AF38A5">
            <w:pPr>
              <w:pStyle w:val="146"/>
              <w:rPr>
                <w:rFonts w:hint="eastAsia" w:ascii="宋体" w:hAnsi="宋体" w:cs="宋体"/>
                <w:bCs/>
                <w:sz w:val="18"/>
                <w:szCs w:val="18"/>
              </w:rPr>
            </w:pPr>
            <w:r>
              <w:rPr>
                <w:rFonts w:hint="eastAsia" w:ascii="宋体" w:hAnsi="宋体" w:cs="宋体"/>
                <w:bCs/>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2C1AD49E">
            <w:pPr>
              <w:pStyle w:val="146"/>
              <w:rPr>
                <w:rFonts w:hint="eastAsia" w:ascii="宋体" w:hAnsi="宋体" w:cs="宋体"/>
                <w:sz w:val="18"/>
                <w:szCs w:val="18"/>
              </w:rPr>
            </w:pPr>
            <w:r>
              <w:rPr>
                <w:rFonts w:hint="eastAsia" w:ascii="宋体" w:hAnsi="宋体" w:cs="宋体"/>
                <w:sz w:val="18"/>
                <w:szCs w:val="18"/>
              </w:rPr>
              <w:t>索塔塔顶</w:t>
            </w:r>
          </w:p>
        </w:tc>
      </w:tr>
      <w:tr w14:paraId="3E6C9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continue"/>
            <w:tcBorders>
              <w:left w:val="single" w:color="auto" w:sz="4" w:space="0"/>
              <w:right w:val="single" w:color="auto" w:sz="4" w:space="0"/>
            </w:tcBorders>
            <w:vAlign w:val="center"/>
          </w:tcPr>
          <w:p w14:paraId="15206183">
            <w:pPr>
              <w:widowControl/>
              <w:spacing w:beforeLines="0" w:afterLines="0" w:line="240" w:lineRule="auto"/>
              <w:jc w:val="center"/>
              <w:rPr>
                <w:rFonts w:hint="eastAsia" w:ascii="宋体" w:hAnsi="宋体" w:cs="宋体"/>
                <w:sz w:val="18"/>
                <w:szCs w:val="18"/>
              </w:rPr>
            </w:pPr>
          </w:p>
        </w:tc>
        <w:tc>
          <w:tcPr>
            <w:tcW w:w="593" w:type="dxa"/>
            <w:vMerge w:val="continue"/>
            <w:tcBorders>
              <w:left w:val="single" w:color="auto" w:sz="4" w:space="0"/>
              <w:bottom w:val="single" w:color="auto" w:sz="4" w:space="0"/>
              <w:right w:val="single" w:color="auto" w:sz="4" w:space="0"/>
            </w:tcBorders>
            <w:vAlign w:val="center"/>
          </w:tcPr>
          <w:p w14:paraId="05AECE1A">
            <w:pPr>
              <w:widowControl/>
              <w:spacing w:beforeLines="0" w:afterLines="0" w:line="240" w:lineRule="auto"/>
              <w:jc w:val="left"/>
              <w:rPr>
                <w:rFonts w:hint="eastAsia" w:ascii="宋体" w:hAnsi="宋体" w:cs="宋体"/>
                <w:sz w:val="18"/>
                <w:szCs w:val="18"/>
              </w:rPr>
            </w:pPr>
          </w:p>
        </w:tc>
        <w:tc>
          <w:tcPr>
            <w:tcW w:w="1515" w:type="dxa"/>
            <w:vMerge w:val="continue"/>
            <w:tcBorders>
              <w:left w:val="single" w:color="auto" w:sz="4" w:space="0"/>
              <w:bottom w:val="single" w:color="auto" w:sz="4" w:space="0"/>
              <w:right w:val="single" w:color="auto" w:sz="4" w:space="0"/>
            </w:tcBorders>
            <w:vAlign w:val="center"/>
          </w:tcPr>
          <w:p w14:paraId="7F4907FA">
            <w:pPr>
              <w:widowControl/>
              <w:spacing w:beforeLines="0" w:afterLines="0" w:line="240" w:lineRule="auto"/>
              <w:jc w:val="left"/>
              <w:rPr>
                <w:rFonts w:hint="eastAsia" w:ascii="宋体" w:hAnsi="宋体" w:cs="宋体"/>
                <w:sz w:val="18"/>
                <w:szCs w:val="18"/>
              </w:rPr>
            </w:pPr>
          </w:p>
        </w:tc>
        <w:tc>
          <w:tcPr>
            <w:tcW w:w="1995" w:type="dxa"/>
            <w:tcBorders>
              <w:top w:val="single" w:color="auto" w:sz="4" w:space="0"/>
              <w:left w:val="single" w:color="auto" w:sz="4" w:space="0"/>
              <w:bottom w:val="single" w:color="auto" w:sz="4" w:space="0"/>
              <w:right w:val="single" w:color="auto" w:sz="4" w:space="0"/>
            </w:tcBorders>
            <w:vAlign w:val="center"/>
          </w:tcPr>
          <w:p w14:paraId="78F41485">
            <w:pPr>
              <w:pStyle w:val="146"/>
              <w:rPr>
                <w:rFonts w:hint="eastAsia" w:ascii="宋体" w:hAnsi="宋体" w:cs="宋体"/>
                <w:sz w:val="18"/>
                <w:szCs w:val="18"/>
              </w:rPr>
            </w:pPr>
            <w:r>
              <w:rPr>
                <w:rFonts w:hint="eastAsia" w:ascii="宋体" w:hAnsi="宋体" w:cs="宋体"/>
                <w:sz w:val="18"/>
                <w:szCs w:val="18"/>
              </w:rPr>
              <w:t>主缆偏位</w:t>
            </w:r>
          </w:p>
        </w:tc>
        <w:tc>
          <w:tcPr>
            <w:tcW w:w="945" w:type="dxa"/>
            <w:tcBorders>
              <w:top w:val="single" w:color="auto" w:sz="4" w:space="0"/>
              <w:left w:val="single" w:color="auto" w:sz="4" w:space="0"/>
              <w:bottom w:val="single" w:color="auto" w:sz="4" w:space="0"/>
              <w:right w:val="single" w:color="auto" w:sz="4" w:space="0"/>
            </w:tcBorders>
            <w:vAlign w:val="center"/>
          </w:tcPr>
          <w:p w14:paraId="0EDC0F6C">
            <w:pPr>
              <w:pStyle w:val="146"/>
              <w:rPr>
                <w:rFonts w:hint="eastAsia" w:ascii="宋体" w:hAnsi="宋体" w:cs="宋体"/>
                <w:sz w:val="18"/>
                <w:szCs w:val="18"/>
              </w:rPr>
            </w:pPr>
            <w:r>
              <w:rPr>
                <w:rFonts w:hint="eastAsia" w:ascii="宋体" w:hAnsi="宋体" w:cs="宋体"/>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6F89BBA7">
            <w:pPr>
              <w:pStyle w:val="146"/>
              <w:rPr>
                <w:rFonts w:hint="eastAsia" w:ascii="宋体" w:hAnsi="宋体" w:cs="宋体"/>
                <w:sz w:val="18"/>
                <w:szCs w:val="18"/>
              </w:rPr>
            </w:pPr>
            <w:r>
              <w:rPr>
                <w:rFonts w:hint="eastAsia" w:ascii="宋体" w:hAnsi="宋体" w:cs="宋体"/>
                <w:sz w:val="18"/>
                <w:szCs w:val="18"/>
              </w:rPr>
              <w:t>-</w:t>
            </w:r>
          </w:p>
        </w:tc>
      </w:tr>
      <w:tr w14:paraId="608B9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8475" w:type="dxa"/>
            <w:gridSpan w:val="7"/>
            <w:tcBorders>
              <w:left w:val="single" w:color="auto" w:sz="4" w:space="0"/>
              <w:right w:val="single" w:color="auto" w:sz="4" w:space="0"/>
            </w:tcBorders>
            <w:vAlign w:val="center"/>
          </w:tcPr>
          <w:p w14:paraId="3E906E00">
            <w:pPr>
              <w:pStyle w:val="146"/>
              <w:rPr>
                <w:rFonts w:hint="eastAsia" w:ascii="宋体" w:hAnsi="宋体" w:cs="宋体"/>
                <w:sz w:val="18"/>
                <w:szCs w:val="18"/>
              </w:rPr>
            </w:pPr>
            <w:r>
              <w:rPr>
                <w:rFonts w:hint="eastAsia" w:ascii="黑体" w:hAnsi="黑体" w:eastAsia="黑体"/>
                <w:bCs/>
                <w:color w:val="auto"/>
              </w:rPr>
              <w:t>B.5.6</w:t>
            </w:r>
            <w:r>
              <w:rPr>
                <w:rFonts w:ascii="黑体" w:hAnsi="黑体" w:eastAsia="黑体"/>
                <w:bCs/>
                <w:color w:val="auto"/>
              </w:rPr>
              <w:t xml:space="preserve">  </w:t>
            </w:r>
            <w:r>
              <w:rPr>
                <w:rFonts w:hint="eastAsia" w:ascii="黑体" w:hAnsi="黑体" w:eastAsia="黑体"/>
                <w:bCs/>
                <w:color w:val="auto"/>
              </w:rPr>
              <w:t>悬索桥监测</w:t>
            </w:r>
            <w:r>
              <w:rPr>
                <w:rFonts w:hint="eastAsia" w:ascii="黑体" w:hAnsi="黑体" w:eastAsia="黑体"/>
                <w:bCs/>
                <w:color w:val="auto"/>
                <w:lang w:val="en-US" w:eastAsia="zh-CN"/>
              </w:rPr>
              <w:t>布点要求（续）</w:t>
            </w:r>
          </w:p>
        </w:tc>
      </w:tr>
      <w:tr w14:paraId="0FDFD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92" w:type="dxa"/>
            <w:gridSpan w:val="2"/>
            <w:tcBorders>
              <w:left w:val="single" w:color="auto" w:sz="4" w:space="0"/>
              <w:right w:val="single" w:color="auto" w:sz="4" w:space="0"/>
            </w:tcBorders>
            <w:shd w:val="clear" w:color="auto" w:fill="auto"/>
            <w:vAlign w:val="center"/>
          </w:tcPr>
          <w:p w14:paraId="345EA8C8">
            <w:pPr>
              <w:pStyle w:val="146"/>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序号</w:t>
            </w:r>
          </w:p>
        </w:tc>
        <w:tc>
          <w:tcPr>
            <w:tcW w:w="2108" w:type="dxa"/>
            <w:gridSpan w:val="2"/>
            <w:tcBorders>
              <w:left w:val="single" w:color="auto" w:sz="4" w:space="0"/>
              <w:right w:val="single" w:color="auto" w:sz="4" w:space="0"/>
            </w:tcBorders>
            <w:shd w:val="clear" w:color="auto" w:fill="auto"/>
            <w:vAlign w:val="center"/>
          </w:tcPr>
          <w:p w14:paraId="0635255C">
            <w:pPr>
              <w:pStyle w:val="146"/>
              <w:rPr>
                <w:rFonts w:hint="eastAsia" w:ascii="宋体" w:hAnsi="宋体" w:eastAsia="宋体" w:cs="宋体"/>
                <w:kern w:val="2"/>
                <w:sz w:val="18"/>
                <w:szCs w:val="18"/>
                <w:lang w:val="en-US" w:eastAsia="zh-CN" w:bidi="ar-SA"/>
              </w:rPr>
            </w:pPr>
            <w:r>
              <w:rPr>
                <w:rFonts w:hint="eastAsia" w:ascii="宋体" w:hAnsi="宋体" w:cs="宋体"/>
                <w:sz w:val="18"/>
                <w:szCs w:val="18"/>
              </w:rPr>
              <w:t>监测对象</w:t>
            </w:r>
          </w:p>
        </w:tc>
        <w:tc>
          <w:tcPr>
            <w:tcW w:w="1995" w:type="dxa"/>
            <w:tcBorders>
              <w:left w:val="single" w:color="auto" w:sz="4" w:space="0"/>
              <w:right w:val="single" w:color="auto" w:sz="4" w:space="0"/>
            </w:tcBorders>
            <w:shd w:val="clear" w:color="auto" w:fill="auto"/>
            <w:vAlign w:val="center"/>
          </w:tcPr>
          <w:p w14:paraId="6194BB4C">
            <w:pPr>
              <w:pStyle w:val="146"/>
              <w:rPr>
                <w:rFonts w:hint="eastAsia" w:ascii="宋体" w:hAnsi="宋体" w:eastAsia="宋体" w:cs="宋体"/>
                <w:kern w:val="2"/>
                <w:sz w:val="18"/>
                <w:szCs w:val="18"/>
                <w:lang w:val="en-US" w:eastAsia="zh-CN" w:bidi="ar-SA"/>
              </w:rPr>
            </w:pPr>
            <w:r>
              <w:rPr>
                <w:rFonts w:hint="eastAsia" w:ascii="宋体" w:hAnsi="宋体" w:cs="宋体"/>
                <w:sz w:val="18"/>
                <w:szCs w:val="18"/>
              </w:rPr>
              <w:t>监测指标</w:t>
            </w:r>
          </w:p>
        </w:tc>
        <w:tc>
          <w:tcPr>
            <w:tcW w:w="945" w:type="dxa"/>
            <w:tcBorders>
              <w:left w:val="single" w:color="auto" w:sz="4" w:space="0"/>
              <w:right w:val="single" w:color="auto" w:sz="4" w:space="0"/>
            </w:tcBorders>
            <w:shd w:val="clear" w:color="auto" w:fill="auto"/>
            <w:vAlign w:val="center"/>
          </w:tcPr>
          <w:p w14:paraId="0112299E">
            <w:pPr>
              <w:pStyle w:val="146"/>
              <w:rPr>
                <w:rFonts w:hint="eastAsia" w:ascii="宋体" w:hAnsi="宋体" w:eastAsia="宋体" w:cs="宋体"/>
                <w:kern w:val="2"/>
                <w:sz w:val="18"/>
                <w:szCs w:val="18"/>
                <w:lang w:val="en-US" w:eastAsia="zh-CN" w:bidi="ar-SA"/>
              </w:rPr>
            </w:pPr>
            <w:r>
              <w:rPr>
                <w:rFonts w:hint="eastAsia" w:ascii="宋体" w:hAnsi="宋体" w:cs="宋体"/>
                <w:sz w:val="18"/>
                <w:szCs w:val="18"/>
              </w:rPr>
              <w:t>监测要求</w:t>
            </w:r>
          </w:p>
        </w:tc>
        <w:tc>
          <w:tcPr>
            <w:tcW w:w="2835" w:type="dxa"/>
            <w:tcBorders>
              <w:left w:val="single" w:color="auto" w:sz="4" w:space="0"/>
              <w:right w:val="single" w:color="auto" w:sz="4" w:space="0"/>
            </w:tcBorders>
            <w:shd w:val="clear" w:color="auto" w:fill="auto"/>
            <w:vAlign w:val="center"/>
          </w:tcPr>
          <w:p w14:paraId="71F526E4">
            <w:pPr>
              <w:pStyle w:val="146"/>
              <w:rPr>
                <w:rFonts w:hint="eastAsia" w:ascii="宋体" w:hAnsi="宋体" w:eastAsia="宋体" w:cs="宋体"/>
                <w:kern w:val="2"/>
                <w:sz w:val="18"/>
                <w:szCs w:val="18"/>
                <w:lang w:val="en-US" w:eastAsia="zh-CN" w:bidi="ar-SA"/>
              </w:rPr>
            </w:pPr>
            <w:r>
              <w:rPr>
                <w:rFonts w:hint="eastAsia" w:ascii="宋体" w:hAnsi="宋体" w:cs="宋体"/>
                <w:color w:val="000000"/>
                <w:kern w:val="0"/>
                <w:sz w:val="18"/>
                <w:szCs w:val="18"/>
              </w:rPr>
              <w:t>监测布</w:t>
            </w:r>
            <w:r>
              <w:rPr>
                <w:rFonts w:hint="eastAsia" w:ascii="宋体" w:hAnsi="宋体" w:cs="宋体"/>
                <w:color w:val="000000"/>
                <w:kern w:val="0"/>
                <w:sz w:val="18"/>
                <w:szCs w:val="18"/>
                <w:lang w:val="en-US" w:eastAsia="zh-CN"/>
              </w:rPr>
              <w:t>点</w:t>
            </w:r>
            <w:r>
              <w:rPr>
                <w:rFonts w:hint="eastAsia" w:ascii="宋体" w:hAnsi="宋体" w:cs="宋体"/>
                <w:color w:val="000000"/>
                <w:kern w:val="0"/>
                <w:sz w:val="18"/>
                <w:szCs w:val="18"/>
              </w:rPr>
              <w:t>要求</w:t>
            </w:r>
          </w:p>
        </w:tc>
      </w:tr>
      <w:tr w14:paraId="4EC15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restart"/>
            <w:tcBorders>
              <w:left w:val="single" w:color="auto" w:sz="4" w:space="0"/>
              <w:right w:val="single" w:color="auto" w:sz="4" w:space="0"/>
            </w:tcBorders>
            <w:vAlign w:val="center"/>
          </w:tcPr>
          <w:p w14:paraId="337CF6E0">
            <w:pPr>
              <w:widowControl/>
              <w:spacing w:beforeLines="0" w:afterLines="0" w:line="240" w:lineRule="auto"/>
              <w:jc w:val="center"/>
              <w:rPr>
                <w:rFonts w:hint="eastAsia" w:ascii="宋体" w:hAnsi="宋体" w:cs="宋体"/>
                <w:sz w:val="18"/>
                <w:szCs w:val="18"/>
              </w:rPr>
            </w:pPr>
          </w:p>
        </w:tc>
        <w:tc>
          <w:tcPr>
            <w:tcW w:w="593" w:type="dxa"/>
            <w:vMerge w:val="restart"/>
            <w:tcBorders>
              <w:top w:val="single" w:color="auto" w:sz="4" w:space="0"/>
              <w:left w:val="single" w:color="auto" w:sz="4" w:space="0"/>
              <w:right w:val="single" w:color="auto" w:sz="4" w:space="0"/>
            </w:tcBorders>
            <w:vAlign w:val="center"/>
          </w:tcPr>
          <w:p w14:paraId="792CBDA4">
            <w:pPr>
              <w:widowControl/>
              <w:spacing w:beforeLines="0" w:afterLines="0" w:line="240" w:lineRule="auto"/>
              <w:jc w:val="left"/>
              <w:rPr>
                <w:rFonts w:hint="eastAsia" w:ascii="宋体" w:hAnsi="宋体" w:cs="宋体"/>
                <w:sz w:val="18"/>
                <w:szCs w:val="18"/>
              </w:rPr>
            </w:pPr>
          </w:p>
        </w:tc>
        <w:tc>
          <w:tcPr>
            <w:tcW w:w="1515" w:type="dxa"/>
            <w:vMerge w:val="restart"/>
            <w:tcBorders>
              <w:top w:val="single" w:color="auto" w:sz="4" w:space="0"/>
              <w:left w:val="single" w:color="auto" w:sz="4" w:space="0"/>
              <w:right w:val="single" w:color="auto" w:sz="4" w:space="0"/>
            </w:tcBorders>
            <w:vAlign w:val="center"/>
          </w:tcPr>
          <w:p w14:paraId="3568A449">
            <w:pPr>
              <w:widowControl/>
              <w:spacing w:beforeLines="0" w:afterLines="0" w:line="240" w:lineRule="auto"/>
              <w:jc w:val="left"/>
              <w:rPr>
                <w:rFonts w:hint="eastAsia" w:ascii="宋体" w:hAnsi="宋体" w:cs="宋体"/>
                <w:sz w:val="18"/>
                <w:szCs w:val="18"/>
              </w:rPr>
            </w:pPr>
          </w:p>
        </w:tc>
        <w:tc>
          <w:tcPr>
            <w:tcW w:w="1995" w:type="dxa"/>
            <w:tcBorders>
              <w:top w:val="single" w:color="auto" w:sz="4" w:space="0"/>
              <w:left w:val="single" w:color="auto" w:sz="4" w:space="0"/>
              <w:bottom w:val="single" w:color="auto" w:sz="4" w:space="0"/>
              <w:right w:val="single" w:color="auto" w:sz="4" w:space="0"/>
            </w:tcBorders>
            <w:vAlign w:val="center"/>
          </w:tcPr>
          <w:p w14:paraId="0B424D48">
            <w:pPr>
              <w:pStyle w:val="146"/>
              <w:rPr>
                <w:rFonts w:hint="eastAsia" w:ascii="宋体" w:hAnsi="宋体" w:cs="宋体"/>
                <w:sz w:val="18"/>
                <w:szCs w:val="18"/>
              </w:rPr>
            </w:pPr>
            <w:r>
              <w:rPr>
                <w:rFonts w:hint="eastAsia" w:ascii="宋体" w:hAnsi="宋体" w:cs="宋体"/>
                <w:sz w:val="18"/>
                <w:szCs w:val="18"/>
              </w:rPr>
              <w:t>墩顶倾斜</w:t>
            </w:r>
          </w:p>
        </w:tc>
        <w:tc>
          <w:tcPr>
            <w:tcW w:w="945" w:type="dxa"/>
            <w:tcBorders>
              <w:top w:val="single" w:color="auto" w:sz="4" w:space="0"/>
              <w:left w:val="single" w:color="auto" w:sz="4" w:space="0"/>
              <w:bottom w:val="single" w:color="auto" w:sz="4" w:space="0"/>
              <w:right w:val="single" w:color="auto" w:sz="4" w:space="0"/>
            </w:tcBorders>
            <w:vAlign w:val="center"/>
          </w:tcPr>
          <w:p w14:paraId="680B0642">
            <w:pPr>
              <w:pStyle w:val="146"/>
              <w:rPr>
                <w:rFonts w:hint="eastAsia" w:ascii="宋体" w:hAnsi="宋体" w:cs="宋体"/>
                <w:sz w:val="18"/>
                <w:szCs w:val="18"/>
              </w:rPr>
            </w:pPr>
            <w:r>
              <w:rPr>
                <w:rFonts w:hint="eastAsia" w:ascii="宋体" w:hAnsi="宋体" w:cs="宋体"/>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79B26FAC">
            <w:pPr>
              <w:pStyle w:val="146"/>
              <w:rPr>
                <w:rFonts w:hint="eastAsia" w:ascii="宋体" w:hAnsi="宋体" w:cs="宋体"/>
                <w:sz w:val="18"/>
                <w:szCs w:val="18"/>
              </w:rPr>
            </w:pPr>
            <w:r>
              <w:rPr>
                <w:rFonts w:hint="eastAsia" w:ascii="宋体" w:hAnsi="宋体" w:cs="宋体"/>
                <w:sz w:val="18"/>
                <w:szCs w:val="18"/>
              </w:rPr>
              <w:t>桥墩顶部</w:t>
            </w:r>
          </w:p>
        </w:tc>
      </w:tr>
      <w:tr w14:paraId="48C9B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continue"/>
            <w:tcBorders>
              <w:left w:val="single" w:color="auto" w:sz="4" w:space="0"/>
              <w:bottom w:val="single" w:color="auto" w:sz="4" w:space="0"/>
              <w:right w:val="single" w:color="auto" w:sz="4" w:space="0"/>
            </w:tcBorders>
            <w:vAlign w:val="center"/>
          </w:tcPr>
          <w:p w14:paraId="5C359392">
            <w:pPr>
              <w:widowControl/>
              <w:spacing w:beforeLines="0" w:afterLines="0" w:line="240" w:lineRule="auto"/>
              <w:jc w:val="center"/>
              <w:rPr>
                <w:rFonts w:hint="eastAsia" w:ascii="宋体" w:hAnsi="宋体" w:cs="宋体"/>
                <w:sz w:val="18"/>
                <w:szCs w:val="18"/>
              </w:rPr>
            </w:pPr>
          </w:p>
        </w:tc>
        <w:tc>
          <w:tcPr>
            <w:tcW w:w="593" w:type="dxa"/>
            <w:vMerge w:val="continue"/>
            <w:tcBorders>
              <w:left w:val="single" w:color="auto" w:sz="4" w:space="0"/>
              <w:bottom w:val="single" w:color="auto" w:sz="4" w:space="0"/>
              <w:right w:val="single" w:color="auto" w:sz="4" w:space="0"/>
            </w:tcBorders>
            <w:vAlign w:val="center"/>
          </w:tcPr>
          <w:p w14:paraId="1C3BFAD2">
            <w:pPr>
              <w:widowControl/>
              <w:spacing w:beforeLines="0" w:afterLines="0" w:line="240" w:lineRule="auto"/>
              <w:jc w:val="left"/>
              <w:rPr>
                <w:rFonts w:hint="eastAsia" w:ascii="宋体" w:hAnsi="宋体" w:cs="宋体"/>
                <w:sz w:val="18"/>
                <w:szCs w:val="18"/>
              </w:rPr>
            </w:pPr>
          </w:p>
        </w:tc>
        <w:tc>
          <w:tcPr>
            <w:tcW w:w="1515" w:type="dxa"/>
            <w:vMerge w:val="continue"/>
            <w:tcBorders>
              <w:left w:val="single" w:color="auto" w:sz="4" w:space="0"/>
              <w:bottom w:val="single" w:color="auto" w:sz="4" w:space="0"/>
              <w:right w:val="single" w:color="auto" w:sz="4" w:space="0"/>
            </w:tcBorders>
            <w:vAlign w:val="center"/>
          </w:tcPr>
          <w:p w14:paraId="7AEDDEEF">
            <w:pPr>
              <w:widowControl/>
              <w:spacing w:beforeLines="0" w:afterLines="0" w:line="240" w:lineRule="auto"/>
              <w:jc w:val="left"/>
              <w:rPr>
                <w:rFonts w:hint="eastAsia" w:ascii="宋体" w:hAnsi="宋体" w:cs="宋体"/>
                <w:sz w:val="18"/>
                <w:szCs w:val="18"/>
              </w:rPr>
            </w:pPr>
          </w:p>
        </w:tc>
        <w:tc>
          <w:tcPr>
            <w:tcW w:w="1995" w:type="dxa"/>
            <w:tcBorders>
              <w:top w:val="single" w:color="auto" w:sz="4" w:space="0"/>
              <w:left w:val="single" w:color="auto" w:sz="4" w:space="0"/>
              <w:bottom w:val="single" w:color="auto" w:sz="4" w:space="0"/>
              <w:right w:val="single" w:color="auto" w:sz="4" w:space="0"/>
            </w:tcBorders>
            <w:vAlign w:val="center"/>
          </w:tcPr>
          <w:p w14:paraId="52C68B33">
            <w:pPr>
              <w:pStyle w:val="146"/>
              <w:rPr>
                <w:rFonts w:hint="eastAsia" w:ascii="宋体" w:hAnsi="宋体" w:cs="宋体"/>
                <w:sz w:val="18"/>
                <w:szCs w:val="18"/>
              </w:rPr>
            </w:pPr>
            <w:r>
              <w:rPr>
                <w:rFonts w:hint="eastAsia" w:ascii="宋体" w:hAnsi="宋体" w:cs="宋体"/>
                <w:sz w:val="18"/>
                <w:szCs w:val="18"/>
              </w:rPr>
              <w:t>桥台倾斜</w:t>
            </w:r>
          </w:p>
        </w:tc>
        <w:tc>
          <w:tcPr>
            <w:tcW w:w="945" w:type="dxa"/>
            <w:tcBorders>
              <w:top w:val="single" w:color="auto" w:sz="4" w:space="0"/>
              <w:left w:val="single" w:color="auto" w:sz="4" w:space="0"/>
              <w:bottom w:val="single" w:color="auto" w:sz="4" w:space="0"/>
              <w:right w:val="single" w:color="auto" w:sz="4" w:space="0"/>
            </w:tcBorders>
            <w:vAlign w:val="center"/>
          </w:tcPr>
          <w:p w14:paraId="7202402F">
            <w:pPr>
              <w:pStyle w:val="146"/>
              <w:rPr>
                <w:rFonts w:hint="eastAsia" w:ascii="宋体" w:hAnsi="宋体" w:cs="宋体"/>
                <w:sz w:val="18"/>
                <w:szCs w:val="18"/>
              </w:rPr>
            </w:pPr>
            <w:r>
              <w:rPr>
                <w:rFonts w:hint="eastAsia" w:ascii="宋体" w:hAnsi="宋体" w:cs="宋体"/>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3ADA5D72">
            <w:pPr>
              <w:pStyle w:val="146"/>
              <w:rPr>
                <w:rFonts w:hint="eastAsia" w:ascii="宋体" w:hAnsi="宋体" w:cs="宋体"/>
                <w:sz w:val="18"/>
                <w:szCs w:val="18"/>
              </w:rPr>
            </w:pPr>
            <w:r>
              <w:rPr>
                <w:rFonts w:hint="eastAsia" w:ascii="宋体" w:hAnsi="宋体" w:cs="宋体"/>
                <w:sz w:val="18"/>
                <w:szCs w:val="18"/>
              </w:rPr>
              <w:t>桥台顶部</w:t>
            </w:r>
          </w:p>
        </w:tc>
      </w:tr>
      <w:tr w14:paraId="26E73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restart"/>
            <w:tcBorders>
              <w:top w:val="single" w:color="auto" w:sz="4" w:space="0"/>
              <w:left w:val="single" w:color="auto" w:sz="4" w:space="0"/>
              <w:right w:val="single" w:color="auto" w:sz="4" w:space="0"/>
            </w:tcBorders>
            <w:vAlign w:val="center"/>
          </w:tcPr>
          <w:p w14:paraId="6EB33909">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15</w:t>
            </w:r>
          </w:p>
        </w:tc>
        <w:tc>
          <w:tcPr>
            <w:tcW w:w="593" w:type="dxa"/>
            <w:tcBorders>
              <w:top w:val="single" w:color="auto" w:sz="4" w:space="0"/>
              <w:left w:val="single" w:color="auto" w:sz="4" w:space="0"/>
              <w:bottom w:val="single" w:color="auto" w:sz="4" w:space="0"/>
              <w:right w:val="single" w:color="auto" w:sz="4" w:space="0"/>
            </w:tcBorders>
            <w:vAlign w:val="center"/>
          </w:tcPr>
          <w:p w14:paraId="7F81821C">
            <w:pPr>
              <w:widowControl/>
              <w:spacing w:beforeLines="0" w:afterLines="0" w:line="240" w:lineRule="auto"/>
              <w:jc w:val="left"/>
              <w:rPr>
                <w:rFonts w:hint="eastAsia" w:ascii="宋体" w:hAnsi="宋体" w:cs="宋体"/>
                <w:sz w:val="18"/>
                <w:szCs w:val="18"/>
              </w:rPr>
            </w:pPr>
          </w:p>
        </w:tc>
        <w:tc>
          <w:tcPr>
            <w:tcW w:w="1515" w:type="dxa"/>
            <w:vMerge w:val="restart"/>
            <w:tcBorders>
              <w:top w:val="single" w:color="auto" w:sz="4" w:space="0"/>
              <w:left w:val="single" w:color="auto" w:sz="4" w:space="0"/>
              <w:bottom w:val="single" w:color="auto" w:sz="4" w:space="0"/>
              <w:right w:val="single" w:color="auto" w:sz="4" w:space="0"/>
            </w:tcBorders>
            <w:vAlign w:val="center"/>
          </w:tcPr>
          <w:p w14:paraId="539BC7E3">
            <w:pPr>
              <w:pStyle w:val="146"/>
              <w:rPr>
                <w:rFonts w:hint="eastAsia" w:ascii="宋体" w:hAnsi="宋体" w:cs="宋体"/>
                <w:sz w:val="18"/>
                <w:szCs w:val="18"/>
              </w:rPr>
            </w:pPr>
            <w:r>
              <w:rPr>
                <w:rFonts w:hint="eastAsia" w:ascii="宋体" w:hAnsi="宋体" w:cs="宋体"/>
                <w:sz w:val="18"/>
                <w:szCs w:val="18"/>
              </w:rPr>
              <w:t>转角</w:t>
            </w:r>
          </w:p>
        </w:tc>
        <w:tc>
          <w:tcPr>
            <w:tcW w:w="1995" w:type="dxa"/>
            <w:tcBorders>
              <w:top w:val="single" w:color="auto" w:sz="4" w:space="0"/>
              <w:left w:val="single" w:color="auto" w:sz="4" w:space="0"/>
              <w:bottom w:val="single" w:color="auto" w:sz="4" w:space="0"/>
              <w:right w:val="single" w:color="auto" w:sz="4" w:space="0"/>
            </w:tcBorders>
            <w:vAlign w:val="center"/>
          </w:tcPr>
          <w:p w14:paraId="341C47C7">
            <w:pPr>
              <w:pStyle w:val="146"/>
              <w:rPr>
                <w:rFonts w:hint="eastAsia" w:ascii="宋体" w:hAnsi="宋体" w:cs="宋体"/>
                <w:sz w:val="18"/>
                <w:szCs w:val="18"/>
              </w:rPr>
            </w:pPr>
            <w:r>
              <w:rPr>
                <w:rFonts w:hint="eastAsia" w:ascii="宋体" w:hAnsi="宋体" w:cs="宋体"/>
                <w:sz w:val="18"/>
                <w:szCs w:val="18"/>
              </w:rPr>
              <w:t>塔顶转角</w:t>
            </w:r>
          </w:p>
        </w:tc>
        <w:tc>
          <w:tcPr>
            <w:tcW w:w="945" w:type="dxa"/>
            <w:tcBorders>
              <w:top w:val="single" w:color="auto" w:sz="4" w:space="0"/>
              <w:left w:val="single" w:color="auto" w:sz="4" w:space="0"/>
              <w:bottom w:val="single" w:color="auto" w:sz="4" w:space="0"/>
              <w:right w:val="single" w:color="auto" w:sz="4" w:space="0"/>
            </w:tcBorders>
            <w:vAlign w:val="center"/>
          </w:tcPr>
          <w:p w14:paraId="7EC0415A">
            <w:pPr>
              <w:pStyle w:val="146"/>
              <w:rPr>
                <w:rFonts w:hint="eastAsia" w:ascii="宋体" w:hAnsi="宋体" w:cs="宋体"/>
                <w:sz w:val="18"/>
                <w:szCs w:val="18"/>
              </w:rPr>
            </w:pPr>
            <w:r>
              <w:rPr>
                <w:rFonts w:hint="eastAsia" w:ascii="宋体" w:hAnsi="宋体" w:cs="宋体"/>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7DACE840">
            <w:pPr>
              <w:pStyle w:val="146"/>
              <w:rPr>
                <w:rFonts w:hint="eastAsia" w:ascii="宋体" w:hAnsi="宋体" w:cs="宋体"/>
                <w:sz w:val="18"/>
                <w:szCs w:val="18"/>
              </w:rPr>
            </w:pPr>
            <w:r>
              <w:rPr>
                <w:rFonts w:hint="eastAsia" w:ascii="宋体" w:hAnsi="宋体" w:cs="宋体"/>
                <w:sz w:val="18"/>
                <w:szCs w:val="18"/>
              </w:rPr>
              <w:t>索塔塔顶</w:t>
            </w:r>
          </w:p>
        </w:tc>
      </w:tr>
      <w:tr w14:paraId="377CB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continue"/>
            <w:tcBorders>
              <w:left w:val="single" w:color="auto" w:sz="4" w:space="0"/>
              <w:right w:val="single" w:color="auto" w:sz="4" w:space="0"/>
            </w:tcBorders>
            <w:vAlign w:val="center"/>
          </w:tcPr>
          <w:p w14:paraId="01FC8A22">
            <w:pPr>
              <w:widowControl/>
              <w:spacing w:beforeLines="0" w:afterLines="0" w:line="240" w:lineRule="auto"/>
              <w:jc w:val="center"/>
              <w:rPr>
                <w:rFonts w:hint="eastAsia" w:ascii="宋体" w:hAnsi="宋体" w:cs="宋体"/>
                <w:sz w:val="18"/>
                <w:szCs w:val="18"/>
              </w:rPr>
            </w:pPr>
          </w:p>
        </w:tc>
        <w:tc>
          <w:tcPr>
            <w:tcW w:w="593" w:type="dxa"/>
            <w:tcBorders>
              <w:top w:val="single" w:color="auto" w:sz="4" w:space="0"/>
              <w:left w:val="single" w:color="auto" w:sz="4" w:space="0"/>
              <w:bottom w:val="single" w:color="auto" w:sz="4" w:space="0"/>
              <w:right w:val="single" w:color="auto" w:sz="4" w:space="0"/>
            </w:tcBorders>
            <w:vAlign w:val="center"/>
          </w:tcPr>
          <w:p w14:paraId="017F4B62">
            <w:pPr>
              <w:widowControl/>
              <w:spacing w:beforeLines="0" w:afterLines="0" w:line="240" w:lineRule="auto"/>
              <w:jc w:val="left"/>
              <w:rPr>
                <w:rFonts w:hint="eastAsia" w:ascii="宋体" w:hAnsi="宋体" w:cs="宋体"/>
                <w:sz w:val="18"/>
                <w:szCs w:val="18"/>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37FE756A">
            <w:pPr>
              <w:widowControl/>
              <w:spacing w:beforeLines="0" w:afterLines="0" w:line="240" w:lineRule="auto"/>
              <w:jc w:val="left"/>
              <w:rPr>
                <w:rFonts w:hint="eastAsia" w:ascii="宋体" w:hAnsi="宋体" w:cs="宋体"/>
                <w:sz w:val="18"/>
                <w:szCs w:val="18"/>
              </w:rPr>
            </w:pPr>
          </w:p>
        </w:tc>
        <w:tc>
          <w:tcPr>
            <w:tcW w:w="1995" w:type="dxa"/>
            <w:tcBorders>
              <w:top w:val="single" w:color="auto" w:sz="4" w:space="0"/>
              <w:left w:val="single" w:color="auto" w:sz="4" w:space="0"/>
              <w:bottom w:val="single" w:color="auto" w:sz="4" w:space="0"/>
              <w:right w:val="single" w:color="auto" w:sz="4" w:space="0"/>
            </w:tcBorders>
            <w:vAlign w:val="center"/>
          </w:tcPr>
          <w:p w14:paraId="30A15689">
            <w:pPr>
              <w:pStyle w:val="146"/>
              <w:rPr>
                <w:rFonts w:hint="eastAsia" w:ascii="宋体" w:hAnsi="宋体" w:cs="宋体"/>
                <w:sz w:val="18"/>
                <w:szCs w:val="18"/>
              </w:rPr>
            </w:pPr>
            <w:r>
              <w:rPr>
                <w:rFonts w:hint="eastAsia" w:ascii="宋体" w:hAnsi="宋体" w:cs="宋体"/>
                <w:bCs/>
                <w:sz w:val="18"/>
                <w:szCs w:val="18"/>
              </w:rPr>
              <w:t>梁端水平转角</w:t>
            </w:r>
          </w:p>
        </w:tc>
        <w:tc>
          <w:tcPr>
            <w:tcW w:w="945" w:type="dxa"/>
            <w:tcBorders>
              <w:top w:val="single" w:color="auto" w:sz="4" w:space="0"/>
              <w:left w:val="single" w:color="auto" w:sz="4" w:space="0"/>
              <w:bottom w:val="single" w:color="auto" w:sz="4" w:space="0"/>
              <w:right w:val="single" w:color="auto" w:sz="4" w:space="0"/>
            </w:tcBorders>
            <w:vAlign w:val="center"/>
          </w:tcPr>
          <w:p w14:paraId="52DE7A5B">
            <w:pPr>
              <w:pStyle w:val="146"/>
              <w:rPr>
                <w:rFonts w:hint="eastAsia" w:ascii="宋体" w:hAnsi="宋体" w:cs="宋体"/>
                <w:sz w:val="18"/>
                <w:szCs w:val="18"/>
              </w:rPr>
            </w:pPr>
            <w:r>
              <w:rPr>
                <w:rFonts w:hint="eastAsia" w:ascii="宋体" w:hAnsi="宋体" w:cs="宋体"/>
                <w:bCs/>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1868F801">
            <w:pPr>
              <w:pStyle w:val="146"/>
              <w:rPr>
                <w:rFonts w:hint="eastAsia" w:ascii="宋体" w:hAnsi="宋体" w:cs="宋体"/>
                <w:sz w:val="18"/>
                <w:szCs w:val="18"/>
              </w:rPr>
            </w:pPr>
            <w:r>
              <w:rPr>
                <w:rFonts w:hint="eastAsia" w:ascii="宋体" w:hAnsi="宋体" w:cs="宋体"/>
                <w:sz w:val="18"/>
                <w:szCs w:val="18"/>
              </w:rPr>
              <w:t>梁端截面</w:t>
            </w:r>
          </w:p>
        </w:tc>
      </w:tr>
      <w:tr w14:paraId="25566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continue"/>
            <w:tcBorders>
              <w:left w:val="single" w:color="auto" w:sz="4" w:space="0"/>
              <w:bottom w:val="single" w:color="auto" w:sz="4" w:space="0"/>
              <w:right w:val="single" w:color="auto" w:sz="4" w:space="0"/>
            </w:tcBorders>
            <w:vAlign w:val="center"/>
          </w:tcPr>
          <w:p w14:paraId="3B217CCA">
            <w:pPr>
              <w:widowControl/>
              <w:spacing w:beforeLines="0" w:afterLines="0" w:line="240" w:lineRule="auto"/>
              <w:jc w:val="center"/>
              <w:rPr>
                <w:rFonts w:hint="eastAsia" w:ascii="宋体" w:hAnsi="宋体" w:cs="宋体"/>
                <w:sz w:val="18"/>
                <w:szCs w:val="18"/>
              </w:rPr>
            </w:pPr>
          </w:p>
        </w:tc>
        <w:tc>
          <w:tcPr>
            <w:tcW w:w="593" w:type="dxa"/>
            <w:tcBorders>
              <w:top w:val="single" w:color="auto" w:sz="4" w:space="0"/>
              <w:left w:val="single" w:color="auto" w:sz="4" w:space="0"/>
              <w:bottom w:val="single" w:color="auto" w:sz="4" w:space="0"/>
              <w:right w:val="single" w:color="auto" w:sz="4" w:space="0"/>
            </w:tcBorders>
            <w:vAlign w:val="center"/>
          </w:tcPr>
          <w:p w14:paraId="39CE99CB">
            <w:pPr>
              <w:widowControl/>
              <w:spacing w:beforeLines="0" w:afterLines="0" w:line="240" w:lineRule="auto"/>
              <w:jc w:val="left"/>
              <w:rPr>
                <w:rFonts w:hint="eastAsia" w:ascii="宋体" w:hAnsi="宋体" w:cs="宋体"/>
                <w:sz w:val="18"/>
                <w:szCs w:val="18"/>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55ECD992">
            <w:pPr>
              <w:widowControl/>
              <w:spacing w:beforeLines="0" w:afterLines="0" w:line="240" w:lineRule="auto"/>
              <w:jc w:val="left"/>
              <w:rPr>
                <w:rFonts w:hint="eastAsia" w:ascii="宋体" w:hAnsi="宋体" w:cs="宋体"/>
                <w:sz w:val="18"/>
                <w:szCs w:val="18"/>
              </w:rPr>
            </w:pPr>
          </w:p>
        </w:tc>
        <w:tc>
          <w:tcPr>
            <w:tcW w:w="1995" w:type="dxa"/>
            <w:tcBorders>
              <w:top w:val="single" w:color="auto" w:sz="4" w:space="0"/>
              <w:left w:val="single" w:color="auto" w:sz="4" w:space="0"/>
              <w:bottom w:val="single" w:color="auto" w:sz="4" w:space="0"/>
              <w:right w:val="single" w:color="auto" w:sz="4" w:space="0"/>
            </w:tcBorders>
            <w:vAlign w:val="center"/>
          </w:tcPr>
          <w:p w14:paraId="1B0F8437">
            <w:pPr>
              <w:pStyle w:val="146"/>
              <w:rPr>
                <w:rFonts w:hint="eastAsia" w:ascii="宋体" w:hAnsi="宋体" w:cs="宋体"/>
                <w:sz w:val="18"/>
                <w:szCs w:val="18"/>
              </w:rPr>
            </w:pPr>
            <w:r>
              <w:rPr>
                <w:rFonts w:hint="eastAsia" w:ascii="宋体" w:hAnsi="宋体" w:cs="宋体"/>
                <w:bCs/>
                <w:sz w:val="18"/>
                <w:szCs w:val="18"/>
              </w:rPr>
              <w:t>梁端竖向转角</w:t>
            </w:r>
          </w:p>
        </w:tc>
        <w:tc>
          <w:tcPr>
            <w:tcW w:w="945" w:type="dxa"/>
            <w:tcBorders>
              <w:top w:val="single" w:color="auto" w:sz="4" w:space="0"/>
              <w:left w:val="single" w:color="auto" w:sz="4" w:space="0"/>
              <w:bottom w:val="single" w:color="auto" w:sz="4" w:space="0"/>
              <w:right w:val="single" w:color="auto" w:sz="4" w:space="0"/>
            </w:tcBorders>
            <w:vAlign w:val="center"/>
          </w:tcPr>
          <w:p w14:paraId="3E2F9EC0">
            <w:pPr>
              <w:pStyle w:val="146"/>
              <w:rPr>
                <w:rFonts w:hint="eastAsia" w:ascii="宋体" w:hAnsi="宋体" w:cs="宋体"/>
                <w:sz w:val="18"/>
                <w:szCs w:val="18"/>
              </w:rPr>
            </w:pPr>
            <w:r>
              <w:rPr>
                <w:rFonts w:hint="eastAsia" w:ascii="宋体" w:hAnsi="宋体" w:cs="宋体"/>
                <w:bCs/>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4BCD0F25">
            <w:pPr>
              <w:pStyle w:val="146"/>
              <w:rPr>
                <w:rFonts w:hint="eastAsia" w:ascii="宋体" w:hAnsi="宋体" w:cs="宋体"/>
                <w:sz w:val="18"/>
                <w:szCs w:val="18"/>
              </w:rPr>
            </w:pPr>
            <w:r>
              <w:rPr>
                <w:rFonts w:hint="eastAsia" w:ascii="宋体" w:hAnsi="宋体" w:cs="宋体"/>
                <w:sz w:val="18"/>
                <w:szCs w:val="18"/>
              </w:rPr>
              <w:t>梁端截面</w:t>
            </w:r>
          </w:p>
        </w:tc>
      </w:tr>
      <w:tr w14:paraId="10072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restart"/>
            <w:tcBorders>
              <w:top w:val="single" w:color="auto" w:sz="4" w:space="0"/>
              <w:left w:val="single" w:color="auto" w:sz="4" w:space="0"/>
              <w:right w:val="single" w:color="auto" w:sz="4" w:space="0"/>
            </w:tcBorders>
            <w:vAlign w:val="center"/>
          </w:tcPr>
          <w:p w14:paraId="0CA25537">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16</w:t>
            </w:r>
          </w:p>
        </w:tc>
        <w:tc>
          <w:tcPr>
            <w:tcW w:w="593" w:type="dxa"/>
            <w:tcBorders>
              <w:top w:val="single" w:color="auto" w:sz="4" w:space="0"/>
              <w:left w:val="single" w:color="auto" w:sz="4" w:space="0"/>
              <w:bottom w:val="single" w:color="auto" w:sz="4" w:space="0"/>
              <w:right w:val="single" w:color="auto" w:sz="4" w:space="0"/>
            </w:tcBorders>
            <w:vAlign w:val="center"/>
          </w:tcPr>
          <w:p w14:paraId="58DD145D">
            <w:pPr>
              <w:widowControl/>
              <w:spacing w:beforeLines="0" w:afterLines="0" w:line="240" w:lineRule="auto"/>
              <w:jc w:val="left"/>
              <w:rPr>
                <w:rFonts w:hint="eastAsia" w:ascii="宋体" w:hAnsi="宋体" w:cs="宋体"/>
                <w:sz w:val="18"/>
                <w:szCs w:val="18"/>
              </w:rPr>
            </w:pPr>
          </w:p>
        </w:tc>
        <w:tc>
          <w:tcPr>
            <w:tcW w:w="1515" w:type="dxa"/>
            <w:vMerge w:val="restart"/>
            <w:tcBorders>
              <w:top w:val="single" w:color="auto" w:sz="4" w:space="0"/>
              <w:left w:val="single" w:color="auto" w:sz="4" w:space="0"/>
              <w:bottom w:val="single" w:color="auto" w:sz="4" w:space="0"/>
              <w:right w:val="single" w:color="auto" w:sz="4" w:space="0"/>
            </w:tcBorders>
            <w:vAlign w:val="center"/>
          </w:tcPr>
          <w:p w14:paraId="632F8BA5">
            <w:pPr>
              <w:pStyle w:val="146"/>
              <w:rPr>
                <w:rFonts w:hint="eastAsia" w:ascii="宋体" w:hAnsi="宋体" w:cs="宋体"/>
                <w:sz w:val="18"/>
                <w:szCs w:val="18"/>
              </w:rPr>
            </w:pPr>
            <w:r>
              <w:rPr>
                <w:rFonts w:hint="eastAsia" w:ascii="宋体" w:hAnsi="宋体" w:cs="宋体"/>
                <w:sz w:val="18"/>
                <w:szCs w:val="18"/>
              </w:rPr>
              <w:t>应变</w:t>
            </w:r>
          </w:p>
        </w:tc>
        <w:tc>
          <w:tcPr>
            <w:tcW w:w="1995" w:type="dxa"/>
            <w:tcBorders>
              <w:top w:val="single" w:color="auto" w:sz="4" w:space="0"/>
              <w:left w:val="single" w:color="auto" w:sz="4" w:space="0"/>
              <w:bottom w:val="single" w:color="auto" w:sz="4" w:space="0"/>
              <w:right w:val="single" w:color="auto" w:sz="4" w:space="0"/>
            </w:tcBorders>
            <w:vAlign w:val="center"/>
          </w:tcPr>
          <w:p w14:paraId="7F030A55">
            <w:pPr>
              <w:pStyle w:val="146"/>
              <w:rPr>
                <w:rFonts w:hint="eastAsia" w:ascii="宋体" w:hAnsi="宋体" w:cs="宋体"/>
                <w:bCs/>
                <w:sz w:val="18"/>
                <w:szCs w:val="18"/>
              </w:rPr>
            </w:pPr>
            <w:r>
              <w:rPr>
                <w:rFonts w:hint="eastAsia" w:ascii="宋体" w:hAnsi="宋体" w:cs="宋体"/>
                <w:bCs/>
                <w:sz w:val="18"/>
                <w:szCs w:val="18"/>
              </w:rPr>
              <w:t>主梁关键截面应变</w:t>
            </w:r>
          </w:p>
        </w:tc>
        <w:tc>
          <w:tcPr>
            <w:tcW w:w="945" w:type="dxa"/>
            <w:tcBorders>
              <w:top w:val="single" w:color="auto" w:sz="4" w:space="0"/>
              <w:left w:val="single" w:color="auto" w:sz="4" w:space="0"/>
              <w:bottom w:val="single" w:color="auto" w:sz="4" w:space="0"/>
              <w:right w:val="single" w:color="auto" w:sz="4" w:space="0"/>
            </w:tcBorders>
            <w:vAlign w:val="center"/>
          </w:tcPr>
          <w:p w14:paraId="1A003AFF">
            <w:pPr>
              <w:pStyle w:val="146"/>
              <w:rPr>
                <w:rFonts w:hint="eastAsia" w:ascii="宋体" w:hAnsi="宋体" w:cs="宋体"/>
                <w:bCs/>
                <w:sz w:val="18"/>
                <w:szCs w:val="18"/>
              </w:rPr>
            </w:pPr>
            <w:r>
              <w:rPr>
                <w:rFonts w:hint="eastAsia" w:ascii="宋体" w:hAnsi="宋体" w:cs="宋体"/>
                <w:bCs/>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092D1644">
            <w:pPr>
              <w:pStyle w:val="146"/>
              <w:rPr>
                <w:rFonts w:hint="eastAsia" w:ascii="宋体" w:hAnsi="宋体" w:cs="宋体"/>
                <w:sz w:val="18"/>
                <w:szCs w:val="18"/>
              </w:rPr>
            </w:pPr>
            <w:r>
              <w:rPr>
                <w:rFonts w:hint="eastAsia" w:ascii="宋体" w:hAnsi="宋体" w:cs="宋体"/>
                <w:sz w:val="18"/>
                <w:szCs w:val="18"/>
              </w:rPr>
              <w:t>边跨最大正弯矩截面、支点处最大负弯矩截面、主跨跨中截面。</w:t>
            </w:r>
            <w:r>
              <w:rPr>
                <w:rFonts w:hint="eastAsia" w:cs="宋体"/>
                <w:bCs/>
                <w:sz w:val="18"/>
                <w:szCs w:val="18"/>
              </w:rPr>
              <w:t>宜布</w:t>
            </w:r>
            <w:r>
              <w:rPr>
                <w:rFonts w:hint="eastAsia" w:cs="宋体"/>
                <w:bCs/>
                <w:sz w:val="18"/>
                <w:szCs w:val="18"/>
                <w:lang w:eastAsia="zh-CN"/>
              </w:rPr>
              <w:t>置于</w:t>
            </w:r>
            <w:r>
              <w:rPr>
                <w:rFonts w:hint="eastAsia" w:cs="宋体"/>
                <w:bCs/>
                <w:sz w:val="18"/>
                <w:szCs w:val="18"/>
              </w:rPr>
              <w:t>车道下方，每个断面</w:t>
            </w:r>
            <w:r>
              <w:rPr>
                <w:rFonts w:hint="eastAsia" w:cs="宋体"/>
                <w:bCs/>
                <w:sz w:val="18"/>
                <w:szCs w:val="18"/>
                <w:lang w:eastAsia="zh-CN"/>
              </w:rPr>
              <w:t>不低于</w:t>
            </w:r>
            <w:r>
              <w:rPr>
                <w:rFonts w:hint="eastAsia" w:cs="宋体"/>
                <w:bCs/>
                <w:sz w:val="18"/>
                <w:szCs w:val="18"/>
              </w:rPr>
              <w:t>2处。</w:t>
            </w:r>
          </w:p>
        </w:tc>
      </w:tr>
      <w:tr w14:paraId="30E9B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continue"/>
            <w:tcBorders>
              <w:left w:val="single" w:color="auto" w:sz="4" w:space="0"/>
              <w:bottom w:val="single" w:color="auto" w:sz="4" w:space="0"/>
              <w:right w:val="single" w:color="auto" w:sz="4" w:space="0"/>
            </w:tcBorders>
            <w:vAlign w:val="center"/>
          </w:tcPr>
          <w:p w14:paraId="012F94B8">
            <w:pPr>
              <w:widowControl/>
              <w:spacing w:beforeLines="0" w:afterLines="0" w:line="240" w:lineRule="auto"/>
              <w:jc w:val="center"/>
              <w:rPr>
                <w:rFonts w:hint="eastAsia" w:ascii="宋体" w:hAnsi="宋体" w:cs="宋体"/>
                <w:sz w:val="18"/>
                <w:szCs w:val="18"/>
              </w:rPr>
            </w:pPr>
          </w:p>
        </w:tc>
        <w:tc>
          <w:tcPr>
            <w:tcW w:w="593" w:type="dxa"/>
            <w:tcBorders>
              <w:top w:val="single" w:color="auto" w:sz="4" w:space="0"/>
              <w:left w:val="single" w:color="auto" w:sz="4" w:space="0"/>
              <w:bottom w:val="single" w:color="auto" w:sz="4" w:space="0"/>
              <w:right w:val="single" w:color="auto" w:sz="4" w:space="0"/>
            </w:tcBorders>
            <w:vAlign w:val="center"/>
          </w:tcPr>
          <w:p w14:paraId="679B1B8F">
            <w:pPr>
              <w:widowControl/>
              <w:spacing w:beforeLines="0" w:afterLines="0" w:line="240" w:lineRule="auto"/>
              <w:jc w:val="left"/>
              <w:rPr>
                <w:rFonts w:hint="eastAsia" w:ascii="宋体" w:hAnsi="宋体" w:cs="宋体"/>
                <w:sz w:val="18"/>
                <w:szCs w:val="18"/>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4DF8AEA2">
            <w:pPr>
              <w:widowControl/>
              <w:spacing w:beforeLines="0" w:afterLines="0" w:line="240" w:lineRule="auto"/>
              <w:jc w:val="left"/>
              <w:rPr>
                <w:rFonts w:hint="eastAsia" w:ascii="宋体" w:hAnsi="宋体" w:cs="宋体"/>
                <w:sz w:val="18"/>
                <w:szCs w:val="18"/>
              </w:rPr>
            </w:pPr>
          </w:p>
        </w:tc>
        <w:tc>
          <w:tcPr>
            <w:tcW w:w="1995" w:type="dxa"/>
            <w:tcBorders>
              <w:top w:val="single" w:color="auto" w:sz="4" w:space="0"/>
              <w:left w:val="single" w:color="auto" w:sz="4" w:space="0"/>
              <w:bottom w:val="single" w:color="auto" w:sz="4" w:space="0"/>
              <w:right w:val="single" w:color="auto" w:sz="4" w:space="0"/>
            </w:tcBorders>
            <w:vAlign w:val="center"/>
          </w:tcPr>
          <w:p w14:paraId="61EC2295">
            <w:pPr>
              <w:pStyle w:val="146"/>
              <w:rPr>
                <w:rFonts w:hint="eastAsia" w:ascii="宋体" w:hAnsi="宋体" w:cs="宋体"/>
                <w:sz w:val="18"/>
                <w:szCs w:val="18"/>
              </w:rPr>
            </w:pPr>
            <w:r>
              <w:rPr>
                <w:rFonts w:hint="eastAsia" w:ascii="宋体" w:hAnsi="宋体" w:cs="宋体"/>
                <w:sz w:val="18"/>
                <w:szCs w:val="18"/>
              </w:rPr>
              <w:t>索塔关键截面应变</w:t>
            </w:r>
          </w:p>
        </w:tc>
        <w:tc>
          <w:tcPr>
            <w:tcW w:w="945" w:type="dxa"/>
            <w:tcBorders>
              <w:top w:val="single" w:color="auto" w:sz="4" w:space="0"/>
              <w:left w:val="single" w:color="auto" w:sz="4" w:space="0"/>
              <w:bottom w:val="single" w:color="auto" w:sz="4" w:space="0"/>
              <w:right w:val="single" w:color="auto" w:sz="4" w:space="0"/>
            </w:tcBorders>
            <w:vAlign w:val="center"/>
          </w:tcPr>
          <w:p w14:paraId="26D598E2">
            <w:pPr>
              <w:pStyle w:val="146"/>
              <w:rPr>
                <w:rFonts w:hint="eastAsia" w:ascii="宋体" w:hAnsi="宋体" w:cs="宋体"/>
                <w:bCs/>
                <w:sz w:val="18"/>
                <w:szCs w:val="18"/>
              </w:rPr>
            </w:pPr>
            <w:r>
              <w:rPr>
                <w:rFonts w:hint="eastAsia" w:ascii="宋体" w:hAnsi="宋体" w:cs="宋体"/>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3FD6205A">
            <w:pPr>
              <w:pStyle w:val="146"/>
              <w:rPr>
                <w:rFonts w:hint="eastAsia" w:ascii="宋体" w:hAnsi="宋体" w:cs="宋体"/>
                <w:sz w:val="18"/>
                <w:szCs w:val="18"/>
              </w:rPr>
            </w:pPr>
            <w:r>
              <w:rPr>
                <w:rFonts w:hint="eastAsia" w:ascii="宋体" w:hAnsi="宋体" w:cs="宋体"/>
                <w:sz w:val="18"/>
                <w:szCs w:val="18"/>
              </w:rPr>
              <w:t>索塔根部结构</w:t>
            </w:r>
          </w:p>
        </w:tc>
      </w:tr>
      <w:tr w14:paraId="7D94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restart"/>
            <w:tcBorders>
              <w:top w:val="single" w:color="auto" w:sz="4" w:space="0"/>
              <w:left w:val="single" w:color="auto" w:sz="4" w:space="0"/>
              <w:right w:val="single" w:color="auto" w:sz="4" w:space="0"/>
            </w:tcBorders>
            <w:vAlign w:val="center"/>
          </w:tcPr>
          <w:p w14:paraId="011E3821">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17</w:t>
            </w:r>
          </w:p>
        </w:tc>
        <w:tc>
          <w:tcPr>
            <w:tcW w:w="593" w:type="dxa"/>
            <w:tcBorders>
              <w:top w:val="single" w:color="auto" w:sz="4" w:space="0"/>
              <w:left w:val="single" w:color="auto" w:sz="4" w:space="0"/>
              <w:bottom w:val="single" w:color="auto" w:sz="4" w:space="0"/>
              <w:right w:val="single" w:color="auto" w:sz="4" w:space="0"/>
            </w:tcBorders>
            <w:vAlign w:val="center"/>
          </w:tcPr>
          <w:p w14:paraId="3D2A677F">
            <w:pPr>
              <w:widowControl/>
              <w:spacing w:beforeLines="0" w:afterLines="0" w:line="240" w:lineRule="auto"/>
              <w:jc w:val="left"/>
              <w:rPr>
                <w:rFonts w:hint="eastAsia" w:ascii="宋体" w:hAnsi="宋体" w:cs="宋体"/>
                <w:sz w:val="18"/>
                <w:szCs w:val="18"/>
              </w:rPr>
            </w:pPr>
          </w:p>
        </w:tc>
        <w:tc>
          <w:tcPr>
            <w:tcW w:w="1515" w:type="dxa"/>
            <w:vMerge w:val="restart"/>
            <w:tcBorders>
              <w:top w:val="single" w:color="auto" w:sz="4" w:space="0"/>
              <w:left w:val="single" w:color="auto" w:sz="4" w:space="0"/>
              <w:bottom w:val="single" w:color="auto" w:sz="4" w:space="0"/>
              <w:right w:val="single" w:color="auto" w:sz="4" w:space="0"/>
            </w:tcBorders>
            <w:vAlign w:val="center"/>
          </w:tcPr>
          <w:p w14:paraId="55296B8C">
            <w:pPr>
              <w:pStyle w:val="146"/>
              <w:rPr>
                <w:rFonts w:hint="eastAsia" w:ascii="宋体" w:hAnsi="宋体" w:cs="宋体"/>
                <w:sz w:val="18"/>
                <w:szCs w:val="18"/>
              </w:rPr>
            </w:pPr>
            <w:r>
              <w:rPr>
                <w:rFonts w:hint="eastAsia" w:ascii="宋体" w:hAnsi="宋体" w:cs="宋体"/>
                <w:sz w:val="18"/>
                <w:szCs w:val="18"/>
              </w:rPr>
              <w:t>索力</w:t>
            </w:r>
          </w:p>
        </w:tc>
        <w:tc>
          <w:tcPr>
            <w:tcW w:w="1995" w:type="dxa"/>
            <w:tcBorders>
              <w:top w:val="single" w:color="auto" w:sz="4" w:space="0"/>
              <w:left w:val="single" w:color="auto" w:sz="4" w:space="0"/>
              <w:bottom w:val="single" w:color="auto" w:sz="4" w:space="0"/>
              <w:right w:val="single" w:color="auto" w:sz="4" w:space="0"/>
            </w:tcBorders>
            <w:vAlign w:val="center"/>
          </w:tcPr>
          <w:p w14:paraId="1CFFB876">
            <w:pPr>
              <w:pStyle w:val="146"/>
              <w:rPr>
                <w:rFonts w:hint="eastAsia" w:ascii="宋体" w:hAnsi="宋体" w:cs="宋体"/>
                <w:sz w:val="18"/>
                <w:szCs w:val="18"/>
              </w:rPr>
            </w:pPr>
            <w:r>
              <w:rPr>
                <w:rFonts w:hint="eastAsia" w:ascii="宋体" w:hAnsi="宋体" w:cs="宋体"/>
                <w:bCs/>
                <w:sz w:val="18"/>
                <w:szCs w:val="18"/>
              </w:rPr>
              <w:t>吊索索力</w:t>
            </w:r>
          </w:p>
        </w:tc>
        <w:tc>
          <w:tcPr>
            <w:tcW w:w="945" w:type="dxa"/>
            <w:tcBorders>
              <w:top w:val="single" w:color="auto" w:sz="4" w:space="0"/>
              <w:left w:val="single" w:color="auto" w:sz="4" w:space="0"/>
              <w:bottom w:val="single" w:color="auto" w:sz="4" w:space="0"/>
              <w:right w:val="single" w:color="auto" w:sz="4" w:space="0"/>
            </w:tcBorders>
            <w:vAlign w:val="center"/>
          </w:tcPr>
          <w:p w14:paraId="752E4F51">
            <w:pPr>
              <w:pStyle w:val="146"/>
              <w:rPr>
                <w:rFonts w:hint="eastAsia" w:ascii="宋体" w:hAnsi="宋体" w:cs="宋体"/>
                <w:bCs/>
                <w:sz w:val="18"/>
                <w:szCs w:val="18"/>
              </w:rPr>
            </w:pPr>
            <w:r>
              <w:rPr>
                <w:rFonts w:hint="eastAsia" w:ascii="宋体" w:hAnsi="宋体" w:cs="宋体"/>
                <w:bCs/>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3AF422E7">
            <w:pPr>
              <w:pStyle w:val="146"/>
              <w:rPr>
                <w:rFonts w:hint="eastAsia" w:ascii="宋体" w:hAnsi="宋体" w:cs="宋体"/>
                <w:sz w:val="18"/>
                <w:szCs w:val="18"/>
              </w:rPr>
            </w:pPr>
            <w:r>
              <w:rPr>
                <w:rFonts w:hint="eastAsia" w:ascii="宋体" w:hAnsi="宋体" w:cs="宋体"/>
                <w:sz w:val="18"/>
                <w:szCs w:val="18"/>
              </w:rPr>
              <w:t>关键吊索</w:t>
            </w:r>
          </w:p>
        </w:tc>
      </w:tr>
      <w:tr w14:paraId="5E6F8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continue"/>
            <w:tcBorders>
              <w:left w:val="single" w:color="auto" w:sz="4" w:space="0"/>
              <w:bottom w:val="single" w:color="auto" w:sz="4" w:space="0"/>
              <w:right w:val="single" w:color="auto" w:sz="4" w:space="0"/>
            </w:tcBorders>
            <w:vAlign w:val="center"/>
          </w:tcPr>
          <w:p w14:paraId="3FE28F81">
            <w:pPr>
              <w:widowControl/>
              <w:spacing w:beforeLines="0" w:afterLines="0" w:line="240" w:lineRule="auto"/>
              <w:jc w:val="center"/>
              <w:rPr>
                <w:rFonts w:hint="eastAsia" w:ascii="宋体" w:hAnsi="宋体" w:cs="宋体"/>
                <w:sz w:val="18"/>
                <w:szCs w:val="18"/>
              </w:rPr>
            </w:pPr>
          </w:p>
        </w:tc>
        <w:tc>
          <w:tcPr>
            <w:tcW w:w="593" w:type="dxa"/>
            <w:tcBorders>
              <w:top w:val="single" w:color="auto" w:sz="4" w:space="0"/>
              <w:left w:val="single" w:color="auto" w:sz="4" w:space="0"/>
              <w:bottom w:val="single" w:color="auto" w:sz="4" w:space="0"/>
              <w:right w:val="single" w:color="auto" w:sz="4" w:space="0"/>
            </w:tcBorders>
            <w:vAlign w:val="center"/>
          </w:tcPr>
          <w:p w14:paraId="09FD7A9F">
            <w:pPr>
              <w:widowControl/>
              <w:spacing w:beforeLines="0" w:afterLines="0" w:line="240" w:lineRule="auto"/>
              <w:jc w:val="left"/>
              <w:rPr>
                <w:rFonts w:hint="eastAsia" w:ascii="宋体" w:hAnsi="宋体" w:cs="宋体"/>
                <w:sz w:val="18"/>
                <w:szCs w:val="18"/>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0BDBA231">
            <w:pPr>
              <w:widowControl/>
              <w:spacing w:beforeLines="0" w:afterLines="0" w:line="240" w:lineRule="auto"/>
              <w:jc w:val="left"/>
              <w:rPr>
                <w:rFonts w:hint="eastAsia" w:ascii="宋体" w:hAnsi="宋体" w:cs="宋体"/>
                <w:sz w:val="18"/>
                <w:szCs w:val="18"/>
              </w:rPr>
            </w:pPr>
          </w:p>
        </w:tc>
        <w:tc>
          <w:tcPr>
            <w:tcW w:w="1995" w:type="dxa"/>
            <w:tcBorders>
              <w:top w:val="single" w:color="auto" w:sz="4" w:space="0"/>
              <w:left w:val="single" w:color="auto" w:sz="4" w:space="0"/>
              <w:bottom w:val="single" w:color="auto" w:sz="4" w:space="0"/>
              <w:right w:val="single" w:color="auto" w:sz="4" w:space="0"/>
            </w:tcBorders>
            <w:vAlign w:val="center"/>
          </w:tcPr>
          <w:p w14:paraId="4C3B32A6">
            <w:pPr>
              <w:pStyle w:val="146"/>
              <w:rPr>
                <w:rFonts w:hint="eastAsia" w:ascii="宋体" w:hAnsi="宋体" w:cs="宋体"/>
                <w:bCs/>
                <w:sz w:val="18"/>
                <w:szCs w:val="18"/>
              </w:rPr>
            </w:pPr>
            <w:r>
              <w:rPr>
                <w:rFonts w:hint="eastAsia" w:ascii="宋体" w:hAnsi="宋体" w:cs="宋体"/>
                <w:bCs/>
                <w:sz w:val="18"/>
                <w:szCs w:val="18"/>
              </w:rPr>
              <w:t>锚跨索股力</w:t>
            </w:r>
          </w:p>
        </w:tc>
        <w:tc>
          <w:tcPr>
            <w:tcW w:w="945" w:type="dxa"/>
            <w:tcBorders>
              <w:top w:val="single" w:color="auto" w:sz="4" w:space="0"/>
              <w:left w:val="single" w:color="auto" w:sz="4" w:space="0"/>
              <w:bottom w:val="single" w:color="auto" w:sz="4" w:space="0"/>
              <w:right w:val="single" w:color="auto" w:sz="4" w:space="0"/>
            </w:tcBorders>
            <w:vAlign w:val="center"/>
          </w:tcPr>
          <w:p w14:paraId="2C428993">
            <w:pPr>
              <w:pStyle w:val="146"/>
              <w:rPr>
                <w:rFonts w:hint="eastAsia" w:ascii="宋体" w:hAnsi="宋体" w:cs="宋体"/>
                <w:bCs/>
                <w:sz w:val="18"/>
                <w:szCs w:val="18"/>
              </w:rPr>
            </w:pPr>
            <w:r>
              <w:rPr>
                <w:rFonts w:hint="eastAsia" w:ascii="宋体" w:hAnsi="宋体" w:cs="宋体"/>
                <w:bCs/>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16B32A73">
            <w:pPr>
              <w:pStyle w:val="146"/>
              <w:rPr>
                <w:rFonts w:hint="eastAsia" w:ascii="宋体" w:hAnsi="宋体" w:cs="宋体"/>
                <w:sz w:val="18"/>
                <w:szCs w:val="18"/>
              </w:rPr>
            </w:pPr>
            <w:r>
              <w:rPr>
                <w:rFonts w:hint="eastAsia" w:ascii="宋体" w:hAnsi="宋体" w:cs="宋体"/>
                <w:sz w:val="18"/>
                <w:szCs w:val="18"/>
              </w:rPr>
              <w:t>主缆、锚固区典型索股</w:t>
            </w:r>
          </w:p>
        </w:tc>
      </w:tr>
      <w:tr w14:paraId="0EF87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tcBorders>
              <w:top w:val="single" w:color="auto" w:sz="4" w:space="0"/>
              <w:left w:val="single" w:color="auto" w:sz="4" w:space="0"/>
              <w:bottom w:val="single" w:color="auto" w:sz="4" w:space="0"/>
              <w:right w:val="single" w:color="auto" w:sz="4" w:space="0"/>
            </w:tcBorders>
            <w:vAlign w:val="center"/>
          </w:tcPr>
          <w:p w14:paraId="1617FCD6">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18</w:t>
            </w:r>
          </w:p>
        </w:tc>
        <w:tc>
          <w:tcPr>
            <w:tcW w:w="593" w:type="dxa"/>
            <w:tcBorders>
              <w:top w:val="single" w:color="auto" w:sz="4" w:space="0"/>
              <w:left w:val="single" w:color="auto" w:sz="4" w:space="0"/>
              <w:bottom w:val="single" w:color="auto" w:sz="4" w:space="0"/>
              <w:right w:val="single" w:color="auto" w:sz="4" w:space="0"/>
            </w:tcBorders>
            <w:vAlign w:val="center"/>
          </w:tcPr>
          <w:p w14:paraId="5FFA857B">
            <w:pPr>
              <w:widowControl/>
              <w:spacing w:beforeLines="0" w:afterLines="0" w:line="240" w:lineRule="auto"/>
              <w:jc w:val="left"/>
              <w:rPr>
                <w:rFonts w:hint="eastAsia" w:ascii="宋体" w:hAnsi="宋体" w:cs="宋体"/>
                <w:sz w:val="18"/>
                <w:szCs w:val="18"/>
              </w:rPr>
            </w:pPr>
          </w:p>
        </w:tc>
        <w:tc>
          <w:tcPr>
            <w:tcW w:w="1515" w:type="dxa"/>
            <w:tcBorders>
              <w:top w:val="single" w:color="auto" w:sz="4" w:space="0"/>
              <w:left w:val="single" w:color="auto" w:sz="4" w:space="0"/>
              <w:bottom w:val="single" w:color="auto" w:sz="4" w:space="0"/>
              <w:right w:val="single" w:color="auto" w:sz="4" w:space="0"/>
            </w:tcBorders>
            <w:vAlign w:val="center"/>
          </w:tcPr>
          <w:p w14:paraId="2F3ABBEB">
            <w:pPr>
              <w:pStyle w:val="146"/>
              <w:rPr>
                <w:rFonts w:hint="eastAsia" w:ascii="宋体" w:hAnsi="宋体" w:cs="宋体"/>
                <w:sz w:val="18"/>
                <w:szCs w:val="18"/>
              </w:rPr>
            </w:pPr>
            <w:r>
              <w:rPr>
                <w:rFonts w:hint="eastAsia" w:ascii="宋体" w:hAnsi="宋体" w:cs="宋体"/>
                <w:sz w:val="18"/>
                <w:szCs w:val="18"/>
              </w:rPr>
              <w:t>支座反力</w:t>
            </w:r>
          </w:p>
        </w:tc>
        <w:tc>
          <w:tcPr>
            <w:tcW w:w="1995" w:type="dxa"/>
            <w:tcBorders>
              <w:top w:val="single" w:color="auto" w:sz="4" w:space="0"/>
              <w:left w:val="single" w:color="auto" w:sz="4" w:space="0"/>
              <w:bottom w:val="single" w:color="auto" w:sz="4" w:space="0"/>
              <w:right w:val="single" w:color="auto" w:sz="4" w:space="0"/>
            </w:tcBorders>
            <w:vAlign w:val="center"/>
          </w:tcPr>
          <w:p w14:paraId="105EE2CD">
            <w:pPr>
              <w:pStyle w:val="146"/>
              <w:rPr>
                <w:rFonts w:hint="eastAsia" w:ascii="宋体" w:hAnsi="宋体" w:cs="宋体"/>
                <w:sz w:val="18"/>
                <w:szCs w:val="18"/>
              </w:rPr>
            </w:pPr>
            <w:r>
              <w:rPr>
                <w:rFonts w:hint="eastAsia" w:ascii="宋体" w:hAnsi="宋体" w:cs="宋体"/>
                <w:sz w:val="18"/>
                <w:szCs w:val="18"/>
              </w:rPr>
              <w:t>支座反力</w:t>
            </w:r>
          </w:p>
        </w:tc>
        <w:tc>
          <w:tcPr>
            <w:tcW w:w="945" w:type="dxa"/>
            <w:tcBorders>
              <w:top w:val="single" w:color="auto" w:sz="4" w:space="0"/>
              <w:left w:val="single" w:color="auto" w:sz="4" w:space="0"/>
              <w:bottom w:val="single" w:color="auto" w:sz="4" w:space="0"/>
              <w:right w:val="single" w:color="auto" w:sz="4" w:space="0"/>
            </w:tcBorders>
            <w:vAlign w:val="center"/>
          </w:tcPr>
          <w:p w14:paraId="6A8D6234">
            <w:pPr>
              <w:pStyle w:val="146"/>
              <w:rPr>
                <w:rFonts w:hint="eastAsia" w:ascii="宋体" w:hAnsi="宋体" w:cs="宋体"/>
                <w:sz w:val="18"/>
                <w:szCs w:val="18"/>
              </w:rPr>
            </w:pPr>
            <w:r>
              <w:rPr>
                <w:rFonts w:hint="eastAsia" w:ascii="宋体" w:hAnsi="宋体" w:cs="宋体"/>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480A2A15">
            <w:pPr>
              <w:pStyle w:val="146"/>
              <w:rPr>
                <w:rFonts w:hint="eastAsia" w:ascii="宋体" w:hAnsi="宋体" w:cs="宋体"/>
                <w:sz w:val="18"/>
                <w:szCs w:val="18"/>
              </w:rPr>
            </w:pPr>
            <w:r>
              <w:rPr>
                <w:rFonts w:hint="eastAsia" w:ascii="宋体" w:hAnsi="宋体" w:cs="宋体"/>
                <w:sz w:val="18"/>
                <w:szCs w:val="18"/>
              </w:rPr>
              <w:t>易脱空支座、受拉支座</w:t>
            </w:r>
          </w:p>
        </w:tc>
      </w:tr>
      <w:tr w14:paraId="44A91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restart"/>
            <w:tcBorders>
              <w:top w:val="single" w:color="auto" w:sz="4" w:space="0"/>
              <w:left w:val="single" w:color="auto" w:sz="4" w:space="0"/>
              <w:right w:val="single" w:color="auto" w:sz="4" w:space="0"/>
            </w:tcBorders>
            <w:vAlign w:val="center"/>
          </w:tcPr>
          <w:p w14:paraId="643F1CD2">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19</w:t>
            </w:r>
          </w:p>
        </w:tc>
        <w:tc>
          <w:tcPr>
            <w:tcW w:w="593" w:type="dxa"/>
            <w:tcBorders>
              <w:top w:val="single" w:color="auto" w:sz="4" w:space="0"/>
              <w:left w:val="single" w:color="auto" w:sz="4" w:space="0"/>
              <w:bottom w:val="single" w:color="auto" w:sz="4" w:space="0"/>
              <w:right w:val="single" w:color="auto" w:sz="4" w:space="0"/>
            </w:tcBorders>
            <w:vAlign w:val="center"/>
          </w:tcPr>
          <w:p w14:paraId="185F5DDB">
            <w:pPr>
              <w:widowControl/>
              <w:spacing w:beforeLines="0" w:afterLines="0" w:line="240" w:lineRule="auto"/>
              <w:jc w:val="left"/>
              <w:rPr>
                <w:rFonts w:hint="eastAsia" w:ascii="宋体" w:hAnsi="宋体" w:cs="宋体"/>
                <w:sz w:val="18"/>
                <w:szCs w:val="18"/>
              </w:rPr>
            </w:pPr>
          </w:p>
        </w:tc>
        <w:tc>
          <w:tcPr>
            <w:tcW w:w="1515" w:type="dxa"/>
            <w:vMerge w:val="restart"/>
            <w:tcBorders>
              <w:top w:val="single" w:color="auto" w:sz="4" w:space="0"/>
              <w:left w:val="single" w:color="auto" w:sz="4" w:space="0"/>
              <w:bottom w:val="single" w:color="auto" w:sz="4" w:space="0"/>
              <w:right w:val="single" w:color="auto" w:sz="4" w:space="0"/>
            </w:tcBorders>
            <w:vAlign w:val="center"/>
          </w:tcPr>
          <w:p w14:paraId="302E3575">
            <w:pPr>
              <w:pStyle w:val="146"/>
              <w:rPr>
                <w:rFonts w:hint="eastAsia" w:ascii="宋体" w:hAnsi="宋体" w:cs="宋体"/>
                <w:sz w:val="18"/>
                <w:szCs w:val="18"/>
              </w:rPr>
            </w:pPr>
            <w:r>
              <w:rPr>
                <w:rFonts w:hint="eastAsia" w:ascii="宋体" w:hAnsi="宋体" w:cs="宋体"/>
                <w:sz w:val="18"/>
                <w:szCs w:val="18"/>
              </w:rPr>
              <w:t>振动</w:t>
            </w:r>
          </w:p>
        </w:tc>
        <w:tc>
          <w:tcPr>
            <w:tcW w:w="1995" w:type="dxa"/>
            <w:tcBorders>
              <w:top w:val="single" w:color="auto" w:sz="4" w:space="0"/>
              <w:left w:val="single" w:color="auto" w:sz="4" w:space="0"/>
              <w:bottom w:val="single" w:color="auto" w:sz="4" w:space="0"/>
              <w:right w:val="single" w:color="auto" w:sz="4" w:space="0"/>
            </w:tcBorders>
            <w:vAlign w:val="center"/>
          </w:tcPr>
          <w:p w14:paraId="5F8E73AF">
            <w:pPr>
              <w:pStyle w:val="146"/>
              <w:rPr>
                <w:rFonts w:hint="eastAsia" w:ascii="宋体" w:hAnsi="宋体" w:cs="宋体"/>
                <w:bCs/>
                <w:sz w:val="18"/>
                <w:szCs w:val="18"/>
              </w:rPr>
            </w:pPr>
            <w:r>
              <w:rPr>
                <w:rFonts w:hint="eastAsia" w:ascii="宋体" w:hAnsi="宋体" w:cs="宋体"/>
                <w:bCs/>
                <w:sz w:val="18"/>
                <w:szCs w:val="18"/>
              </w:rPr>
              <w:t>主梁竖向振动加速度</w:t>
            </w:r>
          </w:p>
        </w:tc>
        <w:tc>
          <w:tcPr>
            <w:tcW w:w="945" w:type="dxa"/>
            <w:tcBorders>
              <w:top w:val="single" w:color="auto" w:sz="4" w:space="0"/>
              <w:left w:val="single" w:color="auto" w:sz="4" w:space="0"/>
              <w:bottom w:val="single" w:color="auto" w:sz="4" w:space="0"/>
              <w:right w:val="single" w:color="auto" w:sz="4" w:space="0"/>
            </w:tcBorders>
            <w:vAlign w:val="center"/>
          </w:tcPr>
          <w:p w14:paraId="490B60B1">
            <w:pPr>
              <w:pStyle w:val="146"/>
              <w:rPr>
                <w:rFonts w:hint="eastAsia" w:ascii="宋体" w:hAnsi="宋体" w:cs="宋体"/>
                <w:bCs/>
                <w:sz w:val="18"/>
                <w:szCs w:val="18"/>
              </w:rPr>
            </w:pPr>
            <w:r>
              <w:rPr>
                <w:rFonts w:hint="eastAsia" w:ascii="宋体" w:hAnsi="宋体" w:cs="宋体"/>
                <w:bCs/>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3971C8F4">
            <w:pPr>
              <w:pStyle w:val="146"/>
              <w:rPr>
                <w:rFonts w:hint="eastAsia" w:ascii="宋体" w:hAnsi="宋体" w:cs="宋体"/>
                <w:sz w:val="18"/>
                <w:szCs w:val="18"/>
              </w:rPr>
            </w:pPr>
            <w:r>
              <w:rPr>
                <w:rFonts w:hint="eastAsia" w:ascii="宋体" w:hAnsi="宋体" w:cs="宋体"/>
                <w:sz w:val="18"/>
                <w:szCs w:val="18"/>
              </w:rPr>
              <w:t>主跨：跨中截面、1/4 截面、3/4 截面；边跨：跨中截面。</w:t>
            </w:r>
            <w:r>
              <w:rPr>
                <w:rFonts w:hint="eastAsia" w:cs="宋体"/>
                <w:bCs/>
                <w:sz w:val="18"/>
                <w:szCs w:val="18"/>
              </w:rPr>
              <w:t>每个断面</w:t>
            </w:r>
            <w:r>
              <w:rPr>
                <w:rFonts w:hint="eastAsia" w:cs="宋体"/>
                <w:bCs/>
                <w:sz w:val="18"/>
                <w:szCs w:val="18"/>
                <w:lang w:eastAsia="zh-CN"/>
              </w:rPr>
              <w:t>不低于</w:t>
            </w:r>
            <w:r>
              <w:rPr>
                <w:rFonts w:hint="eastAsia" w:cs="宋体"/>
                <w:bCs/>
                <w:sz w:val="18"/>
                <w:szCs w:val="18"/>
              </w:rPr>
              <w:t>2处</w:t>
            </w:r>
          </w:p>
        </w:tc>
      </w:tr>
      <w:tr w14:paraId="58680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continue"/>
            <w:tcBorders>
              <w:left w:val="single" w:color="auto" w:sz="4" w:space="0"/>
              <w:right w:val="single" w:color="auto" w:sz="4" w:space="0"/>
            </w:tcBorders>
            <w:vAlign w:val="center"/>
          </w:tcPr>
          <w:p w14:paraId="1459A836">
            <w:pPr>
              <w:widowControl/>
              <w:spacing w:beforeLines="0" w:afterLines="0" w:line="240" w:lineRule="auto"/>
              <w:jc w:val="center"/>
              <w:rPr>
                <w:rFonts w:hint="eastAsia" w:ascii="宋体" w:hAnsi="宋体" w:cs="宋体"/>
                <w:sz w:val="18"/>
                <w:szCs w:val="18"/>
              </w:rPr>
            </w:pPr>
          </w:p>
        </w:tc>
        <w:tc>
          <w:tcPr>
            <w:tcW w:w="593" w:type="dxa"/>
            <w:tcBorders>
              <w:top w:val="single" w:color="auto" w:sz="4" w:space="0"/>
              <w:left w:val="single" w:color="auto" w:sz="4" w:space="0"/>
              <w:bottom w:val="single" w:color="auto" w:sz="4" w:space="0"/>
              <w:right w:val="single" w:color="auto" w:sz="4" w:space="0"/>
            </w:tcBorders>
            <w:vAlign w:val="center"/>
          </w:tcPr>
          <w:p w14:paraId="415C6275">
            <w:pPr>
              <w:widowControl/>
              <w:spacing w:beforeLines="0" w:afterLines="0" w:line="240" w:lineRule="auto"/>
              <w:jc w:val="left"/>
              <w:rPr>
                <w:rFonts w:hint="eastAsia" w:ascii="宋体" w:hAnsi="宋体" w:cs="宋体"/>
                <w:sz w:val="18"/>
                <w:szCs w:val="18"/>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525440B0">
            <w:pPr>
              <w:widowControl/>
              <w:spacing w:beforeLines="0" w:afterLines="0" w:line="240" w:lineRule="auto"/>
              <w:jc w:val="left"/>
              <w:rPr>
                <w:rFonts w:hint="eastAsia" w:ascii="宋体" w:hAnsi="宋体" w:cs="宋体"/>
                <w:sz w:val="18"/>
                <w:szCs w:val="18"/>
              </w:rPr>
            </w:pPr>
          </w:p>
        </w:tc>
        <w:tc>
          <w:tcPr>
            <w:tcW w:w="1995" w:type="dxa"/>
            <w:tcBorders>
              <w:top w:val="single" w:color="auto" w:sz="4" w:space="0"/>
              <w:left w:val="single" w:color="auto" w:sz="4" w:space="0"/>
              <w:bottom w:val="single" w:color="auto" w:sz="4" w:space="0"/>
              <w:right w:val="single" w:color="auto" w:sz="4" w:space="0"/>
            </w:tcBorders>
            <w:vAlign w:val="center"/>
          </w:tcPr>
          <w:p w14:paraId="5C0E02EC">
            <w:pPr>
              <w:pStyle w:val="146"/>
              <w:rPr>
                <w:rFonts w:hint="eastAsia" w:ascii="宋体" w:hAnsi="宋体" w:cs="宋体"/>
                <w:bCs/>
                <w:sz w:val="18"/>
                <w:szCs w:val="18"/>
              </w:rPr>
            </w:pPr>
            <w:r>
              <w:rPr>
                <w:rFonts w:hint="eastAsia" w:ascii="宋体" w:hAnsi="宋体" w:cs="宋体"/>
                <w:bCs/>
                <w:sz w:val="18"/>
                <w:szCs w:val="18"/>
              </w:rPr>
              <w:t>主梁横向振动加速度</w:t>
            </w:r>
          </w:p>
        </w:tc>
        <w:tc>
          <w:tcPr>
            <w:tcW w:w="945" w:type="dxa"/>
            <w:tcBorders>
              <w:top w:val="single" w:color="auto" w:sz="4" w:space="0"/>
              <w:left w:val="single" w:color="auto" w:sz="4" w:space="0"/>
              <w:bottom w:val="single" w:color="auto" w:sz="4" w:space="0"/>
              <w:right w:val="single" w:color="auto" w:sz="4" w:space="0"/>
            </w:tcBorders>
            <w:vAlign w:val="center"/>
          </w:tcPr>
          <w:p w14:paraId="0C168458">
            <w:pPr>
              <w:pStyle w:val="146"/>
              <w:rPr>
                <w:rFonts w:hint="eastAsia" w:ascii="宋体" w:hAnsi="宋体" w:cs="宋体"/>
                <w:bCs/>
                <w:sz w:val="18"/>
                <w:szCs w:val="18"/>
              </w:rPr>
            </w:pPr>
            <w:r>
              <w:rPr>
                <w:rFonts w:hint="eastAsia" w:ascii="宋体" w:hAnsi="宋体" w:cs="宋体"/>
                <w:bCs/>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6B115E4F">
            <w:pPr>
              <w:pStyle w:val="146"/>
              <w:rPr>
                <w:rFonts w:hint="eastAsia" w:ascii="宋体" w:hAnsi="宋体" w:cs="宋体"/>
                <w:sz w:val="18"/>
                <w:szCs w:val="18"/>
              </w:rPr>
            </w:pPr>
            <w:r>
              <w:rPr>
                <w:rFonts w:hint="eastAsia" w:ascii="宋体" w:hAnsi="宋体" w:cs="宋体"/>
                <w:sz w:val="18"/>
                <w:szCs w:val="18"/>
              </w:rPr>
              <w:t>主跨：跨中截面</w:t>
            </w:r>
          </w:p>
        </w:tc>
      </w:tr>
      <w:tr w14:paraId="51448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continue"/>
            <w:tcBorders>
              <w:left w:val="single" w:color="auto" w:sz="4" w:space="0"/>
              <w:right w:val="single" w:color="auto" w:sz="4" w:space="0"/>
            </w:tcBorders>
            <w:vAlign w:val="center"/>
          </w:tcPr>
          <w:p w14:paraId="7EB4C38F">
            <w:pPr>
              <w:widowControl/>
              <w:spacing w:beforeLines="0" w:afterLines="0" w:line="240" w:lineRule="auto"/>
              <w:jc w:val="center"/>
              <w:rPr>
                <w:rFonts w:hint="eastAsia" w:ascii="宋体" w:hAnsi="宋体" w:cs="宋体"/>
                <w:sz w:val="18"/>
                <w:szCs w:val="18"/>
              </w:rPr>
            </w:pPr>
          </w:p>
        </w:tc>
        <w:tc>
          <w:tcPr>
            <w:tcW w:w="593" w:type="dxa"/>
            <w:tcBorders>
              <w:top w:val="single" w:color="auto" w:sz="4" w:space="0"/>
              <w:left w:val="single" w:color="auto" w:sz="4" w:space="0"/>
              <w:bottom w:val="single" w:color="auto" w:sz="4" w:space="0"/>
              <w:right w:val="single" w:color="auto" w:sz="4" w:space="0"/>
            </w:tcBorders>
            <w:vAlign w:val="center"/>
          </w:tcPr>
          <w:p w14:paraId="1B5DD4F9">
            <w:pPr>
              <w:widowControl/>
              <w:spacing w:beforeLines="0" w:afterLines="0" w:line="240" w:lineRule="auto"/>
              <w:jc w:val="left"/>
              <w:rPr>
                <w:rFonts w:hint="eastAsia" w:ascii="宋体" w:hAnsi="宋体" w:cs="宋体"/>
                <w:sz w:val="18"/>
                <w:szCs w:val="18"/>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463467FD">
            <w:pPr>
              <w:widowControl/>
              <w:spacing w:beforeLines="0" w:afterLines="0" w:line="240" w:lineRule="auto"/>
              <w:jc w:val="left"/>
              <w:rPr>
                <w:rFonts w:hint="eastAsia" w:ascii="宋体" w:hAnsi="宋体" w:cs="宋体"/>
                <w:sz w:val="18"/>
                <w:szCs w:val="18"/>
              </w:rPr>
            </w:pPr>
          </w:p>
        </w:tc>
        <w:tc>
          <w:tcPr>
            <w:tcW w:w="1995" w:type="dxa"/>
            <w:tcBorders>
              <w:top w:val="single" w:color="auto" w:sz="4" w:space="0"/>
              <w:left w:val="single" w:color="auto" w:sz="4" w:space="0"/>
              <w:bottom w:val="single" w:color="auto" w:sz="4" w:space="0"/>
              <w:right w:val="single" w:color="auto" w:sz="4" w:space="0"/>
            </w:tcBorders>
            <w:vAlign w:val="center"/>
          </w:tcPr>
          <w:p w14:paraId="2C2AA2A8">
            <w:pPr>
              <w:pStyle w:val="146"/>
              <w:rPr>
                <w:rFonts w:hint="eastAsia" w:ascii="宋体" w:hAnsi="宋体" w:cs="宋体"/>
                <w:sz w:val="18"/>
                <w:szCs w:val="18"/>
              </w:rPr>
            </w:pPr>
            <w:r>
              <w:rPr>
                <w:rFonts w:hint="eastAsia" w:ascii="宋体" w:hAnsi="宋体" w:cs="宋体"/>
                <w:sz w:val="18"/>
                <w:szCs w:val="18"/>
              </w:rPr>
              <w:t>主梁纵向振动加速度</w:t>
            </w:r>
          </w:p>
        </w:tc>
        <w:tc>
          <w:tcPr>
            <w:tcW w:w="945" w:type="dxa"/>
            <w:tcBorders>
              <w:top w:val="single" w:color="auto" w:sz="4" w:space="0"/>
              <w:left w:val="single" w:color="auto" w:sz="4" w:space="0"/>
              <w:bottom w:val="single" w:color="auto" w:sz="4" w:space="0"/>
              <w:right w:val="single" w:color="auto" w:sz="4" w:space="0"/>
            </w:tcBorders>
            <w:vAlign w:val="center"/>
          </w:tcPr>
          <w:p w14:paraId="5F75B549">
            <w:pPr>
              <w:pStyle w:val="146"/>
              <w:rPr>
                <w:rFonts w:hint="eastAsia" w:ascii="宋体" w:hAnsi="宋体" w:cs="宋体"/>
                <w:sz w:val="18"/>
                <w:szCs w:val="18"/>
              </w:rPr>
            </w:pPr>
            <w:r>
              <w:rPr>
                <w:rFonts w:hint="eastAsia" w:ascii="宋体" w:hAnsi="宋体" w:cs="宋体"/>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2FFA86BC">
            <w:pPr>
              <w:pStyle w:val="146"/>
              <w:rPr>
                <w:rFonts w:hint="eastAsia" w:ascii="宋体" w:hAnsi="宋体" w:cs="宋体"/>
                <w:sz w:val="18"/>
                <w:szCs w:val="18"/>
              </w:rPr>
            </w:pPr>
            <w:r>
              <w:rPr>
                <w:rFonts w:hint="eastAsia" w:ascii="宋体" w:hAnsi="宋体" w:cs="宋体"/>
                <w:sz w:val="18"/>
                <w:szCs w:val="18"/>
              </w:rPr>
              <w:t>塔梁连接处或支座位置处</w:t>
            </w:r>
          </w:p>
        </w:tc>
      </w:tr>
      <w:tr w14:paraId="565C3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continue"/>
            <w:tcBorders>
              <w:left w:val="single" w:color="auto" w:sz="4" w:space="0"/>
              <w:right w:val="single" w:color="auto" w:sz="4" w:space="0"/>
            </w:tcBorders>
            <w:vAlign w:val="center"/>
          </w:tcPr>
          <w:p w14:paraId="75985178">
            <w:pPr>
              <w:widowControl/>
              <w:spacing w:beforeLines="0" w:afterLines="0" w:line="240" w:lineRule="auto"/>
              <w:jc w:val="center"/>
              <w:rPr>
                <w:rFonts w:hint="eastAsia" w:ascii="宋体" w:hAnsi="宋体" w:cs="宋体"/>
                <w:sz w:val="18"/>
                <w:szCs w:val="18"/>
              </w:rPr>
            </w:pPr>
          </w:p>
        </w:tc>
        <w:tc>
          <w:tcPr>
            <w:tcW w:w="593" w:type="dxa"/>
            <w:tcBorders>
              <w:top w:val="single" w:color="auto" w:sz="4" w:space="0"/>
              <w:left w:val="single" w:color="auto" w:sz="4" w:space="0"/>
              <w:bottom w:val="single" w:color="auto" w:sz="4" w:space="0"/>
              <w:right w:val="single" w:color="auto" w:sz="4" w:space="0"/>
            </w:tcBorders>
            <w:vAlign w:val="center"/>
          </w:tcPr>
          <w:p w14:paraId="2821EA42">
            <w:pPr>
              <w:widowControl/>
              <w:spacing w:beforeLines="0" w:afterLines="0" w:line="240" w:lineRule="auto"/>
              <w:jc w:val="left"/>
              <w:rPr>
                <w:rFonts w:hint="eastAsia" w:ascii="宋体" w:hAnsi="宋体" w:cs="宋体"/>
                <w:sz w:val="18"/>
                <w:szCs w:val="18"/>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7E29A451">
            <w:pPr>
              <w:widowControl/>
              <w:spacing w:beforeLines="0" w:afterLines="0" w:line="240" w:lineRule="auto"/>
              <w:jc w:val="left"/>
              <w:rPr>
                <w:rFonts w:hint="eastAsia" w:ascii="宋体" w:hAnsi="宋体" w:cs="宋体"/>
                <w:sz w:val="18"/>
                <w:szCs w:val="18"/>
              </w:rPr>
            </w:pPr>
          </w:p>
        </w:tc>
        <w:tc>
          <w:tcPr>
            <w:tcW w:w="1995" w:type="dxa"/>
            <w:tcBorders>
              <w:top w:val="single" w:color="auto" w:sz="4" w:space="0"/>
              <w:left w:val="single" w:color="auto" w:sz="4" w:space="0"/>
              <w:bottom w:val="single" w:color="auto" w:sz="4" w:space="0"/>
              <w:right w:val="single" w:color="auto" w:sz="4" w:space="0"/>
            </w:tcBorders>
            <w:vAlign w:val="center"/>
          </w:tcPr>
          <w:p w14:paraId="4DB2415E">
            <w:pPr>
              <w:pStyle w:val="146"/>
              <w:rPr>
                <w:rFonts w:hint="eastAsia" w:ascii="宋体" w:hAnsi="宋体" w:cs="宋体"/>
                <w:sz w:val="18"/>
                <w:szCs w:val="18"/>
              </w:rPr>
            </w:pPr>
            <w:r>
              <w:rPr>
                <w:rFonts w:hint="eastAsia" w:ascii="宋体" w:hAnsi="宋体" w:cs="宋体"/>
                <w:bCs/>
                <w:sz w:val="18"/>
                <w:szCs w:val="18"/>
              </w:rPr>
              <w:t>塔顶水平双向振动加速度</w:t>
            </w:r>
          </w:p>
        </w:tc>
        <w:tc>
          <w:tcPr>
            <w:tcW w:w="945" w:type="dxa"/>
            <w:tcBorders>
              <w:top w:val="single" w:color="auto" w:sz="4" w:space="0"/>
              <w:left w:val="single" w:color="auto" w:sz="4" w:space="0"/>
              <w:bottom w:val="single" w:color="auto" w:sz="4" w:space="0"/>
              <w:right w:val="single" w:color="auto" w:sz="4" w:space="0"/>
            </w:tcBorders>
            <w:vAlign w:val="center"/>
          </w:tcPr>
          <w:p w14:paraId="388E8EE8">
            <w:pPr>
              <w:pStyle w:val="146"/>
              <w:rPr>
                <w:rFonts w:hint="eastAsia" w:ascii="宋体" w:hAnsi="宋体" w:cs="宋体"/>
                <w:sz w:val="18"/>
                <w:szCs w:val="18"/>
              </w:rPr>
            </w:pPr>
            <w:r>
              <w:rPr>
                <w:rFonts w:hint="eastAsia" w:ascii="宋体" w:hAnsi="宋体" w:cs="宋体"/>
                <w:bCs/>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624CE0EE">
            <w:pPr>
              <w:pStyle w:val="146"/>
              <w:rPr>
                <w:rFonts w:hint="eastAsia" w:ascii="宋体" w:hAnsi="宋体" w:cs="宋体"/>
                <w:sz w:val="18"/>
                <w:szCs w:val="18"/>
              </w:rPr>
            </w:pPr>
            <w:r>
              <w:rPr>
                <w:rFonts w:hint="eastAsia" w:ascii="宋体" w:hAnsi="宋体" w:cs="宋体"/>
                <w:sz w:val="18"/>
                <w:szCs w:val="18"/>
              </w:rPr>
              <w:t>索塔塔顶</w:t>
            </w:r>
          </w:p>
        </w:tc>
      </w:tr>
      <w:tr w14:paraId="5A54C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continue"/>
            <w:tcBorders>
              <w:left w:val="single" w:color="auto" w:sz="4" w:space="0"/>
              <w:bottom w:val="single" w:color="auto" w:sz="4" w:space="0"/>
              <w:right w:val="single" w:color="auto" w:sz="4" w:space="0"/>
            </w:tcBorders>
            <w:vAlign w:val="center"/>
          </w:tcPr>
          <w:p w14:paraId="6BD73B4E">
            <w:pPr>
              <w:widowControl/>
              <w:spacing w:beforeLines="0" w:afterLines="0" w:line="240" w:lineRule="auto"/>
              <w:jc w:val="center"/>
              <w:rPr>
                <w:rFonts w:hint="eastAsia" w:ascii="宋体" w:hAnsi="宋体" w:cs="宋体"/>
                <w:sz w:val="18"/>
                <w:szCs w:val="18"/>
              </w:rPr>
            </w:pPr>
          </w:p>
        </w:tc>
        <w:tc>
          <w:tcPr>
            <w:tcW w:w="593" w:type="dxa"/>
            <w:tcBorders>
              <w:top w:val="single" w:color="auto" w:sz="4" w:space="0"/>
              <w:left w:val="single" w:color="auto" w:sz="4" w:space="0"/>
              <w:bottom w:val="single" w:color="auto" w:sz="4" w:space="0"/>
              <w:right w:val="single" w:color="auto" w:sz="4" w:space="0"/>
            </w:tcBorders>
            <w:vAlign w:val="center"/>
          </w:tcPr>
          <w:p w14:paraId="40CB848F">
            <w:pPr>
              <w:widowControl/>
              <w:spacing w:beforeLines="0" w:afterLines="0" w:line="240" w:lineRule="auto"/>
              <w:jc w:val="left"/>
              <w:rPr>
                <w:rFonts w:hint="eastAsia" w:ascii="宋体" w:hAnsi="宋体" w:cs="宋体"/>
                <w:sz w:val="18"/>
                <w:szCs w:val="18"/>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190535D4">
            <w:pPr>
              <w:widowControl/>
              <w:spacing w:beforeLines="0" w:afterLines="0" w:line="240" w:lineRule="auto"/>
              <w:jc w:val="left"/>
              <w:rPr>
                <w:rFonts w:hint="eastAsia" w:ascii="宋体" w:hAnsi="宋体" w:cs="宋体"/>
                <w:sz w:val="18"/>
                <w:szCs w:val="18"/>
              </w:rPr>
            </w:pPr>
          </w:p>
        </w:tc>
        <w:tc>
          <w:tcPr>
            <w:tcW w:w="1995" w:type="dxa"/>
            <w:tcBorders>
              <w:top w:val="single" w:color="auto" w:sz="4" w:space="0"/>
              <w:left w:val="single" w:color="auto" w:sz="4" w:space="0"/>
              <w:bottom w:val="single" w:color="auto" w:sz="4" w:space="0"/>
              <w:right w:val="single" w:color="auto" w:sz="4" w:space="0"/>
            </w:tcBorders>
            <w:vAlign w:val="center"/>
          </w:tcPr>
          <w:p w14:paraId="79030957">
            <w:pPr>
              <w:pStyle w:val="146"/>
              <w:rPr>
                <w:rFonts w:hint="eastAsia" w:ascii="宋体" w:hAnsi="宋体" w:cs="宋体"/>
                <w:sz w:val="18"/>
                <w:szCs w:val="18"/>
              </w:rPr>
            </w:pPr>
            <w:r>
              <w:rPr>
                <w:rFonts w:hint="eastAsia" w:ascii="宋体" w:hAnsi="宋体" w:cs="宋体"/>
                <w:bCs/>
                <w:sz w:val="18"/>
                <w:szCs w:val="18"/>
              </w:rPr>
              <w:t>吊索振动加速度</w:t>
            </w:r>
          </w:p>
        </w:tc>
        <w:tc>
          <w:tcPr>
            <w:tcW w:w="945" w:type="dxa"/>
            <w:tcBorders>
              <w:top w:val="single" w:color="auto" w:sz="4" w:space="0"/>
              <w:left w:val="single" w:color="auto" w:sz="4" w:space="0"/>
              <w:bottom w:val="single" w:color="auto" w:sz="4" w:space="0"/>
              <w:right w:val="single" w:color="auto" w:sz="4" w:space="0"/>
            </w:tcBorders>
            <w:vAlign w:val="center"/>
          </w:tcPr>
          <w:p w14:paraId="4A67C1AB">
            <w:pPr>
              <w:pStyle w:val="146"/>
              <w:rPr>
                <w:rFonts w:hint="eastAsia" w:ascii="宋体" w:hAnsi="宋体" w:cs="宋体"/>
                <w:sz w:val="18"/>
                <w:szCs w:val="18"/>
              </w:rPr>
            </w:pPr>
            <w:r>
              <w:rPr>
                <w:rFonts w:hint="eastAsia" w:ascii="宋体" w:hAnsi="宋体" w:cs="宋体"/>
                <w:bCs/>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670224BE">
            <w:pPr>
              <w:pStyle w:val="146"/>
              <w:rPr>
                <w:rFonts w:hint="eastAsia" w:ascii="宋体" w:hAnsi="宋体" w:cs="宋体"/>
                <w:sz w:val="18"/>
                <w:szCs w:val="18"/>
              </w:rPr>
            </w:pPr>
            <w:r>
              <w:rPr>
                <w:rFonts w:hint="eastAsia" w:ascii="宋体" w:hAnsi="宋体" w:cs="宋体"/>
                <w:sz w:val="18"/>
                <w:szCs w:val="18"/>
              </w:rPr>
              <w:t>关键吊索</w:t>
            </w:r>
          </w:p>
        </w:tc>
      </w:tr>
      <w:tr w14:paraId="5C5C2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tcBorders>
              <w:top w:val="single" w:color="auto" w:sz="4" w:space="0"/>
              <w:left w:val="single" w:color="auto" w:sz="4" w:space="0"/>
              <w:bottom w:val="single" w:color="auto" w:sz="4" w:space="0"/>
              <w:right w:val="single" w:color="auto" w:sz="4" w:space="0"/>
            </w:tcBorders>
            <w:vAlign w:val="center"/>
          </w:tcPr>
          <w:p w14:paraId="79449AC0">
            <w:pPr>
              <w:pStyle w:val="146"/>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20</w:t>
            </w:r>
          </w:p>
        </w:tc>
        <w:tc>
          <w:tcPr>
            <w:tcW w:w="593" w:type="dxa"/>
            <w:vMerge w:val="restart"/>
            <w:tcBorders>
              <w:top w:val="single" w:color="auto" w:sz="4" w:space="0"/>
              <w:left w:val="single" w:color="auto" w:sz="4" w:space="0"/>
              <w:bottom w:val="single" w:color="auto" w:sz="4" w:space="0"/>
              <w:right w:val="single" w:color="auto" w:sz="4" w:space="0"/>
            </w:tcBorders>
            <w:vAlign w:val="center"/>
          </w:tcPr>
          <w:p w14:paraId="0328DFBC">
            <w:pPr>
              <w:pStyle w:val="146"/>
              <w:rPr>
                <w:rFonts w:hint="eastAsia" w:ascii="宋体" w:hAnsi="宋体" w:cs="宋体"/>
                <w:sz w:val="18"/>
                <w:szCs w:val="18"/>
              </w:rPr>
            </w:pPr>
            <w:r>
              <w:rPr>
                <w:rFonts w:hint="eastAsia" w:ascii="宋体" w:hAnsi="宋体" w:cs="宋体"/>
                <w:sz w:val="18"/>
                <w:szCs w:val="18"/>
              </w:rPr>
              <w:t>结构变化</w:t>
            </w:r>
          </w:p>
        </w:tc>
        <w:tc>
          <w:tcPr>
            <w:tcW w:w="1515" w:type="dxa"/>
            <w:tcBorders>
              <w:top w:val="single" w:color="auto" w:sz="4" w:space="0"/>
              <w:left w:val="single" w:color="auto" w:sz="4" w:space="0"/>
              <w:bottom w:val="single" w:color="auto" w:sz="4" w:space="0"/>
              <w:right w:val="single" w:color="auto" w:sz="4" w:space="0"/>
            </w:tcBorders>
            <w:vAlign w:val="center"/>
          </w:tcPr>
          <w:p w14:paraId="5142084C">
            <w:pPr>
              <w:pStyle w:val="146"/>
              <w:rPr>
                <w:rFonts w:hint="eastAsia" w:ascii="宋体" w:hAnsi="宋体" w:cs="宋体"/>
                <w:sz w:val="18"/>
                <w:szCs w:val="18"/>
              </w:rPr>
            </w:pPr>
            <w:r>
              <w:rPr>
                <w:rFonts w:hint="eastAsia" w:ascii="宋体" w:hAnsi="宋体" w:cs="宋体"/>
                <w:sz w:val="18"/>
                <w:szCs w:val="18"/>
              </w:rPr>
              <w:t>基础冲刷</w:t>
            </w:r>
          </w:p>
        </w:tc>
        <w:tc>
          <w:tcPr>
            <w:tcW w:w="1995" w:type="dxa"/>
            <w:tcBorders>
              <w:top w:val="single" w:color="auto" w:sz="4" w:space="0"/>
              <w:left w:val="single" w:color="auto" w:sz="4" w:space="0"/>
              <w:bottom w:val="single" w:color="auto" w:sz="4" w:space="0"/>
              <w:right w:val="single" w:color="auto" w:sz="4" w:space="0"/>
            </w:tcBorders>
            <w:vAlign w:val="center"/>
          </w:tcPr>
          <w:p w14:paraId="16268C65">
            <w:pPr>
              <w:pStyle w:val="146"/>
              <w:rPr>
                <w:rFonts w:hint="eastAsia" w:ascii="宋体" w:hAnsi="宋体" w:cs="宋体"/>
                <w:sz w:val="18"/>
                <w:szCs w:val="18"/>
              </w:rPr>
            </w:pPr>
            <w:r>
              <w:rPr>
                <w:rFonts w:hint="eastAsia" w:ascii="宋体" w:hAnsi="宋体" w:cs="宋体"/>
                <w:sz w:val="18"/>
                <w:szCs w:val="18"/>
              </w:rPr>
              <w:t>基础冲刷深度</w:t>
            </w:r>
          </w:p>
        </w:tc>
        <w:tc>
          <w:tcPr>
            <w:tcW w:w="945" w:type="dxa"/>
            <w:tcBorders>
              <w:top w:val="single" w:color="auto" w:sz="4" w:space="0"/>
              <w:left w:val="single" w:color="auto" w:sz="4" w:space="0"/>
              <w:bottom w:val="single" w:color="auto" w:sz="4" w:space="0"/>
              <w:right w:val="single" w:color="auto" w:sz="4" w:space="0"/>
            </w:tcBorders>
            <w:vAlign w:val="center"/>
          </w:tcPr>
          <w:p w14:paraId="4353FBF1">
            <w:pPr>
              <w:pStyle w:val="146"/>
              <w:rPr>
                <w:rFonts w:hint="eastAsia" w:ascii="宋体" w:hAnsi="宋体" w:cs="宋体"/>
                <w:sz w:val="18"/>
                <w:szCs w:val="18"/>
              </w:rPr>
            </w:pPr>
            <w:r>
              <w:rPr>
                <w:rFonts w:hint="eastAsia" w:ascii="宋体" w:hAnsi="宋体" w:cs="宋体"/>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659CFEA8">
            <w:pPr>
              <w:pStyle w:val="146"/>
              <w:rPr>
                <w:rFonts w:hint="eastAsia" w:ascii="宋体" w:hAnsi="宋体" w:cs="宋体"/>
                <w:sz w:val="18"/>
                <w:szCs w:val="18"/>
              </w:rPr>
            </w:pPr>
            <w:r>
              <w:rPr>
                <w:rFonts w:hint="eastAsia" w:ascii="宋体" w:hAnsi="宋体" w:cs="宋体"/>
                <w:sz w:val="18"/>
                <w:szCs w:val="18"/>
              </w:rPr>
              <w:t>-</w:t>
            </w:r>
          </w:p>
        </w:tc>
      </w:tr>
      <w:tr w14:paraId="1DA7F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restart"/>
            <w:tcBorders>
              <w:top w:val="single" w:color="auto" w:sz="4" w:space="0"/>
              <w:left w:val="single" w:color="auto" w:sz="4" w:space="0"/>
              <w:right w:val="single" w:color="auto" w:sz="4" w:space="0"/>
            </w:tcBorders>
            <w:vAlign w:val="center"/>
          </w:tcPr>
          <w:p w14:paraId="0D74C807">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21</w:t>
            </w:r>
          </w:p>
        </w:tc>
        <w:tc>
          <w:tcPr>
            <w:tcW w:w="593" w:type="dxa"/>
            <w:vMerge w:val="continue"/>
            <w:tcBorders>
              <w:top w:val="single" w:color="auto" w:sz="4" w:space="0"/>
              <w:left w:val="single" w:color="auto" w:sz="4" w:space="0"/>
              <w:bottom w:val="single" w:color="auto" w:sz="4" w:space="0"/>
              <w:right w:val="single" w:color="auto" w:sz="4" w:space="0"/>
            </w:tcBorders>
            <w:vAlign w:val="center"/>
          </w:tcPr>
          <w:p w14:paraId="2820375D">
            <w:pPr>
              <w:widowControl/>
              <w:spacing w:beforeLines="0" w:afterLines="0" w:line="240" w:lineRule="auto"/>
              <w:jc w:val="left"/>
              <w:rPr>
                <w:rFonts w:hint="eastAsia" w:ascii="宋体" w:hAnsi="宋体" w:cs="宋体"/>
                <w:sz w:val="18"/>
                <w:szCs w:val="18"/>
              </w:rPr>
            </w:pPr>
          </w:p>
        </w:tc>
        <w:tc>
          <w:tcPr>
            <w:tcW w:w="1515" w:type="dxa"/>
            <w:vMerge w:val="restart"/>
            <w:tcBorders>
              <w:top w:val="single" w:color="auto" w:sz="4" w:space="0"/>
              <w:left w:val="single" w:color="auto" w:sz="4" w:space="0"/>
              <w:bottom w:val="single" w:color="auto" w:sz="4" w:space="0"/>
              <w:right w:val="single" w:color="auto" w:sz="4" w:space="0"/>
            </w:tcBorders>
            <w:vAlign w:val="center"/>
          </w:tcPr>
          <w:p w14:paraId="3484655B">
            <w:pPr>
              <w:pStyle w:val="146"/>
              <w:rPr>
                <w:rFonts w:hint="eastAsia" w:ascii="宋体" w:hAnsi="宋体" w:cs="宋体"/>
                <w:sz w:val="18"/>
                <w:szCs w:val="18"/>
              </w:rPr>
            </w:pPr>
            <w:r>
              <w:rPr>
                <w:rFonts w:hint="eastAsia" w:ascii="宋体" w:hAnsi="宋体" w:cs="宋体"/>
                <w:sz w:val="18"/>
                <w:szCs w:val="18"/>
              </w:rPr>
              <w:t>裂缝</w:t>
            </w:r>
          </w:p>
        </w:tc>
        <w:tc>
          <w:tcPr>
            <w:tcW w:w="1995" w:type="dxa"/>
            <w:tcBorders>
              <w:top w:val="single" w:color="auto" w:sz="4" w:space="0"/>
              <w:left w:val="single" w:color="auto" w:sz="4" w:space="0"/>
              <w:bottom w:val="single" w:color="auto" w:sz="4" w:space="0"/>
              <w:right w:val="single" w:color="auto" w:sz="4" w:space="0"/>
            </w:tcBorders>
            <w:vAlign w:val="center"/>
          </w:tcPr>
          <w:p w14:paraId="3EEE0AAA">
            <w:pPr>
              <w:pStyle w:val="146"/>
              <w:rPr>
                <w:rFonts w:hint="eastAsia" w:ascii="宋体" w:hAnsi="宋体" w:cs="宋体"/>
                <w:sz w:val="18"/>
                <w:szCs w:val="18"/>
              </w:rPr>
            </w:pPr>
            <w:r>
              <w:rPr>
                <w:rFonts w:hint="eastAsia" w:ascii="宋体" w:hAnsi="宋体" w:cs="宋体"/>
                <w:sz w:val="18"/>
                <w:szCs w:val="18"/>
              </w:rPr>
              <w:t>混凝土结构裂缝</w:t>
            </w:r>
          </w:p>
        </w:tc>
        <w:tc>
          <w:tcPr>
            <w:tcW w:w="945" w:type="dxa"/>
            <w:tcBorders>
              <w:top w:val="single" w:color="auto" w:sz="4" w:space="0"/>
              <w:left w:val="single" w:color="auto" w:sz="4" w:space="0"/>
              <w:bottom w:val="single" w:color="auto" w:sz="4" w:space="0"/>
              <w:right w:val="single" w:color="auto" w:sz="4" w:space="0"/>
            </w:tcBorders>
            <w:vAlign w:val="center"/>
          </w:tcPr>
          <w:p w14:paraId="2D6319FA">
            <w:pPr>
              <w:pStyle w:val="146"/>
              <w:rPr>
                <w:rFonts w:hint="eastAsia" w:ascii="宋体" w:hAnsi="宋体" w:cs="宋体"/>
                <w:sz w:val="18"/>
                <w:szCs w:val="18"/>
              </w:rPr>
            </w:pPr>
            <w:r>
              <w:rPr>
                <w:rFonts w:hint="eastAsia" w:ascii="宋体" w:hAnsi="宋体" w:cs="宋体"/>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2D1E6A87">
            <w:pPr>
              <w:pStyle w:val="146"/>
              <w:rPr>
                <w:rFonts w:hint="eastAsia" w:ascii="宋体" w:hAnsi="宋体" w:cs="宋体"/>
                <w:sz w:val="18"/>
                <w:szCs w:val="18"/>
              </w:rPr>
            </w:pPr>
            <w:r>
              <w:rPr>
                <w:rFonts w:hint="eastAsia" w:ascii="宋体" w:hAnsi="宋体" w:cs="宋体"/>
                <w:sz w:val="18"/>
                <w:szCs w:val="18"/>
              </w:rPr>
              <w:t>-</w:t>
            </w:r>
          </w:p>
        </w:tc>
      </w:tr>
      <w:tr w14:paraId="6348D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continue"/>
            <w:tcBorders>
              <w:left w:val="single" w:color="auto" w:sz="4" w:space="0"/>
              <w:bottom w:val="single" w:color="auto" w:sz="4" w:space="0"/>
              <w:right w:val="single" w:color="auto" w:sz="4" w:space="0"/>
            </w:tcBorders>
            <w:vAlign w:val="center"/>
          </w:tcPr>
          <w:p w14:paraId="7B83A6F6">
            <w:pPr>
              <w:widowControl/>
              <w:spacing w:beforeLines="0" w:afterLines="0" w:line="240" w:lineRule="auto"/>
              <w:jc w:val="left"/>
              <w:rPr>
                <w:rFonts w:hint="eastAsia" w:ascii="宋体" w:hAnsi="宋体" w:cs="宋体"/>
                <w:sz w:val="18"/>
                <w:szCs w:val="18"/>
              </w:rPr>
            </w:pPr>
          </w:p>
        </w:tc>
        <w:tc>
          <w:tcPr>
            <w:tcW w:w="593" w:type="dxa"/>
            <w:vMerge w:val="continue"/>
            <w:tcBorders>
              <w:top w:val="single" w:color="auto" w:sz="4" w:space="0"/>
              <w:left w:val="single" w:color="auto" w:sz="4" w:space="0"/>
              <w:bottom w:val="single" w:color="auto" w:sz="4" w:space="0"/>
              <w:right w:val="single" w:color="auto" w:sz="4" w:space="0"/>
            </w:tcBorders>
            <w:vAlign w:val="center"/>
          </w:tcPr>
          <w:p w14:paraId="6BD82B34">
            <w:pPr>
              <w:widowControl/>
              <w:spacing w:beforeLines="0" w:afterLines="0" w:line="240" w:lineRule="auto"/>
              <w:jc w:val="left"/>
              <w:rPr>
                <w:rFonts w:hint="eastAsia" w:ascii="宋体" w:hAnsi="宋体" w:cs="宋体"/>
                <w:sz w:val="18"/>
                <w:szCs w:val="18"/>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191D24F0">
            <w:pPr>
              <w:widowControl/>
              <w:spacing w:beforeLines="0" w:afterLines="0" w:line="240" w:lineRule="auto"/>
              <w:jc w:val="left"/>
              <w:rPr>
                <w:rFonts w:hint="eastAsia" w:ascii="宋体" w:hAnsi="宋体" w:cs="宋体"/>
                <w:sz w:val="18"/>
                <w:szCs w:val="18"/>
              </w:rPr>
            </w:pPr>
          </w:p>
        </w:tc>
        <w:tc>
          <w:tcPr>
            <w:tcW w:w="1995" w:type="dxa"/>
            <w:tcBorders>
              <w:top w:val="single" w:color="auto" w:sz="4" w:space="0"/>
              <w:left w:val="single" w:color="auto" w:sz="4" w:space="0"/>
              <w:bottom w:val="single" w:color="auto" w:sz="4" w:space="0"/>
              <w:right w:val="single" w:color="auto" w:sz="4" w:space="0"/>
            </w:tcBorders>
            <w:vAlign w:val="center"/>
          </w:tcPr>
          <w:p w14:paraId="6B2887CD">
            <w:pPr>
              <w:pStyle w:val="146"/>
              <w:rPr>
                <w:rFonts w:hint="eastAsia" w:ascii="宋体" w:hAnsi="宋体" w:cs="宋体"/>
                <w:sz w:val="18"/>
                <w:szCs w:val="18"/>
              </w:rPr>
            </w:pPr>
            <w:r>
              <w:rPr>
                <w:rFonts w:hint="eastAsia" w:ascii="宋体" w:hAnsi="宋体" w:cs="宋体"/>
                <w:sz w:val="18"/>
                <w:szCs w:val="18"/>
              </w:rPr>
              <w:t>钢结构裂缝</w:t>
            </w:r>
          </w:p>
        </w:tc>
        <w:tc>
          <w:tcPr>
            <w:tcW w:w="945" w:type="dxa"/>
            <w:tcBorders>
              <w:top w:val="single" w:color="auto" w:sz="4" w:space="0"/>
              <w:left w:val="single" w:color="auto" w:sz="4" w:space="0"/>
              <w:bottom w:val="single" w:color="auto" w:sz="4" w:space="0"/>
              <w:right w:val="single" w:color="auto" w:sz="4" w:space="0"/>
            </w:tcBorders>
            <w:vAlign w:val="center"/>
          </w:tcPr>
          <w:p w14:paraId="40910A73">
            <w:pPr>
              <w:pStyle w:val="146"/>
              <w:rPr>
                <w:rFonts w:hint="eastAsia" w:ascii="宋体" w:hAnsi="宋体" w:cs="宋体"/>
                <w:sz w:val="18"/>
                <w:szCs w:val="18"/>
              </w:rPr>
            </w:pPr>
            <w:r>
              <w:rPr>
                <w:rFonts w:hint="eastAsia" w:ascii="宋体" w:hAnsi="宋体" w:cs="宋体"/>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426DE2DA">
            <w:pPr>
              <w:pStyle w:val="146"/>
              <w:rPr>
                <w:rFonts w:hint="eastAsia" w:ascii="宋体" w:hAnsi="宋体" w:cs="宋体"/>
                <w:sz w:val="18"/>
                <w:szCs w:val="18"/>
              </w:rPr>
            </w:pPr>
            <w:r>
              <w:rPr>
                <w:rFonts w:hint="eastAsia" w:ascii="宋体" w:hAnsi="宋体" w:cs="宋体"/>
                <w:sz w:val="18"/>
                <w:szCs w:val="18"/>
              </w:rPr>
              <w:t>-</w:t>
            </w:r>
          </w:p>
        </w:tc>
      </w:tr>
      <w:tr w14:paraId="4BFA6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restart"/>
            <w:tcBorders>
              <w:top w:val="single" w:color="auto" w:sz="4" w:space="0"/>
              <w:left w:val="single" w:color="auto" w:sz="4" w:space="0"/>
              <w:right w:val="single" w:color="auto" w:sz="4" w:space="0"/>
            </w:tcBorders>
            <w:vAlign w:val="center"/>
          </w:tcPr>
          <w:p w14:paraId="2991E1B2">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22</w:t>
            </w:r>
          </w:p>
        </w:tc>
        <w:tc>
          <w:tcPr>
            <w:tcW w:w="593" w:type="dxa"/>
            <w:vMerge w:val="continue"/>
            <w:tcBorders>
              <w:top w:val="single" w:color="auto" w:sz="4" w:space="0"/>
              <w:left w:val="single" w:color="auto" w:sz="4" w:space="0"/>
              <w:bottom w:val="single" w:color="auto" w:sz="4" w:space="0"/>
              <w:right w:val="single" w:color="auto" w:sz="4" w:space="0"/>
            </w:tcBorders>
            <w:vAlign w:val="center"/>
          </w:tcPr>
          <w:p w14:paraId="535B22CC">
            <w:pPr>
              <w:widowControl/>
              <w:spacing w:beforeLines="0" w:afterLines="0" w:line="240" w:lineRule="auto"/>
              <w:jc w:val="left"/>
              <w:rPr>
                <w:rFonts w:hint="eastAsia" w:ascii="宋体" w:hAnsi="宋体" w:cs="宋体"/>
                <w:sz w:val="18"/>
                <w:szCs w:val="18"/>
              </w:rPr>
            </w:pPr>
          </w:p>
        </w:tc>
        <w:tc>
          <w:tcPr>
            <w:tcW w:w="1515" w:type="dxa"/>
            <w:vMerge w:val="restart"/>
            <w:tcBorders>
              <w:top w:val="single" w:color="auto" w:sz="4" w:space="0"/>
              <w:left w:val="single" w:color="auto" w:sz="4" w:space="0"/>
              <w:bottom w:val="single" w:color="auto" w:sz="4" w:space="0"/>
              <w:right w:val="single" w:color="auto" w:sz="4" w:space="0"/>
            </w:tcBorders>
            <w:vAlign w:val="center"/>
          </w:tcPr>
          <w:p w14:paraId="3DD3C33C">
            <w:pPr>
              <w:pStyle w:val="146"/>
              <w:rPr>
                <w:rFonts w:hint="eastAsia" w:ascii="宋体" w:hAnsi="宋体" w:cs="宋体"/>
                <w:sz w:val="18"/>
                <w:szCs w:val="18"/>
              </w:rPr>
            </w:pPr>
            <w:r>
              <w:rPr>
                <w:rFonts w:hint="eastAsia" w:ascii="宋体" w:hAnsi="宋体" w:cs="宋体"/>
                <w:sz w:val="18"/>
                <w:szCs w:val="18"/>
              </w:rPr>
              <w:t>结构变位</w:t>
            </w:r>
          </w:p>
        </w:tc>
        <w:tc>
          <w:tcPr>
            <w:tcW w:w="1995" w:type="dxa"/>
            <w:tcBorders>
              <w:top w:val="single" w:color="auto" w:sz="4" w:space="0"/>
              <w:left w:val="single" w:color="auto" w:sz="4" w:space="0"/>
              <w:bottom w:val="single" w:color="auto" w:sz="4" w:space="0"/>
              <w:right w:val="single" w:color="auto" w:sz="4" w:space="0"/>
            </w:tcBorders>
            <w:vAlign w:val="center"/>
          </w:tcPr>
          <w:p w14:paraId="55AC34FD">
            <w:pPr>
              <w:pStyle w:val="146"/>
              <w:rPr>
                <w:rFonts w:hint="eastAsia" w:ascii="宋体" w:hAnsi="宋体" w:cs="宋体"/>
                <w:sz w:val="18"/>
                <w:szCs w:val="18"/>
              </w:rPr>
            </w:pPr>
            <w:r>
              <w:rPr>
                <w:rFonts w:hint="eastAsia" w:ascii="宋体" w:hAnsi="宋体" w:cs="宋体"/>
                <w:bCs/>
                <w:sz w:val="18"/>
                <w:szCs w:val="18"/>
              </w:rPr>
              <w:t>锚碇位移</w:t>
            </w:r>
          </w:p>
        </w:tc>
        <w:tc>
          <w:tcPr>
            <w:tcW w:w="945" w:type="dxa"/>
            <w:tcBorders>
              <w:top w:val="single" w:color="auto" w:sz="4" w:space="0"/>
              <w:left w:val="single" w:color="auto" w:sz="4" w:space="0"/>
              <w:bottom w:val="single" w:color="auto" w:sz="4" w:space="0"/>
              <w:right w:val="single" w:color="auto" w:sz="4" w:space="0"/>
            </w:tcBorders>
            <w:vAlign w:val="center"/>
          </w:tcPr>
          <w:p w14:paraId="50F24D1E">
            <w:pPr>
              <w:pStyle w:val="146"/>
              <w:rPr>
                <w:rFonts w:hint="eastAsia" w:ascii="宋体" w:hAnsi="宋体" w:cs="宋体"/>
                <w:sz w:val="18"/>
                <w:szCs w:val="18"/>
              </w:rPr>
            </w:pPr>
            <w:r>
              <w:rPr>
                <w:rFonts w:hint="eastAsia" w:ascii="宋体" w:hAnsi="宋体" w:cs="宋体"/>
                <w:bCs/>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4CD85148">
            <w:pPr>
              <w:pStyle w:val="146"/>
              <w:rPr>
                <w:rFonts w:hint="eastAsia" w:ascii="宋体" w:hAnsi="宋体" w:cs="宋体"/>
                <w:sz w:val="18"/>
                <w:szCs w:val="18"/>
              </w:rPr>
            </w:pPr>
            <w:r>
              <w:rPr>
                <w:rFonts w:hint="eastAsia" w:ascii="宋体" w:hAnsi="宋体" w:cs="宋体"/>
                <w:sz w:val="18"/>
                <w:szCs w:val="18"/>
              </w:rPr>
              <w:t>-</w:t>
            </w:r>
          </w:p>
        </w:tc>
      </w:tr>
      <w:tr w14:paraId="0AE31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continue"/>
            <w:tcBorders>
              <w:left w:val="single" w:color="auto" w:sz="4" w:space="0"/>
              <w:bottom w:val="single" w:color="auto" w:sz="4" w:space="0"/>
              <w:right w:val="single" w:color="auto" w:sz="4" w:space="0"/>
            </w:tcBorders>
            <w:vAlign w:val="center"/>
          </w:tcPr>
          <w:p w14:paraId="52FEF613">
            <w:pPr>
              <w:widowControl/>
              <w:spacing w:beforeLines="0" w:afterLines="0" w:line="240" w:lineRule="auto"/>
              <w:jc w:val="center"/>
              <w:rPr>
                <w:rFonts w:hint="eastAsia" w:ascii="宋体" w:hAnsi="宋体" w:cs="宋体"/>
                <w:sz w:val="18"/>
                <w:szCs w:val="18"/>
              </w:rPr>
            </w:pPr>
          </w:p>
        </w:tc>
        <w:tc>
          <w:tcPr>
            <w:tcW w:w="593" w:type="dxa"/>
            <w:vMerge w:val="continue"/>
            <w:tcBorders>
              <w:top w:val="single" w:color="auto" w:sz="4" w:space="0"/>
              <w:left w:val="single" w:color="auto" w:sz="4" w:space="0"/>
              <w:bottom w:val="single" w:color="auto" w:sz="4" w:space="0"/>
              <w:right w:val="single" w:color="auto" w:sz="4" w:space="0"/>
            </w:tcBorders>
            <w:vAlign w:val="center"/>
          </w:tcPr>
          <w:p w14:paraId="0B9BF8BA">
            <w:pPr>
              <w:widowControl/>
              <w:spacing w:beforeLines="0" w:afterLines="0" w:line="240" w:lineRule="auto"/>
              <w:jc w:val="left"/>
              <w:rPr>
                <w:rFonts w:hint="eastAsia" w:ascii="宋体" w:hAnsi="宋体" w:cs="宋体"/>
                <w:sz w:val="18"/>
                <w:szCs w:val="18"/>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42593AF7">
            <w:pPr>
              <w:widowControl/>
              <w:spacing w:beforeLines="0" w:afterLines="0" w:line="240" w:lineRule="auto"/>
              <w:jc w:val="left"/>
              <w:rPr>
                <w:rFonts w:hint="eastAsia" w:ascii="宋体" w:hAnsi="宋体" w:cs="宋体"/>
                <w:sz w:val="18"/>
                <w:szCs w:val="18"/>
              </w:rPr>
            </w:pPr>
          </w:p>
        </w:tc>
        <w:tc>
          <w:tcPr>
            <w:tcW w:w="1995" w:type="dxa"/>
            <w:tcBorders>
              <w:top w:val="single" w:color="auto" w:sz="4" w:space="0"/>
              <w:left w:val="single" w:color="auto" w:sz="4" w:space="0"/>
              <w:bottom w:val="single" w:color="auto" w:sz="4" w:space="0"/>
              <w:right w:val="single" w:color="auto" w:sz="4" w:space="0"/>
            </w:tcBorders>
            <w:vAlign w:val="center"/>
          </w:tcPr>
          <w:p w14:paraId="46D16AF8">
            <w:pPr>
              <w:pStyle w:val="146"/>
              <w:rPr>
                <w:rFonts w:hint="eastAsia" w:ascii="宋体" w:hAnsi="宋体" w:cs="宋体"/>
                <w:sz w:val="18"/>
                <w:szCs w:val="18"/>
              </w:rPr>
            </w:pPr>
            <w:r>
              <w:rPr>
                <w:rFonts w:hint="eastAsia" w:ascii="宋体" w:hAnsi="宋体" w:cs="宋体"/>
                <w:sz w:val="18"/>
                <w:szCs w:val="18"/>
              </w:rPr>
              <w:t>桥墩（台）沉降</w:t>
            </w:r>
          </w:p>
        </w:tc>
        <w:tc>
          <w:tcPr>
            <w:tcW w:w="945" w:type="dxa"/>
            <w:tcBorders>
              <w:top w:val="single" w:color="auto" w:sz="4" w:space="0"/>
              <w:left w:val="single" w:color="auto" w:sz="4" w:space="0"/>
              <w:bottom w:val="single" w:color="auto" w:sz="4" w:space="0"/>
              <w:right w:val="single" w:color="auto" w:sz="4" w:space="0"/>
            </w:tcBorders>
            <w:vAlign w:val="center"/>
          </w:tcPr>
          <w:p w14:paraId="122DE18E">
            <w:pPr>
              <w:pStyle w:val="146"/>
              <w:rPr>
                <w:rFonts w:hint="eastAsia" w:ascii="宋体" w:hAnsi="宋体" w:cs="宋体"/>
                <w:sz w:val="18"/>
                <w:szCs w:val="18"/>
              </w:rPr>
            </w:pPr>
            <w:r>
              <w:rPr>
                <w:rFonts w:hint="eastAsia" w:ascii="宋体" w:hAnsi="宋体" w:cs="宋体"/>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6685E964">
            <w:pPr>
              <w:pStyle w:val="146"/>
              <w:rPr>
                <w:rFonts w:hint="eastAsia" w:ascii="宋体" w:hAnsi="宋体" w:cs="宋体"/>
                <w:sz w:val="18"/>
                <w:szCs w:val="18"/>
              </w:rPr>
            </w:pPr>
            <w:r>
              <w:rPr>
                <w:rFonts w:hint="eastAsia" w:ascii="宋体" w:hAnsi="宋体" w:cs="宋体"/>
                <w:sz w:val="18"/>
                <w:szCs w:val="18"/>
              </w:rPr>
              <w:t>-</w:t>
            </w:r>
          </w:p>
        </w:tc>
      </w:tr>
      <w:tr w14:paraId="3D785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restart"/>
            <w:tcBorders>
              <w:top w:val="single" w:color="auto" w:sz="4" w:space="0"/>
              <w:left w:val="single" w:color="auto" w:sz="4" w:space="0"/>
              <w:right w:val="single" w:color="auto" w:sz="4" w:space="0"/>
            </w:tcBorders>
            <w:vAlign w:val="center"/>
          </w:tcPr>
          <w:p w14:paraId="2A2DBFC2">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23</w:t>
            </w:r>
          </w:p>
        </w:tc>
        <w:tc>
          <w:tcPr>
            <w:tcW w:w="593" w:type="dxa"/>
            <w:vMerge w:val="continue"/>
            <w:tcBorders>
              <w:top w:val="single" w:color="auto" w:sz="4" w:space="0"/>
              <w:left w:val="single" w:color="auto" w:sz="4" w:space="0"/>
              <w:bottom w:val="single" w:color="auto" w:sz="4" w:space="0"/>
              <w:right w:val="single" w:color="auto" w:sz="4" w:space="0"/>
            </w:tcBorders>
            <w:vAlign w:val="center"/>
          </w:tcPr>
          <w:p w14:paraId="1058F15D">
            <w:pPr>
              <w:widowControl/>
              <w:spacing w:beforeLines="0" w:afterLines="0" w:line="240" w:lineRule="auto"/>
              <w:jc w:val="left"/>
              <w:rPr>
                <w:rFonts w:hint="eastAsia" w:ascii="宋体" w:hAnsi="宋体" w:cs="宋体"/>
                <w:sz w:val="18"/>
                <w:szCs w:val="18"/>
              </w:rPr>
            </w:pPr>
          </w:p>
        </w:tc>
        <w:tc>
          <w:tcPr>
            <w:tcW w:w="1515" w:type="dxa"/>
            <w:vMerge w:val="restart"/>
            <w:tcBorders>
              <w:top w:val="single" w:color="auto" w:sz="4" w:space="0"/>
              <w:left w:val="single" w:color="auto" w:sz="4" w:space="0"/>
              <w:bottom w:val="single" w:color="auto" w:sz="4" w:space="0"/>
              <w:right w:val="single" w:color="auto" w:sz="4" w:space="0"/>
            </w:tcBorders>
            <w:vAlign w:val="center"/>
          </w:tcPr>
          <w:p w14:paraId="570B8E0A">
            <w:pPr>
              <w:pStyle w:val="146"/>
              <w:rPr>
                <w:rFonts w:hint="eastAsia" w:ascii="宋体" w:hAnsi="宋体" w:cs="宋体"/>
                <w:sz w:val="18"/>
                <w:szCs w:val="18"/>
              </w:rPr>
            </w:pPr>
            <w:r>
              <w:rPr>
                <w:rFonts w:hint="eastAsia" w:ascii="宋体" w:hAnsi="宋体" w:cs="宋体"/>
                <w:sz w:val="18"/>
                <w:szCs w:val="18"/>
              </w:rPr>
              <w:t>腐蚀</w:t>
            </w:r>
          </w:p>
        </w:tc>
        <w:tc>
          <w:tcPr>
            <w:tcW w:w="1995" w:type="dxa"/>
            <w:tcBorders>
              <w:top w:val="single" w:color="auto" w:sz="4" w:space="0"/>
              <w:left w:val="single" w:color="auto" w:sz="4" w:space="0"/>
              <w:bottom w:val="single" w:color="auto" w:sz="4" w:space="0"/>
              <w:right w:val="single" w:color="auto" w:sz="4" w:space="0"/>
            </w:tcBorders>
            <w:vAlign w:val="center"/>
          </w:tcPr>
          <w:p w14:paraId="5ADD55F6">
            <w:pPr>
              <w:pStyle w:val="146"/>
              <w:rPr>
                <w:rFonts w:hint="eastAsia" w:ascii="宋体" w:hAnsi="宋体" w:cs="宋体"/>
                <w:sz w:val="18"/>
                <w:szCs w:val="18"/>
              </w:rPr>
            </w:pPr>
            <w:r>
              <w:rPr>
                <w:rFonts w:hint="eastAsia" w:ascii="宋体" w:hAnsi="宋体" w:cs="宋体"/>
                <w:sz w:val="18"/>
                <w:szCs w:val="18"/>
              </w:rPr>
              <w:t>墩身、承台混凝土氯离子浓度</w:t>
            </w:r>
          </w:p>
        </w:tc>
        <w:tc>
          <w:tcPr>
            <w:tcW w:w="945" w:type="dxa"/>
            <w:tcBorders>
              <w:top w:val="single" w:color="auto" w:sz="4" w:space="0"/>
              <w:left w:val="single" w:color="auto" w:sz="4" w:space="0"/>
              <w:bottom w:val="single" w:color="auto" w:sz="4" w:space="0"/>
              <w:right w:val="single" w:color="auto" w:sz="4" w:space="0"/>
            </w:tcBorders>
            <w:vAlign w:val="center"/>
          </w:tcPr>
          <w:p w14:paraId="3C4BB507">
            <w:pPr>
              <w:pStyle w:val="146"/>
              <w:rPr>
                <w:rFonts w:hint="eastAsia" w:ascii="宋体" w:hAnsi="宋体" w:cs="宋体"/>
                <w:sz w:val="18"/>
                <w:szCs w:val="18"/>
              </w:rPr>
            </w:pPr>
            <w:r>
              <w:rPr>
                <w:rFonts w:hint="eastAsia" w:ascii="宋体" w:hAnsi="宋体" w:cs="宋体"/>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02907ED5">
            <w:pPr>
              <w:pStyle w:val="146"/>
              <w:rPr>
                <w:rFonts w:hint="eastAsia" w:ascii="宋体" w:hAnsi="宋体" w:cs="宋体"/>
                <w:sz w:val="18"/>
                <w:szCs w:val="18"/>
              </w:rPr>
            </w:pPr>
            <w:r>
              <w:rPr>
                <w:rFonts w:hint="eastAsia" w:ascii="宋体" w:hAnsi="宋体" w:cs="宋体"/>
                <w:sz w:val="18"/>
                <w:szCs w:val="18"/>
              </w:rPr>
              <w:t>-</w:t>
            </w:r>
          </w:p>
        </w:tc>
      </w:tr>
      <w:tr w14:paraId="4F18E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vMerge w:val="continue"/>
            <w:tcBorders>
              <w:left w:val="single" w:color="auto" w:sz="4" w:space="0"/>
              <w:bottom w:val="single" w:color="auto" w:sz="4" w:space="0"/>
              <w:right w:val="single" w:color="auto" w:sz="4" w:space="0"/>
            </w:tcBorders>
            <w:vAlign w:val="center"/>
          </w:tcPr>
          <w:p w14:paraId="55B6CFFA">
            <w:pPr>
              <w:widowControl/>
              <w:spacing w:beforeLines="0" w:afterLines="0" w:line="240" w:lineRule="auto"/>
              <w:jc w:val="center"/>
              <w:rPr>
                <w:rFonts w:hint="eastAsia" w:ascii="宋体" w:hAnsi="宋体" w:cs="宋体"/>
                <w:sz w:val="18"/>
                <w:szCs w:val="18"/>
              </w:rPr>
            </w:pPr>
          </w:p>
        </w:tc>
        <w:tc>
          <w:tcPr>
            <w:tcW w:w="593" w:type="dxa"/>
            <w:vMerge w:val="continue"/>
            <w:tcBorders>
              <w:top w:val="single" w:color="auto" w:sz="4" w:space="0"/>
              <w:left w:val="single" w:color="auto" w:sz="4" w:space="0"/>
              <w:bottom w:val="single" w:color="auto" w:sz="4" w:space="0"/>
              <w:right w:val="single" w:color="auto" w:sz="4" w:space="0"/>
            </w:tcBorders>
            <w:vAlign w:val="center"/>
          </w:tcPr>
          <w:p w14:paraId="3CF1BCDC">
            <w:pPr>
              <w:widowControl/>
              <w:spacing w:beforeLines="0" w:afterLines="0" w:line="240" w:lineRule="auto"/>
              <w:jc w:val="left"/>
              <w:rPr>
                <w:rFonts w:hint="eastAsia" w:ascii="宋体" w:hAnsi="宋体" w:cs="宋体"/>
                <w:sz w:val="18"/>
                <w:szCs w:val="18"/>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61022B8A">
            <w:pPr>
              <w:widowControl/>
              <w:spacing w:beforeLines="0" w:afterLines="0" w:line="240" w:lineRule="auto"/>
              <w:jc w:val="left"/>
              <w:rPr>
                <w:rFonts w:hint="eastAsia" w:ascii="宋体" w:hAnsi="宋体" w:cs="宋体"/>
                <w:sz w:val="18"/>
                <w:szCs w:val="18"/>
              </w:rPr>
            </w:pPr>
          </w:p>
        </w:tc>
        <w:tc>
          <w:tcPr>
            <w:tcW w:w="1995" w:type="dxa"/>
            <w:tcBorders>
              <w:top w:val="single" w:color="auto" w:sz="4" w:space="0"/>
              <w:left w:val="single" w:color="auto" w:sz="4" w:space="0"/>
              <w:bottom w:val="single" w:color="auto" w:sz="4" w:space="0"/>
              <w:right w:val="single" w:color="auto" w:sz="4" w:space="0"/>
            </w:tcBorders>
            <w:vAlign w:val="center"/>
          </w:tcPr>
          <w:p w14:paraId="176025E8">
            <w:pPr>
              <w:pStyle w:val="146"/>
              <w:rPr>
                <w:rFonts w:hint="eastAsia" w:ascii="宋体" w:hAnsi="宋体" w:cs="宋体"/>
                <w:sz w:val="18"/>
                <w:szCs w:val="18"/>
              </w:rPr>
            </w:pPr>
            <w:r>
              <w:rPr>
                <w:rFonts w:hint="eastAsia" w:ascii="宋体" w:hAnsi="宋体" w:cs="宋体"/>
                <w:sz w:val="18"/>
                <w:szCs w:val="18"/>
              </w:rPr>
              <w:t>墩身、承台混凝土氯离子侵蚀深度</w:t>
            </w:r>
          </w:p>
        </w:tc>
        <w:tc>
          <w:tcPr>
            <w:tcW w:w="945" w:type="dxa"/>
            <w:tcBorders>
              <w:top w:val="single" w:color="auto" w:sz="4" w:space="0"/>
              <w:left w:val="single" w:color="auto" w:sz="4" w:space="0"/>
              <w:bottom w:val="single" w:color="auto" w:sz="4" w:space="0"/>
              <w:right w:val="single" w:color="auto" w:sz="4" w:space="0"/>
            </w:tcBorders>
            <w:vAlign w:val="center"/>
          </w:tcPr>
          <w:p w14:paraId="617EDA5E">
            <w:pPr>
              <w:pStyle w:val="146"/>
              <w:rPr>
                <w:rFonts w:hint="eastAsia" w:ascii="宋体" w:hAnsi="宋体" w:cs="宋体"/>
                <w:sz w:val="18"/>
                <w:szCs w:val="18"/>
              </w:rPr>
            </w:pPr>
            <w:r>
              <w:rPr>
                <w:rFonts w:hint="eastAsia" w:ascii="宋体" w:hAnsi="宋体" w:cs="宋体"/>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451D8790">
            <w:pPr>
              <w:pStyle w:val="146"/>
              <w:rPr>
                <w:rFonts w:hint="eastAsia" w:ascii="宋体" w:hAnsi="宋体" w:cs="宋体"/>
                <w:sz w:val="18"/>
                <w:szCs w:val="18"/>
              </w:rPr>
            </w:pPr>
            <w:r>
              <w:rPr>
                <w:rFonts w:hint="eastAsia" w:ascii="宋体" w:hAnsi="宋体" w:cs="宋体"/>
                <w:sz w:val="18"/>
                <w:szCs w:val="18"/>
              </w:rPr>
              <w:t>-</w:t>
            </w:r>
          </w:p>
        </w:tc>
      </w:tr>
      <w:tr w14:paraId="39897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tcBorders>
              <w:top w:val="single" w:color="auto" w:sz="4" w:space="0"/>
              <w:left w:val="single" w:color="auto" w:sz="4" w:space="0"/>
              <w:bottom w:val="single" w:color="auto" w:sz="4" w:space="0"/>
              <w:right w:val="single" w:color="auto" w:sz="4" w:space="0"/>
            </w:tcBorders>
            <w:vAlign w:val="center"/>
          </w:tcPr>
          <w:p w14:paraId="22B680A8">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24</w:t>
            </w:r>
          </w:p>
        </w:tc>
        <w:tc>
          <w:tcPr>
            <w:tcW w:w="593" w:type="dxa"/>
            <w:vMerge w:val="continue"/>
            <w:tcBorders>
              <w:top w:val="single" w:color="auto" w:sz="4" w:space="0"/>
              <w:left w:val="single" w:color="auto" w:sz="4" w:space="0"/>
              <w:bottom w:val="single" w:color="auto" w:sz="4" w:space="0"/>
              <w:right w:val="single" w:color="auto" w:sz="4" w:space="0"/>
            </w:tcBorders>
            <w:vAlign w:val="center"/>
          </w:tcPr>
          <w:p w14:paraId="6C31E330">
            <w:pPr>
              <w:widowControl/>
              <w:spacing w:beforeLines="0" w:afterLines="0" w:line="240" w:lineRule="auto"/>
              <w:jc w:val="left"/>
              <w:rPr>
                <w:rFonts w:hint="eastAsia" w:ascii="宋体" w:hAnsi="宋体" w:cs="宋体"/>
                <w:sz w:val="18"/>
                <w:szCs w:val="18"/>
              </w:rPr>
            </w:pPr>
          </w:p>
        </w:tc>
        <w:tc>
          <w:tcPr>
            <w:tcW w:w="1515" w:type="dxa"/>
            <w:tcBorders>
              <w:top w:val="single" w:color="auto" w:sz="4" w:space="0"/>
              <w:left w:val="single" w:color="auto" w:sz="4" w:space="0"/>
              <w:bottom w:val="single" w:color="auto" w:sz="4" w:space="0"/>
              <w:right w:val="single" w:color="auto" w:sz="4" w:space="0"/>
            </w:tcBorders>
            <w:vAlign w:val="center"/>
          </w:tcPr>
          <w:p w14:paraId="3245DE03">
            <w:pPr>
              <w:pStyle w:val="146"/>
              <w:rPr>
                <w:rFonts w:hint="eastAsia" w:ascii="宋体" w:hAnsi="宋体" w:cs="宋体"/>
                <w:sz w:val="18"/>
                <w:szCs w:val="18"/>
              </w:rPr>
            </w:pPr>
            <w:r>
              <w:rPr>
                <w:rFonts w:hint="eastAsia" w:ascii="宋体" w:hAnsi="宋体" w:cs="宋体"/>
                <w:sz w:val="18"/>
                <w:szCs w:val="18"/>
              </w:rPr>
              <w:t>断丝</w:t>
            </w:r>
          </w:p>
        </w:tc>
        <w:tc>
          <w:tcPr>
            <w:tcW w:w="1995" w:type="dxa"/>
            <w:tcBorders>
              <w:top w:val="single" w:color="auto" w:sz="4" w:space="0"/>
              <w:left w:val="single" w:color="auto" w:sz="4" w:space="0"/>
              <w:bottom w:val="single" w:color="auto" w:sz="4" w:space="0"/>
              <w:right w:val="single" w:color="auto" w:sz="4" w:space="0"/>
            </w:tcBorders>
            <w:vAlign w:val="center"/>
          </w:tcPr>
          <w:p w14:paraId="4294658D">
            <w:pPr>
              <w:pStyle w:val="146"/>
              <w:rPr>
                <w:rFonts w:hint="eastAsia" w:ascii="宋体" w:hAnsi="宋体" w:cs="宋体"/>
                <w:sz w:val="18"/>
                <w:szCs w:val="18"/>
              </w:rPr>
            </w:pPr>
            <w:r>
              <w:rPr>
                <w:rFonts w:hint="eastAsia" w:ascii="宋体" w:hAnsi="宋体" w:cs="宋体"/>
                <w:sz w:val="18"/>
                <w:szCs w:val="18"/>
              </w:rPr>
              <w:t>斜拉索断丝</w:t>
            </w:r>
          </w:p>
        </w:tc>
        <w:tc>
          <w:tcPr>
            <w:tcW w:w="945" w:type="dxa"/>
            <w:tcBorders>
              <w:top w:val="single" w:color="auto" w:sz="4" w:space="0"/>
              <w:left w:val="single" w:color="auto" w:sz="4" w:space="0"/>
              <w:bottom w:val="single" w:color="auto" w:sz="4" w:space="0"/>
              <w:right w:val="single" w:color="auto" w:sz="4" w:space="0"/>
            </w:tcBorders>
            <w:vAlign w:val="center"/>
          </w:tcPr>
          <w:p w14:paraId="1D44C652">
            <w:pPr>
              <w:pStyle w:val="146"/>
              <w:rPr>
                <w:rFonts w:hint="eastAsia" w:ascii="宋体" w:hAnsi="宋体" w:cs="宋体"/>
                <w:sz w:val="18"/>
                <w:szCs w:val="18"/>
              </w:rPr>
            </w:pPr>
            <w:r>
              <w:rPr>
                <w:rFonts w:hint="eastAsia" w:ascii="宋体" w:hAnsi="宋体" w:cs="宋体"/>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36BC1214">
            <w:pPr>
              <w:pStyle w:val="146"/>
              <w:rPr>
                <w:rFonts w:hint="eastAsia" w:ascii="宋体" w:hAnsi="宋体" w:cs="宋体"/>
                <w:sz w:val="18"/>
                <w:szCs w:val="18"/>
              </w:rPr>
            </w:pPr>
            <w:r>
              <w:rPr>
                <w:rFonts w:hint="eastAsia" w:ascii="宋体" w:hAnsi="宋体" w:cs="宋体"/>
                <w:sz w:val="18"/>
                <w:szCs w:val="18"/>
              </w:rPr>
              <w:t>-</w:t>
            </w:r>
          </w:p>
        </w:tc>
      </w:tr>
      <w:tr w14:paraId="3640B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tcBorders>
              <w:top w:val="single" w:color="auto" w:sz="4" w:space="0"/>
              <w:left w:val="single" w:color="auto" w:sz="4" w:space="0"/>
              <w:bottom w:val="single" w:color="auto" w:sz="4" w:space="0"/>
              <w:right w:val="single" w:color="auto" w:sz="4" w:space="0"/>
            </w:tcBorders>
            <w:vAlign w:val="center"/>
          </w:tcPr>
          <w:p w14:paraId="247C5064">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25</w:t>
            </w:r>
          </w:p>
        </w:tc>
        <w:tc>
          <w:tcPr>
            <w:tcW w:w="593" w:type="dxa"/>
            <w:vMerge w:val="continue"/>
            <w:tcBorders>
              <w:top w:val="single" w:color="auto" w:sz="4" w:space="0"/>
              <w:left w:val="single" w:color="auto" w:sz="4" w:space="0"/>
              <w:bottom w:val="single" w:color="auto" w:sz="4" w:space="0"/>
              <w:right w:val="single" w:color="auto" w:sz="4" w:space="0"/>
            </w:tcBorders>
            <w:vAlign w:val="center"/>
          </w:tcPr>
          <w:p w14:paraId="73132C09">
            <w:pPr>
              <w:widowControl/>
              <w:spacing w:beforeLines="0" w:afterLines="0" w:line="240" w:lineRule="auto"/>
              <w:jc w:val="left"/>
              <w:rPr>
                <w:rFonts w:hint="eastAsia" w:ascii="宋体" w:hAnsi="宋体" w:cs="宋体"/>
                <w:sz w:val="18"/>
                <w:szCs w:val="18"/>
              </w:rPr>
            </w:pPr>
          </w:p>
        </w:tc>
        <w:tc>
          <w:tcPr>
            <w:tcW w:w="1515" w:type="dxa"/>
            <w:tcBorders>
              <w:top w:val="single" w:color="auto" w:sz="4" w:space="0"/>
              <w:left w:val="single" w:color="auto" w:sz="4" w:space="0"/>
              <w:bottom w:val="single" w:color="auto" w:sz="4" w:space="0"/>
              <w:right w:val="single" w:color="auto" w:sz="4" w:space="0"/>
            </w:tcBorders>
            <w:vAlign w:val="center"/>
          </w:tcPr>
          <w:p w14:paraId="544C637A">
            <w:pPr>
              <w:pStyle w:val="146"/>
              <w:rPr>
                <w:rFonts w:hint="eastAsia" w:ascii="宋体" w:hAnsi="宋体" w:cs="宋体"/>
                <w:sz w:val="18"/>
                <w:szCs w:val="18"/>
              </w:rPr>
            </w:pPr>
            <w:r>
              <w:rPr>
                <w:rFonts w:hint="eastAsia" w:ascii="宋体" w:hAnsi="宋体" w:cs="宋体"/>
                <w:sz w:val="18"/>
                <w:szCs w:val="18"/>
              </w:rPr>
              <w:t>螺栓状态</w:t>
            </w:r>
          </w:p>
        </w:tc>
        <w:tc>
          <w:tcPr>
            <w:tcW w:w="1995" w:type="dxa"/>
            <w:tcBorders>
              <w:top w:val="single" w:color="auto" w:sz="4" w:space="0"/>
              <w:left w:val="single" w:color="auto" w:sz="4" w:space="0"/>
              <w:bottom w:val="single" w:color="auto" w:sz="4" w:space="0"/>
              <w:right w:val="single" w:color="auto" w:sz="4" w:space="0"/>
            </w:tcBorders>
            <w:vAlign w:val="center"/>
          </w:tcPr>
          <w:p w14:paraId="6D9CF85D">
            <w:pPr>
              <w:pStyle w:val="146"/>
              <w:rPr>
                <w:rFonts w:hint="eastAsia" w:ascii="宋体" w:hAnsi="宋体" w:cs="宋体"/>
                <w:sz w:val="18"/>
                <w:szCs w:val="18"/>
              </w:rPr>
            </w:pPr>
            <w:r>
              <w:rPr>
                <w:rFonts w:hint="eastAsia" w:ascii="宋体" w:hAnsi="宋体" w:cs="宋体"/>
                <w:sz w:val="18"/>
                <w:szCs w:val="18"/>
              </w:rPr>
              <w:t>高强螺栓紧固力、螺栓滑脱</w:t>
            </w:r>
          </w:p>
        </w:tc>
        <w:tc>
          <w:tcPr>
            <w:tcW w:w="945" w:type="dxa"/>
            <w:tcBorders>
              <w:top w:val="single" w:color="auto" w:sz="4" w:space="0"/>
              <w:left w:val="single" w:color="auto" w:sz="4" w:space="0"/>
              <w:bottom w:val="single" w:color="auto" w:sz="4" w:space="0"/>
              <w:right w:val="single" w:color="auto" w:sz="4" w:space="0"/>
            </w:tcBorders>
            <w:vAlign w:val="center"/>
          </w:tcPr>
          <w:p w14:paraId="5D1346A7">
            <w:pPr>
              <w:pStyle w:val="146"/>
              <w:rPr>
                <w:rFonts w:hint="eastAsia" w:ascii="宋体" w:hAnsi="宋体" w:cs="宋体"/>
                <w:sz w:val="18"/>
                <w:szCs w:val="18"/>
              </w:rPr>
            </w:pPr>
            <w:r>
              <w:rPr>
                <w:rFonts w:hint="eastAsia" w:ascii="宋体" w:hAnsi="宋体" w:cs="宋体"/>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581F0E25">
            <w:pPr>
              <w:pStyle w:val="146"/>
              <w:rPr>
                <w:rFonts w:hint="eastAsia" w:ascii="宋体" w:hAnsi="宋体" w:cs="宋体"/>
                <w:sz w:val="18"/>
                <w:szCs w:val="18"/>
              </w:rPr>
            </w:pPr>
            <w:r>
              <w:rPr>
                <w:rFonts w:hint="eastAsia" w:ascii="宋体" w:hAnsi="宋体" w:cs="宋体"/>
                <w:sz w:val="18"/>
                <w:szCs w:val="18"/>
              </w:rPr>
              <w:t>-</w:t>
            </w:r>
          </w:p>
        </w:tc>
      </w:tr>
      <w:tr w14:paraId="4524D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2" w:type="dxa"/>
            <w:gridSpan w:val="2"/>
            <w:tcBorders>
              <w:top w:val="single" w:color="auto" w:sz="4" w:space="0"/>
              <w:left w:val="single" w:color="auto" w:sz="4" w:space="0"/>
              <w:bottom w:val="single" w:color="auto" w:sz="4" w:space="0"/>
              <w:right w:val="single" w:color="auto" w:sz="4" w:space="0"/>
            </w:tcBorders>
            <w:vAlign w:val="center"/>
          </w:tcPr>
          <w:p w14:paraId="7A6EEEC2">
            <w:pPr>
              <w:widowControl/>
              <w:spacing w:beforeLines="0" w:afterLines="0"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26</w:t>
            </w:r>
          </w:p>
        </w:tc>
        <w:tc>
          <w:tcPr>
            <w:tcW w:w="593" w:type="dxa"/>
            <w:vMerge w:val="continue"/>
            <w:tcBorders>
              <w:top w:val="single" w:color="auto" w:sz="4" w:space="0"/>
              <w:left w:val="single" w:color="auto" w:sz="4" w:space="0"/>
              <w:bottom w:val="single" w:color="auto" w:sz="4" w:space="0"/>
              <w:right w:val="single" w:color="auto" w:sz="4" w:space="0"/>
            </w:tcBorders>
            <w:vAlign w:val="center"/>
          </w:tcPr>
          <w:p w14:paraId="5FEF32D1">
            <w:pPr>
              <w:widowControl/>
              <w:spacing w:beforeLines="0" w:afterLines="0" w:line="240" w:lineRule="auto"/>
              <w:jc w:val="left"/>
              <w:rPr>
                <w:rFonts w:hint="eastAsia" w:ascii="宋体" w:hAnsi="宋体" w:cs="宋体"/>
                <w:sz w:val="18"/>
                <w:szCs w:val="18"/>
              </w:rPr>
            </w:pPr>
          </w:p>
        </w:tc>
        <w:tc>
          <w:tcPr>
            <w:tcW w:w="1515" w:type="dxa"/>
            <w:tcBorders>
              <w:top w:val="single" w:color="auto" w:sz="4" w:space="0"/>
              <w:left w:val="single" w:color="auto" w:sz="4" w:space="0"/>
              <w:bottom w:val="single" w:color="auto" w:sz="4" w:space="0"/>
              <w:right w:val="single" w:color="auto" w:sz="4" w:space="0"/>
            </w:tcBorders>
            <w:vAlign w:val="center"/>
          </w:tcPr>
          <w:p w14:paraId="263444B5">
            <w:pPr>
              <w:pStyle w:val="146"/>
              <w:rPr>
                <w:rFonts w:hint="eastAsia" w:ascii="宋体" w:hAnsi="宋体" w:cs="宋体"/>
                <w:sz w:val="18"/>
                <w:szCs w:val="18"/>
              </w:rPr>
            </w:pPr>
            <w:r>
              <w:rPr>
                <w:rFonts w:hint="eastAsia" w:ascii="宋体" w:hAnsi="宋体" w:cs="宋体"/>
                <w:sz w:val="18"/>
                <w:szCs w:val="18"/>
              </w:rPr>
              <w:t>索夹滑移</w:t>
            </w:r>
          </w:p>
        </w:tc>
        <w:tc>
          <w:tcPr>
            <w:tcW w:w="1995" w:type="dxa"/>
            <w:tcBorders>
              <w:top w:val="single" w:color="auto" w:sz="4" w:space="0"/>
              <w:left w:val="single" w:color="auto" w:sz="4" w:space="0"/>
              <w:bottom w:val="single" w:color="auto" w:sz="4" w:space="0"/>
              <w:right w:val="single" w:color="auto" w:sz="4" w:space="0"/>
            </w:tcBorders>
            <w:vAlign w:val="center"/>
          </w:tcPr>
          <w:p w14:paraId="51D2B278">
            <w:pPr>
              <w:pStyle w:val="146"/>
              <w:rPr>
                <w:rFonts w:hint="eastAsia" w:ascii="宋体" w:hAnsi="宋体" w:cs="宋体"/>
                <w:sz w:val="18"/>
                <w:szCs w:val="18"/>
              </w:rPr>
            </w:pPr>
            <w:r>
              <w:rPr>
                <w:rFonts w:hint="eastAsia" w:ascii="宋体" w:hAnsi="宋体" w:cs="宋体"/>
                <w:sz w:val="18"/>
                <w:szCs w:val="18"/>
              </w:rPr>
              <w:t>索夹滑移</w:t>
            </w:r>
          </w:p>
        </w:tc>
        <w:tc>
          <w:tcPr>
            <w:tcW w:w="945" w:type="dxa"/>
            <w:tcBorders>
              <w:top w:val="single" w:color="auto" w:sz="4" w:space="0"/>
              <w:left w:val="single" w:color="auto" w:sz="4" w:space="0"/>
              <w:bottom w:val="single" w:color="auto" w:sz="4" w:space="0"/>
              <w:right w:val="single" w:color="auto" w:sz="4" w:space="0"/>
            </w:tcBorders>
            <w:vAlign w:val="center"/>
          </w:tcPr>
          <w:p w14:paraId="2D3D4390">
            <w:pPr>
              <w:pStyle w:val="146"/>
              <w:rPr>
                <w:rFonts w:hint="eastAsia" w:ascii="宋体" w:hAnsi="宋体" w:cs="宋体"/>
                <w:sz w:val="18"/>
                <w:szCs w:val="18"/>
              </w:rPr>
            </w:pPr>
            <w:r>
              <w:rPr>
                <w:rFonts w:hint="eastAsia" w:ascii="宋体" w:hAnsi="宋体" w:cs="宋体"/>
                <w:sz w:val="18"/>
                <w:szCs w:val="18"/>
              </w:rPr>
              <w:t>◎</w:t>
            </w:r>
          </w:p>
        </w:tc>
        <w:tc>
          <w:tcPr>
            <w:tcW w:w="2835" w:type="dxa"/>
            <w:tcBorders>
              <w:top w:val="single" w:color="auto" w:sz="4" w:space="0"/>
              <w:left w:val="single" w:color="auto" w:sz="4" w:space="0"/>
              <w:bottom w:val="single" w:color="auto" w:sz="4" w:space="0"/>
              <w:right w:val="single" w:color="auto" w:sz="4" w:space="0"/>
            </w:tcBorders>
            <w:vAlign w:val="center"/>
          </w:tcPr>
          <w:p w14:paraId="24D4A59A">
            <w:pPr>
              <w:pStyle w:val="146"/>
              <w:rPr>
                <w:rFonts w:hint="eastAsia" w:ascii="宋体" w:hAnsi="宋体" w:cs="宋体"/>
                <w:sz w:val="18"/>
                <w:szCs w:val="18"/>
              </w:rPr>
            </w:pPr>
            <w:r>
              <w:rPr>
                <w:rFonts w:hint="eastAsia" w:ascii="宋体" w:hAnsi="宋体" w:cs="宋体"/>
                <w:sz w:val="18"/>
                <w:szCs w:val="18"/>
              </w:rPr>
              <w:t>-</w:t>
            </w:r>
          </w:p>
        </w:tc>
      </w:tr>
      <w:tr w14:paraId="35A5A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75" w:type="dxa"/>
            <w:gridSpan w:val="7"/>
            <w:tcBorders>
              <w:top w:val="single" w:color="auto" w:sz="4" w:space="0"/>
              <w:left w:val="single" w:color="auto" w:sz="4" w:space="0"/>
              <w:bottom w:val="single" w:color="auto" w:sz="4" w:space="0"/>
              <w:right w:val="single" w:color="auto" w:sz="4" w:space="0"/>
            </w:tcBorders>
            <w:vAlign w:val="center"/>
          </w:tcPr>
          <w:p w14:paraId="26CDCB21">
            <w:pPr>
              <w:pStyle w:val="146"/>
              <w:jc w:val="left"/>
              <w:rPr>
                <w:rFonts w:hint="eastAsia" w:ascii="宋体" w:hAnsi="宋体" w:cs="宋体"/>
                <w:sz w:val="18"/>
                <w:szCs w:val="18"/>
              </w:rPr>
            </w:pPr>
            <w:r>
              <w:rPr>
                <w:rFonts w:hint="eastAsia" w:ascii="宋体" w:hAnsi="宋体" w:cs="宋体"/>
                <w:sz w:val="18"/>
                <w:szCs w:val="18"/>
              </w:rPr>
              <w:t>注：1.“</w:t>
            </w:r>
            <w:r>
              <w:rPr>
                <w:rFonts w:hint="eastAsia" w:ascii="宋体" w:hAnsi="宋体" w:cs="宋体"/>
                <w:bCs/>
                <w:sz w:val="18"/>
                <w:szCs w:val="18"/>
              </w:rPr>
              <w:t>●</w:t>
            </w:r>
            <w:r>
              <w:rPr>
                <w:rFonts w:hint="eastAsia" w:ascii="宋体" w:hAnsi="宋体" w:cs="宋体"/>
                <w:sz w:val="18"/>
                <w:szCs w:val="18"/>
              </w:rPr>
              <w:t>”表示必选监测项、“◎”表示宜选监测项、“○”表示可选监测项；</w:t>
            </w:r>
          </w:p>
          <w:p w14:paraId="116CEB0D">
            <w:pPr>
              <w:pStyle w:val="146"/>
              <w:ind w:firstLine="360" w:firstLineChars="200"/>
              <w:jc w:val="left"/>
              <w:rPr>
                <w:rFonts w:hint="eastAsia" w:ascii="宋体" w:hAnsi="宋体" w:cs="宋体"/>
                <w:sz w:val="18"/>
                <w:szCs w:val="18"/>
              </w:rPr>
            </w:pPr>
            <w:r>
              <w:rPr>
                <w:rFonts w:hint="eastAsia" w:ascii="宋体" w:hAnsi="宋体" w:cs="宋体"/>
                <w:sz w:val="18"/>
                <w:szCs w:val="18"/>
              </w:rPr>
              <w:t>2.“―”表示测点布设可根据</w:t>
            </w:r>
            <w:r>
              <w:rPr>
                <w:rFonts w:hint="eastAsia" w:ascii="宋体" w:hAnsi="宋体" w:cs="宋体"/>
                <w:sz w:val="18"/>
                <w:szCs w:val="18"/>
                <w:lang w:eastAsia="zh-CN"/>
              </w:rPr>
              <w:t>现场情况</w:t>
            </w:r>
            <w:r>
              <w:rPr>
                <w:rFonts w:hint="eastAsia" w:ascii="宋体" w:hAnsi="宋体" w:cs="宋体"/>
                <w:sz w:val="18"/>
                <w:szCs w:val="18"/>
              </w:rPr>
              <w:t>选择桥址处适当位置；</w:t>
            </w:r>
          </w:p>
          <w:p w14:paraId="16FDA071">
            <w:pPr>
              <w:pStyle w:val="146"/>
              <w:spacing w:before="24" w:after="24"/>
              <w:ind w:firstLine="360" w:firstLineChars="200"/>
              <w:jc w:val="left"/>
              <w:rPr>
                <w:rFonts w:hint="eastAsia" w:ascii="宋体" w:hAnsi="宋体" w:cs="宋体"/>
                <w:sz w:val="18"/>
                <w:szCs w:val="18"/>
              </w:rPr>
            </w:pPr>
            <w:r>
              <w:rPr>
                <w:rFonts w:hint="eastAsia" w:ascii="宋体" w:hAnsi="宋体" w:cs="宋体"/>
                <w:sz w:val="18"/>
                <w:szCs w:val="18"/>
              </w:rPr>
              <w:t>3.</w:t>
            </w:r>
            <w:r>
              <w:rPr>
                <w:rFonts w:hint="eastAsia"/>
              </w:rPr>
              <w:t xml:space="preserve"> </w:t>
            </w:r>
            <w:r>
              <w:rPr>
                <w:rFonts w:hint="eastAsia" w:ascii="宋体" w:hAnsi="宋体" w:cs="宋体"/>
                <w:sz w:val="18"/>
                <w:szCs w:val="18"/>
              </w:rPr>
              <w:t>悬索桥的索力监测点应根据主缆锚固方式、索股布置形式确定锚跨索力监测的索股，基准索股宜布设测点；</w:t>
            </w:r>
          </w:p>
          <w:p w14:paraId="3E878905">
            <w:pPr>
              <w:pStyle w:val="146"/>
              <w:ind w:firstLine="360" w:firstLineChars="200"/>
              <w:jc w:val="left"/>
              <w:rPr>
                <w:rFonts w:hint="eastAsia" w:ascii="宋体" w:hAnsi="宋体" w:cs="宋体"/>
                <w:sz w:val="18"/>
                <w:szCs w:val="18"/>
              </w:rPr>
            </w:pPr>
            <w:r>
              <w:rPr>
                <w:rFonts w:hint="eastAsia" w:ascii="宋体" w:hAnsi="宋体" w:cs="宋体"/>
                <w:sz w:val="18"/>
                <w:szCs w:val="18"/>
              </w:rPr>
              <w:t>4.</w:t>
            </w:r>
            <w:r>
              <w:rPr>
                <w:rFonts w:hint="eastAsia"/>
              </w:rPr>
              <w:t xml:space="preserve"> </w:t>
            </w:r>
            <w:r>
              <w:rPr>
                <w:rFonts w:hint="eastAsia" w:ascii="宋体" w:hAnsi="宋体" w:cs="宋体"/>
                <w:sz w:val="18"/>
                <w:szCs w:val="18"/>
              </w:rPr>
              <w:t>跨径小于1500米的悬索桥应在主梁跨中两侧和塔顶各布设</w:t>
            </w:r>
            <w:r>
              <w:rPr>
                <w:rFonts w:hint="eastAsia" w:ascii="宋体" w:hAnsi="宋体" w:cs="宋体"/>
                <w:sz w:val="18"/>
                <w:szCs w:val="18"/>
                <w:lang w:eastAsia="zh-CN"/>
              </w:rPr>
              <w:t>不低于</w:t>
            </w:r>
            <w:r>
              <w:rPr>
                <w:rFonts w:hint="eastAsia" w:ascii="宋体" w:hAnsi="宋体" w:cs="宋体"/>
                <w:sz w:val="18"/>
                <w:szCs w:val="18"/>
              </w:rPr>
              <w:t xml:space="preserve">一个风速风向监测点；跨度大于1500米的悬索桥，结合风场空间相关性，宜在1/4、3/4主跨增加风速风向监测点。 </w:t>
            </w:r>
          </w:p>
        </w:tc>
      </w:tr>
    </w:tbl>
    <w:p w14:paraId="5B40D8C8">
      <w:pPr>
        <w:rPr>
          <w:rFonts w:hint="default" w:ascii="宋体" w:hAnsi="宋体"/>
          <w:bCs/>
          <w:szCs w:val="21"/>
          <w:lang w:val="en-US" w:eastAsia="zh-CN"/>
        </w:rPr>
      </w:pPr>
      <w:r>
        <w:rPr>
          <w:rFonts w:ascii="宋体" w:hAnsi="宋体"/>
          <w:bCs/>
          <w:szCs w:val="21"/>
        </w:rPr>
        <w:br w:type="page"/>
      </w:r>
    </w:p>
    <w:p w14:paraId="763C410A">
      <w:pPr>
        <w:pStyle w:val="2"/>
        <w:pageBreakBefore/>
        <w:tabs>
          <w:tab w:val="left" w:pos="454"/>
        </w:tabs>
        <w:spacing w:beforeLines="100" w:afterLines="100"/>
        <w:rPr>
          <w:rFonts w:hint="eastAsia" w:ascii="宋体" w:hAnsi="宋体"/>
          <w:szCs w:val="21"/>
          <w:lang w:val="en-US" w:eastAsia="zh-CN"/>
        </w:rPr>
      </w:pPr>
      <w:bookmarkStart w:id="178" w:name="_Toc10367"/>
      <w:r>
        <w:rPr>
          <w:rFonts w:hint="eastAsia" w:ascii="宋体" w:hAnsi="宋体"/>
          <w:szCs w:val="21"/>
          <w:lang w:val="en-US" w:eastAsia="zh-CN"/>
        </w:rPr>
        <w:t>B</w:t>
      </w:r>
      <w:r>
        <w:rPr>
          <w:rFonts w:hint="eastAsia" w:ascii="宋体" w:hAnsi="宋体"/>
          <w:szCs w:val="21"/>
        </w:rPr>
        <w:t>.</w:t>
      </w:r>
      <w:r>
        <w:rPr>
          <w:rFonts w:hint="eastAsia" w:ascii="宋体" w:hAnsi="宋体"/>
          <w:szCs w:val="21"/>
          <w:lang w:val="en-US" w:eastAsia="zh-CN"/>
        </w:rPr>
        <w:t>6隧道</w:t>
      </w:r>
      <w:r>
        <w:rPr>
          <w:rFonts w:hint="eastAsia" w:ascii="宋体" w:hAnsi="宋体"/>
          <w:szCs w:val="21"/>
        </w:rPr>
        <w:t>监测</w:t>
      </w:r>
      <w:r>
        <w:rPr>
          <w:rFonts w:hint="eastAsia" w:ascii="宋体" w:hAnsi="宋体"/>
          <w:szCs w:val="21"/>
          <w:lang w:val="en-US" w:eastAsia="zh-CN"/>
        </w:rPr>
        <w:t>布点要求</w:t>
      </w:r>
      <w:bookmarkEnd w:id="178"/>
    </w:p>
    <w:p w14:paraId="0963E64A">
      <w:pPr>
        <w:rPr>
          <w:rFonts w:hint="eastAsia" w:ascii="黑体" w:hAnsi="黑体" w:eastAsia="黑体"/>
          <w:bCs/>
          <w:color w:val="auto"/>
          <w:lang w:val="en-US" w:eastAsia="zh-CN"/>
        </w:rPr>
      </w:pPr>
      <w:r>
        <w:rPr>
          <w:rFonts w:hint="eastAsia"/>
          <w:b w:val="0"/>
          <w:bCs w:val="0"/>
          <w:lang w:val="en-US" w:eastAsia="zh-CN"/>
        </w:rPr>
        <w:t>隧道监测布点要求见表B.6。</w:t>
      </w:r>
    </w:p>
    <w:p w14:paraId="6F073568">
      <w:pPr>
        <w:pStyle w:val="98"/>
        <w:spacing w:before="24" w:after="24"/>
        <w:jc w:val="center"/>
        <w:rPr>
          <w:rFonts w:ascii="黑体" w:hAnsi="黑体" w:eastAsia="黑体"/>
          <w:bCs/>
          <w:color w:val="auto"/>
          <w:highlight w:val="none"/>
        </w:rPr>
      </w:pPr>
      <w:r>
        <w:rPr>
          <w:rFonts w:hint="eastAsia" w:ascii="黑体" w:hAnsi="黑体" w:eastAsia="黑体"/>
          <w:bCs/>
          <w:color w:val="auto"/>
          <w:highlight w:val="none"/>
        </w:rPr>
        <w:t>表</w:t>
      </w:r>
      <w:r>
        <w:rPr>
          <w:rFonts w:hint="eastAsia" w:ascii="黑体" w:hAnsi="黑体" w:eastAsia="黑体"/>
          <w:bCs/>
          <w:color w:val="auto"/>
          <w:highlight w:val="none"/>
          <w:lang w:val="en-US" w:eastAsia="zh-CN"/>
        </w:rPr>
        <w:t>B.6</w:t>
      </w:r>
      <w:r>
        <w:rPr>
          <w:rFonts w:hint="eastAsia" w:ascii="黑体" w:hAnsi="黑体" w:eastAsia="黑体"/>
          <w:bCs/>
          <w:color w:val="auto"/>
          <w:highlight w:val="none"/>
        </w:rPr>
        <w:t xml:space="preserve"> 隧道监测</w:t>
      </w:r>
      <w:r>
        <w:rPr>
          <w:rFonts w:hint="eastAsia" w:ascii="黑体" w:hAnsi="黑体" w:eastAsia="黑体"/>
          <w:bCs/>
          <w:color w:val="auto"/>
          <w:highlight w:val="none"/>
          <w:lang w:val="en-US" w:eastAsia="zh-CN"/>
        </w:rPr>
        <w:t>布点</w:t>
      </w:r>
      <w:r>
        <w:rPr>
          <w:rFonts w:hint="eastAsia" w:ascii="黑体" w:hAnsi="黑体" w:eastAsia="黑体"/>
          <w:bCs/>
          <w:color w:val="auto"/>
          <w:highlight w:val="none"/>
        </w:rPr>
        <w:t>要求</w:t>
      </w:r>
    </w:p>
    <w:tbl>
      <w:tblPr>
        <w:tblStyle w:val="35"/>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1"/>
        <w:gridCol w:w="1606"/>
        <w:gridCol w:w="1737"/>
        <w:gridCol w:w="1737"/>
        <w:gridCol w:w="2595"/>
      </w:tblGrid>
      <w:tr w14:paraId="7B9B5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510" w:type="pct"/>
            <w:vAlign w:val="center"/>
          </w:tcPr>
          <w:p w14:paraId="2D137296">
            <w:pPr>
              <w:pStyle w:val="180"/>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序号</w:t>
            </w:r>
          </w:p>
        </w:tc>
        <w:tc>
          <w:tcPr>
            <w:tcW w:w="940" w:type="pct"/>
            <w:vAlign w:val="center"/>
          </w:tcPr>
          <w:p w14:paraId="64C602FD">
            <w:pPr>
              <w:pStyle w:val="180"/>
              <w:jc w:val="center"/>
              <w:rPr>
                <w:rFonts w:ascii="宋体" w:hAnsi="宋体"/>
                <w:sz w:val="18"/>
                <w:szCs w:val="18"/>
                <w:highlight w:val="none"/>
              </w:rPr>
            </w:pPr>
            <w:r>
              <w:rPr>
                <w:rFonts w:ascii="宋体" w:hAnsi="宋体"/>
                <w:sz w:val="18"/>
                <w:szCs w:val="18"/>
                <w:highlight w:val="none"/>
              </w:rPr>
              <w:t>监测对象</w:t>
            </w:r>
          </w:p>
        </w:tc>
        <w:tc>
          <w:tcPr>
            <w:tcW w:w="1016" w:type="pct"/>
            <w:vAlign w:val="center"/>
          </w:tcPr>
          <w:p w14:paraId="4C428F27">
            <w:pPr>
              <w:pStyle w:val="180"/>
              <w:jc w:val="center"/>
              <w:rPr>
                <w:rFonts w:ascii="宋体" w:hAnsi="宋体"/>
                <w:sz w:val="18"/>
                <w:szCs w:val="18"/>
                <w:highlight w:val="none"/>
              </w:rPr>
            </w:pPr>
            <w:r>
              <w:rPr>
                <w:rFonts w:ascii="宋体" w:hAnsi="宋体"/>
                <w:sz w:val="18"/>
                <w:szCs w:val="18"/>
                <w:highlight w:val="none"/>
              </w:rPr>
              <w:t>监测</w:t>
            </w:r>
            <w:r>
              <w:rPr>
                <w:rFonts w:hint="eastAsia" w:ascii="宋体" w:hAnsi="宋体"/>
                <w:sz w:val="18"/>
                <w:szCs w:val="18"/>
                <w:highlight w:val="none"/>
              </w:rPr>
              <w:t>指标</w:t>
            </w:r>
          </w:p>
        </w:tc>
        <w:tc>
          <w:tcPr>
            <w:tcW w:w="1016" w:type="pct"/>
            <w:vAlign w:val="center"/>
          </w:tcPr>
          <w:p w14:paraId="0FF080D2">
            <w:pPr>
              <w:pStyle w:val="180"/>
              <w:jc w:val="center"/>
              <w:rPr>
                <w:rFonts w:ascii="宋体" w:hAnsi="宋体"/>
                <w:sz w:val="18"/>
                <w:szCs w:val="18"/>
                <w:highlight w:val="none"/>
              </w:rPr>
            </w:pPr>
            <w:r>
              <w:rPr>
                <w:rFonts w:hint="eastAsia" w:ascii="宋体" w:hAnsi="宋体"/>
                <w:sz w:val="18"/>
                <w:szCs w:val="18"/>
                <w:highlight w:val="none"/>
              </w:rPr>
              <w:t>监测要求</w:t>
            </w:r>
          </w:p>
        </w:tc>
        <w:tc>
          <w:tcPr>
            <w:tcW w:w="1514" w:type="pct"/>
            <w:vAlign w:val="center"/>
          </w:tcPr>
          <w:p w14:paraId="33967BD0">
            <w:pPr>
              <w:pStyle w:val="180"/>
              <w:jc w:val="center"/>
              <w:rPr>
                <w:rFonts w:hint="default" w:ascii="宋体" w:hAnsi="宋体" w:eastAsia="宋体"/>
                <w:sz w:val="18"/>
                <w:szCs w:val="18"/>
                <w:highlight w:val="none"/>
                <w:lang w:val="en-US" w:eastAsia="zh-CN"/>
              </w:rPr>
            </w:pPr>
            <w:r>
              <w:rPr>
                <w:rFonts w:hint="eastAsia" w:ascii="宋体" w:hAnsi="宋体" w:cs="宋体"/>
                <w:color w:val="000000"/>
                <w:kern w:val="0"/>
                <w:sz w:val="18"/>
                <w:szCs w:val="18"/>
              </w:rPr>
              <w:t>监测布</w:t>
            </w:r>
            <w:r>
              <w:rPr>
                <w:rFonts w:hint="eastAsia" w:ascii="宋体" w:hAnsi="宋体" w:cs="宋体"/>
                <w:color w:val="000000"/>
                <w:kern w:val="0"/>
                <w:sz w:val="18"/>
                <w:szCs w:val="18"/>
                <w:lang w:val="en-US" w:eastAsia="zh-CN"/>
              </w:rPr>
              <w:t>点</w:t>
            </w:r>
            <w:r>
              <w:rPr>
                <w:rFonts w:hint="eastAsia" w:ascii="宋体" w:hAnsi="宋体" w:cs="宋体"/>
                <w:color w:val="000000"/>
                <w:kern w:val="0"/>
                <w:sz w:val="18"/>
                <w:szCs w:val="18"/>
              </w:rPr>
              <w:t>要求</w:t>
            </w:r>
          </w:p>
        </w:tc>
      </w:tr>
      <w:tr w14:paraId="7E290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pct"/>
            <w:vAlign w:val="center"/>
          </w:tcPr>
          <w:p w14:paraId="3B2946BF">
            <w:pPr>
              <w:pStyle w:val="180"/>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1</w:t>
            </w:r>
          </w:p>
        </w:tc>
        <w:tc>
          <w:tcPr>
            <w:tcW w:w="940" w:type="pct"/>
            <w:vMerge w:val="restart"/>
            <w:vAlign w:val="center"/>
          </w:tcPr>
          <w:p w14:paraId="085DC92B">
            <w:pPr>
              <w:pStyle w:val="180"/>
              <w:jc w:val="center"/>
              <w:rPr>
                <w:rFonts w:ascii="宋体" w:hAnsi="宋体"/>
                <w:sz w:val="18"/>
                <w:szCs w:val="18"/>
                <w:highlight w:val="none"/>
              </w:rPr>
            </w:pPr>
            <w:r>
              <w:rPr>
                <w:rFonts w:hint="eastAsia" w:ascii="宋体" w:hAnsi="宋体"/>
                <w:sz w:val="18"/>
                <w:szCs w:val="18"/>
                <w:highlight w:val="none"/>
              </w:rPr>
              <w:t>荷载与环境</w:t>
            </w:r>
          </w:p>
        </w:tc>
        <w:tc>
          <w:tcPr>
            <w:tcW w:w="1016" w:type="pct"/>
            <w:vAlign w:val="center"/>
          </w:tcPr>
          <w:p w14:paraId="3B2D61B3">
            <w:pPr>
              <w:pStyle w:val="180"/>
              <w:jc w:val="center"/>
              <w:rPr>
                <w:rFonts w:hint="eastAsia" w:ascii="宋体" w:hAnsi="宋体" w:eastAsia="宋体"/>
                <w:sz w:val="18"/>
                <w:szCs w:val="18"/>
                <w:highlight w:val="none"/>
                <w:lang w:eastAsia="zh-CN"/>
              </w:rPr>
            </w:pPr>
            <w:r>
              <w:rPr>
                <w:rFonts w:hint="eastAsia" w:ascii="宋体" w:hAnsi="宋体"/>
                <w:sz w:val="18"/>
                <w:szCs w:val="18"/>
                <w:highlight w:val="none"/>
                <w:lang w:eastAsia="zh-CN"/>
              </w:rPr>
              <w:t>视频监控</w:t>
            </w:r>
          </w:p>
        </w:tc>
        <w:tc>
          <w:tcPr>
            <w:tcW w:w="1016" w:type="pct"/>
            <w:vAlign w:val="center"/>
          </w:tcPr>
          <w:p w14:paraId="2AFA43B0">
            <w:pPr>
              <w:pStyle w:val="180"/>
              <w:jc w:val="center"/>
              <w:rPr>
                <w:rFonts w:ascii="宋体" w:hAnsi="宋体" w:cs="Times New Roman"/>
                <w:sz w:val="18"/>
                <w:szCs w:val="18"/>
                <w:highlight w:val="none"/>
              </w:rPr>
            </w:pPr>
            <w:r>
              <w:rPr>
                <w:rFonts w:hint="eastAsia" w:ascii="宋体" w:hAnsi="宋体" w:cs="宋体"/>
                <w:bCs/>
                <w:sz w:val="18"/>
                <w:szCs w:val="18"/>
                <w:highlight w:val="none"/>
              </w:rPr>
              <w:t>●</w:t>
            </w:r>
          </w:p>
        </w:tc>
        <w:tc>
          <w:tcPr>
            <w:tcW w:w="1514" w:type="pct"/>
            <w:vAlign w:val="center"/>
          </w:tcPr>
          <w:p w14:paraId="6D35ED0E">
            <w:pPr>
              <w:pStyle w:val="180"/>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隧道进出口、洞内</w:t>
            </w:r>
          </w:p>
        </w:tc>
      </w:tr>
      <w:tr w14:paraId="74D2A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pct"/>
            <w:vAlign w:val="center"/>
          </w:tcPr>
          <w:p w14:paraId="2AF49BCC">
            <w:pPr>
              <w:pStyle w:val="180"/>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2</w:t>
            </w:r>
          </w:p>
        </w:tc>
        <w:tc>
          <w:tcPr>
            <w:tcW w:w="940" w:type="pct"/>
            <w:vMerge w:val="continue"/>
            <w:vAlign w:val="center"/>
          </w:tcPr>
          <w:p w14:paraId="624C37A4">
            <w:pPr>
              <w:pStyle w:val="180"/>
              <w:jc w:val="center"/>
              <w:rPr>
                <w:rFonts w:ascii="宋体" w:hAnsi="宋体"/>
                <w:sz w:val="18"/>
                <w:szCs w:val="18"/>
                <w:highlight w:val="none"/>
              </w:rPr>
            </w:pPr>
          </w:p>
        </w:tc>
        <w:tc>
          <w:tcPr>
            <w:tcW w:w="1016" w:type="pct"/>
            <w:vAlign w:val="center"/>
          </w:tcPr>
          <w:p w14:paraId="608B44FB">
            <w:pPr>
              <w:pStyle w:val="180"/>
              <w:jc w:val="center"/>
              <w:rPr>
                <w:rFonts w:ascii="宋体" w:hAnsi="宋体"/>
                <w:sz w:val="18"/>
                <w:szCs w:val="18"/>
                <w:highlight w:val="none"/>
              </w:rPr>
            </w:pPr>
            <w:r>
              <w:rPr>
                <w:rFonts w:hint="eastAsia" w:ascii="宋体" w:hAnsi="宋体"/>
                <w:sz w:val="18"/>
                <w:szCs w:val="18"/>
                <w:highlight w:val="none"/>
              </w:rPr>
              <w:t>环境温湿度</w:t>
            </w:r>
          </w:p>
        </w:tc>
        <w:tc>
          <w:tcPr>
            <w:tcW w:w="1016" w:type="pct"/>
            <w:vAlign w:val="center"/>
          </w:tcPr>
          <w:p w14:paraId="4E006444">
            <w:pPr>
              <w:pStyle w:val="180"/>
              <w:jc w:val="center"/>
              <w:rPr>
                <w:rFonts w:ascii="宋体" w:hAnsi="宋体"/>
                <w:sz w:val="18"/>
                <w:szCs w:val="18"/>
                <w:highlight w:val="none"/>
              </w:rPr>
            </w:pPr>
            <w:r>
              <w:rPr>
                <w:rFonts w:hint="eastAsia" w:ascii="宋体" w:hAnsi="宋体" w:cs="宋体"/>
                <w:sz w:val="18"/>
                <w:szCs w:val="18"/>
                <w:highlight w:val="none"/>
              </w:rPr>
              <w:t>◎</w:t>
            </w:r>
          </w:p>
        </w:tc>
        <w:tc>
          <w:tcPr>
            <w:tcW w:w="1514" w:type="pct"/>
            <w:vAlign w:val="center"/>
          </w:tcPr>
          <w:p w14:paraId="6F4972DB">
            <w:pPr>
              <w:pStyle w:val="180"/>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隧道中间位置、环境恶劣位置</w:t>
            </w:r>
          </w:p>
        </w:tc>
      </w:tr>
      <w:tr w14:paraId="44FB0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pct"/>
            <w:vAlign w:val="center"/>
          </w:tcPr>
          <w:p w14:paraId="01BA9320">
            <w:pPr>
              <w:pStyle w:val="180"/>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3</w:t>
            </w:r>
          </w:p>
        </w:tc>
        <w:tc>
          <w:tcPr>
            <w:tcW w:w="940" w:type="pct"/>
            <w:vMerge w:val="continue"/>
            <w:vAlign w:val="center"/>
          </w:tcPr>
          <w:p w14:paraId="52A95BC8">
            <w:pPr>
              <w:pStyle w:val="180"/>
              <w:jc w:val="center"/>
              <w:rPr>
                <w:rFonts w:ascii="宋体" w:hAnsi="宋体"/>
                <w:sz w:val="18"/>
                <w:szCs w:val="18"/>
                <w:highlight w:val="none"/>
              </w:rPr>
            </w:pPr>
          </w:p>
        </w:tc>
        <w:tc>
          <w:tcPr>
            <w:tcW w:w="1016" w:type="pct"/>
            <w:vAlign w:val="center"/>
          </w:tcPr>
          <w:p w14:paraId="574F18EE">
            <w:pPr>
              <w:pStyle w:val="180"/>
              <w:jc w:val="center"/>
              <w:rPr>
                <w:rFonts w:ascii="宋体" w:hAnsi="宋体"/>
                <w:sz w:val="18"/>
                <w:szCs w:val="18"/>
                <w:highlight w:val="none"/>
              </w:rPr>
            </w:pPr>
            <w:r>
              <w:rPr>
                <w:rFonts w:hint="eastAsia" w:ascii="宋体" w:hAnsi="宋体"/>
                <w:sz w:val="18"/>
                <w:szCs w:val="18"/>
                <w:highlight w:val="none"/>
              </w:rPr>
              <w:t>空气质量</w:t>
            </w:r>
          </w:p>
        </w:tc>
        <w:tc>
          <w:tcPr>
            <w:tcW w:w="1016" w:type="pct"/>
            <w:vAlign w:val="center"/>
          </w:tcPr>
          <w:p w14:paraId="5BB0B87E">
            <w:pPr>
              <w:pStyle w:val="180"/>
              <w:jc w:val="center"/>
              <w:rPr>
                <w:rFonts w:ascii="宋体" w:hAnsi="宋体"/>
                <w:sz w:val="18"/>
                <w:szCs w:val="18"/>
                <w:highlight w:val="none"/>
              </w:rPr>
            </w:pPr>
            <w:r>
              <w:rPr>
                <w:rFonts w:hint="eastAsia" w:ascii="宋体" w:hAnsi="宋体" w:cs="宋体"/>
                <w:sz w:val="18"/>
                <w:szCs w:val="18"/>
                <w:highlight w:val="none"/>
              </w:rPr>
              <w:t>◎</w:t>
            </w:r>
          </w:p>
        </w:tc>
        <w:tc>
          <w:tcPr>
            <w:tcW w:w="1514" w:type="pct"/>
            <w:vAlign w:val="center"/>
          </w:tcPr>
          <w:p w14:paraId="6309A29A">
            <w:pPr>
              <w:pStyle w:val="180"/>
              <w:jc w:val="center"/>
              <w:rPr>
                <w:rFonts w:ascii="宋体" w:hAnsi="宋体"/>
                <w:sz w:val="18"/>
                <w:szCs w:val="18"/>
                <w:highlight w:val="none"/>
              </w:rPr>
            </w:pPr>
            <w:r>
              <w:rPr>
                <w:rFonts w:hint="eastAsia" w:ascii="宋体" w:hAnsi="宋体"/>
                <w:sz w:val="18"/>
                <w:szCs w:val="18"/>
                <w:highlight w:val="none"/>
                <w:lang w:val="en-US" w:eastAsia="zh-CN"/>
              </w:rPr>
              <w:t>隧道中间位置、环境恶劣位置</w:t>
            </w:r>
          </w:p>
        </w:tc>
      </w:tr>
      <w:tr w14:paraId="76E02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pct"/>
            <w:vAlign w:val="center"/>
          </w:tcPr>
          <w:p w14:paraId="4FDB0CF9">
            <w:pPr>
              <w:pStyle w:val="180"/>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4</w:t>
            </w:r>
          </w:p>
        </w:tc>
        <w:tc>
          <w:tcPr>
            <w:tcW w:w="940" w:type="pct"/>
            <w:vMerge w:val="continue"/>
            <w:vAlign w:val="center"/>
          </w:tcPr>
          <w:p w14:paraId="6A32E580">
            <w:pPr>
              <w:pStyle w:val="180"/>
              <w:jc w:val="center"/>
              <w:rPr>
                <w:rFonts w:ascii="宋体" w:hAnsi="宋体"/>
                <w:sz w:val="18"/>
                <w:szCs w:val="18"/>
                <w:highlight w:val="none"/>
              </w:rPr>
            </w:pPr>
          </w:p>
        </w:tc>
        <w:tc>
          <w:tcPr>
            <w:tcW w:w="1016" w:type="pct"/>
            <w:vAlign w:val="center"/>
          </w:tcPr>
          <w:p w14:paraId="3194D883">
            <w:pPr>
              <w:pStyle w:val="180"/>
              <w:jc w:val="center"/>
              <w:rPr>
                <w:rFonts w:ascii="宋体" w:hAnsi="宋体"/>
                <w:sz w:val="18"/>
                <w:szCs w:val="18"/>
                <w:highlight w:val="none"/>
              </w:rPr>
            </w:pPr>
            <w:r>
              <w:rPr>
                <w:rFonts w:hint="eastAsia" w:ascii="宋体" w:hAnsi="宋体"/>
                <w:sz w:val="18"/>
                <w:szCs w:val="18"/>
                <w:highlight w:val="none"/>
              </w:rPr>
              <w:t>风速</w:t>
            </w:r>
          </w:p>
        </w:tc>
        <w:tc>
          <w:tcPr>
            <w:tcW w:w="1016" w:type="pct"/>
            <w:vAlign w:val="center"/>
          </w:tcPr>
          <w:p w14:paraId="6D0BD81A">
            <w:pPr>
              <w:pStyle w:val="180"/>
              <w:jc w:val="center"/>
              <w:rPr>
                <w:rFonts w:ascii="宋体" w:hAnsi="宋体"/>
                <w:sz w:val="18"/>
                <w:szCs w:val="18"/>
                <w:highlight w:val="none"/>
              </w:rPr>
            </w:pPr>
            <w:r>
              <w:rPr>
                <w:rFonts w:hint="eastAsia" w:ascii="宋体" w:hAnsi="宋体" w:cs="宋体"/>
                <w:bCs/>
                <w:sz w:val="18"/>
                <w:szCs w:val="18"/>
                <w:highlight w:val="none"/>
              </w:rPr>
              <w:t>●</w:t>
            </w:r>
          </w:p>
        </w:tc>
        <w:tc>
          <w:tcPr>
            <w:tcW w:w="1514" w:type="pct"/>
            <w:vAlign w:val="center"/>
          </w:tcPr>
          <w:p w14:paraId="3ECC87FC">
            <w:pPr>
              <w:pStyle w:val="180"/>
              <w:jc w:val="center"/>
              <w:rPr>
                <w:rFonts w:ascii="宋体" w:hAnsi="宋体"/>
                <w:sz w:val="18"/>
                <w:szCs w:val="18"/>
                <w:highlight w:val="none"/>
              </w:rPr>
            </w:pPr>
            <w:r>
              <w:rPr>
                <w:rFonts w:hint="eastAsia" w:ascii="宋体" w:hAnsi="宋体"/>
                <w:sz w:val="18"/>
                <w:szCs w:val="18"/>
                <w:highlight w:val="none"/>
                <w:lang w:val="en-US" w:eastAsia="zh-CN"/>
              </w:rPr>
              <w:t>隧道中间位置</w:t>
            </w:r>
          </w:p>
        </w:tc>
      </w:tr>
      <w:tr w14:paraId="64159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pct"/>
            <w:vAlign w:val="center"/>
          </w:tcPr>
          <w:p w14:paraId="568E9086">
            <w:pPr>
              <w:pStyle w:val="180"/>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940" w:type="pct"/>
            <w:vMerge w:val="continue"/>
            <w:vAlign w:val="center"/>
          </w:tcPr>
          <w:p w14:paraId="619C6765">
            <w:pPr>
              <w:pStyle w:val="180"/>
              <w:jc w:val="center"/>
              <w:rPr>
                <w:rFonts w:ascii="宋体" w:hAnsi="宋体"/>
                <w:sz w:val="18"/>
                <w:szCs w:val="18"/>
                <w:highlight w:val="none"/>
              </w:rPr>
            </w:pPr>
          </w:p>
        </w:tc>
        <w:tc>
          <w:tcPr>
            <w:tcW w:w="1016" w:type="pct"/>
            <w:vAlign w:val="center"/>
          </w:tcPr>
          <w:p w14:paraId="660C0522">
            <w:pPr>
              <w:pStyle w:val="180"/>
              <w:jc w:val="center"/>
              <w:rPr>
                <w:rFonts w:ascii="宋体" w:hAnsi="宋体"/>
                <w:sz w:val="18"/>
                <w:szCs w:val="18"/>
                <w:highlight w:val="none"/>
              </w:rPr>
            </w:pPr>
            <w:r>
              <w:rPr>
                <w:rFonts w:hint="eastAsia" w:ascii="宋体" w:hAnsi="宋体"/>
                <w:sz w:val="18"/>
                <w:szCs w:val="18"/>
                <w:highlight w:val="none"/>
              </w:rPr>
              <w:t>光照度</w:t>
            </w:r>
          </w:p>
        </w:tc>
        <w:tc>
          <w:tcPr>
            <w:tcW w:w="1016" w:type="pct"/>
            <w:vAlign w:val="center"/>
          </w:tcPr>
          <w:p w14:paraId="4887AD71">
            <w:pPr>
              <w:pStyle w:val="180"/>
              <w:jc w:val="center"/>
              <w:rPr>
                <w:rFonts w:ascii="宋体" w:hAnsi="宋体"/>
                <w:sz w:val="18"/>
                <w:szCs w:val="18"/>
                <w:highlight w:val="none"/>
              </w:rPr>
            </w:pPr>
            <w:r>
              <w:rPr>
                <w:rFonts w:hint="eastAsia" w:ascii="宋体" w:hAnsi="宋体" w:cs="宋体"/>
                <w:bCs/>
                <w:sz w:val="18"/>
                <w:szCs w:val="18"/>
                <w:highlight w:val="none"/>
              </w:rPr>
              <w:t>●</w:t>
            </w:r>
          </w:p>
        </w:tc>
        <w:tc>
          <w:tcPr>
            <w:tcW w:w="1514" w:type="pct"/>
            <w:vAlign w:val="center"/>
          </w:tcPr>
          <w:p w14:paraId="2844201A">
            <w:pPr>
              <w:pStyle w:val="180"/>
              <w:jc w:val="center"/>
              <w:rPr>
                <w:rFonts w:ascii="宋体" w:hAnsi="宋体"/>
                <w:sz w:val="18"/>
                <w:szCs w:val="18"/>
                <w:highlight w:val="none"/>
              </w:rPr>
            </w:pPr>
            <w:r>
              <w:rPr>
                <w:rFonts w:hint="eastAsia" w:ascii="宋体" w:hAnsi="宋体"/>
                <w:sz w:val="18"/>
                <w:szCs w:val="18"/>
                <w:highlight w:val="none"/>
                <w:lang w:val="en-US" w:eastAsia="zh-CN"/>
              </w:rPr>
              <w:t>隧道中间位置</w:t>
            </w:r>
          </w:p>
        </w:tc>
      </w:tr>
      <w:tr w14:paraId="5747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pct"/>
            <w:vAlign w:val="center"/>
          </w:tcPr>
          <w:p w14:paraId="1415A30E">
            <w:pPr>
              <w:pStyle w:val="180"/>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940" w:type="pct"/>
            <w:vMerge w:val="continue"/>
            <w:vAlign w:val="center"/>
          </w:tcPr>
          <w:p w14:paraId="0B64F7B1">
            <w:pPr>
              <w:pStyle w:val="180"/>
              <w:jc w:val="center"/>
              <w:rPr>
                <w:rFonts w:ascii="宋体" w:hAnsi="宋体"/>
                <w:sz w:val="18"/>
                <w:szCs w:val="18"/>
                <w:highlight w:val="none"/>
              </w:rPr>
            </w:pPr>
          </w:p>
        </w:tc>
        <w:tc>
          <w:tcPr>
            <w:tcW w:w="1016" w:type="pct"/>
            <w:vAlign w:val="center"/>
          </w:tcPr>
          <w:p w14:paraId="74E94F6F">
            <w:pPr>
              <w:pStyle w:val="180"/>
              <w:jc w:val="center"/>
              <w:rPr>
                <w:rFonts w:ascii="宋体" w:hAnsi="宋体"/>
                <w:sz w:val="18"/>
                <w:szCs w:val="18"/>
                <w:highlight w:val="none"/>
              </w:rPr>
            </w:pPr>
            <w:r>
              <w:rPr>
                <w:rFonts w:hint="eastAsia" w:ascii="宋体" w:hAnsi="宋体"/>
                <w:sz w:val="18"/>
                <w:szCs w:val="18"/>
                <w:highlight w:val="none"/>
              </w:rPr>
              <w:t>交通流量</w:t>
            </w:r>
          </w:p>
        </w:tc>
        <w:tc>
          <w:tcPr>
            <w:tcW w:w="1016" w:type="pct"/>
            <w:vAlign w:val="center"/>
          </w:tcPr>
          <w:p w14:paraId="2E748219">
            <w:pPr>
              <w:pStyle w:val="180"/>
              <w:jc w:val="center"/>
              <w:rPr>
                <w:rFonts w:ascii="宋体" w:hAnsi="宋体"/>
                <w:sz w:val="18"/>
                <w:szCs w:val="18"/>
                <w:highlight w:val="none"/>
              </w:rPr>
            </w:pPr>
            <w:r>
              <w:rPr>
                <w:rFonts w:hint="eastAsia" w:ascii="宋体" w:hAnsi="宋体" w:cs="宋体"/>
                <w:sz w:val="18"/>
                <w:szCs w:val="18"/>
                <w:highlight w:val="none"/>
              </w:rPr>
              <w:t>◎</w:t>
            </w:r>
          </w:p>
        </w:tc>
        <w:tc>
          <w:tcPr>
            <w:tcW w:w="1514" w:type="pct"/>
            <w:vAlign w:val="center"/>
          </w:tcPr>
          <w:p w14:paraId="2E252465">
            <w:pPr>
              <w:pStyle w:val="180"/>
              <w:jc w:val="center"/>
              <w:rPr>
                <w:rFonts w:ascii="宋体" w:hAnsi="宋体"/>
                <w:sz w:val="18"/>
                <w:szCs w:val="18"/>
                <w:highlight w:val="none"/>
              </w:rPr>
            </w:pPr>
            <w:r>
              <w:rPr>
                <w:rFonts w:hint="eastAsia" w:ascii="宋体" w:hAnsi="宋体"/>
                <w:sz w:val="18"/>
                <w:szCs w:val="18"/>
                <w:highlight w:val="none"/>
                <w:lang w:val="en-US" w:eastAsia="zh-CN"/>
              </w:rPr>
              <w:t>隧道进出口</w:t>
            </w:r>
          </w:p>
        </w:tc>
      </w:tr>
      <w:tr w14:paraId="087D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pct"/>
            <w:vAlign w:val="center"/>
          </w:tcPr>
          <w:p w14:paraId="711814FD">
            <w:pPr>
              <w:pStyle w:val="180"/>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7</w:t>
            </w:r>
          </w:p>
        </w:tc>
        <w:tc>
          <w:tcPr>
            <w:tcW w:w="940" w:type="pct"/>
            <w:vMerge w:val="continue"/>
            <w:vAlign w:val="center"/>
          </w:tcPr>
          <w:p w14:paraId="14F139F8">
            <w:pPr>
              <w:pStyle w:val="180"/>
              <w:jc w:val="center"/>
              <w:rPr>
                <w:rFonts w:ascii="宋体" w:hAnsi="宋体"/>
                <w:sz w:val="18"/>
                <w:szCs w:val="18"/>
                <w:highlight w:val="none"/>
              </w:rPr>
            </w:pPr>
          </w:p>
        </w:tc>
        <w:tc>
          <w:tcPr>
            <w:tcW w:w="1016" w:type="pct"/>
            <w:vAlign w:val="center"/>
          </w:tcPr>
          <w:p w14:paraId="42F27F04">
            <w:pPr>
              <w:pStyle w:val="180"/>
              <w:jc w:val="center"/>
              <w:rPr>
                <w:rFonts w:ascii="宋体" w:hAnsi="宋体"/>
                <w:sz w:val="18"/>
                <w:szCs w:val="18"/>
                <w:highlight w:val="none"/>
              </w:rPr>
            </w:pPr>
            <w:r>
              <w:rPr>
                <w:rFonts w:hint="eastAsia" w:ascii="宋体" w:hAnsi="宋体"/>
                <w:sz w:val="18"/>
                <w:szCs w:val="18"/>
                <w:highlight w:val="none"/>
              </w:rPr>
              <w:t>地震及车辆撞击</w:t>
            </w:r>
          </w:p>
        </w:tc>
        <w:tc>
          <w:tcPr>
            <w:tcW w:w="1016" w:type="pct"/>
            <w:vAlign w:val="center"/>
          </w:tcPr>
          <w:p w14:paraId="466043C4">
            <w:pPr>
              <w:pStyle w:val="180"/>
              <w:jc w:val="center"/>
              <w:rPr>
                <w:rFonts w:ascii="宋体" w:hAnsi="宋体"/>
                <w:sz w:val="18"/>
                <w:szCs w:val="18"/>
                <w:highlight w:val="none"/>
              </w:rPr>
            </w:pPr>
            <w:r>
              <w:rPr>
                <w:rFonts w:hint="eastAsia" w:ascii="宋体" w:hAnsi="宋体" w:cs="宋体"/>
                <w:sz w:val="18"/>
                <w:szCs w:val="18"/>
                <w:highlight w:val="none"/>
              </w:rPr>
              <w:t>○</w:t>
            </w:r>
          </w:p>
        </w:tc>
        <w:tc>
          <w:tcPr>
            <w:tcW w:w="1514" w:type="pct"/>
            <w:vAlign w:val="center"/>
          </w:tcPr>
          <w:p w14:paraId="2E226CB1">
            <w:pPr>
              <w:pStyle w:val="180"/>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隧道洞口、洞内</w:t>
            </w:r>
          </w:p>
        </w:tc>
      </w:tr>
      <w:tr w14:paraId="0ECD3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pct"/>
            <w:vAlign w:val="center"/>
          </w:tcPr>
          <w:p w14:paraId="70D97B7B">
            <w:pPr>
              <w:pStyle w:val="180"/>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8</w:t>
            </w:r>
          </w:p>
        </w:tc>
        <w:tc>
          <w:tcPr>
            <w:tcW w:w="940" w:type="pct"/>
            <w:vMerge w:val="continue"/>
            <w:vAlign w:val="center"/>
          </w:tcPr>
          <w:p w14:paraId="779B8734">
            <w:pPr>
              <w:pStyle w:val="180"/>
              <w:jc w:val="center"/>
              <w:rPr>
                <w:rFonts w:ascii="宋体" w:hAnsi="宋体"/>
                <w:sz w:val="18"/>
                <w:szCs w:val="18"/>
                <w:highlight w:val="none"/>
              </w:rPr>
            </w:pPr>
          </w:p>
        </w:tc>
        <w:tc>
          <w:tcPr>
            <w:tcW w:w="1016" w:type="pct"/>
            <w:vAlign w:val="center"/>
          </w:tcPr>
          <w:p w14:paraId="3CB1C910">
            <w:pPr>
              <w:pStyle w:val="180"/>
              <w:jc w:val="center"/>
              <w:rPr>
                <w:rFonts w:ascii="宋体" w:hAnsi="宋体"/>
                <w:sz w:val="18"/>
                <w:szCs w:val="18"/>
                <w:highlight w:val="none"/>
              </w:rPr>
            </w:pPr>
            <w:r>
              <w:rPr>
                <w:rFonts w:hint="eastAsia" w:ascii="宋体" w:hAnsi="宋体"/>
                <w:sz w:val="18"/>
                <w:szCs w:val="18"/>
                <w:highlight w:val="none"/>
              </w:rPr>
              <w:t>隧道积水</w:t>
            </w:r>
            <w:r>
              <w:rPr>
                <w:rFonts w:hint="eastAsia" w:ascii="宋体" w:hAnsi="宋体"/>
                <w:sz w:val="18"/>
                <w:szCs w:val="18"/>
                <w:highlight w:val="none"/>
                <w:vertAlign w:val="superscript"/>
              </w:rPr>
              <w:t>※</w:t>
            </w:r>
          </w:p>
        </w:tc>
        <w:tc>
          <w:tcPr>
            <w:tcW w:w="1016" w:type="pct"/>
            <w:vAlign w:val="center"/>
          </w:tcPr>
          <w:p w14:paraId="564D1935">
            <w:pPr>
              <w:pStyle w:val="180"/>
              <w:jc w:val="center"/>
              <w:rPr>
                <w:rFonts w:ascii="宋体" w:hAnsi="宋体"/>
                <w:sz w:val="18"/>
                <w:szCs w:val="18"/>
                <w:highlight w:val="none"/>
              </w:rPr>
            </w:pPr>
            <w:r>
              <w:rPr>
                <w:rFonts w:hint="eastAsia" w:ascii="宋体" w:hAnsi="宋体" w:cs="宋体"/>
                <w:bCs/>
                <w:sz w:val="18"/>
                <w:szCs w:val="18"/>
                <w:highlight w:val="none"/>
              </w:rPr>
              <w:t>●</w:t>
            </w:r>
          </w:p>
        </w:tc>
        <w:tc>
          <w:tcPr>
            <w:tcW w:w="1514" w:type="pct"/>
            <w:vAlign w:val="center"/>
          </w:tcPr>
          <w:p w14:paraId="1D215FCE">
            <w:pPr>
              <w:pStyle w:val="180"/>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隧道进出口、存在积水风险位置</w:t>
            </w:r>
          </w:p>
        </w:tc>
      </w:tr>
      <w:tr w14:paraId="44A34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pct"/>
            <w:vAlign w:val="center"/>
          </w:tcPr>
          <w:p w14:paraId="05510F41">
            <w:pPr>
              <w:pStyle w:val="180"/>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9</w:t>
            </w:r>
          </w:p>
        </w:tc>
        <w:tc>
          <w:tcPr>
            <w:tcW w:w="940" w:type="pct"/>
            <w:vMerge w:val="continue"/>
            <w:vAlign w:val="center"/>
          </w:tcPr>
          <w:p w14:paraId="12568399">
            <w:pPr>
              <w:pStyle w:val="180"/>
              <w:jc w:val="center"/>
              <w:rPr>
                <w:rFonts w:ascii="宋体" w:hAnsi="宋体"/>
                <w:sz w:val="18"/>
                <w:szCs w:val="18"/>
                <w:highlight w:val="none"/>
              </w:rPr>
            </w:pPr>
          </w:p>
        </w:tc>
        <w:tc>
          <w:tcPr>
            <w:tcW w:w="1016" w:type="pct"/>
            <w:vAlign w:val="center"/>
          </w:tcPr>
          <w:p w14:paraId="135DA2C5">
            <w:pPr>
              <w:pStyle w:val="180"/>
              <w:jc w:val="center"/>
              <w:rPr>
                <w:rFonts w:ascii="宋体" w:hAnsi="宋体"/>
                <w:sz w:val="18"/>
                <w:szCs w:val="18"/>
                <w:highlight w:val="none"/>
              </w:rPr>
            </w:pPr>
            <w:r>
              <w:rPr>
                <w:rFonts w:hint="eastAsia" w:ascii="宋体" w:hAnsi="宋体"/>
                <w:sz w:val="18"/>
                <w:szCs w:val="18"/>
                <w:highlight w:val="none"/>
              </w:rPr>
              <w:t>消防水池液位</w:t>
            </w:r>
          </w:p>
        </w:tc>
        <w:tc>
          <w:tcPr>
            <w:tcW w:w="1016" w:type="pct"/>
            <w:vAlign w:val="center"/>
          </w:tcPr>
          <w:p w14:paraId="4A41A3A3">
            <w:pPr>
              <w:pStyle w:val="180"/>
              <w:jc w:val="center"/>
              <w:rPr>
                <w:rFonts w:ascii="宋体" w:hAnsi="宋体"/>
                <w:sz w:val="18"/>
                <w:szCs w:val="18"/>
                <w:highlight w:val="none"/>
              </w:rPr>
            </w:pPr>
            <w:r>
              <w:rPr>
                <w:rFonts w:hint="eastAsia" w:ascii="宋体" w:hAnsi="宋体" w:cs="宋体"/>
                <w:bCs/>
                <w:sz w:val="18"/>
                <w:szCs w:val="18"/>
                <w:highlight w:val="none"/>
              </w:rPr>
              <w:t>●</w:t>
            </w:r>
          </w:p>
        </w:tc>
        <w:tc>
          <w:tcPr>
            <w:tcW w:w="1514" w:type="pct"/>
            <w:vAlign w:val="center"/>
          </w:tcPr>
          <w:p w14:paraId="08C837E8">
            <w:pPr>
              <w:pStyle w:val="180"/>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消防水池</w:t>
            </w:r>
          </w:p>
        </w:tc>
      </w:tr>
      <w:tr w14:paraId="675B7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pct"/>
            <w:vAlign w:val="center"/>
          </w:tcPr>
          <w:p w14:paraId="07B7D20D">
            <w:pPr>
              <w:pStyle w:val="180"/>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10</w:t>
            </w:r>
          </w:p>
        </w:tc>
        <w:tc>
          <w:tcPr>
            <w:tcW w:w="940" w:type="pct"/>
            <w:vMerge w:val="restart"/>
            <w:vAlign w:val="center"/>
          </w:tcPr>
          <w:p w14:paraId="03A2D7F7">
            <w:pPr>
              <w:pStyle w:val="180"/>
              <w:jc w:val="center"/>
              <w:rPr>
                <w:rFonts w:ascii="宋体" w:hAnsi="宋体"/>
                <w:sz w:val="18"/>
                <w:szCs w:val="18"/>
                <w:highlight w:val="none"/>
              </w:rPr>
            </w:pPr>
            <w:r>
              <w:rPr>
                <w:rFonts w:hint="eastAsia" w:ascii="宋体" w:hAnsi="宋体"/>
                <w:sz w:val="18"/>
                <w:szCs w:val="18"/>
                <w:highlight w:val="none"/>
              </w:rPr>
              <w:t>结构整体响应</w:t>
            </w:r>
          </w:p>
        </w:tc>
        <w:tc>
          <w:tcPr>
            <w:tcW w:w="1016" w:type="pct"/>
            <w:vAlign w:val="center"/>
          </w:tcPr>
          <w:p w14:paraId="593A29DD">
            <w:pPr>
              <w:pStyle w:val="180"/>
              <w:jc w:val="center"/>
              <w:rPr>
                <w:rFonts w:ascii="宋体" w:hAnsi="宋体"/>
                <w:sz w:val="18"/>
                <w:szCs w:val="18"/>
                <w:highlight w:val="none"/>
              </w:rPr>
            </w:pPr>
            <w:r>
              <w:rPr>
                <w:rFonts w:hint="eastAsia" w:ascii="宋体" w:hAnsi="宋体"/>
                <w:sz w:val="18"/>
                <w:szCs w:val="18"/>
                <w:highlight w:val="none"/>
              </w:rPr>
              <w:t>洞门倾斜</w:t>
            </w:r>
          </w:p>
        </w:tc>
        <w:tc>
          <w:tcPr>
            <w:tcW w:w="1016" w:type="pct"/>
            <w:vAlign w:val="center"/>
          </w:tcPr>
          <w:p w14:paraId="4D4FA141">
            <w:pPr>
              <w:pStyle w:val="180"/>
              <w:jc w:val="center"/>
              <w:rPr>
                <w:rFonts w:ascii="宋体" w:hAnsi="宋体"/>
                <w:sz w:val="18"/>
                <w:szCs w:val="18"/>
                <w:highlight w:val="none"/>
              </w:rPr>
            </w:pPr>
            <w:r>
              <w:rPr>
                <w:rFonts w:hint="eastAsia" w:ascii="宋体" w:hAnsi="宋体" w:cs="宋体"/>
                <w:bCs/>
                <w:sz w:val="18"/>
                <w:szCs w:val="18"/>
                <w:highlight w:val="none"/>
              </w:rPr>
              <w:t>●</w:t>
            </w:r>
          </w:p>
        </w:tc>
        <w:tc>
          <w:tcPr>
            <w:tcW w:w="1514" w:type="pct"/>
            <w:vAlign w:val="center"/>
          </w:tcPr>
          <w:p w14:paraId="5C29202A">
            <w:pPr>
              <w:pStyle w:val="180"/>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洞门立面</w:t>
            </w:r>
          </w:p>
        </w:tc>
      </w:tr>
      <w:tr w14:paraId="56786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pct"/>
            <w:vAlign w:val="center"/>
          </w:tcPr>
          <w:p w14:paraId="1F685958">
            <w:pPr>
              <w:pStyle w:val="180"/>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11</w:t>
            </w:r>
          </w:p>
        </w:tc>
        <w:tc>
          <w:tcPr>
            <w:tcW w:w="940" w:type="pct"/>
            <w:vMerge w:val="continue"/>
            <w:vAlign w:val="center"/>
          </w:tcPr>
          <w:p w14:paraId="6B1EC0BF">
            <w:pPr>
              <w:pStyle w:val="180"/>
              <w:jc w:val="center"/>
              <w:rPr>
                <w:rFonts w:ascii="宋体" w:hAnsi="宋体"/>
                <w:sz w:val="18"/>
                <w:szCs w:val="18"/>
                <w:highlight w:val="none"/>
              </w:rPr>
            </w:pPr>
          </w:p>
        </w:tc>
        <w:tc>
          <w:tcPr>
            <w:tcW w:w="1016" w:type="pct"/>
            <w:vAlign w:val="center"/>
          </w:tcPr>
          <w:p w14:paraId="3BA328B7">
            <w:pPr>
              <w:pStyle w:val="180"/>
              <w:jc w:val="center"/>
              <w:rPr>
                <w:rFonts w:ascii="宋体" w:hAnsi="宋体"/>
                <w:sz w:val="18"/>
                <w:szCs w:val="18"/>
                <w:highlight w:val="none"/>
              </w:rPr>
            </w:pPr>
            <w:r>
              <w:rPr>
                <w:rFonts w:hint="eastAsia" w:ascii="宋体" w:hAnsi="宋体"/>
                <w:sz w:val="18"/>
                <w:szCs w:val="18"/>
                <w:highlight w:val="none"/>
              </w:rPr>
              <w:t>边仰坡位移</w:t>
            </w:r>
          </w:p>
        </w:tc>
        <w:tc>
          <w:tcPr>
            <w:tcW w:w="1016" w:type="pct"/>
            <w:vAlign w:val="center"/>
          </w:tcPr>
          <w:p w14:paraId="4EC9CD01">
            <w:pPr>
              <w:pStyle w:val="180"/>
              <w:jc w:val="center"/>
              <w:rPr>
                <w:rFonts w:ascii="宋体" w:hAnsi="宋体"/>
                <w:sz w:val="18"/>
                <w:szCs w:val="18"/>
                <w:highlight w:val="none"/>
              </w:rPr>
            </w:pPr>
            <w:r>
              <w:rPr>
                <w:rFonts w:hint="eastAsia" w:ascii="宋体" w:hAnsi="宋体" w:cs="宋体"/>
                <w:sz w:val="18"/>
                <w:szCs w:val="18"/>
                <w:highlight w:val="none"/>
              </w:rPr>
              <w:t>○</w:t>
            </w:r>
          </w:p>
        </w:tc>
        <w:tc>
          <w:tcPr>
            <w:tcW w:w="1514" w:type="pct"/>
            <w:vAlign w:val="center"/>
          </w:tcPr>
          <w:p w14:paraId="1F39E8D4">
            <w:pPr>
              <w:pStyle w:val="180"/>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边仰坡地表</w:t>
            </w:r>
          </w:p>
        </w:tc>
      </w:tr>
      <w:tr w14:paraId="0F9B9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pct"/>
            <w:vAlign w:val="center"/>
          </w:tcPr>
          <w:p w14:paraId="795040DA">
            <w:pPr>
              <w:pStyle w:val="180"/>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12</w:t>
            </w:r>
          </w:p>
        </w:tc>
        <w:tc>
          <w:tcPr>
            <w:tcW w:w="940" w:type="pct"/>
            <w:vMerge w:val="continue"/>
            <w:vAlign w:val="center"/>
          </w:tcPr>
          <w:p w14:paraId="59546314">
            <w:pPr>
              <w:pStyle w:val="180"/>
              <w:jc w:val="center"/>
              <w:rPr>
                <w:rFonts w:ascii="宋体" w:hAnsi="宋体"/>
                <w:sz w:val="18"/>
                <w:szCs w:val="18"/>
                <w:highlight w:val="none"/>
              </w:rPr>
            </w:pPr>
          </w:p>
        </w:tc>
        <w:tc>
          <w:tcPr>
            <w:tcW w:w="1016" w:type="pct"/>
            <w:vAlign w:val="center"/>
          </w:tcPr>
          <w:p w14:paraId="059914C6">
            <w:pPr>
              <w:pStyle w:val="180"/>
              <w:jc w:val="center"/>
              <w:rPr>
                <w:rFonts w:ascii="宋体" w:hAnsi="宋体"/>
                <w:sz w:val="18"/>
                <w:szCs w:val="18"/>
                <w:highlight w:val="none"/>
              </w:rPr>
            </w:pPr>
            <w:r>
              <w:rPr>
                <w:rFonts w:hint="eastAsia" w:ascii="宋体" w:hAnsi="宋体"/>
                <w:sz w:val="18"/>
                <w:szCs w:val="18"/>
                <w:highlight w:val="none"/>
              </w:rPr>
              <w:t>结构</w:t>
            </w:r>
            <w:r>
              <w:rPr>
                <w:rFonts w:ascii="宋体" w:hAnsi="宋体"/>
                <w:sz w:val="18"/>
                <w:szCs w:val="18"/>
                <w:highlight w:val="none"/>
              </w:rPr>
              <w:t>竖向位移</w:t>
            </w:r>
          </w:p>
        </w:tc>
        <w:tc>
          <w:tcPr>
            <w:tcW w:w="1016" w:type="pct"/>
            <w:vAlign w:val="center"/>
          </w:tcPr>
          <w:p w14:paraId="4090F453">
            <w:pPr>
              <w:pStyle w:val="180"/>
              <w:jc w:val="center"/>
              <w:rPr>
                <w:rFonts w:ascii="宋体" w:hAnsi="宋体"/>
                <w:sz w:val="18"/>
                <w:szCs w:val="18"/>
                <w:highlight w:val="none"/>
              </w:rPr>
            </w:pPr>
            <w:r>
              <w:rPr>
                <w:rFonts w:hint="eastAsia" w:ascii="宋体" w:hAnsi="宋体" w:cs="宋体"/>
                <w:bCs/>
                <w:sz w:val="18"/>
                <w:szCs w:val="18"/>
                <w:highlight w:val="none"/>
              </w:rPr>
              <w:t>●</w:t>
            </w:r>
          </w:p>
        </w:tc>
        <w:tc>
          <w:tcPr>
            <w:tcW w:w="1514" w:type="pct"/>
            <w:vAlign w:val="center"/>
          </w:tcPr>
          <w:p w14:paraId="3CC31902">
            <w:pPr>
              <w:pStyle w:val="180"/>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拱顶或跨中</w:t>
            </w:r>
          </w:p>
        </w:tc>
      </w:tr>
      <w:tr w14:paraId="5C511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pct"/>
            <w:vAlign w:val="center"/>
          </w:tcPr>
          <w:p w14:paraId="5F8EF1E5">
            <w:pPr>
              <w:pStyle w:val="180"/>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13</w:t>
            </w:r>
          </w:p>
        </w:tc>
        <w:tc>
          <w:tcPr>
            <w:tcW w:w="940" w:type="pct"/>
            <w:vMerge w:val="continue"/>
            <w:vAlign w:val="center"/>
          </w:tcPr>
          <w:p w14:paraId="688D618D">
            <w:pPr>
              <w:pStyle w:val="180"/>
              <w:jc w:val="center"/>
              <w:rPr>
                <w:rFonts w:ascii="宋体" w:hAnsi="宋体"/>
                <w:sz w:val="18"/>
                <w:szCs w:val="18"/>
                <w:highlight w:val="none"/>
              </w:rPr>
            </w:pPr>
          </w:p>
        </w:tc>
        <w:tc>
          <w:tcPr>
            <w:tcW w:w="1016" w:type="pct"/>
            <w:vAlign w:val="center"/>
          </w:tcPr>
          <w:p w14:paraId="547BFA78">
            <w:pPr>
              <w:pStyle w:val="180"/>
              <w:jc w:val="center"/>
              <w:rPr>
                <w:rFonts w:ascii="宋体" w:hAnsi="宋体"/>
                <w:sz w:val="18"/>
                <w:szCs w:val="18"/>
                <w:highlight w:val="none"/>
              </w:rPr>
            </w:pPr>
            <w:r>
              <w:rPr>
                <w:rFonts w:hint="eastAsia" w:ascii="宋体" w:hAnsi="宋体"/>
                <w:sz w:val="18"/>
                <w:szCs w:val="18"/>
                <w:highlight w:val="none"/>
              </w:rPr>
              <w:t>结构水平位移</w:t>
            </w:r>
          </w:p>
        </w:tc>
        <w:tc>
          <w:tcPr>
            <w:tcW w:w="1016" w:type="pct"/>
            <w:vAlign w:val="center"/>
          </w:tcPr>
          <w:p w14:paraId="7AF84D40">
            <w:pPr>
              <w:pStyle w:val="180"/>
              <w:jc w:val="center"/>
              <w:rPr>
                <w:rFonts w:ascii="宋体" w:hAnsi="宋体"/>
                <w:sz w:val="18"/>
                <w:szCs w:val="18"/>
                <w:highlight w:val="none"/>
              </w:rPr>
            </w:pPr>
            <w:r>
              <w:rPr>
                <w:rFonts w:hint="eastAsia" w:ascii="宋体" w:hAnsi="宋体" w:cs="宋体"/>
                <w:bCs/>
                <w:sz w:val="18"/>
                <w:szCs w:val="18"/>
                <w:highlight w:val="none"/>
              </w:rPr>
              <w:t>●</w:t>
            </w:r>
          </w:p>
        </w:tc>
        <w:tc>
          <w:tcPr>
            <w:tcW w:w="1514" w:type="pct"/>
            <w:vAlign w:val="center"/>
          </w:tcPr>
          <w:p w14:paraId="7A1F6CF1">
            <w:pPr>
              <w:pStyle w:val="180"/>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拱腰或侧墙中部</w:t>
            </w:r>
          </w:p>
        </w:tc>
      </w:tr>
      <w:tr w14:paraId="6498E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pct"/>
            <w:vAlign w:val="center"/>
          </w:tcPr>
          <w:p w14:paraId="137B4FF8">
            <w:pPr>
              <w:pStyle w:val="180"/>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14</w:t>
            </w:r>
          </w:p>
        </w:tc>
        <w:tc>
          <w:tcPr>
            <w:tcW w:w="940" w:type="pct"/>
            <w:vMerge w:val="continue"/>
            <w:vAlign w:val="center"/>
          </w:tcPr>
          <w:p w14:paraId="7B81D410">
            <w:pPr>
              <w:pStyle w:val="180"/>
              <w:jc w:val="center"/>
              <w:rPr>
                <w:rFonts w:ascii="宋体" w:hAnsi="宋体"/>
                <w:sz w:val="18"/>
                <w:szCs w:val="18"/>
                <w:highlight w:val="none"/>
              </w:rPr>
            </w:pPr>
          </w:p>
        </w:tc>
        <w:tc>
          <w:tcPr>
            <w:tcW w:w="1016" w:type="pct"/>
            <w:vAlign w:val="center"/>
          </w:tcPr>
          <w:p w14:paraId="22F9F3F5">
            <w:pPr>
              <w:pStyle w:val="180"/>
              <w:jc w:val="center"/>
              <w:rPr>
                <w:rFonts w:ascii="宋体" w:hAnsi="宋体"/>
                <w:sz w:val="18"/>
                <w:szCs w:val="18"/>
                <w:highlight w:val="none"/>
              </w:rPr>
            </w:pPr>
            <w:r>
              <w:rPr>
                <w:rFonts w:hint="eastAsia" w:ascii="宋体" w:hAnsi="宋体"/>
                <w:sz w:val="18"/>
                <w:szCs w:val="18"/>
                <w:highlight w:val="none"/>
              </w:rPr>
              <w:t>地表沉降</w:t>
            </w:r>
          </w:p>
        </w:tc>
        <w:tc>
          <w:tcPr>
            <w:tcW w:w="1016" w:type="pct"/>
            <w:vAlign w:val="center"/>
          </w:tcPr>
          <w:p w14:paraId="28C21055">
            <w:pPr>
              <w:pStyle w:val="180"/>
              <w:jc w:val="center"/>
              <w:rPr>
                <w:rFonts w:ascii="宋体" w:hAnsi="宋体"/>
                <w:sz w:val="18"/>
                <w:szCs w:val="18"/>
                <w:highlight w:val="none"/>
              </w:rPr>
            </w:pPr>
            <w:r>
              <w:rPr>
                <w:rFonts w:hint="eastAsia" w:ascii="宋体" w:hAnsi="宋体" w:cs="宋体"/>
                <w:sz w:val="18"/>
                <w:szCs w:val="18"/>
                <w:highlight w:val="none"/>
              </w:rPr>
              <w:t>◎</w:t>
            </w:r>
          </w:p>
        </w:tc>
        <w:tc>
          <w:tcPr>
            <w:tcW w:w="1514" w:type="pct"/>
            <w:vAlign w:val="center"/>
          </w:tcPr>
          <w:p w14:paraId="6346257E">
            <w:pPr>
              <w:pStyle w:val="180"/>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隧道浅埋段、特殊位置</w:t>
            </w:r>
          </w:p>
        </w:tc>
      </w:tr>
      <w:tr w14:paraId="1AEEB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pct"/>
            <w:vAlign w:val="center"/>
          </w:tcPr>
          <w:p w14:paraId="728FB378">
            <w:pPr>
              <w:pStyle w:val="180"/>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15</w:t>
            </w:r>
          </w:p>
        </w:tc>
        <w:tc>
          <w:tcPr>
            <w:tcW w:w="940" w:type="pct"/>
            <w:vMerge w:val="continue"/>
            <w:vAlign w:val="center"/>
          </w:tcPr>
          <w:p w14:paraId="778A89EC">
            <w:pPr>
              <w:pStyle w:val="180"/>
              <w:jc w:val="center"/>
              <w:rPr>
                <w:rFonts w:ascii="宋体" w:hAnsi="宋体"/>
                <w:sz w:val="18"/>
                <w:szCs w:val="18"/>
                <w:highlight w:val="none"/>
              </w:rPr>
            </w:pPr>
          </w:p>
        </w:tc>
        <w:tc>
          <w:tcPr>
            <w:tcW w:w="1016" w:type="pct"/>
            <w:vAlign w:val="center"/>
          </w:tcPr>
          <w:p w14:paraId="13729582">
            <w:pPr>
              <w:pStyle w:val="180"/>
              <w:jc w:val="center"/>
              <w:rPr>
                <w:rFonts w:ascii="宋体" w:hAnsi="宋体"/>
                <w:sz w:val="18"/>
                <w:szCs w:val="18"/>
                <w:highlight w:val="none"/>
              </w:rPr>
            </w:pPr>
            <w:r>
              <w:rPr>
                <w:rFonts w:hint="eastAsia" w:ascii="宋体" w:hAnsi="宋体"/>
                <w:sz w:val="18"/>
                <w:szCs w:val="18"/>
                <w:highlight w:val="none"/>
              </w:rPr>
              <w:t>不均匀沉降</w:t>
            </w:r>
          </w:p>
        </w:tc>
        <w:tc>
          <w:tcPr>
            <w:tcW w:w="1016" w:type="pct"/>
            <w:vAlign w:val="center"/>
          </w:tcPr>
          <w:p w14:paraId="1DD81492">
            <w:pPr>
              <w:pStyle w:val="180"/>
              <w:jc w:val="center"/>
              <w:rPr>
                <w:rFonts w:ascii="宋体" w:hAnsi="宋体"/>
                <w:sz w:val="18"/>
                <w:szCs w:val="18"/>
                <w:highlight w:val="none"/>
              </w:rPr>
            </w:pPr>
            <w:r>
              <w:rPr>
                <w:rFonts w:hint="eastAsia" w:ascii="宋体" w:hAnsi="宋体" w:cs="宋体"/>
                <w:sz w:val="18"/>
                <w:szCs w:val="18"/>
                <w:highlight w:val="none"/>
              </w:rPr>
              <w:t>◎</w:t>
            </w:r>
          </w:p>
        </w:tc>
        <w:tc>
          <w:tcPr>
            <w:tcW w:w="1514" w:type="pct"/>
            <w:vAlign w:val="center"/>
          </w:tcPr>
          <w:p w14:paraId="15D60FD6">
            <w:pPr>
              <w:pStyle w:val="180"/>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w:t>
            </w:r>
          </w:p>
        </w:tc>
      </w:tr>
      <w:tr w14:paraId="7DCE7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pct"/>
            <w:vAlign w:val="center"/>
          </w:tcPr>
          <w:p w14:paraId="60614014">
            <w:pPr>
              <w:pStyle w:val="180"/>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16</w:t>
            </w:r>
          </w:p>
        </w:tc>
        <w:tc>
          <w:tcPr>
            <w:tcW w:w="940" w:type="pct"/>
            <w:vMerge w:val="continue"/>
            <w:vAlign w:val="center"/>
          </w:tcPr>
          <w:p w14:paraId="1E4891C9">
            <w:pPr>
              <w:pStyle w:val="180"/>
              <w:jc w:val="center"/>
              <w:rPr>
                <w:rFonts w:ascii="宋体" w:hAnsi="宋体"/>
                <w:sz w:val="18"/>
                <w:szCs w:val="18"/>
                <w:highlight w:val="none"/>
              </w:rPr>
            </w:pPr>
          </w:p>
        </w:tc>
        <w:tc>
          <w:tcPr>
            <w:tcW w:w="1016" w:type="pct"/>
            <w:vAlign w:val="center"/>
          </w:tcPr>
          <w:p w14:paraId="66520CC4">
            <w:pPr>
              <w:pStyle w:val="180"/>
              <w:jc w:val="center"/>
              <w:rPr>
                <w:rFonts w:ascii="宋体" w:hAnsi="宋体"/>
                <w:sz w:val="18"/>
                <w:szCs w:val="18"/>
                <w:highlight w:val="none"/>
              </w:rPr>
            </w:pPr>
            <w:r>
              <w:rPr>
                <w:rFonts w:hint="eastAsia" w:ascii="宋体" w:hAnsi="宋体"/>
                <w:sz w:val="18"/>
                <w:szCs w:val="18"/>
                <w:highlight w:val="none"/>
              </w:rPr>
              <w:t>结构纵向变形</w:t>
            </w:r>
          </w:p>
        </w:tc>
        <w:tc>
          <w:tcPr>
            <w:tcW w:w="1016" w:type="pct"/>
            <w:vAlign w:val="center"/>
          </w:tcPr>
          <w:p w14:paraId="1A3BF7A8">
            <w:pPr>
              <w:pStyle w:val="180"/>
              <w:jc w:val="center"/>
              <w:rPr>
                <w:rFonts w:ascii="宋体" w:hAnsi="宋体"/>
                <w:sz w:val="18"/>
                <w:szCs w:val="18"/>
                <w:highlight w:val="none"/>
              </w:rPr>
            </w:pPr>
            <w:r>
              <w:rPr>
                <w:rFonts w:hint="eastAsia" w:ascii="宋体" w:hAnsi="宋体" w:cs="宋体"/>
                <w:sz w:val="18"/>
                <w:szCs w:val="18"/>
                <w:highlight w:val="none"/>
              </w:rPr>
              <w:t>◎</w:t>
            </w:r>
          </w:p>
        </w:tc>
        <w:tc>
          <w:tcPr>
            <w:tcW w:w="1514" w:type="pct"/>
            <w:vAlign w:val="center"/>
          </w:tcPr>
          <w:p w14:paraId="250BA773">
            <w:pPr>
              <w:pStyle w:val="180"/>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w:t>
            </w:r>
          </w:p>
        </w:tc>
      </w:tr>
      <w:tr w14:paraId="15629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pct"/>
            <w:vAlign w:val="center"/>
          </w:tcPr>
          <w:p w14:paraId="52530D2D">
            <w:pPr>
              <w:pStyle w:val="180"/>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17</w:t>
            </w:r>
          </w:p>
        </w:tc>
        <w:tc>
          <w:tcPr>
            <w:tcW w:w="940" w:type="pct"/>
            <w:vMerge w:val="continue"/>
            <w:vAlign w:val="center"/>
          </w:tcPr>
          <w:p w14:paraId="256BA46F">
            <w:pPr>
              <w:pStyle w:val="180"/>
              <w:jc w:val="center"/>
              <w:rPr>
                <w:rFonts w:ascii="宋体" w:hAnsi="宋体"/>
                <w:sz w:val="18"/>
                <w:szCs w:val="18"/>
                <w:highlight w:val="none"/>
              </w:rPr>
            </w:pPr>
          </w:p>
        </w:tc>
        <w:tc>
          <w:tcPr>
            <w:tcW w:w="1016" w:type="pct"/>
            <w:vAlign w:val="center"/>
          </w:tcPr>
          <w:p w14:paraId="6EC8B3E7">
            <w:pPr>
              <w:pStyle w:val="180"/>
              <w:jc w:val="center"/>
              <w:rPr>
                <w:rFonts w:ascii="宋体" w:hAnsi="宋体"/>
                <w:sz w:val="18"/>
                <w:szCs w:val="18"/>
                <w:highlight w:val="none"/>
              </w:rPr>
            </w:pPr>
            <w:r>
              <w:rPr>
                <w:rFonts w:hint="eastAsia" w:ascii="宋体" w:hAnsi="宋体"/>
                <w:sz w:val="18"/>
                <w:szCs w:val="18"/>
                <w:highlight w:val="none"/>
              </w:rPr>
              <w:t>结构接缝扩展</w:t>
            </w:r>
          </w:p>
        </w:tc>
        <w:tc>
          <w:tcPr>
            <w:tcW w:w="1016" w:type="pct"/>
            <w:vAlign w:val="center"/>
          </w:tcPr>
          <w:p w14:paraId="21379043">
            <w:pPr>
              <w:pStyle w:val="180"/>
              <w:jc w:val="center"/>
              <w:rPr>
                <w:rFonts w:ascii="宋体" w:hAnsi="宋体"/>
                <w:sz w:val="18"/>
                <w:szCs w:val="18"/>
                <w:highlight w:val="none"/>
              </w:rPr>
            </w:pPr>
            <w:r>
              <w:rPr>
                <w:rFonts w:hint="eastAsia" w:ascii="宋体" w:hAnsi="宋体" w:cs="宋体"/>
                <w:sz w:val="18"/>
                <w:szCs w:val="18"/>
                <w:highlight w:val="none"/>
              </w:rPr>
              <w:t>◎</w:t>
            </w:r>
          </w:p>
        </w:tc>
        <w:tc>
          <w:tcPr>
            <w:tcW w:w="1514" w:type="pct"/>
            <w:vAlign w:val="center"/>
          </w:tcPr>
          <w:p w14:paraId="3D9655ED">
            <w:pPr>
              <w:pStyle w:val="180"/>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w:t>
            </w:r>
          </w:p>
        </w:tc>
      </w:tr>
      <w:tr w14:paraId="67556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pct"/>
            <w:vAlign w:val="center"/>
          </w:tcPr>
          <w:p w14:paraId="52CC0B94">
            <w:pPr>
              <w:pStyle w:val="180"/>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18</w:t>
            </w:r>
          </w:p>
        </w:tc>
        <w:tc>
          <w:tcPr>
            <w:tcW w:w="940" w:type="pct"/>
            <w:vMerge w:val="restart"/>
            <w:vAlign w:val="center"/>
          </w:tcPr>
          <w:p w14:paraId="299A0274">
            <w:pPr>
              <w:pStyle w:val="180"/>
              <w:jc w:val="center"/>
              <w:rPr>
                <w:rFonts w:ascii="宋体" w:hAnsi="宋体"/>
                <w:sz w:val="18"/>
                <w:szCs w:val="18"/>
                <w:highlight w:val="none"/>
              </w:rPr>
            </w:pPr>
            <w:r>
              <w:rPr>
                <w:rFonts w:hint="eastAsia" w:ascii="宋体" w:hAnsi="宋体"/>
                <w:sz w:val="18"/>
                <w:szCs w:val="18"/>
                <w:highlight w:val="none"/>
              </w:rPr>
              <w:t>结构局部响应</w:t>
            </w:r>
          </w:p>
        </w:tc>
        <w:tc>
          <w:tcPr>
            <w:tcW w:w="1016" w:type="pct"/>
            <w:vAlign w:val="center"/>
          </w:tcPr>
          <w:p w14:paraId="550CD3BC">
            <w:pPr>
              <w:pStyle w:val="180"/>
              <w:jc w:val="center"/>
              <w:rPr>
                <w:rFonts w:ascii="宋体" w:hAnsi="宋体"/>
                <w:sz w:val="18"/>
                <w:szCs w:val="18"/>
                <w:highlight w:val="none"/>
              </w:rPr>
            </w:pPr>
            <w:r>
              <w:rPr>
                <w:rFonts w:hint="eastAsia" w:ascii="宋体" w:hAnsi="宋体"/>
                <w:sz w:val="18"/>
                <w:szCs w:val="18"/>
                <w:highlight w:val="none"/>
              </w:rPr>
              <w:t>结构应力</w:t>
            </w:r>
          </w:p>
        </w:tc>
        <w:tc>
          <w:tcPr>
            <w:tcW w:w="1016" w:type="pct"/>
            <w:vAlign w:val="center"/>
          </w:tcPr>
          <w:p w14:paraId="58869BFC">
            <w:pPr>
              <w:pStyle w:val="180"/>
              <w:jc w:val="center"/>
              <w:rPr>
                <w:rFonts w:ascii="宋体" w:hAnsi="宋体" w:cs="Times New Roman"/>
                <w:sz w:val="18"/>
                <w:szCs w:val="18"/>
                <w:highlight w:val="none"/>
              </w:rPr>
            </w:pPr>
            <w:r>
              <w:rPr>
                <w:rFonts w:hint="eastAsia" w:ascii="宋体" w:hAnsi="宋体" w:cs="宋体"/>
                <w:sz w:val="18"/>
                <w:szCs w:val="18"/>
                <w:highlight w:val="none"/>
              </w:rPr>
              <w:t>◎</w:t>
            </w:r>
          </w:p>
        </w:tc>
        <w:tc>
          <w:tcPr>
            <w:tcW w:w="1514" w:type="pct"/>
            <w:vAlign w:val="center"/>
          </w:tcPr>
          <w:p w14:paraId="60157AB1">
            <w:pPr>
              <w:pStyle w:val="180"/>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关键断面受力最大处</w:t>
            </w:r>
          </w:p>
        </w:tc>
      </w:tr>
      <w:tr w14:paraId="2812E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pct"/>
            <w:vAlign w:val="center"/>
          </w:tcPr>
          <w:p w14:paraId="14F654A1">
            <w:pPr>
              <w:pStyle w:val="180"/>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19</w:t>
            </w:r>
          </w:p>
        </w:tc>
        <w:tc>
          <w:tcPr>
            <w:tcW w:w="940" w:type="pct"/>
            <w:vMerge w:val="continue"/>
            <w:vAlign w:val="center"/>
          </w:tcPr>
          <w:p w14:paraId="05DEF1EA">
            <w:pPr>
              <w:pStyle w:val="180"/>
              <w:jc w:val="center"/>
              <w:rPr>
                <w:rFonts w:ascii="宋体" w:hAnsi="宋体"/>
                <w:sz w:val="18"/>
                <w:szCs w:val="18"/>
                <w:highlight w:val="none"/>
              </w:rPr>
            </w:pPr>
          </w:p>
        </w:tc>
        <w:tc>
          <w:tcPr>
            <w:tcW w:w="1016" w:type="pct"/>
            <w:vAlign w:val="center"/>
          </w:tcPr>
          <w:p w14:paraId="0D55776C">
            <w:pPr>
              <w:pStyle w:val="180"/>
              <w:jc w:val="center"/>
              <w:rPr>
                <w:rFonts w:ascii="宋体" w:hAnsi="宋体"/>
                <w:sz w:val="18"/>
                <w:szCs w:val="18"/>
                <w:highlight w:val="none"/>
              </w:rPr>
            </w:pPr>
            <w:r>
              <w:rPr>
                <w:rFonts w:hint="eastAsia" w:ascii="宋体" w:hAnsi="宋体"/>
                <w:sz w:val="18"/>
                <w:szCs w:val="18"/>
                <w:highlight w:val="none"/>
              </w:rPr>
              <w:t>结构裂缝</w:t>
            </w:r>
          </w:p>
        </w:tc>
        <w:tc>
          <w:tcPr>
            <w:tcW w:w="1016" w:type="pct"/>
            <w:vAlign w:val="center"/>
          </w:tcPr>
          <w:p w14:paraId="6A7A6126">
            <w:pPr>
              <w:pStyle w:val="180"/>
              <w:jc w:val="center"/>
              <w:rPr>
                <w:rFonts w:ascii="宋体" w:hAnsi="宋体" w:cs="Times New Roman"/>
                <w:sz w:val="18"/>
                <w:szCs w:val="18"/>
                <w:highlight w:val="none"/>
              </w:rPr>
            </w:pPr>
            <w:r>
              <w:rPr>
                <w:rFonts w:hint="eastAsia" w:ascii="宋体" w:hAnsi="宋体" w:cs="宋体"/>
                <w:bCs/>
                <w:sz w:val="18"/>
                <w:szCs w:val="18"/>
                <w:highlight w:val="none"/>
              </w:rPr>
              <w:t>●</w:t>
            </w:r>
          </w:p>
        </w:tc>
        <w:tc>
          <w:tcPr>
            <w:tcW w:w="1514" w:type="pct"/>
            <w:vAlign w:val="center"/>
          </w:tcPr>
          <w:p w14:paraId="331160F3">
            <w:pPr>
              <w:pStyle w:val="180"/>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w:t>
            </w:r>
          </w:p>
        </w:tc>
      </w:tr>
      <w:tr w14:paraId="4AAC9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5000" w:type="pct"/>
            <w:gridSpan w:val="5"/>
            <w:vAlign w:val="center"/>
          </w:tcPr>
          <w:p w14:paraId="6AE98BE8">
            <w:pPr>
              <w:pStyle w:val="180"/>
              <w:ind w:firstLine="0" w:firstLineChars="0"/>
              <w:rPr>
                <w:rFonts w:ascii="宋体" w:hAnsi="宋体"/>
                <w:sz w:val="18"/>
                <w:szCs w:val="18"/>
                <w:highlight w:val="none"/>
              </w:rPr>
            </w:pPr>
            <w:r>
              <w:rPr>
                <w:rFonts w:hint="eastAsia" w:ascii="宋体" w:hAnsi="宋体"/>
                <w:sz w:val="18"/>
                <w:szCs w:val="18"/>
                <w:highlight w:val="none"/>
              </w:rPr>
              <w:t>注：</w:t>
            </w:r>
            <w:r>
              <w:rPr>
                <w:rFonts w:ascii="宋体" w:hAnsi="宋体"/>
                <w:sz w:val="18"/>
                <w:szCs w:val="18"/>
                <w:highlight w:val="none"/>
              </w:rPr>
              <w:t>1.</w:t>
            </w:r>
            <w:r>
              <w:rPr>
                <w:rFonts w:hint="eastAsia" w:ascii="宋体" w:hAnsi="宋体"/>
                <w:sz w:val="18"/>
                <w:szCs w:val="18"/>
                <w:highlight w:val="none"/>
              </w:rPr>
              <w:t>“</w:t>
            </w:r>
            <w:r>
              <w:rPr>
                <w:rFonts w:hint="eastAsia" w:ascii="宋体" w:hAnsi="宋体" w:cs="宋体"/>
                <w:bCs/>
                <w:sz w:val="18"/>
                <w:szCs w:val="18"/>
                <w:highlight w:val="none"/>
              </w:rPr>
              <w:t>●</w:t>
            </w:r>
            <w:r>
              <w:rPr>
                <w:rFonts w:hint="eastAsia" w:ascii="宋体" w:hAnsi="宋体"/>
                <w:sz w:val="18"/>
                <w:szCs w:val="18"/>
                <w:highlight w:val="none"/>
              </w:rPr>
              <w:t>”表示</w:t>
            </w:r>
            <w:r>
              <w:rPr>
                <w:rFonts w:hint="eastAsia" w:ascii="宋体" w:hAnsi="宋体"/>
                <w:sz w:val="18"/>
                <w:szCs w:val="18"/>
                <w:highlight w:val="none"/>
                <w:lang w:val="en-US" w:eastAsia="zh-CN"/>
              </w:rPr>
              <w:t>必选监测项</w:t>
            </w:r>
            <w:r>
              <w:rPr>
                <w:rFonts w:hint="eastAsia" w:ascii="宋体" w:hAnsi="宋体"/>
                <w:sz w:val="18"/>
                <w:szCs w:val="18"/>
                <w:highlight w:val="none"/>
              </w:rPr>
              <w:t>，“</w:t>
            </w:r>
            <w:r>
              <w:rPr>
                <w:rFonts w:hint="eastAsia" w:ascii="宋体" w:hAnsi="宋体" w:cs="宋体"/>
                <w:sz w:val="18"/>
                <w:szCs w:val="18"/>
                <w:highlight w:val="none"/>
              </w:rPr>
              <w:t>◎</w:t>
            </w:r>
            <w:r>
              <w:rPr>
                <w:rFonts w:hint="eastAsia" w:ascii="宋体" w:hAnsi="宋体"/>
                <w:sz w:val="18"/>
                <w:szCs w:val="18"/>
                <w:highlight w:val="none"/>
              </w:rPr>
              <w:t>”表示宜</w:t>
            </w:r>
            <w:r>
              <w:rPr>
                <w:rFonts w:hint="eastAsia" w:ascii="宋体" w:hAnsi="宋体"/>
                <w:sz w:val="18"/>
                <w:szCs w:val="18"/>
                <w:highlight w:val="none"/>
                <w:lang w:val="en-US" w:eastAsia="zh-CN"/>
              </w:rPr>
              <w:t>选监测项</w:t>
            </w:r>
            <w:r>
              <w:rPr>
                <w:rFonts w:hint="eastAsia" w:ascii="宋体" w:hAnsi="宋体"/>
                <w:sz w:val="18"/>
                <w:szCs w:val="18"/>
                <w:highlight w:val="none"/>
              </w:rPr>
              <w:t xml:space="preserve"> ，“</w:t>
            </w:r>
            <w:r>
              <w:rPr>
                <w:rFonts w:hint="eastAsia" w:ascii="宋体" w:hAnsi="宋体" w:cs="宋体"/>
                <w:sz w:val="18"/>
                <w:szCs w:val="18"/>
                <w:highlight w:val="none"/>
              </w:rPr>
              <w:t>○</w:t>
            </w:r>
            <w:r>
              <w:rPr>
                <w:rFonts w:hint="eastAsia" w:ascii="宋体" w:hAnsi="宋体"/>
                <w:sz w:val="18"/>
                <w:szCs w:val="18"/>
                <w:highlight w:val="none"/>
              </w:rPr>
              <w:t>”表示可</w:t>
            </w:r>
            <w:r>
              <w:rPr>
                <w:rFonts w:hint="eastAsia" w:ascii="宋体" w:hAnsi="宋体"/>
                <w:sz w:val="18"/>
                <w:szCs w:val="18"/>
                <w:highlight w:val="none"/>
                <w:lang w:val="en-US" w:eastAsia="zh-CN"/>
              </w:rPr>
              <w:t>选监测项</w:t>
            </w:r>
            <w:r>
              <w:rPr>
                <w:rFonts w:hint="eastAsia" w:ascii="宋体" w:hAnsi="宋体"/>
                <w:sz w:val="18"/>
                <w:szCs w:val="18"/>
                <w:highlight w:val="none"/>
              </w:rPr>
              <w:t>；</w:t>
            </w:r>
          </w:p>
          <w:p w14:paraId="646BA3B4">
            <w:pPr>
              <w:pStyle w:val="180"/>
              <w:ind w:firstLine="0" w:firstLineChars="0"/>
              <w:rPr>
                <w:rFonts w:ascii="宋体" w:hAnsi="宋体"/>
                <w:sz w:val="18"/>
                <w:szCs w:val="18"/>
                <w:highlight w:val="none"/>
              </w:rPr>
            </w:pPr>
            <w:r>
              <w:rPr>
                <w:rFonts w:ascii="宋体" w:hAnsi="宋体"/>
                <w:sz w:val="18"/>
                <w:szCs w:val="18"/>
                <w:highlight w:val="none"/>
              </w:rPr>
              <w:t>2.</w:t>
            </w:r>
            <w:r>
              <w:rPr>
                <w:rFonts w:hint="eastAsia" w:ascii="宋体" w:hAnsi="宋体"/>
                <w:sz w:val="18"/>
                <w:szCs w:val="18"/>
                <w:highlight w:val="none"/>
              </w:rPr>
              <w:t>特殊结构、特殊情况下，“结构内力”指标可调整为应</w:t>
            </w:r>
            <w:r>
              <w:rPr>
                <w:rFonts w:hint="eastAsia" w:ascii="宋体" w:hAnsi="宋体"/>
                <w:sz w:val="18"/>
                <w:szCs w:val="18"/>
                <w:highlight w:val="none"/>
                <w:lang w:val="en-US" w:eastAsia="zh-CN"/>
              </w:rPr>
              <w:t>选监测项</w:t>
            </w:r>
            <w:r>
              <w:rPr>
                <w:rFonts w:hint="eastAsia" w:ascii="宋体" w:hAnsi="宋体"/>
                <w:sz w:val="18"/>
                <w:szCs w:val="18"/>
                <w:highlight w:val="none"/>
              </w:rPr>
              <w:t>；</w:t>
            </w:r>
          </w:p>
          <w:p w14:paraId="4CFD2760">
            <w:pPr>
              <w:pStyle w:val="180"/>
              <w:ind w:firstLine="0" w:firstLineChars="0"/>
              <w:rPr>
                <w:rFonts w:ascii="宋体" w:hAnsi="宋体"/>
                <w:sz w:val="18"/>
                <w:szCs w:val="18"/>
                <w:highlight w:val="none"/>
              </w:rPr>
            </w:pPr>
            <w:r>
              <w:rPr>
                <w:rFonts w:hint="eastAsia" w:ascii="宋体" w:hAnsi="宋体"/>
                <w:sz w:val="18"/>
                <w:szCs w:val="18"/>
                <w:highlight w:val="none"/>
              </w:rPr>
              <w:t>3.短距离隧道可根据需要选择监测内容；</w:t>
            </w:r>
          </w:p>
          <w:p w14:paraId="68A65881">
            <w:pPr>
              <w:pStyle w:val="180"/>
              <w:ind w:firstLine="0" w:firstLineChars="0"/>
              <w:rPr>
                <w:rFonts w:hint="eastAsia" w:ascii="宋体" w:hAnsi="宋体"/>
                <w:sz w:val="18"/>
                <w:szCs w:val="18"/>
                <w:highlight w:val="none"/>
              </w:rPr>
            </w:pPr>
            <w:r>
              <w:rPr>
                <w:rFonts w:hint="eastAsia" w:ascii="宋体" w:hAnsi="宋体"/>
                <w:sz w:val="18"/>
                <w:szCs w:val="18"/>
                <w:highlight w:val="none"/>
              </w:rPr>
              <w:t>4.“</w:t>
            </w:r>
            <w:r>
              <w:rPr>
                <w:rFonts w:ascii="宋体" w:hAnsi="宋体"/>
                <w:sz w:val="18"/>
                <w:szCs w:val="18"/>
                <w:highlight w:val="none"/>
              </w:rPr>
              <w:t>※</w:t>
            </w:r>
            <w:r>
              <w:rPr>
                <w:rFonts w:hint="eastAsia" w:ascii="宋体" w:hAnsi="宋体"/>
                <w:sz w:val="18"/>
                <w:szCs w:val="18"/>
                <w:highlight w:val="none"/>
              </w:rPr>
              <w:t>”适用于下穿隧道。</w:t>
            </w:r>
          </w:p>
        </w:tc>
      </w:tr>
    </w:tbl>
    <w:p w14:paraId="3E07FFAC">
      <w:pPr>
        <w:spacing w:before="31" w:after="31"/>
        <w:ind w:firstLine="420"/>
        <w:jc w:val="center"/>
        <w:rPr>
          <w:rFonts w:hint="default" w:ascii="宋体" w:hAnsi="宋体"/>
          <w:bCs/>
          <w:szCs w:val="21"/>
          <w:lang w:val="en-US" w:eastAsia="zh-CN"/>
        </w:rPr>
      </w:pPr>
    </w:p>
    <w:p w14:paraId="3E377A9D">
      <w:pPr>
        <w:pStyle w:val="2"/>
        <w:pageBreakBefore/>
        <w:tabs>
          <w:tab w:val="left" w:pos="454"/>
        </w:tabs>
        <w:spacing w:before="31" w:after="31"/>
        <w:jc w:val="center"/>
        <w:rPr>
          <w:rFonts w:hint="eastAsia" w:ascii="黑体" w:hAnsi="黑体" w:eastAsia="黑体" w:cs="黑体"/>
          <w:sz w:val="21"/>
          <w:szCs w:val="21"/>
          <w:lang w:val="en-US" w:eastAsia="zh-CN"/>
        </w:rPr>
      </w:pPr>
      <w:bookmarkStart w:id="179" w:name="_Toc18279"/>
      <w:r>
        <w:rPr>
          <w:rFonts w:hint="eastAsia" w:ascii="黑体" w:hAnsi="黑体" w:eastAsia="黑体" w:cs="黑体"/>
          <w:sz w:val="21"/>
          <w:szCs w:val="21"/>
        </w:rPr>
        <w:t>附录</w:t>
      </w:r>
      <w:r>
        <w:rPr>
          <w:rFonts w:hint="eastAsia" w:ascii="黑体" w:hAnsi="黑体" w:eastAsia="黑体" w:cs="黑体"/>
          <w:sz w:val="21"/>
          <w:szCs w:val="21"/>
          <w:lang w:val="en-US" w:eastAsia="zh-CN"/>
        </w:rPr>
        <w:t>C</w:t>
      </w:r>
      <w:r>
        <w:rPr>
          <w:rFonts w:hint="eastAsia" w:ascii="黑体" w:hAnsi="黑体" w:eastAsia="黑体" w:cs="黑体"/>
          <w:sz w:val="21"/>
          <w:szCs w:val="21"/>
        </w:rPr>
        <w:br w:type="textWrapping"/>
      </w:r>
      <w:r>
        <w:rPr>
          <w:rFonts w:hint="eastAsia" w:ascii="黑体" w:hAnsi="黑体" w:eastAsia="黑体" w:cs="黑体"/>
          <w:b w:val="0"/>
          <w:bCs w:val="0"/>
          <w:sz w:val="21"/>
          <w:szCs w:val="21"/>
        </w:rPr>
        <w:t>（</w:t>
      </w:r>
      <w:r>
        <w:rPr>
          <w:rFonts w:hint="eastAsia" w:ascii="黑体" w:hAnsi="黑体" w:eastAsia="黑体" w:cs="黑体"/>
          <w:b w:val="0"/>
          <w:bCs w:val="0"/>
          <w:sz w:val="21"/>
          <w:szCs w:val="21"/>
          <w:lang w:val="en-US" w:eastAsia="zh-CN"/>
        </w:rPr>
        <w:t>规范</w:t>
      </w:r>
      <w:r>
        <w:rPr>
          <w:rFonts w:hint="eastAsia" w:ascii="黑体" w:hAnsi="黑体" w:eastAsia="黑体" w:cs="黑体"/>
          <w:b w:val="0"/>
          <w:bCs w:val="0"/>
          <w:sz w:val="21"/>
          <w:szCs w:val="21"/>
        </w:rPr>
        <w:t>性）</w:t>
      </w:r>
      <w:r>
        <w:rPr>
          <w:rFonts w:hint="eastAsia" w:ascii="黑体" w:hAnsi="黑体" w:eastAsia="黑体" w:cs="黑体"/>
          <w:b w:val="0"/>
          <w:bCs w:val="0"/>
          <w:sz w:val="21"/>
          <w:szCs w:val="21"/>
        </w:rPr>
        <w:br w:type="textWrapping"/>
      </w:r>
      <w:r>
        <w:rPr>
          <w:rFonts w:hint="eastAsia" w:ascii="黑体" w:hAnsi="黑体" w:eastAsia="黑体" w:cs="黑体"/>
          <w:b w:val="0"/>
          <w:bCs w:val="0"/>
          <w:sz w:val="21"/>
          <w:szCs w:val="21"/>
          <w:lang w:val="en-US" w:eastAsia="zh-CN"/>
        </w:rPr>
        <w:t>监测设备性能要求</w:t>
      </w:r>
      <w:bookmarkEnd w:id="179"/>
    </w:p>
    <w:p w14:paraId="5A5E681B">
      <w:pPr>
        <w:pStyle w:val="2"/>
        <w:keepNext w:val="0"/>
        <w:tabs>
          <w:tab w:val="left" w:pos="454"/>
        </w:tabs>
        <w:spacing w:before="312" w:beforeLines="100" w:after="312" w:afterLines="100"/>
        <w:rPr>
          <w:rFonts w:hint="eastAsia" w:ascii="宋体" w:hAnsi="宋体"/>
          <w:szCs w:val="21"/>
          <w:lang w:val="en-US" w:eastAsia="zh-CN"/>
        </w:rPr>
      </w:pPr>
      <w:bookmarkStart w:id="180" w:name="_Toc25664"/>
      <w:r>
        <w:rPr>
          <w:rFonts w:hint="eastAsia" w:ascii="宋体" w:hAnsi="宋体"/>
          <w:szCs w:val="21"/>
          <w:lang w:val="en-US" w:eastAsia="zh-CN"/>
        </w:rPr>
        <w:t>C.1燃气监测设备性能要求</w:t>
      </w:r>
      <w:bookmarkEnd w:id="180"/>
    </w:p>
    <w:p w14:paraId="27B27DCA">
      <w:pPr>
        <w:rPr>
          <w:rFonts w:hint="eastAsia" w:ascii="黑体" w:hAnsi="黑体" w:eastAsia="黑体"/>
          <w:bCs/>
          <w:color w:val="auto"/>
          <w:lang w:val="en-US" w:eastAsia="zh-CN"/>
        </w:rPr>
      </w:pPr>
      <w:r>
        <w:rPr>
          <w:rFonts w:hint="eastAsia"/>
          <w:b w:val="0"/>
          <w:bCs w:val="0"/>
          <w:lang w:val="en-US" w:eastAsia="zh-CN"/>
        </w:rPr>
        <w:t>燃气监测设备性能要求见表C.1。</w:t>
      </w:r>
    </w:p>
    <w:tbl>
      <w:tblPr>
        <w:tblStyle w:val="35"/>
        <w:tblW w:w="4857" w:type="pct"/>
        <w:tblInd w:w="119" w:type="dxa"/>
        <w:tblLayout w:type="autofit"/>
        <w:tblCellMar>
          <w:top w:w="0" w:type="dxa"/>
          <w:left w:w="108" w:type="dxa"/>
          <w:bottom w:w="0" w:type="dxa"/>
          <w:right w:w="108" w:type="dxa"/>
        </w:tblCellMar>
      </w:tblPr>
      <w:tblGrid>
        <w:gridCol w:w="1464"/>
        <w:gridCol w:w="1740"/>
        <w:gridCol w:w="5267"/>
      </w:tblGrid>
      <w:tr w14:paraId="6103D22C">
        <w:tblPrEx>
          <w:tblCellMar>
            <w:top w:w="0" w:type="dxa"/>
            <w:left w:w="108" w:type="dxa"/>
            <w:bottom w:w="0" w:type="dxa"/>
            <w:right w:w="108" w:type="dxa"/>
          </w:tblCellMar>
        </w:tblPrEx>
        <w:trPr>
          <w:trHeight w:val="402" w:hRule="atLeast"/>
          <w:tblHeader/>
        </w:trPr>
        <w:tc>
          <w:tcPr>
            <w:tcW w:w="5000" w:type="pct"/>
            <w:gridSpan w:val="3"/>
            <w:tcBorders>
              <w:top w:val="nil"/>
              <w:left w:val="nil"/>
              <w:bottom w:val="nil"/>
              <w:right w:val="nil"/>
            </w:tcBorders>
            <w:vAlign w:val="center"/>
          </w:tcPr>
          <w:p w14:paraId="57F400E2">
            <w:pPr>
              <w:pStyle w:val="98"/>
              <w:spacing w:before="31" w:after="31"/>
              <w:jc w:val="center"/>
              <w:rPr>
                <w:rFonts w:ascii="宋体" w:hAnsi="宋体"/>
                <w:b/>
                <w:bCs/>
                <w:kern w:val="0"/>
                <w:sz w:val="18"/>
                <w:szCs w:val="18"/>
              </w:rPr>
            </w:pPr>
            <w:r>
              <w:rPr>
                <w:rFonts w:hint="eastAsia" w:ascii="黑体" w:hAnsi="黑体" w:eastAsia="黑体"/>
                <w:bCs/>
                <w:color w:val="auto"/>
              </w:rPr>
              <w:t xml:space="preserve">表 </w:t>
            </w:r>
            <w:r>
              <w:rPr>
                <w:rFonts w:hint="eastAsia" w:ascii="黑体" w:hAnsi="黑体" w:eastAsia="黑体"/>
                <w:bCs/>
                <w:color w:val="auto"/>
                <w:lang w:val="en-US" w:eastAsia="zh-CN"/>
              </w:rPr>
              <w:t>C</w:t>
            </w:r>
            <w:r>
              <w:rPr>
                <w:rFonts w:hint="eastAsia" w:ascii="黑体" w:hAnsi="黑体" w:eastAsia="黑体"/>
                <w:bCs/>
                <w:color w:val="auto"/>
              </w:rPr>
              <w:t xml:space="preserve">.1  </w:t>
            </w:r>
            <w:bookmarkStart w:id="181" w:name="OLE_LINK34"/>
            <w:bookmarkStart w:id="182" w:name="OLE_LINK25"/>
            <w:r>
              <w:rPr>
                <w:rFonts w:hint="eastAsia" w:ascii="黑体" w:hAnsi="黑体" w:eastAsia="黑体"/>
                <w:bCs/>
                <w:color w:val="auto"/>
              </w:rPr>
              <w:t>燃气监测</w:t>
            </w:r>
            <w:r>
              <w:rPr>
                <w:rFonts w:hint="eastAsia" w:ascii="黑体" w:hAnsi="黑体" w:eastAsia="黑体"/>
                <w:bCs/>
                <w:color w:val="auto"/>
                <w:lang w:val="en-US" w:eastAsia="zh-CN"/>
              </w:rPr>
              <w:t>设备性能</w:t>
            </w:r>
            <w:r>
              <w:rPr>
                <w:rFonts w:hint="eastAsia" w:ascii="黑体" w:hAnsi="黑体" w:eastAsia="黑体"/>
                <w:bCs/>
                <w:color w:val="auto"/>
              </w:rPr>
              <w:t>要求</w:t>
            </w:r>
            <w:bookmarkEnd w:id="181"/>
            <w:bookmarkEnd w:id="182"/>
          </w:p>
        </w:tc>
      </w:tr>
      <w:tr w14:paraId="23AD3F6A">
        <w:tblPrEx>
          <w:tblCellMar>
            <w:top w:w="0" w:type="dxa"/>
            <w:left w:w="108" w:type="dxa"/>
            <w:bottom w:w="0" w:type="dxa"/>
            <w:right w:w="108" w:type="dxa"/>
          </w:tblCellMar>
        </w:tblPrEx>
        <w:trPr>
          <w:trHeight w:val="402" w:hRule="atLeast"/>
          <w:tblHeader/>
        </w:trPr>
        <w:tc>
          <w:tcPr>
            <w:tcW w:w="864" w:type="pct"/>
            <w:tcBorders>
              <w:top w:val="single" w:color="auto" w:sz="4" w:space="0"/>
              <w:left w:val="single" w:color="auto" w:sz="4" w:space="0"/>
              <w:bottom w:val="single" w:color="auto" w:sz="4" w:space="0"/>
              <w:right w:val="single" w:color="auto" w:sz="4" w:space="0"/>
            </w:tcBorders>
            <w:vAlign w:val="center"/>
          </w:tcPr>
          <w:p w14:paraId="4D84786E">
            <w:pPr>
              <w:widowControl/>
              <w:spacing w:beforeLines="0" w:afterLines="0" w:line="240" w:lineRule="auto"/>
              <w:jc w:val="center"/>
              <w:rPr>
                <w:rFonts w:ascii="宋体" w:hAnsi="宋体" w:cs="宋体"/>
                <w:color w:val="000000"/>
                <w:kern w:val="0"/>
                <w:sz w:val="18"/>
                <w:szCs w:val="18"/>
              </w:rPr>
            </w:pPr>
            <w:r>
              <w:rPr>
                <w:rFonts w:hint="eastAsia" w:ascii="宋体" w:hAnsi="宋体" w:cs="宋体"/>
                <w:color w:val="000000"/>
                <w:kern w:val="0"/>
                <w:sz w:val="18"/>
                <w:szCs w:val="18"/>
              </w:rPr>
              <w:t>监测对象</w:t>
            </w:r>
          </w:p>
        </w:tc>
        <w:tc>
          <w:tcPr>
            <w:tcW w:w="1027" w:type="pct"/>
            <w:tcBorders>
              <w:top w:val="single" w:color="auto" w:sz="4" w:space="0"/>
              <w:left w:val="nil"/>
              <w:bottom w:val="single" w:color="auto" w:sz="4" w:space="0"/>
              <w:right w:val="single" w:color="auto" w:sz="4" w:space="0"/>
            </w:tcBorders>
            <w:vAlign w:val="center"/>
          </w:tcPr>
          <w:p w14:paraId="2FDB8491">
            <w:pPr>
              <w:widowControl/>
              <w:spacing w:beforeLines="0" w:afterLines="0" w:line="240" w:lineRule="auto"/>
              <w:jc w:val="center"/>
              <w:rPr>
                <w:rFonts w:ascii="宋体" w:hAnsi="宋体" w:cs="宋体"/>
                <w:color w:val="000000"/>
                <w:kern w:val="0"/>
                <w:sz w:val="18"/>
                <w:szCs w:val="18"/>
              </w:rPr>
            </w:pPr>
            <w:r>
              <w:rPr>
                <w:rFonts w:hint="eastAsia" w:ascii="宋体" w:hAnsi="宋体" w:cs="宋体"/>
                <w:color w:val="000000"/>
                <w:kern w:val="0"/>
                <w:sz w:val="18"/>
                <w:szCs w:val="18"/>
              </w:rPr>
              <w:t>监测指标</w:t>
            </w:r>
          </w:p>
        </w:tc>
        <w:tc>
          <w:tcPr>
            <w:tcW w:w="3108" w:type="pct"/>
            <w:tcBorders>
              <w:top w:val="single" w:color="auto" w:sz="4" w:space="0"/>
              <w:left w:val="nil"/>
              <w:bottom w:val="single" w:color="auto" w:sz="4" w:space="0"/>
              <w:right w:val="single" w:color="auto" w:sz="4" w:space="0"/>
            </w:tcBorders>
            <w:vAlign w:val="center"/>
          </w:tcPr>
          <w:p w14:paraId="38F5882B">
            <w:pPr>
              <w:widowControl/>
              <w:spacing w:beforeLines="0" w:afterLines="0" w:line="240" w:lineRule="auto"/>
              <w:jc w:val="center"/>
              <w:rPr>
                <w:rFonts w:ascii="宋体" w:hAnsi="宋体" w:cs="宋体"/>
                <w:color w:val="000000"/>
                <w:kern w:val="0"/>
                <w:sz w:val="18"/>
                <w:szCs w:val="18"/>
              </w:rPr>
            </w:pPr>
            <w:r>
              <w:rPr>
                <w:rFonts w:hint="eastAsia" w:ascii="宋体" w:hAnsi="宋体" w:cs="宋体"/>
                <w:color w:val="000000"/>
                <w:kern w:val="0"/>
                <w:sz w:val="18"/>
                <w:szCs w:val="18"/>
              </w:rPr>
              <w:t>监测设备</w:t>
            </w:r>
            <w:r>
              <w:rPr>
                <w:rFonts w:hint="eastAsia" w:ascii="宋体" w:hAnsi="宋体" w:cs="宋体"/>
                <w:color w:val="000000"/>
                <w:kern w:val="0"/>
                <w:sz w:val="18"/>
                <w:szCs w:val="18"/>
                <w:lang w:val="en-US" w:eastAsia="zh-CN"/>
              </w:rPr>
              <w:t>性能</w:t>
            </w:r>
            <w:r>
              <w:rPr>
                <w:rFonts w:hint="eastAsia" w:ascii="宋体" w:hAnsi="宋体" w:cs="宋体"/>
                <w:color w:val="000000"/>
                <w:kern w:val="0"/>
                <w:sz w:val="18"/>
                <w:szCs w:val="18"/>
              </w:rPr>
              <w:t>要求</w:t>
            </w:r>
          </w:p>
        </w:tc>
      </w:tr>
      <w:tr w14:paraId="0EE37F75">
        <w:tblPrEx>
          <w:tblCellMar>
            <w:top w:w="0" w:type="dxa"/>
            <w:left w:w="108" w:type="dxa"/>
            <w:bottom w:w="0" w:type="dxa"/>
            <w:right w:w="108" w:type="dxa"/>
          </w:tblCellMar>
        </w:tblPrEx>
        <w:trPr>
          <w:trHeight w:val="1815" w:hRule="atLeast"/>
        </w:trPr>
        <w:tc>
          <w:tcPr>
            <w:tcW w:w="864" w:type="pct"/>
            <w:vMerge w:val="restart"/>
            <w:tcBorders>
              <w:top w:val="nil"/>
              <w:left w:val="single" w:color="auto" w:sz="4" w:space="0"/>
              <w:right w:val="single" w:color="auto" w:sz="4" w:space="0"/>
            </w:tcBorders>
            <w:vAlign w:val="center"/>
          </w:tcPr>
          <w:p w14:paraId="39FBFE1E">
            <w:pPr>
              <w:widowControl/>
              <w:spacing w:beforeLines="0" w:afterLines="0" w:line="240" w:lineRule="auto"/>
              <w:jc w:val="center"/>
              <w:rPr>
                <w:rFonts w:ascii="宋体" w:hAnsi="宋体" w:cs="宋体"/>
                <w:color w:val="000000"/>
                <w:kern w:val="0"/>
                <w:sz w:val="18"/>
                <w:szCs w:val="18"/>
              </w:rPr>
            </w:pPr>
            <w:r>
              <w:rPr>
                <w:rFonts w:hint="eastAsia" w:ascii="宋体" w:hAnsi="宋体" w:cs="宋体"/>
                <w:color w:val="000000"/>
                <w:kern w:val="0"/>
                <w:sz w:val="18"/>
                <w:szCs w:val="18"/>
              </w:rPr>
              <w:t>燃气厂站</w:t>
            </w:r>
          </w:p>
        </w:tc>
        <w:tc>
          <w:tcPr>
            <w:tcW w:w="1027" w:type="pct"/>
            <w:tcBorders>
              <w:top w:val="nil"/>
              <w:left w:val="nil"/>
              <w:bottom w:val="single" w:color="auto" w:sz="4" w:space="0"/>
              <w:right w:val="single" w:color="auto" w:sz="4" w:space="0"/>
            </w:tcBorders>
            <w:vAlign w:val="center"/>
          </w:tcPr>
          <w:p w14:paraId="54298108">
            <w:pPr>
              <w:widowControl/>
              <w:spacing w:beforeLines="0" w:afterLines="0" w:line="240" w:lineRule="auto"/>
              <w:jc w:val="center"/>
              <w:rPr>
                <w:rFonts w:ascii="宋体" w:hAnsi="宋体" w:cs="宋体"/>
                <w:color w:val="000000"/>
                <w:kern w:val="0"/>
                <w:sz w:val="18"/>
                <w:szCs w:val="18"/>
              </w:rPr>
            </w:pPr>
            <w:r>
              <w:rPr>
                <w:rFonts w:hint="eastAsia" w:ascii="宋体" w:hAnsi="宋体" w:cs="宋体"/>
                <w:color w:val="000000"/>
                <w:kern w:val="0"/>
                <w:sz w:val="18"/>
                <w:szCs w:val="18"/>
              </w:rPr>
              <w:t>可燃气体浓度</w:t>
            </w:r>
          </w:p>
        </w:tc>
        <w:tc>
          <w:tcPr>
            <w:tcW w:w="3108" w:type="pct"/>
            <w:tcBorders>
              <w:top w:val="nil"/>
              <w:left w:val="nil"/>
              <w:bottom w:val="single" w:color="auto" w:sz="4" w:space="0"/>
              <w:right w:val="single" w:color="auto" w:sz="4" w:space="0"/>
            </w:tcBorders>
            <w:vAlign w:val="center"/>
          </w:tcPr>
          <w:p w14:paraId="4BD85B0C">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1.</w:t>
            </w:r>
            <w:r>
              <w:rPr>
                <w:rFonts w:hint="eastAsia" w:ascii="宋体" w:hAnsi="宋体" w:cs="宋体"/>
                <w:color w:val="000000"/>
                <w:kern w:val="0"/>
                <w:sz w:val="18"/>
                <w:szCs w:val="18"/>
              </w:rPr>
              <w:t>量程：0%LEL</w:t>
            </w:r>
            <w:r>
              <w:rPr>
                <w:rFonts w:hint="eastAsia" w:ascii="宋体" w:hAnsi="宋体" w:eastAsia="宋体" w:cs="宋体"/>
                <w:color w:val="000000"/>
                <w:kern w:val="0"/>
                <w:sz w:val="18"/>
                <w:szCs w:val="18"/>
                <w:lang w:val="en-US" w:eastAsia="zh-CN"/>
              </w:rPr>
              <w:t>～</w:t>
            </w:r>
            <w:r>
              <w:rPr>
                <w:rFonts w:hint="eastAsia" w:ascii="宋体" w:hAnsi="宋体" w:cs="宋体"/>
                <w:color w:val="000000"/>
                <w:kern w:val="0"/>
                <w:sz w:val="18"/>
                <w:szCs w:val="18"/>
              </w:rPr>
              <w:t>100%LEL</w:t>
            </w:r>
          </w:p>
          <w:p w14:paraId="4583F276">
            <w:pPr>
              <w:widowControl/>
              <w:spacing w:beforeLines="0" w:afterLines="0" w:line="240" w:lineRule="auto"/>
              <w:jc w:val="left"/>
              <w:rPr>
                <w:rFonts w:hint="eastAsia" w:ascii="宋体" w:hAnsi="宋体" w:cs="宋体"/>
                <w:color w:val="000000"/>
                <w:kern w:val="0"/>
                <w:sz w:val="18"/>
                <w:szCs w:val="18"/>
              </w:rPr>
            </w:pPr>
            <w:r>
              <w:rPr>
                <w:rFonts w:hint="eastAsia" w:ascii="宋体" w:hAnsi="宋体" w:cs="宋体"/>
                <w:color w:val="000000"/>
                <w:kern w:val="0"/>
                <w:sz w:val="18"/>
                <w:szCs w:val="18"/>
              </w:rPr>
              <w:t>2.精度：±5%LEL</w:t>
            </w:r>
          </w:p>
          <w:p w14:paraId="558CECC8">
            <w:pPr>
              <w:widowControl/>
              <w:spacing w:beforeLines="0" w:afterLines="0" w:line="240" w:lineRule="auto"/>
              <w:jc w:val="left"/>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3.分辨率：1</w:t>
            </w:r>
            <w:r>
              <w:rPr>
                <w:rFonts w:hint="eastAsia" w:ascii="宋体" w:hAnsi="宋体" w:cs="宋体"/>
                <w:color w:val="000000"/>
                <w:kern w:val="0"/>
                <w:sz w:val="18"/>
                <w:szCs w:val="18"/>
              </w:rPr>
              <w:t>%LEL</w:t>
            </w:r>
          </w:p>
          <w:p w14:paraId="759E9633">
            <w:pPr>
              <w:widowControl/>
              <w:spacing w:beforeLines="0" w:afterLines="0" w:line="240" w:lineRule="auto"/>
              <w:jc w:val="left"/>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4.响应时间：</w:t>
            </w:r>
            <w:r>
              <w:rPr>
                <w:rFonts w:hint="eastAsia" w:ascii="宋体" w:hAnsi="宋体" w:cs="宋体"/>
                <w:color w:val="000000"/>
                <w:kern w:val="0"/>
                <w:sz w:val="18"/>
                <w:szCs w:val="18"/>
              </w:rPr>
              <w:t>≤</w:t>
            </w:r>
            <w:r>
              <w:rPr>
                <w:rFonts w:hint="eastAsia" w:ascii="宋体" w:hAnsi="宋体" w:cs="宋体"/>
                <w:color w:val="000000"/>
                <w:kern w:val="0"/>
                <w:sz w:val="18"/>
                <w:szCs w:val="18"/>
                <w:lang w:val="en-US" w:eastAsia="zh-CN"/>
              </w:rPr>
              <w:t>30s</w:t>
            </w:r>
          </w:p>
          <w:p w14:paraId="09897060">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5.工作温度：不低于-20</w:t>
            </w:r>
            <w:r>
              <w:rPr>
                <w:rFonts w:hint="eastAsia" w:ascii="宋体" w:hAnsi="宋体" w:eastAsia="宋体" w:cs="宋体"/>
                <w:color w:val="000000"/>
                <w:kern w:val="0"/>
                <w:sz w:val="18"/>
                <w:szCs w:val="18"/>
                <w:lang w:val="en-US" w:eastAsia="zh-CN"/>
              </w:rPr>
              <w:t>～</w:t>
            </w:r>
            <w:r>
              <w:rPr>
                <w:rFonts w:hint="eastAsia" w:ascii="宋体" w:hAnsi="宋体" w:cs="宋体"/>
                <w:color w:val="000000"/>
                <w:kern w:val="0"/>
                <w:sz w:val="18"/>
                <w:szCs w:val="18"/>
                <w:lang w:val="en-US" w:eastAsia="zh-CN"/>
              </w:rPr>
              <w:t>55℃</w:t>
            </w:r>
          </w:p>
          <w:p w14:paraId="784DC7F3">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6</w:t>
            </w:r>
            <w:r>
              <w:rPr>
                <w:rFonts w:hint="eastAsia" w:ascii="宋体" w:hAnsi="宋体" w:cs="宋体"/>
                <w:color w:val="000000"/>
                <w:kern w:val="0"/>
                <w:sz w:val="18"/>
                <w:szCs w:val="18"/>
              </w:rPr>
              <w:t>.防护等级：</w:t>
            </w:r>
            <w:r>
              <w:rPr>
                <w:rFonts w:hint="eastAsia" w:ascii="宋体" w:hAnsi="宋体" w:cs="宋体"/>
                <w:color w:val="000000"/>
                <w:kern w:val="0"/>
                <w:sz w:val="18"/>
                <w:szCs w:val="18"/>
                <w:lang w:val="en-US" w:eastAsia="zh-CN"/>
              </w:rPr>
              <w:t>不低于</w:t>
            </w:r>
            <w:r>
              <w:rPr>
                <w:rFonts w:hint="eastAsia" w:ascii="宋体" w:hAnsi="宋体" w:cs="宋体"/>
                <w:color w:val="000000"/>
                <w:kern w:val="0"/>
                <w:sz w:val="18"/>
                <w:szCs w:val="18"/>
              </w:rPr>
              <w:t>IP6</w:t>
            </w:r>
            <w:r>
              <w:rPr>
                <w:rFonts w:hint="eastAsia" w:ascii="宋体" w:hAnsi="宋体" w:cs="宋体"/>
                <w:color w:val="000000"/>
                <w:kern w:val="0"/>
                <w:sz w:val="18"/>
                <w:szCs w:val="18"/>
                <w:lang w:val="en-US" w:eastAsia="zh-CN"/>
              </w:rPr>
              <w:t>5</w:t>
            </w:r>
          </w:p>
          <w:p w14:paraId="00D20207">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7</w:t>
            </w:r>
            <w:r>
              <w:rPr>
                <w:rFonts w:hint="eastAsia" w:ascii="宋体" w:hAnsi="宋体" w:cs="宋体"/>
                <w:color w:val="000000"/>
                <w:kern w:val="0"/>
                <w:sz w:val="18"/>
                <w:szCs w:val="18"/>
              </w:rPr>
              <w:t>.数据采集频率：实时</w:t>
            </w:r>
          </w:p>
          <w:p w14:paraId="37D3260A">
            <w:pPr>
              <w:widowControl/>
              <w:spacing w:beforeLines="0" w:afterLines="0" w:line="240" w:lineRule="auto"/>
              <w:jc w:val="left"/>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8</w:t>
            </w:r>
            <w:r>
              <w:rPr>
                <w:rFonts w:hint="eastAsia" w:ascii="宋体" w:hAnsi="宋体" w:cs="宋体"/>
                <w:color w:val="000000"/>
                <w:kern w:val="0"/>
                <w:sz w:val="18"/>
                <w:szCs w:val="18"/>
              </w:rPr>
              <w:t>.数据上传频率：不低于5次/min（可设置），事故状态自动实时传输</w:t>
            </w:r>
          </w:p>
          <w:p w14:paraId="75B398B7">
            <w:pPr>
              <w:widowControl/>
              <w:spacing w:beforeLines="0" w:afterLines="0" w:line="240" w:lineRule="auto"/>
              <w:jc w:val="left"/>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9.满足防爆要求，具备声光报警</w:t>
            </w:r>
          </w:p>
          <w:p w14:paraId="572FAFEF">
            <w:pPr>
              <w:widowControl/>
              <w:spacing w:beforeLines="0" w:afterLines="0" w:line="240" w:lineRule="auto"/>
              <w:jc w:val="left"/>
              <w:rPr>
                <w:rFonts w:ascii="宋体" w:hAnsi="宋体" w:cs="宋体"/>
                <w:color w:val="000000"/>
                <w:kern w:val="0"/>
                <w:sz w:val="18"/>
                <w:szCs w:val="18"/>
              </w:rPr>
            </w:pPr>
            <w:r>
              <w:rPr>
                <w:rFonts w:hint="eastAsia" w:ascii="宋体" w:hAnsi="宋体" w:cs="宋体"/>
                <w:kern w:val="0"/>
                <w:sz w:val="18"/>
                <w:szCs w:val="18"/>
                <w:lang w:val="en-US" w:eastAsia="zh-CN"/>
              </w:rPr>
              <w:t>10.使用寿命：不低于5年</w:t>
            </w:r>
          </w:p>
        </w:tc>
      </w:tr>
      <w:tr w14:paraId="4F434FDB">
        <w:tblPrEx>
          <w:tblCellMar>
            <w:top w:w="0" w:type="dxa"/>
            <w:left w:w="108" w:type="dxa"/>
            <w:bottom w:w="0" w:type="dxa"/>
            <w:right w:w="108" w:type="dxa"/>
          </w:tblCellMar>
        </w:tblPrEx>
        <w:trPr>
          <w:trHeight w:val="1410" w:hRule="atLeast"/>
        </w:trPr>
        <w:tc>
          <w:tcPr>
            <w:tcW w:w="864" w:type="pct"/>
            <w:vMerge w:val="continue"/>
            <w:tcBorders>
              <w:left w:val="single" w:color="auto" w:sz="4" w:space="0"/>
              <w:right w:val="single" w:color="auto" w:sz="4" w:space="0"/>
            </w:tcBorders>
            <w:vAlign w:val="center"/>
          </w:tcPr>
          <w:p w14:paraId="5EB51169">
            <w:pPr>
              <w:widowControl/>
              <w:spacing w:beforeLines="0" w:afterLines="0" w:line="240" w:lineRule="auto"/>
              <w:jc w:val="left"/>
              <w:rPr>
                <w:rFonts w:ascii="宋体" w:hAnsi="宋体" w:cs="宋体"/>
                <w:color w:val="000000"/>
                <w:kern w:val="0"/>
                <w:sz w:val="18"/>
                <w:szCs w:val="18"/>
              </w:rPr>
            </w:pPr>
          </w:p>
        </w:tc>
        <w:tc>
          <w:tcPr>
            <w:tcW w:w="1027" w:type="pct"/>
            <w:tcBorders>
              <w:top w:val="nil"/>
              <w:left w:val="nil"/>
              <w:bottom w:val="single" w:color="auto" w:sz="4" w:space="0"/>
              <w:right w:val="single" w:color="auto" w:sz="4" w:space="0"/>
            </w:tcBorders>
            <w:vAlign w:val="center"/>
          </w:tcPr>
          <w:p w14:paraId="66D05475">
            <w:pPr>
              <w:widowControl/>
              <w:spacing w:beforeLines="0" w:afterLines="0" w:line="240" w:lineRule="auto"/>
              <w:jc w:val="center"/>
              <w:rPr>
                <w:rFonts w:ascii="宋体" w:hAnsi="宋体" w:cs="宋体"/>
                <w:color w:val="000000"/>
                <w:kern w:val="0"/>
                <w:sz w:val="18"/>
                <w:szCs w:val="18"/>
              </w:rPr>
            </w:pPr>
            <w:r>
              <w:rPr>
                <w:rFonts w:hint="eastAsia" w:ascii="宋体" w:hAnsi="宋体" w:cs="宋体"/>
                <w:color w:val="000000"/>
                <w:kern w:val="0"/>
                <w:sz w:val="18"/>
                <w:szCs w:val="18"/>
              </w:rPr>
              <w:t>压力</w:t>
            </w:r>
          </w:p>
        </w:tc>
        <w:tc>
          <w:tcPr>
            <w:tcW w:w="3108" w:type="pct"/>
            <w:tcBorders>
              <w:top w:val="nil"/>
              <w:left w:val="nil"/>
              <w:bottom w:val="single" w:color="auto" w:sz="4" w:space="0"/>
              <w:right w:val="single" w:color="auto" w:sz="4" w:space="0"/>
            </w:tcBorders>
            <w:vAlign w:val="center"/>
          </w:tcPr>
          <w:p w14:paraId="6136B343">
            <w:pPr>
              <w:widowControl/>
              <w:spacing w:beforeLines="0" w:afterLines="0" w:line="240" w:lineRule="auto"/>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1.</w:t>
            </w:r>
            <w:r>
              <w:rPr>
                <w:rFonts w:hint="eastAsia" w:ascii="宋体" w:hAnsi="宋体" w:cs="宋体"/>
                <w:color w:val="000000"/>
                <w:kern w:val="0"/>
                <w:sz w:val="18"/>
                <w:szCs w:val="18"/>
                <w:lang w:val="en-US" w:eastAsia="zh-CN"/>
              </w:rPr>
              <w:t>量程：最大被测压力的1.5</w:t>
            </w:r>
            <w:r>
              <w:rPr>
                <w:rFonts w:hint="eastAsia" w:ascii="宋体" w:hAnsi="宋体" w:eastAsia="宋体" w:cs="宋体"/>
                <w:color w:val="000000"/>
                <w:kern w:val="0"/>
                <w:sz w:val="18"/>
                <w:szCs w:val="18"/>
                <w:lang w:val="en-US" w:eastAsia="zh-CN"/>
              </w:rPr>
              <w:t>～</w:t>
            </w:r>
            <w:r>
              <w:rPr>
                <w:rFonts w:hint="eastAsia" w:ascii="宋体" w:hAnsi="宋体" w:cs="宋体"/>
                <w:color w:val="000000"/>
                <w:kern w:val="0"/>
                <w:sz w:val="18"/>
                <w:szCs w:val="18"/>
                <w:lang w:val="en-US" w:eastAsia="zh-CN"/>
              </w:rPr>
              <w:t>3倍</w:t>
            </w:r>
          </w:p>
          <w:p w14:paraId="066C5754">
            <w:pPr>
              <w:widowControl/>
              <w:spacing w:beforeLines="0" w:afterLines="0" w:line="240" w:lineRule="auto"/>
              <w:jc w:val="left"/>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2.</w:t>
            </w:r>
            <w:r>
              <w:rPr>
                <w:rFonts w:hint="eastAsia" w:ascii="宋体" w:hAnsi="宋体" w:cs="宋体"/>
                <w:color w:val="000000"/>
                <w:kern w:val="0"/>
                <w:sz w:val="18"/>
                <w:szCs w:val="18"/>
              </w:rPr>
              <w:t>探测精度：</w:t>
            </w:r>
            <w:r>
              <w:rPr>
                <w:rFonts w:hint="eastAsia" w:ascii="宋体" w:hAnsi="宋体" w:cs="宋体"/>
                <w:color w:val="000000"/>
                <w:kern w:val="0"/>
                <w:sz w:val="18"/>
                <w:szCs w:val="18"/>
                <w:lang w:val="en-US" w:eastAsia="zh-CN"/>
              </w:rPr>
              <w:t>不低于1级</w:t>
            </w:r>
          </w:p>
          <w:p w14:paraId="67E6BB04">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3.工作温度：不低于-20</w:t>
            </w:r>
            <w:r>
              <w:rPr>
                <w:rFonts w:hint="eastAsia" w:ascii="宋体" w:hAnsi="宋体" w:eastAsia="宋体" w:cs="宋体"/>
                <w:color w:val="000000"/>
                <w:kern w:val="0"/>
                <w:sz w:val="18"/>
                <w:szCs w:val="18"/>
                <w:lang w:val="en-US" w:eastAsia="zh-CN"/>
              </w:rPr>
              <w:t>～</w:t>
            </w:r>
            <w:r>
              <w:rPr>
                <w:rFonts w:hint="eastAsia" w:ascii="宋体" w:hAnsi="宋体" w:cs="宋体"/>
                <w:color w:val="000000"/>
                <w:kern w:val="0"/>
                <w:sz w:val="18"/>
                <w:szCs w:val="18"/>
                <w:lang w:val="en-US" w:eastAsia="zh-CN"/>
              </w:rPr>
              <w:t>55℃</w:t>
            </w:r>
          </w:p>
          <w:p w14:paraId="153050CA">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4</w:t>
            </w:r>
            <w:r>
              <w:rPr>
                <w:rFonts w:hint="eastAsia" w:ascii="宋体" w:hAnsi="宋体" w:cs="宋体"/>
                <w:color w:val="000000"/>
                <w:kern w:val="0"/>
                <w:sz w:val="18"/>
                <w:szCs w:val="18"/>
              </w:rPr>
              <w:t>.防护等级：不低于IP65</w:t>
            </w:r>
          </w:p>
          <w:p w14:paraId="3422628A">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5</w:t>
            </w:r>
            <w:r>
              <w:rPr>
                <w:rFonts w:hint="eastAsia" w:ascii="宋体" w:hAnsi="宋体" w:cs="宋体"/>
                <w:color w:val="000000"/>
                <w:kern w:val="0"/>
                <w:sz w:val="18"/>
                <w:szCs w:val="18"/>
              </w:rPr>
              <w:t>.数据采集频率：实时</w:t>
            </w:r>
          </w:p>
          <w:p w14:paraId="28FF9B1B">
            <w:pPr>
              <w:widowControl/>
              <w:spacing w:beforeLines="0" w:afterLines="0" w:line="240" w:lineRule="auto"/>
              <w:jc w:val="left"/>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6</w:t>
            </w:r>
            <w:r>
              <w:rPr>
                <w:rFonts w:hint="eastAsia" w:ascii="宋体" w:hAnsi="宋体" w:cs="宋体"/>
                <w:color w:val="000000"/>
                <w:kern w:val="0"/>
                <w:sz w:val="18"/>
                <w:szCs w:val="18"/>
              </w:rPr>
              <w:t>.数据上传频率：不低于5次/1min（可设置）</w:t>
            </w:r>
          </w:p>
          <w:p w14:paraId="5AD37B8D">
            <w:pPr>
              <w:widowControl/>
              <w:spacing w:beforeLines="0" w:afterLines="0" w:line="240" w:lineRule="auto"/>
              <w:jc w:val="left"/>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eastAsia="zh-CN"/>
              </w:rPr>
              <w:t>7</w:t>
            </w:r>
            <w:r>
              <w:rPr>
                <w:rFonts w:hint="eastAsia" w:ascii="宋体" w:hAnsi="宋体" w:cs="宋体"/>
                <w:color w:val="000000"/>
                <w:kern w:val="0"/>
                <w:sz w:val="18"/>
                <w:szCs w:val="18"/>
                <w:lang w:val="en-US" w:eastAsia="zh-CN"/>
              </w:rPr>
              <w:t>.满足防爆要求</w:t>
            </w:r>
          </w:p>
          <w:p w14:paraId="47B3BC03">
            <w:pPr>
              <w:widowControl/>
              <w:spacing w:beforeLines="0" w:afterLines="0" w:line="240" w:lineRule="auto"/>
              <w:jc w:val="left"/>
              <w:rPr>
                <w:rFonts w:hint="default"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8.</w:t>
            </w:r>
            <w:r>
              <w:rPr>
                <w:rFonts w:hint="eastAsia" w:ascii="宋体" w:hAnsi="宋体" w:cs="宋体"/>
                <w:kern w:val="0"/>
                <w:sz w:val="18"/>
                <w:szCs w:val="18"/>
                <w:lang w:val="en-US" w:eastAsia="zh-CN"/>
              </w:rPr>
              <w:t>使用寿命：不低于5年</w:t>
            </w:r>
          </w:p>
        </w:tc>
      </w:tr>
      <w:tr w14:paraId="4834993F">
        <w:tblPrEx>
          <w:tblCellMar>
            <w:top w:w="0" w:type="dxa"/>
            <w:left w:w="108" w:type="dxa"/>
            <w:bottom w:w="0" w:type="dxa"/>
            <w:right w:w="108" w:type="dxa"/>
          </w:tblCellMar>
        </w:tblPrEx>
        <w:trPr>
          <w:trHeight w:val="1306" w:hRule="atLeast"/>
        </w:trPr>
        <w:tc>
          <w:tcPr>
            <w:tcW w:w="864" w:type="pct"/>
            <w:vMerge w:val="continue"/>
            <w:tcBorders>
              <w:left w:val="single" w:color="auto" w:sz="4" w:space="0"/>
              <w:right w:val="single" w:color="auto" w:sz="4" w:space="0"/>
            </w:tcBorders>
            <w:vAlign w:val="center"/>
          </w:tcPr>
          <w:p w14:paraId="6B976E3A">
            <w:pPr>
              <w:widowControl/>
              <w:spacing w:beforeLines="0" w:afterLines="0" w:line="240" w:lineRule="auto"/>
              <w:jc w:val="left"/>
              <w:rPr>
                <w:rFonts w:ascii="宋体" w:hAnsi="宋体" w:cs="宋体"/>
                <w:color w:val="000000"/>
                <w:kern w:val="0"/>
                <w:sz w:val="18"/>
                <w:szCs w:val="18"/>
              </w:rPr>
            </w:pPr>
          </w:p>
        </w:tc>
        <w:tc>
          <w:tcPr>
            <w:tcW w:w="1027" w:type="pct"/>
            <w:tcBorders>
              <w:top w:val="nil"/>
              <w:left w:val="nil"/>
              <w:bottom w:val="single" w:color="auto" w:sz="4" w:space="0"/>
              <w:right w:val="single" w:color="auto" w:sz="4" w:space="0"/>
            </w:tcBorders>
            <w:vAlign w:val="center"/>
          </w:tcPr>
          <w:p w14:paraId="208C204C">
            <w:pPr>
              <w:widowControl/>
              <w:spacing w:beforeLines="0" w:afterLines="0" w:line="240" w:lineRule="auto"/>
              <w:jc w:val="center"/>
              <w:rPr>
                <w:rFonts w:ascii="宋体" w:hAnsi="宋体" w:cs="宋体"/>
                <w:color w:val="000000"/>
                <w:kern w:val="0"/>
                <w:sz w:val="18"/>
                <w:szCs w:val="18"/>
              </w:rPr>
            </w:pPr>
            <w:r>
              <w:rPr>
                <w:rFonts w:hint="eastAsia" w:ascii="宋体" w:hAnsi="宋体" w:cs="宋体"/>
                <w:color w:val="000000"/>
                <w:kern w:val="0"/>
                <w:sz w:val="18"/>
                <w:szCs w:val="18"/>
              </w:rPr>
              <w:t>温度</w:t>
            </w:r>
          </w:p>
        </w:tc>
        <w:tc>
          <w:tcPr>
            <w:tcW w:w="3108" w:type="pct"/>
            <w:tcBorders>
              <w:top w:val="nil"/>
              <w:left w:val="nil"/>
              <w:bottom w:val="single" w:color="auto" w:sz="4" w:space="0"/>
              <w:right w:val="single" w:color="auto" w:sz="4" w:space="0"/>
            </w:tcBorders>
            <w:vAlign w:val="center"/>
          </w:tcPr>
          <w:p w14:paraId="3C1D8DAC">
            <w:pPr>
              <w:widowControl/>
              <w:spacing w:beforeLines="0" w:afterLines="0" w:line="240" w:lineRule="auto"/>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1.</w:t>
            </w:r>
            <w:r>
              <w:rPr>
                <w:rFonts w:hint="eastAsia" w:ascii="宋体" w:hAnsi="宋体" w:cs="宋体"/>
                <w:color w:val="000000"/>
                <w:kern w:val="0"/>
                <w:sz w:val="18"/>
                <w:szCs w:val="18"/>
                <w:lang w:val="en-US" w:eastAsia="zh-CN"/>
              </w:rPr>
              <w:t>量程：不低于-40</w:t>
            </w:r>
            <w:r>
              <w:rPr>
                <w:rFonts w:hint="eastAsia" w:ascii="宋体" w:hAnsi="宋体" w:eastAsia="宋体" w:cs="宋体"/>
                <w:color w:val="000000"/>
                <w:kern w:val="0"/>
                <w:sz w:val="18"/>
                <w:szCs w:val="18"/>
                <w:lang w:val="en-US" w:eastAsia="zh-CN"/>
              </w:rPr>
              <w:t>～</w:t>
            </w:r>
            <w:r>
              <w:rPr>
                <w:rFonts w:hint="eastAsia" w:ascii="宋体" w:hAnsi="宋体" w:cs="宋体"/>
                <w:color w:val="000000"/>
                <w:kern w:val="0"/>
                <w:sz w:val="18"/>
                <w:szCs w:val="18"/>
                <w:lang w:val="en-US" w:eastAsia="zh-CN"/>
              </w:rPr>
              <w:t>70℃</w:t>
            </w:r>
          </w:p>
          <w:p w14:paraId="2C3CCC2F">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2.</w:t>
            </w:r>
            <w:r>
              <w:rPr>
                <w:rFonts w:hint="eastAsia" w:ascii="宋体" w:hAnsi="宋体" w:cs="宋体"/>
                <w:color w:val="000000"/>
                <w:kern w:val="0"/>
                <w:sz w:val="18"/>
                <w:szCs w:val="18"/>
              </w:rPr>
              <w:t>探测精度：±0.5%FS；</w:t>
            </w:r>
          </w:p>
          <w:p w14:paraId="5BBFE6D4">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3</w:t>
            </w:r>
            <w:r>
              <w:rPr>
                <w:rFonts w:hint="eastAsia" w:ascii="宋体" w:hAnsi="宋体" w:cs="宋体"/>
                <w:color w:val="000000"/>
                <w:kern w:val="0"/>
                <w:sz w:val="18"/>
                <w:szCs w:val="18"/>
              </w:rPr>
              <w:t>.防护等级：不低于IP65</w:t>
            </w:r>
          </w:p>
          <w:p w14:paraId="47DE7675">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4</w:t>
            </w:r>
            <w:r>
              <w:rPr>
                <w:rFonts w:hint="eastAsia" w:ascii="宋体" w:hAnsi="宋体" w:cs="宋体"/>
                <w:color w:val="000000"/>
                <w:kern w:val="0"/>
                <w:sz w:val="18"/>
                <w:szCs w:val="18"/>
              </w:rPr>
              <w:t>.数据采集频率：不低于5次/1min（可设置）</w:t>
            </w:r>
          </w:p>
          <w:p w14:paraId="0661C557">
            <w:pPr>
              <w:widowControl/>
              <w:spacing w:beforeLines="0" w:afterLines="0" w:line="240" w:lineRule="auto"/>
              <w:jc w:val="left"/>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5</w:t>
            </w:r>
            <w:r>
              <w:rPr>
                <w:rFonts w:hint="eastAsia" w:ascii="宋体" w:hAnsi="宋体" w:cs="宋体"/>
                <w:color w:val="000000"/>
                <w:kern w:val="0"/>
                <w:sz w:val="18"/>
                <w:szCs w:val="18"/>
              </w:rPr>
              <w:t>.数据上传频率：不低于5次/1min（可设置）</w:t>
            </w:r>
          </w:p>
          <w:p w14:paraId="6667B08C">
            <w:pPr>
              <w:widowControl/>
              <w:spacing w:beforeLines="0" w:afterLines="0" w:line="240" w:lineRule="auto"/>
              <w:jc w:val="left"/>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6.满足防爆要求</w:t>
            </w:r>
          </w:p>
          <w:p w14:paraId="2AA4B8FA">
            <w:pPr>
              <w:widowControl/>
              <w:spacing w:beforeLines="0" w:afterLines="0" w:line="240" w:lineRule="auto"/>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7.</w:t>
            </w:r>
            <w:r>
              <w:rPr>
                <w:rFonts w:hint="eastAsia" w:ascii="宋体" w:hAnsi="宋体" w:cs="宋体"/>
                <w:kern w:val="0"/>
                <w:sz w:val="18"/>
                <w:szCs w:val="18"/>
                <w:lang w:val="en-US" w:eastAsia="zh-CN"/>
              </w:rPr>
              <w:t>使用寿命：不低于5年</w:t>
            </w:r>
          </w:p>
        </w:tc>
      </w:tr>
      <w:tr w14:paraId="3FA8FE8B">
        <w:tblPrEx>
          <w:tblCellMar>
            <w:top w:w="0" w:type="dxa"/>
            <w:left w:w="108" w:type="dxa"/>
            <w:bottom w:w="0" w:type="dxa"/>
            <w:right w:w="108" w:type="dxa"/>
          </w:tblCellMar>
        </w:tblPrEx>
        <w:trPr>
          <w:trHeight w:val="298" w:hRule="atLeast"/>
        </w:trPr>
        <w:tc>
          <w:tcPr>
            <w:tcW w:w="864" w:type="pct"/>
            <w:vMerge w:val="continue"/>
            <w:tcBorders>
              <w:left w:val="single" w:color="auto" w:sz="4" w:space="0"/>
              <w:bottom w:val="single" w:color="auto" w:sz="4" w:space="0"/>
              <w:right w:val="single" w:color="auto" w:sz="4" w:space="0"/>
            </w:tcBorders>
            <w:vAlign w:val="center"/>
          </w:tcPr>
          <w:p w14:paraId="187927C5">
            <w:pPr>
              <w:widowControl/>
              <w:spacing w:beforeLines="0" w:afterLines="0" w:line="240" w:lineRule="auto"/>
              <w:jc w:val="left"/>
              <w:rPr>
                <w:rFonts w:ascii="宋体" w:hAnsi="宋体" w:cs="宋体"/>
                <w:color w:val="000000"/>
                <w:kern w:val="0"/>
                <w:sz w:val="18"/>
                <w:szCs w:val="18"/>
              </w:rPr>
            </w:pPr>
          </w:p>
        </w:tc>
        <w:tc>
          <w:tcPr>
            <w:tcW w:w="1027" w:type="pct"/>
            <w:tcBorders>
              <w:top w:val="nil"/>
              <w:left w:val="nil"/>
              <w:bottom w:val="single" w:color="auto" w:sz="4" w:space="0"/>
              <w:right w:val="single" w:color="auto" w:sz="4" w:space="0"/>
            </w:tcBorders>
            <w:vAlign w:val="center"/>
          </w:tcPr>
          <w:p w14:paraId="3E98B414">
            <w:pPr>
              <w:widowControl/>
              <w:spacing w:beforeLines="0" w:afterLines="0" w:line="240" w:lineRule="auto"/>
              <w:jc w:val="center"/>
              <w:rPr>
                <w:rFonts w:ascii="宋体" w:hAnsi="宋体" w:cs="宋体"/>
                <w:color w:val="000000"/>
                <w:kern w:val="0"/>
                <w:sz w:val="18"/>
                <w:szCs w:val="18"/>
              </w:rPr>
            </w:pPr>
            <w:r>
              <w:rPr>
                <w:rFonts w:hint="eastAsia" w:ascii="宋体" w:hAnsi="宋体" w:cs="宋体"/>
                <w:color w:val="000000"/>
                <w:kern w:val="0"/>
                <w:sz w:val="18"/>
                <w:szCs w:val="18"/>
              </w:rPr>
              <w:t>流量</w:t>
            </w:r>
          </w:p>
        </w:tc>
        <w:tc>
          <w:tcPr>
            <w:tcW w:w="3108" w:type="pct"/>
            <w:tcBorders>
              <w:top w:val="nil"/>
              <w:left w:val="nil"/>
              <w:bottom w:val="single" w:color="auto" w:sz="4" w:space="0"/>
              <w:right w:val="single" w:color="auto" w:sz="4" w:space="0"/>
            </w:tcBorders>
            <w:vAlign w:val="center"/>
          </w:tcPr>
          <w:p w14:paraId="0FABD80E">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1.准确度等级：</w:t>
            </w:r>
            <w:r>
              <w:rPr>
                <w:rFonts w:hint="eastAsia" w:ascii="宋体" w:hAnsi="宋体" w:cs="宋体"/>
                <w:color w:val="000000"/>
                <w:kern w:val="0"/>
                <w:sz w:val="18"/>
                <w:szCs w:val="18"/>
                <w:lang w:val="en-US" w:eastAsia="zh-CN"/>
              </w:rPr>
              <w:t>不低于1.5级</w:t>
            </w:r>
            <w:r>
              <w:rPr>
                <w:rFonts w:hint="eastAsia" w:ascii="宋体" w:hAnsi="宋体" w:cs="宋体"/>
                <w:color w:val="000000"/>
                <w:kern w:val="0"/>
                <w:sz w:val="18"/>
                <w:szCs w:val="18"/>
              </w:rPr>
              <w:t>；</w:t>
            </w:r>
          </w:p>
          <w:p w14:paraId="568B6B92">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2.防护等级：不低于IP54</w:t>
            </w:r>
          </w:p>
          <w:p w14:paraId="69CA6843">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3.数据采集频率：依表型</w:t>
            </w:r>
          </w:p>
          <w:p w14:paraId="56D21D97">
            <w:pPr>
              <w:widowControl/>
              <w:spacing w:beforeLines="0" w:afterLines="0" w:line="240" w:lineRule="auto"/>
              <w:jc w:val="left"/>
              <w:rPr>
                <w:rFonts w:hint="eastAsia" w:ascii="宋体" w:hAnsi="宋体" w:cs="宋体"/>
                <w:color w:val="000000"/>
                <w:kern w:val="0"/>
                <w:sz w:val="18"/>
                <w:szCs w:val="18"/>
              </w:rPr>
            </w:pPr>
            <w:r>
              <w:rPr>
                <w:rFonts w:hint="eastAsia" w:ascii="宋体" w:hAnsi="宋体" w:cs="宋体"/>
                <w:color w:val="000000"/>
                <w:kern w:val="0"/>
                <w:sz w:val="18"/>
                <w:szCs w:val="18"/>
              </w:rPr>
              <w:t>4.数据上传频率：不低于1次/30min</w:t>
            </w:r>
          </w:p>
          <w:p w14:paraId="730DCDA6">
            <w:pPr>
              <w:widowControl/>
              <w:spacing w:beforeLines="0" w:afterLines="0" w:line="240" w:lineRule="auto"/>
              <w:jc w:val="left"/>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5.满足防爆要求</w:t>
            </w:r>
          </w:p>
          <w:p w14:paraId="45A678F2">
            <w:pPr>
              <w:widowControl/>
              <w:spacing w:beforeLines="0" w:afterLines="0" w:line="240" w:lineRule="auto"/>
              <w:jc w:val="left"/>
              <w:rPr>
                <w:rFonts w:ascii="宋体" w:hAnsi="宋体" w:cs="宋体"/>
                <w:color w:val="000000"/>
                <w:kern w:val="0"/>
                <w:sz w:val="18"/>
                <w:szCs w:val="18"/>
              </w:rPr>
            </w:pPr>
            <w:r>
              <w:rPr>
                <w:rFonts w:hint="eastAsia" w:ascii="宋体" w:hAnsi="宋体" w:cs="宋体"/>
                <w:color w:val="000000"/>
                <w:kern w:val="0"/>
                <w:sz w:val="18"/>
                <w:szCs w:val="18"/>
                <w:lang w:val="en-US" w:eastAsia="zh-CN"/>
              </w:rPr>
              <w:t>6.</w:t>
            </w:r>
            <w:r>
              <w:rPr>
                <w:rFonts w:hint="eastAsia" w:ascii="宋体" w:hAnsi="宋体" w:cs="宋体"/>
                <w:kern w:val="0"/>
                <w:sz w:val="18"/>
                <w:szCs w:val="18"/>
                <w:lang w:val="en-US" w:eastAsia="zh-CN"/>
              </w:rPr>
              <w:t>使用寿命：不低于5年</w:t>
            </w:r>
          </w:p>
        </w:tc>
      </w:tr>
      <w:tr w14:paraId="2F24162F">
        <w:tblPrEx>
          <w:tblCellMar>
            <w:top w:w="0" w:type="dxa"/>
            <w:left w:w="108" w:type="dxa"/>
            <w:bottom w:w="0" w:type="dxa"/>
            <w:right w:w="108" w:type="dxa"/>
          </w:tblCellMar>
        </w:tblPrEx>
        <w:trPr>
          <w:trHeight w:val="1513" w:hRule="atLeast"/>
        </w:trPr>
        <w:tc>
          <w:tcPr>
            <w:tcW w:w="864" w:type="pct"/>
            <w:vMerge w:val="restart"/>
            <w:tcBorders>
              <w:top w:val="nil"/>
              <w:left w:val="single" w:color="auto" w:sz="4" w:space="0"/>
              <w:right w:val="single" w:color="auto" w:sz="4" w:space="0"/>
            </w:tcBorders>
            <w:vAlign w:val="center"/>
          </w:tcPr>
          <w:p w14:paraId="53E9D99D">
            <w:pPr>
              <w:widowControl/>
              <w:spacing w:beforeLines="0" w:afterLines="0" w:line="240" w:lineRule="auto"/>
              <w:jc w:val="left"/>
              <w:rPr>
                <w:rFonts w:ascii="宋体" w:hAnsi="宋体" w:cs="宋体"/>
                <w:color w:val="000000"/>
                <w:kern w:val="0"/>
                <w:sz w:val="18"/>
                <w:szCs w:val="18"/>
              </w:rPr>
            </w:pPr>
          </w:p>
        </w:tc>
        <w:tc>
          <w:tcPr>
            <w:tcW w:w="1027" w:type="pct"/>
            <w:tcBorders>
              <w:top w:val="nil"/>
              <w:left w:val="nil"/>
              <w:bottom w:val="single" w:color="auto" w:sz="4" w:space="0"/>
              <w:right w:val="single" w:color="auto" w:sz="4" w:space="0"/>
            </w:tcBorders>
            <w:vAlign w:val="center"/>
          </w:tcPr>
          <w:p w14:paraId="3709D446">
            <w:pPr>
              <w:widowControl/>
              <w:spacing w:beforeLines="0" w:afterLines="0" w:line="240" w:lineRule="auto"/>
              <w:jc w:val="center"/>
              <w:rPr>
                <w:rFonts w:ascii="宋体" w:hAnsi="宋体" w:cs="宋体"/>
                <w:color w:val="000000"/>
                <w:kern w:val="0"/>
                <w:sz w:val="18"/>
                <w:szCs w:val="18"/>
              </w:rPr>
            </w:pPr>
            <w:r>
              <w:rPr>
                <w:rFonts w:hint="eastAsia" w:ascii="宋体" w:hAnsi="宋体" w:cs="宋体"/>
                <w:color w:val="000000"/>
                <w:kern w:val="0"/>
                <w:sz w:val="18"/>
                <w:szCs w:val="18"/>
              </w:rPr>
              <w:t>液位</w:t>
            </w:r>
          </w:p>
        </w:tc>
        <w:tc>
          <w:tcPr>
            <w:tcW w:w="3108" w:type="pct"/>
            <w:tcBorders>
              <w:top w:val="nil"/>
              <w:left w:val="nil"/>
              <w:bottom w:val="single" w:color="auto" w:sz="4" w:space="0"/>
              <w:right w:val="single" w:color="auto" w:sz="4" w:space="0"/>
            </w:tcBorders>
            <w:vAlign w:val="center"/>
          </w:tcPr>
          <w:p w14:paraId="6B293618">
            <w:pPr>
              <w:widowControl/>
              <w:spacing w:beforeLines="0" w:afterLines="0" w:line="240" w:lineRule="auto"/>
              <w:jc w:val="left"/>
              <w:rPr>
                <w:rFonts w:hint="eastAsia" w:ascii="宋体" w:hAnsi="宋体" w:eastAsia="宋体" w:cs="宋体"/>
                <w:color w:val="000000"/>
                <w:kern w:val="0"/>
                <w:sz w:val="18"/>
                <w:szCs w:val="18"/>
                <w:lang w:eastAsia="zh-CN"/>
              </w:rPr>
            </w:pPr>
            <w:r>
              <mc:AlternateContent>
                <mc:Choice Requires="wps">
                  <w:drawing>
                    <wp:anchor distT="0" distB="0" distL="114300" distR="114300" simplePos="0" relativeHeight="251671552" behindDoc="0" locked="0" layoutInCell="1" allowOverlap="1">
                      <wp:simplePos x="0" y="0"/>
                      <wp:positionH relativeFrom="column">
                        <wp:posOffset>1542415</wp:posOffset>
                      </wp:positionH>
                      <wp:positionV relativeFrom="paragraph">
                        <wp:posOffset>-564515</wp:posOffset>
                      </wp:positionV>
                      <wp:extent cx="498475" cy="274955"/>
                      <wp:effectExtent l="0" t="0" r="15875" b="10795"/>
                      <wp:wrapNone/>
                      <wp:docPr id="30" name="文本框 30"/>
                      <wp:cNvGraphicFramePr/>
                      <a:graphic xmlns:a="http://schemas.openxmlformats.org/drawingml/2006/main">
                        <a:graphicData uri="http://schemas.microsoft.com/office/word/2010/wordprocessingShape">
                          <wps:wsp>
                            <wps:cNvSpPr txBox="1"/>
                            <wps:spPr>
                              <a:xfrm>
                                <a:off x="0" y="0"/>
                                <a:ext cx="498475" cy="274955"/>
                              </a:xfrm>
                              <a:prstGeom prst="rect">
                                <a:avLst/>
                              </a:prstGeom>
                              <a:solidFill>
                                <a:srgbClr val="FFFFFF"/>
                              </a:solidFill>
                              <a:ln>
                                <a:noFill/>
                              </a:ln>
                            </wps:spPr>
                            <wps:txbx>
                              <w:txbxContent>
                                <w:p w14:paraId="4EB86EE1">
                                  <w:pPr>
                                    <w:rPr>
                                      <w:rFonts w:hint="eastAsia" w:ascii="黑体" w:hAnsi="黑体" w:eastAsia="黑体" w:cs="黑体"/>
                                    </w:rPr>
                                  </w:pPr>
                                  <w:r>
                                    <w:rPr>
                                      <w:rFonts w:hint="eastAsia" w:ascii="黑体" w:hAnsi="黑体" w:eastAsia="黑体" w:cs="黑体"/>
                                    </w:rPr>
                                    <w:t>（续）</w:t>
                                  </w:r>
                                </w:p>
                              </w:txbxContent>
                            </wps:txbx>
                            <wps:bodyPr lIns="0" tIns="0" rIns="0" bIns="0" anchor="t" anchorCtr="0" upright="1"/>
                          </wps:wsp>
                        </a:graphicData>
                      </a:graphic>
                    </wp:anchor>
                  </w:drawing>
                </mc:Choice>
                <mc:Fallback>
                  <w:pict>
                    <v:shape id="_x0000_s1026" o:spid="_x0000_s1026" o:spt="202" type="#_x0000_t202" style="position:absolute;left:0pt;margin-left:121.45pt;margin-top:-44.45pt;height:21.65pt;width:39.25pt;z-index:251671552;mso-width-relative:page;mso-height-relative:page;" fillcolor="#FFFFFF" filled="t" stroked="f" coordsize="21600,21600" o:gfxdata="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T8c+raAAAACwEAAA8A&#10;AAAAAAAAAQAgAAAAIgAAAGRycy9kb3ducmV2LnhtbFBLAQIUABQAAAAIAIdO4kCPAMmY3AEAALUD&#10;AAAOAAAAAAAAAAEAIAAAACkBAABkcnMvZTJvRG9jLnhtbFBLBQYAAAAABgAGAFkBAAB3BQAAAAA=&#10;">
                      <v:fill on="t" focussize="0,0"/>
                      <v:stroke on="f"/>
                      <v:imagedata o:title=""/>
                      <o:lock v:ext="edit" aspectratio="f"/>
                      <v:textbox inset="0mm,0mm,0mm,0mm">
                        <w:txbxContent>
                          <w:p w14:paraId="4EB86EE1">
                            <w:pPr>
                              <w:rPr>
                                <w:rFonts w:hint="eastAsia" w:ascii="黑体" w:hAnsi="黑体" w:eastAsia="黑体" w:cs="黑体"/>
                              </w:rPr>
                            </w:pPr>
                            <w:r>
                              <w:rPr>
                                <w:rFonts w:hint="eastAsia" w:ascii="黑体" w:hAnsi="黑体" w:eastAsia="黑体" w:cs="黑体"/>
                              </w:rPr>
                              <w:t>（续）</w:t>
                            </w:r>
                          </w:p>
                        </w:txbxContent>
                      </v:textbox>
                    </v:shape>
                  </w:pict>
                </mc:Fallback>
              </mc:AlternateContent>
            </w:r>
            <w:r>
              <w:rPr>
                <w:rFonts w:hint="eastAsia" w:ascii="宋体" w:hAnsi="宋体" w:cs="宋体"/>
                <w:color w:val="000000"/>
                <w:kern w:val="0"/>
                <w:sz w:val="18"/>
                <w:szCs w:val="18"/>
              </w:rPr>
              <w:t>1.报警设定值：超出容积10%-90%区间</w:t>
            </w:r>
          </w:p>
          <w:p w14:paraId="38CB9550">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2.探测精度：±0.1%</w:t>
            </w:r>
          </w:p>
          <w:p w14:paraId="1B14FB6C">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3.防护等级：不低于IP65</w:t>
            </w:r>
          </w:p>
          <w:p w14:paraId="3C3E298A">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4.数据采集频率：实时</w:t>
            </w:r>
          </w:p>
          <w:p w14:paraId="5918B8C5">
            <w:pPr>
              <w:widowControl/>
              <w:spacing w:beforeLines="0" w:afterLines="0" w:line="240" w:lineRule="auto"/>
              <w:jc w:val="left"/>
              <w:rPr>
                <w:rFonts w:hint="eastAsia" w:ascii="宋体" w:hAnsi="宋体" w:cs="宋体"/>
                <w:color w:val="000000"/>
                <w:kern w:val="0"/>
                <w:sz w:val="18"/>
                <w:szCs w:val="18"/>
              </w:rPr>
            </w:pPr>
            <w:r>
              <w:rPr>
                <w:rFonts w:hint="eastAsia" w:ascii="宋体" w:hAnsi="宋体" w:cs="宋体"/>
                <w:color w:val="000000"/>
                <w:kern w:val="0"/>
                <w:sz w:val="18"/>
                <w:szCs w:val="18"/>
              </w:rPr>
              <w:t>5.数据上传频率：不低于5次/1min（可设置）</w:t>
            </w:r>
          </w:p>
          <w:p w14:paraId="4201D5BB">
            <w:pPr>
              <w:widowControl/>
              <w:spacing w:beforeLines="0" w:afterLines="0" w:line="240" w:lineRule="auto"/>
              <w:jc w:val="left"/>
              <w:rPr>
                <w:rFonts w:ascii="宋体" w:hAnsi="宋体" w:cs="宋体"/>
                <w:color w:val="000000"/>
                <w:kern w:val="0"/>
                <w:sz w:val="18"/>
                <w:szCs w:val="18"/>
              </w:rPr>
            </w:pPr>
            <w:r>
              <w:rPr>
                <w:rFonts w:hint="eastAsia" w:ascii="宋体" w:hAnsi="宋体" w:cs="宋体"/>
                <w:color w:val="000000"/>
                <w:kern w:val="0"/>
                <w:sz w:val="18"/>
                <w:szCs w:val="18"/>
                <w:lang w:val="en-US" w:eastAsia="zh-CN"/>
              </w:rPr>
              <w:t>6.</w:t>
            </w:r>
            <w:r>
              <w:rPr>
                <w:rFonts w:hint="eastAsia" w:ascii="宋体" w:hAnsi="宋体" w:cs="宋体"/>
                <w:kern w:val="0"/>
                <w:sz w:val="18"/>
                <w:szCs w:val="18"/>
                <w:lang w:val="en-US" w:eastAsia="zh-CN"/>
              </w:rPr>
              <w:t>使用寿命：不低于5年</w:t>
            </w:r>
          </w:p>
        </w:tc>
      </w:tr>
      <w:tr w14:paraId="3E956FAE">
        <w:tblPrEx>
          <w:tblCellMar>
            <w:top w:w="0" w:type="dxa"/>
            <w:left w:w="108" w:type="dxa"/>
            <w:bottom w:w="0" w:type="dxa"/>
            <w:right w:w="108" w:type="dxa"/>
          </w:tblCellMar>
        </w:tblPrEx>
        <w:trPr>
          <w:trHeight w:val="3219" w:hRule="atLeast"/>
        </w:trPr>
        <w:tc>
          <w:tcPr>
            <w:tcW w:w="864" w:type="pct"/>
            <w:vMerge w:val="continue"/>
            <w:tcBorders>
              <w:left w:val="single" w:color="auto" w:sz="4" w:space="0"/>
              <w:bottom w:val="single" w:color="auto" w:sz="4" w:space="0"/>
              <w:right w:val="single" w:color="auto" w:sz="4" w:space="0"/>
            </w:tcBorders>
            <w:vAlign w:val="center"/>
          </w:tcPr>
          <w:p w14:paraId="4F7DD703">
            <w:pPr>
              <w:widowControl/>
              <w:spacing w:beforeLines="0" w:afterLines="0" w:line="240" w:lineRule="auto"/>
              <w:jc w:val="left"/>
              <w:rPr>
                <w:rFonts w:ascii="宋体" w:hAnsi="宋体" w:cs="宋体"/>
                <w:color w:val="000000"/>
                <w:kern w:val="0"/>
                <w:sz w:val="18"/>
                <w:szCs w:val="18"/>
              </w:rPr>
            </w:pPr>
          </w:p>
        </w:tc>
        <w:tc>
          <w:tcPr>
            <w:tcW w:w="1027" w:type="pct"/>
            <w:tcBorders>
              <w:top w:val="nil"/>
              <w:left w:val="nil"/>
              <w:bottom w:val="single" w:color="auto" w:sz="4" w:space="0"/>
              <w:right w:val="single" w:color="auto" w:sz="4" w:space="0"/>
            </w:tcBorders>
            <w:vAlign w:val="center"/>
          </w:tcPr>
          <w:p w14:paraId="6F5E0FB4">
            <w:pPr>
              <w:widowControl/>
              <w:spacing w:beforeLines="0" w:afterLines="0" w:line="240" w:lineRule="auto"/>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视频监控</w:t>
            </w:r>
          </w:p>
        </w:tc>
        <w:tc>
          <w:tcPr>
            <w:tcW w:w="3108" w:type="pct"/>
            <w:tcBorders>
              <w:top w:val="nil"/>
              <w:left w:val="nil"/>
              <w:bottom w:val="single" w:color="auto" w:sz="4" w:space="0"/>
              <w:right w:val="single" w:color="auto" w:sz="4" w:space="0"/>
            </w:tcBorders>
            <w:vAlign w:val="center"/>
          </w:tcPr>
          <w:p w14:paraId="6CA15A8D">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1.系统应具备图像切换功能，并能根据系统控制摄像机镜头、云台等</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支持360</w:t>
            </w:r>
            <w:r>
              <w:rPr>
                <w:rFonts w:hint="default" w:ascii="Kingsoft UE" w:hAnsi="Kingsoft UE" w:cs="Kingsoft UE"/>
                <w:color w:val="000000"/>
                <w:kern w:val="0"/>
                <w:sz w:val="18"/>
                <w:szCs w:val="18"/>
                <w:lang w:val="en-US" w:eastAsia="zh-CN"/>
              </w:rPr>
              <w:t>∘</w:t>
            </w:r>
            <w:r>
              <w:rPr>
                <w:rFonts w:hint="eastAsia" w:ascii="宋体" w:hAnsi="宋体" w:cs="宋体"/>
                <w:color w:val="000000"/>
                <w:kern w:val="0"/>
                <w:sz w:val="18"/>
                <w:szCs w:val="18"/>
                <w:lang w:val="en-US" w:eastAsia="zh-CN"/>
              </w:rPr>
              <w:t>旋转</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支持20倍以上光学变焦</w:t>
            </w:r>
          </w:p>
          <w:p w14:paraId="477AA466">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2.系统应具有时间、日期的字符叠加、记录和调整功能，字符叠加不应影响图像的监视和记录效果，字符时间与标准时间的误差应在±30</w:t>
            </w:r>
            <w:r>
              <w:rPr>
                <w:rFonts w:hint="eastAsia" w:ascii="宋体" w:hAnsi="宋体" w:cs="宋体"/>
                <w:color w:val="000000"/>
                <w:kern w:val="0"/>
                <w:sz w:val="18"/>
                <w:szCs w:val="18"/>
                <w:lang w:eastAsia="zh-CN"/>
              </w:rPr>
              <w:t>S</w:t>
            </w:r>
            <w:r>
              <w:rPr>
                <w:rFonts w:hint="eastAsia" w:ascii="宋体" w:hAnsi="宋体" w:cs="宋体"/>
                <w:color w:val="000000"/>
                <w:kern w:val="0"/>
                <w:sz w:val="18"/>
                <w:szCs w:val="18"/>
              </w:rPr>
              <w:t>以内</w:t>
            </w:r>
          </w:p>
          <w:p w14:paraId="28561ED9">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3.监控录像水平分辨率不低于1080P</w:t>
            </w:r>
          </w:p>
          <w:p w14:paraId="7F330B61">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4.</w:t>
            </w:r>
            <w:r>
              <w:rPr>
                <w:rFonts w:hint="eastAsia" w:ascii="宋体" w:hAnsi="宋体" w:cs="宋体"/>
                <w:color w:val="000000"/>
                <w:kern w:val="0"/>
                <w:sz w:val="18"/>
                <w:szCs w:val="18"/>
                <w:lang w:eastAsia="zh-CN"/>
              </w:rPr>
              <w:t>视频监控</w:t>
            </w:r>
            <w:r>
              <w:rPr>
                <w:rFonts w:hint="eastAsia" w:ascii="宋体" w:hAnsi="宋体" w:cs="宋体"/>
                <w:color w:val="000000"/>
                <w:kern w:val="0"/>
                <w:sz w:val="18"/>
                <w:szCs w:val="18"/>
              </w:rPr>
              <w:t>系统的备用电源供电时间应满足摄像机和录像设备正常工作24h的需要</w:t>
            </w:r>
          </w:p>
          <w:p w14:paraId="6AC3B0FC">
            <w:pPr>
              <w:widowControl/>
              <w:spacing w:beforeLines="0" w:afterLines="0" w:line="240" w:lineRule="auto"/>
              <w:jc w:val="left"/>
              <w:rPr>
                <w:rFonts w:hint="eastAsia" w:ascii="宋体" w:hAnsi="宋体" w:cs="宋体"/>
                <w:color w:val="000000"/>
                <w:kern w:val="0"/>
                <w:sz w:val="18"/>
                <w:szCs w:val="18"/>
              </w:rPr>
            </w:pPr>
            <w:r>
              <w:rPr>
                <w:rFonts w:hint="eastAsia" w:ascii="宋体" w:hAnsi="宋体" w:cs="宋体"/>
                <w:color w:val="000000"/>
                <w:kern w:val="0"/>
                <w:sz w:val="18"/>
                <w:szCs w:val="18"/>
              </w:rPr>
              <w:t>5.</w:t>
            </w:r>
            <w:r>
              <w:rPr>
                <w:rFonts w:hint="eastAsia" w:ascii="宋体" w:hAnsi="宋体" w:cs="宋体"/>
                <w:color w:val="000000"/>
                <w:kern w:val="0"/>
                <w:sz w:val="18"/>
                <w:szCs w:val="18"/>
                <w:lang w:eastAsia="zh-CN"/>
              </w:rPr>
              <w:t>视频监控</w:t>
            </w:r>
            <w:r>
              <w:rPr>
                <w:rFonts w:hint="eastAsia" w:ascii="宋体" w:hAnsi="宋体" w:cs="宋体"/>
                <w:color w:val="000000"/>
                <w:kern w:val="0"/>
                <w:sz w:val="18"/>
                <w:szCs w:val="18"/>
              </w:rPr>
              <w:t>设备宜具备红外摄像、图像识别等功能，能提供包括远程唤醒在内的多种触发方式</w:t>
            </w:r>
          </w:p>
          <w:p w14:paraId="07441D26">
            <w:pPr>
              <w:widowControl/>
              <w:spacing w:beforeLines="0" w:afterLines="0" w:line="240" w:lineRule="auto"/>
              <w:jc w:val="left"/>
              <w:rPr>
                <w:rFonts w:ascii="宋体" w:hAnsi="宋体" w:cs="宋体"/>
                <w:color w:val="000000"/>
                <w:kern w:val="0"/>
                <w:sz w:val="18"/>
                <w:szCs w:val="18"/>
              </w:rPr>
            </w:pPr>
            <w:r>
              <w:rPr>
                <w:rFonts w:hint="eastAsia" w:ascii="宋体" w:hAnsi="宋体" w:cs="宋体"/>
                <w:color w:val="000000"/>
                <w:kern w:val="0"/>
                <w:sz w:val="18"/>
                <w:szCs w:val="18"/>
                <w:lang w:val="en-US" w:eastAsia="zh-CN"/>
              </w:rPr>
              <w:t>6.</w:t>
            </w:r>
            <w:r>
              <w:rPr>
                <w:rFonts w:hint="eastAsia" w:ascii="宋体" w:hAnsi="宋体" w:cs="宋体"/>
                <w:kern w:val="0"/>
                <w:sz w:val="18"/>
                <w:szCs w:val="18"/>
                <w:lang w:val="en-US" w:eastAsia="zh-CN"/>
              </w:rPr>
              <w:t>使用寿命：不低于5年</w:t>
            </w:r>
          </w:p>
        </w:tc>
      </w:tr>
      <w:tr w14:paraId="69F7E7F1">
        <w:tblPrEx>
          <w:tblCellMar>
            <w:top w:w="0" w:type="dxa"/>
            <w:left w:w="108" w:type="dxa"/>
            <w:bottom w:w="0" w:type="dxa"/>
            <w:right w:w="108" w:type="dxa"/>
          </w:tblCellMar>
        </w:tblPrEx>
        <w:trPr>
          <w:trHeight w:val="2265" w:hRule="atLeast"/>
        </w:trPr>
        <w:tc>
          <w:tcPr>
            <w:tcW w:w="864" w:type="pct"/>
            <w:vMerge w:val="restart"/>
            <w:tcBorders>
              <w:top w:val="nil"/>
              <w:left w:val="single" w:color="auto" w:sz="4" w:space="0"/>
              <w:bottom w:val="single" w:color="auto" w:sz="4" w:space="0"/>
              <w:right w:val="single" w:color="auto" w:sz="4" w:space="0"/>
            </w:tcBorders>
            <w:vAlign w:val="center"/>
          </w:tcPr>
          <w:p w14:paraId="4FF72BFC">
            <w:pPr>
              <w:widowControl/>
              <w:spacing w:beforeLines="0" w:afterLines="0" w:line="240" w:lineRule="auto"/>
              <w:jc w:val="center"/>
              <w:rPr>
                <w:rFonts w:ascii="宋体" w:hAnsi="宋体" w:cs="宋体"/>
                <w:color w:val="000000"/>
                <w:kern w:val="0"/>
                <w:sz w:val="18"/>
                <w:szCs w:val="18"/>
              </w:rPr>
            </w:pPr>
            <w:r>
              <w:rPr>
                <w:rFonts w:hint="eastAsia" w:ascii="宋体" w:hAnsi="宋体" w:cs="宋体"/>
                <w:color w:val="000000"/>
                <w:kern w:val="0"/>
                <w:sz w:val="18"/>
                <w:szCs w:val="18"/>
              </w:rPr>
              <w:t>燃气管道</w:t>
            </w:r>
          </w:p>
        </w:tc>
        <w:tc>
          <w:tcPr>
            <w:tcW w:w="1027" w:type="pct"/>
            <w:tcBorders>
              <w:top w:val="nil"/>
              <w:left w:val="nil"/>
              <w:bottom w:val="single" w:color="auto" w:sz="4" w:space="0"/>
              <w:right w:val="single" w:color="auto" w:sz="4" w:space="0"/>
            </w:tcBorders>
            <w:vAlign w:val="center"/>
          </w:tcPr>
          <w:p w14:paraId="79CF54CC">
            <w:pPr>
              <w:widowControl/>
              <w:spacing w:beforeLines="0" w:afterLines="0" w:line="240" w:lineRule="auto"/>
              <w:jc w:val="center"/>
              <w:rPr>
                <w:rFonts w:ascii="宋体" w:hAnsi="宋体" w:cs="宋体"/>
                <w:color w:val="000000"/>
                <w:kern w:val="0"/>
                <w:sz w:val="18"/>
                <w:szCs w:val="18"/>
              </w:rPr>
            </w:pPr>
            <w:r>
              <w:rPr>
                <w:rFonts w:hint="eastAsia" w:ascii="宋体" w:hAnsi="宋体" w:cs="宋体"/>
                <w:color w:val="000000"/>
                <w:kern w:val="0"/>
                <w:sz w:val="18"/>
                <w:szCs w:val="18"/>
              </w:rPr>
              <w:t>可燃气体浓度</w:t>
            </w:r>
          </w:p>
        </w:tc>
        <w:tc>
          <w:tcPr>
            <w:tcW w:w="3108" w:type="pct"/>
            <w:tcBorders>
              <w:top w:val="nil"/>
              <w:left w:val="nil"/>
              <w:bottom w:val="single" w:color="auto" w:sz="4" w:space="0"/>
              <w:right w:val="single" w:color="auto" w:sz="4" w:space="0"/>
            </w:tcBorders>
            <w:vAlign w:val="center"/>
          </w:tcPr>
          <w:p w14:paraId="643705E3">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1.安装方式：地埋式；</w:t>
            </w:r>
          </w:p>
          <w:p w14:paraId="06D4251E">
            <w:pPr>
              <w:widowControl/>
              <w:spacing w:beforeLines="0" w:afterLines="0" w:line="240" w:lineRule="auto"/>
              <w:jc w:val="left"/>
              <w:rPr>
                <w:rFonts w:hint="eastAsia" w:ascii="宋体" w:hAnsi="宋体" w:eastAsia="宋体" w:cs="宋体"/>
                <w:color w:val="000000"/>
                <w:kern w:val="0"/>
                <w:sz w:val="18"/>
                <w:szCs w:val="18"/>
                <w:highlight w:val="none"/>
                <w:lang w:eastAsia="zh-CN"/>
              </w:rPr>
            </w:pPr>
            <w:r>
              <w:rPr>
                <w:rFonts w:hint="eastAsia" w:ascii="宋体" w:hAnsi="宋体" w:cs="宋体"/>
                <w:color w:val="000000"/>
                <w:kern w:val="0"/>
                <w:sz w:val="18"/>
                <w:szCs w:val="18"/>
              </w:rPr>
              <w:t>2.量程</w:t>
            </w:r>
            <w:r>
              <w:rPr>
                <w:rFonts w:hint="eastAsia" w:ascii="宋体" w:hAnsi="宋体" w:cs="宋体"/>
                <w:color w:val="000000"/>
                <w:kern w:val="0"/>
                <w:sz w:val="18"/>
                <w:szCs w:val="18"/>
                <w:highlight w:val="none"/>
              </w:rPr>
              <w:t>：</w:t>
            </w:r>
            <w:r>
              <w:rPr>
                <w:rFonts w:hint="eastAsia" w:ascii="宋体" w:hAnsi="宋体" w:cs="宋体"/>
                <w:color w:val="000000"/>
                <w:kern w:val="0"/>
                <w:sz w:val="18"/>
                <w:szCs w:val="18"/>
                <w:highlight w:val="none"/>
                <w:lang w:val="en-US" w:eastAsia="zh-CN"/>
              </w:rPr>
              <w:t>不低于</w:t>
            </w:r>
            <w:r>
              <w:rPr>
                <w:rFonts w:hint="eastAsia" w:ascii="宋体" w:hAnsi="宋体" w:cs="宋体"/>
                <w:color w:val="000000"/>
                <w:kern w:val="0"/>
                <w:sz w:val="18"/>
                <w:szCs w:val="18"/>
                <w:highlight w:val="none"/>
              </w:rPr>
              <w:t>0</w:t>
            </w:r>
            <w:r>
              <w:rPr>
                <w:rFonts w:hint="eastAsia" w:ascii="宋体" w:hAnsi="宋体" w:eastAsia="宋体" w:cs="宋体"/>
                <w:color w:val="000000"/>
                <w:kern w:val="0"/>
                <w:sz w:val="18"/>
                <w:szCs w:val="18"/>
                <w:highlight w:val="none"/>
                <w:lang w:val="en-US" w:eastAsia="zh-CN"/>
              </w:rPr>
              <w:t>～</w:t>
            </w:r>
            <w:r>
              <w:rPr>
                <w:rFonts w:hint="eastAsia" w:ascii="宋体" w:hAnsi="宋体" w:cs="宋体"/>
                <w:color w:val="000000"/>
                <w:kern w:val="0"/>
                <w:sz w:val="18"/>
                <w:szCs w:val="18"/>
                <w:highlight w:val="none"/>
                <w:lang w:val="en-US" w:eastAsia="zh-CN"/>
              </w:rPr>
              <w:t>20</w:t>
            </w:r>
            <w:r>
              <w:rPr>
                <w:rFonts w:hint="eastAsia" w:ascii="宋体" w:hAnsi="宋体" w:cs="宋体"/>
                <w:color w:val="000000"/>
                <w:kern w:val="0"/>
                <w:sz w:val="18"/>
                <w:szCs w:val="18"/>
                <w:highlight w:val="none"/>
              </w:rPr>
              <w:t>%</w:t>
            </w:r>
            <w:r>
              <w:rPr>
                <w:rFonts w:hint="eastAsia" w:ascii="宋体" w:hAnsi="宋体" w:cs="宋体"/>
                <w:color w:val="000000"/>
                <w:kern w:val="0"/>
                <w:sz w:val="18"/>
                <w:szCs w:val="18"/>
                <w:highlight w:val="none"/>
                <w:lang w:val="en-US" w:eastAsia="zh-CN"/>
              </w:rPr>
              <w:t>VOL</w:t>
            </w:r>
          </w:p>
          <w:p w14:paraId="161E21BB">
            <w:pPr>
              <w:widowControl/>
              <w:spacing w:beforeLines="0" w:afterLines="0" w:line="240" w:lineRule="auto"/>
              <w:jc w:val="left"/>
              <w:rPr>
                <w:rFonts w:hint="eastAsia" w:ascii="宋体" w:hAnsi="宋体" w:cs="宋体"/>
                <w:color w:val="000000"/>
                <w:kern w:val="0"/>
                <w:sz w:val="18"/>
                <w:szCs w:val="18"/>
              </w:rPr>
            </w:pPr>
            <w:r>
              <w:rPr>
                <w:rFonts w:hint="eastAsia" w:ascii="宋体" w:hAnsi="宋体" w:cs="宋体"/>
                <w:color w:val="000000"/>
                <w:kern w:val="0"/>
                <w:sz w:val="18"/>
                <w:szCs w:val="18"/>
              </w:rPr>
              <w:t>3.探测精度：±0.1%VOL(测量范围在0%VOL</w:t>
            </w:r>
            <w:r>
              <w:rPr>
                <w:rFonts w:hint="eastAsia" w:ascii="宋体" w:hAnsi="宋体" w:eastAsia="宋体" w:cs="宋体"/>
                <w:color w:val="000000"/>
                <w:kern w:val="0"/>
                <w:sz w:val="18"/>
                <w:szCs w:val="18"/>
                <w:lang w:val="en-US" w:eastAsia="zh-CN"/>
              </w:rPr>
              <w:t>～</w:t>
            </w:r>
            <w:r>
              <w:rPr>
                <w:rFonts w:hint="eastAsia" w:ascii="宋体" w:hAnsi="宋体" w:cs="宋体"/>
                <w:color w:val="000000"/>
                <w:kern w:val="0"/>
                <w:sz w:val="18"/>
                <w:szCs w:val="18"/>
              </w:rPr>
              <w:t>1%VOL 之间);真值的±5%(测量范围在1%VOL~20%VOL之间)</w:t>
            </w:r>
          </w:p>
          <w:p w14:paraId="7F5C6693">
            <w:pPr>
              <w:widowControl/>
              <w:spacing w:beforeLines="0" w:afterLines="0" w:line="240" w:lineRule="auto"/>
              <w:jc w:val="left"/>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4.</w:t>
            </w:r>
            <w:r>
              <w:rPr>
                <w:rFonts w:hint="eastAsia" w:ascii="宋体" w:hAnsi="宋体" w:cs="宋体"/>
                <w:color w:val="000000"/>
                <w:kern w:val="0"/>
                <w:sz w:val="18"/>
                <w:szCs w:val="18"/>
              </w:rPr>
              <w:t>分辨率:0.1%VOL</w:t>
            </w:r>
          </w:p>
          <w:p w14:paraId="6D70E393">
            <w:pPr>
              <w:widowControl/>
              <w:spacing w:beforeLines="0" w:afterLines="0" w:line="240" w:lineRule="auto"/>
              <w:jc w:val="left"/>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5.</w:t>
            </w:r>
            <w:r>
              <w:rPr>
                <w:rFonts w:hint="eastAsia" w:ascii="宋体" w:hAnsi="宋体" w:cs="宋体"/>
                <w:color w:val="000000"/>
                <w:kern w:val="0"/>
                <w:sz w:val="18"/>
                <w:szCs w:val="18"/>
              </w:rPr>
              <w:t>工作温度:-40 ℃</w:t>
            </w:r>
            <w:r>
              <w:rPr>
                <w:rFonts w:hint="eastAsia" w:ascii="宋体" w:hAnsi="宋体" w:eastAsia="宋体" w:cs="宋体"/>
                <w:color w:val="000000"/>
                <w:kern w:val="0"/>
                <w:sz w:val="18"/>
                <w:szCs w:val="18"/>
                <w:lang w:val="en-US" w:eastAsia="zh-CN"/>
              </w:rPr>
              <w:t>～</w:t>
            </w:r>
            <w:r>
              <w:rPr>
                <w:rFonts w:hint="eastAsia" w:ascii="宋体" w:hAnsi="宋体" w:cs="宋体"/>
                <w:color w:val="000000"/>
                <w:kern w:val="0"/>
                <w:sz w:val="18"/>
                <w:szCs w:val="18"/>
              </w:rPr>
              <w:t>70 ℃</w:t>
            </w:r>
          </w:p>
          <w:p w14:paraId="681CD2D1">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6.</w:t>
            </w:r>
            <w:r>
              <w:rPr>
                <w:rFonts w:hint="eastAsia" w:ascii="宋体" w:hAnsi="宋体" w:cs="宋体"/>
                <w:color w:val="000000"/>
                <w:kern w:val="0"/>
                <w:sz w:val="18"/>
                <w:szCs w:val="18"/>
              </w:rPr>
              <w:t>防爆等级:不低于 Ex</w:t>
            </w:r>
            <w:r>
              <w:rPr>
                <w:rFonts w:hint="eastAsia" w:ascii="宋体" w:hAnsi="宋体" w:cs="宋体"/>
                <w:color w:val="000000"/>
                <w:kern w:val="0"/>
                <w:sz w:val="18"/>
                <w:szCs w:val="18"/>
                <w:lang w:val="en-US" w:eastAsia="zh-CN"/>
              </w:rPr>
              <w:t xml:space="preserve"> </w:t>
            </w:r>
            <w:r>
              <w:rPr>
                <w:rFonts w:hint="eastAsia" w:ascii="宋体" w:hAnsi="宋体" w:cs="宋体"/>
                <w:color w:val="000000"/>
                <w:kern w:val="0"/>
                <w:sz w:val="18"/>
                <w:szCs w:val="18"/>
              </w:rPr>
              <w:t>ib</w:t>
            </w:r>
            <w:r>
              <w:rPr>
                <w:rFonts w:hint="eastAsia" w:ascii="宋体" w:hAnsi="宋体" w:cs="宋体"/>
                <w:color w:val="000000"/>
                <w:kern w:val="0"/>
                <w:sz w:val="18"/>
                <w:szCs w:val="18"/>
                <w:lang w:val="en-US" w:eastAsia="zh-CN"/>
              </w:rPr>
              <w:t xml:space="preserve"> </w:t>
            </w:r>
            <w:r>
              <w:rPr>
                <w:rFonts w:hint="eastAsia" w:ascii="宋体" w:hAnsi="宋体" w:cs="宋体"/>
                <w:color w:val="000000"/>
                <w:kern w:val="0"/>
                <w:sz w:val="18"/>
                <w:szCs w:val="18"/>
              </w:rPr>
              <w:t>IIB</w:t>
            </w:r>
            <w:r>
              <w:rPr>
                <w:rFonts w:hint="eastAsia" w:ascii="宋体" w:hAnsi="宋体" w:cs="宋体"/>
                <w:color w:val="000000"/>
                <w:kern w:val="0"/>
                <w:sz w:val="18"/>
                <w:szCs w:val="18"/>
                <w:lang w:val="en-US" w:eastAsia="zh-CN"/>
              </w:rPr>
              <w:t xml:space="preserve"> </w:t>
            </w:r>
            <w:r>
              <w:rPr>
                <w:rFonts w:hint="eastAsia" w:ascii="宋体" w:hAnsi="宋体" w:cs="宋体"/>
                <w:color w:val="000000"/>
                <w:kern w:val="0"/>
                <w:sz w:val="18"/>
                <w:szCs w:val="18"/>
              </w:rPr>
              <w:t>T4</w:t>
            </w:r>
            <w:r>
              <w:rPr>
                <w:rFonts w:hint="eastAsia" w:ascii="宋体" w:hAnsi="宋体" w:cs="宋体"/>
                <w:color w:val="000000"/>
                <w:kern w:val="0"/>
                <w:sz w:val="18"/>
                <w:szCs w:val="18"/>
                <w:lang w:val="en-US" w:eastAsia="zh-CN"/>
              </w:rPr>
              <w:t xml:space="preserve"> </w:t>
            </w:r>
            <w:r>
              <w:rPr>
                <w:rFonts w:hint="eastAsia" w:ascii="宋体" w:hAnsi="宋体" w:cs="宋体"/>
                <w:color w:val="000000"/>
                <w:kern w:val="0"/>
                <w:sz w:val="18"/>
                <w:szCs w:val="18"/>
              </w:rPr>
              <w:t>Gb</w:t>
            </w:r>
          </w:p>
          <w:p w14:paraId="5D6F5E40">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7</w:t>
            </w:r>
            <w:r>
              <w:rPr>
                <w:rFonts w:hint="eastAsia" w:ascii="宋体" w:hAnsi="宋体" w:cs="宋体"/>
                <w:color w:val="000000"/>
                <w:kern w:val="0"/>
                <w:sz w:val="18"/>
                <w:szCs w:val="18"/>
              </w:rPr>
              <w:t>.防护等级：</w:t>
            </w:r>
            <w:r>
              <w:rPr>
                <w:rFonts w:hint="eastAsia" w:ascii="宋体" w:hAnsi="宋体" w:cs="宋体"/>
                <w:color w:val="000000"/>
                <w:kern w:val="0"/>
                <w:sz w:val="18"/>
                <w:szCs w:val="18"/>
                <w:lang w:val="en-US" w:eastAsia="zh-CN"/>
              </w:rPr>
              <w:t>地面以下</w:t>
            </w:r>
            <w:r>
              <w:rPr>
                <w:rFonts w:hint="eastAsia" w:ascii="宋体" w:hAnsi="宋体" w:cs="宋体"/>
                <w:color w:val="000000"/>
                <w:kern w:val="0"/>
                <w:sz w:val="18"/>
                <w:szCs w:val="18"/>
              </w:rPr>
              <w:t>IP68</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地面以上不低于IP65</w:t>
            </w:r>
          </w:p>
          <w:p w14:paraId="705FDA8E">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8</w:t>
            </w:r>
            <w:r>
              <w:rPr>
                <w:rFonts w:hint="eastAsia" w:ascii="宋体" w:hAnsi="宋体" w:cs="宋体"/>
                <w:color w:val="000000"/>
                <w:kern w:val="0"/>
                <w:sz w:val="18"/>
                <w:szCs w:val="18"/>
              </w:rPr>
              <w:t>.数据采集频率：不低于1次/30min（可设置）</w:t>
            </w:r>
          </w:p>
          <w:p w14:paraId="5DE9FB3E">
            <w:pPr>
              <w:widowControl/>
              <w:numPr>
                <w:ilvl w:val="-1"/>
                <w:numId w:val="0"/>
              </w:numPr>
              <w:spacing w:beforeLines="0" w:afterLines="0" w:line="240" w:lineRule="auto"/>
              <w:jc w:val="left"/>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9.</w:t>
            </w:r>
            <w:r>
              <w:rPr>
                <w:rFonts w:hint="eastAsia" w:ascii="宋体" w:hAnsi="宋体" w:cs="宋体"/>
                <w:color w:val="000000"/>
                <w:kern w:val="0"/>
                <w:sz w:val="18"/>
                <w:szCs w:val="18"/>
              </w:rPr>
              <w:t>数据上传频率：不低于1次/12h（可设置），事故状态自动实时传输</w:t>
            </w:r>
          </w:p>
          <w:p w14:paraId="44C31DB8">
            <w:pPr>
              <w:widowControl/>
              <w:numPr>
                <w:ilvl w:val="-1"/>
                <w:numId w:val="0"/>
              </w:numPr>
              <w:spacing w:beforeLines="0" w:afterLines="0" w:line="240" w:lineRule="auto"/>
              <w:jc w:val="left"/>
              <w:rPr>
                <w:rFonts w:ascii="宋体" w:hAnsi="宋体" w:cs="宋体"/>
                <w:color w:val="000000"/>
                <w:kern w:val="0"/>
                <w:sz w:val="18"/>
                <w:szCs w:val="18"/>
              </w:rPr>
            </w:pPr>
            <w:r>
              <w:rPr>
                <w:rFonts w:hint="eastAsia" w:ascii="宋体" w:hAnsi="宋体" w:cs="宋体"/>
                <w:color w:val="000000"/>
                <w:kern w:val="0"/>
                <w:sz w:val="18"/>
                <w:szCs w:val="18"/>
                <w:lang w:val="en-US" w:eastAsia="zh-CN"/>
              </w:rPr>
              <w:t>10.</w:t>
            </w:r>
            <w:r>
              <w:rPr>
                <w:rFonts w:hint="eastAsia" w:ascii="宋体" w:hAnsi="宋体" w:cs="宋体"/>
                <w:kern w:val="0"/>
                <w:sz w:val="18"/>
                <w:szCs w:val="18"/>
                <w:lang w:val="en-US" w:eastAsia="zh-CN"/>
              </w:rPr>
              <w:t>使用寿命：不低于5年</w:t>
            </w:r>
          </w:p>
        </w:tc>
      </w:tr>
      <w:tr w14:paraId="0A5AD3C0">
        <w:tblPrEx>
          <w:tblCellMar>
            <w:top w:w="0" w:type="dxa"/>
            <w:left w:w="108" w:type="dxa"/>
            <w:bottom w:w="0" w:type="dxa"/>
            <w:right w:w="108" w:type="dxa"/>
          </w:tblCellMar>
        </w:tblPrEx>
        <w:trPr>
          <w:trHeight w:val="1350" w:hRule="atLeast"/>
        </w:trPr>
        <w:tc>
          <w:tcPr>
            <w:tcW w:w="864" w:type="pct"/>
            <w:vMerge w:val="continue"/>
            <w:tcBorders>
              <w:top w:val="nil"/>
              <w:left w:val="single" w:color="auto" w:sz="4" w:space="0"/>
              <w:bottom w:val="single" w:color="auto" w:sz="4" w:space="0"/>
              <w:right w:val="single" w:color="auto" w:sz="4" w:space="0"/>
            </w:tcBorders>
            <w:vAlign w:val="center"/>
          </w:tcPr>
          <w:p w14:paraId="0A09FD94">
            <w:pPr>
              <w:widowControl/>
              <w:spacing w:beforeLines="0" w:afterLines="0" w:line="240" w:lineRule="auto"/>
              <w:jc w:val="left"/>
              <w:rPr>
                <w:rFonts w:ascii="宋体" w:hAnsi="宋体" w:cs="宋体"/>
                <w:color w:val="000000"/>
                <w:kern w:val="0"/>
                <w:sz w:val="18"/>
                <w:szCs w:val="18"/>
              </w:rPr>
            </w:pPr>
          </w:p>
        </w:tc>
        <w:tc>
          <w:tcPr>
            <w:tcW w:w="1027" w:type="pct"/>
            <w:tcBorders>
              <w:top w:val="nil"/>
              <w:left w:val="nil"/>
              <w:bottom w:val="single" w:color="auto" w:sz="4" w:space="0"/>
              <w:right w:val="single" w:color="auto" w:sz="4" w:space="0"/>
            </w:tcBorders>
            <w:vAlign w:val="center"/>
          </w:tcPr>
          <w:p w14:paraId="565F0990">
            <w:pPr>
              <w:widowControl/>
              <w:spacing w:beforeLines="0" w:afterLines="0" w:line="240" w:lineRule="auto"/>
              <w:jc w:val="center"/>
              <w:rPr>
                <w:rFonts w:ascii="宋体" w:hAnsi="宋体" w:cs="宋体"/>
                <w:color w:val="000000"/>
                <w:kern w:val="0"/>
                <w:sz w:val="18"/>
                <w:szCs w:val="18"/>
              </w:rPr>
            </w:pPr>
            <w:r>
              <w:rPr>
                <w:rFonts w:hint="eastAsia" w:ascii="宋体" w:hAnsi="宋体" w:cs="宋体"/>
                <w:color w:val="000000"/>
                <w:kern w:val="0"/>
                <w:sz w:val="18"/>
                <w:szCs w:val="18"/>
              </w:rPr>
              <w:t>压力</w:t>
            </w:r>
          </w:p>
        </w:tc>
        <w:tc>
          <w:tcPr>
            <w:tcW w:w="3108" w:type="pct"/>
            <w:tcBorders>
              <w:top w:val="nil"/>
              <w:left w:val="nil"/>
              <w:bottom w:val="single" w:color="auto" w:sz="4" w:space="0"/>
              <w:right w:val="single" w:color="auto" w:sz="4" w:space="0"/>
            </w:tcBorders>
            <w:vAlign w:val="center"/>
          </w:tcPr>
          <w:p w14:paraId="33C92978">
            <w:pPr>
              <w:widowControl/>
              <w:spacing w:beforeLines="0" w:afterLines="0" w:line="240" w:lineRule="auto"/>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1.</w:t>
            </w:r>
            <w:r>
              <w:rPr>
                <w:rFonts w:hint="eastAsia" w:ascii="宋体" w:hAnsi="宋体" w:cs="宋体"/>
                <w:color w:val="000000"/>
                <w:kern w:val="0"/>
                <w:sz w:val="18"/>
                <w:szCs w:val="18"/>
                <w:lang w:val="en-US" w:eastAsia="zh-CN"/>
              </w:rPr>
              <w:t>量程：最大被测压力的1.5</w:t>
            </w:r>
            <w:r>
              <w:rPr>
                <w:rFonts w:hint="eastAsia" w:ascii="宋体" w:hAnsi="宋体" w:eastAsia="宋体" w:cs="宋体"/>
                <w:color w:val="000000"/>
                <w:kern w:val="0"/>
                <w:sz w:val="18"/>
                <w:szCs w:val="18"/>
                <w:lang w:val="en-US" w:eastAsia="zh-CN"/>
              </w:rPr>
              <w:t>～</w:t>
            </w:r>
            <w:r>
              <w:rPr>
                <w:rFonts w:hint="eastAsia" w:ascii="宋体" w:hAnsi="宋体" w:cs="宋体"/>
                <w:color w:val="000000"/>
                <w:kern w:val="0"/>
                <w:sz w:val="18"/>
                <w:szCs w:val="18"/>
                <w:lang w:val="en-US" w:eastAsia="zh-CN"/>
              </w:rPr>
              <w:t>3倍</w:t>
            </w:r>
          </w:p>
          <w:p w14:paraId="2CC89E32">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2.</w:t>
            </w:r>
            <w:r>
              <w:rPr>
                <w:rFonts w:hint="eastAsia" w:ascii="宋体" w:hAnsi="宋体" w:cs="宋体"/>
                <w:color w:val="000000"/>
                <w:kern w:val="0"/>
                <w:sz w:val="18"/>
                <w:szCs w:val="18"/>
              </w:rPr>
              <w:t>探测精度：</w:t>
            </w:r>
            <w:r>
              <w:rPr>
                <w:rFonts w:hint="eastAsia" w:ascii="宋体" w:hAnsi="宋体" w:cs="宋体"/>
                <w:color w:val="000000"/>
                <w:kern w:val="0"/>
                <w:sz w:val="18"/>
                <w:szCs w:val="18"/>
                <w:lang w:val="en-US" w:eastAsia="zh-CN"/>
              </w:rPr>
              <w:t>不低于1级</w:t>
            </w:r>
          </w:p>
          <w:p w14:paraId="4F43A7C8">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3</w:t>
            </w:r>
            <w:r>
              <w:rPr>
                <w:rFonts w:hint="eastAsia" w:ascii="宋体" w:hAnsi="宋体" w:cs="宋体"/>
                <w:color w:val="000000"/>
                <w:kern w:val="0"/>
                <w:sz w:val="18"/>
                <w:szCs w:val="18"/>
              </w:rPr>
              <w:t>.防护等级：</w:t>
            </w:r>
            <w:r>
              <w:rPr>
                <w:rFonts w:hint="eastAsia" w:ascii="宋体" w:hAnsi="宋体" w:cs="宋体"/>
                <w:color w:val="000000"/>
                <w:kern w:val="0"/>
                <w:sz w:val="18"/>
                <w:szCs w:val="18"/>
                <w:lang w:val="en-US" w:eastAsia="zh-CN"/>
              </w:rPr>
              <w:t>地面以下</w:t>
            </w:r>
            <w:r>
              <w:rPr>
                <w:rFonts w:hint="eastAsia" w:ascii="宋体" w:hAnsi="宋体" w:cs="宋体"/>
                <w:color w:val="000000"/>
                <w:kern w:val="0"/>
                <w:sz w:val="18"/>
                <w:szCs w:val="18"/>
              </w:rPr>
              <w:t>IP68</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地面以上不低于IP65</w:t>
            </w:r>
          </w:p>
          <w:p w14:paraId="6A032A4A">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4</w:t>
            </w:r>
            <w:r>
              <w:rPr>
                <w:rFonts w:hint="eastAsia" w:ascii="宋体" w:hAnsi="宋体" w:cs="宋体"/>
                <w:color w:val="000000"/>
                <w:kern w:val="0"/>
                <w:sz w:val="18"/>
                <w:szCs w:val="18"/>
              </w:rPr>
              <w:t>.数据采集频率：不低于1次/5min（可设置）</w:t>
            </w:r>
          </w:p>
          <w:p w14:paraId="5717C82C">
            <w:pPr>
              <w:widowControl/>
              <w:spacing w:beforeLines="0" w:afterLines="0" w:line="240" w:lineRule="auto"/>
              <w:jc w:val="left"/>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5</w:t>
            </w:r>
            <w:r>
              <w:rPr>
                <w:rFonts w:hint="eastAsia" w:ascii="宋体" w:hAnsi="宋体" w:cs="宋体"/>
                <w:color w:val="000000"/>
                <w:kern w:val="0"/>
                <w:sz w:val="18"/>
                <w:szCs w:val="18"/>
              </w:rPr>
              <w:t>.数据上传频率：不低于1次/12h（可设置），事故状态自动实时传输</w:t>
            </w:r>
          </w:p>
          <w:p w14:paraId="66773072">
            <w:pPr>
              <w:widowControl/>
              <w:spacing w:beforeLines="0" w:afterLines="0" w:line="240" w:lineRule="auto"/>
              <w:jc w:val="left"/>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6.满足防爆要求</w:t>
            </w:r>
          </w:p>
          <w:p w14:paraId="52EC388E">
            <w:pPr>
              <w:widowControl/>
              <w:spacing w:beforeLines="0" w:afterLines="0" w:line="240" w:lineRule="auto"/>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7.</w:t>
            </w:r>
            <w:r>
              <w:rPr>
                <w:rFonts w:hint="eastAsia" w:ascii="宋体" w:hAnsi="宋体" w:cs="宋体"/>
                <w:kern w:val="0"/>
                <w:sz w:val="18"/>
                <w:szCs w:val="18"/>
                <w:lang w:val="en-US" w:eastAsia="zh-CN"/>
              </w:rPr>
              <w:t>使用寿命：不低于5年</w:t>
            </w:r>
          </w:p>
        </w:tc>
      </w:tr>
      <w:tr w14:paraId="3E763F41">
        <w:tblPrEx>
          <w:tblCellMar>
            <w:top w:w="0" w:type="dxa"/>
            <w:left w:w="108" w:type="dxa"/>
            <w:bottom w:w="0" w:type="dxa"/>
            <w:right w:w="108" w:type="dxa"/>
          </w:tblCellMar>
        </w:tblPrEx>
        <w:trPr>
          <w:trHeight w:val="90" w:hRule="atLeast"/>
        </w:trPr>
        <w:tc>
          <w:tcPr>
            <w:tcW w:w="864" w:type="pct"/>
            <w:vMerge w:val="continue"/>
            <w:tcBorders>
              <w:top w:val="nil"/>
              <w:left w:val="single" w:color="auto" w:sz="4" w:space="0"/>
              <w:bottom w:val="single" w:color="auto" w:sz="4" w:space="0"/>
              <w:right w:val="single" w:color="auto" w:sz="4" w:space="0"/>
            </w:tcBorders>
            <w:vAlign w:val="center"/>
          </w:tcPr>
          <w:p w14:paraId="17AF788A">
            <w:pPr>
              <w:widowControl/>
              <w:spacing w:beforeLines="0" w:afterLines="0" w:line="240" w:lineRule="auto"/>
              <w:jc w:val="left"/>
              <w:rPr>
                <w:rFonts w:ascii="宋体" w:hAnsi="宋体" w:cs="宋体"/>
                <w:color w:val="000000"/>
                <w:kern w:val="0"/>
                <w:sz w:val="18"/>
                <w:szCs w:val="18"/>
              </w:rPr>
            </w:pPr>
          </w:p>
        </w:tc>
        <w:tc>
          <w:tcPr>
            <w:tcW w:w="1027" w:type="pct"/>
            <w:tcBorders>
              <w:top w:val="nil"/>
              <w:left w:val="nil"/>
              <w:bottom w:val="single" w:color="auto" w:sz="4" w:space="0"/>
              <w:right w:val="single" w:color="auto" w:sz="4" w:space="0"/>
            </w:tcBorders>
            <w:vAlign w:val="center"/>
          </w:tcPr>
          <w:p w14:paraId="056F5CCB">
            <w:pPr>
              <w:widowControl/>
              <w:spacing w:beforeLines="0" w:afterLines="0" w:line="240" w:lineRule="auto"/>
              <w:jc w:val="center"/>
              <w:rPr>
                <w:rFonts w:ascii="宋体" w:hAnsi="宋体" w:cs="宋体"/>
                <w:color w:val="000000"/>
                <w:kern w:val="0"/>
                <w:sz w:val="18"/>
                <w:szCs w:val="18"/>
              </w:rPr>
            </w:pPr>
            <w:r>
              <w:rPr>
                <w:rFonts w:hint="eastAsia" w:ascii="宋体" w:hAnsi="宋体" w:cs="宋体"/>
                <w:color w:val="000000"/>
                <w:kern w:val="0"/>
                <w:sz w:val="18"/>
                <w:szCs w:val="18"/>
              </w:rPr>
              <w:t>位移、振动</w:t>
            </w:r>
          </w:p>
        </w:tc>
        <w:tc>
          <w:tcPr>
            <w:tcW w:w="3108" w:type="pct"/>
            <w:tcBorders>
              <w:top w:val="nil"/>
              <w:left w:val="nil"/>
              <w:bottom w:val="single" w:color="auto" w:sz="4" w:space="0"/>
              <w:right w:val="single" w:color="auto" w:sz="4" w:space="0"/>
            </w:tcBorders>
            <w:vAlign w:val="center"/>
          </w:tcPr>
          <w:p w14:paraId="3DCE9582">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1.报警设定值：阈值可设置</w:t>
            </w:r>
          </w:p>
          <w:p w14:paraId="10658CE0">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2.位移探测精度：±0.1%FS</w:t>
            </w:r>
          </w:p>
          <w:p w14:paraId="0451A9D2">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3.振动探测频率：0.5</w:t>
            </w:r>
            <w:r>
              <w:rPr>
                <w:rFonts w:hint="eastAsia" w:ascii="宋体" w:hAnsi="宋体" w:eastAsia="宋体" w:cs="宋体"/>
                <w:color w:val="000000"/>
                <w:kern w:val="0"/>
                <w:sz w:val="18"/>
                <w:szCs w:val="18"/>
                <w:lang w:val="en-US" w:eastAsia="zh-CN"/>
              </w:rPr>
              <w:t>～</w:t>
            </w:r>
            <w:r>
              <w:rPr>
                <w:rFonts w:hint="eastAsia" w:ascii="宋体" w:hAnsi="宋体" w:cs="宋体"/>
                <w:color w:val="000000"/>
                <w:kern w:val="0"/>
                <w:sz w:val="18"/>
                <w:szCs w:val="18"/>
              </w:rPr>
              <w:t>2Hz/1</w:t>
            </w:r>
            <w:r>
              <w:rPr>
                <w:rFonts w:hint="eastAsia" w:ascii="宋体" w:hAnsi="宋体" w:eastAsia="宋体" w:cs="宋体"/>
                <w:color w:val="000000"/>
                <w:kern w:val="0"/>
                <w:sz w:val="18"/>
                <w:szCs w:val="18"/>
                <w:lang w:val="en-US" w:eastAsia="zh-CN"/>
              </w:rPr>
              <w:t>～</w:t>
            </w:r>
            <w:r>
              <w:rPr>
                <w:rFonts w:hint="eastAsia" w:ascii="宋体" w:hAnsi="宋体" w:cs="宋体"/>
                <w:color w:val="000000"/>
                <w:kern w:val="0"/>
                <w:sz w:val="18"/>
                <w:szCs w:val="18"/>
              </w:rPr>
              <w:t>100Hz/1</w:t>
            </w:r>
            <w:r>
              <w:rPr>
                <w:rFonts w:hint="eastAsia" w:ascii="宋体" w:hAnsi="宋体" w:eastAsia="宋体" w:cs="宋体"/>
                <w:color w:val="000000"/>
                <w:kern w:val="0"/>
                <w:sz w:val="18"/>
                <w:szCs w:val="18"/>
                <w:lang w:val="en-US" w:eastAsia="zh-CN"/>
              </w:rPr>
              <w:t>～</w:t>
            </w:r>
            <w:r>
              <w:rPr>
                <w:rFonts w:hint="eastAsia" w:ascii="宋体" w:hAnsi="宋体" w:cs="宋体"/>
                <w:color w:val="000000"/>
                <w:kern w:val="0"/>
                <w:sz w:val="18"/>
                <w:szCs w:val="18"/>
              </w:rPr>
              <w:t>1000Hz</w:t>
            </w:r>
          </w:p>
          <w:p w14:paraId="16F406E4">
            <w:pPr>
              <w:widowControl/>
              <w:spacing w:beforeLines="0" w:afterLines="0" w:line="240" w:lineRule="auto"/>
              <w:jc w:val="left"/>
              <w:rPr>
                <w:rFonts w:hint="eastAsia" w:ascii="宋体" w:hAnsi="宋体" w:cs="宋体"/>
                <w:color w:val="000000"/>
                <w:kern w:val="0"/>
                <w:sz w:val="18"/>
                <w:szCs w:val="18"/>
              </w:rPr>
            </w:pPr>
            <w:r>
              <w:rPr>
                <w:rFonts w:hint="eastAsia" w:ascii="宋体" w:hAnsi="宋体" w:cs="宋体"/>
                <w:color w:val="000000"/>
                <w:kern w:val="0"/>
                <w:sz w:val="18"/>
                <w:szCs w:val="18"/>
              </w:rPr>
              <w:t>4.防护等级：不低于IP20（主机设备）</w:t>
            </w:r>
          </w:p>
          <w:p w14:paraId="136CE751">
            <w:pPr>
              <w:widowControl/>
              <w:spacing w:beforeLines="0" w:afterLines="0" w:line="240" w:lineRule="auto"/>
              <w:jc w:val="left"/>
              <w:rPr>
                <w:rFonts w:hint="eastAsia" w:ascii="宋体" w:hAnsi="宋体" w:eastAsia="宋体" w:cs="宋体"/>
                <w:color w:val="000000"/>
                <w:kern w:val="0"/>
                <w:sz w:val="18"/>
                <w:szCs w:val="18"/>
                <w:lang w:eastAsia="zh-CN"/>
              </w:rPr>
            </w:pPr>
            <w:r>
              <mc:AlternateContent>
                <mc:Choice Requires="wps">
                  <w:drawing>
                    <wp:anchor distT="0" distB="0" distL="114300" distR="114300" simplePos="0" relativeHeight="251672576" behindDoc="0" locked="0" layoutInCell="1" allowOverlap="1">
                      <wp:simplePos x="0" y="0"/>
                      <wp:positionH relativeFrom="column">
                        <wp:posOffset>1520825</wp:posOffset>
                      </wp:positionH>
                      <wp:positionV relativeFrom="paragraph">
                        <wp:posOffset>-564515</wp:posOffset>
                      </wp:positionV>
                      <wp:extent cx="498475" cy="274955"/>
                      <wp:effectExtent l="0" t="0" r="15875" b="10795"/>
                      <wp:wrapNone/>
                      <wp:docPr id="31" name="文本框 31"/>
                      <wp:cNvGraphicFramePr/>
                      <a:graphic xmlns:a="http://schemas.openxmlformats.org/drawingml/2006/main">
                        <a:graphicData uri="http://schemas.microsoft.com/office/word/2010/wordprocessingShape">
                          <wps:wsp>
                            <wps:cNvSpPr txBox="1"/>
                            <wps:spPr>
                              <a:xfrm>
                                <a:off x="0" y="0"/>
                                <a:ext cx="498475" cy="274955"/>
                              </a:xfrm>
                              <a:prstGeom prst="rect">
                                <a:avLst/>
                              </a:prstGeom>
                              <a:solidFill>
                                <a:srgbClr val="FFFFFF"/>
                              </a:solidFill>
                              <a:ln>
                                <a:noFill/>
                              </a:ln>
                            </wps:spPr>
                            <wps:txbx>
                              <w:txbxContent>
                                <w:p w14:paraId="5C20EA2B">
                                  <w:pPr>
                                    <w:rPr>
                                      <w:rFonts w:hint="eastAsia" w:ascii="黑体" w:hAnsi="黑体" w:eastAsia="黑体" w:cs="黑体"/>
                                    </w:rPr>
                                  </w:pPr>
                                  <w:r>
                                    <w:rPr>
                                      <w:rFonts w:hint="eastAsia" w:ascii="黑体" w:hAnsi="黑体" w:eastAsia="黑体" w:cs="黑体"/>
                                    </w:rPr>
                                    <w:t>（续）</w:t>
                                  </w:r>
                                </w:p>
                              </w:txbxContent>
                            </wps:txbx>
                            <wps:bodyPr lIns="0" tIns="0" rIns="0" bIns="0" anchor="t" anchorCtr="0" upright="1"/>
                          </wps:wsp>
                        </a:graphicData>
                      </a:graphic>
                    </wp:anchor>
                  </w:drawing>
                </mc:Choice>
                <mc:Fallback>
                  <w:pict>
                    <v:shape id="_x0000_s1026" o:spid="_x0000_s1026" o:spt="202" type="#_x0000_t202" style="position:absolute;left:0pt;margin-left:119.75pt;margin-top:-44.45pt;height:21.65pt;width:39.25pt;z-index:251672576;mso-width-relative:page;mso-height-relative:page;" fillcolor="#FFFFFF" filled="t" stroked="f" coordsize="21600,21600" o:gfxdata="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IRZP/2gAAAAsBAAAP&#10;AAAAAAAAAAEAIAAAACIAAABkcnMvZG93bnJldi54bWxQSwECFAAUAAAACACHTuJAnIUHOd0BAAC1&#10;AwAADgAAAAAAAAABACAAAAApAQAAZHJzL2Uyb0RvYy54bWxQSwUGAAAAAAYABgBZAQAAeAUAAAAA&#10;">
                      <v:fill on="t" focussize="0,0"/>
                      <v:stroke on="f"/>
                      <v:imagedata o:title=""/>
                      <o:lock v:ext="edit" aspectratio="f"/>
                      <v:textbox inset="0mm,0mm,0mm,0mm">
                        <w:txbxContent>
                          <w:p w14:paraId="5C20EA2B">
                            <w:pPr>
                              <w:rPr>
                                <w:rFonts w:hint="eastAsia" w:ascii="黑体" w:hAnsi="黑体" w:eastAsia="黑体" w:cs="黑体"/>
                              </w:rPr>
                            </w:pPr>
                            <w:r>
                              <w:rPr>
                                <w:rFonts w:hint="eastAsia" w:ascii="黑体" w:hAnsi="黑体" w:eastAsia="黑体" w:cs="黑体"/>
                              </w:rPr>
                              <w:t>（续）</w:t>
                            </w:r>
                          </w:p>
                        </w:txbxContent>
                      </v:textbox>
                    </v:shape>
                  </w:pict>
                </mc:Fallback>
              </mc:AlternateContent>
            </w:r>
            <w:r>
              <w:rPr>
                <w:rFonts w:hint="eastAsia" w:ascii="宋体" w:hAnsi="宋体" w:cs="宋体"/>
                <w:color w:val="000000"/>
                <w:kern w:val="0"/>
                <w:sz w:val="18"/>
                <w:szCs w:val="18"/>
              </w:rPr>
              <w:t>5.数据采集频率：实时</w:t>
            </w:r>
          </w:p>
          <w:p w14:paraId="456E002A">
            <w:pPr>
              <w:widowControl/>
              <w:numPr>
                <w:ilvl w:val="-1"/>
                <w:numId w:val="0"/>
              </w:numPr>
              <w:spacing w:beforeLines="0" w:afterLines="0" w:line="240" w:lineRule="auto"/>
              <w:jc w:val="left"/>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6.</w:t>
            </w:r>
            <w:r>
              <w:rPr>
                <w:rFonts w:hint="eastAsia" w:ascii="宋体" w:hAnsi="宋体" w:cs="宋体"/>
                <w:color w:val="000000"/>
                <w:kern w:val="0"/>
                <w:sz w:val="18"/>
                <w:szCs w:val="18"/>
              </w:rPr>
              <w:t>数据上传频率：不低于1次/12h（可设置），事故状态自动实时传输</w:t>
            </w:r>
          </w:p>
          <w:p w14:paraId="35EF2070">
            <w:pPr>
              <w:widowControl/>
              <w:numPr>
                <w:ilvl w:val="-1"/>
                <w:numId w:val="0"/>
              </w:numPr>
              <w:spacing w:beforeLines="0" w:afterLines="0" w:line="240" w:lineRule="auto"/>
              <w:jc w:val="left"/>
              <w:rPr>
                <w:rFonts w:ascii="宋体" w:hAnsi="宋体" w:cs="宋体"/>
                <w:color w:val="000000"/>
                <w:kern w:val="0"/>
                <w:sz w:val="18"/>
                <w:szCs w:val="18"/>
              </w:rPr>
            </w:pPr>
            <w:r>
              <w:rPr>
                <w:rFonts w:hint="eastAsia" w:ascii="宋体" w:hAnsi="宋体" w:cs="宋体"/>
                <w:kern w:val="0"/>
                <w:sz w:val="18"/>
                <w:szCs w:val="18"/>
                <w:lang w:val="en-US" w:eastAsia="zh-CN"/>
              </w:rPr>
              <w:t>7.使用寿命：不低于5年</w:t>
            </w:r>
          </w:p>
        </w:tc>
      </w:tr>
      <w:tr w14:paraId="7B0276CE">
        <w:tblPrEx>
          <w:tblCellMar>
            <w:top w:w="0" w:type="dxa"/>
            <w:left w:w="108" w:type="dxa"/>
            <w:bottom w:w="0" w:type="dxa"/>
            <w:right w:w="108" w:type="dxa"/>
          </w:tblCellMar>
        </w:tblPrEx>
        <w:trPr>
          <w:trHeight w:val="5490" w:hRule="atLeast"/>
        </w:trPr>
        <w:tc>
          <w:tcPr>
            <w:tcW w:w="864" w:type="pct"/>
            <w:vMerge w:val="continue"/>
            <w:tcBorders>
              <w:top w:val="nil"/>
              <w:left w:val="single" w:color="auto" w:sz="4" w:space="0"/>
              <w:bottom w:val="single" w:color="auto" w:sz="4" w:space="0"/>
              <w:right w:val="single" w:color="auto" w:sz="4" w:space="0"/>
            </w:tcBorders>
            <w:vAlign w:val="center"/>
          </w:tcPr>
          <w:p w14:paraId="497137EA">
            <w:pPr>
              <w:widowControl/>
              <w:spacing w:beforeLines="0" w:afterLines="0" w:line="240" w:lineRule="auto"/>
              <w:jc w:val="left"/>
              <w:rPr>
                <w:rFonts w:ascii="宋体" w:hAnsi="宋体" w:cs="宋体"/>
                <w:color w:val="000000"/>
                <w:kern w:val="0"/>
                <w:sz w:val="18"/>
                <w:szCs w:val="18"/>
              </w:rPr>
            </w:pPr>
          </w:p>
        </w:tc>
        <w:tc>
          <w:tcPr>
            <w:tcW w:w="1027" w:type="pct"/>
            <w:tcBorders>
              <w:top w:val="nil"/>
              <w:left w:val="nil"/>
              <w:bottom w:val="single" w:color="auto" w:sz="4" w:space="0"/>
              <w:right w:val="single" w:color="auto" w:sz="4" w:space="0"/>
            </w:tcBorders>
            <w:vAlign w:val="center"/>
          </w:tcPr>
          <w:p w14:paraId="0848C9D7">
            <w:pPr>
              <w:widowControl/>
              <w:spacing w:beforeLines="0" w:afterLines="0" w:line="240" w:lineRule="auto"/>
              <w:jc w:val="center"/>
              <w:rPr>
                <w:rFonts w:ascii="宋体" w:hAnsi="宋体" w:cs="宋体"/>
                <w:color w:val="000000"/>
                <w:kern w:val="0"/>
                <w:sz w:val="18"/>
                <w:szCs w:val="18"/>
              </w:rPr>
            </w:pPr>
            <w:r>
              <w:rPr>
                <w:rFonts w:hint="eastAsia" w:ascii="宋体" w:hAnsi="宋体" w:cs="宋体"/>
                <w:color w:val="000000"/>
                <w:kern w:val="0"/>
                <w:sz w:val="18"/>
                <w:szCs w:val="18"/>
              </w:rPr>
              <w:t>管道电位（钢质管道）</w:t>
            </w:r>
          </w:p>
        </w:tc>
        <w:tc>
          <w:tcPr>
            <w:tcW w:w="3108" w:type="pct"/>
            <w:tcBorders>
              <w:top w:val="nil"/>
              <w:left w:val="nil"/>
              <w:bottom w:val="single" w:color="auto" w:sz="4" w:space="0"/>
              <w:right w:val="single" w:color="auto" w:sz="4" w:space="0"/>
            </w:tcBorders>
            <w:vAlign w:val="center"/>
          </w:tcPr>
          <w:p w14:paraId="368026BF">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1.自然电位、断电电位参数</w:t>
            </w:r>
          </w:p>
          <w:p w14:paraId="2538E7E9">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采样范围：±5.0V</w:t>
            </w:r>
          </w:p>
          <w:p w14:paraId="1C59B8BF">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输入阻抗：≥10MΩ</w:t>
            </w:r>
          </w:p>
          <w:p w14:paraId="7EBC1AFE">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分辨率：1mV</w:t>
            </w:r>
          </w:p>
          <w:p w14:paraId="352AF19A">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准确度：不低于0.5级</w:t>
            </w:r>
          </w:p>
          <w:p w14:paraId="269FB342">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2、通电电位参数</w:t>
            </w:r>
          </w:p>
          <w:p w14:paraId="6F12DEC5">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采样范围：±5.0V、±20.00V、±100.0V</w:t>
            </w:r>
          </w:p>
          <w:p w14:paraId="77764BE4">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分辨率：不低于量程的0.1%</w:t>
            </w:r>
          </w:p>
          <w:p w14:paraId="3B2489B4">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各量程准确度：不低于0.5级</w:t>
            </w:r>
          </w:p>
          <w:p w14:paraId="7DF388EF">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3、交流干扰电压</w:t>
            </w:r>
          </w:p>
          <w:p w14:paraId="00914BEB">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采样范围：0V～30V，或按设计要求</w:t>
            </w:r>
          </w:p>
          <w:p w14:paraId="6131CB4A">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分辨率：0.1V</w:t>
            </w:r>
          </w:p>
          <w:p w14:paraId="083D94B7">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各量程准确度：不低于1级（误差≤1%FS，25°C）</w:t>
            </w:r>
          </w:p>
          <w:p w14:paraId="2770F4C8">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4、交流腐蚀试片交直流电流</w:t>
            </w:r>
          </w:p>
          <w:p w14:paraId="67B6737F">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采样范围：±1mA，±20mA的量程选择</w:t>
            </w:r>
          </w:p>
          <w:p w14:paraId="3EB60AE7">
            <w:pPr>
              <w:widowControl/>
              <w:spacing w:beforeLines="0" w:afterLines="0" w:line="240" w:lineRule="auto"/>
              <w:jc w:val="left"/>
              <w:rPr>
                <w:rFonts w:hint="eastAsia" w:ascii="宋体" w:hAnsi="宋体" w:cs="宋体"/>
                <w:color w:val="000000"/>
                <w:kern w:val="0"/>
                <w:sz w:val="18"/>
                <w:szCs w:val="18"/>
              </w:rPr>
            </w:pPr>
            <w:r>
              <w:rPr>
                <w:rFonts w:hint="eastAsia" w:ascii="宋体" w:hAnsi="宋体" w:cs="宋体"/>
                <w:color w:val="000000"/>
                <w:kern w:val="0"/>
                <w:sz w:val="18"/>
                <w:szCs w:val="18"/>
              </w:rPr>
              <w:t>交流电流分辨率不低于10uA，直流电流分辨率不低于1uA；交、直流电流采样误差≤1%FS，25℃</w:t>
            </w:r>
          </w:p>
          <w:p w14:paraId="580C0063">
            <w:pPr>
              <w:widowControl/>
              <w:spacing w:beforeLines="0" w:afterLines="0" w:line="240" w:lineRule="auto"/>
              <w:jc w:val="left"/>
              <w:rPr>
                <w:rFonts w:ascii="宋体" w:hAnsi="宋体" w:cs="宋体"/>
                <w:color w:val="000000"/>
                <w:kern w:val="0"/>
                <w:sz w:val="18"/>
                <w:szCs w:val="18"/>
              </w:rPr>
            </w:pPr>
            <w:r>
              <w:rPr>
                <w:rFonts w:hint="eastAsia" w:ascii="宋体" w:hAnsi="宋体" w:cs="宋体"/>
                <w:color w:val="000000"/>
                <w:kern w:val="0"/>
                <w:sz w:val="18"/>
                <w:szCs w:val="18"/>
                <w:lang w:val="en-US" w:eastAsia="zh-CN"/>
              </w:rPr>
              <w:t>5.</w:t>
            </w:r>
            <w:r>
              <w:rPr>
                <w:rFonts w:hint="eastAsia" w:ascii="宋体" w:hAnsi="宋体" w:cs="宋体"/>
                <w:kern w:val="0"/>
                <w:sz w:val="18"/>
                <w:szCs w:val="18"/>
                <w:lang w:val="en-US" w:eastAsia="zh-CN"/>
              </w:rPr>
              <w:t>使用寿命：不低于5年</w:t>
            </w:r>
          </w:p>
        </w:tc>
      </w:tr>
      <w:tr w14:paraId="256DAD6A">
        <w:tblPrEx>
          <w:tblCellMar>
            <w:top w:w="0" w:type="dxa"/>
            <w:left w:w="108" w:type="dxa"/>
            <w:bottom w:w="0" w:type="dxa"/>
            <w:right w:w="108" w:type="dxa"/>
          </w:tblCellMar>
        </w:tblPrEx>
        <w:trPr>
          <w:trHeight w:val="1894" w:hRule="atLeast"/>
        </w:trPr>
        <w:tc>
          <w:tcPr>
            <w:tcW w:w="864" w:type="pct"/>
            <w:vMerge w:val="restart"/>
            <w:tcBorders>
              <w:top w:val="nil"/>
              <w:left w:val="single" w:color="auto" w:sz="4" w:space="0"/>
              <w:bottom w:val="single" w:color="auto" w:sz="4" w:space="0"/>
              <w:right w:val="single" w:color="auto" w:sz="4" w:space="0"/>
            </w:tcBorders>
            <w:vAlign w:val="center"/>
          </w:tcPr>
          <w:p w14:paraId="79B54984">
            <w:pPr>
              <w:widowControl/>
              <w:spacing w:beforeLines="0" w:afterLines="0" w:line="240" w:lineRule="auto"/>
              <w:jc w:val="center"/>
              <w:rPr>
                <w:rFonts w:ascii="宋体" w:hAnsi="宋体" w:cs="宋体"/>
                <w:color w:val="000000"/>
                <w:kern w:val="0"/>
                <w:sz w:val="18"/>
                <w:szCs w:val="18"/>
              </w:rPr>
            </w:pPr>
            <w:r>
              <w:rPr>
                <w:rFonts w:hint="eastAsia" w:ascii="宋体" w:hAnsi="宋体" w:cs="宋体"/>
                <w:color w:val="000000"/>
                <w:kern w:val="0"/>
                <w:sz w:val="18"/>
                <w:szCs w:val="18"/>
              </w:rPr>
              <w:t>燃气阀井</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rPr>
              <w:t>室</w:t>
            </w:r>
            <w:r>
              <w:rPr>
                <w:rFonts w:hint="eastAsia" w:ascii="宋体" w:hAnsi="宋体" w:cs="宋体"/>
                <w:color w:val="000000"/>
                <w:kern w:val="0"/>
                <w:sz w:val="18"/>
                <w:szCs w:val="18"/>
                <w:lang w:eastAsia="zh-CN"/>
              </w:rPr>
              <w:t>）</w:t>
            </w:r>
          </w:p>
        </w:tc>
        <w:tc>
          <w:tcPr>
            <w:tcW w:w="1027" w:type="pct"/>
            <w:tcBorders>
              <w:top w:val="nil"/>
              <w:left w:val="nil"/>
              <w:bottom w:val="single" w:color="auto" w:sz="4" w:space="0"/>
              <w:right w:val="single" w:color="auto" w:sz="4" w:space="0"/>
            </w:tcBorders>
            <w:vAlign w:val="center"/>
          </w:tcPr>
          <w:p w14:paraId="7D383554">
            <w:pPr>
              <w:widowControl/>
              <w:spacing w:beforeLines="0" w:afterLines="0" w:line="240" w:lineRule="auto"/>
              <w:jc w:val="center"/>
              <w:rPr>
                <w:rFonts w:ascii="宋体" w:hAnsi="宋体" w:cs="宋体"/>
                <w:color w:val="000000"/>
                <w:kern w:val="0"/>
                <w:sz w:val="18"/>
                <w:szCs w:val="18"/>
              </w:rPr>
            </w:pPr>
            <w:r>
              <w:rPr>
                <w:rFonts w:hint="eastAsia" w:ascii="宋体" w:hAnsi="宋体" w:cs="宋体"/>
                <w:color w:val="000000"/>
                <w:kern w:val="0"/>
                <w:sz w:val="18"/>
                <w:szCs w:val="18"/>
              </w:rPr>
              <w:t>可燃气体浓度</w:t>
            </w:r>
          </w:p>
        </w:tc>
        <w:tc>
          <w:tcPr>
            <w:tcW w:w="3108" w:type="pct"/>
            <w:tcBorders>
              <w:top w:val="nil"/>
              <w:left w:val="nil"/>
              <w:bottom w:val="single" w:color="auto" w:sz="4" w:space="0"/>
              <w:right w:val="single" w:color="auto" w:sz="4" w:space="0"/>
            </w:tcBorders>
            <w:vAlign w:val="center"/>
          </w:tcPr>
          <w:p w14:paraId="146C4D92">
            <w:pPr>
              <w:widowControl/>
              <w:spacing w:beforeLines="0" w:afterLines="0" w:line="240" w:lineRule="auto"/>
              <w:jc w:val="left"/>
              <w:rPr>
                <w:rFonts w:hint="eastAsia" w:ascii="宋体" w:hAnsi="宋体" w:eastAsia="宋体" w:cs="宋体"/>
                <w:color w:val="000000"/>
                <w:kern w:val="0"/>
                <w:sz w:val="18"/>
                <w:szCs w:val="18"/>
                <w:highlight w:val="none"/>
                <w:lang w:eastAsia="zh-CN"/>
              </w:rPr>
            </w:pPr>
            <w:r>
              <w:rPr>
                <w:rFonts w:hint="eastAsia" w:ascii="宋体" w:hAnsi="宋体" w:cs="宋体"/>
                <w:color w:val="000000"/>
                <w:kern w:val="0"/>
                <w:sz w:val="18"/>
                <w:szCs w:val="18"/>
              </w:rPr>
              <w:t>1.量程</w:t>
            </w:r>
            <w:r>
              <w:rPr>
                <w:rFonts w:hint="eastAsia" w:ascii="宋体" w:hAnsi="宋体" w:cs="宋体"/>
                <w:color w:val="000000"/>
                <w:kern w:val="0"/>
                <w:sz w:val="18"/>
                <w:szCs w:val="18"/>
                <w:highlight w:val="none"/>
              </w:rPr>
              <w:t>：</w:t>
            </w:r>
            <w:r>
              <w:rPr>
                <w:rFonts w:hint="eastAsia" w:ascii="宋体" w:hAnsi="宋体" w:cs="宋体"/>
                <w:color w:val="000000"/>
                <w:kern w:val="0"/>
                <w:sz w:val="18"/>
                <w:szCs w:val="18"/>
                <w:highlight w:val="none"/>
                <w:lang w:val="en-US" w:eastAsia="zh-CN"/>
              </w:rPr>
              <w:t>不低于</w:t>
            </w:r>
            <w:r>
              <w:rPr>
                <w:rFonts w:hint="eastAsia" w:ascii="宋体" w:hAnsi="宋体" w:cs="宋体"/>
                <w:color w:val="000000"/>
                <w:kern w:val="0"/>
                <w:sz w:val="18"/>
                <w:szCs w:val="18"/>
                <w:highlight w:val="none"/>
              </w:rPr>
              <w:t>0</w:t>
            </w:r>
            <w:r>
              <w:rPr>
                <w:rFonts w:hint="eastAsia" w:ascii="宋体" w:hAnsi="宋体" w:eastAsia="宋体" w:cs="宋体"/>
                <w:color w:val="000000"/>
                <w:kern w:val="0"/>
                <w:sz w:val="18"/>
                <w:szCs w:val="18"/>
                <w:highlight w:val="none"/>
                <w:lang w:val="en-US" w:eastAsia="zh-CN"/>
              </w:rPr>
              <w:t>～</w:t>
            </w:r>
            <w:r>
              <w:rPr>
                <w:rFonts w:hint="eastAsia" w:ascii="宋体" w:hAnsi="宋体" w:cs="宋体"/>
                <w:color w:val="000000"/>
                <w:kern w:val="0"/>
                <w:sz w:val="18"/>
                <w:szCs w:val="18"/>
                <w:highlight w:val="none"/>
                <w:lang w:val="en-US" w:eastAsia="zh-CN"/>
              </w:rPr>
              <w:t>20</w:t>
            </w:r>
            <w:r>
              <w:rPr>
                <w:rFonts w:hint="eastAsia" w:ascii="宋体" w:hAnsi="宋体" w:cs="宋体"/>
                <w:color w:val="000000"/>
                <w:kern w:val="0"/>
                <w:sz w:val="18"/>
                <w:szCs w:val="18"/>
                <w:highlight w:val="none"/>
              </w:rPr>
              <w:t>%</w:t>
            </w:r>
            <w:r>
              <w:rPr>
                <w:rFonts w:hint="eastAsia" w:ascii="宋体" w:hAnsi="宋体" w:cs="宋体"/>
                <w:color w:val="000000"/>
                <w:kern w:val="0"/>
                <w:sz w:val="18"/>
                <w:szCs w:val="18"/>
                <w:highlight w:val="none"/>
                <w:lang w:val="en-US" w:eastAsia="zh-CN"/>
              </w:rPr>
              <w:t>VOL</w:t>
            </w:r>
          </w:p>
          <w:p w14:paraId="68A76E66">
            <w:pPr>
              <w:widowControl/>
              <w:spacing w:beforeLines="0" w:afterLines="0" w:line="240" w:lineRule="auto"/>
              <w:jc w:val="left"/>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2</w:t>
            </w:r>
            <w:r>
              <w:rPr>
                <w:rFonts w:hint="eastAsia" w:ascii="宋体" w:hAnsi="宋体" w:cs="宋体"/>
                <w:color w:val="000000"/>
                <w:kern w:val="0"/>
                <w:sz w:val="18"/>
                <w:szCs w:val="18"/>
              </w:rPr>
              <w:t>.探测精度：±0.1%VOL(测量范围在0%VOL</w:t>
            </w:r>
            <w:r>
              <w:rPr>
                <w:rFonts w:hint="eastAsia" w:ascii="宋体" w:hAnsi="宋体" w:eastAsia="宋体" w:cs="宋体"/>
                <w:color w:val="000000"/>
                <w:kern w:val="0"/>
                <w:sz w:val="18"/>
                <w:szCs w:val="18"/>
                <w:lang w:val="en-US" w:eastAsia="zh-CN"/>
              </w:rPr>
              <w:t>～</w:t>
            </w:r>
            <w:r>
              <w:rPr>
                <w:rFonts w:hint="eastAsia" w:ascii="宋体" w:hAnsi="宋体" w:cs="宋体"/>
                <w:color w:val="000000"/>
                <w:kern w:val="0"/>
                <w:sz w:val="18"/>
                <w:szCs w:val="18"/>
              </w:rPr>
              <w:t>1%VOL 之间);真值的±5%(测量范围在1%VOL</w:t>
            </w:r>
            <w:r>
              <w:rPr>
                <w:rFonts w:hint="eastAsia" w:ascii="宋体" w:hAnsi="宋体" w:eastAsia="宋体" w:cs="宋体"/>
                <w:color w:val="000000"/>
                <w:kern w:val="0"/>
                <w:sz w:val="18"/>
                <w:szCs w:val="18"/>
                <w:lang w:val="en-US" w:eastAsia="zh-CN"/>
              </w:rPr>
              <w:t>～</w:t>
            </w:r>
            <w:r>
              <w:rPr>
                <w:rFonts w:hint="eastAsia" w:ascii="宋体" w:hAnsi="宋体" w:cs="宋体"/>
                <w:color w:val="000000"/>
                <w:kern w:val="0"/>
                <w:sz w:val="18"/>
                <w:szCs w:val="18"/>
              </w:rPr>
              <w:t>20%VOL之间)</w:t>
            </w:r>
          </w:p>
          <w:p w14:paraId="6570E348">
            <w:pPr>
              <w:widowControl/>
              <w:spacing w:beforeLines="0" w:afterLines="0" w:line="240" w:lineRule="auto"/>
              <w:jc w:val="left"/>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3.</w:t>
            </w:r>
            <w:r>
              <w:rPr>
                <w:rFonts w:hint="eastAsia" w:ascii="宋体" w:hAnsi="宋体" w:cs="宋体"/>
                <w:color w:val="000000"/>
                <w:kern w:val="0"/>
                <w:sz w:val="18"/>
                <w:szCs w:val="18"/>
              </w:rPr>
              <w:t>分辨率:0.1%VOL</w:t>
            </w:r>
          </w:p>
          <w:p w14:paraId="37077BC0">
            <w:pPr>
              <w:widowControl/>
              <w:spacing w:beforeLines="0" w:afterLines="0" w:line="240" w:lineRule="auto"/>
              <w:jc w:val="left"/>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4.</w:t>
            </w:r>
            <w:r>
              <w:rPr>
                <w:rFonts w:hint="eastAsia" w:ascii="宋体" w:hAnsi="宋体" w:cs="宋体"/>
                <w:color w:val="000000"/>
                <w:kern w:val="0"/>
                <w:sz w:val="18"/>
                <w:szCs w:val="18"/>
              </w:rPr>
              <w:t>工作温度:-40 ℃</w:t>
            </w:r>
            <w:r>
              <w:rPr>
                <w:rFonts w:hint="eastAsia" w:ascii="宋体" w:hAnsi="宋体" w:eastAsia="宋体" w:cs="宋体"/>
                <w:color w:val="000000"/>
                <w:kern w:val="0"/>
                <w:sz w:val="18"/>
                <w:szCs w:val="18"/>
                <w:lang w:val="en-US" w:eastAsia="zh-CN"/>
              </w:rPr>
              <w:t>～</w:t>
            </w:r>
            <w:r>
              <w:rPr>
                <w:rFonts w:hint="eastAsia" w:ascii="宋体" w:hAnsi="宋体" w:cs="宋体"/>
                <w:color w:val="000000"/>
                <w:kern w:val="0"/>
                <w:sz w:val="18"/>
                <w:szCs w:val="18"/>
              </w:rPr>
              <w:t>70 ℃</w:t>
            </w:r>
          </w:p>
          <w:p w14:paraId="3B44F583">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5.</w:t>
            </w:r>
            <w:r>
              <w:rPr>
                <w:rFonts w:hint="eastAsia" w:ascii="宋体" w:hAnsi="宋体" w:cs="宋体"/>
                <w:color w:val="000000"/>
                <w:kern w:val="0"/>
                <w:sz w:val="18"/>
                <w:szCs w:val="18"/>
              </w:rPr>
              <w:t>防爆等级:不低于 Ex</w:t>
            </w:r>
            <w:r>
              <w:rPr>
                <w:rFonts w:hint="eastAsia" w:ascii="宋体" w:hAnsi="宋体" w:cs="宋体"/>
                <w:color w:val="000000"/>
                <w:kern w:val="0"/>
                <w:sz w:val="18"/>
                <w:szCs w:val="18"/>
                <w:lang w:val="en-US" w:eastAsia="zh-CN"/>
              </w:rPr>
              <w:t xml:space="preserve"> </w:t>
            </w:r>
            <w:r>
              <w:rPr>
                <w:rFonts w:hint="eastAsia" w:ascii="宋体" w:hAnsi="宋体" w:cs="宋体"/>
                <w:color w:val="000000"/>
                <w:kern w:val="0"/>
                <w:sz w:val="18"/>
                <w:szCs w:val="18"/>
              </w:rPr>
              <w:t>ib</w:t>
            </w:r>
            <w:r>
              <w:rPr>
                <w:rFonts w:hint="eastAsia" w:ascii="宋体" w:hAnsi="宋体" w:cs="宋体"/>
                <w:color w:val="000000"/>
                <w:kern w:val="0"/>
                <w:sz w:val="18"/>
                <w:szCs w:val="18"/>
                <w:lang w:val="en-US" w:eastAsia="zh-CN"/>
              </w:rPr>
              <w:t xml:space="preserve"> </w:t>
            </w:r>
            <w:r>
              <w:rPr>
                <w:rFonts w:hint="eastAsia" w:ascii="宋体" w:hAnsi="宋体" w:cs="宋体"/>
                <w:color w:val="000000"/>
                <w:kern w:val="0"/>
                <w:sz w:val="18"/>
                <w:szCs w:val="18"/>
              </w:rPr>
              <w:t>IIB</w:t>
            </w:r>
            <w:r>
              <w:rPr>
                <w:rFonts w:hint="eastAsia" w:ascii="宋体" w:hAnsi="宋体" w:cs="宋体"/>
                <w:color w:val="000000"/>
                <w:kern w:val="0"/>
                <w:sz w:val="18"/>
                <w:szCs w:val="18"/>
                <w:lang w:val="en-US" w:eastAsia="zh-CN"/>
              </w:rPr>
              <w:t xml:space="preserve"> </w:t>
            </w:r>
            <w:r>
              <w:rPr>
                <w:rFonts w:hint="eastAsia" w:ascii="宋体" w:hAnsi="宋体" w:cs="宋体"/>
                <w:color w:val="000000"/>
                <w:kern w:val="0"/>
                <w:sz w:val="18"/>
                <w:szCs w:val="18"/>
              </w:rPr>
              <w:t>T4</w:t>
            </w:r>
            <w:r>
              <w:rPr>
                <w:rFonts w:hint="eastAsia" w:ascii="宋体" w:hAnsi="宋体" w:cs="宋体"/>
                <w:color w:val="000000"/>
                <w:kern w:val="0"/>
                <w:sz w:val="18"/>
                <w:szCs w:val="18"/>
                <w:lang w:val="en-US" w:eastAsia="zh-CN"/>
              </w:rPr>
              <w:t xml:space="preserve"> </w:t>
            </w:r>
            <w:r>
              <w:rPr>
                <w:rFonts w:hint="eastAsia" w:ascii="宋体" w:hAnsi="宋体" w:cs="宋体"/>
                <w:color w:val="000000"/>
                <w:kern w:val="0"/>
                <w:sz w:val="18"/>
                <w:szCs w:val="18"/>
              </w:rPr>
              <w:t>Gb</w:t>
            </w:r>
          </w:p>
          <w:p w14:paraId="4B72641B">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6</w:t>
            </w:r>
            <w:r>
              <w:rPr>
                <w:rFonts w:hint="eastAsia" w:ascii="宋体" w:hAnsi="宋体" w:cs="宋体"/>
                <w:color w:val="000000"/>
                <w:kern w:val="0"/>
                <w:sz w:val="18"/>
                <w:szCs w:val="18"/>
              </w:rPr>
              <w:t>.防护等级：IP68</w:t>
            </w:r>
          </w:p>
          <w:p w14:paraId="1144AA15">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7</w:t>
            </w:r>
            <w:r>
              <w:rPr>
                <w:rFonts w:hint="eastAsia" w:ascii="宋体" w:hAnsi="宋体" w:cs="宋体"/>
                <w:color w:val="000000"/>
                <w:kern w:val="0"/>
                <w:sz w:val="18"/>
                <w:szCs w:val="18"/>
              </w:rPr>
              <w:t>.数据采集频率：不低于1次/30min（可设置）</w:t>
            </w:r>
          </w:p>
          <w:p w14:paraId="12E877A3">
            <w:pPr>
              <w:widowControl/>
              <w:spacing w:beforeLines="0" w:afterLines="0" w:line="240" w:lineRule="auto"/>
              <w:jc w:val="left"/>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8</w:t>
            </w:r>
            <w:r>
              <w:rPr>
                <w:rFonts w:hint="eastAsia" w:ascii="宋体" w:hAnsi="宋体" w:cs="宋体"/>
                <w:color w:val="000000"/>
                <w:kern w:val="0"/>
                <w:sz w:val="18"/>
                <w:szCs w:val="18"/>
              </w:rPr>
              <w:t>.数据上传频率：不低于1次/12h（可设置），事故状态自动实时传输</w:t>
            </w:r>
          </w:p>
          <w:p w14:paraId="40F3F39A">
            <w:pPr>
              <w:widowControl/>
              <w:spacing w:beforeLines="0" w:afterLines="0" w:line="240" w:lineRule="auto"/>
              <w:jc w:val="left"/>
              <w:rPr>
                <w:rFonts w:ascii="宋体" w:hAnsi="宋体" w:cs="宋体"/>
                <w:color w:val="000000"/>
                <w:kern w:val="0"/>
                <w:sz w:val="18"/>
                <w:szCs w:val="18"/>
              </w:rPr>
            </w:pPr>
            <w:r>
              <w:rPr>
                <w:rFonts w:hint="eastAsia" w:ascii="宋体" w:hAnsi="宋体" w:cs="宋体"/>
                <w:color w:val="000000"/>
                <w:kern w:val="0"/>
                <w:sz w:val="18"/>
                <w:szCs w:val="18"/>
                <w:lang w:val="en-US" w:eastAsia="zh-CN"/>
              </w:rPr>
              <w:t>9.</w:t>
            </w:r>
            <w:r>
              <w:rPr>
                <w:rFonts w:hint="eastAsia" w:ascii="宋体" w:hAnsi="宋体" w:cs="宋体"/>
                <w:kern w:val="0"/>
                <w:sz w:val="18"/>
                <w:szCs w:val="18"/>
                <w:lang w:val="en-US" w:eastAsia="zh-CN"/>
              </w:rPr>
              <w:t>使用寿命：不低于5年</w:t>
            </w:r>
          </w:p>
        </w:tc>
      </w:tr>
      <w:tr w14:paraId="10CE93E1">
        <w:tblPrEx>
          <w:tblCellMar>
            <w:top w:w="0" w:type="dxa"/>
            <w:left w:w="108" w:type="dxa"/>
            <w:bottom w:w="0" w:type="dxa"/>
            <w:right w:w="108" w:type="dxa"/>
          </w:tblCellMar>
        </w:tblPrEx>
        <w:trPr>
          <w:trHeight w:val="365" w:hRule="atLeast"/>
        </w:trPr>
        <w:tc>
          <w:tcPr>
            <w:tcW w:w="864" w:type="pct"/>
            <w:vMerge w:val="continue"/>
            <w:tcBorders>
              <w:top w:val="nil"/>
              <w:left w:val="single" w:color="auto" w:sz="4" w:space="0"/>
              <w:bottom w:val="single" w:color="auto" w:sz="4" w:space="0"/>
              <w:right w:val="single" w:color="auto" w:sz="4" w:space="0"/>
            </w:tcBorders>
            <w:vAlign w:val="center"/>
          </w:tcPr>
          <w:p w14:paraId="07DD3796">
            <w:pPr>
              <w:widowControl/>
              <w:spacing w:beforeLines="0" w:afterLines="0" w:line="240" w:lineRule="auto"/>
              <w:jc w:val="left"/>
              <w:rPr>
                <w:rFonts w:ascii="宋体" w:hAnsi="宋体" w:cs="宋体"/>
                <w:color w:val="000000"/>
                <w:kern w:val="0"/>
                <w:sz w:val="18"/>
                <w:szCs w:val="18"/>
              </w:rPr>
            </w:pPr>
          </w:p>
        </w:tc>
        <w:tc>
          <w:tcPr>
            <w:tcW w:w="1027" w:type="pct"/>
            <w:tcBorders>
              <w:top w:val="nil"/>
              <w:left w:val="nil"/>
              <w:bottom w:val="single" w:color="auto" w:sz="4" w:space="0"/>
              <w:right w:val="single" w:color="auto" w:sz="4" w:space="0"/>
            </w:tcBorders>
            <w:vAlign w:val="center"/>
          </w:tcPr>
          <w:p w14:paraId="07E558B2">
            <w:pPr>
              <w:widowControl/>
              <w:spacing w:beforeLines="0" w:afterLines="0" w:line="240" w:lineRule="auto"/>
              <w:jc w:val="center"/>
              <w:rPr>
                <w:rFonts w:ascii="宋体" w:hAnsi="宋体" w:cs="宋体"/>
                <w:color w:val="000000"/>
                <w:kern w:val="0"/>
                <w:sz w:val="18"/>
                <w:szCs w:val="18"/>
              </w:rPr>
            </w:pPr>
            <w:r>
              <w:rPr>
                <w:rFonts w:hint="eastAsia" w:ascii="宋体" w:hAnsi="宋体" w:cs="宋体"/>
                <w:color w:val="000000"/>
                <w:kern w:val="0"/>
                <w:sz w:val="18"/>
                <w:szCs w:val="18"/>
              </w:rPr>
              <w:t>压力（阀室）</w:t>
            </w:r>
          </w:p>
        </w:tc>
        <w:tc>
          <w:tcPr>
            <w:tcW w:w="3108" w:type="pct"/>
            <w:tcBorders>
              <w:top w:val="nil"/>
              <w:left w:val="nil"/>
              <w:bottom w:val="single" w:color="auto" w:sz="4" w:space="0"/>
              <w:right w:val="single" w:color="auto" w:sz="4" w:space="0"/>
            </w:tcBorders>
            <w:vAlign w:val="center"/>
          </w:tcPr>
          <w:p w14:paraId="28DC9BCF">
            <w:pPr>
              <w:widowControl/>
              <w:spacing w:beforeLines="0" w:afterLines="0" w:line="240" w:lineRule="auto"/>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1.</w:t>
            </w:r>
            <w:r>
              <w:rPr>
                <w:rFonts w:hint="eastAsia" w:ascii="宋体" w:hAnsi="宋体" w:cs="宋体"/>
                <w:color w:val="000000"/>
                <w:kern w:val="0"/>
                <w:sz w:val="18"/>
                <w:szCs w:val="18"/>
                <w:lang w:val="en-US" w:eastAsia="zh-CN"/>
              </w:rPr>
              <w:t>量程：最大被测压力的1.5</w:t>
            </w:r>
            <w:r>
              <w:rPr>
                <w:rFonts w:hint="eastAsia" w:ascii="宋体" w:hAnsi="宋体" w:eastAsia="宋体" w:cs="宋体"/>
                <w:color w:val="000000"/>
                <w:kern w:val="0"/>
                <w:sz w:val="18"/>
                <w:szCs w:val="18"/>
                <w:lang w:val="en-US" w:eastAsia="zh-CN"/>
              </w:rPr>
              <w:t>～</w:t>
            </w:r>
            <w:r>
              <w:rPr>
                <w:rFonts w:hint="eastAsia" w:ascii="宋体" w:hAnsi="宋体" w:cs="宋体"/>
                <w:color w:val="000000"/>
                <w:kern w:val="0"/>
                <w:sz w:val="18"/>
                <w:szCs w:val="18"/>
                <w:lang w:val="en-US" w:eastAsia="zh-CN"/>
              </w:rPr>
              <w:t>3倍</w:t>
            </w:r>
          </w:p>
          <w:p w14:paraId="0DC9A18B">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2.</w:t>
            </w:r>
            <w:r>
              <w:rPr>
                <w:rFonts w:hint="eastAsia" w:ascii="宋体" w:hAnsi="宋体" w:cs="宋体"/>
                <w:color w:val="000000"/>
                <w:kern w:val="0"/>
                <w:sz w:val="18"/>
                <w:szCs w:val="18"/>
              </w:rPr>
              <w:t>探测精度：</w:t>
            </w:r>
            <w:r>
              <w:rPr>
                <w:rFonts w:hint="eastAsia" w:ascii="宋体" w:hAnsi="宋体" w:cs="宋体"/>
                <w:color w:val="000000"/>
                <w:kern w:val="0"/>
                <w:sz w:val="18"/>
                <w:szCs w:val="18"/>
                <w:lang w:val="en-US" w:eastAsia="zh-CN"/>
              </w:rPr>
              <w:t>不低于1级</w:t>
            </w:r>
          </w:p>
          <w:p w14:paraId="653DA8CE">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3</w:t>
            </w:r>
            <w:r>
              <w:rPr>
                <w:rFonts w:hint="eastAsia" w:ascii="宋体" w:hAnsi="宋体" w:cs="宋体"/>
                <w:color w:val="000000"/>
                <w:kern w:val="0"/>
                <w:sz w:val="18"/>
                <w:szCs w:val="18"/>
              </w:rPr>
              <w:t>.防护等级：IP68</w:t>
            </w:r>
          </w:p>
          <w:p w14:paraId="40B6F583">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4</w:t>
            </w:r>
            <w:r>
              <w:rPr>
                <w:rFonts w:hint="eastAsia" w:ascii="宋体" w:hAnsi="宋体" w:cs="宋体"/>
                <w:color w:val="000000"/>
                <w:kern w:val="0"/>
                <w:sz w:val="18"/>
                <w:szCs w:val="18"/>
              </w:rPr>
              <w:t>.数据采集频率：不低于1次/5min（可设置）</w:t>
            </w:r>
          </w:p>
          <w:p w14:paraId="76C1197D">
            <w:pPr>
              <w:widowControl/>
              <w:spacing w:beforeLines="0" w:afterLines="0" w:line="240" w:lineRule="auto"/>
              <w:jc w:val="left"/>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5</w:t>
            </w:r>
            <w:r>
              <w:rPr>
                <w:rFonts w:hint="eastAsia" w:ascii="宋体" w:hAnsi="宋体" w:cs="宋体"/>
                <w:color w:val="000000"/>
                <w:kern w:val="0"/>
                <w:sz w:val="18"/>
                <w:szCs w:val="18"/>
              </w:rPr>
              <w:t>.数据上传频率：不低于1次/12h（可设置），事故状态自动实时传输</w:t>
            </w:r>
          </w:p>
          <w:p w14:paraId="7D0906CD">
            <w:pPr>
              <w:widowControl/>
              <w:spacing w:before="31" w:after="31" w:line="240" w:lineRule="auto"/>
              <w:jc w:val="left"/>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6.满足防爆要求</w:t>
            </w:r>
          </w:p>
          <w:p w14:paraId="3D4565AB">
            <w:pPr>
              <w:widowControl/>
              <w:spacing w:beforeLines="0" w:afterLines="0" w:line="240" w:lineRule="auto"/>
              <w:jc w:val="left"/>
              <w:rPr>
                <w:rFonts w:ascii="宋体" w:hAnsi="宋体" w:cs="宋体"/>
                <w:color w:val="000000"/>
                <w:kern w:val="0"/>
                <w:sz w:val="18"/>
                <w:szCs w:val="18"/>
              </w:rPr>
            </w:pPr>
            <w:r>
              <w:rPr>
                <w:rFonts w:hint="eastAsia" w:ascii="宋体" w:hAnsi="宋体" w:cs="宋体"/>
                <w:color w:val="000000"/>
                <w:kern w:val="0"/>
                <w:sz w:val="18"/>
                <w:szCs w:val="18"/>
                <w:lang w:val="en-US" w:eastAsia="zh-CN"/>
              </w:rPr>
              <w:t>7.</w:t>
            </w:r>
            <w:r>
              <w:rPr>
                <w:rFonts w:hint="eastAsia" w:ascii="宋体" w:hAnsi="宋体" w:cs="宋体"/>
                <w:kern w:val="0"/>
                <w:sz w:val="18"/>
                <w:szCs w:val="18"/>
                <w:lang w:val="en-US" w:eastAsia="zh-CN"/>
              </w:rPr>
              <w:t>使用寿命：不低于5年</w:t>
            </w:r>
            <w:r>
              <mc:AlternateContent>
                <mc:Choice Requires="wps">
                  <w:drawing>
                    <wp:anchor distT="0" distB="0" distL="114300" distR="114300" simplePos="0" relativeHeight="251673600" behindDoc="0" locked="0" layoutInCell="1" allowOverlap="1">
                      <wp:simplePos x="0" y="0"/>
                      <wp:positionH relativeFrom="column">
                        <wp:posOffset>1542415</wp:posOffset>
                      </wp:positionH>
                      <wp:positionV relativeFrom="paragraph">
                        <wp:posOffset>-564515</wp:posOffset>
                      </wp:positionV>
                      <wp:extent cx="498475" cy="274955"/>
                      <wp:effectExtent l="0" t="0" r="15875" b="10795"/>
                      <wp:wrapNone/>
                      <wp:docPr id="32" name="文本框 32"/>
                      <wp:cNvGraphicFramePr/>
                      <a:graphic xmlns:a="http://schemas.openxmlformats.org/drawingml/2006/main">
                        <a:graphicData uri="http://schemas.microsoft.com/office/word/2010/wordprocessingShape">
                          <wps:wsp>
                            <wps:cNvSpPr txBox="1"/>
                            <wps:spPr>
                              <a:xfrm>
                                <a:off x="0" y="0"/>
                                <a:ext cx="498475" cy="274955"/>
                              </a:xfrm>
                              <a:prstGeom prst="rect">
                                <a:avLst/>
                              </a:prstGeom>
                              <a:solidFill>
                                <a:srgbClr val="FFFFFF"/>
                              </a:solidFill>
                              <a:ln>
                                <a:noFill/>
                              </a:ln>
                            </wps:spPr>
                            <wps:txbx>
                              <w:txbxContent>
                                <w:p w14:paraId="37CB7187">
                                  <w:pPr>
                                    <w:rPr>
                                      <w:rFonts w:hint="eastAsia" w:ascii="黑体" w:hAnsi="黑体" w:eastAsia="黑体" w:cs="黑体"/>
                                    </w:rPr>
                                  </w:pPr>
                                  <w:r>
                                    <w:rPr>
                                      <w:rFonts w:hint="eastAsia" w:ascii="黑体" w:hAnsi="黑体" w:eastAsia="黑体" w:cs="黑体"/>
                                    </w:rPr>
                                    <w:t>（续）</w:t>
                                  </w:r>
                                </w:p>
                              </w:txbxContent>
                            </wps:txbx>
                            <wps:bodyPr lIns="0" tIns="0" rIns="0" bIns="0" anchor="t" anchorCtr="0" upright="1"/>
                          </wps:wsp>
                        </a:graphicData>
                      </a:graphic>
                    </wp:anchor>
                  </w:drawing>
                </mc:Choice>
                <mc:Fallback>
                  <w:pict>
                    <v:shape id="_x0000_s1026" o:spid="_x0000_s1026" o:spt="202" type="#_x0000_t202" style="position:absolute;left:0pt;margin-left:121.45pt;margin-top:-44.45pt;height:21.65pt;width:39.25pt;z-index:251673600;mso-width-relative:page;mso-height-relative:page;" fillcolor="#FFFFFF" filled="t" stroked="f" coordsize="21600,21600" o:gfxdata="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k/HPq2gAAAAsBAAAP&#10;AAAAAAAAAAEAIAAAACIAAABkcnMvZG93bnJldi54bWxQSwECFAAUAAAACACHTuJA6AwlAN0BAAC1&#10;AwAADgAAAAAAAAABACAAAAApAQAAZHJzL2Uyb0RvYy54bWxQSwUGAAAAAAYABgBZAQAAeAUAAAAA&#10;">
                      <v:fill on="t" focussize="0,0"/>
                      <v:stroke on="f"/>
                      <v:imagedata o:title=""/>
                      <o:lock v:ext="edit" aspectratio="f"/>
                      <v:textbox inset="0mm,0mm,0mm,0mm">
                        <w:txbxContent>
                          <w:p w14:paraId="37CB7187">
                            <w:pPr>
                              <w:rPr>
                                <w:rFonts w:hint="eastAsia" w:ascii="黑体" w:hAnsi="黑体" w:eastAsia="黑体" w:cs="黑体"/>
                              </w:rPr>
                            </w:pPr>
                            <w:r>
                              <w:rPr>
                                <w:rFonts w:hint="eastAsia" w:ascii="黑体" w:hAnsi="黑体" w:eastAsia="黑体" w:cs="黑体"/>
                              </w:rPr>
                              <w:t>（续）</w:t>
                            </w:r>
                          </w:p>
                        </w:txbxContent>
                      </v:textbox>
                    </v:shape>
                  </w:pict>
                </mc:Fallback>
              </mc:AlternateContent>
            </w:r>
          </w:p>
        </w:tc>
      </w:tr>
      <w:tr w14:paraId="711DE06E">
        <w:tblPrEx>
          <w:tblCellMar>
            <w:top w:w="0" w:type="dxa"/>
            <w:left w:w="108" w:type="dxa"/>
            <w:bottom w:w="0" w:type="dxa"/>
            <w:right w:w="108" w:type="dxa"/>
          </w:tblCellMar>
        </w:tblPrEx>
        <w:trPr>
          <w:trHeight w:val="1884" w:hRule="atLeast"/>
        </w:trPr>
        <w:tc>
          <w:tcPr>
            <w:tcW w:w="864" w:type="pct"/>
            <w:vMerge w:val="restart"/>
            <w:tcBorders>
              <w:top w:val="nil"/>
              <w:left w:val="single" w:color="auto" w:sz="4" w:space="0"/>
              <w:bottom w:val="single" w:color="auto" w:sz="4" w:space="0"/>
              <w:right w:val="single" w:color="auto" w:sz="4" w:space="0"/>
            </w:tcBorders>
            <w:vAlign w:val="center"/>
          </w:tcPr>
          <w:p w14:paraId="5C3DDD25">
            <w:pPr>
              <w:widowControl/>
              <w:spacing w:beforeLines="0" w:afterLines="0" w:line="240" w:lineRule="auto"/>
              <w:jc w:val="center"/>
              <w:rPr>
                <w:rFonts w:ascii="宋体" w:hAnsi="宋体" w:cs="宋体"/>
                <w:color w:val="000000"/>
                <w:kern w:val="0"/>
                <w:sz w:val="18"/>
                <w:szCs w:val="18"/>
              </w:rPr>
            </w:pPr>
            <w:r>
              <w:rPr>
                <w:rFonts w:hint="eastAsia" w:ascii="宋体" w:hAnsi="宋体" w:cs="宋体"/>
                <w:color w:val="000000"/>
                <w:kern w:val="0"/>
                <w:sz w:val="18"/>
                <w:szCs w:val="18"/>
              </w:rPr>
              <w:t>调压箱/柜</w:t>
            </w:r>
          </w:p>
        </w:tc>
        <w:tc>
          <w:tcPr>
            <w:tcW w:w="1027" w:type="pct"/>
            <w:tcBorders>
              <w:top w:val="nil"/>
              <w:left w:val="nil"/>
              <w:bottom w:val="single" w:color="auto" w:sz="4" w:space="0"/>
              <w:right w:val="single" w:color="auto" w:sz="4" w:space="0"/>
            </w:tcBorders>
            <w:vAlign w:val="center"/>
          </w:tcPr>
          <w:p w14:paraId="78E837F2">
            <w:pPr>
              <w:widowControl/>
              <w:spacing w:beforeLines="0" w:afterLines="0" w:line="240" w:lineRule="auto"/>
              <w:jc w:val="center"/>
              <w:rPr>
                <w:rFonts w:ascii="宋体" w:hAnsi="宋体" w:cs="宋体"/>
                <w:color w:val="000000"/>
                <w:kern w:val="0"/>
                <w:sz w:val="18"/>
                <w:szCs w:val="18"/>
              </w:rPr>
            </w:pPr>
            <w:r>
              <w:rPr>
                <w:rFonts w:hint="eastAsia" w:ascii="宋体" w:hAnsi="宋体" w:cs="宋体"/>
                <w:color w:val="000000"/>
                <w:kern w:val="0"/>
                <w:sz w:val="18"/>
                <w:szCs w:val="18"/>
              </w:rPr>
              <w:t>可燃气体浓度</w:t>
            </w:r>
          </w:p>
        </w:tc>
        <w:tc>
          <w:tcPr>
            <w:tcW w:w="3108" w:type="pct"/>
            <w:tcBorders>
              <w:top w:val="nil"/>
              <w:left w:val="nil"/>
              <w:bottom w:val="single" w:color="auto" w:sz="4" w:space="0"/>
              <w:right w:val="single" w:color="auto" w:sz="4" w:space="0"/>
            </w:tcBorders>
            <w:vAlign w:val="center"/>
          </w:tcPr>
          <w:p w14:paraId="31D117A3">
            <w:pPr>
              <w:widowControl/>
              <w:spacing w:beforeLines="0" w:afterLines="0" w:line="240" w:lineRule="auto"/>
              <w:jc w:val="left"/>
              <w:rPr>
                <w:rFonts w:hint="eastAsia" w:ascii="宋体" w:hAnsi="宋体" w:eastAsia="宋体" w:cs="宋体"/>
                <w:color w:val="000000"/>
                <w:kern w:val="0"/>
                <w:sz w:val="18"/>
                <w:szCs w:val="18"/>
                <w:highlight w:val="none"/>
                <w:lang w:eastAsia="zh-CN"/>
              </w:rPr>
            </w:pPr>
            <w:r>
              <w:rPr>
                <w:rFonts w:hint="eastAsia" w:ascii="宋体" w:hAnsi="宋体" w:cs="宋体"/>
                <w:color w:val="000000"/>
                <w:kern w:val="0"/>
                <w:sz w:val="18"/>
                <w:szCs w:val="18"/>
              </w:rPr>
              <w:t>1.量程</w:t>
            </w:r>
            <w:r>
              <w:rPr>
                <w:rFonts w:hint="eastAsia" w:ascii="宋体" w:hAnsi="宋体" w:cs="宋体"/>
                <w:color w:val="000000"/>
                <w:kern w:val="0"/>
                <w:sz w:val="18"/>
                <w:szCs w:val="18"/>
                <w:highlight w:val="none"/>
              </w:rPr>
              <w:t>：</w:t>
            </w:r>
            <w:r>
              <w:rPr>
                <w:rFonts w:hint="eastAsia" w:ascii="宋体" w:hAnsi="宋体" w:cs="宋体"/>
                <w:color w:val="000000"/>
                <w:kern w:val="0"/>
                <w:sz w:val="18"/>
                <w:szCs w:val="18"/>
                <w:highlight w:val="none"/>
                <w:lang w:val="en-US" w:eastAsia="zh-CN"/>
              </w:rPr>
              <w:t>不低于</w:t>
            </w:r>
            <w:r>
              <w:rPr>
                <w:rFonts w:hint="eastAsia" w:ascii="宋体" w:hAnsi="宋体" w:cs="宋体"/>
                <w:color w:val="000000"/>
                <w:kern w:val="0"/>
                <w:sz w:val="18"/>
                <w:szCs w:val="18"/>
                <w:highlight w:val="none"/>
              </w:rPr>
              <w:t>0</w:t>
            </w:r>
            <w:r>
              <w:rPr>
                <w:rFonts w:hint="eastAsia" w:ascii="宋体" w:hAnsi="宋体" w:eastAsia="宋体" w:cs="宋体"/>
                <w:color w:val="000000"/>
                <w:kern w:val="0"/>
                <w:sz w:val="18"/>
                <w:szCs w:val="18"/>
                <w:highlight w:val="none"/>
                <w:lang w:val="en-US" w:eastAsia="zh-CN"/>
              </w:rPr>
              <w:t>～</w:t>
            </w:r>
            <w:r>
              <w:rPr>
                <w:rFonts w:hint="eastAsia" w:ascii="宋体" w:hAnsi="宋体" w:cs="宋体"/>
                <w:color w:val="000000"/>
                <w:kern w:val="0"/>
                <w:sz w:val="18"/>
                <w:szCs w:val="18"/>
                <w:highlight w:val="none"/>
                <w:lang w:val="en-US" w:eastAsia="zh-CN"/>
              </w:rPr>
              <w:t>20</w:t>
            </w:r>
            <w:r>
              <w:rPr>
                <w:rFonts w:hint="eastAsia" w:ascii="宋体" w:hAnsi="宋体" w:cs="宋体"/>
                <w:color w:val="000000"/>
                <w:kern w:val="0"/>
                <w:sz w:val="18"/>
                <w:szCs w:val="18"/>
                <w:highlight w:val="none"/>
              </w:rPr>
              <w:t>%</w:t>
            </w:r>
            <w:r>
              <w:rPr>
                <w:rFonts w:hint="eastAsia" w:ascii="宋体" w:hAnsi="宋体" w:cs="宋体"/>
                <w:color w:val="000000"/>
                <w:kern w:val="0"/>
                <w:sz w:val="18"/>
                <w:szCs w:val="18"/>
                <w:highlight w:val="none"/>
                <w:lang w:val="en-US" w:eastAsia="zh-CN"/>
              </w:rPr>
              <w:t>VOL</w:t>
            </w:r>
          </w:p>
          <w:p w14:paraId="5E4A4519">
            <w:pPr>
              <w:widowControl/>
              <w:spacing w:beforeLines="0" w:afterLines="0" w:line="240" w:lineRule="auto"/>
              <w:jc w:val="left"/>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2</w:t>
            </w:r>
            <w:r>
              <w:rPr>
                <w:rFonts w:hint="eastAsia" w:ascii="宋体" w:hAnsi="宋体" w:cs="宋体"/>
                <w:color w:val="000000"/>
                <w:kern w:val="0"/>
                <w:sz w:val="18"/>
                <w:szCs w:val="18"/>
              </w:rPr>
              <w:t>.探测精度：±0.1%VOL(测量范围在0%VOL</w:t>
            </w:r>
            <w:r>
              <w:rPr>
                <w:rFonts w:hint="eastAsia" w:ascii="宋体" w:hAnsi="宋体" w:eastAsia="宋体" w:cs="宋体"/>
                <w:color w:val="000000"/>
                <w:kern w:val="0"/>
                <w:sz w:val="18"/>
                <w:szCs w:val="18"/>
                <w:lang w:val="en-US" w:eastAsia="zh-CN"/>
              </w:rPr>
              <w:t>～</w:t>
            </w:r>
            <w:r>
              <w:rPr>
                <w:rFonts w:hint="eastAsia" w:ascii="宋体" w:hAnsi="宋体" w:cs="宋体"/>
                <w:color w:val="000000"/>
                <w:kern w:val="0"/>
                <w:sz w:val="18"/>
                <w:szCs w:val="18"/>
              </w:rPr>
              <w:t>1%VOL 之间);真值的±5%(测量范围在1%VOL</w:t>
            </w:r>
            <w:r>
              <w:rPr>
                <w:rFonts w:hint="eastAsia" w:ascii="宋体" w:hAnsi="宋体" w:eastAsia="宋体" w:cs="宋体"/>
                <w:color w:val="000000"/>
                <w:kern w:val="0"/>
                <w:sz w:val="18"/>
                <w:szCs w:val="18"/>
                <w:lang w:val="en-US" w:eastAsia="zh-CN"/>
              </w:rPr>
              <w:t>～</w:t>
            </w:r>
            <w:r>
              <w:rPr>
                <w:rFonts w:hint="eastAsia" w:ascii="宋体" w:hAnsi="宋体" w:cs="宋体"/>
                <w:color w:val="000000"/>
                <w:kern w:val="0"/>
                <w:sz w:val="18"/>
                <w:szCs w:val="18"/>
              </w:rPr>
              <w:t>20%VOL之间)</w:t>
            </w:r>
          </w:p>
          <w:p w14:paraId="17B8E796">
            <w:pPr>
              <w:widowControl/>
              <w:spacing w:beforeLines="0" w:afterLines="0" w:line="240" w:lineRule="auto"/>
              <w:jc w:val="left"/>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3.</w:t>
            </w:r>
            <w:r>
              <w:rPr>
                <w:rFonts w:hint="eastAsia" w:ascii="宋体" w:hAnsi="宋体" w:cs="宋体"/>
                <w:color w:val="000000"/>
                <w:kern w:val="0"/>
                <w:sz w:val="18"/>
                <w:szCs w:val="18"/>
              </w:rPr>
              <w:t>分辨率:0.1%VOL</w:t>
            </w:r>
          </w:p>
          <w:p w14:paraId="49920923">
            <w:pPr>
              <w:widowControl/>
              <w:spacing w:beforeLines="0" w:afterLines="0" w:line="240" w:lineRule="auto"/>
              <w:jc w:val="left"/>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4.</w:t>
            </w:r>
            <w:r>
              <w:rPr>
                <w:rFonts w:hint="eastAsia" w:ascii="宋体" w:hAnsi="宋体" w:cs="宋体"/>
                <w:color w:val="000000"/>
                <w:kern w:val="0"/>
                <w:sz w:val="18"/>
                <w:szCs w:val="18"/>
              </w:rPr>
              <w:t>工作温度:-40 ℃</w:t>
            </w:r>
            <w:r>
              <w:rPr>
                <w:rFonts w:hint="eastAsia" w:ascii="宋体" w:hAnsi="宋体" w:eastAsia="宋体" w:cs="宋体"/>
                <w:color w:val="000000"/>
                <w:kern w:val="0"/>
                <w:sz w:val="18"/>
                <w:szCs w:val="18"/>
                <w:lang w:val="en-US" w:eastAsia="zh-CN"/>
              </w:rPr>
              <w:t>～</w:t>
            </w:r>
            <w:r>
              <w:rPr>
                <w:rFonts w:hint="eastAsia" w:ascii="宋体" w:hAnsi="宋体" w:cs="宋体"/>
                <w:color w:val="000000"/>
                <w:kern w:val="0"/>
                <w:sz w:val="18"/>
                <w:szCs w:val="18"/>
              </w:rPr>
              <w:t>70 ℃</w:t>
            </w:r>
          </w:p>
          <w:p w14:paraId="241B03D5">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5.</w:t>
            </w:r>
            <w:r>
              <w:rPr>
                <w:rFonts w:hint="eastAsia" w:ascii="宋体" w:hAnsi="宋体" w:cs="宋体"/>
                <w:color w:val="000000"/>
                <w:kern w:val="0"/>
                <w:sz w:val="18"/>
                <w:szCs w:val="18"/>
              </w:rPr>
              <w:t>防爆等级:不低于 Ex</w:t>
            </w:r>
            <w:r>
              <w:rPr>
                <w:rFonts w:hint="eastAsia" w:ascii="宋体" w:hAnsi="宋体" w:cs="宋体"/>
                <w:color w:val="000000"/>
                <w:kern w:val="0"/>
                <w:sz w:val="18"/>
                <w:szCs w:val="18"/>
                <w:lang w:val="en-US" w:eastAsia="zh-CN"/>
              </w:rPr>
              <w:t xml:space="preserve"> </w:t>
            </w:r>
            <w:r>
              <w:rPr>
                <w:rFonts w:hint="eastAsia" w:ascii="宋体" w:hAnsi="宋体" w:cs="宋体"/>
                <w:color w:val="000000"/>
                <w:kern w:val="0"/>
                <w:sz w:val="18"/>
                <w:szCs w:val="18"/>
              </w:rPr>
              <w:t>ib</w:t>
            </w:r>
            <w:r>
              <w:rPr>
                <w:rFonts w:hint="eastAsia" w:ascii="宋体" w:hAnsi="宋体" w:cs="宋体"/>
                <w:color w:val="000000"/>
                <w:kern w:val="0"/>
                <w:sz w:val="18"/>
                <w:szCs w:val="18"/>
                <w:lang w:val="en-US" w:eastAsia="zh-CN"/>
              </w:rPr>
              <w:t xml:space="preserve"> </w:t>
            </w:r>
            <w:r>
              <w:rPr>
                <w:rFonts w:hint="eastAsia" w:ascii="宋体" w:hAnsi="宋体" w:cs="宋体"/>
                <w:color w:val="000000"/>
                <w:kern w:val="0"/>
                <w:sz w:val="18"/>
                <w:szCs w:val="18"/>
              </w:rPr>
              <w:t>IIB</w:t>
            </w:r>
            <w:r>
              <w:rPr>
                <w:rFonts w:hint="eastAsia" w:ascii="宋体" w:hAnsi="宋体" w:cs="宋体"/>
                <w:color w:val="000000"/>
                <w:kern w:val="0"/>
                <w:sz w:val="18"/>
                <w:szCs w:val="18"/>
                <w:lang w:val="en-US" w:eastAsia="zh-CN"/>
              </w:rPr>
              <w:t xml:space="preserve"> </w:t>
            </w:r>
            <w:r>
              <w:rPr>
                <w:rFonts w:hint="eastAsia" w:ascii="宋体" w:hAnsi="宋体" w:cs="宋体"/>
                <w:color w:val="000000"/>
                <w:kern w:val="0"/>
                <w:sz w:val="18"/>
                <w:szCs w:val="18"/>
              </w:rPr>
              <w:t>T4</w:t>
            </w:r>
            <w:r>
              <w:rPr>
                <w:rFonts w:hint="eastAsia" w:ascii="宋体" w:hAnsi="宋体" w:cs="宋体"/>
                <w:color w:val="000000"/>
                <w:kern w:val="0"/>
                <w:sz w:val="18"/>
                <w:szCs w:val="18"/>
                <w:lang w:val="en-US" w:eastAsia="zh-CN"/>
              </w:rPr>
              <w:t xml:space="preserve"> </w:t>
            </w:r>
            <w:r>
              <w:rPr>
                <w:rFonts w:hint="eastAsia" w:ascii="宋体" w:hAnsi="宋体" w:cs="宋体"/>
                <w:color w:val="000000"/>
                <w:kern w:val="0"/>
                <w:sz w:val="18"/>
                <w:szCs w:val="18"/>
              </w:rPr>
              <w:t>Gb</w:t>
            </w:r>
          </w:p>
          <w:p w14:paraId="54BACECF">
            <w:pPr>
              <w:widowControl/>
              <w:spacing w:beforeLines="0" w:afterLines="0" w:line="240" w:lineRule="auto"/>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6</w:t>
            </w:r>
            <w:r>
              <w:rPr>
                <w:rFonts w:hint="eastAsia" w:ascii="宋体" w:hAnsi="宋体" w:cs="宋体"/>
                <w:color w:val="000000"/>
                <w:kern w:val="0"/>
                <w:sz w:val="18"/>
                <w:szCs w:val="18"/>
              </w:rPr>
              <w:t>.防护等级：</w:t>
            </w:r>
            <w:r>
              <w:rPr>
                <w:rFonts w:hint="eastAsia" w:ascii="宋体" w:hAnsi="宋体" w:cs="宋体"/>
                <w:color w:val="000000"/>
                <w:kern w:val="0"/>
                <w:sz w:val="18"/>
                <w:szCs w:val="18"/>
                <w:lang w:val="en-US" w:eastAsia="zh-CN"/>
              </w:rPr>
              <w:t>不低于IP65</w:t>
            </w:r>
          </w:p>
          <w:p w14:paraId="784D5A37">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7</w:t>
            </w:r>
            <w:r>
              <w:rPr>
                <w:rFonts w:hint="eastAsia" w:ascii="宋体" w:hAnsi="宋体" w:cs="宋体"/>
                <w:color w:val="000000"/>
                <w:kern w:val="0"/>
                <w:sz w:val="18"/>
                <w:szCs w:val="18"/>
              </w:rPr>
              <w:t>.数据采集频率：不低于1次/30min（可设置）</w:t>
            </w:r>
          </w:p>
          <w:p w14:paraId="6FD40912">
            <w:pPr>
              <w:widowControl/>
              <w:spacing w:beforeLines="0" w:afterLines="0" w:line="240" w:lineRule="auto"/>
              <w:jc w:val="left"/>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8</w:t>
            </w:r>
            <w:r>
              <w:rPr>
                <w:rFonts w:hint="eastAsia" w:ascii="宋体" w:hAnsi="宋体" w:cs="宋体"/>
                <w:color w:val="000000"/>
                <w:kern w:val="0"/>
                <w:sz w:val="18"/>
                <w:szCs w:val="18"/>
              </w:rPr>
              <w:t>.数据上传频率：不低于1次/12h（可设置），事故状态自动实时传输</w:t>
            </w:r>
          </w:p>
          <w:p w14:paraId="25C3548C">
            <w:pPr>
              <w:widowControl/>
              <w:spacing w:beforeLines="0" w:afterLines="0" w:line="240" w:lineRule="auto"/>
              <w:jc w:val="left"/>
              <w:rPr>
                <w:rFonts w:ascii="宋体" w:hAnsi="宋体" w:cs="宋体"/>
                <w:color w:val="000000"/>
                <w:kern w:val="0"/>
                <w:sz w:val="18"/>
                <w:szCs w:val="18"/>
              </w:rPr>
            </w:pPr>
            <w:r>
              <w:rPr>
                <w:rFonts w:hint="eastAsia" w:ascii="宋体" w:hAnsi="宋体" w:cs="宋体"/>
                <w:color w:val="000000"/>
                <w:kern w:val="0"/>
                <w:sz w:val="18"/>
                <w:szCs w:val="18"/>
                <w:lang w:val="en-US" w:eastAsia="zh-CN"/>
              </w:rPr>
              <w:t>9.</w:t>
            </w:r>
            <w:r>
              <w:rPr>
                <w:rFonts w:hint="eastAsia" w:ascii="宋体" w:hAnsi="宋体" w:cs="宋体"/>
                <w:kern w:val="0"/>
                <w:sz w:val="18"/>
                <w:szCs w:val="18"/>
                <w:lang w:val="en-US" w:eastAsia="zh-CN"/>
              </w:rPr>
              <w:t>使用寿命：不低于5年</w:t>
            </w:r>
          </w:p>
        </w:tc>
      </w:tr>
      <w:tr w14:paraId="54CE4C45">
        <w:tblPrEx>
          <w:tblCellMar>
            <w:top w:w="0" w:type="dxa"/>
            <w:left w:w="108" w:type="dxa"/>
            <w:bottom w:w="0" w:type="dxa"/>
            <w:right w:w="108" w:type="dxa"/>
          </w:tblCellMar>
        </w:tblPrEx>
        <w:trPr>
          <w:trHeight w:val="1350" w:hRule="atLeast"/>
        </w:trPr>
        <w:tc>
          <w:tcPr>
            <w:tcW w:w="864" w:type="pct"/>
            <w:vMerge w:val="continue"/>
            <w:tcBorders>
              <w:top w:val="nil"/>
              <w:left w:val="single" w:color="auto" w:sz="4" w:space="0"/>
              <w:bottom w:val="single" w:color="auto" w:sz="4" w:space="0"/>
              <w:right w:val="single" w:color="auto" w:sz="4" w:space="0"/>
            </w:tcBorders>
            <w:vAlign w:val="center"/>
          </w:tcPr>
          <w:p w14:paraId="39F2B80A">
            <w:pPr>
              <w:widowControl/>
              <w:spacing w:beforeLines="0" w:afterLines="0" w:line="240" w:lineRule="auto"/>
              <w:jc w:val="left"/>
              <w:rPr>
                <w:rFonts w:ascii="宋体" w:hAnsi="宋体" w:cs="宋体"/>
                <w:color w:val="000000"/>
                <w:kern w:val="0"/>
                <w:sz w:val="18"/>
                <w:szCs w:val="18"/>
              </w:rPr>
            </w:pPr>
          </w:p>
        </w:tc>
        <w:tc>
          <w:tcPr>
            <w:tcW w:w="1027" w:type="pct"/>
            <w:tcBorders>
              <w:top w:val="nil"/>
              <w:left w:val="nil"/>
              <w:bottom w:val="single" w:color="auto" w:sz="4" w:space="0"/>
              <w:right w:val="single" w:color="auto" w:sz="4" w:space="0"/>
            </w:tcBorders>
            <w:vAlign w:val="center"/>
          </w:tcPr>
          <w:p w14:paraId="0A613D4E">
            <w:pPr>
              <w:widowControl/>
              <w:spacing w:beforeLines="0" w:afterLines="0" w:line="240" w:lineRule="auto"/>
              <w:jc w:val="center"/>
              <w:rPr>
                <w:rFonts w:ascii="宋体" w:hAnsi="宋体" w:cs="宋体"/>
                <w:color w:val="000000"/>
                <w:kern w:val="0"/>
                <w:sz w:val="18"/>
                <w:szCs w:val="18"/>
              </w:rPr>
            </w:pPr>
            <w:r>
              <w:rPr>
                <w:rFonts w:hint="eastAsia" w:ascii="宋体" w:hAnsi="宋体" w:cs="宋体"/>
                <w:color w:val="000000"/>
                <w:kern w:val="0"/>
                <w:sz w:val="18"/>
                <w:szCs w:val="18"/>
              </w:rPr>
              <w:t>压力</w:t>
            </w:r>
          </w:p>
        </w:tc>
        <w:tc>
          <w:tcPr>
            <w:tcW w:w="3108" w:type="pct"/>
            <w:tcBorders>
              <w:top w:val="nil"/>
              <w:left w:val="nil"/>
              <w:bottom w:val="single" w:color="auto" w:sz="4" w:space="0"/>
              <w:right w:val="single" w:color="auto" w:sz="4" w:space="0"/>
            </w:tcBorders>
            <w:vAlign w:val="center"/>
          </w:tcPr>
          <w:p w14:paraId="2F716680">
            <w:pPr>
              <w:widowControl/>
              <w:spacing w:beforeLines="0" w:afterLines="0" w:line="240" w:lineRule="auto"/>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1.</w:t>
            </w:r>
            <w:r>
              <w:rPr>
                <w:rFonts w:hint="eastAsia" w:ascii="宋体" w:hAnsi="宋体" w:cs="宋体"/>
                <w:color w:val="000000"/>
                <w:kern w:val="0"/>
                <w:sz w:val="18"/>
                <w:szCs w:val="18"/>
                <w:lang w:val="en-US" w:eastAsia="zh-CN"/>
              </w:rPr>
              <w:t>量程：最大被测压力的1.5</w:t>
            </w:r>
            <w:r>
              <w:rPr>
                <w:rFonts w:hint="eastAsia" w:ascii="宋体" w:hAnsi="宋体" w:eastAsia="宋体" w:cs="宋体"/>
                <w:color w:val="000000"/>
                <w:kern w:val="0"/>
                <w:sz w:val="18"/>
                <w:szCs w:val="18"/>
                <w:lang w:val="en-US" w:eastAsia="zh-CN"/>
              </w:rPr>
              <w:t>～</w:t>
            </w:r>
            <w:r>
              <w:rPr>
                <w:rFonts w:hint="eastAsia" w:ascii="宋体" w:hAnsi="宋体" w:cs="宋体"/>
                <w:color w:val="000000"/>
                <w:kern w:val="0"/>
                <w:sz w:val="18"/>
                <w:szCs w:val="18"/>
                <w:lang w:val="en-US" w:eastAsia="zh-CN"/>
              </w:rPr>
              <w:t>3倍</w:t>
            </w:r>
          </w:p>
          <w:p w14:paraId="3960C30B">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2.</w:t>
            </w:r>
            <w:r>
              <w:rPr>
                <w:rFonts w:hint="eastAsia" w:ascii="宋体" w:hAnsi="宋体" w:cs="宋体"/>
                <w:color w:val="000000"/>
                <w:kern w:val="0"/>
                <w:sz w:val="18"/>
                <w:szCs w:val="18"/>
              </w:rPr>
              <w:t>探测精度：</w:t>
            </w:r>
            <w:r>
              <w:rPr>
                <w:rFonts w:hint="eastAsia" w:ascii="宋体" w:hAnsi="宋体" w:cs="宋体"/>
                <w:color w:val="000000"/>
                <w:kern w:val="0"/>
                <w:sz w:val="18"/>
                <w:szCs w:val="18"/>
                <w:lang w:val="en-US" w:eastAsia="zh-CN"/>
              </w:rPr>
              <w:t>不低于1级</w:t>
            </w:r>
          </w:p>
          <w:p w14:paraId="1C7E61CD">
            <w:pPr>
              <w:widowControl/>
              <w:spacing w:beforeLines="0" w:afterLines="0" w:line="240" w:lineRule="auto"/>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3</w:t>
            </w:r>
            <w:r>
              <w:rPr>
                <w:rFonts w:hint="eastAsia" w:ascii="宋体" w:hAnsi="宋体" w:cs="宋体"/>
                <w:color w:val="000000"/>
                <w:kern w:val="0"/>
                <w:sz w:val="18"/>
                <w:szCs w:val="18"/>
              </w:rPr>
              <w:t>.防护等级：</w:t>
            </w:r>
            <w:r>
              <w:rPr>
                <w:rFonts w:hint="eastAsia" w:ascii="宋体" w:hAnsi="宋体" w:cs="宋体"/>
                <w:color w:val="000000"/>
                <w:kern w:val="0"/>
                <w:sz w:val="18"/>
                <w:szCs w:val="18"/>
                <w:lang w:val="en-US" w:eastAsia="zh-CN"/>
              </w:rPr>
              <w:t>不低于IP65</w:t>
            </w:r>
          </w:p>
          <w:p w14:paraId="4A459777">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4</w:t>
            </w:r>
            <w:r>
              <w:rPr>
                <w:rFonts w:hint="eastAsia" w:ascii="宋体" w:hAnsi="宋体" w:cs="宋体"/>
                <w:color w:val="000000"/>
                <w:kern w:val="0"/>
                <w:sz w:val="18"/>
                <w:szCs w:val="18"/>
              </w:rPr>
              <w:t>.数据采集频率：不低于1次/5min（可设置）</w:t>
            </w:r>
          </w:p>
          <w:p w14:paraId="3D36D56D">
            <w:pPr>
              <w:widowControl/>
              <w:spacing w:beforeLines="0" w:afterLines="0" w:line="240" w:lineRule="auto"/>
              <w:jc w:val="left"/>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5</w:t>
            </w:r>
            <w:r>
              <w:rPr>
                <w:rFonts w:hint="eastAsia" w:ascii="宋体" w:hAnsi="宋体" w:cs="宋体"/>
                <w:color w:val="000000"/>
                <w:kern w:val="0"/>
                <w:sz w:val="18"/>
                <w:szCs w:val="18"/>
              </w:rPr>
              <w:t>.数据上传频率：不低于1次/12h（可设置），事故状态自动实时传输</w:t>
            </w:r>
          </w:p>
          <w:p w14:paraId="724E66B8">
            <w:pPr>
              <w:widowControl/>
              <w:spacing w:before="31" w:after="31" w:line="240" w:lineRule="auto"/>
              <w:jc w:val="left"/>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6.满足防爆要求</w:t>
            </w:r>
          </w:p>
          <w:p w14:paraId="41D9FBD3">
            <w:pPr>
              <w:widowControl/>
              <w:spacing w:beforeLines="0" w:afterLines="0" w:line="240" w:lineRule="auto"/>
              <w:jc w:val="left"/>
              <w:rPr>
                <w:rFonts w:ascii="宋体" w:hAnsi="宋体" w:cs="宋体"/>
                <w:color w:val="000000"/>
                <w:kern w:val="0"/>
                <w:sz w:val="18"/>
                <w:szCs w:val="18"/>
              </w:rPr>
            </w:pPr>
            <w:r>
              <w:rPr>
                <w:rFonts w:hint="eastAsia" w:ascii="宋体" w:hAnsi="宋体" w:cs="宋体"/>
                <w:color w:val="000000"/>
                <w:kern w:val="0"/>
                <w:sz w:val="18"/>
                <w:szCs w:val="18"/>
                <w:lang w:val="en-US" w:eastAsia="zh-CN"/>
              </w:rPr>
              <w:t>7.</w:t>
            </w:r>
            <w:r>
              <w:rPr>
                <w:rFonts w:hint="eastAsia" w:ascii="宋体" w:hAnsi="宋体" w:cs="宋体"/>
                <w:kern w:val="0"/>
                <w:sz w:val="18"/>
                <w:szCs w:val="18"/>
                <w:lang w:val="en-US" w:eastAsia="zh-CN"/>
              </w:rPr>
              <w:t>使用寿命：不低于5年</w:t>
            </w:r>
          </w:p>
        </w:tc>
      </w:tr>
      <w:tr w14:paraId="77BF5017">
        <w:tblPrEx>
          <w:tblCellMar>
            <w:top w:w="0" w:type="dxa"/>
            <w:left w:w="108" w:type="dxa"/>
            <w:bottom w:w="0" w:type="dxa"/>
            <w:right w:w="108" w:type="dxa"/>
          </w:tblCellMar>
        </w:tblPrEx>
        <w:trPr>
          <w:trHeight w:val="1873" w:hRule="atLeast"/>
        </w:trPr>
        <w:tc>
          <w:tcPr>
            <w:tcW w:w="864" w:type="pct"/>
            <w:tcBorders>
              <w:top w:val="nil"/>
              <w:left w:val="single" w:color="auto" w:sz="4" w:space="0"/>
              <w:bottom w:val="single" w:color="auto" w:sz="4" w:space="0"/>
              <w:right w:val="single" w:color="auto" w:sz="4" w:space="0"/>
            </w:tcBorders>
            <w:vAlign w:val="center"/>
          </w:tcPr>
          <w:p w14:paraId="0BD208D7">
            <w:pPr>
              <w:widowControl/>
              <w:spacing w:beforeLines="0" w:afterLines="0" w:line="240" w:lineRule="auto"/>
              <w:jc w:val="center"/>
              <w:rPr>
                <w:rFonts w:ascii="宋体" w:hAnsi="宋体" w:cs="宋体"/>
                <w:color w:val="000000"/>
                <w:kern w:val="0"/>
                <w:sz w:val="18"/>
                <w:szCs w:val="18"/>
              </w:rPr>
            </w:pPr>
            <w:r>
              <w:rPr>
                <w:rFonts w:hint="eastAsia" w:ascii="宋体" w:hAnsi="宋体" w:cs="宋体"/>
                <w:color w:val="000000"/>
                <w:kern w:val="0"/>
                <w:sz w:val="18"/>
                <w:szCs w:val="18"/>
              </w:rPr>
              <w:t>燃气管道相邻空间</w:t>
            </w:r>
          </w:p>
        </w:tc>
        <w:tc>
          <w:tcPr>
            <w:tcW w:w="1027" w:type="pct"/>
            <w:tcBorders>
              <w:top w:val="nil"/>
              <w:left w:val="nil"/>
              <w:bottom w:val="single" w:color="auto" w:sz="4" w:space="0"/>
              <w:right w:val="single" w:color="auto" w:sz="4" w:space="0"/>
            </w:tcBorders>
            <w:vAlign w:val="center"/>
          </w:tcPr>
          <w:p w14:paraId="10128CC5">
            <w:pPr>
              <w:widowControl/>
              <w:spacing w:beforeLines="0" w:afterLines="0" w:line="240" w:lineRule="auto"/>
              <w:jc w:val="center"/>
              <w:rPr>
                <w:rFonts w:ascii="宋体" w:hAnsi="宋体" w:cs="宋体"/>
                <w:color w:val="000000"/>
                <w:kern w:val="0"/>
                <w:sz w:val="18"/>
                <w:szCs w:val="18"/>
              </w:rPr>
            </w:pPr>
            <w:r>
              <w:rPr>
                <w:rFonts w:hint="eastAsia" w:ascii="宋体" w:hAnsi="宋体" w:cs="宋体"/>
                <w:color w:val="000000"/>
                <w:kern w:val="0"/>
                <w:sz w:val="18"/>
                <w:szCs w:val="18"/>
              </w:rPr>
              <w:t>可燃气体浓度</w:t>
            </w:r>
          </w:p>
        </w:tc>
        <w:tc>
          <w:tcPr>
            <w:tcW w:w="3108" w:type="pct"/>
            <w:tcBorders>
              <w:top w:val="nil"/>
              <w:left w:val="nil"/>
              <w:bottom w:val="single" w:color="auto" w:sz="4" w:space="0"/>
              <w:right w:val="single" w:color="auto" w:sz="4" w:space="0"/>
            </w:tcBorders>
            <w:vAlign w:val="center"/>
          </w:tcPr>
          <w:p w14:paraId="0793D6CF">
            <w:pPr>
              <w:widowControl/>
              <w:spacing w:beforeLines="0" w:afterLines="0" w:line="240" w:lineRule="auto"/>
              <w:jc w:val="left"/>
              <w:rPr>
                <w:rFonts w:hint="eastAsia" w:ascii="宋体" w:hAnsi="宋体" w:eastAsia="宋体" w:cs="宋体"/>
                <w:color w:val="000000"/>
                <w:kern w:val="0"/>
                <w:sz w:val="18"/>
                <w:szCs w:val="18"/>
                <w:highlight w:val="none"/>
                <w:lang w:eastAsia="zh-CN"/>
              </w:rPr>
            </w:pPr>
            <w:r>
              <w:rPr>
                <w:rFonts w:hint="eastAsia" w:ascii="宋体" w:hAnsi="宋体" w:cs="宋体"/>
                <w:color w:val="000000"/>
                <w:kern w:val="0"/>
                <w:sz w:val="18"/>
                <w:szCs w:val="18"/>
              </w:rPr>
              <w:t>1.量程</w:t>
            </w:r>
            <w:r>
              <w:rPr>
                <w:rFonts w:hint="eastAsia" w:ascii="宋体" w:hAnsi="宋体" w:cs="宋体"/>
                <w:color w:val="000000"/>
                <w:kern w:val="0"/>
                <w:sz w:val="18"/>
                <w:szCs w:val="18"/>
                <w:highlight w:val="none"/>
              </w:rPr>
              <w:t>：</w:t>
            </w:r>
            <w:r>
              <w:rPr>
                <w:rFonts w:hint="eastAsia" w:ascii="宋体" w:hAnsi="宋体" w:cs="宋体"/>
                <w:color w:val="000000"/>
                <w:kern w:val="0"/>
                <w:sz w:val="18"/>
                <w:szCs w:val="18"/>
                <w:highlight w:val="none"/>
                <w:lang w:val="en-US" w:eastAsia="zh-CN"/>
              </w:rPr>
              <w:t>不低于</w:t>
            </w:r>
            <w:r>
              <w:rPr>
                <w:rFonts w:hint="eastAsia" w:ascii="宋体" w:hAnsi="宋体" w:cs="宋体"/>
                <w:color w:val="000000"/>
                <w:kern w:val="0"/>
                <w:sz w:val="18"/>
                <w:szCs w:val="18"/>
                <w:highlight w:val="none"/>
              </w:rPr>
              <w:t>0</w:t>
            </w:r>
            <w:r>
              <w:rPr>
                <w:rFonts w:hint="eastAsia" w:ascii="宋体" w:hAnsi="宋体" w:eastAsia="宋体" w:cs="宋体"/>
                <w:color w:val="000000"/>
                <w:kern w:val="0"/>
                <w:sz w:val="18"/>
                <w:szCs w:val="18"/>
                <w:highlight w:val="none"/>
                <w:lang w:val="en-US" w:eastAsia="zh-CN"/>
              </w:rPr>
              <w:t>～</w:t>
            </w:r>
            <w:r>
              <w:rPr>
                <w:rFonts w:hint="eastAsia" w:ascii="宋体" w:hAnsi="宋体" w:cs="宋体"/>
                <w:color w:val="000000"/>
                <w:kern w:val="0"/>
                <w:sz w:val="18"/>
                <w:szCs w:val="18"/>
                <w:highlight w:val="none"/>
                <w:lang w:val="en-US" w:eastAsia="zh-CN"/>
              </w:rPr>
              <w:t>20</w:t>
            </w:r>
            <w:r>
              <w:rPr>
                <w:rFonts w:hint="eastAsia" w:ascii="宋体" w:hAnsi="宋体" w:cs="宋体"/>
                <w:color w:val="000000"/>
                <w:kern w:val="0"/>
                <w:sz w:val="18"/>
                <w:szCs w:val="18"/>
                <w:highlight w:val="none"/>
              </w:rPr>
              <w:t>%</w:t>
            </w:r>
            <w:r>
              <w:rPr>
                <w:rFonts w:hint="eastAsia" w:ascii="宋体" w:hAnsi="宋体" w:cs="宋体"/>
                <w:color w:val="000000"/>
                <w:kern w:val="0"/>
                <w:sz w:val="18"/>
                <w:szCs w:val="18"/>
                <w:highlight w:val="none"/>
                <w:lang w:val="en-US" w:eastAsia="zh-CN"/>
              </w:rPr>
              <w:t>VOL</w:t>
            </w:r>
          </w:p>
          <w:p w14:paraId="41E07593">
            <w:pPr>
              <w:widowControl/>
              <w:spacing w:beforeLines="0" w:afterLines="0" w:line="240" w:lineRule="auto"/>
              <w:jc w:val="left"/>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2</w:t>
            </w:r>
            <w:r>
              <w:rPr>
                <w:rFonts w:hint="eastAsia" w:ascii="宋体" w:hAnsi="宋体" w:cs="宋体"/>
                <w:color w:val="000000"/>
                <w:kern w:val="0"/>
                <w:sz w:val="18"/>
                <w:szCs w:val="18"/>
              </w:rPr>
              <w:t>.探测精度：±0.1%VOL(测量范围在0%VOL</w:t>
            </w:r>
            <w:r>
              <w:rPr>
                <w:rFonts w:hint="eastAsia" w:ascii="宋体" w:hAnsi="宋体" w:eastAsia="宋体" w:cs="宋体"/>
                <w:color w:val="000000"/>
                <w:kern w:val="0"/>
                <w:sz w:val="18"/>
                <w:szCs w:val="18"/>
                <w:lang w:val="en-US" w:eastAsia="zh-CN"/>
              </w:rPr>
              <w:t>～</w:t>
            </w:r>
            <w:r>
              <w:rPr>
                <w:rFonts w:hint="eastAsia" w:ascii="宋体" w:hAnsi="宋体" w:cs="宋体"/>
                <w:color w:val="000000"/>
                <w:kern w:val="0"/>
                <w:sz w:val="18"/>
                <w:szCs w:val="18"/>
              </w:rPr>
              <w:t>1%VOL 之间);真值的±5%(测量范围在1%VOL</w:t>
            </w:r>
            <w:r>
              <w:rPr>
                <w:rFonts w:hint="eastAsia" w:ascii="宋体" w:hAnsi="宋体" w:eastAsia="宋体" w:cs="宋体"/>
                <w:color w:val="000000"/>
                <w:kern w:val="0"/>
                <w:sz w:val="18"/>
                <w:szCs w:val="18"/>
                <w:lang w:val="en-US" w:eastAsia="zh-CN"/>
              </w:rPr>
              <w:t>～</w:t>
            </w:r>
            <w:r>
              <w:rPr>
                <w:rFonts w:hint="eastAsia" w:ascii="宋体" w:hAnsi="宋体" w:cs="宋体"/>
                <w:color w:val="000000"/>
                <w:kern w:val="0"/>
                <w:sz w:val="18"/>
                <w:szCs w:val="18"/>
              </w:rPr>
              <w:t>20%VOL之间)</w:t>
            </w:r>
          </w:p>
          <w:p w14:paraId="095717CC">
            <w:pPr>
              <w:widowControl/>
              <w:spacing w:beforeLines="0" w:afterLines="0" w:line="240" w:lineRule="auto"/>
              <w:jc w:val="left"/>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3.</w:t>
            </w:r>
            <w:r>
              <w:rPr>
                <w:rFonts w:hint="eastAsia" w:ascii="宋体" w:hAnsi="宋体" w:cs="宋体"/>
                <w:color w:val="000000"/>
                <w:kern w:val="0"/>
                <w:sz w:val="18"/>
                <w:szCs w:val="18"/>
              </w:rPr>
              <w:t>分辨率:0.1%VOL</w:t>
            </w:r>
          </w:p>
          <w:p w14:paraId="44AB86F4">
            <w:pPr>
              <w:widowControl/>
              <w:spacing w:beforeLines="0" w:afterLines="0" w:line="240" w:lineRule="auto"/>
              <w:jc w:val="left"/>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4.</w:t>
            </w:r>
            <w:r>
              <w:rPr>
                <w:rFonts w:hint="eastAsia" w:ascii="宋体" w:hAnsi="宋体" w:cs="宋体"/>
                <w:color w:val="000000"/>
                <w:kern w:val="0"/>
                <w:sz w:val="18"/>
                <w:szCs w:val="18"/>
              </w:rPr>
              <w:t>工作温度:-40 ℃</w:t>
            </w:r>
            <w:r>
              <w:rPr>
                <w:rFonts w:hint="eastAsia" w:ascii="宋体" w:hAnsi="宋体" w:eastAsia="宋体" w:cs="宋体"/>
                <w:color w:val="000000"/>
                <w:kern w:val="0"/>
                <w:sz w:val="18"/>
                <w:szCs w:val="18"/>
                <w:lang w:val="en-US" w:eastAsia="zh-CN"/>
              </w:rPr>
              <w:t>～</w:t>
            </w:r>
            <w:r>
              <w:rPr>
                <w:rFonts w:hint="eastAsia" w:ascii="宋体" w:hAnsi="宋体" w:cs="宋体"/>
                <w:color w:val="000000"/>
                <w:kern w:val="0"/>
                <w:sz w:val="18"/>
                <w:szCs w:val="18"/>
              </w:rPr>
              <w:t>70 ℃</w:t>
            </w:r>
          </w:p>
          <w:p w14:paraId="4D19AA65">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5.</w:t>
            </w:r>
            <w:r>
              <w:rPr>
                <w:rFonts w:hint="eastAsia" w:ascii="宋体" w:hAnsi="宋体" w:cs="宋体"/>
                <w:color w:val="000000"/>
                <w:kern w:val="0"/>
                <w:sz w:val="18"/>
                <w:szCs w:val="18"/>
              </w:rPr>
              <w:t>防爆等级:不低于 Ex</w:t>
            </w:r>
            <w:r>
              <w:rPr>
                <w:rFonts w:hint="eastAsia" w:ascii="宋体" w:hAnsi="宋体" w:cs="宋体"/>
                <w:color w:val="000000"/>
                <w:kern w:val="0"/>
                <w:sz w:val="18"/>
                <w:szCs w:val="18"/>
                <w:lang w:val="en-US" w:eastAsia="zh-CN"/>
              </w:rPr>
              <w:t xml:space="preserve"> </w:t>
            </w:r>
            <w:r>
              <w:rPr>
                <w:rFonts w:hint="eastAsia" w:ascii="宋体" w:hAnsi="宋体" w:cs="宋体"/>
                <w:color w:val="000000"/>
                <w:kern w:val="0"/>
                <w:sz w:val="18"/>
                <w:szCs w:val="18"/>
              </w:rPr>
              <w:t>ib</w:t>
            </w:r>
            <w:r>
              <w:rPr>
                <w:rFonts w:hint="eastAsia" w:ascii="宋体" w:hAnsi="宋体" w:cs="宋体"/>
                <w:color w:val="000000"/>
                <w:kern w:val="0"/>
                <w:sz w:val="18"/>
                <w:szCs w:val="18"/>
                <w:lang w:val="en-US" w:eastAsia="zh-CN"/>
              </w:rPr>
              <w:t xml:space="preserve"> </w:t>
            </w:r>
            <w:r>
              <w:rPr>
                <w:rFonts w:hint="eastAsia" w:ascii="宋体" w:hAnsi="宋体" w:cs="宋体"/>
                <w:color w:val="000000"/>
                <w:kern w:val="0"/>
                <w:sz w:val="18"/>
                <w:szCs w:val="18"/>
              </w:rPr>
              <w:t>IIB</w:t>
            </w:r>
            <w:r>
              <w:rPr>
                <w:rFonts w:hint="eastAsia" w:ascii="宋体" w:hAnsi="宋体" w:cs="宋体"/>
                <w:color w:val="000000"/>
                <w:kern w:val="0"/>
                <w:sz w:val="18"/>
                <w:szCs w:val="18"/>
                <w:lang w:val="en-US" w:eastAsia="zh-CN"/>
              </w:rPr>
              <w:t xml:space="preserve"> </w:t>
            </w:r>
            <w:r>
              <w:rPr>
                <w:rFonts w:hint="eastAsia" w:ascii="宋体" w:hAnsi="宋体" w:cs="宋体"/>
                <w:color w:val="000000"/>
                <w:kern w:val="0"/>
                <w:sz w:val="18"/>
                <w:szCs w:val="18"/>
              </w:rPr>
              <w:t>T4</w:t>
            </w:r>
            <w:r>
              <w:rPr>
                <w:rFonts w:hint="eastAsia" w:ascii="宋体" w:hAnsi="宋体" w:cs="宋体"/>
                <w:color w:val="000000"/>
                <w:kern w:val="0"/>
                <w:sz w:val="18"/>
                <w:szCs w:val="18"/>
                <w:lang w:val="en-US" w:eastAsia="zh-CN"/>
              </w:rPr>
              <w:t xml:space="preserve"> </w:t>
            </w:r>
            <w:r>
              <w:rPr>
                <w:rFonts w:hint="eastAsia" w:ascii="宋体" w:hAnsi="宋体" w:cs="宋体"/>
                <w:color w:val="000000"/>
                <w:kern w:val="0"/>
                <w:sz w:val="18"/>
                <w:szCs w:val="18"/>
              </w:rPr>
              <w:t>Gb</w:t>
            </w:r>
          </w:p>
          <w:p w14:paraId="36FD5A7A">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6</w:t>
            </w:r>
            <w:r>
              <w:rPr>
                <w:rFonts w:hint="eastAsia" w:ascii="宋体" w:hAnsi="宋体" w:cs="宋体"/>
                <w:color w:val="000000"/>
                <w:kern w:val="0"/>
                <w:sz w:val="18"/>
                <w:szCs w:val="18"/>
              </w:rPr>
              <w:t>.防护等级：IP68</w:t>
            </w:r>
          </w:p>
          <w:p w14:paraId="6ABC6E44">
            <w:pPr>
              <w:widowControl/>
              <w:spacing w:beforeLines="0" w:afterLines="0" w:line="240" w:lineRule="auto"/>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7</w:t>
            </w:r>
            <w:r>
              <w:rPr>
                <w:rFonts w:hint="eastAsia" w:ascii="宋体" w:hAnsi="宋体" w:cs="宋体"/>
                <w:color w:val="000000"/>
                <w:kern w:val="0"/>
                <w:sz w:val="18"/>
                <w:szCs w:val="18"/>
              </w:rPr>
              <w:t>.数据采集频率：不低于1次/30min（可设置）</w:t>
            </w:r>
          </w:p>
          <w:p w14:paraId="7CA2EB19">
            <w:pPr>
              <w:widowControl/>
              <w:spacing w:beforeLines="0" w:afterLines="0" w:line="240" w:lineRule="auto"/>
              <w:jc w:val="left"/>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8</w:t>
            </w:r>
            <w:r>
              <w:rPr>
                <w:rFonts w:hint="eastAsia" w:ascii="宋体" w:hAnsi="宋体" w:cs="宋体"/>
                <w:color w:val="000000"/>
                <w:kern w:val="0"/>
                <w:sz w:val="18"/>
                <w:szCs w:val="18"/>
              </w:rPr>
              <w:t>.数据上传频率：不低于1次/12h（可设置），事故状态自动实时传输</w:t>
            </w:r>
          </w:p>
          <w:p w14:paraId="5DB66C22">
            <w:pPr>
              <w:widowControl/>
              <w:spacing w:beforeLines="0" w:afterLines="0" w:line="240" w:lineRule="auto"/>
              <w:jc w:val="left"/>
              <w:rPr>
                <w:rFonts w:hint="default"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rPr>
              <w:t>9.</w:t>
            </w:r>
            <w:r>
              <w:rPr>
                <w:rFonts w:hint="eastAsia" w:ascii="宋体" w:hAnsi="宋体" w:cs="宋体"/>
                <w:kern w:val="0"/>
                <w:sz w:val="18"/>
                <w:szCs w:val="18"/>
                <w:lang w:val="en-US" w:eastAsia="zh-CN"/>
              </w:rPr>
              <w:t>使用寿命：不低于5年</w:t>
            </w:r>
          </w:p>
        </w:tc>
      </w:tr>
    </w:tbl>
    <w:p w14:paraId="766F822A">
      <w:pPr>
        <w:pStyle w:val="98"/>
        <w:spacing w:before="31" w:after="31"/>
        <w:rPr>
          <w:bCs/>
          <w:color w:val="auto"/>
        </w:rPr>
      </w:pPr>
    </w:p>
    <w:p w14:paraId="57552DFD">
      <w:pPr>
        <w:pStyle w:val="98"/>
        <w:spacing w:before="31" w:after="31"/>
        <w:rPr>
          <w:bCs/>
          <w:color w:val="auto"/>
        </w:rPr>
      </w:pPr>
    </w:p>
    <w:p w14:paraId="7E2186F5">
      <w:pPr>
        <w:spacing w:before="31" w:after="31"/>
        <w:sectPr>
          <w:headerReference r:id="rId28" w:type="default"/>
          <w:footerReference r:id="rId29" w:type="even"/>
          <w:pgSz w:w="11907" w:h="16840"/>
          <w:pgMar w:top="1440" w:right="1418" w:bottom="1440" w:left="1418" w:header="851" w:footer="992" w:gutter="567"/>
          <w:pgBorders>
            <w:top w:val="none" w:sz="0" w:space="0"/>
            <w:left w:val="none" w:sz="0" w:space="0"/>
            <w:bottom w:val="none" w:sz="0" w:space="0"/>
            <w:right w:val="none" w:sz="0" w:space="0"/>
          </w:pgBorders>
          <w:cols w:space="720" w:num="1"/>
          <w:docGrid w:type="linesAndChars" w:linePitch="312" w:charSpace="0"/>
        </w:sectPr>
      </w:pPr>
    </w:p>
    <w:p w14:paraId="7C64951D">
      <w:pPr>
        <w:pStyle w:val="2"/>
        <w:pageBreakBefore/>
        <w:tabs>
          <w:tab w:val="left" w:pos="454"/>
        </w:tabs>
        <w:spacing w:beforeLines="100" w:afterLines="100"/>
        <w:rPr>
          <w:rFonts w:hint="eastAsia" w:ascii="宋体" w:hAnsi="宋体"/>
          <w:szCs w:val="21"/>
        </w:rPr>
      </w:pPr>
      <w:bookmarkStart w:id="183" w:name="_Toc4788"/>
      <w:r>
        <w:rPr>
          <w:rFonts w:hint="eastAsia" w:ascii="宋体" w:hAnsi="宋体"/>
          <w:szCs w:val="21"/>
          <w:lang w:val="en-US" w:eastAsia="zh-CN"/>
        </w:rPr>
        <w:t>C</w:t>
      </w:r>
      <w:r>
        <w:rPr>
          <w:rFonts w:hint="eastAsia" w:ascii="宋体" w:hAnsi="宋体"/>
          <w:szCs w:val="21"/>
        </w:rPr>
        <w:t>.2供水</w:t>
      </w:r>
      <w:r>
        <w:rPr>
          <w:rFonts w:hint="eastAsia" w:ascii="宋体" w:hAnsi="宋体"/>
          <w:szCs w:val="21"/>
          <w:lang w:eastAsia="zh-CN"/>
        </w:rPr>
        <w:t>监测设备</w:t>
      </w:r>
      <w:r>
        <w:rPr>
          <w:rFonts w:hint="eastAsia" w:ascii="宋体" w:hAnsi="宋体"/>
          <w:szCs w:val="21"/>
          <w:lang w:val="en-US" w:eastAsia="zh-CN"/>
        </w:rPr>
        <w:t>性能</w:t>
      </w:r>
      <w:r>
        <w:rPr>
          <w:rFonts w:hint="eastAsia" w:ascii="宋体" w:hAnsi="宋体"/>
          <w:szCs w:val="21"/>
        </w:rPr>
        <w:t>要求</w:t>
      </w:r>
      <w:bookmarkEnd w:id="183"/>
    </w:p>
    <w:p w14:paraId="256E8BCD">
      <w:pPr>
        <w:rPr>
          <w:rFonts w:hint="eastAsia" w:ascii="黑体" w:hAnsi="黑体" w:eastAsia="黑体"/>
          <w:bCs/>
          <w:color w:val="auto"/>
          <w:lang w:val="en-US" w:eastAsia="zh-CN"/>
        </w:rPr>
      </w:pPr>
      <w:r>
        <w:rPr>
          <w:rFonts w:hint="eastAsia"/>
          <w:b w:val="0"/>
          <w:bCs w:val="0"/>
          <w:lang w:val="en-US" w:eastAsia="zh-CN"/>
        </w:rPr>
        <w:t>供水监测设备性能要求见表C.2。</w:t>
      </w:r>
    </w:p>
    <w:tbl>
      <w:tblPr>
        <w:tblStyle w:val="35"/>
        <w:tblW w:w="4857" w:type="pct"/>
        <w:tblInd w:w="122" w:type="dxa"/>
        <w:tblLayout w:type="autofit"/>
        <w:tblCellMar>
          <w:top w:w="0" w:type="dxa"/>
          <w:left w:w="108" w:type="dxa"/>
          <w:bottom w:w="0" w:type="dxa"/>
          <w:right w:w="108" w:type="dxa"/>
        </w:tblCellMar>
      </w:tblPr>
      <w:tblGrid>
        <w:gridCol w:w="1316"/>
        <w:gridCol w:w="1447"/>
        <w:gridCol w:w="1238"/>
        <w:gridCol w:w="1403"/>
        <w:gridCol w:w="1703"/>
        <w:gridCol w:w="1364"/>
      </w:tblGrid>
      <w:tr w14:paraId="22D2903D">
        <w:tblPrEx>
          <w:tblCellMar>
            <w:top w:w="0" w:type="dxa"/>
            <w:left w:w="108" w:type="dxa"/>
            <w:bottom w:w="0" w:type="dxa"/>
            <w:right w:w="108" w:type="dxa"/>
          </w:tblCellMar>
        </w:tblPrEx>
        <w:trPr>
          <w:trHeight w:val="283" w:hRule="atLeast"/>
          <w:tblHeader/>
        </w:trPr>
        <w:tc>
          <w:tcPr>
            <w:tcW w:w="5000" w:type="pct"/>
            <w:gridSpan w:val="6"/>
            <w:tcBorders>
              <w:top w:val="nil"/>
              <w:left w:val="nil"/>
              <w:bottom w:val="nil"/>
              <w:right w:val="nil"/>
            </w:tcBorders>
            <w:noWrap/>
            <w:vAlign w:val="center"/>
          </w:tcPr>
          <w:p w14:paraId="7415B695">
            <w:pPr>
              <w:pStyle w:val="98"/>
              <w:spacing w:before="31" w:after="31"/>
              <w:jc w:val="center"/>
              <w:rPr>
                <w:rFonts w:ascii="宋体" w:hAnsi="宋体"/>
                <w:b/>
                <w:bCs/>
                <w:kern w:val="0"/>
                <w:sz w:val="18"/>
                <w:szCs w:val="18"/>
              </w:rPr>
            </w:pPr>
            <w:r>
              <w:rPr>
                <w:rFonts w:hint="eastAsia" w:ascii="黑体" w:hAnsi="黑体" w:eastAsia="黑体"/>
                <w:bCs/>
                <w:color w:val="auto"/>
              </w:rPr>
              <w:t>表</w:t>
            </w:r>
            <w:r>
              <w:rPr>
                <w:rFonts w:hint="eastAsia" w:ascii="黑体" w:hAnsi="黑体" w:eastAsia="黑体"/>
                <w:bCs/>
                <w:color w:val="auto"/>
                <w:lang w:val="en-US" w:eastAsia="zh-CN"/>
              </w:rPr>
              <w:t>C</w:t>
            </w:r>
            <w:r>
              <w:rPr>
                <w:rFonts w:hint="eastAsia" w:ascii="黑体" w:hAnsi="黑体" w:eastAsia="黑体"/>
                <w:bCs/>
                <w:color w:val="auto"/>
              </w:rPr>
              <w:t>.2  供水</w:t>
            </w:r>
            <w:r>
              <w:rPr>
                <w:rFonts w:hint="eastAsia" w:ascii="黑体" w:hAnsi="黑体" w:eastAsia="黑体"/>
                <w:bCs/>
                <w:color w:val="auto"/>
                <w:lang w:eastAsia="zh-CN"/>
              </w:rPr>
              <w:t>监测设备</w:t>
            </w:r>
            <w:r>
              <w:rPr>
                <w:rFonts w:hint="eastAsia" w:ascii="黑体" w:hAnsi="黑体" w:eastAsia="黑体"/>
                <w:bCs/>
                <w:color w:val="auto"/>
                <w:lang w:val="en-US" w:eastAsia="zh-CN"/>
              </w:rPr>
              <w:t>性能</w:t>
            </w:r>
            <w:r>
              <w:rPr>
                <w:rFonts w:hint="eastAsia" w:ascii="黑体" w:hAnsi="黑体" w:eastAsia="黑体"/>
                <w:bCs/>
                <w:color w:val="auto"/>
              </w:rPr>
              <w:t>要求</w:t>
            </w:r>
          </w:p>
        </w:tc>
      </w:tr>
      <w:tr w14:paraId="6251419E">
        <w:tblPrEx>
          <w:tblCellMar>
            <w:top w:w="0" w:type="dxa"/>
            <w:left w:w="108" w:type="dxa"/>
            <w:bottom w:w="0" w:type="dxa"/>
            <w:right w:w="108" w:type="dxa"/>
          </w:tblCellMar>
        </w:tblPrEx>
        <w:trPr>
          <w:trHeight w:val="283" w:hRule="atLeast"/>
          <w:tblHeader/>
        </w:trPr>
        <w:tc>
          <w:tcPr>
            <w:tcW w:w="777" w:type="pct"/>
            <w:tcBorders>
              <w:top w:val="single" w:color="auto" w:sz="4" w:space="0"/>
              <w:left w:val="single" w:color="auto" w:sz="4" w:space="0"/>
              <w:bottom w:val="single" w:color="auto" w:sz="4" w:space="0"/>
              <w:right w:val="single" w:color="auto" w:sz="4" w:space="0"/>
            </w:tcBorders>
            <w:vAlign w:val="center"/>
          </w:tcPr>
          <w:p w14:paraId="3B3AC877">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监测对象</w:t>
            </w:r>
          </w:p>
        </w:tc>
        <w:tc>
          <w:tcPr>
            <w:tcW w:w="1585" w:type="pct"/>
            <w:gridSpan w:val="2"/>
            <w:tcBorders>
              <w:top w:val="single" w:color="auto" w:sz="4" w:space="0"/>
              <w:left w:val="nil"/>
              <w:bottom w:val="single" w:color="auto" w:sz="4" w:space="0"/>
              <w:right w:val="single" w:color="auto" w:sz="4" w:space="0"/>
            </w:tcBorders>
            <w:vAlign w:val="center"/>
          </w:tcPr>
          <w:p w14:paraId="4DBB2B62">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监测指标</w:t>
            </w:r>
          </w:p>
        </w:tc>
        <w:tc>
          <w:tcPr>
            <w:tcW w:w="2636" w:type="pct"/>
            <w:gridSpan w:val="3"/>
            <w:tcBorders>
              <w:top w:val="single" w:color="auto" w:sz="4" w:space="0"/>
              <w:left w:val="nil"/>
              <w:bottom w:val="single" w:color="auto" w:sz="4" w:space="0"/>
              <w:right w:val="single" w:color="auto" w:sz="4" w:space="0"/>
            </w:tcBorders>
            <w:vAlign w:val="center"/>
          </w:tcPr>
          <w:p w14:paraId="5ECCD9F0">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监测设备</w:t>
            </w:r>
            <w:r>
              <w:rPr>
                <w:rFonts w:hint="eastAsia" w:ascii="宋体" w:hAnsi="宋体" w:cs="宋体"/>
                <w:kern w:val="0"/>
                <w:sz w:val="18"/>
                <w:szCs w:val="18"/>
                <w:lang w:val="en-US" w:eastAsia="zh-CN"/>
              </w:rPr>
              <w:t>性能</w:t>
            </w:r>
            <w:r>
              <w:rPr>
                <w:rFonts w:hint="eastAsia" w:ascii="宋体" w:hAnsi="宋体" w:cs="宋体"/>
                <w:kern w:val="0"/>
                <w:sz w:val="18"/>
                <w:szCs w:val="18"/>
              </w:rPr>
              <w:t>要求</w:t>
            </w:r>
          </w:p>
        </w:tc>
      </w:tr>
      <w:tr w14:paraId="33C790FC">
        <w:tblPrEx>
          <w:tblCellMar>
            <w:top w:w="0" w:type="dxa"/>
            <w:left w:w="108" w:type="dxa"/>
            <w:bottom w:w="0" w:type="dxa"/>
            <w:right w:w="108" w:type="dxa"/>
          </w:tblCellMar>
        </w:tblPrEx>
        <w:trPr>
          <w:trHeight w:val="283" w:hRule="atLeast"/>
        </w:trPr>
        <w:tc>
          <w:tcPr>
            <w:tcW w:w="777" w:type="pct"/>
            <w:vMerge w:val="restart"/>
            <w:tcBorders>
              <w:top w:val="nil"/>
              <w:left w:val="single" w:color="auto" w:sz="4" w:space="0"/>
              <w:bottom w:val="single" w:color="auto" w:sz="4" w:space="0"/>
              <w:right w:val="single" w:color="auto" w:sz="4" w:space="0"/>
            </w:tcBorders>
            <w:vAlign w:val="center"/>
          </w:tcPr>
          <w:p w14:paraId="4F7AC0D1">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配水管网</w:t>
            </w:r>
          </w:p>
        </w:tc>
        <w:tc>
          <w:tcPr>
            <w:tcW w:w="1585" w:type="pct"/>
            <w:gridSpan w:val="2"/>
            <w:tcBorders>
              <w:top w:val="single" w:color="auto" w:sz="4" w:space="0"/>
              <w:left w:val="nil"/>
              <w:bottom w:val="single" w:color="auto" w:sz="4" w:space="0"/>
              <w:right w:val="single" w:color="auto" w:sz="4" w:space="0"/>
            </w:tcBorders>
            <w:vAlign w:val="center"/>
          </w:tcPr>
          <w:p w14:paraId="2C06DAAA">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流量</w:t>
            </w:r>
          </w:p>
        </w:tc>
        <w:tc>
          <w:tcPr>
            <w:tcW w:w="2636" w:type="pct"/>
            <w:gridSpan w:val="3"/>
            <w:tcBorders>
              <w:top w:val="single" w:color="auto" w:sz="4" w:space="0"/>
              <w:left w:val="nil"/>
              <w:bottom w:val="single" w:color="auto" w:sz="4" w:space="0"/>
              <w:right w:val="single" w:color="auto" w:sz="4" w:space="0"/>
            </w:tcBorders>
            <w:vAlign w:val="center"/>
          </w:tcPr>
          <w:p w14:paraId="091AEB72">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1.量程：（0～12）m/s</w:t>
            </w:r>
          </w:p>
          <w:p w14:paraId="48874968">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2.精度：测量精度不低于</w:t>
            </w:r>
            <w:r>
              <w:rPr>
                <w:rFonts w:hint="eastAsia" w:ascii="宋体" w:hAnsi="宋体" w:cs="宋体"/>
                <w:kern w:val="0"/>
                <w:sz w:val="18"/>
                <w:szCs w:val="18"/>
                <w:highlight w:val="none"/>
              </w:rPr>
              <w:t>±1%</w:t>
            </w:r>
            <w:r>
              <w:rPr>
                <w:rFonts w:hint="eastAsia" w:ascii="宋体" w:hAnsi="宋体" w:cs="宋体"/>
                <w:kern w:val="0"/>
                <w:sz w:val="18"/>
                <w:szCs w:val="18"/>
              </w:rPr>
              <w:t>，重复性精度不低于0.2%</w:t>
            </w:r>
          </w:p>
          <w:p w14:paraId="2E04D5C2">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3.采集频次：不低于1次/5min，采集频次可调</w:t>
            </w:r>
          </w:p>
          <w:p w14:paraId="47151F1D">
            <w:pPr>
              <w:widowControl/>
              <w:spacing w:beforeLines="0" w:afterLines="0" w:line="240" w:lineRule="auto"/>
              <w:jc w:val="left"/>
              <w:rPr>
                <w:rFonts w:hint="eastAsia" w:ascii="宋体" w:hAnsi="宋体" w:cs="宋体"/>
                <w:kern w:val="0"/>
                <w:sz w:val="18"/>
                <w:szCs w:val="18"/>
              </w:rPr>
            </w:pPr>
            <w:r>
              <w:rPr>
                <w:rFonts w:hint="eastAsia" w:ascii="宋体" w:hAnsi="宋体" w:cs="宋体"/>
                <w:kern w:val="0"/>
                <w:sz w:val="18"/>
                <w:szCs w:val="18"/>
              </w:rPr>
              <w:t>4.上传频次：不低于1次/5min，上传频次可调</w:t>
            </w:r>
          </w:p>
          <w:p w14:paraId="6586E695">
            <w:pPr>
              <w:widowControl/>
              <w:spacing w:beforeLines="0" w:afterLines="0" w:line="240" w:lineRule="auto"/>
              <w:jc w:val="left"/>
              <w:rPr>
                <w:rFonts w:hint="eastAsia" w:ascii="宋体" w:hAnsi="宋体" w:cs="宋体"/>
                <w:kern w:val="0"/>
                <w:sz w:val="18"/>
                <w:szCs w:val="18"/>
                <w:lang w:val="en-US" w:eastAsia="zh-CN"/>
              </w:rPr>
            </w:pPr>
            <w:r>
              <w:rPr>
                <w:rFonts w:hint="eastAsia" w:ascii="宋体" w:hAnsi="宋体" w:cs="宋体"/>
                <w:kern w:val="0"/>
                <w:sz w:val="18"/>
                <w:szCs w:val="18"/>
                <w:lang w:val="en-US" w:eastAsia="zh-CN"/>
              </w:rPr>
              <w:t>5.环境适用性：应具有防腐、防水、防尘等抗恶劣环境性能</w:t>
            </w:r>
          </w:p>
          <w:p w14:paraId="0C5489FC">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6.使用寿命：不低于5年</w:t>
            </w:r>
          </w:p>
        </w:tc>
      </w:tr>
      <w:tr w14:paraId="2369374F">
        <w:tblPrEx>
          <w:tblCellMar>
            <w:top w:w="0" w:type="dxa"/>
            <w:left w:w="108" w:type="dxa"/>
            <w:bottom w:w="0" w:type="dxa"/>
            <w:right w:w="108" w:type="dxa"/>
          </w:tblCellMar>
        </w:tblPrEx>
        <w:trPr>
          <w:trHeight w:val="283" w:hRule="atLeast"/>
        </w:trPr>
        <w:tc>
          <w:tcPr>
            <w:tcW w:w="777" w:type="pct"/>
            <w:vMerge w:val="continue"/>
            <w:tcBorders>
              <w:top w:val="nil"/>
              <w:left w:val="single" w:color="auto" w:sz="4" w:space="0"/>
              <w:bottom w:val="single" w:color="auto" w:sz="4" w:space="0"/>
              <w:right w:val="single" w:color="auto" w:sz="4" w:space="0"/>
            </w:tcBorders>
            <w:vAlign w:val="center"/>
          </w:tcPr>
          <w:p w14:paraId="6F338ADE">
            <w:pPr>
              <w:widowControl/>
              <w:spacing w:beforeLines="0" w:afterLines="0" w:line="240" w:lineRule="auto"/>
              <w:jc w:val="left"/>
              <w:rPr>
                <w:rFonts w:ascii="宋体" w:hAnsi="宋体" w:cs="宋体"/>
                <w:kern w:val="0"/>
                <w:sz w:val="18"/>
                <w:szCs w:val="18"/>
              </w:rPr>
            </w:pPr>
          </w:p>
        </w:tc>
        <w:tc>
          <w:tcPr>
            <w:tcW w:w="1585" w:type="pct"/>
            <w:gridSpan w:val="2"/>
            <w:tcBorders>
              <w:top w:val="single" w:color="auto" w:sz="4" w:space="0"/>
              <w:left w:val="nil"/>
              <w:bottom w:val="single" w:color="auto" w:sz="4" w:space="0"/>
              <w:right w:val="single" w:color="auto" w:sz="4" w:space="0"/>
            </w:tcBorders>
            <w:vAlign w:val="center"/>
          </w:tcPr>
          <w:p w14:paraId="2C437A34">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压力</w:t>
            </w:r>
          </w:p>
        </w:tc>
        <w:tc>
          <w:tcPr>
            <w:tcW w:w="2636" w:type="pct"/>
            <w:gridSpan w:val="3"/>
            <w:tcBorders>
              <w:top w:val="single" w:color="auto" w:sz="4" w:space="0"/>
              <w:left w:val="nil"/>
              <w:bottom w:val="single" w:color="auto" w:sz="4" w:space="0"/>
              <w:right w:val="single" w:color="auto" w:sz="4" w:space="0"/>
            </w:tcBorders>
            <w:vAlign w:val="center"/>
          </w:tcPr>
          <w:p w14:paraId="77A651A0">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1.量程：（0～2.5）MPa</w:t>
            </w:r>
          </w:p>
          <w:p w14:paraId="3A0A9ED0">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2.精度：不低于±0.5%FS</w:t>
            </w:r>
          </w:p>
          <w:p w14:paraId="6A31855D">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3.采集频次：不低于1次/5min，采集频次可调</w:t>
            </w:r>
          </w:p>
          <w:p w14:paraId="2C628FC8">
            <w:pPr>
              <w:widowControl/>
              <w:spacing w:beforeLines="0" w:afterLines="0" w:line="240" w:lineRule="auto"/>
              <w:jc w:val="left"/>
              <w:rPr>
                <w:rFonts w:hint="eastAsia" w:ascii="宋体" w:hAnsi="宋体" w:cs="宋体"/>
                <w:kern w:val="0"/>
                <w:sz w:val="18"/>
                <w:szCs w:val="18"/>
              </w:rPr>
            </w:pPr>
            <w:r>
              <w:rPr>
                <w:rFonts w:hint="eastAsia" w:ascii="宋体" w:hAnsi="宋体" w:cs="宋体"/>
                <w:kern w:val="0"/>
                <w:sz w:val="18"/>
                <w:szCs w:val="18"/>
              </w:rPr>
              <w:t>4.上传频次：不低于1次/5min，上传频次可调</w:t>
            </w:r>
          </w:p>
          <w:p w14:paraId="690B9728">
            <w:pPr>
              <w:widowControl/>
              <w:spacing w:beforeLines="0" w:afterLines="0" w:line="240" w:lineRule="auto"/>
              <w:jc w:val="left"/>
              <w:rPr>
                <w:rFonts w:hint="eastAsia" w:ascii="宋体" w:hAnsi="宋体" w:cs="宋体"/>
                <w:kern w:val="0"/>
                <w:sz w:val="18"/>
                <w:szCs w:val="18"/>
                <w:lang w:val="en-US" w:eastAsia="zh-CN"/>
              </w:rPr>
            </w:pPr>
            <w:r>
              <w:rPr>
                <w:rFonts w:hint="eastAsia" w:ascii="宋体" w:hAnsi="宋体" w:cs="宋体"/>
                <w:kern w:val="0"/>
                <w:sz w:val="18"/>
                <w:szCs w:val="18"/>
                <w:lang w:val="en-US" w:eastAsia="zh-CN"/>
              </w:rPr>
              <w:t>5.环境适用性：应具有防腐、防水、防尘等抗恶劣环境性能</w:t>
            </w:r>
          </w:p>
          <w:p w14:paraId="0D6C012D">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6.使用寿命：不低于5年</w:t>
            </w:r>
          </w:p>
        </w:tc>
      </w:tr>
      <w:tr w14:paraId="12D1159D">
        <w:tblPrEx>
          <w:tblCellMar>
            <w:top w:w="0" w:type="dxa"/>
            <w:left w:w="108" w:type="dxa"/>
            <w:bottom w:w="0" w:type="dxa"/>
            <w:right w:w="108" w:type="dxa"/>
          </w:tblCellMar>
        </w:tblPrEx>
        <w:trPr>
          <w:trHeight w:val="283" w:hRule="atLeast"/>
        </w:trPr>
        <w:tc>
          <w:tcPr>
            <w:tcW w:w="777" w:type="pct"/>
            <w:vMerge w:val="continue"/>
            <w:tcBorders>
              <w:top w:val="nil"/>
              <w:left w:val="single" w:color="auto" w:sz="4" w:space="0"/>
              <w:bottom w:val="single" w:color="auto" w:sz="4" w:space="0"/>
              <w:right w:val="single" w:color="auto" w:sz="4" w:space="0"/>
            </w:tcBorders>
            <w:vAlign w:val="center"/>
          </w:tcPr>
          <w:p w14:paraId="60E77B7E">
            <w:pPr>
              <w:widowControl/>
              <w:spacing w:beforeLines="0" w:afterLines="0" w:line="240" w:lineRule="auto"/>
              <w:jc w:val="left"/>
              <w:rPr>
                <w:rFonts w:ascii="宋体" w:hAnsi="宋体" w:cs="宋体"/>
                <w:kern w:val="0"/>
                <w:sz w:val="18"/>
                <w:szCs w:val="18"/>
              </w:rPr>
            </w:pPr>
          </w:p>
        </w:tc>
        <w:tc>
          <w:tcPr>
            <w:tcW w:w="1585" w:type="pct"/>
            <w:gridSpan w:val="2"/>
            <w:tcBorders>
              <w:top w:val="single" w:color="auto" w:sz="4" w:space="0"/>
              <w:left w:val="nil"/>
              <w:bottom w:val="single" w:color="auto" w:sz="4" w:space="0"/>
              <w:right w:val="single" w:color="auto" w:sz="4" w:space="0"/>
            </w:tcBorders>
            <w:vAlign w:val="center"/>
          </w:tcPr>
          <w:p w14:paraId="2C04BC52">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漏水声波</w:t>
            </w:r>
          </w:p>
        </w:tc>
        <w:tc>
          <w:tcPr>
            <w:tcW w:w="2636" w:type="pct"/>
            <w:gridSpan w:val="3"/>
            <w:tcBorders>
              <w:top w:val="single" w:color="auto" w:sz="4" w:space="0"/>
              <w:left w:val="nil"/>
              <w:bottom w:val="single" w:color="auto" w:sz="4" w:space="0"/>
              <w:right w:val="single" w:color="auto" w:sz="4" w:space="0"/>
            </w:tcBorders>
            <w:vAlign w:val="center"/>
          </w:tcPr>
          <w:p w14:paraId="1DA8682A">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1.采集频次：不低于1天/次</w:t>
            </w:r>
          </w:p>
          <w:p w14:paraId="08B9DC9C">
            <w:pPr>
              <w:widowControl/>
              <w:spacing w:beforeLines="0" w:afterLines="0" w:line="240" w:lineRule="auto"/>
              <w:jc w:val="left"/>
              <w:rPr>
                <w:rFonts w:hint="eastAsia" w:ascii="宋体" w:hAnsi="宋体" w:cs="宋体"/>
                <w:kern w:val="0"/>
                <w:sz w:val="18"/>
                <w:szCs w:val="18"/>
                <w:lang w:val="en-US" w:eastAsia="zh-CN"/>
              </w:rPr>
            </w:pPr>
            <w:r>
              <w:rPr>
                <w:rFonts w:hint="eastAsia" w:ascii="宋体" w:hAnsi="宋体" w:cs="宋体"/>
                <w:kern w:val="0"/>
                <w:sz w:val="18"/>
                <w:szCs w:val="18"/>
              </w:rPr>
              <w:t>2</w:t>
            </w:r>
            <w:r>
              <w:rPr>
                <w:rFonts w:hint="eastAsia" w:ascii="宋体" w:hAnsi="宋体" w:cs="宋体"/>
                <w:kern w:val="0"/>
                <w:sz w:val="18"/>
                <w:szCs w:val="18"/>
                <w:lang w:val="en-US" w:eastAsia="zh-CN"/>
              </w:rPr>
              <w:t>.环境适用性：应具有防腐、防水、防尘等抗恶劣环境性能</w:t>
            </w:r>
          </w:p>
          <w:p w14:paraId="5CC81D65">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3.</w:t>
            </w:r>
            <w:r>
              <w:rPr>
                <w:rFonts w:hint="eastAsia" w:ascii="宋体" w:hAnsi="宋体" w:cs="宋体"/>
                <w:kern w:val="0"/>
                <w:sz w:val="18"/>
                <w:szCs w:val="18"/>
              </w:rPr>
              <w:t>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tc>
      </w:tr>
      <w:tr w14:paraId="697F4DB2">
        <w:tblPrEx>
          <w:tblCellMar>
            <w:top w:w="0" w:type="dxa"/>
            <w:left w:w="108" w:type="dxa"/>
            <w:bottom w:w="0" w:type="dxa"/>
            <w:right w:w="108" w:type="dxa"/>
          </w:tblCellMar>
        </w:tblPrEx>
        <w:trPr>
          <w:trHeight w:val="283" w:hRule="atLeast"/>
        </w:trPr>
        <w:tc>
          <w:tcPr>
            <w:tcW w:w="777" w:type="pct"/>
            <w:vMerge w:val="continue"/>
            <w:tcBorders>
              <w:top w:val="nil"/>
              <w:left w:val="single" w:color="auto" w:sz="4" w:space="0"/>
              <w:bottom w:val="single" w:color="auto" w:sz="4" w:space="0"/>
              <w:right w:val="single" w:color="auto" w:sz="4" w:space="0"/>
            </w:tcBorders>
            <w:vAlign w:val="center"/>
          </w:tcPr>
          <w:p w14:paraId="1A6D2A3B">
            <w:pPr>
              <w:widowControl/>
              <w:spacing w:beforeLines="0" w:afterLines="0" w:line="240" w:lineRule="auto"/>
              <w:jc w:val="left"/>
              <w:rPr>
                <w:rFonts w:ascii="宋体" w:hAnsi="宋体" w:cs="宋体"/>
                <w:kern w:val="0"/>
                <w:sz w:val="18"/>
                <w:szCs w:val="18"/>
              </w:rPr>
            </w:pPr>
          </w:p>
        </w:tc>
        <w:tc>
          <w:tcPr>
            <w:tcW w:w="854" w:type="pct"/>
            <w:vMerge w:val="restart"/>
            <w:tcBorders>
              <w:top w:val="nil"/>
              <w:left w:val="single" w:color="auto" w:sz="4" w:space="0"/>
              <w:bottom w:val="single" w:color="auto" w:sz="4" w:space="0"/>
              <w:right w:val="single" w:color="auto" w:sz="4" w:space="0"/>
            </w:tcBorders>
            <w:vAlign w:val="center"/>
          </w:tcPr>
          <w:p w14:paraId="2D238969">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水质</w:t>
            </w:r>
          </w:p>
        </w:tc>
        <w:tc>
          <w:tcPr>
            <w:tcW w:w="731" w:type="pct"/>
            <w:tcBorders>
              <w:top w:val="nil"/>
              <w:left w:val="nil"/>
              <w:bottom w:val="single" w:color="auto" w:sz="4" w:space="0"/>
              <w:right w:val="single" w:color="auto" w:sz="4" w:space="0"/>
            </w:tcBorders>
            <w:vAlign w:val="center"/>
          </w:tcPr>
          <w:p w14:paraId="0B3797C0">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浑浊度</w:t>
            </w:r>
          </w:p>
        </w:tc>
        <w:tc>
          <w:tcPr>
            <w:tcW w:w="2636" w:type="pct"/>
            <w:gridSpan w:val="3"/>
            <w:tcBorders>
              <w:top w:val="single" w:color="auto" w:sz="4" w:space="0"/>
              <w:left w:val="nil"/>
              <w:bottom w:val="single" w:color="auto" w:sz="4" w:space="0"/>
              <w:right w:val="single" w:color="auto" w:sz="4" w:space="0"/>
            </w:tcBorders>
            <w:vAlign w:val="center"/>
          </w:tcPr>
          <w:p w14:paraId="16518CDF">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1.量程：（0～20）NTU</w:t>
            </w:r>
          </w:p>
          <w:p w14:paraId="641AB189">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2.响应时间：不超过0.5min</w:t>
            </w:r>
          </w:p>
          <w:p w14:paraId="6B56CD4E">
            <w:pPr>
              <w:widowControl/>
              <w:spacing w:beforeLines="0" w:afterLines="0" w:line="240" w:lineRule="auto"/>
              <w:jc w:val="left"/>
              <w:rPr>
                <w:rFonts w:hint="eastAsia" w:ascii="宋体" w:hAnsi="宋体" w:cs="宋体"/>
                <w:kern w:val="0"/>
                <w:sz w:val="18"/>
                <w:szCs w:val="18"/>
              </w:rPr>
            </w:pPr>
            <w:r>
              <w:rPr>
                <w:rFonts w:hint="eastAsia" w:ascii="宋体" w:hAnsi="宋体" w:cs="宋体"/>
                <w:kern w:val="0"/>
                <w:sz w:val="18"/>
                <w:szCs w:val="18"/>
              </w:rPr>
              <w:t>3.对比试验误差：±0.1NTU（标准样品配制值或水样的标准方法检测值不大于1NTU时）或小于10%（标准样品配制值或水样的标准方法检测值大于1NTU时）</w:t>
            </w:r>
          </w:p>
          <w:p w14:paraId="726E245B">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4.使用寿命：不低于5年</w:t>
            </w:r>
          </w:p>
        </w:tc>
      </w:tr>
      <w:tr w14:paraId="16C19D9D">
        <w:tblPrEx>
          <w:tblCellMar>
            <w:top w:w="0" w:type="dxa"/>
            <w:left w:w="108" w:type="dxa"/>
            <w:bottom w:w="0" w:type="dxa"/>
            <w:right w:w="108" w:type="dxa"/>
          </w:tblCellMar>
        </w:tblPrEx>
        <w:trPr>
          <w:trHeight w:val="283" w:hRule="atLeast"/>
        </w:trPr>
        <w:tc>
          <w:tcPr>
            <w:tcW w:w="777" w:type="pct"/>
            <w:vMerge w:val="continue"/>
            <w:tcBorders>
              <w:top w:val="nil"/>
              <w:left w:val="single" w:color="auto" w:sz="4" w:space="0"/>
              <w:bottom w:val="single" w:color="auto" w:sz="4" w:space="0"/>
              <w:right w:val="single" w:color="auto" w:sz="4" w:space="0"/>
            </w:tcBorders>
            <w:vAlign w:val="center"/>
          </w:tcPr>
          <w:p w14:paraId="3F2F0CD7">
            <w:pPr>
              <w:widowControl/>
              <w:spacing w:beforeLines="0" w:afterLines="0" w:line="240" w:lineRule="auto"/>
              <w:jc w:val="left"/>
              <w:rPr>
                <w:rFonts w:ascii="宋体" w:hAnsi="宋体" w:cs="宋体"/>
                <w:kern w:val="0"/>
                <w:sz w:val="18"/>
                <w:szCs w:val="18"/>
              </w:rPr>
            </w:pPr>
          </w:p>
        </w:tc>
        <w:tc>
          <w:tcPr>
            <w:tcW w:w="854" w:type="pct"/>
            <w:vMerge w:val="continue"/>
            <w:tcBorders>
              <w:top w:val="nil"/>
              <w:left w:val="single" w:color="auto" w:sz="4" w:space="0"/>
              <w:bottom w:val="single" w:color="auto" w:sz="4" w:space="0"/>
              <w:right w:val="single" w:color="auto" w:sz="4" w:space="0"/>
            </w:tcBorders>
            <w:vAlign w:val="center"/>
          </w:tcPr>
          <w:p w14:paraId="7E00D409">
            <w:pPr>
              <w:widowControl/>
              <w:spacing w:beforeLines="0" w:afterLines="0" w:line="240" w:lineRule="auto"/>
              <w:jc w:val="left"/>
              <w:rPr>
                <w:rFonts w:ascii="宋体" w:hAnsi="宋体" w:cs="宋体"/>
                <w:kern w:val="0"/>
                <w:sz w:val="18"/>
                <w:szCs w:val="18"/>
              </w:rPr>
            </w:pPr>
          </w:p>
        </w:tc>
        <w:tc>
          <w:tcPr>
            <w:tcW w:w="731" w:type="pct"/>
            <w:vMerge w:val="restart"/>
            <w:tcBorders>
              <w:top w:val="nil"/>
              <w:left w:val="single" w:color="auto" w:sz="4" w:space="0"/>
              <w:bottom w:val="single" w:color="auto" w:sz="4" w:space="0"/>
              <w:right w:val="single" w:color="auto" w:sz="4" w:space="0"/>
            </w:tcBorders>
            <w:vAlign w:val="center"/>
          </w:tcPr>
          <w:p w14:paraId="2F8F05F8">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余氯</w:t>
            </w:r>
          </w:p>
        </w:tc>
        <w:tc>
          <w:tcPr>
            <w:tcW w:w="828" w:type="pct"/>
            <w:tcBorders>
              <w:top w:val="nil"/>
              <w:left w:val="nil"/>
              <w:bottom w:val="single" w:color="auto" w:sz="4" w:space="0"/>
              <w:right w:val="single" w:color="auto" w:sz="4" w:space="0"/>
            </w:tcBorders>
            <w:vAlign w:val="center"/>
          </w:tcPr>
          <w:p w14:paraId="7FB75624">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　</w:t>
            </w:r>
          </w:p>
        </w:tc>
        <w:tc>
          <w:tcPr>
            <w:tcW w:w="1005" w:type="pct"/>
            <w:tcBorders>
              <w:top w:val="nil"/>
              <w:left w:val="nil"/>
              <w:bottom w:val="single" w:color="auto" w:sz="4" w:space="0"/>
              <w:right w:val="single" w:color="auto" w:sz="4" w:space="0"/>
            </w:tcBorders>
            <w:vAlign w:val="center"/>
          </w:tcPr>
          <w:p w14:paraId="65CC41C6">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比色法</w:t>
            </w:r>
          </w:p>
        </w:tc>
        <w:tc>
          <w:tcPr>
            <w:tcW w:w="802" w:type="pct"/>
            <w:tcBorders>
              <w:top w:val="nil"/>
              <w:left w:val="nil"/>
              <w:bottom w:val="single" w:color="auto" w:sz="4" w:space="0"/>
              <w:right w:val="single" w:color="auto" w:sz="4" w:space="0"/>
            </w:tcBorders>
            <w:vAlign w:val="center"/>
          </w:tcPr>
          <w:p w14:paraId="29DEE7E6">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电极法</w:t>
            </w:r>
          </w:p>
        </w:tc>
      </w:tr>
      <w:tr w14:paraId="330FF3A1">
        <w:tblPrEx>
          <w:tblCellMar>
            <w:top w:w="0" w:type="dxa"/>
            <w:left w:w="108" w:type="dxa"/>
            <w:bottom w:w="0" w:type="dxa"/>
            <w:right w:w="108" w:type="dxa"/>
          </w:tblCellMar>
        </w:tblPrEx>
        <w:trPr>
          <w:trHeight w:val="283" w:hRule="atLeast"/>
        </w:trPr>
        <w:tc>
          <w:tcPr>
            <w:tcW w:w="777" w:type="pct"/>
            <w:vMerge w:val="continue"/>
            <w:tcBorders>
              <w:top w:val="nil"/>
              <w:left w:val="single" w:color="auto" w:sz="4" w:space="0"/>
              <w:bottom w:val="single" w:color="auto" w:sz="4" w:space="0"/>
              <w:right w:val="single" w:color="auto" w:sz="4" w:space="0"/>
            </w:tcBorders>
            <w:vAlign w:val="center"/>
          </w:tcPr>
          <w:p w14:paraId="58164379">
            <w:pPr>
              <w:widowControl/>
              <w:spacing w:beforeLines="0" w:afterLines="0" w:line="240" w:lineRule="auto"/>
              <w:jc w:val="left"/>
              <w:rPr>
                <w:rFonts w:ascii="宋体" w:hAnsi="宋体" w:cs="宋体"/>
                <w:kern w:val="0"/>
                <w:sz w:val="18"/>
                <w:szCs w:val="18"/>
              </w:rPr>
            </w:pPr>
          </w:p>
        </w:tc>
        <w:tc>
          <w:tcPr>
            <w:tcW w:w="854" w:type="pct"/>
            <w:vMerge w:val="continue"/>
            <w:tcBorders>
              <w:top w:val="nil"/>
              <w:left w:val="single" w:color="auto" w:sz="4" w:space="0"/>
              <w:bottom w:val="single" w:color="auto" w:sz="4" w:space="0"/>
              <w:right w:val="single" w:color="auto" w:sz="4" w:space="0"/>
            </w:tcBorders>
            <w:vAlign w:val="center"/>
          </w:tcPr>
          <w:p w14:paraId="3E12BD50">
            <w:pPr>
              <w:widowControl/>
              <w:spacing w:beforeLines="0" w:afterLines="0" w:line="240" w:lineRule="auto"/>
              <w:jc w:val="left"/>
              <w:rPr>
                <w:rFonts w:ascii="宋体" w:hAnsi="宋体" w:cs="宋体"/>
                <w:kern w:val="0"/>
                <w:sz w:val="18"/>
                <w:szCs w:val="18"/>
              </w:rPr>
            </w:pPr>
          </w:p>
        </w:tc>
        <w:tc>
          <w:tcPr>
            <w:tcW w:w="731" w:type="pct"/>
            <w:vMerge w:val="continue"/>
            <w:tcBorders>
              <w:top w:val="nil"/>
              <w:left w:val="single" w:color="auto" w:sz="4" w:space="0"/>
              <w:bottom w:val="single" w:color="auto" w:sz="4" w:space="0"/>
              <w:right w:val="single" w:color="auto" w:sz="4" w:space="0"/>
            </w:tcBorders>
            <w:vAlign w:val="center"/>
          </w:tcPr>
          <w:p w14:paraId="7356FCA3">
            <w:pPr>
              <w:widowControl/>
              <w:spacing w:beforeLines="0" w:afterLines="0" w:line="240" w:lineRule="auto"/>
              <w:jc w:val="left"/>
              <w:rPr>
                <w:rFonts w:ascii="宋体" w:hAnsi="宋体" w:cs="宋体"/>
                <w:kern w:val="0"/>
                <w:sz w:val="18"/>
                <w:szCs w:val="18"/>
              </w:rPr>
            </w:pPr>
          </w:p>
        </w:tc>
        <w:tc>
          <w:tcPr>
            <w:tcW w:w="828" w:type="pct"/>
            <w:tcBorders>
              <w:top w:val="nil"/>
              <w:left w:val="nil"/>
              <w:bottom w:val="single" w:color="auto" w:sz="4" w:space="0"/>
              <w:right w:val="single" w:color="auto" w:sz="4" w:space="0"/>
            </w:tcBorders>
            <w:vAlign w:val="center"/>
          </w:tcPr>
          <w:p w14:paraId="1A97F54E">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量程</w:t>
            </w:r>
          </w:p>
        </w:tc>
        <w:tc>
          <w:tcPr>
            <w:tcW w:w="1807" w:type="pct"/>
            <w:gridSpan w:val="2"/>
            <w:tcBorders>
              <w:top w:val="single" w:color="auto" w:sz="4" w:space="0"/>
              <w:left w:val="nil"/>
              <w:bottom w:val="single" w:color="auto" w:sz="4" w:space="0"/>
              <w:right w:val="single" w:color="auto" w:sz="4" w:space="0"/>
            </w:tcBorders>
            <w:vAlign w:val="center"/>
          </w:tcPr>
          <w:p w14:paraId="25627E70">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eastAsia="zh-CN"/>
              </w:rPr>
              <w:t>(</w:t>
            </w:r>
            <w:r>
              <w:rPr>
                <w:rFonts w:hint="eastAsia" w:ascii="宋体" w:hAnsi="宋体" w:cs="宋体"/>
                <w:kern w:val="0"/>
                <w:sz w:val="18"/>
                <w:szCs w:val="18"/>
              </w:rPr>
              <w:t>0</w:t>
            </w:r>
            <w:r>
              <w:rPr>
                <w:rFonts w:hint="eastAsia" w:ascii="宋体" w:hAnsi="宋体" w:cs="宋体"/>
                <w:kern w:val="0"/>
                <w:sz w:val="18"/>
                <w:szCs w:val="18"/>
                <w:lang w:eastAsia="zh-CN"/>
              </w:rPr>
              <w:t>~</w:t>
            </w:r>
            <w:r>
              <w:rPr>
                <w:rFonts w:hint="eastAsia" w:ascii="宋体" w:hAnsi="宋体" w:cs="宋体"/>
                <w:kern w:val="0"/>
                <w:sz w:val="18"/>
                <w:szCs w:val="18"/>
              </w:rPr>
              <w:t>5</w:t>
            </w:r>
            <w:r>
              <w:rPr>
                <w:rFonts w:hint="eastAsia" w:ascii="宋体" w:hAnsi="宋体" w:cs="宋体"/>
                <w:kern w:val="0"/>
                <w:sz w:val="18"/>
                <w:szCs w:val="18"/>
                <w:lang w:eastAsia="zh-CN"/>
              </w:rPr>
              <w:t>)</w:t>
            </w:r>
            <w:r>
              <w:rPr>
                <w:rFonts w:hint="eastAsia" w:ascii="宋体" w:hAnsi="宋体" w:cs="宋体"/>
                <w:kern w:val="0"/>
                <w:sz w:val="18"/>
                <w:szCs w:val="18"/>
              </w:rPr>
              <w:t>mg/L</w:t>
            </w:r>
          </w:p>
        </w:tc>
      </w:tr>
      <w:tr w14:paraId="1742B6E2">
        <w:tblPrEx>
          <w:tblCellMar>
            <w:top w:w="0" w:type="dxa"/>
            <w:left w:w="108" w:type="dxa"/>
            <w:bottom w:w="0" w:type="dxa"/>
            <w:right w:w="108" w:type="dxa"/>
          </w:tblCellMar>
        </w:tblPrEx>
        <w:trPr>
          <w:trHeight w:val="283" w:hRule="atLeast"/>
        </w:trPr>
        <w:tc>
          <w:tcPr>
            <w:tcW w:w="777" w:type="pct"/>
            <w:vMerge w:val="continue"/>
            <w:tcBorders>
              <w:top w:val="nil"/>
              <w:left w:val="single" w:color="auto" w:sz="4" w:space="0"/>
              <w:bottom w:val="single" w:color="auto" w:sz="4" w:space="0"/>
              <w:right w:val="single" w:color="auto" w:sz="4" w:space="0"/>
            </w:tcBorders>
            <w:vAlign w:val="center"/>
          </w:tcPr>
          <w:p w14:paraId="299A12D5">
            <w:pPr>
              <w:widowControl/>
              <w:spacing w:beforeLines="0" w:afterLines="0" w:line="240" w:lineRule="auto"/>
              <w:jc w:val="left"/>
              <w:rPr>
                <w:rFonts w:ascii="宋体" w:hAnsi="宋体" w:cs="宋体"/>
                <w:kern w:val="0"/>
                <w:sz w:val="18"/>
                <w:szCs w:val="18"/>
              </w:rPr>
            </w:pPr>
          </w:p>
        </w:tc>
        <w:tc>
          <w:tcPr>
            <w:tcW w:w="854" w:type="pct"/>
            <w:vMerge w:val="continue"/>
            <w:tcBorders>
              <w:top w:val="nil"/>
              <w:left w:val="single" w:color="auto" w:sz="4" w:space="0"/>
              <w:bottom w:val="single" w:color="auto" w:sz="4" w:space="0"/>
              <w:right w:val="single" w:color="auto" w:sz="4" w:space="0"/>
            </w:tcBorders>
            <w:vAlign w:val="center"/>
          </w:tcPr>
          <w:p w14:paraId="4E855D9D">
            <w:pPr>
              <w:widowControl/>
              <w:spacing w:beforeLines="0" w:afterLines="0" w:line="240" w:lineRule="auto"/>
              <w:jc w:val="left"/>
              <w:rPr>
                <w:rFonts w:ascii="宋体" w:hAnsi="宋体" w:cs="宋体"/>
                <w:kern w:val="0"/>
                <w:sz w:val="18"/>
                <w:szCs w:val="18"/>
              </w:rPr>
            </w:pPr>
          </w:p>
        </w:tc>
        <w:tc>
          <w:tcPr>
            <w:tcW w:w="731" w:type="pct"/>
            <w:vMerge w:val="continue"/>
            <w:tcBorders>
              <w:top w:val="nil"/>
              <w:left w:val="single" w:color="auto" w:sz="4" w:space="0"/>
              <w:bottom w:val="single" w:color="auto" w:sz="4" w:space="0"/>
              <w:right w:val="single" w:color="auto" w:sz="4" w:space="0"/>
            </w:tcBorders>
            <w:vAlign w:val="center"/>
          </w:tcPr>
          <w:p w14:paraId="1CD67EA7">
            <w:pPr>
              <w:widowControl/>
              <w:spacing w:beforeLines="0" w:afterLines="0" w:line="240" w:lineRule="auto"/>
              <w:jc w:val="left"/>
              <w:rPr>
                <w:rFonts w:ascii="宋体" w:hAnsi="宋体" w:cs="宋体"/>
                <w:kern w:val="0"/>
                <w:sz w:val="18"/>
                <w:szCs w:val="18"/>
              </w:rPr>
            </w:pPr>
          </w:p>
        </w:tc>
        <w:tc>
          <w:tcPr>
            <w:tcW w:w="828" w:type="pct"/>
            <w:tcBorders>
              <w:top w:val="nil"/>
              <w:left w:val="nil"/>
              <w:bottom w:val="single" w:color="auto" w:sz="4" w:space="0"/>
              <w:right w:val="single" w:color="auto" w:sz="4" w:space="0"/>
            </w:tcBorders>
            <w:vAlign w:val="center"/>
          </w:tcPr>
          <w:p w14:paraId="3F64FF54">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重复性</w:t>
            </w:r>
          </w:p>
        </w:tc>
        <w:tc>
          <w:tcPr>
            <w:tcW w:w="1005" w:type="pct"/>
            <w:tcBorders>
              <w:top w:val="nil"/>
              <w:left w:val="nil"/>
              <w:bottom w:val="single" w:color="auto" w:sz="4" w:space="0"/>
              <w:right w:val="single" w:color="auto" w:sz="4" w:space="0"/>
            </w:tcBorders>
            <w:vAlign w:val="center"/>
          </w:tcPr>
          <w:p w14:paraId="0908B879">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不超过5%</w:t>
            </w:r>
          </w:p>
        </w:tc>
        <w:tc>
          <w:tcPr>
            <w:tcW w:w="802" w:type="pct"/>
            <w:tcBorders>
              <w:top w:val="nil"/>
              <w:left w:val="nil"/>
              <w:bottom w:val="single" w:color="auto" w:sz="4" w:space="0"/>
              <w:right w:val="single" w:color="auto" w:sz="4" w:space="0"/>
            </w:tcBorders>
            <w:vAlign w:val="center"/>
          </w:tcPr>
          <w:p w14:paraId="0E0B470E">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不超过3%</w:t>
            </w:r>
          </w:p>
        </w:tc>
      </w:tr>
      <w:tr w14:paraId="64F48AAC">
        <w:tblPrEx>
          <w:tblCellMar>
            <w:top w:w="0" w:type="dxa"/>
            <w:left w:w="108" w:type="dxa"/>
            <w:bottom w:w="0" w:type="dxa"/>
            <w:right w:w="108" w:type="dxa"/>
          </w:tblCellMar>
        </w:tblPrEx>
        <w:trPr>
          <w:trHeight w:val="283" w:hRule="atLeast"/>
        </w:trPr>
        <w:tc>
          <w:tcPr>
            <w:tcW w:w="777" w:type="pct"/>
            <w:vMerge w:val="continue"/>
            <w:tcBorders>
              <w:top w:val="nil"/>
              <w:left w:val="single" w:color="auto" w:sz="4" w:space="0"/>
              <w:bottom w:val="single" w:color="auto" w:sz="4" w:space="0"/>
              <w:right w:val="single" w:color="auto" w:sz="4" w:space="0"/>
            </w:tcBorders>
            <w:vAlign w:val="center"/>
          </w:tcPr>
          <w:p w14:paraId="37EBE8FF">
            <w:pPr>
              <w:widowControl/>
              <w:spacing w:beforeLines="0" w:afterLines="0" w:line="240" w:lineRule="auto"/>
              <w:jc w:val="left"/>
              <w:rPr>
                <w:rFonts w:ascii="宋体" w:hAnsi="宋体" w:cs="宋体"/>
                <w:kern w:val="0"/>
                <w:sz w:val="18"/>
                <w:szCs w:val="18"/>
              </w:rPr>
            </w:pPr>
          </w:p>
        </w:tc>
        <w:tc>
          <w:tcPr>
            <w:tcW w:w="854" w:type="pct"/>
            <w:vMerge w:val="continue"/>
            <w:tcBorders>
              <w:top w:val="nil"/>
              <w:left w:val="single" w:color="auto" w:sz="4" w:space="0"/>
              <w:bottom w:val="single" w:color="auto" w:sz="4" w:space="0"/>
              <w:right w:val="single" w:color="auto" w:sz="4" w:space="0"/>
            </w:tcBorders>
            <w:vAlign w:val="center"/>
          </w:tcPr>
          <w:p w14:paraId="1B1D4838">
            <w:pPr>
              <w:widowControl/>
              <w:spacing w:beforeLines="0" w:afterLines="0" w:line="240" w:lineRule="auto"/>
              <w:jc w:val="left"/>
              <w:rPr>
                <w:rFonts w:ascii="宋体" w:hAnsi="宋体" w:cs="宋体"/>
                <w:kern w:val="0"/>
                <w:sz w:val="18"/>
                <w:szCs w:val="18"/>
              </w:rPr>
            </w:pPr>
          </w:p>
        </w:tc>
        <w:tc>
          <w:tcPr>
            <w:tcW w:w="731" w:type="pct"/>
            <w:vMerge w:val="continue"/>
            <w:tcBorders>
              <w:top w:val="nil"/>
              <w:left w:val="single" w:color="auto" w:sz="4" w:space="0"/>
              <w:bottom w:val="single" w:color="auto" w:sz="4" w:space="0"/>
              <w:right w:val="single" w:color="auto" w:sz="4" w:space="0"/>
            </w:tcBorders>
            <w:vAlign w:val="center"/>
          </w:tcPr>
          <w:p w14:paraId="04F81E4B">
            <w:pPr>
              <w:widowControl/>
              <w:spacing w:beforeLines="0" w:afterLines="0" w:line="240" w:lineRule="auto"/>
              <w:jc w:val="left"/>
              <w:rPr>
                <w:rFonts w:ascii="宋体" w:hAnsi="宋体" w:cs="宋体"/>
                <w:kern w:val="0"/>
                <w:sz w:val="18"/>
                <w:szCs w:val="18"/>
              </w:rPr>
            </w:pPr>
          </w:p>
        </w:tc>
        <w:tc>
          <w:tcPr>
            <w:tcW w:w="828" w:type="pct"/>
            <w:tcBorders>
              <w:top w:val="nil"/>
              <w:left w:val="nil"/>
              <w:bottom w:val="single" w:color="auto" w:sz="4" w:space="0"/>
              <w:right w:val="single" w:color="auto" w:sz="4" w:space="0"/>
            </w:tcBorders>
            <w:vAlign w:val="center"/>
          </w:tcPr>
          <w:p w14:paraId="2C80FE10">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零点漂移</w:t>
            </w:r>
          </w:p>
        </w:tc>
        <w:tc>
          <w:tcPr>
            <w:tcW w:w="1807" w:type="pct"/>
            <w:gridSpan w:val="2"/>
            <w:tcBorders>
              <w:top w:val="single" w:color="auto" w:sz="4" w:space="0"/>
              <w:left w:val="nil"/>
              <w:bottom w:val="single" w:color="auto" w:sz="4" w:space="0"/>
              <w:right w:val="single" w:color="auto" w:sz="4" w:space="0"/>
            </w:tcBorders>
            <w:vAlign w:val="center"/>
          </w:tcPr>
          <w:p w14:paraId="3BC62D63">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±2%</w:t>
            </w:r>
          </w:p>
        </w:tc>
      </w:tr>
      <w:tr w14:paraId="4F169C05">
        <w:tblPrEx>
          <w:tblCellMar>
            <w:top w:w="0" w:type="dxa"/>
            <w:left w:w="108" w:type="dxa"/>
            <w:bottom w:w="0" w:type="dxa"/>
            <w:right w:w="108" w:type="dxa"/>
          </w:tblCellMar>
        </w:tblPrEx>
        <w:trPr>
          <w:trHeight w:val="283" w:hRule="atLeast"/>
        </w:trPr>
        <w:tc>
          <w:tcPr>
            <w:tcW w:w="777" w:type="pct"/>
            <w:vMerge w:val="continue"/>
            <w:tcBorders>
              <w:top w:val="nil"/>
              <w:left w:val="single" w:color="auto" w:sz="4" w:space="0"/>
              <w:bottom w:val="single" w:color="auto" w:sz="4" w:space="0"/>
              <w:right w:val="single" w:color="auto" w:sz="4" w:space="0"/>
            </w:tcBorders>
            <w:vAlign w:val="center"/>
          </w:tcPr>
          <w:p w14:paraId="06B132EC">
            <w:pPr>
              <w:widowControl/>
              <w:spacing w:beforeLines="0" w:afterLines="0" w:line="240" w:lineRule="auto"/>
              <w:jc w:val="left"/>
              <w:rPr>
                <w:rFonts w:ascii="宋体" w:hAnsi="宋体" w:cs="宋体"/>
                <w:kern w:val="0"/>
                <w:sz w:val="18"/>
                <w:szCs w:val="18"/>
              </w:rPr>
            </w:pPr>
          </w:p>
        </w:tc>
        <w:tc>
          <w:tcPr>
            <w:tcW w:w="854" w:type="pct"/>
            <w:vMerge w:val="continue"/>
            <w:tcBorders>
              <w:top w:val="nil"/>
              <w:left w:val="single" w:color="auto" w:sz="4" w:space="0"/>
              <w:bottom w:val="single" w:color="auto" w:sz="4" w:space="0"/>
              <w:right w:val="single" w:color="auto" w:sz="4" w:space="0"/>
            </w:tcBorders>
            <w:vAlign w:val="center"/>
          </w:tcPr>
          <w:p w14:paraId="5F6BCDAE">
            <w:pPr>
              <w:widowControl/>
              <w:spacing w:beforeLines="0" w:afterLines="0" w:line="240" w:lineRule="auto"/>
              <w:jc w:val="left"/>
              <w:rPr>
                <w:rFonts w:ascii="宋体" w:hAnsi="宋体" w:cs="宋体"/>
                <w:kern w:val="0"/>
                <w:sz w:val="18"/>
                <w:szCs w:val="18"/>
              </w:rPr>
            </w:pPr>
          </w:p>
        </w:tc>
        <w:tc>
          <w:tcPr>
            <w:tcW w:w="731" w:type="pct"/>
            <w:vMerge w:val="continue"/>
            <w:tcBorders>
              <w:top w:val="nil"/>
              <w:left w:val="single" w:color="auto" w:sz="4" w:space="0"/>
              <w:bottom w:val="single" w:color="auto" w:sz="4" w:space="0"/>
              <w:right w:val="single" w:color="auto" w:sz="4" w:space="0"/>
            </w:tcBorders>
            <w:vAlign w:val="center"/>
          </w:tcPr>
          <w:p w14:paraId="269D21CF">
            <w:pPr>
              <w:widowControl/>
              <w:spacing w:beforeLines="0" w:afterLines="0" w:line="240" w:lineRule="auto"/>
              <w:jc w:val="left"/>
              <w:rPr>
                <w:rFonts w:ascii="宋体" w:hAnsi="宋体" w:cs="宋体"/>
                <w:kern w:val="0"/>
                <w:sz w:val="18"/>
                <w:szCs w:val="18"/>
              </w:rPr>
            </w:pPr>
          </w:p>
        </w:tc>
        <w:tc>
          <w:tcPr>
            <w:tcW w:w="828" w:type="pct"/>
            <w:tcBorders>
              <w:top w:val="nil"/>
              <w:left w:val="nil"/>
              <w:bottom w:val="single" w:color="auto" w:sz="4" w:space="0"/>
              <w:right w:val="single" w:color="auto" w:sz="4" w:space="0"/>
            </w:tcBorders>
            <w:vAlign w:val="center"/>
          </w:tcPr>
          <w:p w14:paraId="4D902E88">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响应时间</w:t>
            </w:r>
          </w:p>
        </w:tc>
        <w:tc>
          <w:tcPr>
            <w:tcW w:w="1807" w:type="pct"/>
            <w:gridSpan w:val="2"/>
            <w:tcBorders>
              <w:top w:val="single" w:color="auto" w:sz="4" w:space="0"/>
              <w:left w:val="nil"/>
              <w:bottom w:val="single" w:color="auto" w:sz="4" w:space="0"/>
              <w:right w:val="single" w:color="auto" w:sz="4" w:space="0"/>
            </w:tcBorders>
            <w:vAlign w:val="center"/>
          </w:tcPr>
          <w:p w14:paraId="133BB20C">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不超过2.5min</w:t>
            </w:r>
          </w:p>
        </w:tc>
      </w:tr>
      <w:tr w14:paraId="3ECB5E67">
        <w:tblPrEx>
          <w:tblCellMar>
            <w:top w:w="0" w:type="dxa"/>
            <w:left w:w="108" w:type="dxa"/>
            <w:bottom w:w="0" w:type="dxa"/>
            <w:right w:w="108" w:type="dxa"/>
          </w:tblCellMar>
        </w:tblPrEx>
        <w:trPr>
          <w:trHeight w:val="283" w:hRule="atLeast"/>
        </w:trPr>
        <w:tc>
          <w:tcPr>
            <w:tcW w:w="777" w:type="pct"/>
            <w:vMerge w:val="continue"/>
            <w:tcBorders>
              <w:top w:val="nil"/>
              <w:left w:val="single" w:color="auto" w:sz="4" w:space="0"/>
              <w:bottom w:val="single" w:color="auto" w:sz="4" w:space="0"/>
              <w:right w:val="single" w:color="auto" w:sz="4" w:space="0"/>
            </w:tcBorders>
            <w:vAlign w:val="center"/>
          </w:tcPr>
          <w:p w14:paraId="1CDA261B">
            <w:pPr>
              <w:widowControl/>
              <w:spacing w:beforeLines="0" w:afterLines="0" w:line="240" w:lineRule="auto"/>
              <w:jc w:val="left"/>
              <w:rPr>
                <w:rFonts w:ascii="宋体" w:hAnsi="宋体" w:cs="宋体"/>
                <w:kern w:val="0"/>
                <w:sz w:val="18"/>
                <w:szCs w:val="18"/>
              </w:rPr>
            </w:pPr>
          </w:p>
        </w:tc>
        <w:tc>
          <w:tcPr>
            <w:tcW w:w="854" w:type="pct"/>
            <w:vMerge w:val="continue"/>
            <w:tcBorders>
              <w:top w:val="nil"/>
              <w:left w:val="single" w:color="auto" w:sz="4" w:space="0"/>
              <w:bottom w:val="single" w:color="auto" w:sz="4" w:space="0"/>
              <w:right w:val="single" w:color="auto" w:sz="4" w:space="0"/>
            </w:tcBorders>
            <w:vAlign w:val="center"/>
          </w:tcPr>
          <w:p w14:paraId="64FCC6F7">
            <w:pPr>
              <w:widowControl/>
              <w:spacing w:beforeLines="0" w:afterLines="0" w:line="240" w:lineRule="auto"/>
              <w:jc w:val="left"/>
              <w:rPr>
                <w:rFonts w:ascii="宋体" w:hAnsi="宋体" w:cs="宋体"/>
                <w:kern w:val="0"/>
                <w:sz w:val="18"/>
                <w:szCs w:val="18"/>
              </w:rPr>
            </w:pPr>
          </w:p>
        </w:tc>
        <w:tc>
          <w:tcPr>
            <w:tcW w:w="731" w:type="pct"/>
            <w:vMerge w:val="continue"/>
            <w:tcBorders>
              <w:top w:val="nil"/>
              <w:left w:val="single" w:color="auto" w:sz="4" w:space="0"/>
              <w:bottom w:val="single" w:color="auto" w:sz="4" w:space="0"/>
              <w:right w:val="single" w:color="auto" w:sz="4" w:space="0"/>
            </w:tcBorders>
            <w:vAlign w:val="center"/>
          </w:tcPr>
          <w:p w14:paraId="25BECC86">
            <w:pPr>
              <w:widowControl/>
              <w:spacing w:beforeLines="0" w:afterLines="0" w:line="240" w:lineRule="auto"/>
              <w:jc w:val="left"/>
              <w:rPr>
                <w:rFonts w:ascii="宋体" w:hAnsi="宋体" w:cs="宋体"/>
                <w:kern w:val="0"/>
                <w:sz w:val="18"/>
                <w:szCs w:val="18"/>
              </w:rPr>
            </w:pPr>
          </w:p>
        </w:tc>
        <w:tc>
          <w:tcPr>
            <w:tcW w:w="828" w:type="pct"/>
            <w:tcBorders>
              <w:top w:val="nil"/>
              <w:left w:val="nil"/>
              <w:bottom w:val="single" w:color="auto" w:sz="4" w:space="0"/>
              <w:right w:val="single" w:color="auto" w:sz="4" w:space="0"/>
            </w:tcBorders>
            <w:vAlign w:val="center"/>
          </w:tcPr>
          <w:p w14:paraId="114CAA3E">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测定下限</w:t>
            </w:r>
          </w:p>
        </w:tc>
        <w:tc>
          <w:tcPr>
            <w:tcW w:w="1005" w:type="pct"/>
            <w:tcBorders>
              <w:top w:val="nil"/>
              <w:left w:val="nil"/>
              <w:bottom w:val="single" w:color="auto" w:sz="4" w:space="0"/>
              <w:right w:val="single" w:color="auto" w:sz="4" w:space="0"/>
            </w:tcBorders>
            <w:vAlign w:val="center"/>
          </w:tcPr>
          <w:p w14:paraId="324D14C4">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0.01mg/L</w:t>
            </w:r>
          </w:p>
        </w:tc>
        <w:tc>
          <w:tcPr>
            <w:tcW w:w="802" w:type="pct"/>
            <w:tcBorders>
              <w:top w:val="nil"/>
              <w:left w:val="nil"/>
              <w:bottom w:val="single" w:color="auto" w:sz="4" w:space="0"/>
              <w:right w:val="single" w:color="auto" w:sz="4" w:space="0"/>
            </w:tcBorders>
            <w:vAlign w:val="center"/>
          </w:tcPr>
          <w:p w14:paraId="50D08036">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0.02mg/L</w:t>
            </w:r>
          </w:p>
        </w:tc>
      </w:tr>
      <w:tr w14:paraId="00902B75">
        <w:tblPrEx>
          <w:tblCellMar>
            <w:top w:w="0" w:type="dxa"/>
            <w:left w:w="108" w:type="dxa"/>
            <w:bottom w:w="0" w:type="dxa"/>
            <w:right w:w="108" w:type="dxa"/>
          </w:tblCellMar>
        </w:tblPrEx>
        <w:trPr>
          <w:trHeight w:val="283" w:hRule="atLeast"/>
        </w:trPr>
        <w:tc>
          <w:tcPr>
            <w:tcW w:w="777" w:type="pct"/>
            <w:vMerge w:val="continue"/>
            <w:tcBorders>
              <w:top w:val="nil"/>
              <w:left w:val="single" w:color="auto" w:sz="4" w:space="0"/>
              <w:bottom w:val="single" w:color="auto" w:sz="4" w:space="0"/>
              <w:right w:val="single" w:color="auto" w:sz="4" w:space="0"/>
            </w:tcBorders>
            <w:vAlign w:val="center"/>
          </w:tcPr>
          <w:p w14:paraId="3FCC4D3B">
            <w:pPr>
              <w:widowControl/>
              <w:spacing w:beforeLines="0" w:afterLines="0" w:line="240" w:lineRule="auto"/>
              <w:jc w:val="left"/>
              <w:rPr>
                <w:rFonts w:ascii="宋体" w:hAnsi="宋体" w:cs="宋体"/>
                <w:kern w:val="0"/>
                <w:sz w:val="18"/>
                <w:szCs w:val="18"/>
              </w:rPr>
            </w:pPr>
          </w:p>
        </w:tc>
        <w:tc>
          <w:tcPr>
            <w:tcW w:w="854" w:type="pct"/>
            <w:vMerge w:val="continue"/>
            <w:tcBorders>
              <w:top w:val="nil"/>
              <w:left w:val="single" w:color="auto" w:sz="4" w:space="0"/>
              <w:bottom w:val="single" w:color="auto" w:sz="4" w:space="0"/>
              <w:right w:val="single" w:color="auto" w:sz="4" w:space="0"/>
            </w:tcBorders>
            <w:vAlign w:val="center"/>
          </w:tcPr>
          <w:p w14:paraId="2AC7D567">
            <w:pPr>
              <w:widowControl/>
              <w:spacing w:beforeLines="0" w:afterLines="0" w:line="240" w:lineRule="auto"/>
              <w:jc w:val="left"/>
              <w:rPr>
                <w:rFonts w:ascii="宋体" w:hAnsi="宋体" w:cs="宋体"/>
                <w:kern w:val="0"/>
                <w:sz w:val="18"/>
                <w:szCs w:val="18"/>
              </w:rPr>
            </w:pPr>
          </w:p>
        </w:tc>
        <w:tc>
          <w:tcPr>
            <w:tcW w:w="731" w:type="pct"/>
            <w:vMerge w:val="continue"/>
            <w:tcBorders>
              <w:top w:val="nil"/>
              <w:left w:val="single" w:color="auto" w:sz="4" w:space="0"/>
              <w:bottom w:val="single" w:color="auto" w:sz="4" w:space="0"/>
              <w:right w:val="single" w:color="auto" w:sz="4" w:space="0"/>
            </w:tcBorders>
            <w:vAlign w:val="center"/>
          </w:tcPr>
          <w:p w14:paraId="775A9149">
            <w:pPr>
              <w:widowControl/>
              <w:spacing w:beforeLines="0" w:afterLines="0" w:line="240" w:lineRule="auto"/>
              <w:jc w:val="left"/>
              <w:rPr>
                <w:rFonts w:ascii="宋体" w:hAnsi="宋体" w:cs="宋体"/>
                <w:kern w:val="0"/>
                <w:sz w:val="18"/>
                <w:szCs w:val="18"/>
              </w:rPr>
            </w:pPr>
          </w:p>
        </w:tc>
        <w:tc>
          <w:tcPr>
            <w:tcW w:w="828" w:type="pct"/>
            <w:tcBorders>
              <w:top w:val="nil"/>
              <w:left w:val="nil"/>
              <w:bottom w:val="single" w:color="auto" w:sz="4" w:space="0"/>
              <w:right w:val="single" w:color="auto" w:sz="4" w:space="0"/>
            </w:tcBorders>
            <w:vAlign w:val="center"/>
          </w:tcPr>
          <w:p w14:paraId="06A8E8FB">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比对试验误差</w:t>
            </w:r>
          </w:p>
        </w:tc>
        <w:tc>
          <w:tcPr>
            <w:tcW w:w="1807" w:type="pct"/>
            <w:gridSpan w:val="2"/>
            <w:tcBorders>
              <w:top w:val="single" w:color="auto" w:sz="4" w:space="0"/>
              <w:left w:val="nil"/>
              <w:bottom w:val="single" w:color="auto" w:sz="4" w:space="0"/>
              <w:right w:val="single" w:color="auto" w:sz="4" w:space="0"/>
            </w:tcBorders>
            <w:vAlign w:val="center"/>
          </w:tcPr>
          <w:p w14:paraId="154F2A6C">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±0.01mg/L（水样的标准方法监测值≤0.1mg/L时）；小于10%（水样的标准方法检测值＞0.1mg/L时）</w:t>
            </w:r>
          </w:p>
        </w:tc>
      </w:tr>
      <w:tr w14:paraId="5A3FBB7E">
        <w:tblPrEx>
          <w:tblCellMar>
            <w:top w:w="0" w:type="dxa"/>
            <w:left w:w="108" w:type="dxa"/>
            <w:bottom w:w="0" w:type="dxa"/>
            <w:right w:w="108" w:type="dxa"/>
          </w:tblCellMar>
        </w:tblPrEx>
        <w:trPr>
          <w:trHeight w:val="283" w:hRule="atLeast"/>
        </w:trPr>
        <w:tc>
          <w:tcPr>
            <w:tcW w:w="777" w:type="pct"/>
            <w:vMerge w:val="continue"/>
            <w:tcBorders>
              <w:top w:val="nil"/>
              <w:left w:val="single" w:color="auto" w:sz="4" w:space="0"/>
              <w:bottom w:val="single" w:color="auto" w:sz="4" w:space="0"/>
              <w:right w:val="single" w:color="auto" w:sz="4" w:space="0"/>
            </w:tcBorders>
            <w:vAlign w:val="center"/>
          </w:tcPr>
          <w:p w14:paraId="31963233">
            <w:pPr>
              <w:widowControl/>
              <w:spacing w:beforeLines="0" w:afterLines="0" w:line="240" w:lineRule="auto"/>
              <w:jc w:val="left"/>
              <w:rPr>
                <w:rFonts w:ascii="宋体" w:hAnsi="宋体" w:cs="宋体"/>
                <w:kern w:val="0"/>
                <w:sz w:val="18"/>
                <w:szCs w:val="18"/>
              </w:rPr>
            </w:pPr>
          </w:p>
        </w:tc>
        <w:tc>
          <w:tcPr>
            <w:tcW w:w="854" w:type="pct"/>
            <w:vMerge w:val="continue"/>
            <w:tcBorders>
              <w:top w:val="nil"/>
              <w:left w:val="single" w:color="auto" w:sz="4" w:space="0"/>
              <w:bottom w:val="single" w:color="auto" w:sz="4" w:space="0"/>
              <w:right w:val="single" w:color="auto" w:sz="4" w:space="0"/>
            </w:tcBorders>
            <w:vAlign w:val="center"/>
          </w:tcPr>
          <w:p w14:paraId="2514B8E4">
            <w:pPr>
              <w:widowControl/>
              <w:spacing w:beforeLines="0" w:afterLines="0" w:line="240" w:lineRule="auto"/>
              <w:jc w:val="left"/>
              <w:rPr>
                <w:rFonts w:ascii="宋体" w:hAnsi="宋体" w:cs="宋体"/>
                <w:kern w:val="0"/>
                <w:sz w:val="18"/>
                <w:szCs w:val="18"/>
              </w:rPr>
            </w:pPr>
          </w:p>
        </w:tc>
        <w:tc>
          <w:tcPr>
            <w:tcW w:w="731" w:type="pct"/>
            <w:vMerge w:val="continue"/>
            <w:tcBorders>
              <w:top w:val="nil"/>
              <w:left w:val="single" w:color="auto" w:sz="4" w:space="0"/>
              <w:bottom w:val="single" w:color="auto" w:sz="4" w:space="0"/>
              <w:right w:val="single" w:color="auto" w:sz="4" w:space="0"/>
            </w:tcBorders>
            <w:vAlign w:val="center"/>
          </w:tcPr>
          <w:p w14:paraId="62A96639">
            <w:pPr>
              <w:widowControl/>
              <w:spacing w:beforeLines="0" w:afterLines="0" w:line="240" w:lineRule="auto"/>
              <w:jc w:val="left"/>
              <w:rPr>
                <w:rFonts w:ascii="宋体" w:hAnsi="宋体" w:cs="宋体"/>
                <w:kern w:val="0"/>
                <w:sz w:val="18"/>
                <w:szCs w:val="18"/>
              </w:rPr>
            </w:pPr>
          </w:p>
        </w:tc>
        <w:tc>
          <w:tcPr>
            <w:tcW w:w="828" w:type="pct"/>
            <w:tcBorders>
              <w:top w:val="nil"/>
              <w:left w:val="nil"/>
              <w:bottom w:val="single" w:color="auto" w:sz="4" w:space="0"/>
              <w:right w:val="single" w:color="auto" w:sz="4" w:space="0"/>
            </w:tcBorders>
            <w:vAlign w:val="center"/>
          </w:tcPr>
          <w:p w14:paraId="06D25815">
            <w:pPr>
              <w:widowControl/>
              <w:spacing w:beforeLines="0" w:afterLines="0" w:line="240" w:lineRule="auto"/>
              <w:jc w:val="left"/>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使用寿命</w:t>
            </w:r>
          </w:p>
        </w:tc>
        <w:tc>
          <w:tcPr>
            <w:tcW w:w="1807" w:type="pct"/>
            <w:gridSpan w:val="2"/>
            <w:tcBorders>
              <w:top w:val="single" w:color="auto" w:sz="4" w:space="0"/>
              <w:left w:val="nil"/>
              <w:bottom w:val="single" w:color="auto" w:sz="4" w:space="0"/>
              <w:right w:val="single" w:color="auto" w:sz="4" w:space="0"/>
            </w:tcBorders>
            <w:vAlign w:val="center"/>
          </w:tcPr>
          <w:p w14:paraId="66753FE6">
            <w:pPr>
              <w:widowControl/>
              <w:spacing w:beforeLines="0" w:afterLines="0" w:line="240" w:lineRule="auto"/>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不低于5年</w:t>
            </w:r>
          </w:p>
        </w:tc>
      </w:tr>
      <w:tr w14:paraId="679F8751">
        <w:tblPrEx>
          <w:tblCellMar>
            <w:top w:w="0" w:type="dxa"/>
            <w:left w:w="108" w:type="dxa"/>
            <w:bottom w:w="0" w:type="dxa"/>
            <w:right w:w="108" w:type="dxa"/>
          </w:tblCellMar>
        </w:tblPrEx>
        <w:trPr>
          <w:trHeight w:val="283" w:hRule="atLeast"/>
        </w:trPr>
        <w:tc>
          <w:tcPr>
            <w:tcW w:w="777" w:type="pct"/>
            <w:tcBorders>
              <w:top w:val="nil"/>
              <w:left w:val="single" w:color="auto" w:sz="4" w:space="0"/>
              <w:bottom w:val="single" w:color="auto" w:sz="4" w:space="0"/>
              <w:right w:val="single" w:color="auto" w:sz="4" w:space="0"/>
            </w:tcBorders>
            <w:vAlign w:val="center"/>
          </w:tcPr>
          <w:p w14:paraId="7B0729FE">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原水管网</w:t>
            </w:r>
          </w:p>
        </w:tc>
        <w:tc>
          <w:tcPr>
            <w:tcW w:w="1585" w:type="pct"/>
            <w:gridSpan w:val="2"/>
            <w:tcBorders>
              <w:top w:val="single" w:color="auto" w:sz="4" w:space="0"/>
              <w:left w:val="nil"/>
              <w:bottom w:val="single" w:color="auto" w:sz="4" w:space="0"/>
              <w:right w:val="single" w:color="auto" w:sz="4" w:space="0"/>
            </w:tcBorders>
            <w:vAlign w:val="center"/>
          </w:tcPr>
          <w:p w14:paraId="3B7E57B2">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漏水声波</w:t>
            </w:r>
          </w:p>
        </w:tc>
        <w:tc>
          <w:tcPr>
            <w:tcW w:w="2636" w:type="pct"/>
            <w:gridSpan w:val="3"/>
            <w:tcBorders>
              <w:top w:val="single" w:color="auto" w:sz="4" w:space="0"/>
              <w:left w:val="nil"/>
              <w:bottom w:val="single" w:color="auto" w:sz="4" w:space="0"/>
              <w:right w:val="single" w:color="auto" w:sz="4" w:space="0"/>
            </w:tcBorders>
            <w:vAlign w:val="center"/>
          </w:tcPr>
          <w:p w14:paraId="39133599">
            <w:pPr>
              <w:widowControl/>
              <w:spacing w:beforeLines="0" w:afterLines="0" w:line="240" w:lineRule="auto"/>
              <w:jc w:val="left"/>
              <w:rPr>
                <w:rFonts w:hint="eastAsia" w:ascii="宋体" w:hAnsi="宋体" w:eastAsia="宋体" w:cs="宋体"/>
                <w:kern w:val="0"/>
                <w:sz w:val="18"/>
                <w:szCs w:val="18"/>
                <w:lang w:eastAsia="zh-CN"/>
              </w:rPr>
            </w:pPr>
            <w:r>
              <mc:AlternateContent>
                <mc:Choice Requires="wps">
                  <w:drawing>
                    <wp:anchor distT="0" distB="0" distL="114300" distR="114300" simplePos="0" relativeHeight="251674624" behindDoc="0" locked="0" layoutInCell="1" allowOverlap="1">
                      <wp:simplePos x="0" y="0"/>
                      <wp:positionH relativeFrom="column">
                        <wp:posOffset>876935</wp:posOffset>
                      </wp:positionH>
                      <wp:positionV relativeFrom="paragraph">
                        <wp:posOffset>-507365</wp:posOffset>
                      </wp:positionV>
                      <wp:extent cx="498475" cy="274955"/>
                      <wp:effectExtent l="0" t="0" r="15875" b="10795"/>
                      <wp:wrapNone/>
                      <wp:docPr id="33" name="文本框 33"/>
                      <wp:cNvGraphicFramePr/>
                      <a:graphic xmlns:a="http://schemas.openxmlformats.org/drawingml/2006/main">
                        <a:graphicData uri="http://schemas.microsoft.com/office/word/2010/wordprocessingShape">
                          <wps:wsp>
                            <wps:cNvSpPr txBox="1"/>
                            <wps:spPr>
                              <a:xfrm>
                                <a:off x="0" y="0"/>
                                <a:ext cx="498475" cy="274955"/>
                              </a:xfrm>
                              <a:prstGeom prst="rect">
                                <a:avLst/>
                              </a:prstGeom>
                              <a:solidFill>
                                <a:srgbClr val="FFFFFF"/>
                              </a:solidFill>
                              <a:ln>
                                <a:noFill/>
                              </a:ln>
                            </wps:spPr>
                            <wps:txbx>
                              <w:txbxContent>
                                <w:p w14:paraId="1CCF51A3">
                                  <w:pPr>
                                    <w:rPr>
                                      <w:rFonts w:hint="eastAsia" w:ascii="黑体" w:hAnsi="黑体" w:eastAsia="黑体" w:cs="黑体"/>
                                    </w:rPr>
                                  </w:pPr>
                                  <w:r>
                                    <w:rPr>
                                      <w:rFonts w:hint="eastAsia" w:ascii="黑体" w:hAnsi="黑体" w:eastAsia="黑体" w:cs="黑体"/>
                                    </w:rPr>
                                    <w:t>（续）</w:t>
                                  </w:r>
                                </w:p>
                              </w:txbxContent>
                            </wps:txbx>
                            <wps:bodyPr lIns="0" tIns="0" rIns="0" bIns="0" anchor="t" anchorCtr="0" upright="1"/>
                          </wps:wsp>
                        </a:graphicData>
                      </a:graphic>
                    </wp:anchor>
                  </w:drawing>
                </mc:Choice>
                <mc:Fallback>
                  <w:pict>
                    <v:shape id="_x0000_s1026" o:spid="_x0000_s1026" o:spt="202" type="#_x0000_t202" style="position:absolute;left:0pt;margin-left:69.05pt;margin-top:-39.95pt;height:21.65pt;width:39.25pt;z-index:251674624;mso-width-relative:page;mso-height-relative:page;" fillcolor="#FFFFFF" filled="t" stroked="f" coordsize="21600,21600" o:gfxdata="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FX3EazZAAAACwEAAA8A&#10;AAAAAAAAAQAgAAAAIgAAAGRycy9kb3ducmV2LnhtbFBLAQIUABQAAAAIAIdO4kD7ieuh3QEAALUD&#10;AAAOAAAAAAAAAAEAIAAAACgBAABkcnMvZTJvRG9jLnhtbFBLBQYAAAAABgAGAFkBAAB3BQAAAAA=&#10;">
                      <v:fill on="t" focussize="0,0"/>
                      <v:stroke on="f"/>
                      <v:imagedata o:title=""/>
                      <o:lock v:ext="edit" aspectratio="f"/>
                      <v:textbox inset="0mm,0mm,0mm,0mm">
                        <w:txbxContent>
                          <w:p w14:paraId="1CCF51A3">
                            <w:pPr>
                              <w:rPr>
                                <w:rFonts w:hint="eastAsia" w:ascii="黑体" w:hAnsi="黑体" w:eastAsia="黑体" w:cs="黑体"/>
                              </w:rPr>
                            </w:pPr>
                            <w:r>
                              <w:rPr>
                                <w:rFonts w:hint="eastAsia" w:ascii="黑体" w:hAnsi="黑体" w:eastAsia="黑体" w:cs="黑体"/>
                              </w:rPr>
                              <w:t>（续）</w:t>
                            </w:r>
                          </w:p>
                        </w:txbxContent>
                      </v:textbox>
                    </v:shape>
                  </w:pict>
                </mc:Fallback>
              </mc:AlternateContent>
            </w:r>
            <w:r>
              <w:rPr>
                <w:rFonts w:hint="eastAsia" w:ascii="宋体" w:hAnsi="宋体" w:cs="宋体"/>
                <w:kern w:val="0"/>
                <w:sz w:val="18"/>
                <w:szCs w:val="18"/>
              </w:rPr>
              <w:t>1.采集频次：不低于1天/次；</w:t>
            </w:r>
          </w:p>
          <w:p w14:paraId="3658D082">
            <w:pPr>
              <w:widowControl/>
              <w:spacing w:beforeLines="0" w:afterLines="0" w:line="240" w:lineRule="auto"/>
              <w:jc w:val="left"/>
              <w:rPr>
                <w:rFonts w:hint="eastAsia" w:ascii="宋体" w:hAnsi="宋体" w:cs="宋体"/>
                <w:kern w:val="0"/>
                <w:sz w:val="18"/>
                <w:szCs w:val="18"/>
                <w:lang w:val="en-US" w:eastAsia="zh-CN"/>
              </w:rPr>
            </w:pPr>
            <w:r>
              <w:rPr>
                <w:rFonts w:hint="eastAsia" w:ascii="宋体" w:hAnsi="宋体" w:cs="宋体"/>
                <w:kern w:val="0"/>
                <w:sz w:val="18"/>
                <w:szCs w:val="18"/>
              </w:rPr>
              <w:t>2.</w:t>
            </w:r>
            <w:r>
              <w:rPr>
                <w:rFonts w:hint="eastAsia" w:ascii="宋体" w:hAnsi="宋体" w:cs="宋体"/>
                <w:kern w:val="0"/>
                <w:sz w:val="18"/>
                <w:szCs w:val="18"/>
                <w:lang w:val="en-US" w:eastAsia="zh-CN"/>
              </w:rPr>
              <w:t>环境适用性：应具有防腐、防水、防尘等抗恶劣环境性能</w:t>
            </w:r>
          </w:p>
          <w:p w14:paraId="7CEFE4C3">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3.</w:t>
            </w:r>
            <w:r>
              <w:rPr>
                <w:rFonts w:hint="eastAsia" w:ascii="宋体" w:hAnsi="宋体" w:cs="宋体"/>
                <w:kern w:val="0"/>
                <w:sz w:val="18"/>
                <w:szCs w:val="18"/>
              </w:rPr>
              <w:t>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tc>
      </w:tr>
      <w:tr w14:paraId="1978B6DE">
        <w:tblPrEx>
          <w:tblCellMar>
            <w:top w:w="0" w:type="dxa"/>
            <w:left w:w="108" w:type="dxa"/>
            <w:bottom w:w="0" w:type="dxa"/>
            <w:right w:w="108" w:type="dxa"/>
          </w:tblCellMar>
        </w:tblPrEx>
        <w:trPr>
          <w:trHeight w:val="283" w:hRule="atLeast"/>
        </w:trPr>
        <w:tc>
          <w:tcPr>
            <w:tcW w:w="777" w:type="pct"/>
            <w:vMerge w:val="restart"/>
            <w:tcBorders>
              <w:top w:val="nil"/>
              <w:left w:val="single" w:color="auto" w:sz="4" w:space="0"/>
              <w:bottom w:val="single" w:color="auto" w:sz="4" w:space="0"/>
              <w:right w:val="single" w:color="auto" w:sz="4" w:space="0"/>
            </w:tcBorders>
            <w:vAlign w:val="center"/>
          </w:tcPr>
          <w:p w14:paraId="05519C57">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水厂</w:t>
            </w:r>
          </w:p>
        </w:tc>
        <w:tc>
          <w:tcPr>
            <w:tcW w:w="1585" w:type="pct"/>
            <w:gridSpan w:val="2"/>
            <w:tcBorders>
              <w:top w:val="single" w:color="auto" w:sz="4" w:space="0"/>
              <w:left w:val="nil"/>
              <w:bottom w:val="single" w:color="auto" w:sz="4" w:space="0"/>
              <w:right w:val="single" w:color="auto" w:sz="4" w:space="0"/>
            </w:tcBorders>
            <w:vAlign w:val="center"/>
          </w:tcPr>
          <w:p w14:paraId="49F5D8F7">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流量</w:t>
            </w:r>
          </w:p>
        </w:tc>
        <w:tc>
          <w:tcPr>
            <w:tcW w:w="2636" w:type="pct"/>
            <w:gridSpan w:val="3"/>
            <w:tcBorders>
              <w:top w:val="single" w:color="auto" w:sz="4" w:space="0"/>
              <w:left w:val="nil"/>
              <w:bottom w:val="single" w:color="auto" w:sz="4" w:space="0"/>
              <w:right w:val="single" w:color="auto" w:sz="4" w:space="0"/>
            </w:tcBorders>
            <w:vAlign w:val="center"/>
          </w:tcPr>
          <w:p w14:paraId="04846D56">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1.量程：（0～12）m/s；</w:t>
            </w:r>
          </w:p>
          <w:p w14:paraId="6C5BE216">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2.精度：测量精度不低于±1%，重复性精度不低于0.2%；</w:t>
            </w:r>
          </w:p>
          <w:p w14:paraId="153C3F84">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3.采集频次：不低于1次/5min，采集频次可调；</w:t>
            </w:r>
          </w:p>
          <w:p w14:paraId="0F7F3EBB">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4.上传频次：不低于1次/5min，上传频次可调；</w:t>
            </w:r>
          </w:p>
          <w:p w14:paraId="15502DD8">
            <w:pPr>
              <w:widowControl/>
              <w:spacing w:beforeLines="0" w:afterLines="0" w:line="240" w:lineRule="auto"/>
              <w:jc w:val="left"/>
              <w:rPr>
                <w:rFonts w:hint="eastAsia" w:ascii="宋体" w:hAnsi="宋体" w:cs="宋体"/>
                <w:kern w:val="0"/>
                <w:sz w:val="18"/>
                <w:szCs w:val="18"/>
                <w:lang w:val="en-US" w:eastAsia="zh-CN"/>
              </w:rPr>
            </w:pPr>
            <w:r>
              <w:rPr>
                <w:rFonts w:hint="eastAsia" w:ascii="宋体" w:hAnsi="宋体" w:cs="宋体"/>
                <w:kern w:val="0"/>
                <w:sz w:val="18"/>
                <w:szCs w:val="18"/>
              </w:rPr>
              <w:t>5.</w:t>
            </w:r>
            <w:r>
              <w:rPr>
                <w:rFonts w:hint="eastAsia" w:ascii="宋体" w:hAnsi="宋体" w:cs="宋体"/>
                <w:kern w:val="0"/>
                <w:sz w:val="18"/>
                <w:szCs w:val="18"/>
                <w:lang w:val="en-US" w:eastAsia="zh-CN"/>
              </w:rPr>
              <w:t>环境适用性：应具有防腐、防水、防尘等抗恶劣环境性能</w:t>
            </w:r>
          </w:p>
          <w:p w14:paraId="72F4D9E9">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6.</w:t>
            </w:r>
            <w:r>
              <w:rPr>
                <w:rFonts w:hint="eastAsia" w:ascii="宋体" w:hAnsi="宋体" w:cs="宋体"/>
                <w:kern w:val="0"/>
                <w:sz w:val="18"/>
                <w:szCs w:val="18"/>
              </w:rPr>
              <w:t>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tc>
      </w:tr>
      <w:tr w14:paraId="585B639F">
        <w:tblPrEx>
          <w:tblCellMar>
            <w:top w:w="0" w:type="dxa"/>
            <w:left w:w="108" w:type="dxa"/>
            <w:bottom w:w="0" w:type="dxa"/>
            <w:right w:w="108" w:type="dxa"/>
          </w:tblCellMar>
        </w:tblPrEx>
        <w:trPr>
          <w:trHeight w:val="283" w:hRule="atLeast"/>
        </w:trPr>
        <w:tc>
          <w:tcPr>
            <w:tcW w:w="777" w:type="pct"/>
            <w:vMerge w:val="continue"/>
            <w:tcBorders>
              <w:top w:val="nil"/>
              <w:left w:val="single" w:color="auto" w:sz="4" w:space="0"/>
              <w:bottom w:val="single" w:color="auto" w:sz="4" w:space="0"/>
              <w:right w:val="single" w:color="auto" w:sz="4" w:space="0"/>
            </w:tcBorders>
            <w:vAlign w:val="center"/>
          </w:tcPr>
          <w:p w14:paraId="15A76391">
            <w:pPr>
              <w:widowControl/>
              <w:spacing w:beforeLines="0" w:afterLines="0" w:line="240" w:lineRule="auto"/>
              <w:jc w:val="left"/>
              <w:rPr>
                <w:rFonts w:ascii="宋体" w:hAnsi="宋体" w:cs="宋体"/>
                <w:kern w:val="0"/>
                <w:sz w:val="18"/>
                <w:szCs w:val="18"/>
              </w:rPr>
            </w:pPr>
          </w:p>
        </w:tc>
        <w:tc>
          <w:tcPr>
            <w:tcW w:w="1585" w:type="pct"/>
            <w:gridSpan w:val="2"/>
            <w:tcBorders>
              <w:top w:val="single" w:color="auto" w:sz="4" w:space="0"/>
              <w:left w:val="nil"/>
              <w:bottom w:val="single" w:color="auto" w:sz="4" w:space="0"/>
              <w:right w:val="single" w:color="auto" w:sz="4" w:space="0"/>
            </w:tcBorders>
            <w:vAlign w:val="center"/>
          </w:tcPr>
          <w:p w14:paraId="5513D6A6">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压力</w:t>
            </w:r>
          </w:p>
        </w:tc>
        <w:tc>
          <w:tcPr>
            <w:tcW w:w="2636" w:type="pct"/>
            <w:gridSpan w:val="3"/>
            <w:tcBorders>
              <w:top w:val="single" w:color="auto" w:sz="4" w:space="0"/>
              <w:left w:val="nil"/>
              <w:bottom w:val="single" w:color="auto" w:sz="4" w:space="0"/>
              <w:right w:val="single" w:color="auto" w:sz="4" w:space="0"/>
            </w:tcBorders>
            <w:vAlign w:val="center"/>
          </w:tcPr>
          <w:p w14:paraId="34BB095E">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1.量程：（0～2.5）MPa；</w:t>
            </w:r>
          </w:p>
          <w:p w14:paraId="534759AB">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2.精度：不低于±0.5%FS；</w:t>
            </w:r>
          </w:p>
          <w:p w14:paraId="4D8FCDF6">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3.采集频次：不低于1次/5min，采集频次可调；</w:t>
            </w:r>
          </w:p>
          <w:p w14:paraId="05FCCC10">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4.上传频次：不低于1次/5min，上传频次可调；</w:t>
            </w:r>
          </w:p>
          <w:p w14:paraId="00E018CD">
            <w:pPr>
              <w:widowControl/>
              <w:spacing w:beforeLines="0" w:afterLines="0" w:line="240" w:lineRule="auto"/>
              <w:jc w:val="left"/>
              <w:rPr>
                <w:rFonts w:hint="eastAsia" w:ascii="宋体" w:hAnsi="宋体" w:cs="宋体"/>
                <w:kern w:val="0"/>
                <w:sz w:val="18"/>
                <w:szCs w:val="18"/>
                <w:lang w:val="en-US" w:eastAsia="zh-CN"/>
              </w:rPr>
            </w:pPr>
            <w:r>
              <w:rPr>
                <w:rFonts w:hint="eastAsia" w:ascii="宋体" w:hAnsi="宋体" w:cs="宋体"/>
                <w:kern w:val="0"/>
                <w:sz w:val="18"/>
                <w:szCs w:val="18"/>
              </w:rPr>
              <w:t>5.</w:t>
            </w:r>
            <w:r>
              <w:rPr>
                <w:rFonts w:hint="eastAsia" w:ascii="宋体" w:hAnsi="宋体" w:cs="宋体"/>
                <w:kern w:val="0"/>
                <w:sz w:val="18"/>
                <w:szCs w:val="18"/>
                <w:lang w:val="en-US" w:eastAsia="zh-CN"/>
              </w:rPr>
              <w:t>环境适用性：应具有防腐、防水、防尘等抗恶劣环境性能</w:t>
            </w:r>
          </w:p>
          <w:p w14:paraId="5213B22B">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6.</w:t>
            </w:r>
            <w:r>
              <w:rPr>
                <w:rFonts w:hint="eastAsia" w:ascii="宋体" w:hAnsi="宋体" w:cs="宋体"/>
                <w:kern w:val="0"/>
                <w:sz w:val="18"/>
                <w:szCs w:val="18"/>
              </w:rPr>
              <w:t>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tc>
      </w:tr>
      <w:tr w14:paraId="3500E923">
        <w:tblPrEx>
          <w:tblCellMar>
            <w:top w:w="0" w:type="dxa"/>
            <w:left w:w="108" w:type="dxa"/>
            <w:bottom w:w="0" w:type="dxa"/>
            <w:right w:w="108" w:type="dxa"/>
          </w:tblCellMar>
        </w:tblPrEx>
        <w:trPr>
          <w:trHeight w:val="283" w:hRule="atLeast"/>
        </w:trPr>
        <w:tc>
          <w:tcPr>
            <w:tcW w:w="777" w:type="pct"/>
            <w:vMerge w:val="continue"/>
            <w:tcBorders>
              <w:top w:val="nil"/>
              <w:left w:val="single" w:color="auto" w:sz="4" w:space="0"/>
              <w:bottom w:val="single" w:color="auto" w:sz="4" w:space="0"/>
              <w:right w:val="single" w:color="auto" w:sz="4" w:space="0"/>
            </w:tcBorders>
            <w:vAlign w:val="center"/>
          </w:tcPr>
          <w:p w14:paraId="349C2D39">
            <w:pPr>
              <w:widowControl/>
              <w:spacing w:beforeLines="0" w:afterLines="0" w:line="240" w:lineRule="auto"/>
              <w:jc w:val="left"/>
              <w:rPr>
                <w:rFonts w:ascii="宋体" w:hAnsi="宋体" w:cs="宋体"/>
                <w:kern w:val="0"/>
                <w:sz w:val="18"/>
                <w:szCs w:val="18"/>
              </w:rPr>
            </w:pPr>
          </w:p>
        </w:tc>
        <w:tc>
          <w:tcPr>
            <w:tcW w:w="854" w:type="pct"/>
            <w:vMerge w:val="restart"/>
            <w:tcBorders>
              <w:top w:val="nil"/>
              <w:left w:val="single" w:color="auto" w:sz="4" w:space="0"/>
              <w:bottom w:val="single" w:color="auto" w:sz="4" w:space="0"/>
              <w:right w:val="single" w:color="auto" w:sz="4" w:space="0"/>
            </w:tcBorders>
            <w:vAlign w:val="center"/>
          </w:tcPr>
          <w:p w14:paraId="2AE4CB15">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水质</w:t>
            </w:r>
          </w:p>
        </w:tc>
        <w:tc>
          <w:tcPr>
            <w:tcW w:w="731" w:type="pct"/>
            <w:tcBorders>
              <w:top w:val="nil"/>
              <w:left w:val="nil"/>
              <w:bottom w:val="single" w:color="auto" w:sz="4" w:space="0"/>
              <w:right w:val="single" w:color="auto" w:sz="4" w:space="0"/>
            </w:tcBorders>
            <w:vAlign w:val="center"/>
          </w:tcPr>
          <w:p w14:paraId="0ED3CC9A">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浑浊度</w:t>
            </w:r>
          </w:p>
        </w:tc>
        <w:tc>
          <w:tcPr>
            <w:tcW w:w="2636" w:type="pct"/>
            <w:gridSpan w:val="3"/>
            <w:tcBorders>
              <w:top w:val="single" w:color="auto" w:sz="4" w:space="0"/>
              <w:left w:val="nil"/>
              <w:bottom w:val="single" w:color="auto" w:sz="4" w:space="0"/>
              <w:right w:val="single" w:color="auto" w:sz="4" w:space="0"/>
            </w:tcBorders>
            <w:vAlign w:val="center"/>
          </w:tcPr>
          <w:p w14:paraId="39CEFE66">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1.测量范围：（0～10）NTU；</w:t>
            </w:r>
          </w:p>
          <w:p w14:paraId="1E58E5B0">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2.分辨率：0.01NTU；</w:t>
            </w:r>
          </w:p>
          <w:p w14:paraId="4B00F046">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3.精度：±3%FS；</w:t>
            </w:r>
          </w:p>
          <w:p w14:paraId="1D56434A">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4.工作温度：（0～50）℃；</w:t>
            </w:r>
          </w:p>
          <w:p w14:paraId="4AFCA2B6">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5.工作湿度：≤85%RH（无冷凝）；</w:t>
            </w:r>
          </w:p>
          <w:p w14:paraId="69C4FC1A">
            <w:pPr>
              <w:widowControl/>
              <w:spacing w:beforeLines="0" w:afterLines="0" w:line="240" w:lineRule="auto"/>
              <w:jc w:val="left"/>
              <w:rPr>
                <w:rFonts w:hint="eastAsia" w:ascii="宋体" w:hAnsi="宋体" w:cs="宋体"/>
                <w:kern w:val="0"/>
                <w:sz w:val="18"/>
                <w:szCs w:val="18"/>
                <w:lang w:val="en-US" w:eastAsia="zh-CN"/>
              </w:rPr>
            </w:pPr>
            <w:r>
              <w:rPr>
                <w:rFonts w:hint="eastAsia" w:ascii="宋体" w:hAnsi="宋体" w:cs="宋体"/>
                <w:kern w:val="0"/>
                <w:sz w:val="18"/>
                <w:szCs w:val="18"/>
              </w:rPr>
              <w:t>6.</w:t>
            </w:r>
            <w:r>
              <w:rPr>
                <w:rFonts w:hint="eastAsia" w:ascii="宋体" w:hAnsi="宋体" w:cs="宋体"/>
                <w:kern w:val="0"/>
                <w:sz w:val="18"/>
                <w:szCs w:val="18"/>
                <w:lang w:val="en-US" w:eastAsia="zh-CN"/>
              </w:rPr>
              <w:t>环境适用性：应具有防腐、防水、防尘等抗恶劣环境性能</w:t>
            </w:r>
          </w:p>
          <w:p w14:paraId="585FCAF7">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7.</w:t>
            </w:r>
            <w:r>
              <w:rPr>
                <w:rFonts w:hint="eastAsia" w:ascii="宋体" w:hAnsi="宋体" w:cs="宋体"/>
                <w:kern w:val="0"/>
                <w:sz w:val="18"/>
                <w:szCs w:val="18"/>
              </w:rPr>
              <w:t>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tc>
      </w:tr>
      <w:tr w14:paraId="1FB47AD9">
        <w:tblPrEx>
          <w:tblCellMar>
            <w:top w:w="0" w:type="dxa"/>
            <w:left w:w="108" w:type="dxa"/>
            <w:bottom w:w="0" w:type="dxa"/>
            <w:right w:w="108" w:type="dxa"/>
          </w:tblCellMar>
        </w:tblPrEx>
        <w:trPr>
          <w:trHeight w:val="283" w:hRule="atLeast"/>
        </w:trPr>
        <w:tc>
          <w:tcPr>
            <w:tcW w:w="777" w:type="pct"/>
            <w:vMerge w:val="continue"/>
            <w:tcBorders>
              <w:top w:val="nil"/>
              <w:left w:val="single" w:color="auto" w:sz="4" w:space="0"/>
              <w:bottom w:val="single" w:color="auto" w:sz="4" w:space="0"/>
              <w:right w:val="single" w:color="auto" w:sz="4" w:space="0"/>
            </w:tcBorders>
            <w:vAlign w:val="center"/>
          </w:tcPr>
          <w:p w14:paraId="313D0D3F">
            <w:pPr>
              <w:widowControl/>
              <w:spacing w:beforeLines="0" w:afterLines="0" w:line="240" w:lineRule="auto"/>
              <w:jc w:val="left"/>
              <w:rPr>
                <w:rFonts w:ascii="宋体" w:hAnsi="宋体" w:cs="宋体"/>
                <w:kern w:val="0"/>
                <w:sz w:val="18"/>
                <w:szCs w:val="18"/>
              </w:rPr>
            </w:pPr>
          </w:p>
        </w:tc>
        <w:tc>
          <w:tcPr>
            <w:tcW w:w="854" w:type="pct"/>
            <w:vMerge w:val="continue"/>
            <w:tcBorders>
              <w:top w:val="nil"/>
              <w:left w:val="single" w:color="auto" w:sz="4" w:space="0"/>
              <w:bottom w:val="single" w:color="auto" w:sz="4" w:space="0"/>
              <w:right w:val="single" w:color="auto" w:sz="4" w:space="0"/>
            </w:tcBorders>
            <w:vAlign w:val="center"/>
          </w:tcPr>
          <w:p w14:paraId="348C957B">
            <w:pPr>
              <w:widowControl/>
              <w:spacing w:beforeLines="0" w:afterLines="0" w:line="240" w:lineRule="auto"/>
              <w:jc w:val="left"/>
              <w:rPr>
                <w:rFonts w:ascii="宋体" w:hAnsi="宋体" w:cs="宋体"/>
                <w:kern w:val="0"/>
                <w:sz w:val="18"/>
                <w:szCs w:val="18"/>
              </w:rPr>
            </w:pPr>
          </w:p>
        </w:tc>
        <w:tc>
          <w:tcPr>
            <w:tcW w:w="731" w:type="pct"/>
            <w:tcBorders>
              <w:top w:val="nil"/>
              <w:left w:val="nil"/>
              <w:bottom w:val="single" w:color="auto" w:sz="4" w:space="0"/>
              <w:right w:val="single" w:color="auto" w:sz="4" w:space="0"/>
            </w:tcBorders>
            <w:vAlign w:val="center"/>
          </w:tcPr>
          <w:p w14:paraId="3D946B52">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余氯</w:t>
            </w:r>
          </w:p>
        </w:tc>
        <w:tc>
          <w:tcPr>
            <w:tcW w:w="2636" w:type="pct"/>
            <w:gridSpan w:val="3"/>
            <w:tcBorders>
              <w:top w:val="single" w:color="auto" w:sz="4" w:space="0"/>
              <w:left w:val="nil"/>
              <w:bottom w:val="single" w:color="auto" w:sz="4" w:space="0"/>
              <w:right w:val="single" w:color="auto" w:sz="4" w:space="0"/>
            </w:tcBorders>
            <w:vAlign w:val="center"/>
          </w:tcPr>
          <w:p w14:paraId="22AC9F97">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1.测量范围：（0～2.00）mg/L；</w:t>
            </w:r>
          </w:p>
          <w:p w14:paraId="2D7373DF">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2.分辨率：0.01mg/L；</w:t>
            </w:r>
          </w:p>
          <w:p w14:paraId="5D83BE49">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3.精度：±2%FS；</w:t>
            </w:r>
          </w:p>
          <w:p w14:paraId="0BD97A5A">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4.工作温度：（0～50）℃；</w:t>
            </w:r>
          </w:p>
          <w:p w14:paraId="50FEF93B">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5.工作湿度：≤85%RH（无冷凝）；</w:t>
            </w:r>
          </w:p>
          <w:p w14:paraId="5F1022BC">
            <w:pPr>
              <w:widowControl/>
              <w:spacing w:beforeLines="0" w:afterLines="0" w:line="240" w:lineRule="auto"/>
              <w:jc w:val="left"/>
              <w:rPr>
                <w:rFonts w:hint="eastAsia" w:ascii="宋体" w:hAnsi="宋体" w:cs="宋体"/>
                <w:kern w:val="0"/>
                <w:sz w:val="18"/>
                <w:szCs w:val="18"/>
                <w:lang w:val="en-US" w:eastAsia="zh-CN"/>
              </w:rPr>
            </w:pPr>
            <w:r>
              <w:rPr>
                <w:rFonts w:hint="eastAsia" w:ascii="宋体" w:hAnsi="宋体" w:cs="宋体"/>
                <w:kern w:val="0"/>
                <w:sz w:val="18"/>
                <w:szCs w:val="18"/>
              </w:rPr>
              <w:t>6.</w:t>
            </w:r>
            <w:r>
              <w:rPr>
                <w:rFonts w:hint="eastAsia" w:ascii="宋体" w:hAnsi="宋体" w:cs="宋体"/>
                <w:kern w:val="0"/>
                <w:sz w:val="18"/>
                <w:szCs w:val="18"/>
                <w:lang w:val="en-US" w:eastAsia="zh-CN"/>
              </w:rPr>
              <w:t>环境适用性：应具有防腐、防水、防尘等抗恶劣环境性能</w:t>
            </w:r>
          </w:p>
          <w:p w14:paraId="192EBDD6">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7.</w:t>
            </w:r>
            <w:r>
              <w:rPr>
                <w:rFonts w:hint="eastAsia" w:ascii="宋体" w:hAnsi="宋体" w:cs="宋体"/>
                <w:kern w:val="0"/>
                <w:sz w:val="18"/>
                <w:szCs w:val="18"/>
              </w:rPr>
              <w:t>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tc>
      </w:tr>
      <w:tr w14:paraId="45CA8B26">
        <w:tblPrEx>
          <w:tblCellMar>
            <w:top w:w="0" w:type="dxa"/>
            <w:left w:w="108" w:type="dxa"/>
            <w:bottom w:w="0" w:type="dxa"/>
            <w:right w:w="108" w:type="dxa"/>
          </w:tblCellMar>
        </w:tblPrEx>
        <w:trPr>
          <w:trHeight w:val="283" w:hRule="atLeast"/>
        </w:trPr>
        <w:tc>
          <w:tcPr>
            <w:tcW w:w="777" w:type="pct"/>
            <w:vMerge w:val="restart"/>
            <w:tcBorders>
              <w:top w:val="nil"/>
              <w:left w:val="single" w:color="auto" w:sz="4" w:space="0"/>
              <w:bottom w:val="single" w:color="auto" w:sz="4" w:space="0"/>
              <w:right w:val="single" w:color="auto" w:sz="4" w:space="0"/>
            </w:tcBorders>
            <w:vAlign w:val="center"/>
          </w:tcPr>
          <w:p w14:paraId="7E354083">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泵站</w:t>
            </w:r>
          </w:p>
        </w:tc>
        <w:tc>
          <w:tcPr>
            <w:tcW w:w="1585" w:type="pct"/>
            <w:gridSpan w:val="2"/>
            <w:tcBorders>
              <w:top w:val="single" w:color="auto" w:sz="4" w:space="0"/>
              <w:left w:val="nil"/>
              <w:bottom w:val="single" w:color="auto" w:sz="4" w:space="0"/>
              <w:right w:val="single" w:color="auto" w:sz="4" w:space="0"/>
            </w:tcBorders>
            <w:vAlign w:val="center"/>
          </w:tcPr>
          <w:p w14:paraId="3A7FB61D">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流量</w:t>
            </w:r>
          </w:p>
        </w:tc>
        <w:tc>
          <w:tcPr>
            <w:tcW w:w="2636" w:type="pct"/>
            <w:gridSpan w:val="3"/>
            <w:tcBorders>
              <w:top w:val="single" w:color="auto" w:sz="4" w:space="0"/>
              <w:left w:val="nil"/>
              <w:bottom w:val="single" w:color="auto" w:sz="4" w:space="0"/>
              <w:right w:val="single" w:color="auto" w:sz="4" w:space="0"/>
            </w:tcBorders>
            <w:vAlign w:val="center"/>
          </w:tcPr>
          <w:p w14:paraId="4CF590A1">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1.量程：（0～12）m/s；</w:t>
            </w:r>
          </w:p>
          <w:p w14:paraId="6CFBFA7E">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2.精度：测量精度不低于±1%，重复性精度不低于0.2%；</w:t>
            </w:r>
          </w:p>
          <w:p w14:paraId="1B4CD6DB">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3.采集频次：不低于1次/5min，采集频次可调；</w:t>
            </w:r>
          </w:p>
          <w:p w14:paraId="2CE85641">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4.上传频次：不低于1次/5min，上传频次可调；</w:t>
            </w:r>
          </w:p>
          <w:p w14:paraId="4B3A8369">
            <w:pPr>
              <w:widowControl/>
              <w:spacing w:beforeLines="0" w:afterLines="0" w:line="240" w:lineRule="auto"/>
              <w:jc w:val="left"/>
              <w:rPr>
                <w:rFonts w:hint="eastAsia" w:ascii="宋体" w:hAnsi="宋体" w:cs="宋体"/>
                <w:kern w:val="0"/>
                <w:sz w:val="18"/>
                <w:szCs w:val="18"/>
                <w:lang w:val="en-US" w:eastAsia="zh-CN"/>
              </w:rPr>
            </w:pPr>
            <w:r>
              <w:rPr>
                <w:rFonts w:hint="eastAsia" w:ascii="宋体" w:hAnsi="宋体" w:cs="宋体"/>
                <w:kern w:val="0"/>
                <w:sz w:val="18"/>
                <w:szCs w:val="18"/>
              </w:rPr>
              <w:t>5.</w:t>
            </w:r>
            <w:r>
              <w:rPr>
                <w:rFonts w:hint="eastAsia" w:ascii="宋体" w:hAnsi="宋体" w:cs="宋体"/>
                <w:kern w:val="0"/>
                <w:sz w:val="18"/>
                <w:szCs w:val="18"/>
                <w:lang w:val="en-US" w:eastAsia="zh-CN"/>
              </w:rPr>
              <w:t>环境适用性：应具有防腐、防水、防尘等抗恶劣环境性能</w:t>
            </w:r>
          </w:p>
          <w:p w14:paraId="38EDF45B">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6.</w:t>
            </w:r>
            <w:r>
              <w:rPr>
                <w:rFonts w:hint="eastAsia" w:ascii="宋体" w:hAnsi="宋体" w:cs="宋体"/>
                <w:kern w:val="0"/>
                <w:sz w:val="18"/>
                <w:szCs w:val="18"/>
              </w:rPr>
              <w:t>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tc>
      </w:tr>
      <w:tr w14:paraId="2A3B64B8">
        <w:tblPrEx>
          <w:tblCellMar>
            <w:top w:w="0" w:type="dxa"/>
            <w:left w:w="108" w:type="dxa"/>
            <w:bottom w:w="0" w:type="dxa"/>
            <w:right w:w="108" w:type="dxa"/>
          </w:tblCellMar>
        </w:tblPrEx>
        <w:trPr>
          <w:trHeight w:val="283" w:hRule="atLeast"/>
        </w:trPr>
        <w:tc>
          <w:tcPr>
            <w:tcW w:w="777" w:type="pct"/>
            <w:vMerge w:val="continue"/>
            <w:tcBorders>
              <w:top w:val="nil"/>
              <w:left w:val="single" w:color="auto" w:sz="4" w:space="0"/>
              <w:bottom w:val="single" w:color="auto" w:sz="4" w:space="0"/>
              <w:right w:val="single" w:color="auto" w:sz="4" w:space="0"/>
            </w:tcBorders>
            <w:vAlign w:val="center"/>
          </w:tcPr>
          <w:p w14:paraId="198C3307">
            <w:pPr>
              <w:widowControl/>
              <w:spacing w:beforeLines="0" w:afterLines="0" w:line="240" w:lineRule="auto"/>
              <w:jc w:val="left"/>
              <w:rPr>
                <w:rFonts w:ascii="宋体" w:hAnsi="宋体" w:cs="宋体"/>
                <w:kern w:val="0"/>
                <w:sz w:val="18"/>
                <w:szCs w:val="18"/>
              </w:rPr>
            </w:pPr>
          </w:p>
        </w:tc>
        <w:tc>
          <w:tcPr>
            <w:tcW w:w="1585" w:type="pct"/>
            <w:gridSpan w:val="2"/>
            <w:tcBorders>
              <w:top w:val="single" w:color="auto" w:sz="4" w:space="0"/>
              <w:left w:val="nil"/>
              <w:bottom w:val="single" w:color="auto" w:sz="4" w:space="0"/>
              <w:right w:val="single" w:color="auto" w:sz="4" w:space="0"/>
            </w:tcBorders>
            <w:vAlign w:val="center"/>
          </w:tcPr>
          <w:p w14:paraId="18AE8433">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压力</w:t>
            </w:r>
          </w:p>
        </w:tc>
        <w:tc>
          <w:tcPr>
            <w:tcW w:w="2636" w:type="pct"/>
            <w:gridSpan w:val="3"/>
            <w:tcBorders>
              <w:top w:val="single" w:color="auto" w:sz="4" w:space="0"/>
              <w:left w:val="nil"/>
              <w:bottom w:val="single" w:color="auto" w:sz="4" w:space="0"/>
              <w:right w:val="single" w:color="auto" w:sz="4" w:space="0"/>
            </w:tcBorders>
            <w:vAlign w:val="center"/>
          </w:tcPr>
          <w:p w14:paraId="2471984C">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1.量程：（0～2.5）MPa</w:t>
            </w:r>
          </w:p>
          <w:p w14:paraId="3DBCA200">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2.精度：不低于±0.5%FS</w:t>
            </w:r>
          </w:p>
          <w:p w14:paraId="47E553D4">
            <w:pPr>
              <w:widowControl/>
              <w:spacing w:beforeLines="0" w:afterLines="0" w:line="240" w:lineRule="auto"/>
              <w:jc w:val="left"/>
              <w:rPr>
                <w:rFonts w:hint="eastAsia" w:ascii="宋体" w:hAnsi="宋体" w:eastAsia="宋体" w:cs="宋体"/>
                <w:kern w:val="0"/>
                <w:sz w:val="18"/>
                <w:szCs w:val="18"/>
                <w:lang w:eastAsia="zh-CN"/>
              </w:rPr>
            </w:pPr>
            <w:r>
              <mc:AlternateContent>
                <mc:Choice Requires="wps">
                  <w:drawing>
                    <wp:anchor distT="0" distB="0" distL="114300" distR="114300" simplePos="0" relativeHeight="251675648" behindDoc="0" locked="0" layoutInCell="1" allowOverlap="1">
                      <wp:simplePos x="0" y="0"/>
                      <wp:positionH relativeFrom="column">
                        <wp:posOffset>1012190</wp:posOffset>
                      </wp:positionH>
                      <wp:positionV relativeFrom="paragraph">
                        <wp:posOffset>-507365</wp:posOffset>
                      </wp:positionV>
                      <wp:extent cx="498475" cy="274955"/>
                      <wp:effectExtent l="0" t="0" r="15875" b="10795"/>
                      <wp:wrapNone/>
                      <wp:docPr id="37" name="文本框 37"/>
                      <wp:cNvGraphicFramePr/>
                      <a:graphic xmlns:a="http://schemas.openxmlformats.org/drawingml/2006/main">
                        <a:graphicData uri="http://schemas.microsoft.com/office/word/2010/wordprocessingShape">
                          <wps:wsp>
                            <wps:cNvSpPr txBox="1"/>
                            <wps:spPr>
                              <a:xfrm>
                                <a:off x="0" y="0"/>
                                <a:ext cx="498475" cy="274955"/>
                              </a:xfrm>
                              <a:prstGeom prst="rect">
                                <a:avLst/>
                              </a:prstGeom>
                              <a:solidFill>
                                <a:srgbClr val="FFFFFF"/>
                              </a:solidFill>
                              <a:ln>
                                <a:noFill/>
                              </a:ln>
                            </wps:spPr>
                            <wps:txbx>
                              <w:txbxContent>
                                <w:p w14:paraId="60A2202A">
                                  <w:pPr>
                                    <w:rPr>
                                      <w:rFonts w:hint="eastAsia" w:ascii="黑体" w:hAnsi="黑体" w:eastAsia="黑体" w:cs="黑体"/>
                                    </w:rPr>
                                  </w:pPr>
                                  <w:r>
                                    <w:rPr>
                                      <w:rFonts w:hint="eastAsia" w:ascii="黑体" w:hAnsi="黑体" w:eastAsia="黑体" w:cs="黑体"/>
                                    </w:rPr>
                                    <w:t>（续）</w:t>
                                  </w:r>
                                </w:p>
                              </w:txbxContent>
                            </wps:txbx>
                            <wps:bodyPr lIns="0" tIns="0" rIns="0" bIns="0" anchor="t" anchorCtr="0" upright="1"/>
                          </wps:wsp>
                        </a:graphicData>
                      </a:graphic>
                    </wp:anchor>
                  </w:drawing>
                </mc:Choice>
                <mc:Fallback>
                  <w:pict>
                    <v:shape id="_x0000_s1026" o:spid="_x0000_s1026" o:spt="202" type="#_x0000_t202" style="position:absolute;left:0pt;margin-left:79.7pt;margin-top:-39.95pt;height:21.65pt;width:39.25pt;z-index:251675648;mso-width-relative:page;mso-height-relative:page;" fillcolor="#FFFFFF" filled="t" stroked="f" coordsize="21600,21600" o:gfxdata="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pYTIB2gAAAAsBAAAP&#10;AAAAAAAAAAEAIAAAACIAAABkcnMvZG93bnJldi54bWxQSwECFAAUAAAACACHTuJAdJdCS90BAAC1&#10;AwAADgAAAAAAAAABACAAAAApAQAAZHJzL2Uyb0RvYy54bWxQSwUGAAAAAAYABgBZAQAAeAUAAAAA&#10;">
                      <v:fill on="t" focussize="0,0"/>
                      <v:stroke on="f"/>
                      <v:imagedata o:title=""/>
                      <o:lock v:ext="edit" aspectratio="f"/>
                      <v:textbox inset="0mm,0mm,0mm,0mm">
                        <w:txbxContent>
                          <w:p w14:paraId="60A2202A">
                            <w:pPr>
                              <w:rPr>
                                <w:rFonts w:hint="eastAsia" w:ascii="黑体" w:hAnsi="黑体" w:eastAsia="黑体" w:cs="黑体"/>
                              </w:rPr>
                            </w:pPr>
                            <w:r>
                              <w:rPr>
                                <w:rFonts w:hint="eastAsia" w:ascii="黑体" w:hAnsi="黑体" w:eastAsia="黑体" w:cs="黑体"/>
                              </w:rPr>
                              <w:t>（续）</w:t>
                            </w:r>
                          </w:p>
                        </w:txbxContent>
                      </v:textbox>
                    </v:shape>
                  </w:pict>
                </mc:Fallback>
              </mc:AlternateContent>
            </w:r>
            <w:r>
              <w:rPr>
                <w:rFonts w:hint="eastAsia" w:ascii="宋体" w:hAnsi="宋体" w:cs="宋体"/>
                <w:kern w:val="0"/>
                <w:sz w:val="18"/>
                <w:szCs w:val="18"/>
              </w:rPr>
              <w:t>3.采集频次：不低于1次/5min，采集频次可调</w:t>
            </w:r>
          </w:p>
          <w:p w14:paraId="0BDF94C4">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4.上传频次：不低于1次/5min，上传频次可调</w:t>
            </w:r>
          </w:p>
          <w:p w14:paraId="772F0F43">
            <w:pPr>
              <w:widowControl/>
              <w:spacing w:beforeLines="0" w:afterLines="0" w:line="240" w:lineRule="auto"/>
              <w:jc w:val="left"/>
              <w:rPr>
                <w:rFonts w:hint="eastAsia" w:ascii="宋体" w:hAnsi="宋体" w:cs="宋体"/>
                <w:kern w:val="0"/>
                <w:sz w:val="18"/>
                <w:szCs w:val="18"/>
                <w:lang w:val="en-US" w:eastAsia="zh-CN"/>
              </w:rPr>
            </w:pPr>
            <w:r>
              <w:rPr>
                <w:rFonts w:hint="eastAsia" w:ascii="宋体" w:hAnsi="宋体" w:cs="宋体"/>
                <w:kern w:val="0"/>
                <w:sz w:val="18"/>
                <w:szCs w:val="18"/>
              </w:rPr>
              <w:t>5.</w:t>
            </w:r>
            <w:r>
              <w:rPr>
                <w:rFonts w:hint="eastAsia" w:ascii="宋体" w:hAnsi="宋体" w:cs="宋体"/>
                <w:kern w:val="0"/>
                <w:sz w:val="18"/>
                <w:szCs w:val="18"/>
                <w:lang w:val="en-US" w:eastAsia="zh-CN"/>
              </w:rPr>
              <w:t>环境适用性：应具有防腐、防水、防尘等抗恶劣环境性能</w:t>
            </w:r>
          </w:p>
          <w:p w14:paraId="53C78ACA">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6.</w:t>
            </w:r>
            <w:r>
              <w:rPr>
                <w:rFonts w:hint="eastAsia" w:ascii="宋体" w:hAnsi="宋体" w:cs="宋体"/>
                <w:kern w:val="0"/>
                <w:sz w:val="18"/>
                <w:szCs w:val="18"/>
              </w:rPr>
              <w:t>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tc>
      </w:tr>
      <w:tr w14:paraId="6F41DCFA">
        <w:tblPrEx>
          <w:tblCellMar>
            <w:top w:w="0" w:type="dxa"/>
            <w:left w:w="108" w:type="dxa"/>
            <w:bottom w:w="0" w:type="dxa"/>
            <w:right w:w="108" w:type="dxa"/>
          </w:tblCellMar>
        </w:tblPrEx>
        <w:trPr>
          <w:trHeight w:val="283" w:hRule="atLeast"/>
        </w:trPr>
        <w:tc>
          <w:tcPr>
            <w:tcW w:w="777" w:type="pct"/>
            <w:vMerge w:val="continue"/>
            <w:tcBorders>
              <w:top w:val="nil"/>
              <w:left w:val="single" w:color="auto" w:sz="4" w:space="0"/>
              <w:bottom w:val="single" w:color="auto" w:sz="4" w:space="0"/>
              <w:right w:val="single" w:color="auto" w:sz="4" w:space="0"/>
            </w:tcBorders>
            <w:vAlign w:val="center"/>
          </w:tcPr>
          <w:p w14:paraId="6F198A71">
            <w:pPr>
              <w:widowControl/>
              <w:spacing w:beforeLines="0" w:afterLines="0" w:line="240" w:lineRule="auto"/>
              <w:jc w:val="left"/>
              <w:rPr>
                <w:rFonts w:ascii="宋体" w:hAnsi="宋体" w:cs="宋体"/>
                <w:kern w:val="0"/>
                <w:sz w:val="18"/>
                <w:szCs w:val="18"/>
              </w:rPr>
            </w:pPr>
          </w:p>
        </w:tc>
        <w:tc>
          <w:tcPr>
            <w:tcW w:w="854" w:type="pct"/>
            <w:vMerge w:val="restart"/>
            <w:tcBorders>
              <w:top w:val="nil"/>
              <w:left w:val="single" w:color="auto" w:sz="4" w:space="0"/>
              <w:bottom w:val="single" w:color="auto" w:sz="4" w:space="0"/>
              <w:right w:val="single" w:color="auto" w:sz="4" w:space="0"/>
            </w:tcBorders>
            <w:vAlign w:val="center"/>
          </w:tcPr>
          <w:p w14:paraId="17D9218B">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水质</w:t>
            </w:r>
          </w:p>
        </w:tc>
        <w:tc>
          <w:tcPr>
            <w:tcW w:w="731" w:type="pct"/>
            <w:tcBorders>
              <w:top w:val="nil"/>
              <w:left w:val="nil"/>
              <w:bottom w:val="single" w:color="auto" w:sz="4" w:space="0"/>
              <w:right w:val="single" w:color="auto" w:sz="4" w:space="0"/>
            </w:tcBorders>
            <w:vAlign w:val="center"/>
          </w:tcPr>
          <w:p w14:paraId="6231987C">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浑浊度</w:t>
            </w:r>
          </w:p>
        </w:tc>
        <w:tc>
          <w:tcPr>
            <w:tcW w:w="2636" w:type="pct"/>
            <w:gridSpan w:val="3"/>
            <w:tcBorders>
              <w:top w:val="single" w:color="auto" w:sz="4" w:space="0"/>
              <w:left w:val="nil"/>
              <w:bottom w:val="single" w:color="auto" w:sz="4" w:space="0"/>
              <w:right w:val="single" w:color="auto" w:sz="4" w:space="0"/>
            </w:tcBorders>
            <w:vAlign w:val="center"/>
          </w:tcPr>
          <w:p w14:paraId="019DCCA7">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1.测量范围：（0～10）NTU；</w:t>
            </w:r>
          </w:p>
          <w:p w14:paraId="42349F09">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2.分辨率：0.01NTU；</w:t>
            </w:r>
          </w:p>
          <w:p w14:paraId="568FA004">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3.精度：±3%FS；</w:t>
            </w:r>
          </w:p>
          <w:p w14:paraId="22A97842">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4.工作温度：（0～50）℃；</w:t>
            </w:r>
          </w:p>
          <w:p w14:paraId="51B667E1">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5.工作湿度：≤85%RH（无冷凝）；</w:t>
            </w:r>
          </w:p>
          <w:p w14:paraId="7AB8D826">
            <w:pPr>
              <w:widowControl/>
              <w:spacing w:beforeLines="0" w:afterLines="0" w:line="240" w:lineRule="auto"/>
              <w:jc w:val="left"/>
              <w:rPr>
                <w:rFonts w:hint="eastAsia" w:ascii="宋体" w:hAnsi="宋体" w:cs="宋体"/>
                <w:kern w:val="0"/>
                <w:sz w:val="18"/>
                <w:szCs w:val="18"/>
                <w:lang w:val="en-US" w:eastAsia="zh-CN"/>
              </w:rPr>
            </w:pPr>
            <w:r>
              <w:rPr>
                <w:rFonts w:hint="eastAsia" w:ascii="宋体" w:hAnsi="宋体" w:cs="宋体"/>
                <w:kern w:val="0"/>
                <w:sz w:val="18"/>
                <w:szCs w:val="18"/>
              </w:rPr>
              <w:t>6.</w:t>
            </w:r>
            <w:r>
              <w:rPr>
                <w:rFonts w:hint="eastAsia" w:ascii="宋体" w:hAnsi="宋体" w:cs="宋体"/>
                <w:kern w:val="0"/>
                <w:sz w:val="18"/>
                <w:szCs w:val="18"/>
                <w:lang w:val="en-US" w:eastAsia="zh-CN"/>
              </w:rPr>
              <w:t>环境适用性：应具有防腐、防水、防尘等抗恶劣环境性能</w:t>
            </w:r>
          </w:p>
          <w:p w14:paraId="7B1C6669">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7.</w:t>
            </w:r>
            <w:r>
              <w:rPr>
                <w:rFonts w:hint="eastAsia" w:ascii="宋体" w:hAnsi="宋体" w:cs="宋体"/>
                <w:kern w:val="0"/>
                <w:sz w:val="18"/>
                <w:szCs w:val="18"/>
              </w:rPr>
              <w:t>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tc>
      </w:tr>
      <w:tr w14:paraId="365CA76F">
        <w:tblPrEx>
          <w:tblCellMar>
            <w:top w:w="0" w:type="dxa"/>
            <w:left w:w="108" w:type="dxa"/>
            <w:bottom w:w="0" w:type="dxa"/>
            <w:right w:w="108" w:type="dxa"/>
          </w:tblCellMar>
        </w:tblPrEx>
        <w:trPr>
          <w:trHeight w:val="283" w:hRule="atLeast"/>
        </w:trPr>
        <w:tc>
          <w:tcPr>
            <w:tcW w:w="777" w:type="pct"/>
            <w:vMerge w:val="continue"/>
            <w:tcBorders>
              <w:top w:val="nil"/>
              <w:left w:val="single" w:color="auto" w:sz="4" w:space="0"/>
              <w:bottom w:val="single" w:color="auto" w:sz="4" w:space="0"/>
              <w:right w:val="single" w:color="auto" w:sz="4" w:space="0"/>
            </w:tcBorders>
            <w:vAlign w:val="center"/>
          </w:tcPr>
          <w:p w14:paraId="0BFD5842">
            <w:pPr>
              <w:widowControl/>
              <w:spacing w:beforeLines="0" w:afterLines="0" w:line="240" w:lineRule="auto"/>
              <w:jc w:val="left"/>
              <w:rPr>
                <w:rFonts w:ascii="宋体" w:hAnsi="宋体" w:cs="宋体"/>
                <w:kern w:val="0"/>
                <w:sz w:val="18"/>
                <w:szCs w:val="18"/>
              </w:rPr>
            </w:pPr>
          </w:p>
        </w:tc>
        <w:tc>
          <w:tcPr>
            <w:tcW w:w="854" w:type="pct"/>
            <w:vMerge w:val="continue"/>
            <w:tcBorders>
              <w:top w:val="nil"/>
              <w:left w:val="single" w:color="auto" w:sz="4" w:space="0"/>
              <w:bottom w:val="single" w:color="auto" w:sz="4" w:space="0"/>
              <w:right w:val="single" w:color="auto" w:sz="4" w:space="0"/>
            </w:tcBorders>
            <w:vAlign w:val="center"/>
          </w:tcPr>
          <w:p w14:paraId="333A3555">
            <w:pPr>
              <w:widowControl/>
              <w:spacing w:beforeLines="0" w:afterLines="0" w:line="240" w:lineRule="auto"/>
              <w:jc w:val="left"/>
              <w:rPr>
                <w:rFonts w:ascii="宋体" w:hAnsi="宋体" w:cs="宋体"/>
                <w:kern w:val="0"/>
                <w:sz w:val="18"/>
                <w:szCs w:val="18"/>
              </w:rPr>
            </w:pPr>
          </w:p>
        </w:tc>
        <w:tc>
          <w:tcPr>
            <w:tcW w:w="731" w:type="pct"/>
            <w:tcBorders>
              <w:top w:val="nil"/>
              <w:left w:val="nil"/>
              <w:bottom w:val="single" w:color="auto" w:sz="4" w:space="0"/>
              <w:right w:val="single" w:color="auto" w:sz="4" w:space="0"/>
            </w:tcBorders>
            <w:vAlign w:val="center"/>
          </w:tcPr>
          <w:p w14:paraId="11B2DAD3">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余氯</w:t>
            </w:r>
          </w:p>
        </w:tc>
        <w:tc>
          <w:tcPr>
            <w:tcW w:w="2636" w:type="pct"/>
            <w:gridSpan w:val="3"/>
            <w:tcBorders>
              <w:top w:val="single" w:color="auto" w:sz="4" w:space="0"/>
              <w:left w:val="nil"/>
              <w:bottom w:val="single" w:color="auto" w:sz="4" w:space="0"/>
              <w:right w:val="single" w:color="auto" w:sz="4" w:space="0"/>
            </w:tcBorders>
            <w:vAlign w:val="center"/>
          </w:tcPr>
          <w:p w14:paraId="62571A60">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1.测量范围：（0～2.00）mg/L；</w:t>
            </w:r>
          </w:p>
          <w:p w14:paraId="1BA6CF10">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2.分辨率：0.01mg/L；</w:t>
            </w:r>
          </w:p>
          <w:p w14:paraId="575B4930">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3.精度：±2%FS；</w:t>
            </w:r>
          </w:p>
          <w:p w14:paraId="0E7C1C51">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4.工作温度：（0～50）℃；</w:t>
            </w:r>
          </w:p>
          <w:p w14:paraId="2FD970BC">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5.工作湿度：≤85%RH（无冷凝）；</w:t>
            </w:r>
          </w:p>
          <w:p w14:paraId="7E46B392">
            <w:pPr>
              <w:widowControl/>
              <w:spacing w:beforeLines="0" w:afterLines="0" w:line="240" w:lineRule="auto"/>
              <w:jc w:val="left"/>
              <w:rPr>
                <w:rFonts w:hint="eastAsia" w:ascii="宋体" w:hAnsi="宋体" w:cs="宋体"/>
                <w:kern w:val="0"/>
                <w:sz w:val="18"/>
                <w:szCs w:val="18"/>
                <w:lang w:val="en-US" w:eastAsia="zh-CN"/>
              </w:rPr>
            </w:pPr>
            <w:r>
              <w:rPr>
                <w:rFonts w:hint="eastAsia" w:ascii="宋体" w:hAnsi="宋体" w:cs="宋体"/>
                <w:kern w:val="0"/>
                <w:sz w:val="18"/>
                <w:szCs w:val="18"/>
              </w:rPr>
              <w:t>6.</w:t>
            </w:r>
            <w:r>
              <w:rPr>
                <w:rFonts w:hint="eastAsia" w:ascii="宋体" w:hAnsi="宋体" w:cs="宋体"/>
                <w:kern w:val="0"/>
                <w:sz w:val="18"/>
                <w:szCs w:val="18"/>
                <w:lang w:val="en-US" w:eastAsia="zh-CN"/>
              </w:rPr>
              <w:t>环境适用性：应具有防腐、防水、防尘等抗恶劣环境性能</w:t>
            </w:r>
          </w:p>
          <w:p w14:paraId="5828A1F6">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7.</w:t>
            </w:r>
            <w:r>
              <w:rPr>
                <w:rFonts w:hint="eastAsia" w:ascii="宋体" w:hAnsi="宋体" w:cs="宋体"/>
                <w:kern w:val="0"/>
                <w:sz w:val="18"/>
                <w:szCs w:val="18"/>
              </w:rPr>
              <w:t>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tc>
      </w:tr>
      <w:tr w14:paraId="78248690">
        <w:tblPrEx>
          <w:tblCellMar>
            <w:top w:w="0" w:type="dxa"/>
            <w:left w:w="108" w:type="dxa"/>
            <w:bottom w:w="0" w:type="dxa"/>
            <w:right w:w="108" w:type="dxa"/>
          </w:tblCellMar>
        </w:tblPrEx>
        <w:trPr>
          <w:trHeight w:val="283" w:hRule="atLeast"/>
        </w:trPr>
        <w:tc>
          <w:tcPr>
            <w:tcW w:w="777" w:type="pct"/>
            <w:vMerge w:val="restart"/>
            <w:tcBorders>
              <w:top w:val="nil"/>
              <w:left w:val="single" w:color="auto" w:sz="4" w:space="0"/>
              <w:bottom w:val="single" w:color="auto" w:sz="4" w:space="0"/>
              <w:right w:val="single" w:color="auto" w:sz="4" w:space="0"/>
            </w:tcBorders>
            <w:vAlign w:val="center"/>
          </w:tcPr>
          <w:p w14:paraId="5981A357">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市政消火栓</w:t>
            </w:r>
          </w:p>
        </w:tc>
        <w:tc>
          <w:tcPr>
            <w:tcW w:w="1585" w:type="pct"/>
            <w:gridSpan w:val="2"/>
            <w:tcBorders>
              <w:top w:val="single" w:color="auto" w:sz="4" w:space="0"/>
              <w:left w:val="nil"/>
              <w:bottom w:val="single" w:color="auto" w:sz="4" w:space="0"/>
              <w:right w:val="single" w:color="auto" w:sz="4" w:space="0"/>
            </w:tcBorders>
            <w:vAlign w:val="center"/>
          </w:tcPr>
          <w:p w14:paraId="72D586EA">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流量</w:t>
            </w:r>
          </w:p>
        </w:tc>
        <w:tc>
          <w:tcPr>
            <w:tcW w:w="2636" w:type="pct"/>
            <w:gridSpan w:val="3"/>
            <w:tcBorders>
              <w:top w:val="single" w:color="auto" w:sz="4" w:space="0"/>
              <w:left w:val="nil"/>
              <w:bottom w:val="single" w:color="auto" w:sz="4" w:space="0"/>
              <w:right w:val="single" w:color="auto" w:sz="4" w:space="0"/>
            </w:tcBorders>
            <w:vAlign w:val="center"/>
          </w:tcPr>
          <w:p w14:paraId="2085EC2A">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1.量程：（0.5～50）L/s；</w:t>
            </w:r>
          </w:p>
          <w:p w14:paraId="3D8053B9">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2.精度：±1%FS；</w:t>
            </w:r>
          </w:p>
          <w:p w14:paraId="79EED8CF">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3.使用寿命：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tc>
      </w:tr>
      <w:tr w14:paraId="53914E9D">
        <w:tblPrEx>
          <w:tblCellMar>
            <w:top w:w="0" w:type="dxa"/>
            <w:left w:w="108" w:type="dxa"/>
            <w:bottom w:w="0" w:type="dxa"/>
            <w:right w:w="108" w:type="dxa"/>
          </w:tblCellMar>
        </w:tblPrEx>
        <w:trPr>
          <w:trHeight w:val="283" w:hRule="atLeast"/>
        </w:trPr>
        <w:tc>
          <w:tcPr>
            <w:tcW w:w="777" w:type="pct"/>
            <w:vMerge w:val="continue"/>
            <w:tcBorders>
              <w:top w:val="nil"/>
              <w:left w:val="single" w:color="auto" w:sz="4" w:space="0"/>
              <w:bottom w:val="single" w:color="auto" w:sz="4" w:space="0"/>
              <w:right w:val="single" w:color="auto" w:sz="4" w:space="0"/>
            </w:tcBorders>
            <w:vAlign w:val="center"/>
          </w:tcPr>
          <w:p w14:paraId="41E62569">
            <w:pPr>
              <w:widowControl/>
              <w:spacing w:beforeLines="0" w:afterLines="0" w:line="240" w:lineRule="auto"/>
              <w:jc w:val="left"/>
              <w:rPr>
                <w:rFonts w:ascii="宋体" w:hAnsi="宋体" w:cs="宋体"/>
                <w:kern w:val="0"/>
                <w:sz w:val="18"/>
                <w:szCs w:val="18"/>
              </w:rPr>
            </w:pPr>
          </w:p>
        </w:tc>
        <w:tc>
          <w:tcPr>
            <w:tcW w:w="1585" w:type="pct"/>
            <w:gridSpan w:val="2"/>
            <w:tcBorders>
              <w:top w:val="single" w:color="auto" w:sz="4" w:space="0"/>
              <w:left w:val="nil"/>
              <w:bottom w:val="single" w:color="auto" w:sz="4" w:space="0"/>
              <w:right w:val="single" w:color="auto" w:sz="4" w:space="0"/>
            </w:tcBorders>
            <w:vAlign w:val="center"/>
          </w:tcPr>
          <w:p w14:paraId="2DC4884B">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压力</w:t>
            </w:r>
          </w:p>
        </w:tc>
        <w:tc>
          <w:tcPr>
            <w:tcW w:w="2636" w:type="pct"/>
            <w:gridSpan w:val="3"/>
            <w:tcBorders>
              <w:top w:val="single" w:color="auto" w:sz="4" w:space="0"/>
              <w:left w:val="nil"/>
              <w:bottom w:val="single" w:color="auto" w:sz="4" w:space="0"/>
              <w:right w:val="single" w:color="auto" w:sz="4" w:space="0"/>
            </w:tcBorders>
            <w:vAlign w:val="center"/>
          </w:tcPr>
          <w:p w14:paraId="7B6A9E87">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1.量程：（0～1.6）Mpa；</w:t>
            </w:r>
          </w:p>
          <w:p w14:paraId="10E9589E">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2.精度：±0.5%FS；</w:t>
            </w:r>
          </w:p>
          <w:p w14:paraId="393A1A42">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3.使用寿命：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tc>
      </w:tr>
      <w:tr w14:paraId="3F8AE1A3">
        <w:tblPrEx>
          <w:tblCellMar>
            <w:top w:w="0" w:type="dxa"/>
            <w:left w:w="108" w:type="dxa"/>
            <w:bottom w:w="0" w:type="dxa"/>
            <w:right w:w="108" w:type="dxa"/>
          </w:tblCellMar>
        </w:tblPrEx>
        <w:trPr>
          <w:trHeight w:val="283" w:hRule="atLeast"/>
        </w:trPr>
        <w:tc>
          <w:tcPr>
            <w:tcW w:w="777" w:type="pct"/>
            <w:tcBorders>
              <w:top w:val="nil"/>
              <w:left w:val="single" w:color="auto" w:sz="4" w:space="0"/>
              <w:bottom w:val="single" w:color="auto" w:sz="4" w:space="0"/>
              <w:right w:val="single" w:color="auto" w:sz="4" w:space="0"/>
            </w:tcBorders>
            <w:vAlign w:val="center"/>
          </w:tcPr>
          <w:p w14:paraId="4454E35D">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二次供水设施</w:t>
            </w:r>
          </w:p>
        </w:tc>
        <w:tc>
          <w:tcPr>
            <w:tcW w:w="854" w:type="pct"/>
            <w:tcBorders>
              <w:top w:val="nil"/>
              <w:left w:val="nil"/>
              <w:bottom w:val="single" w:color="auto" w:sz="4" w:space="0"/>
              <w:right w:val="single" w:color="auto" w:sz="4" w:space="0"/>
            </w:tcBorders>
            <w:vAlign w:val="center"/>
          </w:tcPr>
          <w:p w14:paraId="4318C602">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水质</w:t>
            </w:r>
          </w:p>
        </w:tc>
        <w:tc>
          <w:tcPr>
            <w:tcW w:w="731" w:type="pct"/>
            <w:tcBorders>
              <w:top w:val="nil"/>
              <w:left w:val="nil"/>
              <w:bottom w:val="single" w:color="auto" w:sz="4" w:space="0"/>
              <w:right w:val="single" w:color="auto" w:sz="4" w:space="0"/>
            </w:tcBorders>
            <w:vAlign w:val="center"/>
          </w:tcPr>
          <w:p w14:paraId="5C8734AD">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余氯</w:t>
            </w:r>
          </w:p>
        </w:tc>
        <w:tc>
          <w:tcPr>
            <w:tcW w:w="2636" w:type="pct"/>
            <w:gridSpan w:val="3"/>
            <w:tcBorders>
              <w:top w:val="single" w:color="auto" w:sz="4" w:space="0"/>
              <w:left w:val="nil"/>
              <w:bottom w:val="single" w:color="auto" w:sz="4" w:space="0"/>
              <w:right w:val="single" w:color="auto" w:sz="4" w:space="0"/>
            </w:tcBorders>
            <w:vAlign w:val="center"/>
          </w:tcPr>
          <w:p w14:paraId="589B3CDB">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1.测量范围：（0～2.00）mg/L；</w:t>
            </w:r>
          </w:p>
          <w:p w14:paraId="0C4A6E70">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2.分辨率：0.01mg/L；</w:t>
            </w:r>
          </w:p>
          <w:p w14:paraId="7EFBEDE6">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3.精度：±2%FS；</w:t>
            </w:r>
          </w:p>
          <w:p w14:paraId="218877D4">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4.工作温度：（0～50）℃；</w:t>
            </w:r>
          </w:p>
          <w:p w14:paraId="304ABD39">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5.工作湿度：≤85%RH（无冷凝）；</w:t>
            </w:r>
          </w:p>
          <w:p w14:paraId="0050C1C8">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6.使用寿命：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tc>
      </w:tr>
      <w:tr w14:paraId="1E3F06F8">
        <w:tblPrEx>
          <w:tblCellMar>
            <w:top w:w="0" w:type="dxa"/>
            <w:left w:w="108" w:type="dxa"/>
            <w:bottom w:w="0" w:type="dxa"/>
            <w:right w:w="108" w:type="dxa"/>
          </w:tblCellMar>
        </w:tblPrEx>
        <w:trPr>
          <w:trHeight w:val="283" w:hRule="atLeast"/>
        </w:trPr>
        <w:tc>
          <w:tcPr>
            <w:tcW w:w="777" w:type="pct"/>
            <w:tcBorders>
              <w:top w:val="single" w:color="auto" w:sz="4" w:space="0"/>
              <w:left w:val="single" w:color="auto" w:sz="4" w:space="0"/>
              <w:bottom w:val="single" w:color="auto" w:sz="4" w:space="0"/>
              <w:right w:val="single" w:color="auto" w:sz="4" w:space="0"/>
            </w:tcBorders>
            <w:vAlign w:val="center"/>
          </w:tcPr>
          <w:p w14:paraId="0505583B">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水源地</w:t>
            </w:r>
          </w:p>
        </w:tc>
        <w:tc>
          <w:tcPr>
            <w:tcW w:w="854" w:type="pct"/>
            <w:tcBorders>
              <w:top w:val="single" w:color="auto" w:sz="4" w:space="0"/>
              <w:left w:val="nil"/>
              <w:bottom w:val="single" w:color="auto" w:sz="4" w:space="0"/>
              <w:right w:val="single" w:color="auto" w:sz="4" w:space="0"/>
            </w:tcBorders>
            <w:vAlign w:val="center"/>
          </w:tcPr>
          <w:p w14:paraId="5C4FB48D">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水质</w:t>
            </w:r>
          </w:p>
        </w:tc>
        <w:tc>
          <w:tcPr>
            <w:tcW w:w="731" w:type="pct"/>
            <w:tcBorders>
              <w:top w:val="single" w:color="auto" w:sz="4" w:space="0"/>
              <w:left w:val="nil"/>
              <w:bottom w:val="single" w:color="auto" w:sz="4" w:space="0"/>
              <w:right w:val="single" w:color="auto" w:sz="4" w:space="0"/>
            </w:tcBorders>
            <w:vAlign w:val="center"/>
          </w:tcPr>
          <w:p w14:paraId="22BB1C55">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浑浊度</w:t>
            </w:r>
          </w:p>
        </w:tc>
        <w:tc>
          <w:tcPr>
            <w:tcW w:w="2636" w:type="pct"/>
            <w:gridSpan w:val="3"/>
            <w:tcBorders>
              <w:top w:val="single" w:color="auto" w:sz="4" w:space="0"/>
              <w:left w:val="nil"/>
              <w:bottom w:val="single" w:color="auto" w:sz="4" w:space="0"/>
              <w:right w:val="single" w:color="auto" w:sz="4" w:space="0"/>
            </w:tcBorders>
            <w:vAlign w:val="center"/>
          </w:tcPr>
          <w:p w14:paraId="6A1A8221">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1.测量范围：（0～10）NTU；</w:t>
            </w:r>
          </w:p>
          <w:p w14:paraId="37B5C263">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2.分辨率：0.01NTU；</w:t>
            </w:r>
          </w:p>
          <w:p w14:paraId="6FCCB12E">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3.精度：±3%FS；</w:t>
            </w:r>
          </w:p>
          <w:p w14:paraId="7F1B5309">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4.工作温度：（0～50）℃；</w:t>
            </w:r>
          </w:p>
          <w:p w14:paraId="384C86E3">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5.工作湿度：≤85%RH（无冷凝）；</w:t>
            </w:r>
          </w:p>
          <w:p w14:paraId="575E9AC7">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6.使用寿命：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tc>
      </w:tr>
    </w:tbl>
    <w:p w14:paraId="4D4EBECE">
      <w:pPr>
        <w:pStyle w:val="98"/>
        <w:spacing w:before="31" w:after="31"/>
        <w:rPr>
          <w:bCs/>
          <w:color w:val="auto"/>
        </w:rPr>
      </w:pPr>
      <w:bookmarkStart w:id="184" w:name="OLE_LINK8"/>
      <w:bookmarkStart w:id="185" w:name="OLE_LINK7"/>
    </w:p>
    <w:bookmarkEnd w:id="184"/>
    <w:bookmarkEnd w:id="185"/>
    <w:p w14:paraId="29B26F67">
      <w:pPr>
        <w:spacing w:before="31" w:after="31"/>
        <w:sectPr>
          <w:pgSz w:w="11907" w:h="16840"/>
          <w:pgMar w:top="1440" w:right="1418" w:bottom="1440" w:left="1418" w:header="851" w:footer="992" w:gutter="567"/>
          <w:pgBorders>
            <w:top w:val="none" w:sz="0" w:space="0"/>
            <w:left w:val="none" w:sz="0" w:space="0"/>
            <w:bottom w:val="none" w:sz="0" w:space="0"/>
            <w:right w:val="none" w:sz="0" w:space="0"/>
          </w:pgBorders>
          <w:cols w:space="720" w:num="1"/>
          <w:docGrid w:type="linesAndChars" w:linePitch="312" w:charSpace="0"/>
        </w:sectPr>
      </w:pPr>
    </w:p>
    <w:p w14:paraId="2316DE3B">
      <w:pPr>
        <w:pStyle w:val="2"/>
        <w:pageBreakBefore/>
        <w:tabs>
          <w:tab w:val="left" w:pos="454"/>
        </w:tabs>
        <w:spacing w:beforeLines="100" w:afterLines="100"/>
        <w:rPr>
          <w:rFonts w:hint="eastAsia" w:ascii="宋体" w:hAnsi="宋体"/>
          <w:szCs w:val="21"/>
        </w:rPr>
      </w:pPr>
      <w:bookmarkStart w:id="186" w:name="_Toc25423"/>
      <w:r>
        <w:rPr>
          <w:rFonts w:hint="eastAsia" w:ascii="宋体" w:hAnsi="宋体"/>
          <w:szCs w:val="21"/>
          <w:lang w:val="en-US" w:eastAsia="zh-CN"/>
        </w:rPr>
        <w:t>C</w:t>
      </w:r>
      <w:r>
        <w:rPr>
          <w:rFonts w:hint="eastAsia" w:ascii="宋体" w:hAnsi="宋体"/>
          <w:szCs w:val="21"/>
        </w:rPr>
        <w:t>.3排水</w:t>
      </w:r>
      <w:r>
        <w:rPr>
          <w:rFonts w:hint="eastAsia" w:ascii="宋体" w:hAnsi="宋体"/>
          <w:szCs w:val="21"/>
          <w:lang w:eastAsia="zh-CN"/>
        </w:rPr>
        <w:t>监测设备</w:t>
      </w:r>
      <w:r>
        <w:rPr>
          <w:rFonts w:hint="eastAsia" w:ascii="宋体" w:hAnsi="宋体"/>
          <w:szCs w:val="21"/>
          <w:lang w:val="en-US" w:eastAsia="zh-CN"/>
        </w:rPr>
        <w:t>性能</w:t>
      </w:r>
      <w:r>
        <w:rPr>
          <w:rFonts w:hint="eastAsia" w:ascii="宋体" w:hAnsi="宋体"/>
          <w:szCs w:val="21"/>
        </w:rPr>
        <w:t>要求</w:t>
      </w:r>
      <w:bookmarkEnd w:id="186"/>
    </w:p>
    <w:p w14:paraId="324C65B3">
      <w:pPr>
        <w:rPr>
          <w:rFonts w:hint="eastAsia" w:ascii="黑体" w:hAnsi="黑体" w:eastAsia="黑体"/>
          <w:bCs/>
          <w:color w:val="auto"/>
          <w:lang w:val="en-US" w:eastAsia="zh-CN"/>
        </w:rPr>
      </w:pPr>
      <w:r>
        <w:rPr>
          <w:rFonts w:hint="eastAsia"/>
          <w:b w:val="0"/>
          <w:bCs w:val="0"/>
          <w:lang w:val="en-US" w:eastAsia="zh-CN"/>
        </w:rPr>
        <w:t>排水监测设备性能要求见表C.3。</w:t>
      </w:r>
    </w:p>
    <w:tbl>
      <w:tblPr>
        <w:tblStyle w:val="35"/>
        <w:tblW w:w="4873" w:type="pct"/>
        <w:tblInd w:w="111" w:type="dxa"/>
        <w:tblLayout w:type="fixed"/>
        <w:tblCellMar>
          <w:top w:w="0" w:type="dxa"/>
          <w:left w:w="108" w:type="dxa"/>
          <w:bottom w:w="0" w:type="dxa"/>
          <w:right w:w="108" w:type="dxa"/>
        </w:tblCellMar>
      </w:tblPr>
      <w:tblGrid>
        <w:gridCol w:w="1396"/>
        <w:gridCol w:w="1385"/>
        <w:gridCol w:w="1823"/>
        <w:gridCol w:w="3895"/>
      </w:tblGrid>
      <w:tr w14:paraId="47758538">
        <w:tblPrEx>
          <w:tblCellMar>
            <w:top w:w="0" w:type="dxa"/>
            <w:left w:w="108" w:type="dxa"/>
            <w:bottom w:w="0" w:type="dxa"/>
            <w:right w:w="108" w:type="dxa"/>
          </w:tblCellMar>
        </w:tblPrEx>
        <w:trPr>
          <w:trHeight w:val="285" w:hRule="atLeast"/>
          <w:tblHeader/>
        </w:trPr>
        <w:tc>
          <w:tcPr>
            <w:tcW w:w="5000" w:type="pct"/>
            <w:gridSpan w:val="4"/>
            <w:tcBorders>
              <w:top w:val="nil"/>
              <w:left w:val="nil"/>
              <w:bottom w:val="single" w:color="auto" w:sz="4" w:space="0"/>
              <w:right w:val="nil"/>
            </w:tcBorders>
            <w:noWrap/>
            <w:vAlign w:val="center"/>
          </w:tcPr>
          <w:p w14:paraId="473FEDBF">
            <w:pPr>
              <w:pStyle w:val="98"/>
              <w:spacing w:before="31" w:after="31"/>
              <w:jc w:val="center"/>
              <w:rPr>
                <w:rFonts w:ascii="宋体" w:hAnsi="宋体"/>
                <w:b/>
                <w:bCs/>
                <w:kern w:val="0"/>
                <w:sz w:val="18"/>
                <w:szCs w:val="18"/>
              </w:rPr>
            </w:pPr>
            <w:r>
              <w:rPr>
                <w:rFonts w:hint="eastAsia" w:ascii="黑体" w:hAnsi="黑体" w:eastAsia="黑体"/>
                <w:bCs/>
                <w:color w:val="auto"/>
              </w:rPr>
              <w:t>表</w:t>
            </w:r>
            <w:r>
              <w:rPr>
                <w:rFonts w:hint="eastAsia" w:ascii="黑体" w:hAnsi="黑体" w:eastAsia="黑体"/>
                <w:bCs/>
                <w:color w:val="auto"/>
                <w:lang w:val="en-US" w:eastAsia="zh-CN"/>
              </w:rPr>
              <w:t>C</w:t>
            </w:r>
            <w:r>
              <w:rPr>
                <w:rFonts w:hint="eastAsia" w:ascii="黑体" w:hAnsi="黑体" w:eastAsia="黑体"/>
                <w:bCs/>
                <w:color w:val="auto"/>
              </w:rPr>
              <w:t>.3  排水</w:t>
            </w:r>
            <w:r>
              <w:rPr>
                <w:rFonts w:hint="eastAsia" w:ascii="黑体" w:hAnsi="黑体" w:eastAsia="黑体"/>
                <w:bCs/>
                <w:color w:val="auto"/>
                <w:lang w:eastAsia="zh-CN"/>
              </w:rPr>
              <w:t>监测设备</w:t>
            </w:r>
            <w:r>
              <w:rPr>
                <w:rFonts w:hint="eastAsia" w:ascii="黑体" w:hAnsi="黑体" w:eastAsia="黑体"/>
                <w:bCs/>
                <w:color w:val="auto"/>
                <w:lang w:val="en-US" w:eastAsia="zh-CN"/>
              </w:rPr>
              <w:t>性能</w:t>
            </w:r>
            <w:r>
              <w:rPr>
                <w:rFonts w:hint="eastAsia" w:ascii="黑体" w:hAnsi="黑体" w:eastAsia="黑体"/>
                <w:bCs/>
                <w:color w:val="auto"/>
              </w:rPr>
              <w:t>要求</w:t>
            </w:r>
          </w:p>
        </w:tc>
      </w:tr>
      <w:tr w14:paraId="26558849">
        <w:tblPrEx>
          <w:tblCellMar>
            <w:top w:w="0" w:type="dxa"/>
            <w:left w:w="108" w:type="dxa"/>
            <w:bottom w:w="0" w:type="dxa"/>
            <w:right w:w="108" w:type="dxa"/>
          </w:tblCellMar>
        </w:tblPrEx>
        <w:trPr>
          <w:cantSplit/>
          <w:trHeight w:val="283" w:hRule="atLeast"/>
          <w:tblHeader/>
        </w:trPr>
        <w:tc>
          <w:tcPr>
            <w:tcW w:w="821" w:type="pct"/>
            <w:tcBorders>
              <w:top w:val="single" w:color="auto" w:sz="4" w:space="0"/>
              <w:left w:val="single" w:color="auto" w:sz="4" w:space="0"/>
              <w:bottom w:val="single" w:color="auto" w:sz="4" w:space="0"/>
              <w:right w:val="single" w:color="auto" w:sz="4" w:space="0"/>
            </w:tcBorders>
            <w:vAlign w:val="center"/>
          </w:tcPr>
          <w:p w14:paraId="6B3E9CD7">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监测对象</w:t>
            </w:r>
          </w:p>
        </w:tc>
        <w:tc>
          <w:tcPr>
            <w:tcW w:w="814" w:type="pct"/>
            <w:tcBorders>
              <w:top w:val="single" w:color="auto" w:sz="4" w:space="0"/>
              <w:left w:val="single" w:color="auto" w:sz="4" w:space="0"/>
              <w:bottom w:val="single" w:color="auto" w:sz="4" w:space="0"/>
              <w:right w:val="single" w:color="auto" w:sz="4" w:space="0"/>
            </w:tcBorders>
            <w:vAlign w:val="center"/>
          </w:tcPr>
          <w:p w14:paraId="249CD80B">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监测指标</w:t>
            </w:r>
          </w:p>
        </w:tc>
        <w:tc>
          <w:tcPr>
            <w:tcW w:w="3363" w:type="pct"/>
            <w:gridSpan w:val="2"/>
            <w:tcBorders>
              <w:top w:val="single" w:color="auto" w:sz="4" w:space="0"/>
              <w:left w:val="single" w:color="auto" w:sz="4" w:space="0"/>
              <w:bottom w:val="single" w:color="auto" w:sz="4" w:space="0"/>
              <w:right w:val="single" w:color="auto" w:sz="4" w:space="0"/>
            </w:tcBorders>
            <w:vAlign w:val="center"/>
          </w:tcPr>
          <w:p w14:paraId="3A50C341">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监测设备</w:t>
            </w:r>
            <w:r>
              <w:rPr>
                <w:rFonts w:hint="eastAsia" w:ascii="宋体" w:hAnsi="宋体" w:cs="宋体"/>
                <w:kern w:val="0"/>
                <w:sz w:val="18"/>
                <w:szCs w:val="18"/>
                <w:lang w:val="en-US" w:eastAsia="zh-CN"/>
              </w:rPr>
              <w:t>性能</w:t>
            </w:r>
            <w:r>
              <w:rPr>
                <w:rFonts w:hint="eastAsia" w:ascii="宋体" w:hAnsi="宋体" w:cs="宋体"/>
                <w:kern w:val="0"/>
                <w:sz w:val="18"/>
                <w:szCs w:val="18"/>
              </w:rPr>
              <w:t>要求</w:t>
            </w:r>
          </w:p>
        </w:tc>
      </w:tr>
      <w:tr w14:paraId="712BEAAE">
        <w:tblPrEx>
          <w:tblCellMar>
            <w:top w:w="0" w:type="dxa"/>
            <w:left w:w="108" w:type="dxa"/>
            <w:bottom w:w="0" w:type="dxa"/>
            <w:right w:w="108" w:type="dxa"/>
          </w:tblCellMar>
        </w:tblPrEx>
        <w:trPr>
          <w:trHeight w:val="675" w:hRule="atLeast"/>
        </w:trPr>
        <w:tc>
          <w:tcPr>
            <w:tcW w:w="821" w:type="pct"/>
            <w:vMerge w:val="restart"/>
            <w:tcBorders>
              <w:top w:val="single" w:color="auto" w:sz="4" w:space="0"/>
              <w:left w:val="single" w:color="auto" w:sz="4" w:space="0"/>
              <w:bottom w:val="single" w:color="auto" w:sz="4" w:space="0"/>
              <w:right w:val="single" w:color="auto" w:sz="4" w:space="0"/>
            </w:tcBorders>
            <w:vAlign w:val="center"/>
          </w:tcPr>
          <w:p w14:paraId="53F41543">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雨水系统</w:t>
            </w:r>
          </w:p>
        </w:tc>
        <w:tc>
          <w:tcPr>
            <w:tcW w:w="814" w:type="pct"/>
            <w:tcBorders>
              <w:top w:val="single" w:color="auto" w:sz="4" w:space="0"/>
              <w:left w:val="single" w:color="auto" w:sz="4" w:space="0"/>
              <w:bottom w:val="single" w:color="auto" w:sz="4" w:space="0"/>
              <w:right w:val="single" w:color="auto" w:sz="4" w:space="0"/>
            </w:tcBorders>
            <w:vAlign w:val="center"/>
          </w:tcPr>
          <w:p w14:paraId="6431F241">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雨量</w:t>
            </w:r>
          </w:p>
        </w:tc>
        <w:tc>
          <w:tcPr>
            <w:tcW w:w="3363" w:type="pct"/>
            <w:gridSpan w:val="2"/>
            <w:tcBorders>
              <w:top w:val="single" w:color="auto" w:sz="4" w:space="0"/>
              <w:left w:val="single" w:color="auto" w:sz="4" w:space="0"/>
              <w:bottom w:val="single" w:color="auto" w:sz="4" w:space="0"/>
              <w:right w:val="single" w:color="auto" w:sz="4" w:space="0"/>
            </w:tcBorders>
            <w:vAlign w:val="center"/>
          </w:tcPr>
          <w:p w14:paraId="4A683031">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1.</w:t>
            </w:r>
            <w:r>
              <w:rPr>
                <w:rFonts w:hint="eastAsia" w:ascii="宋体" w:hAnsi="宋体" w:cs="宋体"/>
                <w:kern w:val="0"/>
                <w:sz w:val="18"/>
                <w:szCs w:val="18"/>
              </w:rPr>
              <w:t>量程：0.01 mm/min ~4 mm/min （允许通过最大雨强 8 mm/min）</w:t>
            </w:r>
          </w:p>
          <w:p w14:paraId="4CBA1F38">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2.</w:t>
            </w:r>
            <w:r>
              <w:rPr>
                <w:rFonts w:hint="eastAsia" w:ascii="宋体" w:hAnsi="宋体" w:cs="宋体"/>
                <w:kern w:val="0"/>
                <w:sz w:val="18"/>
                <w:szCs w:val="18"/>
              </w:rPr>
              <w:t>精度：≤±4%</w:t>
            </w:r>
          </w:p>
          <w:p w14:paraId="49506B5B">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3.</w:t>
            </w:r>
            <w:r>
              <w:rPr>
                <w:rFonts w:hint="eastAsia" w:ascii="宋体" w:hAnsi="宋体" w:cs="宋体"/>
                <w:kern w:val="0"/>
                <w:sz w:val="18"/>
                <w:szCs w:val="18"/>
              </w:rPr>
              <w:t>分辨率：0.1 mm</w:t>
            </w:r>
          </w:p>
          <w:p w14:paraId="68ECFCBB">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4.</w:t>
            </w:r>
            <w:r>
              <w:rPr>
                <w:rFonts w:hint="eastAsia" w:ascii="宋体" w:hAnsi="宋体" w:cs="宋体"/>
                <w:kern w:val="0"/>
                <w:sz w:val="18"/>
                <w:szCs w:val="18"/>
              </w:rPr>
              <w:t>寿命：</w:t>
            </w:r>
            <w:r>
              <w:rPr>
                <w:rFonts w:hint="eastAsia" w:ascii="宋体" w:hAnsi="宋体" w:cs="宋体"/>
                <w:kern w:val="0"/>
                <w:sz w:val="18"/>
                <w:szCs w:val="18"/>
                <w:lang w:eastAsia="zh-CN"/>
              </w:rPr>
              <w:t>不低于</w:t>
            </w:r>
            <w:r>
              <w:rPr>
                <w:rFonts w:hint="eastAsia" w:ascii="宋体" w:hAnsi="宋体" w:cs="宋体"/>
                <w:kern w:val="0"/>
                <w:sz w:val="18"/>
                <w:szCs w:val="18"/>
              </w:rPr>
              <w:t xml:space="preserve"> 5 年</w:t>
            </w:r>
          </w:p>
          <w:p w14:paraId="4EC2C0CD">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5.</w:t>
            </w:r>
            <w:r>
              <w:rPr>
                <w:rFonts w:hint="eastAsia" w:ascii="宋体" w:hAnsi="宋体" w:cs="宋体"/>
                <w:kern w:val="0"/>
                <w:sz w:val="18"/>
                <w:szCs w:val="18"/>
              </w:rPr>
              <w:t>记录时间间隔：1 min~99 h 连续可调</w:t>
            </w:r>
          </w:p>
          <w:p w14:paraId="72E21945">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6.</w:t>
            </w:r>
            <w:r>
              <w:rPr>
                <w:rFonts w:hint="eastAsia" w:ascii="宋体" w:hAnsi="宋体" w:cs="宋体"/>
                <w:kern w:val="0"/>
                <w:sz w:val="18"/>
                <w:szCs w:val="18"/>
              </w:rPr>
              <w:t>环境适用性：应具有防腐、防水等抗恶劣环境性能</w:t>
            </w:r>
          </w:p>
          <w:p w14:paraId="574CADB8">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7.</w:t>
            </w:r>
            <w:r>
              <w:rPr>
                <w:rFonts w:hint="eastAsia" w:ascii="宋体" w:hAnsi="宋体" w:cs="宋体"/>
                <w:kern w:val="0"/>
                <w:sz w:val="18"/>
                <w:szCs w:val="18"/>
              </w:rPr>
              <w:t>防护等级：IP67</w:t>
            </w:r>
          </w:p>
        </w:tc>
      </w:tr>
      <w:tr w14:paraId="4C23DF19">
        <w:tblPrEx>
          <w:tblCellMar>
            <w:top w:w="0" w:type="dxa"/>
            <w:left w:w="108" w:type="dxa"/>
            <w:bottom w:w="0" w:type="dxa"/>
            <w:right w:w="108" w:type="dxa"/>
          </w:tblCellMar>
        </w:tblPrEx>
        <w:trPr>
          <w:trHeight w:val="675" w:hRule="atLeast"/>
        </w:trPr>
        <w:tc>
          <w:tcPr>
            <w:tcW w:w="821" w:type="pct"/>
            <w:vMerge w:val="continue"/>
            <w:tcBorders>
              <w:top w:val="single" w:color="auto" w:sz="4" w:space="0"/>
              <w:left w:val="single" w:color="auto" w:sz="4" w:space="0"/>
              <w:bottom w:val="single" w:color="auto" w:sz="4" w:space="0"/>
              <w:right w:val="single" w:color="auto" w:sz="4" w:space="0"/>
            </w:tcBorders>
            <w:vAlign w:val="center"/>
          </w:tcPr>
          <w:p w14:paraId="0EB5DED5">
            <w:pPr>
              <w:widowControl/>
              <w:spacing w:beforeLines="0" w:afterLines="0" w:line="240" w:lineRule="auto"/>
              <w:jc w:val="center"/>
              <w:rPr>
                <w:rFonts w:ascii="宋体" w:hAnsi="宋体" w:cs="宋体"/>
                <w:kern w:val="0"/>
                <w:sz w:val="18"/>
                <w:szCs w:val="18"/>
              </w:rPr>
            </w:pPr>
          </w:p>
        </w:tc>
        <w:tc>
          <w:tcPr>
            <w:tcW w:w="814" w:type="pct"/>
            <w:tcBorders>
              <w:top w:val="single" w:color="auto" w:sz="4" w:space="0"/>
              <w:left w:val="single" w:color="auto" w:sz="4" w:space="0"/>
              <w:bottom w:val="single" w:color="auto" w:sz="4" w:space="0"/>
              <w:right w:val="single" w:color="auto" w:sz="4" w:space="0"/>
            </w:tcBorders>
            <w:vAlign w:val="center"/>
          </w:tcPr>
          <w:p w14:paraId="1E34B663">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液位</w:t>
            </w:r>
          </w:p>
        </w:tc>
        <w:tc>
          <w:tcPr>
            <w:tcW w:w="3363" w:type="pct"/>
            <w:gridSpan w:val="2"/>
            <w:tcBorders>
              <w:top w:val="single" w:color="auto" w:sz="4" w:space="0"/>
              <w:left w:val="single" w:color="auto" w:sz="4" w:space="0"/>
              <w:bottom w:val="single" w:color="auto" w:sz="4" w:space="0"/>
              <w:right w:val="single" w:color="auto" w:sz="4" w:space="0"/>
            </w:tcBorders>
            <w:vAlign w:val="center"/>
          </w:tcPr>
          <w:p w14:paraId="3ABD1B79">
            <w:pPr>
              <w:widowControl/>
              <w:numPr>
                <w:ilvl w:val="255"/>
                <w:numId w:val="0"/>
              </w:numPr>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1.量程：（0～20）m</w:t>
            </w:r>
          </w:p>
          <w:p w14:paraId="0986F43A">
            <w:pPr>
              <w:widowControl/>
              <w:numPr>
                <w:ilvl w:val="255"/>
                <w:numId w:val="0"/>
              </w:numPr>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2.精度：±1%FS</w:t>
            </w:r>
          </w:p>
          <w:p w14:paraId="2CA3AA1F">
            <w:pPr>
              <w:widowControl/>
              <w:numPr>
                <w:ilvl w:val="255"/>
                <w:numId w:val="0"/>
              </w:numPr>
              <w:spacing w:beforeLines="0" w:afterLines="0" w:line="240" w:lineRule="auto"/>
              <w:jc w:val="left"/>
              <w:rPr>
                <w:rFonts w:ascii="宋体" w:hAnsi="宋体" w:cs="宋体"/>
                <w:kern w:val="0"/>
                <w:sz w:val="18"/>
                <w:szCs w:val="18"/>
              </w:rPr>
            </w:pPr>
            <w:r>
              <w:rPr>
                <w:rFonts w:hint="eastAsia" w:ascii="宋体" w:hAnsi="宋体" w:cs="宋体"/>
                <w:kern w:val="0"/>
                <w:sz w:val="18"/>
                <w:szCs w:val="18"/>
              </w:rPr>
              <w:t>3.使用寿命：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p w14:paraId="2DAD14E7">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4.环境适用性：应具有防水、防尘、防腐等抗恶劣环境性能</w:t>
            </w:r>
          </w:p>
        </w:tc>
      </w:tr>
      <w:tr w14:paraId="3A942B98">
        <w:tblPrEx>
          <w:tblCellMar>
            <w:top w:w="0" w:type="dxa"/>
            <w:left w:w="108" w:type="dxa"/>
            <w:bottom w:w="0" w:type="dxa"/>
            <w:right w:w="108" w:type="dxa"/>
          </w:tblCellMar>
        </w:tblPrEx>
        <w:trPr>
          <w:trHeight w:val="1482" w:hRule="atLeast"/>
        </w:trPr>
        <w:tc>
          <w:tcPr>
            <w:tcW w:w="821" w:type="pct"/>
            <w:vMerge w:val="continue"/>
            <w:tcBorders>
              <w:top w:val="single" w:color="auto" w:sz="4" w:space="0"/>
              <w:left w:val="single" w:color="auto" w:sz="4" w:space="0"/>
              <w:bottom w:val="single" w:color="auto" w:sz="4" w:space="0"/>
              <w:right w:val="single" w:color="auto" w:sz="4" w:space="0"/>
            </w:tcBorders>
            <w:vAlign w:val="center"/>
          </w:tcPr>
          <w:p w14:paraId="39A4E217">
            <w:pPr>
              <w:widowControl/>
              <w:spacing w:beforeLines="0" w:afterLines="0" w:line="240" w:lineRule="auto"/>
              <w:jc w:val="center"/>
              <w:rPr>
                <w:rFonts w:ascii="宋体" w:hAnsi="宋体" w:cs="宋体"/>
                <w:kern w:val="0"/>
                <w:sz w:val="18"/>
                <w:szCs w:val="18"/>
              </w:rPr>
            </w:pPr>
          </w:p>
        </w:tc>
        <w:tc>
          <w:tcPr>
            <w:tcW w:w="814" w:type="pct"/>
            <w:tcBorders>
              <w:top w:val="single" w:color="auto" w:sz="4" w:space="0"/>
              <w:left w:val="single" w:color="auto" w:sz="4" w:space="0"/>
              <w:bottom w:val="single" w:color="auto" w:sz="4" w:space="0"/>
              <w:right w:val="single" w:color="auto" w:sz="4" w:space="0"/>
            </w:tcBorders>
            <w:vAlign w:val="center"/>
          </w:tcPr>
          <w:p w14:paraId="574E7AF9">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流量</w:t>
            </w:r>
          </w:p>
        </w:tc>
        <w:tc>
          <w:tcPr>
            <w:tcW w:w="3363" w:type="pct"/>
            <w:gridSpan w:val="2"/>
            <w:tcBorders>
              <w:top w:val="single" w:color="auto" w:sz="4" w:space="0"/>
              <w:left w:val="single" w:color="auto" w:sz="4" w:space="0"/>
              <w:bottom w:val="single" w:color="auto" w:sz="4" w:space="0"/>
              <w:right w:val="single" w:color="auto" w:sz="4" w:space="0"/>
            </w:tcBorders>
            <w:vAlign w:val="center"/>
          </w:tcPr>
          <w:p w14:paraId="724F4651">
            <w:pPr>
              <w:widowControl/>
              <w:numPr>
                <w:ilvl w:val="255"/>
                <w:numId w:val="0"/>
              </w:numPr>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1.量程：（-6.0～6.0）m/s</w:t>
            </w:r>
          </w:p>
          <w:p w14:paraId="6F01428E">
            <w:pPr>
              <w:widowControl/>
              <w:numPr>
                <w:ilvl w:val="255"/>
                <w:numId w:val="0"/>
              </w:numPr>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2.精度：±1%FS</w:t>
            </w:r>
          </w:p>
          <w:p w14:paraId="1F35195C">
            <w:pPr>
              <w:widowControl/>
              <w:numPr>
                <w:ilvl w:val="255"/>
                <w:numId w:val="0"/>
              </w:numPr>
              <w:spacing w:beforeLines="0" w:afterLines="0" w:line="240" w:lineRule="auto"/>
              <w:jc w:val="left"/>
              <w:rPr>
                <w:rFonts w:ascii="宋体" w:hAnsi="宋体" w:cs="宋体"/>
                <w:kern w:val="0"/>
                <w:sz w:val="18"/>
                <w:szCs w:val="18"/>
              </w:rPr>
            </w:pPr>
            <w:r>
              <w:rPr>
                <w:rFonts w:hint="eastAsia" w:ascii="宋体" w:hAnsi="宋体" w:cs="宋体"/>
                <w:kern w:val="0"/>
                <w:sz w:val="18"/>
                <w:szCs w:val="18"/>
              </w:rPr>
              <w:t>3.使用寿命：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p w14:paraId="4543CB78">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4.环境适用性：应具有防水、防尘、防爆、防腐等抗恶劣环境性能</w:t>
            </w:r>
          </w:p>
        </w:tc>
      </w:tr>
      <w:tr w14:paraId="09E03690">
        <w:tblPrEx>
          <w:tblCellMar>
            <w:top w:w="0" w:type="dxa"/>
            <w:left w:w="108" w:type="dxa"/>
            <w:bottom w:w="0" w:type="dxa"/>
            <w:right w:w="108" w:type="dxa"/>
          </w:tblCellMar>
        </w:tblPrEx>
        <w:trPr>
          <w:trHeight w:val="900" w:hRule="atLeast"/>
        </w:trPr>
        <w:tc>
          <w:tcPr>
            <w:tcW w:w="821" w:type="pct"/>
            <w:vMerge w:val="continue"/>
            <w:tcBorders>
              <w:top w:val="single" w:color="auto" w:sz="4" w:space="0"/>
              <w:left w:val="single" w:color="auto" w:sz="4" w:space="0"/>
              <w:bottom w:val="single" w:color="auto" w:sz="4" w:space="0"/>
              <w:right w:val="single" w:color="auto" w:sz="4" w:space="0"/>
            </w:tcBorders>
            <w:vAlign w:val="center"/>
          </w:tcPr>
          <w:p w14:paraId="19642C89">
            <w:pPr>
              <w:widowControl/>
              <w:spacing w:beforeLines="0" w:afterLines="0" w:line="240" w:lineRule="auto"/>
              <w:jc w:val="center"/>
              <w:rPr>
                <w:rFonts w:ascii="宋体" w:hAnsi="宋体" w:cs="宋体"/>
                <w:kern w:val="0"/>
                <w:sz w:val="18"/>
                <w:szCs w:val="18"/>
              </w:rPr>
            </w:pPr>
          </w:p>
        </w:tc>
        <w:tc>
          <w:tcPr>
            <w:tcW w:w="814" w:type="pct"/>
            <w:tcBorders>
              <w:top w:val="single" w:color="auto" w:sz="4" w:space="0"/>
              <w:left w:val="single" w:color="auto" w:sz="4" w:space="0"/>
              <w:bottom w:val="single" w:color="auto" w:sz="4" w:space="0"/>
              <w:right w:val="single" w:color="auto" w:sz="4" w:space="0"/>
            </w:tcBorders>
            <w:vAlign w:val="center"/>
          </w:tcPr>
          <w:p w14:paraId="5CCDA2D3">
            <w:pPr>
              <w:widowControl/>
              <w:spacing w:beforeLines="0" w:afterLines="0" w:line="240" w:lineRule="auto"/>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视频监控</w:t>
            </w:r>
          </w:p>
        </w:tc>
        <w:tc>
          <w:tcPr>
            <w:tcW w:w="3363" w:type="pct"/>
            <w:gridSpan w:val="2"/>
            <w:tcBorders>
              <w:top w:val="single" w:color="auto" w:sz="4" w:space="0"/>
              <w:left w:val="single" w:color="auto" w:sz="4" w:space="0"/>
              <w:bottom w:val="single" w:color="auto" w:sz="4" w:space="0"/>
              <w:right w:val="single" w:color="auto" w:sz="4" w:space="0"/>
            </w:tcBorders>
            <w:vAlign w:val="center"/>
          </w:tcPr>
          <w:p w14:paraId="7A2656FC">
            <w:pPr>
              <w:widowControl/>
              <w:numPr>
                <w:ilvl w:val="-1"/>
                <w:numId w:val="0"/>
              </w:numPr>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1.</w:t>
            </w:r>
            <w:r>
              <w:rPr>
                <w:rFonts w:hint="eastAsia" w:ascii="宋体" w:hAnsi="宋体" w:cs="宋体"/>
                <w:kern w:val="0"/>
                <w:sz w:val="18"/>
                <w:szCs w:val="18"/>
              </w:rPr>
              <w:t>分辨率：不低于200万像素</w:t>
            </w:r>
          </w:p>
          <w:p w14:paraId="5BB3FE52">
            <w:pPr>
              <w:widowControl/>
              <w:numPr>
                <w:ilvl w:val="-1"/>
                <w:numId w:val="0"/>
              </w:numPr>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2.</w:t>
            </w:r>
            <w:r>
              <w:rPr>
                <w:rFonts w:hint="eastAsia" w:ascii="宋体" w:hAnsi="宋体" w:cs="宋体"/>
                <w:kern w:val="0"/>
                <w:sz w:val="18"/>
                <w:szCs w:val="18"/>
              </w:rPr>
              <w:t>工作温度：</w:t>
            </w:r>
            <w:r>
              <w:rPr>
                <w:rFonts w:hint="eastAsia" w:ascii="宋体" w:hAnsi="宋体" w:cs="宋体"/>
                <w:kern w:val="0"/>
                <w:sz w:val="18"/>
                <w:szCs w:val="18"/>
                <w:lang w:val="en-US" w:eastAsia="zh-CN"/>
              </w:rPr>
              <w:t>不低于</w:t>
            </w:r>
            <w:r>
              <w:rPr>
                <w:rFonts w:hint="eastAsia" w:ascii="宋体" w:hAnsi="宋体" w:cs="宋体"/>
                <w:kern w:val="0"/>
                <w:sz w:val="18"/>
                <w:szCs w:val="18"/>
              </w:rPr>
              <w:t>-</w:t>
            </w:r>
            <w:r>
              <w:rPr>
                <w:rFonts w:hint="eastAsia" w:ascii="宋体" w:hAnsi="宋体" w:cs="宋体"/>
                <w:kern w:val="0"/>
                <w:sz w:val="18"/>
                <w:szCs w:val="18"/>
                <w:lang w:val="en-US" w:eastAsia="zh-CN"/>
              </w:rPr>
              <w:t>30</w:t>
            </w:r>
            <w:r>
              <w:rPr>
                <w:rFonts w:hint="eastAsia" w:ascii="宋体" w:hAnsi="宋体" w:cs="宋体"/>
                <w:kern w:val="0"/>
                <w:sz w:val="18"/>
                <w:szCs w:val="18"/>
              </w:rPr>
              <w:t>～</w:t>
            </w:r>
            <w:r>
              <w:rPr>
                <w:rFonts w:hint="eastAsia" w:ascii="宋体" w:hAnsi="宋体" w:cs="宋体"/>
                <w:kern w:val="0"/>
                <w:sz w:val="18"/>
                <w:szCs w:val="18"/>
                <w:lang w:val="en-US" w:eastAsia="zh-CN"/>
              </w:rPr>
              <w:t>60</w:t>
            </w:r>
            <w:r>
              <w:rPr>
                <w:rFonts w:hint="eastAsia" w:ascii="宋体" w:hAnsi="宋体" w:cs="宋体"/>
                <w:kern w:val="0"/>
                <w:sz w:val="18"/>
                <w:szCs w:val="18"/>
              </w:rPr>
              <w:t>℃</w:t>
            </w:r>
          </w:p>
          <w:p w14:paraId="3B098FD5">
            <w:pPr>
              <w:widowControl/>
              <w:numPr>
                <w:ilvl w:val="-1"/>
                <w:numId w:val="0"/>
              </w:numPr>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3.</w:t>
            </w:r>
            <w:r>
              <w:rPr>
                <w:rFonts w:hint="eastAsia" w:ascii="宋体" w:hAnsi="宋体" w:cs="宋体"/>
                <w:kern w:val="0"/>
                <w:sz w:val="18"/>
                <w:szCs w:val="18"/>
              </w:rPr>
              <w:t>使用寿命：</w:t>
            </w:r>
            <w:r>
              <w:rPr>
                <w:rFonts w:hint="eastAsia" w:ascii="宋体" w:hAnsi="宋体" w:cs="宋体"/>
                <w:kern w:val="0"/>
                <w:sz w:val="18"/>
                <w:szCs w:val="18"/>
                <w:lang w:eastAsia="zh-CN"/>
              </w:rPr>
              <w:t>不低于</w:t>
            </w:r>
            <w:r>
              <w:rPr>
                <w:rFonts w:hint="eastAsia" w:ascii="宋体" w:hAnsi="宋体" w:cs="宋体"/>
                <w:kern w:val="0"/>
                <w:sz w:val="18"/>
                <w:szCs w:val="18"/>
              </w:rPr>
              <w:t>3年</w:t>
            </w:r>
          </w:p>
          <w:p w14:paraId="2F042279">
            <w:pPr>
              <w:widowControl/>
              <w:numPr>
                <w:ilvl w:val="-1"/>
                <w:numId w:val="0"/>
              </w:numPr>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4.</w:t>
            </w:r>
            <w:r>
              <w:rPr>
                <w:rFonts w:hint="eastAsia" w:ascii="宋体" w:hAnsi="宋体" w:cs="宋体"/>
                <w:kern w:val="0"/>
                <w:sz w:val="18"/>
                <w:szCs w:val="18"/>
              </w:rPr>
              <w:t>防护等级：不低于IP66</w:t>
            </w:r>
          </w:p>
          <w:p w14:paraId="0F3649EA">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5.环境适用性：应具有防水、防尘、防腐等抗恶劣环境性能</w:t>
            </w:r>
          </w:p>
        </w:tc>
      </w:tr>
      <w:tr w14:paraId="12671BE6">
        <w:tblPrEx>
          <w:tblCellMar>
            <w:top w:w="0" w:type="dxa"/>
            <w:left w:w="108" w:type="dxa"/>
            <w:bottom w:w="0" w:type="dxa"/>
            <w:right w:w="108" w:type="dxa"/>
          </w:tblCellMar>
        </w:tblPrEx>
        <w:trPr>
          <w:trHeight w:val="675" w:hRule="atLeast"/>
        </w:trPr>
        <w:tc>
          <w:tcPr>
            <w:tcW w:w="821" w:type="pct"/>
            <w:vMerge w:val="continue"/>
            <w:tcBorders>
              <w:top w:val="single" w:color="auto" w:sz="4" w:space="0"/>
              <w:left w:val="single" w:color="auto" w:sz="4" w:space="0"/>
              <w:bottom w:val="single" w:color="auto" w:sz="4" w:space="0"/>
              <w:right w:val="single" w:color="auto" w:sz="4" w:space="0"/>
            </w:tcBorders>
            <w:vAlign w:val="center"/>
          </w:tcPr>
          <w:p w14:paraId="3A612138">
            <w:pPr>
              <w:widowControl/>
              <w:spacing w:beforeLines="0" w:afterLines="0" w:line="240" w:lineRule="auto"/>
              <w:jc w:val="center"/>
              <w:rPr>
                <w:rFonts w:ascii="宋体" w:hAnsi="宋体" w:cs="宋体"/>
                <w:kern w:val="0"/>
                <w:sz w:val="18"/>
                <w:szCs w:val="18"/>
              </w:rPr>
            </w:pPr>
          </w:p>
        </w:tc>
        <w:tc>
          <w:tcPr>
            <w:tcW w:w="814" w:type="pct"/>
            <w:vMerge w:val="restart"/>
            <w:tcBorders>
              <w:top w:val="single" w:color="auto" w:sz="4" w:space="0"/>
              <w:left w:val="single" w:color="auto" w:sz="4" w:space="0"/>
              <w:bottom w:val="single" w:color="auto" w:sz="4" w:space="0"/>
              <w:right w:val="single" w:color="auto" w:sz="4" w:space="0"/>
            </w:tcBorders>
            <w:vAlign w:val="center"/>
          </w:tcPr>
          <w:p w14:paraId="6E194F95">
            <w:pPr>
              <w:widowControl/>
              <w:spacing w:beforeLines="0" w:afterLines="0" w:line="240" w:lineRule="auto"/>
              <w:jc w:val="center"/>
              <w:rPr>
                <w:rFonts w:hint="eastAsia" w:ascii="宋体" w:hAnsi="宋体" w:cs="宋体"/>
                <w:kern w:val="0"/>
                <w:sz w:val="18"/>
                <w:szCs w:val="18"/>
              </w:rPr>
            </w:pPr>
            <w:r>
              <w:rPr>
                <w:rFonts w:hint="eastAsia" w:ascii="宋体" w:hAnsi="宋体" w:cs="宋体"/>
                <w:kern w:val="0"/>
                <w:sz w:val="18"/>
                <w:szCs w:val="18"/>
              </w:rPr>
              <w:t>水质</w:t>
            </w:r>
          </w:p>
        </w:tc>
        <w:tc>
          <w:tcPr>
            <w:tcW w:w="1072" w:type="pct"/>
            <w:tcBorders>
              <w:top w:val="single" w:color="auto" w:sz="4" w:space="0"/>
              <w:left w:val="single" w:color="auto" w:sz="4" w:space="0"/>
              <w:bottom w:val="single" w:color="auto" w:sz="4" w:space="0"/>
              <w:right w:val="single" w:color="auto" w:sz="4" w:space="0"/>
            </w:tcBorders>
            <w:vAlign w:val="center"/>
          </w:tcPr>
          <w:p w14:paraId="226BD771">
            <w:pPr>
              <w:widowControl/>
              <w:spacing w:beforeLines="0" w:afterLines="0" w:line="240" w:lineRule="auto"/>
              <w:jc w:val="center"/>
              <w:rPr>
                <w:rFonts w:hint="eastAsia" w:ascii="宋体" w:hAnsi="宋体" w:cs="宋体"/>
                <w:kern w:val="0"/>
                <w:sz w:val="18"/>
                <w:szCs w:val="18"/>
                <w:lang w:eastAsia="zh-CN"/>
              </w:rPr>
            </w:pPr>
            <w:r>
              <w:rPr>
                <w:rFonts w:hint="eastAsia" w:ascii="宋体" w:hAnsi="宋体" w:cs="宋体"/>
                <w:kern w:val="0"/>
                <w:sz w:val="18"/>
                <w:szCs w:val="18"/>
                <w:lang w:eastAsia="zh-CN"/>
              </w:rPr>
              <w:t>pH</w:t>
            </w:r>
          </w:p>
        </w:tc>
        <w:tc>
          <w:tcPr>
            <w:tcW w:w="2291" w:type="pct"/>
            <w:tcBorders>
              <w:top w:val="single" w:color="auto" w:sz="4" w:space="0"/>
              <w:left w:val="single" w:color="auto" w:sz="4" w:space="0"/>
              <w:bottom w:val="single" w:color="auto" w:sz="4" w:space="0"/>
              <w:right w:val="single" w:color="auto" w:sz="4" w:space="0"/>
            </w:tcBorders>
            <w:vAlign w:val="center"/>
          </w:tcPr>
          <w:p w14:paraId="1F0F4A4F">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1.测试范围：2～14；</w:t>
            </w:r>
          </w:p>
          <w:p w14:paraId="77A23DF2">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2.分辨率：最小0.001；</w:t>
            </w:r>
          </w:p>
          <w:p w14:paraId="5E11423E">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3.响应时间：小于20s；</w:t>
            </w:r>
          </w:p>
          <w:p w14:paraId="666FBA63">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p w14:paraId="6A2465DC">
            <w:pPr>
              <w:widowControl/>
              <w:spacing w:beforeLines="0" w:afterLines="0" w:line="240" w:lineRule="auto"/>
              <w:jc w:val="left"/>
              <w:rPr>
                <w:rFonts w:hint="eastAsia" w:ascii="宋体" w:hAnsi="宋体" w:cs="宋体"/>
                <w:kern w:val="0"/>
                <w:sz w:val="18"/>
                <w:szCs w:val="18"/>
                <w:lang w:eastAsia="zh-CN"/>
              </w:rPr>
            </w:pPr>
            <w:r>
              <w:rPr>
                <w:rFonts w:hint="eastAsia" w:ascii="宋体" w:hAnsi="宋体" w:cs="宋体"/>
                <w:kern w:val="0"/>
                <w:sz w:val="18"/>
                <w:szCs w:val="18"/>
              </w:rPr>
              <w:t>5.防护等级：不低于IP68。</w:t>
            </w:r>
          </w:p>
        </w:tc>
      </w:tr>
      <w:tr w14:paraId="03A22847">
        <w:tblPrEx>
          <w:tblCellMar>
            <w:top w:w="0" w:type="dxa"/>
            <w:left w:w="108" w:type="dxa"/>
            <w:bottom w:w="0" w:type="dxa"/>
            <w:right w:w="108" w:type="dxa"/>
          </w:tblCellMar>
        </w:tblPrEx>
        <w:trPr>
          <w:trHeight w:val="675" w:hRule="atLeast"/>
        </w:trPr>
        <w:tc>
          <w:tcPr>
            <w:tcW w:w="821" w:type="pct"/>
            <w:vMerge w:val="continue"/>
            <w:tcBorders>
              <w:top w:val="single" w:color="auto" w:sz="4" w:space="0"/>
              <w:left w:val="single" w:color="auto" w:sz="4" w:space="0"/>
              <w:bottom w:val="single" w:color="auto" w:sz="4" w:space="0"/>
              <w:right w:val="single" w:color="auto" w:sz="4" w:space="0"/>
            </w:tcBorders>
            <w:vAlign w:val="center"/>
          </w:tcPr>
          <w:p w14:paraId="1068DCA4">
            <w:pPr>
              <w:widowControl/>
              <w:spacing w:beforeLines="0" w:afterLines="0" w:line="240" w:lineRule="auto"/>
              <w:jc w:val="center"/>
              <w:rPr>
                <w:rFonts w:ascii="宋体" w:hAnsi="宋体" w:cs="宋体"/>
                <w:kern w:val="0"/>
                <w:sz w:val="18"/>
                <w:szCs w:val="18"/>
              </w:rPr>
            </w:pPr>
          </w:p>
        </w:tc>
        <w:tc>
          <w:tcPr>
            <w:tcW w:w="814" w:type="pct"/>
            <w:vMerge w:val="continue"/>
            <w:tcBorders>
              <w:top w:val="single" w:color="auto" w:sz="4" w:space="0"/>
              <w:left w:val="single" w:color="auto" w:sz="4" w:space="0"/>
              <w:bottom w:val="single" w:color="auto" w:sz="4" w:space="0"/>
              <w:right w:val="single" w:color="auto" w:sz="4" w:space="0"/>
            </w:tcBorders>
            <w:vAlign w:val="center"/>
          </w:tcPr>
          <w:p w14:paraId="60D636E0">
            <w:pPr>
              <w:widowControl/>
              <w:spacing w:beforeLines="0" w:afterLines="0" w:line="240" w:lineRule="auto"/>
              <w:jc w:val="center"/>
              <w:rPr>
                <w:rFonts w:hint="eastAsia" w:ascii="宋体" w:hAnsi="宋体" w:cs="宋体"/>
                <w:kern w:val="0"/>
                <w:sz w:val="18"/>
                <w:szCs w:val="18"/>
              </w:rPr>
            </w:pPr>
          </w:p>
        </w:tc>
        <w:tc>
          <w:tcPr>
            <w:tcW w:w="1072" w:type="pct"/>
            <w:tcBorders>
              <w:top w:val="single" w:color="auto" w:sz="4" w:space="0"/>
              <w:left w:val="single" w:color="auto" w:sz="4" w:space="0"/>
              <w:bottom w:val="single" w:color="auto" w:sz="4" w:space="0"/>
              <w:right w:val="single" w:color="auto" w:sz="4" w:space="0"/>
            </w:tcBorders>
            <w:vAlign w:val="center"/>
          </w:tcPr>
          <w:p w14:paraId="614F1C27">
            <w:pPr>
              <w:widowControl/>
              <w:spacing w:beforeLines="0" w:afterLines="0" w:line="240" w:lineRule="auto"/>
              <w:jc w:val="center"/>
              <w:rPr>
                <w:rFonts w:hint="eastAsia" w:ascii="宋体" w:hAnsi="宋体" w:cs="宋体"/>
                <w:kern w:val="0"/>
                <w:sz w:val="18"/>
                <w:szCs w:val="18"/>
                <w:lang w:eastAsia="zh-CN"/>
              </w:rPr>
            </w:pPr>
            <w:r>
              <w:rPr>
                <w:rFonts w:hint="eastAsia" w:ascii="宋体" w:hAnsi="宋体" w:cs="宋体"/>
                <w:kern w:val="0"/>
                <w:sz w:val="18"/>
                <w:szCs w:val="18"/>
              </w:rPr>
              <w:t>氨氮</w:t>
            </w:r>
          </w:p>
        </w:tc>
        <w:tc>
          <w:tcPr>
            <w:tcW w:w="2291" w:type="pct"/>
            <w:tcBorders>
              <w:top w:val="single" w:color="auto" w:sz="4" w:space="0"/>
              <w:left w:val="single" w:color="auto" w:sz="4" w:space="0"/>
              <w:bottom w:val="single" w:color="auto" w:sz="4" w:space="0"/>
              <w:right w:val="single" w:color="auto" w:sz="4" w:space="0"/>
            </w:tcBorders>
            <w:vAlign w:val="center"/>
          </w:tcPr>
          <w:p w14:paraId="16E5009E">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1.测量量程：（0～1000）mg/L；</w:t>
            </w:r>
          </w:p>
          <w:p w14:paraId="593389F5">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2.测量精度：±3%FS；</w:t>
            </w:r>
          </w:p>
          <w:p w14:paraId="0CC85BFA">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3.环境温度：（5～40）℃；</w:t>
            </w:r>
          </w:p>
          <w:p w14:paraId="7752C715">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4.使用寿命：</w:t>
            </w:r>
            <w:r>
              <w:rPr>
                <w:rFonts w:hint="eastAsia" w:ascii="宋体" w:hAnsi="宋体" w:cs="宋体"/>
                <w:kern w:val="0"/>
                <w:sz w:val="18"/>
                <w:szCs w:val="18"/>
                <w:lang w:eastAsia="zh-CN"/>
              </w:rPr>
              <w:t>不低于</w:t>
            </w:r>
            <w:r>
              <w:rPr>
                <w:rFonts w:hint="eastAsia" w:ascii="宋体" w:hAnsi="宋体" w:cs="宋体"/>
                <w:kern w:val="0"/>
                <w:sz w:val="18"/>
                <w:szCs w:val="18"/>
              </w:rPr>
              <w:t>1年；</w:t>
            </w:r>
          </w:p>
          <w:p w14:paraId="625C8B7A">
            <w:pPr>
              <w:widowControl/>
              <w:spacing w:beforeLines="0" w:afterLines="0" w:line="240" w:lineRule="auto"/>
              <w:jc w:val="left"/>
              <w:rPr>
                <w:rFonts w:hint="eastAsia" w:ascii="宋体" w:hAnsi="宋体" w:cs="宋体"/>
                <w:kern w:val="0"/>
                <w:sz w:val="18"/>
                <w:szCs w:val="18"/>
                <w:lang w:eastAsia="zh-CN"/>
              </w:rPr>
            </w:pPr>
            <w:r>
              <w:rPr>
                <w:rFonts w:hint="eastAsia" w:ascii="宋体" w:hAnsi="宋体" w:cs="宋体"/>
                <w:kern w:val="0"/>
                <w:sz w:val="18"/>
                <w:szCs w:val="18"/>
              </w:rPr>
              <w:t>5.防护等级：不低于IP68。</w:t>
            </w:r>
          </w:p>
        </w:tc>
      </w:tr>
      <w:tr w14:paraId="031F0443">
        <w:tblPrEx>
          <w:tblCellMar>
            <w:top w:w="0" w:type="dxa"/>
            <w:left w:w="108" w:type="dxa"/>
            <w:bottom w:w="0" w:type="dxa"/>
            <w:right w:w="108" w:type="dxa"/>
          </w:tblCellMar>
        </w:tblPrEx>
        <w:trPr>
          <w:trHeight w:val="675" w:hRule="atLeast"/>
        </w:trPr>
        <w:tc>
          <w:tcPr>
            <w:tcW w:w="821" w:type="pct"/>
            <w:vMerge w:val="continue"/>
            <w:tcBorders>
              <w:top w:val="single" w:color="auto" w:sz="4" w:space="0"/>
              <w:left w:val="single" w:color="auto" w:sz="4" w:space="0"/>
              <w:bottom w:val="single" w:color="auto" w:sz="4" w:space="0"/>
              <w:right w:val="single" w:color="auto" w:sz="4" w:space="0"/>
            </w:tcBorders>
            <w:vAlign w:val="center"/>
          </w:tcPr>
          <w:p w14:paraId="6AB40CB9">
            <w:pPr>
              <w:widowControl/>
              <w:spacing w:beforeLines="0" w:afterLines="0" w:line="240" w:lineRule="auto"/>
              <w:jc w:val="center"/>
              <w:rPr>
                <w:rFonts w:ascii="宋体" w:hAnsi="宋体" w:cs="宋体"/>
                <w:kern w:val="0"/>
                <w:sz w:val="18"/>
                <w:szCs w:val="18"/>
              </w:rPr>
            </w:pPr>
          </w:p>
        </w:tc>
        <w:tc>
          <w:tcPr>
            <w:tcW w:w="814" w:type="pct"/>
            <w:vMerge w:val="continue"/>
            <w:tcBorders>
              <w:top w:val="single" w:color="auto" w:sz="4" w:space="0"/>
              <w:left w:val="single" w:color="auto" w:sz="4" w:space="0"/>
              <w:bottom w:val="single" w:color="auto" w:sz="4" w:space="0"/>
              <w:right w:val="single" w:color="auto" w:sz="4" w:space="0"/>
            </w:tcBorders>
            <w:vAlign w:val="center"/>
          </w:tcPr>
          <w:p w14:paraId="1EBBF81F">
            <w:pPr>
              <w:widowControl/>
              <w:spacing w:beforeLines="0" w:afterLines="0" w:line="240" w:lineRule="auto"/>
              <w:jc w:val="center"/>
              <w:rPr>
                <w:rFonts w:hint="eastAsia" w:ascii="宋体" w:hAnsi="宋体" w:cs="宋体"/>
                <w:kern w:val="0"/>
                <w:sz w:val="18"/>
                <w:szCs w:val="18"/>
              </w:rPr>
            </w:pPr>
          </w:p>
        </w:tc>
        <w:tc>
          <w:tcPr>
            <w:tcW w:w="1072" w:type="pct"/>
            <w:tcBorders>
              <w:top w:val="single" w:color="auto" w:sz="4" w:space="0"/>
              <w:left w:val="single" w:color="auto" w:sz="4" w:space="0"/>
              <w:bottom w:val="single" w:color="auto" w:sz="4" w:space="0"/>
              <w:right w:val="single" w:color="auto" w:sz="4" w:space="0"/>
            </w:tcBorders>
            <w:vAlign w:val="center"/>
          </w:tcPr>
          <w:p w14:paraId="1760D752">
            <w:pPr>
              <w:widowControl/>
              <w:spacing w:beforeLines="0" w:afterLines="0" w:line="240" w:lineRule="auto"/>
              <w:jc w:val="center"/>
              <w:rPr>
                <w:rFonts w:hint="eastAsia" w:ascii="宋体" w:hAnsi="宋体" w:cs="宋体"/>
                <w:kern w:val="0"/>
                <w:sz w:val="18"/>
                <w:szCs w:val="18"/>
                <w:lang w:eastAsia="zh-CN"/>
              </w:rPr>
            </w:pPr>
            <w:r>
              <w:rPr>
                <w:rFonts w:hint="eastAsia" w:ascii="宋体" w:hAnsi="宋体" w:cs="宋体"/>
                <w:kern w:val="0"/>
                <w:sz w:val="18"/>
                <w:szCs w:val="18"/>
              </w:rPr>
              <w:t>CODcr</w:t>
            </w:r>
          </w:p>
        </w:tc>
        <w:tc>
          <w:tcPr>
            <w:tcW w:w="2291" w:type="pct"/>
            <w:tcBorders>
              <w:top w:val="single" w:color="auto" w:sz="4" w:space="0"/>
              <w:left w:val="single" w:color="auto" w:sz="4" w:space="0"/>
              <w:bottom w:val="single" w:color="auto" w:sz="4" w:space="0"/>
              <w:right w:val="single" w:color="auto" w:sz="4" w:space="0"/>
            </w:tcBorders>
            <w:vAlign w:val="center"/>
          </w:tcPr>
          <w:p w14:paraId="2C07BFDA">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1.测量范围：（10～5000）mg/L；</w:t>
            </w:r>
          </w:p>
          <w:p w14:paraId="215C62A7">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2.重现性：5%；</w:t>
            </w:r>
          </w:p>
          <w:p w14:paraId="50D1EA12">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3.稳定性：±5%；</w:t>
            </w:r>
          </w:p>
          <w:p w14:paraId="6C595C2B">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4.工作温度：（5～40）℃；</w:t>
            </w:r>
          </w:p>
          <w:p w14:paraId="7AA92620">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5.测量间隔：≤30min；</w:t>
            </w:r>
          </w:p>
          <w:p w14:paraId="4CBFF9AC">
            <w:pPr>
              <w:widowControl/>
              <w:spacing w:beforeLines="0" w:afterLines="0" w:line="240" w:lineRule="auto"/>
              <w:jc w:val="left"/>
              <w:rPr>
                <w:rFonts w:hint="eastAsia" w:ascii="宋体" w:hAnsi="宋体" w:eastAsia="宋体" w:cs="宋体"/>
                <w:kern w:val="0"/>
                <w:sz w:val="18"/>
                <w:szCs w:val="18"/>
                <w:lang w:eastAsia="zh-CN"/>
              </w:rPr>
            </w:pPr>
            <w:r>
              <mc:AlternateContent>
                <mc:Choice Requires="wps">
                  <w:drawing>
                    <wp:anchor distT="0" distB="0" distL="114300" distR="114300" simplePos="0" relativeHeight="251676672" behindDoc="0" locked="0" layoutInCell="1" allowOverlap="1">
                      <wp:simplePos x="0" y="0"/>
                      <wp:positionH relativeFrom="column">
                        <wp:posOffset>636905</wp:posOffset>
                      </wp:positionH>
                      <wp:positionV relativeFrom="paragraph">
                        <wp:posOffset>-507365</wp:posOffset>
                      </wp:positionV>
                      <wp:extent cx="498475" cy="274955"/>
                      <wp:effectExtent l="0" t="0" r="15875" b="10795"/>
                      <wp:wrapNone/>
                      <wp:docPr id="38" name="文本框 38"/>
                      <wp:cNvGraphicFramePr/>
                      <a:graphic xmlns:a="http://schemas.openxmlformats.org/drawingml/2006/main">
                        <a:graphicData uri="http://schemas.microsoft.com/office/word/2010/wordprocessingShape">
                          <wps:wsp>
                            <wps:cNvSpPr txBox="1"/>
                            <wps:spPr>
                              <a:xfrm>
                                <a:off x="0" y="0"/>
                                <a:ext cx="498475" cy="274955"/>
                              </a:xfrm>
                              <a:prstGeom prst="rect">
                                <a:avLst/>
                              </a:prstGeom>
                              <a:solidFill>
                                <a:srgbClr val="FFFFFF"/>
                              </a:solidFill>
                              <a:ln>
                                <a:noFill/>
                              </a:ln>
                            </wps:spPr>
                            <wps:txbx>
                              <w:txbxContent>
                                <w:p w14:paraId="4CADC81A">
                                  <w:pPr>
                                    <w:rPr>
                                      <w:rFonts w:hint="eastAsia" w:ascii="黑体" w:hAnsi="黑体" w:eastAsia="黑体" w:cs="黑体"/>
                                    </w:rPr>
                                  </w:pPr>
                                  <w:r>
                                    <w:rPr>
                                      <w:rFonts w:hint="eastAsia" w:ascii="黑体" w:hAnsi="黑体" w:eastAsia="黑体" w:cs="黑体"/>
                                    </w:rPr>
                                    <w:t>（续）</w:t>
                                  </w:r>
                                </w:p>
                              </w:txbxContent>
                            </wps:txbx>
                            <wps:bodyPr lIns="0" tIns="0" rIns="0" bIns="0" anchor="t" anchorCtr="0" upright="1"/>
                          </wps:wsp>
                        </a:graphicData>
                      </a:graphic>
                    </wp:anchor>
                  </w:drawing>
                </mc:Choice>
                <mc:Fallback>
                  <w:pict>
                    <v:shape id="_x0000_s1026" o:spid="_x0000_s1026" o:spt="202" type="#_x0000_t202" style="position:absolute;left:0pt;margin-left:50.15pt;margin-top:-39.95pt;height:21.65pt;width:39.25pt;z-index:251676672;mso-width-relative:page;mso-height-relative:page;" fillcolor="#FFFFFF" filled="t" stroked="f" coordsize="21600,21600" o:gfxdata="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YyK+RdgAAAALAQAADwAA&#10;AAAAAAABACAAAAAiAAAAZHJzL2Rvd25yZXYueG1sUEsBAhQAFAAAAAgAh07iQNA76pbdAQAAtQMA&#10;AA4AAAAAAAAAAQAgAAAAJwEAAGRycy9lMm9Eb2MueG1sUEsFBgAAAAAGAAYAWQEAAHYFAAAAAA==&#10;">
                      <v:fill on="t" focussize="0,0"/>
                      <v:stroke on="f"/>
                      <v:imagedata o:title=""/>
                      <o:lock v:ext="edit" aspectratio="f"/>
                      <v:textbox inset="0mm,0mm,0mm,0mm">
                        <w:txbxContent>
                          <w:p w14:paraId="4CADC81A">
                            <w:pPr>
                              <w:rPr>
                                <w:rFonts w:hint="eastAsia" w:ascii="黑体" w:hAnsi="黑体" w:eastAsia="黑体" w:cs="黑体"/>
                              </w:rPr>
                            </w:pPr>
                            <w:r>
                              <w:rPr>
                                <w:rFonts w:hint="eastAsia" w:ascii="黑体" w:hAnsi="黑体" w:eastAsia="黑体" w:cs="黑体"/>
                              </w:rPr>
                              <w:t>（续）</w:t>
                            </w:r>
                          </w:p>
                        </w:txbxContent>
                      </v:textbox>
                    </v:shape>
                  </w:pict>
                </mc:Fallback>
              </mc:AlternateContent>
            </w:r>
            <w:r>
              <w:rPr>
                <w:rFonts w:hint="eastAsia" w:ascii="宋体" w:hAnsi="宋体" w:cs="宋体"/>
                <w:kern w:val="0"/>
                <w:sz w:val="18"/>
                <w:szCs w:val="18"/>
              </w:rPr>
              <w:t>6.使用寿命：</w:t>
            </w:r>
            <w:r>
              <w:rPr>
                <w:rFonts w:hint="eastAsia" w:ascii="宋体" w:hAnsi="宋体" w:cs="宋体"/>
                <w:kern w:val="0"/>
                <w:sz w:val="18"/>
                <w:szCs w:val="18"/>
                <w:lang w:eastAsia="zh-CN"/>
              </w:rPr>
              <w:t>不低于</w:t>
            </w:r>
            <w:r>
              <w:rPr>
                <w:rFonts w:hint="eastAsia" w:ascii="宋体" w:hAnsi="宋体" w:cs="宋体"/>
                <w:kern w:val="0"/>
                <w:sz w:val="18"/>
                <w:szCs w:val="18"/>
              </w:rPr>
              <w:t>1年；</w:t>
            </w:r>
          </w:p>
          <w:p w14:paraId="01CC0D19">
            <w:pPr>
              <w:widowControl/>
              <w:spacing w:beforeLines="0" w:afterLines="0" w:line="240" w:lineRule="auto"/>
              <w:jc w:val="left"/>
              <w:rPr>
                <w:rFonts w:hint="eastAsia" w:ascii="宋体" w:hAnsi="宋体" w:cs="宋体"/>
                <w:kern w:val="0"/>
                <w:sz w:val="18"/>
                <w:szCs w:val="18"/>
                <w:lang w:eastAsia="zh-CN"/>
              </w:rPr>
            </w:pPr>
            <w:r>
              <w:rPr>
                <w:rFonts w:hint="eastAsia" w:ascii="宋体" w:hAnsi="宋体" w:cs="宋体"/>
                <w:kern w:val="0"/>
                <w:sz w:val="18"/>
                <w:szCs w:val="18"/>
              </w:rPr>
              <w:t>7.防护等级：不低于IP68。</w:t>
            </w:r>
          </w:p>
        </w:tc>
      </w:tr>
      <w:tr w14:paraId="67A92225">
        <w:tblPrEx>
          <w:tblCellMar>
            <w:top w:w="0" w:type="dxa"/>
            <w:left w:w="108" w:type="dxa"/>
            <w:bottom w:w="0" w:type="dxa"/>
            <w:right w:w="108" w:type="dxa"/>
          </w:tblCellMar>
        </w:tblPrEx>
        <w:trPr>
          <w:trHeight w:val="675" w:hRule="atLeast"/>
        </w:trPr>
        <w:tc>
          <w:tcPr>
            <w:tcW w:w="821" w:type="pct"/>
            <w:vMerge w:val="continue"/>
            <w:tcBorders>
              <w:top w:val="single" w:color="auto" w:sz="4" w:space="0"/>
              <w:left w:val="single" w:color="auto" w:sz="4" w:space="0"/>
              <w:bottom w:val="single" w:color="auto" w:sz="4" w:space="0"/>
              <w:right w:val="single" w:color="auto" w:sz="4" w:space="0"/>
            </w:tcBorders>
            <w:vAlign w:val="center"/>
          </w:tcPr>
          <w:p w14:paraId="37A6B141">
            <w:pPr>
              <w:widowControl/>
              <w:spacing w:beforeLines="0" w:afterLines="0" w:line="240" w:lineRule="auto"/>
              <w:jc w:val="center"/>
              <w:rPr>
                <w:rFonts w:ascii="宋体" w:hAnsi="宋体" w:cs="宋体"/>
                <w:kern w:val="0"/>
                <w:sz w:val="18"/>
                <w:szCs w:val="18"/>
              </w:rPr>
            </w:pPr>
          </w:p>
        </w:tc>
        <w:tc>
          <w:tcPr>
            <w:tcW w:w="814" w:type="pct"/>
            <w:vMerge w:val="continue"/>
            <w:tcBorders>
              <w:top w:val="single" w:color="auto" w:sz="4" w:space="0"/>
              <w:left w:val="single" w:color="auto" w:sz="4" w:space="0"/>
              <w:bottom w:val="single" w:color="auto" w:sz="4" w:space="0"/>
              <w:right w:val="single" w:color="auto" w:sz="4" w:space="0"/>
            </w:tcBorders>
            <w:vAlign w:val="center"/>
          </w:tcPr>
          <w:p w14:paraId="72BC8ED3">
            <w:pPr>
              <w:widowControl/>
              <w:spacing w:beforeLines="0" w:afterLines="0" w:line="240" w:lineRule="auto"/>
              <w:jc w:val="left"/>
              <w:rPr>
                <w:rFonts w:hint="eastAsia" w:ascii="宋体" w:hAnsi="宋体" w:cs="宋体"/>
                <w:kern w:val="0"/>
                <w:sz w:val="18"/>
                <w:szCs w:val="18"/>
              </w:rPr>
            </w:pPr>
          </w:p>
        </w:tc>
        <w:tc>
          <w:tcPr>
            <w:tcW w:w="1072" w:type="pct"/>
            <w:tcBorders>
              <w:top w:val="single" w:color="auto" w:sz="4" w:space="0"/>
              <w:left w:val="single" w:color="auto" w:sz="4" w:space="0"/>
              <w:bottom w:val="single" w:color="auto" w:sz="4" w:space="0"/>
              <w:right w:val="single" w:color="auto" w:sz="4" w:space="0"/>
            </w:tcBorders>
            <w:vAlign w:val="center"/>
          </w:tcPr>
          <w:p w14:paraId="2ED8603D">
            <w:pPr>
              <w:widowControl/>
              <w:spacing w:beforeLines="0" w:afterLines="0" w:line="240" w:lineRule="auto"/>
              <w:jc w:val="center"/>
              <w:rPr>
                <w:rFonts w:hint="eastAsia" w:ascii="宋体" w:hAnsi="宋体" w:cs="宋体"/>
                <w:kern w:val="0"/>
                <w:sz w:val="18"/>
                <w:szCs w:val="18"/>
              </w:rPr>
            </w:pPr>
            <w:r>
              <w:rPr>
                <w:rFonts w:hint="eastAsia" w:ascii="宋体" w:hAnsi="宋体" w:cs="宋体"/>
                <w:kern w:val="0"/>
                <w:sz w:val="18"/>
                <w:szCs w:val="18"/>
              </w:rPr>
              <w:t>总磷</w:t>
            </w:r>
          </w:p>
        </w:tc>
        <w:tc>
          <w:tcPr>
            <w:tcW w:w="2291" w:type="pct"/>
            <w:tcBorders>
              <w:top w:val="single" w:color="auto" w:sz="4" w:space="0"/>
              <w:left w:val="single" w:color="auto" w:sz="4" w:space="0"/>
              <w:bottom w:val="single" w:color="auto" w:sz="4" w:space="0"/>
              <w:right w:val="single" w:color="auto" w:sz="4" w:space="0"/>
            </w:tcBorders>
            <w:vAlign w:val="center"/>
          </w:tcPr>
          <w:p w14:paraId="3F5E82EC">
            <w:pPr>
              <w:widowControl/>
              <w:numPr>
                <w:ilvl w:val="-1"/>
                <w:numId w:val="0"/>
              </w:numPr>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1.</w:t>
            </w:r>
            <w:r>
              <w:rPr>
                <w:rFonts w:hint="eastAsia" w:ascii="宋体" w:hAnsi="宋体" w:cs="宋体"/>
                <w:kern w:val="0"/>
                <w:sz w:val="18"/>
                <w:szCs w:val="18"/>
              </w:rPr>
              <w:t>测量范围：（0～50）mg/L；</w:t>
            </w:r>
          </w:p>
          <w:p w14:paraId="0AF596EC">
            <w:pPr>
              <w:widowControl/>
              <w:numPr>
                <w:ilvl w:val="-1"/>
                <w:numId w:val="0"/>
              </w:numPr>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2.</w:t>
            </w:r>
            <w:r>
              <w:rPr>
                <w:rFonts w:hint="eastAsia" w:ascii="宋体" w:hAnsi="宋体" w:cs="宋体"/>
                <w:kern w:val="0"/>
                <w:sz w:val="18"/>
                <w:szCs w:val="18"/>
              </w:rPr>
              <w:t>重现性：10%；</w:t>
            </w:r>
          </w:p>
          <w:p w14:paraId="6B1F63E3">
            <w:pPr>
              <w:widowControl/>
              <w:numPr>
                <w:ilvl w:val="-1"/>
                <w:numId w:val="0"/>
              </w:numPr>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3.</w:t>
            </w:r>
            <w:r>
              <w:rPr>
                <w:rFonts w:hint="eastAsia" w:ascii="宋体" w:hAnsi="宋体" w:cs="宋体"/>
                <w:kern w:val="0"/>
                <w:sz w:val="18"/>
                <w:szCs w:val="18"/>
              </w:rPr>
              <w:t>精确度：±5%；</w:t>
            </w:r>
          </w:p>
          <w:p w14:paraId="561D94B6">
            <w:pPr>
              <w:widowControl/>
              <w:numPr>
                <w:ilvl w:val="-1"/>
                <w:numId w:val="0"/>
              </w:numPr>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4.</w:t>
            </w:r>
            <w:r>
              <w:rPr>
                <w:rFonts w:hint="eastAsia" w:ascii="宋体" w:hAnsi="宋体" w:cs="宋体"/>
                <w:kern w:val="0"/>
                <w:sz w:val="18"/>
                <w:szCs w:val="18"/>
              </w:rPr>
              <w:t>测量周期：最小测量周期40min；</w:t>
            </w:r>
          </w:p>
          <w:p w14:paraId="2D27DD60">
            <w:pPr>
              <w:widowControl/>
              <w:numPr>
                <w:ilvl w:val="-1"/>
                <w:numId w:val="0"/>
              </w:numPr>
              <w:spacing w:beforeLines="0" w:afterLines="0" w:line="240" w:lineRule="auto"/>
              <w:jc w:val="left"/>
              <w:rPr>
                <w:rFonts w:ascii="宋体" w:hAnsi="宋体" w:cs="宋体"/>
                <w:kern w:val="0"/>
                <w:sz w:val="18"/>
                <w:szCs w:val="18"/>
              </w:rPr>
            </w:pPr>
            <w:r>
              <w:rPr>
                <w:rFonts w:hint="eastAsia" w:ascii="宋体" w:hAnsi="宋体" w:cs="宋体"/>
                <w:kern w:val="0"/>
                <w:sz w:val="18"/>
                <w:szCs w:val="18"/>
              </w:rPr>
              <w:t>5.最低检出限：≤0.01mg/L；</w:t>
            </w:r>
          </w:p>
          <w:p w14:paraId="0854DD90">
            <w:pPr>
              <w:widowControl/>
              <w:numPr>
                <w:ilvl w:val="-1"/>
                <w:numId w:val="0"/>
              </w:numPr>
              <w:spacing w:beforeLines="0" w:afterLines="0" w:line="240" w:lineRule="auto"/>
              <w:jc w:val="left"/>
              <w:rPr>
                <w:rFonts w:ascii="宋体" w:hAnsi="宋体" w:cs="宋体"/>
                <w:kern w:val="0"/>
                <w:sz w:val="18"/>
                <w:szCs w:val="18"/>
              </w:rPr>
            </w:pPr>
            <w:r>
              <w:rPr>
                <w:rFonts w:hint="eastAsia" w:ascii="宋体" w:hAnsi="宋体" w:cs="宋体"/>
                <w:kern w:val="0"/>
                <w:sz w:val="18"/>
                <w:szCs w:val="18"/>
              </w:rPr>
              <w:t>6.使用寿命：</w:t>
            </w:r>
            <w:r>
              <w:rPr>
                <w:rFonts w:hint="eastAsia" w:ascii="宋体" w:hAnsi="宋体" w:cs="宋体"/>
                <w:kern w:val="0"/>
                <w:sz w:val="18"/>
                <w:szCs w:val="18"/>
                <w:lang w:eastAsia="zh-CN"/>
              </w:rPr>
              <w:t>不低于</w:t>
            </w:r>
            <w:r>
              <w:rPr>
                <w:rFonts w:hint="eastAsia" w:ascii="宋体" w:hAnsi="宋体" w:cs="宋体"/>
                <w:kern w:val="0"/>
                <w:sz w:val="18"/>
                <w:szCs w:val="18"/>
              </w:rPr>
              <w:t>1年；</w:t>
            </w:r>
          </w:p>
          <w:p w14:paraId="5DB1D080">
            <w:pPr>
              <w:widowControl/>
              <w:numPr>
                <w:ilvl w:val="-1"/>
                <w:numId w:val="0"/>
              </w:numPr>
              <w:spacing w:beforeLines="0" w:afterLines="0" w:line="240" w:lineRule="auto"/>
              <w:jc w:val="left"/>
              <w:rPr>
                <w:rFonts w:hint="eastAsia" w:ascii="宋体" w:hAnsi="宋体" w:cs="宋体"/>
                <w:kern w:val="0"/>
                <w:sz w:val="18"/>
                <w:szCs w:val="18"/>
                <w:lang w:eastAsia="zh-CN"/>
              </w:rPr>
            </w:pPr>
            <w:r>
              <w:rPr>
                <w:rFonts w:hint="eastAsia" w:ascii="宋体" w:hAnsi="宋体" w:cs="宋体"/>
                <w:kern w:val="0"/>
                <w:sz w:val="18"/>
                <w:szCs w:val="18"/>
              </w:rPr>
              <w:t>7.防护等级：不低于IP68。</w:t>
            </w:r>
          </w:p>
        </w:tc>
      </w:tr>
      <w:tr w14:paraId="680491D2">
        <w:tblPrEx>
          <w:tblCellMar>
            <w:top w:w="0" w:type="dxa"/>
            <w:left w:w="108" w:type="dxa"/>
            <w:bottom w:w="0" w:type="dxa"/>
            <w:right w:w="108" w:type="dxa"/>
          </w:tblCellMar>
        </w:tblPrEx>
        <w:trPr>
          <w:trHeight w:val="675" w:hRule="atLeast"/>
        </w:trPr>
        <w:tc>
          <w:tcPr>
            <w:tcW w:w="821" w:type="pct"/>
            <w:vMerge w:val="continue"/>
            <w:tcBorders>
              <w:top w:val="single" w:color="auto" w:sz="4" w:space="0"/>
              <w:left w:val="single" w:color="auto" w:sz="4" w:space="0"/>
              <w:bottom w:val="single" w:color="auto" w:sz="4" w:space="0"/>
              <w:right w:val="single" w:color="auto" w:sz="4" w:space="0"/>
            </w:tcBorders>
            <w:vAlign w:val="center"/>
          </w:tcPr>
          <w:p w14:paraId="5E914DF9">
            <w:pPr>
              <w:widowControl/>
              <w:spacing w:beforeLines="0" w:afterLines="0" w:line="240" w:lineRule="auto"/>
              <w:jc w:val="center"/>
              <w:rPr>
                <w:rFonts w:ascii="宋体" w:hAnsi="宋体" w:cs="宋体"/>
                <w:kern w:val="0"/>
                <w:sz w:val="18"/>
                <w:szCs w:val="18"/>
              </w:rPr>
            </w:pPr>
          </w:p>
        </w:tc>
        <w:tc>
          <w:tcPr>
            <w:tcW w:w="814" w:type="pct"/>
            <w:tcBorders>
              <w:top w:val="single" w:color="auto" w:sz="4" w:space="0"/>
              <w:left w:val="single" w:color="auto" w:sz="4" w:space="0"/>
              <w:bottom w:val="single" w:color="auto" w:sz="4" w:space="0"/>
              <w:right w:val="single" w:color="auto" w:sz="4" w:space="0"/>
            </w:tcBorders>
            <w:vAlign w:val="center"/>
          </w:tcPr>
          <w:p w14:paraId="67D75ECC">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智能井盖</w:t>
            </w:r>
          </w:p>
        </w:tc>
        <w:tc>
          <w:tcPr>
            <w:tcW w:w="3363" w:type="pct"/>
            <w:gridSpan w:val="2"/>
            <w:tcBorders>
              <w:top w:val="single" w:color="auto" w:sz="4" w:space="0"/>
              <w:left w:val="single" w:color="auto" w:sz="4" w:space="0"/>
              <w:bottom w:val="single" w:color="auto" w:sz="4" w:space="0"/>
              <w:right w:val="single" w:color="auto" w:sz="4" w:space="0"/>
            </w:tcBorders>
            <w:vAlign w:val="center"/>
          </w:tcPr>
          <w:p w14:paraId="2EFBDB10">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1.</w:t>
            </w:r>
            <w:r>
              <w:rPr>
                <w:rFonts w:hint="eastAsia" w:ascii="宋体" w:hAnsi="宋体" w:cs="宋体"/>
                <w:kern w:val="0"/>
                <w:sz w:val="18"/>
                <w:szCs w:val="18"/>
              </w:rPr>
              <w:t>具备倾角检测、水浸报警等功能</w:t>
            </w:r>
          </w:p>
          <w:p w14:paraId="6CBF6834">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2.</w:t>
            </w:r>
            <w:r>
              <w:rPr>
                <w:rFonts w:hint="eastAsia" w:ascii="宋体" w:hAnsi="宋体" w:cs="宋体"/>
                <w:kern w:val="0"/>
                <w:sz w:val="18"/>
                <w:szCs w:val="18"/>
              </w:rPr>
              <w:t>加速灵敏度V/G:1伏/微帕</w:t>
            </w:r>
          </w:p>
          <w:p w14:paraId="3AA36C56">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3.</w:t>
            </w:r>
            <w:r>
              <w:rPr>
                <w:rFonts w:hint="eastAsia" w:ascii="宋体" w:hAnsi="宋体" w:cs="宋体"/>
                <w:kern w:val="0"/>
                <w:sz w:val="18"/>
                <w:szCs w:val="18"/>
              </w:rPr>
              <w:t>响应频率：1Hz～10Hz</w:t>
            </w:r>
          </w:p>
          <w:p w14:paraId="359763E2">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4.</w:t>
            </w:r>
            <w:r>
              <w:rPr>
                <w:rFonts w:hint="eastAsia" w:ascii="宋体" w:hAnsi="宋体" w:cs="宋体"/>
                <w:kern w:val="0"/>
                <w:sz w:val="18"/>
                <w:szCs w:val="18"/>
              </w:rPr>
              <w:t>有效水浸深度：</w:t>
            </w:r>
            <w:r>
              <w:rPr>
                <w:rFonts w:hint="eastAsia" w:ascii="微软雅黑" w:hAnsi="微软雅黑" w:eastAsia="微软雅黑" w:cs="微软雅黑"/>
                <w:kern w:val="0"/>
                <w:sz w:val="18"/>
                <w:szCs w:val="18"/>
                <w:lang w:eastAsia="zh-CN"/>
              </w:rPr>
              <w:t>&lt;</w:t>
            </w:r>
            <w:r>
              <w:rPr>
                <w:rFonts w:hint="eastAsia" w:ascii="宋体" w:hAnsi="宋体" w:cs="宋体"/>
                <w:kern w:val="0"/>
                <w:sz w:val="18"/>
                <w:szCs w:val="18"/>
              </w:rPr>
              <w:t xml:space="preserve"> 0.4m</w:t>
            </w:r>
          </w:p>
          <w:p w14:paraId="5D6A17E9">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5.</w:t>
            </w:r>
            <w:r>
              <w:rPr>
                <w:rFonts w:hint="eastAsia" w:ascii="宋体" w:hAnsi="宋体" w:cs="宋体"/>
                <w:kern w:val="0"/>
                <w:sz w:val="18"/>
                <w:szCs w:val="18"/>
              </w:rPr>
              <w:t>电池使用寿命：不低于5年</w:t>
            </w:r>
          </w:p>
          <w:p w14:paraId="4D68D9FC">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6.</w:t>
            </w:r>
            <w:r>
              <w:rPr>
                <w:rFonts w:hint="eastAsia" w:ascii="宋体" w:hAnsi="宋体" w:cs="宋体"/>
                <w:kern w:val="0"/>
                <w:sz w:val="18"/>
                <w:szCs w:val="18"/>
              </w:rPr>
              <w:t>防护等级：IP68</w:t>
            </w:r>
          </w:p>
          <w:p w14:paraId="47D1F918">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7.</w:t>
            </w:r>
            <w:r>
              <w:rPr>
                <w:rFonts w:hint="eastAsia" w:ascii="宋体" w:hAnsi="宋体" w:cs="宋体"/>
                <w:kern w:val="0"/>
                <w:sz w:val="18"/>
                <w:szCs w:val="18"/>
              </w:rPr>
              <w:t>抗腐蚀试验应符合GB</w:t>
            </w:r>
            <w:r>
              <w:rPr>
                <w:rFonts w:hint="eastAsia" w:ascii="宋体" w:hAnsi="宋体" w:cs="宋体"/>
                <w:kern w:val="0"/>
                <w:sz w:val="18"/>
                <w:szCs w:val="18"/>
                <w:lang w:val="en-US" w:eastAsia="zh-CN"/>
              </w:rPr>
              <w:t>/</w:t>
            </w:r>
            <w:r>
              <w:rPr>
                <w:rFonts w:hint="eastAsia" w:ascii="宋体" w:hAnsi="宋体" w:cs="宋体"/>
                <w:kern w:val="0"/>
                <w:sz w:val="18"/>
                <w:szCs w:val="18"/>
              </w:rPr>
              <w:t>T</w:t>
            </w:r>
            <w:r>
              <w:rPr>
                <w:rFonts w:hint="eastAsia" w:ascii="宋体" w:hAnsi="宋体" w:cs="宋体"/>
                <w:kern w:val="0"/>
                <w:sz w:val="18"/>
                <w:szCs w:val="18"/>
                <w:lang w:val="en-US" w:eastAsia="zh-CN"/>
              </w:rPr>
              <w:t xml:space="preserve"> </w:t>
            </w:r>
            <w:r>
              <w:rPr>
                <w:rFonts w:hint="eastAsia" w:ascii="宋体" w:hAnsi="宋体" w:cs="宋体"/>
                <w:kern w:val="0"/>
                <w:sz w:val="18"/>
                <w:szCs w:val="18"/>
              </w:rPr>
              <w:t>41401的相关规定</w:t>
            </w:r>
          </w:p>
        </w:tc>
      </w:tr>
      <w:tr w14:paraId="079258B8">
        <w:tblPrEx>
          <w:tblCellMar>
            <w:top w:w="0" w:type="dxa"/>
            <w:left w:w="108" w:type="dxa"/>
            <w:bottom w:w="0" w:type="dxa"/>
            <w:right w:w="108" w:type="dxa"/>
          </w:tblCellMar>
        </w:tblPrEx>
        <w:trPr>
          <w:trHeight w:val="675" w:hRule="atLeast"/>
        </w:trPr>
        <w:tc>
          <w:tcPr>
            <w:tcW w:w="821" w:type="pct"/>
            <w:vMerge w:val="restart"/>
            <w:tcBorders>
              <w:top w:val="single" w:color="auto" w:sz="4" w:space="0"/>
              <w:left w:val="single" w:color="auto" w:sz="4" w:space="0"/>
              <w:bottom w:val="single" w:color="auto" w:sz="4" w:space="0"/>
              <w:right w:val="single" w:color="auto" w:sz="4" w:space="0"/>
            </w:tcBorders>
            <w:vAlign w:val="center"/>
          </w:tcPr>
          <w:p w14:paraId="6BF46C1A">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污水管网（含合流制管网）井室</w:t>
            </w:r>
          </w:p>
        </w:tc>
        <w:tc>
          <w:tcPr>
            <w:tcW w:w="814" w:type="pct"/>
            <w:tcBorders>
              <w:top w:val="single" w:color="auto" w:sz="4" w:space="0"/>
              <w:left w:val="single" w:color="auto" w:sz="4" w:space="0"/>
              <w:bottom w:val="single" w:color="auto" w:sz="4" w:space="0"/>
              <w:right w:val="single" w:color="auto" w:sz="4" w:space="0"/>
            </w:tcBorders>
            <w:vAlign w:val="center"/>
          </w:tcPr>
          <w:p w14:paraId="232F1897">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液位</w:t>
            </w:r>
          </w:p>
        </w:tc>
        <w:tc>
          <w:tcPr>
            <w:tcW w:w="3363" w:type="pct"/>
            <w:gridSpan w:val="2"/>
            <w:tcBorders>
              <w:top w:val="single" w:color="auto" w:sz="4" w:space="0"/>
              <w:left w:val="single" w:color="auto" w:sz="4" w:space="0"/>
              <w:bottom w:val="single" w:color="auto" w:sz="4" w:space="0"/>
              <w:right w:val="single" w:color="auto" w:sz="4" w:space="0"/>
            </w:tcBorders>
            <w:vAlign w:val="center"/>
          </w:tcPr>
          <w:p w14:paraId="79400055">
            <w:pPr>
              <w:widowControl/>
              <w:numPr>
                <w:ilvl w:val="-1"/>
                <w:numId w:val="0"/>
              </w:numPr>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1.</w:t>
            </w:r>
            <w:r>
              <w:rPr>
                <w:rFonts w:hint="eastAsia" w:ascii="宋体" w:hAnsi="宋体" w:cs="宋体"/>
                <w:kern w:val="0"/>
                <w:sz w:val="18"/>
                <w:szCs w:val="18"/>
              </w:rPr>
              <w:t>量程：（0～20）m</w:t>
            </w:r>
          </w:p>
          <w:p w14:paraId="3C2513C0">
            <w:pPr>
              <w:widowControl/>
              <w:numPr>
                <w:ilvl w:val="-1"/>
                <w:numId w:val="0"/>
              </w:numPr>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2.</w:t>
            </w:r>
            <w:r>
              <w:rPr>
                <w:rFonts w:hint="eastAsia" w:ascii="宋体" w:hAnsi="宋体" w:cs="宋体"/>
                <w:kern w:val="0"/>
                <w:sz w:val="18"/>
                <w:szCs w:val="18"/>
              </w:rPr>
              <w:t>精度：±1%FS</w:t>
            </w:r>
          </w:p>
          <w:p w14:paraId="087407CC">
            <w:pPr>
              <w:widowControl/>
              <w:numPr>
                <w:ilvl w:val="-1"/>
                <w:numId w:val="0"/>
              </w:numPr>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3.</w:t>
            </w:r>
            <w:r>
              <w:rPr>
                <w:rFonts w:hint="eastAsia" w:ascii="宋体" w:hAnsi="宋体" w:cs="宋体"/>
                <w:kern w:val="0"/>
                <w:sz w:val="18"/>
                <w:szCs w:val="18"/>
              </w:rPr>
              <w:t>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p w14:paraId="2FEF98E0">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4.环境适用性：应具有防水、防尘、防腐等抗恶劣环境性能</w:t>
            </w:r>
          </w:p>
        </w:tc>
      </w:tr>
      <w:tr w14:paraId="786F0F54">
        <w:tblPrEx>
          <w:tblCellMar>
            <w:top w:w="0" w:type="dxa"/>
            <w:left w:w="108" w:type="dxa"/>
            <w:bottom w:w="0" w:type="dxa"/>
            <w:right w:w="108" w:type="dxa"/>
          </w:tblCellMar>
        </w:tblPrEx>
        <w:trPr>
          <w:trHeight w:val="675" w:hRule="atLeast"/>
        </w:trPr>
        <w:tc>
          <w:tcPr>
            <w:tcW w:w="821" w:type="pct"/>
            <w:vMerge w:val="continue"/>
            <w:tcBorders>
              <w:top w:val="single" w:color="auto" w:sz="4" w:space="0"/>
              <w:left w:val="single" w:color="auto" w:sz="4" w:space="0"/>
              <w:bottom w:val="single" w:color="auto" w:sz="4" w:space="0"/>
              <w:right w:val="single" w:color="auto" w:sz="4" w:space="0"/>
            </w:tcBorders>
            <w:vAlign w:val="center"/>
          </w:tcPr>
          <w:p w14:paraId="72A40106">
            <w:pPr>
              <w:widowControl/>
              <w:spacing w:beforeLines="0" w:afterLines="0" w:line="240" w:lineRule="auto"/>
              <w:jc w:val="center"/>
              <w:rPr>
                <w:rFonts w:ascii="宋体" w:hAnsi="宋体" w:cs="宋体"/>
                <w:kern w:val="0"/>
                <w:sz w:val="18"/>
                <w:szCs w:val="18"/>
              </w:rPr>
            </w:pPr>
          </w:p>
        </w:tc>
        <w:tc>
          <w:tcPr>
            <w:tcW w:w="814" w:type="pct"/>
            <w:tcBorders>
              <w:top w:val="single" w:color="auto" w:sz="4" w:space="0"/>
              <w:left w:val="single" w:color="auto" w:sz="4" w:space="0"/>
              <w:bottom w:val="single" w:color="auto" w:sz="4" w:space="0"/>
              <w:right w:val="single" w:color="auto" w:sz="4" w:space="0"/>
            </w:tcBorders>
            <w:vAlign w:val="center"/>
          </w:tcPr>
          <w:p w14:paraId="0EDF6298">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流量</w:t>
            </w:r>
          </w:p>
        </w:tc>
        <w:tc>
          <w:tcPr>
            <w:tcW w:w="3363" w:type="pct"/>
            <w:gridSpan w:val="2"/>
            <w:tcBorders>
              <w:top w:val="single" w:color="auto" w:sz="4" w:space="0"/>
              <w:left w:val="single" w:color="auto" w:sz="4" w:space="0"/>
              <w:bottom w:val="single" w:color="auto" w:sz="4" w:space="0"/>
              <w:right w:val="single" w:color="auto" w:sz="4" w:space="0"/>
            </w:tcBorders>
            <w:vAlign w:val="center"/>
          </w:tcPr>
          <w:p w14:paraId="03104581">
            <w:pPr>
              <w:widowControl/>
              <w:numPr>
                <w:ilvl w:val="-1"/>
                <w:numId w:val="0"/>
              </w:numPr>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1.</w:t>
            </w:r>
            <w:r>
              <w:rPr>
                <w:rFonts w:hint="eastAsia" w:ascii="宋体" w:hAnsi="宋体" w:cs="宋体"/>
                <w:kern w:val="0"/>
                <w:sz w:val="18"/>
                <w:szCs w:val="18"/>
              </w:rPr>
              <w:t>量程：（-6.0～6.0）m/s</w:t>
            </w:r>
          </w:p>
          <w:p w14:paraId="11670CCC">
            <w:pPr>
              <w:widowControl/>
              <w:numPr>
                <w:ilvl w:val="-1"/>
                <w:numId w:val="0"/>
              </w:numPr>
              <w:spacing w:beforeLines="0" w:afterLines="0" w:line="240" w:lineRule="auto"/>
              <w:jc w:val="left"/>
              <w:rPr>
                <w:rFonts w:ascii="宋体" w:hAnsi="宋体" w:cs="宋体"/>
                <w:kern w:val="0"/>
                <w:sz w:val="18"/>
                <w:szCs w:val="18"/>
              </w:rPr>
            </w:pPr>
            <w:r>
              <w:rPr>
                <w:rFonts w:hint="eastAsia" w:ascii="宋体" w:hAnsi="宋体" w:cs="宋体"/>
                <w:kern w:val="0"/>
                <w:sz w:val="18"/>
                <w:szCs w:val="18"/>
              </w:rPr>
              <w:t>2.精度：±1%FS</w:t>
            </w:r>
          </w:p>
          <w:p w14:paraId="666AC872">
            <w:pPr>
              <w:widowControl/>
              <w:numPr>
                <w:ilvl w:val="-1"/>
                <w:numId w:val="0"/>
              </w:numPr>
              <w:spacing w:beforeLines="0" w:afterLines="0" w:line="240" w:lineRule="auto"/>
              <w:jc w:val="left"/>
              <w:rPr>
                <w:rFonts w:ascii="宋体" w:hAnsi="宋体" w:cs="宋体"/>
                <w:kern w:val="0"/>
                <w:sz w:val="18"/>
                <w:szCs w:val="18"/>
              </w:rPr>
            </w:pPr>
            <w:r>
              <w:rPr>
                <w:rFonts w:hint="eastAsia" w:ascii="宋体" w:hAnsi="宋体" w:cs="宋体"/>
                <w:kern w:val="0"/>
                <w:sz w:val="18"/>
                <w:szCs w:val="18"/>
              </w:rPr>
              <w:t>3.使用寿命：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p w14:paraId="7F039EDB">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4.环境适用性：应具有防水、防尘、防爆、防腐等抗恶劣环境性能</w:t>
            </w:r>
          </w:p>
        </w:tc>
      </w:tr>
      <w:tr w14:paraId="24AC2411">
        <w:tblPrEx>
          <w:tblCellMar>
            <w:top w:w="0" w:type="dxa"/>
            <w:left w:w="108" w:type="dxa"/>
            <w:bottom w:w="0" w:type="dxa"/>
            <w:right w:w="108" w:type="dxa"/>
          </w:tblCellMar>
        </w:tblPrEx>
        <w:trPr>
          <w:trHeight w:val="675" w:hRule="atLeast"/>
        </w:trPr>
        <w:tc>
          <w:tcPr>
            <w:tcW w:w="821" w:type="pct"/>
            <w:vMerge w:val="continue"/>
            <w:tcBorders>
              <w:top w:val="single" w:color="auto" w:sz="4" w:space="0"/>
              <w:left w:val="single" w:color="auto" w:sz="4" w:space="0"/>
              <w:bottom w:val="single" w:color="auto" w:sz="4" w:space="0"/>
              <w:right w:val="single" w:color="auto" w:sz="4" w:space="0"/>
            </w:tcBorders>
            <w:vAlign w:val="center"/>
          </w:tcPr>
          <w:p w14:paraId="5CBDE21D">
            <w:pPr>
              <w:widowControl/>
              <w:spacing w:beforeLines="0" w:afterLines="0" w:line="240" w:lineRule="auto"/>
              <w:jc w:val="center"/>
              <w:rPr>
                <w:rFonts w:ascii="宋体" w:hAnsi="宋体" w:cs="宋体"/>
                <w:kern w:val="0"/>
                <w:sz w:val="18"/>
                <w:szCs w:val="18"/>
              </w:rPr>
            </w:pPr>
          </w:p>
        </w:tc>
        <w:tc>
          <w:tcPr>
            <w:tcW w:w="814" w:type="pct"/>
            <w:tcBorders>
              <w:top w:val="single" w:color="auto" w:sz="4" w:space="0"/>
              <w:left w:val="single" w:color="auto" w:sz="4" w:space="0"/>
              <w:bottom w:val="single" w:color="auto" w:sz="4" w:space="0"/>
              <w:right w:val="single" w:color="auto" w:sz="4" w:space="0"/>
            </w:tcBorders>
            <w:vAlign w:val="center"/>
          </w:tcPr>
          <w:p w14:paraId="68ACBEF7">
            <w:pPr>
              <w:widowControl/>
              <w:spacing w:beforeLines="0" w:afterLines="0" w:line="240" w:lineRule="auto"/>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视频监控</w:t>
            </w:r>
          </w:p>
        </w:tc>
        <w:tc>
          <w:tcPr>
            <w:tcW w:w="3363" w:type="pct"/>
            <w:gridSpan w:val="2"/>
            <w:tcBorders>
              <w:top w:val="single" w:color="auto" w:sz="4" w:space="0"/>
              <w:left w:val="single" w:color="auto" w:sz="4" w:space="0"/>
              <w:bottom w:val="single" w:color="auto" w:sz="4" w:space="0"/>
              <w:right w:val="single" w:color="auto" w:sz="4" w:space="0"/>
            </w:tcBorders>
            <w:vAlign w:val="center"/>
          </w:tcPr>
          <w:p w14:paraId="7B203223">
            <w:pPr>
              <w:widowControl/>
              <w:numPr>
                <w:ilvl w:val="-1"/>
                <w:numId w:val="0"/>
              </w:numPr>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1.</w:t>
            </w:r>
            <w:r>
              <w:rPr>
                <w:rFonts w:hint="eastAsia" w:ascii="宋体" w:hAnsi="宋体" w:cs="宋体"/>
                <w:kern w:val="0"/>
                <w:sz w:val="18"/>
                <w:szCs w:val="18"/>
              </w:rPr>
              <w:t>分辨率：不低于200万像素</w:t>
            </w:r>
          </w:p>
          <w:p w14:paraId="6B8CD6F2">
            <w:pPr>
              <w:widowControl/>
              <w:numPr>
                <w:ilvl w:val="-1"/>
                <w:numId w:val="0"/>
              </w:numPr>
              <w:spacing w:beforeLines="0" w:afterLines="0" w:line="240" w:lineRule="auto"/>
              <w:jc w:val="left"/>
              <w:rPr>
                <w:rFonts w:ascii="宋体" w:hAnsi="宋体" w:cs="宋体"/>
                <w:kern w:val="0"/>
                <w:sz w:val="18"/>
                <w:szCs w:val="18"/>
              </w:rPr>
            </w:pPr>
            <w:r>
              <w:rPr>
                <w:rFonts w:hint="eastAsia" w:ascii="宋体" w:hAnsi="宋体" w:cs="宋体"/>
                <w:kern w:val="0"/>
                <w:sz w:val="18"/>
                <w:szCs w:val="18"/>
              </w:rPr>
              <w:t>2.工作温度：</w:t>
            </w:r>
            <w:r>
              <w:rPr>
                <w:rFonts w:hint="eastAsia" w:ascii="宋体" w:hAnsi="宋体" w:cs="宋体"/>
                <w:kern w:val="0"/>
                <w:sz w:val="18"/>
                <w:szCs w:val="18"/>
                <w:lang w:val="en-US" w:eastAsia="zh-CN"/>
              </w:rPr>
              <w:t>不低于</w:t>
            </w:r>
            <w:r>
              <w:rPr>
                <w:rFonts w:hint="eastAsia" w:ascii="宋体" w:hAnsi="宋体" w:cs="宋体"/>
                <w:kern w:val="0"/>
                <w:sz w:val="18"/>
                <w:szCs w:val="18"/>
              </w:rPr>
              <w:t>-</w:t>
            </w:r>
            <w:r>
              <w:rPr>
                <w:rFonts w:hint="eastAsia" w:ascii="宋体" w:hAnsi="宋体" w:cs="宋体"/>
                <w:kern w:val="0"/>
                <w:sz w:val="18"/>
                <w:szCs w:val="18"/>
                <w:lang w:val="en-US" w:eastAsia="zh-CN"/>
              </w:rPr>
              <w:t>30</w:t>
            </w:r>
            <w:r>
              <w:rPr>
                <w:rFonts w:hint="eastAsia" w:ascii="宋体" w:hAnsi="宋体" w:cs="宋体"/>
                <w:kern w:val="0"/>
                <w:sz w:val="18"/>
                <w:szCs w:val="18"/>
              </w:rPr>
              <w:t>～</w:t>
            </w:r>
            <w:r>
              <w:rPr>
                <w:rFonts w:hint="eastAsia" w:ascii="宋体" w:hAnsi="宋体" w:cs="宋体"/>
                <w:kern w:val="0"/>
                <w:sz w:val="18"/>
                <w:szCs w:val="18"/>
                <w:lang w:val="en-US" w:eastAsia="zh-CN"/>
              </w:rPr>
              <w:t>60</w:t>
            </w:r>
            <w:r>
              <w:rPr>
                <w:rFonts w:hint="eastAsia" w:ascii="宋体" w:hAnsi="宋体" w:cs="宋体"/>
                <w:kern w:val="0"/>
                <w:sz w:val="18"/>
                <w:szCs w:val="18"/>
              </w:rPr>
              <w:t>℃</w:t>
            </w:r>
          </w:p>
          <w:p w14:paraId="69AEFEB3">
            <w:pPr>
              <w:widowControl/>
              <w:numPr>
                <w:ilvl w:val="-1"/>
                <w:numId w:val="0"/>
              </w:numPr>
              <w:spacing w:beforeLines="0" w:afterLines="0" w:line="240" w:lineRule="auto"/>
              <w:jc w:val="left"/>
              <w:rPr>
                <w:rFonts w:ascii="宋体" w:hAnsi="宋体" w:cs="宋体"/>
                <w:kern w:val="0"/>
                <w:sz w:val="18"/>
                <w:szCs w:val="18"/>
              </w:rPr>
            </w:pPr>
            <w:r>
              <w:rPr>
                <w:rFonts w:hint="eastAsia" w:ascii="宋体" w:hAnsi="宋体" w:cs="宋体"/>
                <w:kern w:val="0"/>
                <w:sz w:val="18"/>
                <w:szCs w:val="18"/>
              </w:rPr>
              <w:t>3.使用寿命：</w:t>
            </w:r>
            <w:r>
              <w:rPr>
                <w:rFonts w:hint="eastAsia" w:ascii="宋体" w:hAnsi="宋体" w:cs="宋体"/>
                <w:kern w:val="0"/>
                <w:sz w:val="18"/>
                <w:szCs w:val="18"/>
                <w:lang w:eastAsia="zh-CN"/>
              </w:rPr>
              <w:t>不低于</w:t>
            </w:r>
            <w:r>
              <w:rPr>
                <w:rFonts w:hint="eastAsia" w:ascii="宋体" w:hAnsi="宋体" w:cs="宋体"/>
                <w:kern w:val="0"/>
                <w:sz w:val="18"/>
                <w:szCs w:val="18"/>
              </w:rPr>
              <w:t>3年</w:t>
            </w:r>
          </w:p>
          <w:p w14:paraId="74AE193E">
            <w:pPr>
              <w:widowControl/>
              <w:numPr>
                <w:ilvl w:val="-1"/>
                <w:numId w:val="0"/>
              </w:numPr>
              <w:spacing w:beforeLines="0" w:afterLines="0" w:line="240" w:lineRule="auto"/>
              <w:jc w:val="left"/>
              <w:rPr>
                <w:rFonts w:ascii="宋体" w:hAnsi="宋体" w:cs="宋体"/>
                <w:kern w:val="0"/>
                <w:sz w:val="18"/>
                <w:szCs w:val="18"/>
              </w:rPr>
            </w:pPr>
            <w:r>
              <w:rPr>
                <w:rFonts w:hint="eastAsia" w:ascii="宋体" w:hAnsi="宋体" w:cs="宋体"/>
                <w:kern w:val="0"/>
                <w:sz w:val="18"/>
                <w:szCs w:val="18"/>
              </w:rPr>
              <w:t>4.防护等级：不低于IP66</w:t>
            </w:r>
          </w:p>
          <w:p w14:paraId="26B4FAF4">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5.环境适用性：应具有防水、防尘、防腐等抗恶劣环境性能</w:t>
            </w:r>
          </w:p>
        </w:tc>
      </w:tr>
      <w:tr w14:paraId="075DFA28">
        <w:tblPrEx>
          <w:tblCellMar>
            <w:top w:w="0" w:type="dxa"/>
            <w:left w:w="108" w:type="dxa"/>
            <w:bottom w:w="0" w:type="dxa"/>
            <w:right w:w="108" w:type="dxa"/>
          </w:tblCellMar>
        </w:tblPrEx>
        <w:trPr>
          <w:trHeight w:val="675" w:hRule="atLeast"/>
        </w:trPr>
        <w:tc>
          <w:tcPr>
            <w:tcW w:w="821" w:type="pct"/>
            <w:vMerge w:val="continue"/>
            <w:tcBorders>
              <w:top w:val="single" w:color="auto" w:sz="4" w:space="0"/>
              <w:left w:val="single" w:color="auto" w:sz="4" w:space="0"/>
              <w:bottom w:val="single" w:color="auto" w:sz="4" w:space="0"/>
              <w:right w:val="single" w:color="auto" w:sz="4" w:space="0"/>
            </w:tcBorders>
            <w:vAlign w:val="center"/>
          </w:tcPr>
          <w:p w14:paraId="0D79142E">
            <w:pPr>
              <w:widowControl/>
              <w:spacing w:beforeLines="0" w:afterLines="0" w:line="240" w:lineRule="auto"/>
              <w:jc w:val="center"/>
              <w:rPr>
                <w:rFonts w:ascii="宋体" w:hAnsi="宋体" w:cs="宋体"/>
                <w:kern w:val="0"/>
                <w:sz w:val="18"/>
                <w:szCs w:val="18"/>
              </w:rPr>
            </w:pPr>
          </w:p>
        </w:tc>
        <w:tc>
          <w:tcPr>
            <w:tcW w:w="814" w:type="pct"/>
            <w:tcBorders>
              <w:top w:val="single" w:color="auto" w:sz="4" w:space="0"/>
              <w:left w:val="single" w:color="auto" w:sz="4" w:space="0"/>
              <w:bottom w:val="single" w:color="auto" w:sz="4" w:space="0"/>
              <w:right w:val="single" w:color="auto" w:sz="4" w:space="0"/>
            </w:tcBorders>
            <w:vAlign w:val="center"/>
          </w:tcPr>
          <w:p w14:paraId="4B14B191">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智能井盖</w:t>
            </w:r>
          </w:p>
        </w:tc>
        <w:tc>
          <w:tcPr>
            <w:tcW w:w="3363" w:type="pct"/>
            <w:gridSpan w:val="2"/>
            <w:tcBorders>
              <w:top w:val="single" w:color="auto" w:sz="4" w:space="0"/>
              <w:left w:val="single" w:color="auto" w:sz="4" w:space="0"/>
              <w:bottom w:val="single" w:color="auto" w:sz="4" w:space="0"/>
              <w:right w:val="single" w:color="auto" w:sz="4" w:space="0"/>
            </w:tcBorders>
            <w:vAlign w:val="center"/>
          </w:tcPr>
          <w:p w14:paraId="0DA1C232">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1.</w:t>
            </w:r>
            <w:r>
              <w:rPr>
                <w:rFonts w:hint="eastAsia" w:ascii="宋体" w:hAnsi="宋体" w:cs="宋体"/>
                <w:kern w:val="0"/>
                <w:sz w:val="18"/>
                <w:szCs w:val="18"/>
              </w:rPr>
              <w:t>具备倾角检测、水浸报警等功能</w:t>
            </w:r>
          </w:p>
          <w:p w14:paraId="0080BE63">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2.</w:t>
            </w:r>
            <w:r>
              <w:rPr>
                <w:rFonts w:hint="eastAsia" w:ascii="宋体" w:hAnsi="宋体" w:cs="宋体"/>
                <w:kern w:val="0"/>
                <w:sz w:val="18"/>
                <w:szCs w:val="18"/>
              </w:rPr>
              <w:t>加速灵敏度V/G:1伏/微帕</w:t>
            </w:r>
          </w:p>
          <w:p w14:paraId="23E7637A">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3.</w:t>
            </w:r>
            <w:r>
              <w:rPr>
                <w:rFonts w:hint="eastAsia" w:ascii="宋体" w:hAnsi="宋体" w:cs="宋体"/>
                <w:kern w:val="0"/>
                <w:sz w:val="18"/>
                <w:szCs w:val="18"/>
              </w:rPr>
              <w:t>响应频率：1Hz～10Hz</w:t>
            </w:r>
          </w:p>
          <w:p w14:paraId="3293BB12">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4.</w:t>
            </w:r>
            <w:r>
              <w:rPr>
                <w:rFonts w:hint="eastAsia" w:ascii="宋体" w:hAnsi="宋体" w:cs="宋体"/>
                <w:kern w:val="0"/>
                <w:sz w:val="18"/>
                <w:szCs w:val="18"/>
              </w:rPr>
              <w:t>有效水浸深度：</w:t>
            </w:r>
            <w:r>
              <w:rPr>
                <w:rFonts w:hint="eastAsia" w:ascii="微软雅黑" w:hAnsi="微软雅黑" w:eastAsia="微软雅黑" w:cs="微软雅黑"/>
                <w:kern w:val="0"/>
                <w:sz w:val="18"/>
                <w:szCs w:val="18"/>
                <w:lang w:eastAsia="zh-CN"/>
              </w:rPr>
              <w:t>&lt;</w:t>
            </w:r>
            <w:r>
              <w:rPr>
                <w:rFonts w:hint="eastAsia" w:ascii="宋体" w:hAnsi="宋体" w:cs="宋体"/>
                <w:kern w:val="0"/>
                <w:sz w:val="18"/>
                <w:szCs w:val="18"/>
              </w:rPr>
              <w:t>0.4m</w:t>
            </w:r>
          </w:p>
          <w:p w14:paraId="7F3E4F10">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5.</w:t>
            </w:r>
            <w:r>
              <w:rPr>
                <w:rFonts w:hint="eastAsia" w:ascii="宋体" w:hAnsi="宋体" w:cs="宋体"/>
                <w:kern w:val="0"/>
                <w:sz w:val="18"/>
                <w:szCs w:val="18"/>
              </w:rPr>
              <w:t>电池使用寿命：不低于5年</w:t>
            </w:r>
          </w:p>
          <w:p w14:paraId="188F0201">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6.</w:t>
            </w:r>
            <w:r>
              <w:rPr>
                <w:rFonts w:hint="eastAsia" w:ascii="宋体" w:hAnsi="宋体" w:cs="宋体"/>
                <w:kern w:val="0"/>
                <w:sz w:val="18"/>
                <w:szCs w:val="18"/>
              </w:rPr>
              <w:t>防护等级：IP68</w:t>
            </w:r>
          </w:p>
          <w:p w14:paraId="535B8B2B">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7.</w:t>
            </w:r>
            <w:r>
              <w:rPr>
                <w:rFonts w:hint="eastAsia" w:ascii="宋体" w:hAnsi="宋体" w:cs="宋体"/>
                <w:kern w:val="0"/>
                <w:sz w:val="18"/>
                <w:szCs w:val="18"/>
              </w:rPr>
              <w:t>抗腐蚀试验应符合GB</w:t>
            </w:r>
            <w:r>
              <w:rPr>
                <w:rFonts w:hint="eastAsia" w:ascii="宋体" w:hAnsi="宋体" w:cs="宋体"/>
                <w:kern w:val="0"/>
                <w:sz w:val="18"/>
                <w:szCs w:val="18"/>
                <w:lang w:val="en-US" w:eastAsia="zh-CN"/>
              </w:rPr>
              <w:t>/</w:t>
            </w:r>
            <w:r>
              <w:rPr>
                <w:rFonts w:hint="eastAsia" w:ascii="宋体" w:hAnsi="宋体" w:cs="宋体"/>
                <w:kern w:val="0"/>
                <w:sz w:val="18"/>
                <w:szCs w:val="18"/>
              </w:rPr>
              <w:t>T</w:t>
            </w:r>
            <w:r>
              <w:rPr>
                <w:rFonts w:hint="eastAsia" w:ascii="宋体" w:hAnsi="宋体" w:cs="宋体"/>
                <w:kern w:val="0"/>
                <w:sz w:val="18"/>
                <w:szCs w:val="18"/>
                <w:lang w:val="en-US" w:eastAsia="zh-CN"/>
              </w:rPr>
              <w:t xml:space="preserve"> </w:t>
            </w:r>
            <w:r>
              <w:rPr>
                <w:rFonts w:hint="eastAsia" w:ascii="宋体" w:hAnsi="宋体" w:cs="宋体"/>
                <w:kern w:val="0"/>
                <w:sz w:val="18"/>
                <w:szCs w:val="18"/>
              </w:rPr>
              <w:t>41401的相关规定</w:t>
            </w:r>
          </w:p>
        </w:tc>
      </w:tr>
      <w:tr w14:paraId="1C007B46">
        <w:tblPrEx>
          <w:tblCellMar>
            <w:top w:w="0" w:type="dxa"/>
            <w:left w:w="108" w:type="dxa"/>
            <w:bottom w:w="0" w:type="dxa"/>
            <w:right w:w="108" w:type="dxa"/>
          </w:tblCellMar>
        </w:tblPrEx>
        <w:trPr>
          <w:trHeight w:val="637" w:hRule="atLeast"/>
        </w:trPr>
        <w:tc>
          <w:tcPr>
            <w:tcW w:w="821" w:type="pct"/>
            <w:vMerge w:val="continue"/>
            <w:tcBorders>
              <w:top w:val="single" w:color="auto" w:sz="4" w:space="0"/>
              <w:left w:val="single" w:color="auto" w:sz="4" w:space="0"/>
              <w:bottom w:val="single" w:color="auto" w:sz="4" w:space="0"/>
              <w:right w:val="single" w:color="auto" w:sz="4" w:space="0"/>
            </w:tcBorders>
            <w:vAlign w:val="center"/>
          </w:tcPr>
          <w:p w14:paraId="0582B979">
            <w:pPr>
              <w:widowControl/>
              <w:spacing w:beforeLines="0" w:afterLines="0" w:line="240" w:lineRule="auto"/>
              <w:jc w:val="left"/>
              <w:rPr>
                <w:rFonts w:ascii="宋体" w:hAnsi="宋体" w:cs="宋体"/>
                <w:kern w:val="0"/>
                <w:sz w:val="18"/>
                <w:szCs w:val="18"/>
              </w:rPr>
            </w:pPr>
          </w:p>
        </w:tc>
        <w:tc>
          <w:tcPr>
            <w:tcW w:w="814" w:type="pct"/>
            <w:vMerge w:val="restart"/>
            <w:tcBorders>
              <w:top w:val="single" w:color="auto" w:sz="4" w:space="0"/>
              <w:left w:val="single" w:color="auto" w:sz="4" w:space="0"/>
              <w:bottom w:val="single" w:color="auto" w:sz="4" w:space="0"/>
              <w:right w:val="single" w:color="auto" w:sz="4" w:space="0"/>
            </w:tcBorders>
            <w:vAlign w:val="center"/>
          </w:tcPr>
          <w:p w14:paraId="184E2E25">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水质</w:t>
            </w:r>
          </w:p>
        </w:tc>
        <w:tc>
          <w:tcPr>
            <w:tcW w:w="1072" w:type="pct"/>
            <w:tcBorders>
              <w:top w:val="single" w:color="auto" w:sz="4" w:space="0"/>
              <w:left w:val="single" w:color="auto" w:sz="4" w:space="0"/>
              <w:bottom w:val="single" w:color="auto" w:sz="4" w:space="0"/>
              <w:right w:val="single" w:color="auto" w:sz="4" w:space="0"/>
            </w:tcBorders>
            <w:vAlign w:val="center"/>
          </w:tcPr>
          <w:p w14:paraId="5D99C172">
            <w:pPr>
              <w:widowControl/>
              <w:spacing w:beforeLines="0" w:afterLines="0" w:line="240" w:lineRule="auto"/>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pH</w:t>
            </w:r>
          </w:p>
        </w:tc>
        <w:tc>
          <w:tcPr>
            <w:tcW w:w="2291" w:type="pct"/>
            <w:tcBorders>
              <w:top w:val="single" w:color="auto" w:sz="4" w:space="0"/>
              <w:left w:val="single" w:color="auto" w:sz="4" w:space="0"/>
              <w:bottom w:val="single" w:color="auto" w:sz="4" w:space="0"/>
              <w:right w:val="single" w:color="auto" w:sz="4" w:space="0"/>
            </w:tcBorders>
            <w:vAlign w:val="center"/>
          </w:tcPr>
          <w:p w14:paraId="25BAAB29">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1.测试范围：2～14；</w:t>
            </w:r>
          </w:p>
          <w:p w14:paraId="5E073C12">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2.分辨率：最小0.001；</w:t>
            </w:r>
          </w:p>
          <w:p w14:paraId="3B841730">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3.响应时间：小于20s；</w:t>
            </w:r>
          </w:p>
          <w:p w14:paraId="4C3FB3C2">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p w14:paraId="5806AA0E">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5.防护等级：不低于IP68。</w:t>
            </w:r>
          </w:p>
        </w:tc>
      </w:tr>
      <w:tr w14:paraId="55453CDA">
        <w:tblPrEx>
          <w:tblCellMar>
            <w:top w:w="0" w:type="dxa"/>
            <w:left w:w="108" w:type="dxa"/>
            <w:bottom w:w="0" w:type="dxa"/>
            <w:right w:w="108" w:type="dxa"/>
          </w:tblCellMar>
        </w:tblPrEx>
        <w:trPr>
          <w:trHeight w:val="637" w:hRule="atLeast"/>
        </w:trPr>
        <w:tc>
          <w:tcPr>
            <w:tcW w:w="821" w:type="pct"/>
            <w:vMerge w:val="continue"/>
            <w:tcBorders>
              <w:top w:val="single" w:color="auto" w:sz="4" w:space="0"/>
              <w:left w:val="single" w:color="auto" w:sz="4" w:space="0"/>
              <w:bottom w:val="single" w:color="auto" w:sz="4" w:space="0"/>
              <w:right w:val="single" w:color="auto" w:sz="4" w:space="0"/>
            </w:tcBorders>
            <w:vAlign w:val="center"/>
          </w:tcPr>
          <w:p w14:paraId="63C1FF39">
            <w:pPr>
              <w:widowControl/>
              <w:spacing w:beforeLines="0" w:afterLines="0" w:line="240" w:lineRule="auto"/>
              <w:jc w:val="left"/>
              <w:rPr>
                <w:rFonts w:ascii="宋体" w:hAnsi="宋体" w:cs="宋体"/>
                <w:kern w:val="0"/>
                <w:sz w:val="18"/>
                <w:szCs w:val="18"/>
              </w:rPr>
            </w:pPr>
          </w:p>
        </w:tc>
        <w:tc>
          <w:tcPr>
            <w:tcW w:w="814" w:type="pct"/>
            <w:vMerge w:val="continue"/>
            <w:tcBorders>
              <w:top w:val="single" w:color="auto" w:sz="4" w:space="0"/>
              <w:left w:val="single" w:color="auto" w:sz="4" w:space="0"/>
              <w:bottom w:val="single" w:color="auto" w:sz="4" w:space="0"/>
              <w:right w:val="single" w:color="auto" w:sz="4" w:space="0"/>
            </w:tcBorders>
            <w:vAlign w:val="center"/>
          </w:tcPr>
          <w:p w14:paraId="311453A0">
            <w:pPr>
              <w:widowControl/>
              <w:spacing w:beforeLines="0" w:afterLines="0" w:line="240" w:lineRule="auto"/>
              <w:jc w:val="center"/>
              <w:rPr>
                <w:rFonts w:ascii="宋体" w:hAnsi="宋体" w:cs="宋体"/>
                <w:kern w:val="0"/>
                <w:sz w:val="18"/>
                <w:szCs w:val="18"/>
              </w:rPr>
            </w:pPr>
          </w:p>
        </w:tc>
        <w:tc>
          <w:tcPr>
            <w:tcW w:w="1072" w:type="pct"/>
            <w:tcBorders>
              <w:top w:val="single" w:color="auto" w:sz="4" w:space="0"/>
              <w:left w:val="single" w:color="auto" w:sz="4" w:space="0"/>
              <w:bottom w:val="single" w:color="auto" w:sz="4" w:space="0"/>
              <w:right w:val="single" w:color="auto" w:sz="4" w:space="0"/>
            </w:tcBorders>
            <w:vAlign w:val="center"/>
          </w:tcPr>
          <w:p w14:paraId="13450749">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氨氮</w:t>
            </w:r>
          </w:p>
        </w:tc>
        <w:tc>
          <w:tcPr>
            <w:tcW w:w="2291" w:type="pct"/>
            <w:tcBorders>
              <w:top w:val="single" w:color="auto" w:sz="4" w:space="0"/>
              <w:left w:val="single" w:color="auto" w:sz="4" w:space="0"/>
              <w:bottom w:val="single" w:color="auto" w:sz="4" w:space="0"/>
              <w:right w:val="single" w:color="auto" w:sz="4" w:space="0"/>
            </w:tcBorders>
            <w:vAlign w:val="center"/>
          </w:tcPr>
          <w:p w14:paraId="447B162F">
            <w:pPr>
              <w:widowControl/>
              <w:spacing w:beforeLines="0" w:afterLines="0" w:line="240" w:lineRule="auto"/>
              <w:jc w:val="left"/>
              <w:rPr>
                <w:rFonts w:hint="eastAsia" w:ascii="宋体" w:hAnsi="宋体" w:eastAsia="宋体" w:cs="宋体"/>
                <w:kern w:val="0"/>
                <w:sz w:val="18"/>
                <w:szCs w:val="18"/>
                <w:lang w:eastAsia="zh-CN"/>
              </w:rPr>
            </w:pPr>
            <w:r>
              <mc:AlternateContent>
                <mc:Choice Requires="wps">
                  <w:drawing>
                    <wp:anchor distT="0" distB="0" distL="114300" distR="114300" simplePos="0" relativeHeight="251677696" behindDoc="0" locked="0" layoutInCell="1" allowOverlap="1">
                      <wp:simplePos x="0" y="0"/>
                      <wp:positionH relativeFrom="column">
                        <wp:posOffset>624205</wp:posOffset>
                      </wp:positionH>
                      <wp:positionV relativeFrom="paragraph">
                        <wp:posOffset>-497840</wp:posOffset>
                      </wp:positionV>
                      <wp:extent cx="498475" cy="274955"/>
                      <wp:effectExtent l="0" t="0" r="15875" b="10795"/>
                      <wp:wrapNone/>
                      <wp:docPr id="39" name="文本框 39"/>
                      <wp:cNvGraphicFramePr/>
                      <a:graphic xmlns:a="http://schemas.openxmlformats.org/drawingml/2006/main">
                        <a:graphicData uri="http://schemas.microsoft.com/office/word/2010/wordprocessingShape">
                          <wps:wsp>
                            <wps:cNvSpPr txBox="1"/>
                            <wps:spPr>
                              <a:xfrm>
                                <a:off x="0" y="0"/>
                                <a:ext cx="498475" cy="274955"/>
                              </a:xfrm>
                              <a:prstGeom prst="rect">
                                <a:avLst/>
                              </a:prstGeom>
                              <a:solidFill>
                                <a:srgbClr val="FFFFFF"/>
                              </a:solidFill>
                              <a:ln>
                                <a:noFill/>
                              </a:ln>
                            </wps:spPr>
                            <wps:txbx>
                              <w:txbxContent>
                                <w:p w14:paraId="79DE01B9">
                                  <w:pPr>
                                    <w:rPr>
                                      <w:rFonts w:hint="eastAsia" w:ascii="黑体" w:hAnsi="黑体" w:eastAsia="黑体" w:cs="黑体"/>
                                    </w:rPr>
                                  </w:pPr>
                                  <w:r>
                                    <w:rPr>
                                      <w:rFonts w:hint="eastAsia" w:ascii="黑体" w:hAnsi="黑体" w:eastAsia="黑体" w:cs="黑体"/>
                                    </w:rPr>
                                    <w:t>（续）</w:t>
                                  </w:r>
                                </w:p>
                              </w:txbxContent>
                            </wps:txbx>
                            <wps:bodyPr lIns="0" tIns="0" rIns="0" bIns="0" anchor="t" anchorCtr="0" upright="1"/>
                          </wps:wsp>
                        </a:graphicData>
                      </a:graphic>
                    </wp:anchor>
                  </w:drawing>
                </mc:Choice>
                <mc:Fallback>
                  <w:pict>
                    <v:shape id="_x0000_s1026" o:spid="_x0000_s1026" o:spt="202" type="#_x0000_t202" style="position:absolute;left:0pt;margin-left:49.15pt;margin-top:-39.2pt;height:21.65pt;width:39.25pt;z-index:251677696;mso-width-relative:page;mso-height-relative:page;" fillcolor="#FFFFFF" filled="t" stroked="f" coordsize="21600,21600" o:gfxdata="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E94YHfZAAAACgEAAA8A&#10;AAAAAAAAAQAgAAAAIgAAAGRycy9kb3ducmV2LnhtbFBLAQIUABQAAAAIAIdO4kDDviQ33QEAALUD&#10;AAAOAAAAAAAAAAEAIAAAACgBAABkcnMvZTJvRG9jLnhtbFBLBQYAAAAABgAGAFkBAAB3BQAAAAA=&#10;">
                      <v:fill on="t" focussize="0,0"/>
                      <v:stroke on="f"/>
                      <v:imagedata o:title=""/>
                      <o:lock v:ext="edit" aspectratio="f"/>
                      <v:textbox inset="0mm,0mm,0mm,0mm">
                        <w:txbxContent>
                          <w:p w14:paraId="79DE01B9">
                            <w:pPr>
                              <w:rPr>
                                <w:rFonts w:hint="eastAsia" w:ascii="黑体" w:hAnsi="黑体" w:eastAsia="黑体" w:cs="黑体"/>
                              </w:rPr>
                            </w:pPr>
                            <w:r>
                              <w:rPr>
                                <w:rFonts w:hint="eastAsia" w:ascii="黑体" w:hAnsi="黑体" w:eastAsia="黑体" w:cs="黑体"/>
                              </w:rPr>
                              <w:t>（续）</w:t>
                            </w:r>
                          </w:p>
                        </w:txbxContent>
                      </v:textbox>
                    </v:shape>
                  </w:pict>
                </mc:Fallback>
              </mc:AlternateContent>
            </w:r>
            <w:r>
              <w:rPr>
                <w:rFonts w:hint="eastAsia" w:ascii="宋体" w:hAnsi="宋体" w:cs="宋体"/>
                <w:kern w:val="0"/>
                <w:sz w:val="18"/>
                <w:szCs w:val="18"/>
              </w:rPr>
              <w:t>1.测量量程：（0～1000）mg/L；</w:t>
            </w:r>
          </w:p>
          <w:p w14:paraId="7E170A4E">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2.测量精度：±3%FS；</w:t>
            </w:r>
          </w:p>
          <w:p w14:paraId="13545711">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3.环境温度：（5～40）℃；</w:t>
            </w:r>
          </w:p>
          <w:p w14:paraId="4AC33C35">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4.使用寿命：</w:t>
            </w:r>
            <w:r>
              <w:rPr>
                <w:rFonts w:hint="eastAsia" w:ascii="宋体" w:hAnsi="宋体" w:cs="宋体"/>
                <w:kern w:val="0"/>
                <w:sz w:val="18"/>
                <w:szCs w:val="18"/>
                <w:lang w:eastAsia="zh-CN"/>
              </w:rPr>
              <w:t>不低于</w:t>
            </w:r>
            <w:r>
              <w:rPr>
                <w:rFonts w:hint="eastAsia" w:ascii="宋体" w:hAnsi="宋体" w:cs="宋体"/>
                <w:kern w:val="0"/>
                <w:sz w:val="18"/>
                <w:szCs w:val="18"/>
              </w:rPr>
              <w:t>1年；</w:t>
            </w:r>
          </w:p>
          <w:p w14:paraId="437942AA">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5.防护等级：不低于IP68。</w:t>
            </w:r>
          </w:p>
        </w:tc>
      </w:tr>
      <w:tr w14:paraId="4B1E214E">
        <w:tblPrEx>
          <w:tblCellMar>
            <w:top w:w="0" w:type="dxa"/>
            <w:left w:w="108" w:type="dxa"/>
            <w:bottom w:w="0" w:type="dxa"/>
            <w:right w:w="108" w:type="dxa"/>
          </w:tblCellMar>
        </w:tblPrEx>
        <w:trPr>
          <w:trHeight w:val="637" w:hRule="atLeast"/>
        </w:trPr>
        <w:tc>
          <w:tcPr>
            <w:tcW w:w="821" w:type="pct"/>
            <w:vMerge w:val="continue"/>
            <w:tcBorders>
              <w:top w:val="single" w:color="auto" w:sz="4" w:space="0"/>
              <w:left w:val="single" w:color="auto" w:sz="4" w:space="0"/>
              <w:bottom w:val="single" w:color="auto" w:sz="4" w:space="0"/>
              <w:right w:val="single" w:color="auto" w:sz="4" w:space="0"/>
            </w:tcBorders>
            <w:vAlign w:val="center"/>
          </w:tcPr>
          <w:p w14:paraId="4D46B97F">
            <w:pPr>
              <w:widowControl/>
              <w:spacing w:beforeLines="0" w:afterLines="0" w:line="240" w:lineRule="auto"/>
              <w:jc w:val="left"/>
              <w:rPr>
                <w:rFonts w:ascii="宋体" w:hAnsi="宋体" w:cs="宋体"/>
                <w:kern w:val="0"/>
                <w:sz w:val="18"/>
                <w:szCs w:val="18"/>
              </w:rPr>
            </w:pPr>
          </w:p>
        </w:tc>
        <w:tc>
          <w:tcPr>
            <w:tcW w:w="814" w:type="pct"/>
            <w:vMerge w:val="continue"/>
            <w:tcBorders>
              <w:top w:val="single" w:color="auto" w:sz="4" w:space="0"/>
              <w:left w:val="single" w:color="auto" w:sz="4" w:space="0"/>
              <w:bottom w:val="single" w:color="auto" w:sz="4" w:space="0"/>
              <w:right w:val="single" w:color="auto" w:sz="4" w:space="0"/>
            </w:tcBorders>
            <w:vAlign w:val="center"/>
          </w:tcPr>
          <w:p w14:paraId="28287FAF">
            <w:pPr>
              <w:widowControl/>
              <w:spacing w:beforeLines="0" w:afterLines="0" w:line="240" w:lineRule="auto"/>
              <w:jc w:val="center"/>
              <w:rPr>
                <w:rFonts w:ascii="宋体" w:hAnsi="宋体" w:cs="宋体"/>
                <w:kern w:val="0"/>
                <w:sz w:val="18"/>
                <w:szCs w:val="18"/>
              </w:rPr>
            </w:pPr>
          </w:p>
        </w:tc>
        <w:tc>
          <w:tcPr>
            <w:tcW w:w="1072" w:type="pct"/>
            <w:tcBorders>
              <w:top w:val="single" w:color="auto" w:sz="4" w:space="0"/>
              <w:left w:val="single" w:color="auto" w:sz="4" w:space="0"/>
              <w:bottom w:val="single" w:color="auto" w:sz="4" w:space="0"/>
              <w:right w:val="single" w:color="auto" w:sz="4" w:space="0"/>
            </w:tcBorders>
            <w:vAlign w:val="center"/>
          </w:tcPr>
          <w:p w14:paraId="4155D40E">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CODcr</w:t>
            </w:r>
          </w:p>
        </w:tc>
        <w:tc>
          <w:tcPr>
            <w:tcW w:w="2291" w:type="pct"/>
            <w:tcBorders>
              <w:top w:val="single" w:color="auto" w:sz="4" w:space="0"/>
              <w:left w:val="single" w:color="auto" w:sz="4" w:space="0"/>
              <w:bottom w:val="single" w:color="auto" w:sz="4" w:space="0"/>
              <w:right w:val="single" w:color="auto" w:sz="4" w:space="0"/>
            </w:tcBorders>
            <w:vAlign w:val="center"/>
          </w:tcPr>
          <w:p w14:paraId="03BD634C">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1.测量范围：（10～5000）mg/L；</w:t>
            </w:r>
          </w:p>
          <w:p w14:paraId="6DF7D1D0">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2.重现性：5%；</w:t>
            </w:r>
          </w:p>
          <w:p w14:paraId="251CBF32">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3.稳定性：±5%；</w:t>
            </w:r>
          </w:p>
          <w:p w14:paraId="6B14B8E2">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4.工作温度：（5～40）℃；</w:t>
            </w:r>
          </w:p>
          <w:p w14:paraId="068E4044">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5.测量间隔：≤30min；</w:t>
            </w:r>
          </w:p>
          <w:p w14:paraId="0C233E2E">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6.使用寿命：</w:t>
            </w:r>
            <w:r>
              <w:rPr>
                <w:rFonts w:hint="eastAsia" w:ascii="宋体" w:hAnsi="宋体" w:cs="宋体"/>
                <w:kern w:val="0"/>
                <w:sz w:val="18"/>
                <w:szCs w:val="18"/>
                <w:lang w:eastAsia="zh-CN"/>
              </w:rPr>
              <w:t>不低于</w:t>
            </w:r>
            <w:r>
              <w:rPr>
                <w:rFonts w:hint="eastAsia" w:ascii="宋体" w:hAnsi="宋体" w:cs="宋体"/>
                <w:kern w:val="0"/>
                <w:sz w:val="18"/>
                <w:szCs w:val="18"/>
              </w:rPr>
              <w:t>1年；</w:t>
            </w:r>
          </w:p>
          <w:p w14:paraId="59BC8315">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7.防护等级：不低于IP68。</w:t>
            </w:r>
          </w:p>
        </w:tc>
      </w:tr>
      <w:tr w14:paraId="74AEB30D">
        <w:tblPrEx>
          <w:tblCellMar>
            <w:top w:w="0" w:type="dxa"/>
            <w:left w:w="108" w:type="dxa"/>
            <w:bottom w:w="0" w:type="dxa"/>
            <w:right w:w="108" w:type="dxa"/>
          </w:tblCellMar>
        </w:tblPrEx>
        <w:trPr>
          <w:trHeight w:val="1575" w:hRule="atLeast"/>
        </w:trPr>
        <w:tc>
          <w:tcPr>
            <w:tcW w:w="821" w:type="pct"/>
            <w:vMerge w:val="continue"/>
            <w:tcBorders>
              <w:top w:val="single" w:color="auto" w:sz="4" w:space="0"/>
              <w:left w:val="single" w:color="auto" w:sz="4" w:space="0"/>
              <w:bottom w:val="single" w:color="auto" w:sz="4" w:space="0"/>
              <w:right w:val="single" w:color="auto" w:sz="4" w:space="0"/>
            </w:tcBorders>
            <w:vAlign w:val="center"/>
          </w:tcPr>
          <w:p w14:paraId="101AF3CA">
            <w:pPr>
              <w:widowControl/>
              <w:spacing w:beforeLines="0" w:afterLines="0" w:line="240" w:lineRule="auto"/>
              <w:jc w:val="left"/>
              <w:rPr>
                <w:rFonts w:ascii="宋体" w:hAnsi="宋体" w:cs="宋体"/>
                <w:kern w:val="0"/>
                <w:sz w:val="18"/>
                <w:szCs w:val="18"/>
              </w:rPr>
            </w:pPr>
          </w:p>
        </w:tc>
        <w:tc>
          <w:tcPr>
            <w:tcW w:w="814" w:type="pct"/>
            <w:vMerge w:val="continue"/>
            <w:tcBorders>
              <w:top w:val="single" w:color="auto" w:sz="4" w:space="0"/>
              <w:left w:val="single" w:color="auto" w:sz="4" w:space="0"/>
              <w:bottom w:val="single" w:color="auto" w:sz="4" w:space="0"/>
              <w:right w:val="single" w:color="auto" w:sz="4" w:space="0"/>
            </w:tcBorders>
            <w:vAlign w:val="center"/>
          </w:tcPr>
          <w:p w14:paraId="7C0CA21A">
            <w:pPr>
              <w:widowControl/>
              <w:spacing w:beforeLines="0" w:afterLines="0" w:line="240" w:lineRule="auto"/>
              <w:jc w:val="left"/>
              <w:rPr>
                <w:rFonts w:ascii="宋体" w:hAnsi="宋体" w:cs="宋体"/>
                <w:kern w:val="0"/>
                <w:sz w:val="18"/>
                <w:szCs w:val="18"/>
              </w:rPr>
            </w:pPr>
          </w:p>
        </w:tc>
        <w:tc>
          <w:tcPr>
            <w:tcW w:w="1072" w:type="pct"/>
            <w:tcBorders>
              <w:top w:val="single" w:color="auto" w:sz="4" w:space="0"/>
              <w:left w:val="single" w:color="auto" w:sz="4" w:space="0"/>
              <w:bottom w:val="single" w:color="auto" w:sz="4" w:space="0"/>
              <w:right w:val="single" w:color="auto" w:sz="4" w:space="0"/>
            </w:tcBorders>
            <w:vAlign w:val="center"/>
          </w:tcPr>
          <w:p w14:paraId="1266ED6A">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总磷</w:t>
            </w:r>
          </w:p>
        </w:tc>
        <w:tc>
          <w:tcPr>
            <w:tcW w:w="2291" w:type="pct"/>
            <w:tcBorders>
              <w:top w:val="single" w:color="auto" w:sz="4" w:space="0"/>
              <w:left w:val="single" w:color="auto" w:sz="4" w:space="0"/>
              <w:bottom w:val="single" w:color="auto" w:sz="4" w:space="0"/>
              <w:right w:val="single" w:color="auto" w:sz="4" w:space="0"/>
            </w:tcBorders>
            <w:vAlign w:val="center"/>
          </w:tcPr>
          <w:p w14:paraId="75A86D4F">
            <w:pPr>
              <w:widowControl/>
              <w:numPr>
                <w:ilvl w:val="-1"/>
                <w:numId w:val="0"/>
              </w:numPr>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1.</w:t>
            </w:r>
            <w:r>
              <w:rPr>
                <w:rFonts w:hint="eastAsia" w:ascii="宋体" w:hAnsi="宋体" w:cs="宋体"/>
                <w:kern w:val="0"/>
                <w:sz w:val="18"/>
                <w:szCs w:val="18"/>
              </w:rPr>
              <w:t>测量范围：（0～50）mg/L；</w:t>
            </w:r>
          </w:p>
          <w:p w14:paraId="5E0EB018">
            <w:pPr>
              <w:widowControl/>
              <w:numPr>
                <w:ilvl w:val="-1"/>
                <w:numId w:val="0"/>
              </w:numPr>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2.</w:t>
            </w:r>
            <w:r>
              <w:rPr>
                <w:rFonts w:hint="eastAsia" w:ascii="宋体" w:hAnsi="宋体" w:cs="宋体"/>
                <w:kern w:val="0"/>
                <w:sz w:val="18"/>
                <w:szCs w:val="18"/>
              </w:rPr>
              <w:t>重现性：10%；</w:t>
            </w:r>
          </w:p>
          <w:p w14:paraId="3AC0453A">
            <w:pPr>
              <w:widowControl/>
              <w:numPr>
                <w:ilvl w:val="-1"/>
                <w:numId w:val="0"/>
              </w:numPr>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3.</w:t>
            </w:r>
            <w:r>
              <w:rPr>
                <w:rFonts w:hint="eastAsia" w:ascii="宋体" w:hAnsi="宋体" w:cs="宋体"/>
                <w:kern w:val="0"/>
                <w:sz w:val="18"/>
                <w:szCs w:val="18"/>
              </w:rPr>
              <w:t>精确度：±5%；</w:t>
            </w:r>
          </w:p>
          <w:p w14:paraId="19EBB36D">
            <w:pPr>
              <w:widowControl/>
              <w:numPr>
                <w:ilvl w:val="-1"/>
                <w:numId w:val="0"/>
              </w:numPr>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4.</w:t>
            </w:r>
            <w:r>
              <w:rPr>
                <w:rFonts w:hint="eastAsia" w:ascii="宋体" w:hAnsi="宋体" w:cs="宋体"/>
                <w:kern w:val="0"/>
                <w:sz w:val="18"/>
                <w:szCs w:val="18"/>
              </w:rPr>
              <w:t>测量周期：最小测量周期40min；</w:t>
            </w:r>
          </w:p>
          <w:p w14:paraId="354D9221">
            <w:pPr>
              <w:widowControl/>
              <w:numPr>
                <w:ilvl w:val="-1"/>
                <w:numId w:val="0"/>
              </w:numPr>
              <w:spacing w:beforeLines="0" w:afterLines="0" w:line="240" w:lineRule="auto"/>
              <w:jc w:val="left"/>
              <w:rPr>
                <w:rFonts w:ascii="宋体" w:hAnsi="宋体" w:cs="宋体"/>
                <w:kern w:val="0"/>
                <w:sz w:val="18"/>
                <w:szCs w:val="18"/>
              </w:rPr>
            </w:pPr>
            <w:r>
              <w:rPr>
                <w:rFonts w:hint="eastAsia" w:ascii="宋体" w:hAnsi="宋体" w:cs="宋体"/>
                <w:kern w:val="0"/>
                <w:sz w:val="18"/>
                <w:szCs w:val="18"/>
              </w:rPr>
              <w:t>5.最低检出限：≤0.01mg/L；</w:t>
            </w:r>
          </w:p>
          <w:p w14:paraId="1DCDDEFE">
            <w:pPr>
              <w:widowControl/>
              <w:numPr>
                <w:ilvl w:val="-1"/>
                <w:numId w:val="0"/>
              </w:numPr>
              <w:spacing w:beforeLines="0" w:afterLines="0" w:line="240" w:lineRule="auto"/>
              <w:jc w:val="left"/>
              <w:rPr>
                <w:rFonts w:hint="eastAsia" w:ascii="宋体" w:hAnsi="宋体" w:cs="宋体"/>
                <w:kern w:val="0"/>
                <w:sz w:val="18"/>
                <w:szCs w:val="18"/>
              </w:rPr>
            </w:pPr>
            <w:r>
              <w:rPr>
                <w:rFonts w:hint="eastAsia" w:ascii="宋体" w:hAnsi="宋体" w:cs="宋体"/>
                <w:kern w:val="0"/>
                <w:sz w:val="18"/>
                <w:szCs w:val="18"/>
              </w:rPr>
              <w:t>6.使用寿命：</w:t>
            </w:r>
            <w:r>
              <w:rPr>
                <w:rFonts w:hint="eastAsia" w:ascii="宋体" w:hAnsi="宋体" w:cs="宋体"/>
                <w:kern w:val="0"/>
                <w:sz w:val="18"/>
                <w:szCs w:val="18"/>
                <w:lang w:eastAsia="zh-CN"/>
              </w:rPr>
              <w:t>不低于</w:t>
            </w:r>
            <w:r>
              <w:rPr>
                <w:rFonts w:hint="eastAsia" w:ascii="宋体" w:hAnsi="宋体" w:cs="宋体"/>
                <w:kern w:val="0"/>
                <w:sz w:val="18"/>
                <w:szCs w:val="18"/>
              </w:rPr>
              <w:t>1年；</w:t>
            </w:r>
          </w:p>
          <w:p w14:paraId="61C29308">
            <w:pPr>
              <w:widowControl/>
              <w:numPr>
                <w:ilvl w:val="-1"/>
                <w:numId w:val="0"/>
              </w:numPr>
              <w:spacing w:beforeLines="0" w:afterLines="0" w:line="240" w:lineRule="auto"/>
              <w:jc w:val="left"/>
              <w:rPr>
                <w:rFonts w:ascii="宋体" w:hAnsi="宋体" w:cs="宋体"/>
                <w:kern w:val="0"/>
                <w:sz w:val="18"/>
                <w:szCs w:val="18"/>
              </w:rPr>
            </w:pPr>
            <w:r>
              <w:rPr>
                <w:rFonts w:hint="eastAsia" w:ascii="宋体" w:hAnsi="宋体" w:cs="宋体"/>
                <w:kern w:val="0"/>
                <w:sz w:val="18"/>
                <w:szCs w:val="18"/>
              </w:rPr>
              <w:t>7.防护等级：不低于IP68。</w:t>
            </w:r>
          </w:p>
        </w:tc>
      </w:tr>
      <w:tr w14:paraId="41B72FED">
        <w:tblPrEx>
          <w:tblCellMar>
            <w:top w:w="0" w:type="dxa"/>
            <w:left w:w="108" w:type="dxa"/>
            <w:bottom w:w="0" w:type="dxa"/>
            <w:right w:w="108" w:type="dxa"/>
          </w:tblCellMar>
        </w:tblPrEx>
        <w:trPr>
          <w:trHeight w:val="2475" w:hRule="atLeast"/>
        </w:trPr>
        <w:tc>
          <w:tcPr>
            <w:tcW w:w="821" w:type="pct"/>
            <w:vMerge w:val="continue"/>
            <w:tcBorders>
              <w:top w:val="single" w:color="auto" w:sz="4" w:space="0"/>
              <w:left w:val="single" w:color="auto" w:sz="4" w:space="0"/>
              <w:bottom w:val="single" w:color="auto" w:sz="4" w:space="0"/>
              <w:right w:val="single" w:color="auto" w:sz="4" w:space="0"/>
            </w:tcBorders>
            <w:vAlign w:val="center"/>
          </w:tcPr>
          <w:p w14:paraId="66F6FEAA">
            <w:pPr>
              <w:widowControl/>
              <w:spacing w:beforeLines="0" w:afterLines="0" w:line="240" w:lineRule="auto"/>
              <w:jc w:val="center"/>
              <w:rPr>
                <w:rFonts w:ascii="宋体" w:hAnsi="宋体" w:cs="宋体"/>
                <w:kern w:val="0"/>
                <w:sz w:val="18"/>
                <w:szCs w:val="18"/>
              </w:rPr>
            </w:pPr>
          </w:p>
        </w:tc>
        <w:tc>
          <w:tcPr>
            <w:tcW w:w="814" w:type="pct"/>
            <w:tcBorders>
              <w:top w:val="single" w:color="auto" w:sz="4" w:space="0"/>
              <w:left w:val="single" w:color="auto" w:sz="4" w:space="0"/>
              <w:bottom w:val="single" w:color="auto" w:sz="4" w:space="0"/>
              <w:right w:val="single" w:color="auto" w:sz="4" w:space="0"/>
            </w:tcBorders>
            <w:vAlign w:val="center"/>
          </w:tcPr>
          <w:p w14:paraId="5C2A0ACA">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可燃气体浓度</w:t>
            </w:r>
          </w:p>
        </w:tc>
        <w:tc>
          <w:tcPr>
            <w:tcW w:w="3363" w:type="pct"/>
            <w:gridSpan w:val="2"/>
            <w:tcBorders>
              <w:top w:val="single" w:color="auto" w:sz="4" w:space="0"/>
              <w:left w:val="single" w:color="auto" w:sz="4" w:space="0"/>
              <w:bottom w:val="single" w:color="auto" w:sz="4" w:space="0"/>
              <w:right w:val="single" w:color="auto" w:sz="4" w:space="0"/>
            </w:tcBorders>
            <w:vAlign w:val="center"/>
          </w:tcPr>
          <w:p w14:paraId="6A492D3F">
            <w:pPr>
              <w:widowControl/>
              <w:spacing w:beforeLines="0" w:afterLines="0" w:line="240" w:lineRule="auto"/>
              <w:jc w:val="left"/>
              <w:rPr>
                <w:rFonts w:hint="eastAsia" w:ascii="宋体" w:hAnsi="宋体" w:eastAsia="宋体" w:cs="宋体"/>
                <w:kern w:val="0"/>
                <w:sz w:val="18"/>
                <w:szCs w:val="18"/>
                <w:highlight w:val="none"/>
                <w:lang w:eastAsia="zh-CN"/>
              </w:rPr>
            </w:pPr>
            <w:r>
              <w:rPr>
                <w:rFonts w:hint="eastAsia" w:ascii="宋体" w:hAnsi="宋体" w:cs="宋体"/>
                <w:kern w:val="0"/>
                <w:sz w:val="18"/>
                <w:szCs w:val="18"/>
              </w:rPr>
              <w:t>1.量程</w:t>
            </w:r>
            <w:r>
              <w:rPr>
                <w:rFonts w:hint="eastAsia" w:ascii="宋体" w:hAnsi="宋体" w:cs="宋体"/>
                <w:kern w:val="0"/>
                <w:sz w:val="18"/>
                <w:szCs w:val="18"/>
                <w:highlight w:val="none"/>
              </w:rPr>
              <w:t>：</w:t>
            </w:r>
            <w:r>
              <w:rPr>
                <w:rFonts w:hint="eastAsia" w:ascii="宋体" w:hAnsi="宋体" w:cs="宋体"/>
                <w:kern w:val="0"/>
                <w:sz w:val="18"/>
                <w:szCs w:val="18"/>
                <w:highlight w:val="none"/>
                <w:lang w:val="en-US" w:eastAsia="zh-CN"/>
              </w:rPr>
              <w:t>不低于</w:t>
            </w:r>
            <w:r>
              <w:rPr>
                <w:rFonts w:hint="eastAsia" w:ascii="宋体" w:hAnsi="宋体" w:cs="宋体"/>
                <w:kern w:val="0"/>
                <w:sz w:val="18"/>
                <w:szCs w:val="18"/>
                <w:highlight w:val="none"/>
              </w:rPr>
              <w:t>0～</w:t>
            </w:r>
            <w:r>
              <w:rPr>
                <w:rFonts w:hint="eastAsia" w:ascii="宋体" w:hAnsi="宋体" w:cs="宋体"/>
                <w:kern w:val="0"/>
                <w:sz w:val="18"/>
                <w:szCs w:val="18"/>
                <w:highlight w:val="none"/>
                <w:lang w:val="en-US" w:eastAsia="zh-CN"/>
              </w:rPr>
              <w:t>20</w:t>
            </w:r>
            <w:r>
              <w:rPr>
                <w:rFonts w:hint="eastAsia" w:ascii="宋体" w:hAnsi="宋体" w:cs="宋体"/>
                <w:kern w:val="0"/>
                <w:sz w:val="18"/>
                <w:szCs w:val="18"/>
                <w:highlight w:val="none"/>
              </w:rPr>
              <w:t>%</w:t>
            </w:r>
            <w:r>
              <w:rPr>
                <w:rFonts w:hint="eastAsia" w:ascii="宋体" w:hAnsi="宋体" w:cs="宋体"/>
                <w:kern w:val="0"/>
                <w:sz w:val="18"/>
                <w:szCs w:val="18"/>
                <w:highlight w:val="none"/>
                <w:lang w:val="en-US" w:eastAsia="zh-CN"/>
              </w:rPr>
              <w:t>VOL</w:t>
            </w:r>
          </w:p>
          <w:p w14:paraId="5A01EAF2">
            <w:pPr>
              <w:widowControl/>
              <w:spacing w:beforeLines="0" w:afterLines="0" w:line="240" w:lineRule="auto"/>
              <w:jc w:val="left"/>
              <w:rPr>
                <w:rFonts w:hint="eastAsia" w:ascii="宋体" w:hAnsi="宋体" w:cs="宋体"/>
                <w:kern w:val="0"/>
                <w:sz w:val="18"/>
                <w:szCs w:val="18"/>
              </w:rPr>
            </w:pPr>
            <w:r>
              <w:rPr>
                <w:rFonts w:hint="eastAsia" w:ascii="宋体" w:hAnsi="宋体" w:cs="宋体"/>
                <w:kern w:val="0"/>
                <w:sz w:val="18"/>
                <w:szCs w:val="18"/>
                <w:lang w:val="en-US" w:eastAsia="zh-CN"/>
              </w:rPr>
              <w:t>2</w:t>
            </w:r>
            <w:r>
              <w:rPr>
                <w:rFonts w:hint="eastAsia" w:ascii="宋体" w:hAnsi="宋体" w:cs="宋体"/>
                <w:kern w:val="0"/>
                <w:sz w:val="18"/>
                <w:szCs w:val="18"/>
              </w:rPr>
              <w:t>.探测精度：±0.1%VOL(测量范围在0%VOL～1%VOL 之间);真值的±5%(测量范围在1%VOL～20%VOL之间)</w:t>
            </w:r>
          </w:p>
          <w:p w14:paraId="725B8236">
            <w:pPr>
              <w:widowControl/>
              <w:spacing w:beforeLines="0" w:afterLines="0" w:line="240" w:lineRule="auto"/>
              <w:jc w:val="left"/>
              <w:rPr>
                <w:rFonts w:hint="eastAsia" w:ascii="宋体" w:hAnsi="宋体" w:cs="宋体"/>
                <w:kern w:val="0"/>
                <w:sz w:val="18"/>
                <w:szCs w:val="18"/>
              </w:rPr>
            </w:pPr>
            <w:r>
              <w:rPr>
                <w:rFonts w:hint="eastAsia" w:ascii="宋体" w:hAnsi="宋体" w:cs="宋体"/>
                <w:kern w:val="0"/>
                <w:sz w:val="18"/>
                <w:szCs w:val="18"/>
                <w:lang w:val="en-US" w:eastAsia="zh-CN"/>
              </w:rPr>
              <w:t>3.</w:t>
            </w:r>
            <w:r>
              <w:rPr>
                <w:rFonts w:hint="eastAsia" w:ascii="宋体" w:hAnsi="宋体" w:cs="宋体"/>
                <w:kern w:val="0"/>
                <w:sz w:val="18"/>
                <w:szCs w:val="18"/>
              </w:rPr>
              <w:t>分辨率:0.1%VOL</w:t>
            </w:r>
          </w:p>
          <w:p w14:paraId="6B564D9D">
            <w:pPr>
              <w:widowControl/>
              <w:spacing w:beforeLines="0" w:afterLines="0" w:line="240" w:lineRule="auto"/>
              <w:jc w:val="left"/>
              <w:rPr>
                <w:rFonts w:hint="eastAsia" w:ascii="宋体" w:hAnsi="宋体" w:cs="宋体"/>
                <w:kern w:val="0"/>
                <w:sz w:val="18"/>
                <w:szCs w:val="18"/>
              </w:rPr>
            </w:pPr>
            <w:r>
              <w:rPr>
                <w:rFonts w:hint="eastAsia" w:ascii="宋体" w:hAnsi="宋体" w:cs="宋体"/>
                <w:kern w:val="0"/>
                <w:sz w:val="18"/>
                <w:szCs w:val="18"/>
                <w:lang w:val="en-US" w:eastAsia="zh-CN"/>
              </w:rPr>
              <w:t>4.</w:t>
            </w:r>
            <w:r>
              <w:rPr>
                <w:rFonts w:hint="eastAsia" w:ascii="宋体" w:hAnsi="宋体" w:cs="宋体"/>
                <w:kern w:val="0"/>
                <w:sz w:val="18"/>
                <w:szCs w:val="18"/>
              </w:rPr>
              <w:t>工作温度:-40 ℃~70 ℃</w:t>
            </w:r>
          </w:p>
          <w:p w14:paraId="288B438B">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lang w:val="en-US" w:eastAsia="zh-CN"/>
              </w:rPr>
              <w:t>5.</w:t>
            </w:r>
            <w:r>
              <w:rPr>
                <w:rFonts w:hint="eastAsia" w:ascii="宋体" w:hAnsi="宋体" w:cs="宋体"/>
                <w:kern w:val="0"/>
                <w:sz w:val="18"/>
                <w:szCs w:val="18"/>
              </w:rPr>
              <w:t>防爆等级:不低于 Ex</w:t>
            </w:r>
            <w:r>
              <w:rPr>
                <w:rFonts w:hint="eastAsia" w:ascii="宋体" w:hAnsi="宋体" w:cs="宋体"/>
                <w:kern w:val="0"/>
                <w:sz w:val="18"/>
                <w:szCs w:val="18"/>
                <w:lang w:val="en-US" w:eastAsia="zh-CN"/>
              </w:rPr>
              <w:t xml:space="preserve"> </w:t>
            </w:r>
            <w:r>
              <w:rPr>
                <w:rFonts w:hint="eastAsia" w:ascii="宋体" w:hAnsi="宋体" w:cs="宋体"/>
                <w:kern w:val="0"/>
                <w:sz w:val="18"/>
                <w:szCs w:val="18"/>
              </w:rPr>
              <w:t>ib</w:t>
            </w:r>
            <w:r>
              <w:rPr>
                <w:rFonts w:hint="eastAsia" w:ascii="宋体" w:hAnsi="宋体" w:cs="宋体"/>
                <w:kern w:val="0"/>
                <w:sz w:val="18"/>
                <w:szCs w:val="18"/>
                <w:lang w:val="en-US" w:eastAsia="zh-CN"/>
              </w:rPr>
              <w:t xml:space="preserve"> </w:t>
            </w:r>
            <w:r>
              <w:rPr>
                <w:rFonts w:hint="eastAsia" w:ascii="宋体" w:hAnsi="宋体" w:cs="宋体"/>
                <w:kern w:val="0"/>
                <w:sz w:val="18"/>
                <w:szCs w:val="18"/>
              </w:rPr>
              <w:t>IIB</w:t>
            </w:r>
            <w:r>
              <w:rPr>
                <w:rFonts w:hint="eastAsia" w:ascii="宋体" w:hAnsi="宋体" w:cs="宋体"/>
                <w:kern w:val="0"/>
                <w:sz w:val="18"/>
                <w:szCs w:val="18"/>
                <w:lang w:val="en-US" w:eastAsia="zh-CN"/>
              </w:rPr>
              <w:t xml:space="preserve"> </w:t>
            </w:r>
            <w:r>
              <w:rPr>
                <w:rFonts w:hint="eastAsia" w:ascii="宋体" w:hAnsi="宋体" w:cs="宋体"/>
                <w:kern w:val="0"/>
                <w:sz w:val="18"/>
                <w:szCs w:val="18"/>
              </w:rPr>
              <w:t>T4</w:t>
            </w:r>
            <w:r>
              <w:rPr>
                <w:rFonts w:hint="eastAsia" w:ascii="宋体" w:hAnsi="宋体" w:cs="宋体"/>
                <w:kern w:val="0"/>
                <w:sz w:val="18"/>
                <w:szCs w:val="18"/>
                <w:lang w:val="en-US" w:eastAsia="zh-CN"/>
              </w:rPr>
              <w:t xml:space="preserve"> </w:t>
            </w:r>
            <w:r>
              <w:rPr>
                <w:rFonts w:hint="eastAsia" w:ascii="宋体" w:hAnsi="宋体" w:cs="宋体"/>
                <w:kern w:val="0"/>
                <w:sz w:val="18"/>
                <w:szCs w:val="18"/>
              </w:rPr>
              <w:t>Gb</w:t>
            </w:r>
          </w:p>
          <w:p w14:paraId="776E47DE">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lang w:val="en-US" w:eastAsia="zh-CN"/>
              </w:rPr>
              <w:t>6</w:t>
            </w:r>
            <w:r>
              <w:rPr>
                <w:rFonts w:hint="eastAsia" w:ascii="宋体" w:hAnsi="宋体" w:cs="宋体"/>
                <w:kern w:val="0"/>
                <w:sz w:val="18"/>
                <w:szCs w:val="18"/>
              </w:rPr>
              <w:t>.防护等级：IP68</w:t>
            </w:r>
          </w:p>
          <w:p w14:paraId="71C84F36">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lang w:val="en-US" w:eastAsia="zh-CN"/>
              </w:rPr>
              <w:t>7</w:t>
            </w:r>
            <w:r>
              <w:rPr>
                <w:rFonts w:hint="eastAsia" w:ascii="宋体" w:hAnsi="宋体" w:cs="宋体"/>
                <w:kern w:val="0"/>
                <w:sz w:val="18"/>
                <w:szCs w:val="18"/>
              </w:rPr>
              <w:t>.数据采集频率：不低于1次/30min（可设置）</w:t>
            </w:r>
          </w:p>
          <w:p w14:paraId="2041354B">
            <w:pPr>
              <w:widowControl/>
              <w:spacing w:beforeLines="0" w:afterLines="0" w:line="240" w:lineRule="auto"/>
              <w:jc w:val="left"/>
              <w:rPr>
                <w:rFonts w:hint="eastAsia" w:ascii="宋体" w:hAnsi="宋体" w:cs="宋体"/>
                <w:kern w:val="0"/>
                <w:sz w:val="18"/>
                <w:szCs w:val="18"/>
              </w:rPr>
            </w:pPr>
            <w:r>
              <w:rPr>
                <w:rFonts w:hint="eastAsia" w:ascii="宋体" w:hAnsi="宋体" w:cs="宋体"/>
                <w:kern w:val="0"/>
                <w:sz w:val="18"/>
                <w:szCs w:val="18"/>
                <w:lang w:val="en-US" w:eastAsia="zh-CN"/>
              </w:rPr>
              <w:t>8</w:t>
            </w:r>
            <w:r>
              <w:rPr>
                <w:rFonts w:hint="eastAsia" w:ascii="宋体" w:hAnsi="宋体" w:cs="宋体"/>
                <w:kern w:val="0"/>
                <w:sz w:val="18"/>
                <w:szCs w:val="18"/>
              </w:rPr>
              <w:t>.数据上传频率：不低于1次/12h（可设置），事故状态自动实时传输</w:t>
            </w:r>
          </w:p>
          <w:p w14:paraId="6599E3A2">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9.使用寿命：不低于5年</w:t>
            </w:r>
          </w:p>
        </w:tc>
      </w:tr>
    </w:tbl>
    <w:p w14:paraId="74CE731C">
      <w:pPr>
        <w:spacing w:before="31" w:after="31"/>
      </w:pPr>
    </w:p>
    <w:p w14:paraId="63BE7099">
      <w:pPr>
        <w:spacing w:before="31" w:after="31"/>
      </w:pPr>
    </w:p>
    <w:p w14:paraId="05EC7784">
      <w:pPr>
        <w:spacing w:before="31" w:after="31"/>
      </w:pPr>
    </w:p>
    <w:p w14:paraId="0CE0DDED">
      <w:pPr>
        <w:spacing w:before="31" w:after="31"/>
        <w:sectPr>
          <w:pgSz w:w="11907" w:h="16840"/>
          <w:pgMar w:top="1440" w:right="1418" w:bottom="1440" w:left="1418" w:header="851" w:footer="992" w:gutter="567"/>
          <w:pgBorders>
            <w:top w:val="none" w:sz="0" w:space="0"/>
            <w:left w:val="none" w:sz="0" w:space="0"/>
            <w:bottom w:val="none" w:sz="0" w:space="0"/>
            <w:right w:val="none" w:sz="0" w:space="0"/>
          </w:pgBorders>
          <w:cols w:space="720" w:num="1"/>
          <w:docGrid w:type="linesAndChars" w:linePitch="312" w:charSpace="0"/>
        </w:sectPr>
      </w:pPr>
    </w:p>
    <w:p w14:paraId="2FB56962">
      <w:pPr>
        <w:pStyle w:val="2"/>
        <w:pageBreakBefore/>
        <w:tabs>
          <w:tab w:val="left" w:pos="454"/>
        </w:tabs>
        <w:spacing w:beforeLines="100" w:afterLines="100"/>
        <w:rPr>
          <w:rFonts w:hint="eastAsia" w:ascii="宋体" w:hAnsi="宋体"/>
          <w:szCs w:val="21"/>
        </w:rPr>
      </w:pPr>
      <w:bookmarkStart w:id="187" w:name="_Toc23755"/>
      <w:r>
        <w:rPr>
          <w:rFonts w:hint="eastAsia" w:ascii="宋体" w:hAnsi="宋体"/>
          <w:szCs w:val="21"/>
          <w:lang w:val="en-US" w:eastAsia="zh-CN"/>
        </w:rPr>
        <w:t>C</w:t>
      </w:r>
      <w:r>
        <w:rPr>
          <w:rFonts w:hint="eastAsia" w:ascii="宋体" w:hAnsi="宋体"/>
          <w:szCs w:val="21"/>
        </w:rPr>
        <w:t>.4热力</w:t>
      </w:r>
      <w:r>
        <w:rPr>
          <w:rFonts w:hint="eastAsia" w:ascii="宋体" w:hAnsi="宋体"/>
          <w:szCs w:val="21"/>
          <w:lang w:eastAsia="zh-CN"/>
        </w:rPr>
        <w:t>监测设备</w:t>
      </w:r>
      <w:r>
        <w:rPr>
          <w:rFonts w:hint="eastAsia" w:ascii="宋体" w:hAnsi="宋体"/>
          <w:szCs w:val="21"/>
          <w:lang w:val="en-US" w:eastAsia="zh-CN"/>
        </w:rPr>
        <w:t>性能</w:t>
      </w:r>
      <w:r>
        <w:rPr>
          <w:rFonts w:hint="eastAsia" w:ascii="宋体" w:hAnsi="宋体"/>
          <w:szCs w:val="21"/>
        </w:rPr>
        <w:t>要求</w:t>
      </w:r>
      <w:bookmarkEnd w:id="187"/>
    </w:p>
    <w:p w14:paraId="30B72FDF">
      <w:pPr>
        <w:rPr>
          <w:rFonts w:hint="eastAsia" w:ascii="黑体" w:hAnsi="黑体" w:eastAsia="黑体"/>
          <w:bCs/>
          <w:color w:val="auto"/>
          <w:lang w:val="en-US" w:eastAsia="zh-CN"/>
        </w:rPr>
      </w:pPr>
      <w:r>
        <w:rPr>
          <w:rFonts w:hint="eastAsia"/>
          <w:b w:val="0"/>
          <w:bCs w:val="0"/>
          <w:lang w:val="en-US" w:eastAsia="zh-CN"/>
        </w:rPr>
        <w:t>热力监测设备性能要求见表C.4。</w:t>
      </w:r>
    </w:p>
    <w:tbl>
      <w:tblPr>
        <w:tblStyle w:val="35"/>
        <w:tblW w:w="4861" w:type="pct"/>
        <w:tblInd w:w="128" w:type="dxa"/>
        <w:tblLayout w:type="autofit"/>
        <w:tblCellMar>
          <w:top w:w="0" w:type="dxa"/>
          <w:left w:w="108" w:type="dxa"/>
          <w:bottom w:w="0" w:type="dxa"/>
          <w:right w:w="108" w:type="dxa"/>
        </w:tblCellMar>
      </w:tblPr>
      <w:tblGrid>
        <w:gridCol w:w="1775"/>
        <w:gridCol w:w="1685"/>
        <w:gridCol w:w="5018"/>
      </w:tblGrid>
      <w:tr w14:paraId="3845A009">
        <w:tblPrEx>
          <w:tblCellMar>
            <w:top w:w="0" w:type="dxa"/>
            <w:left w:w="108" w:type="dxa"/>
            <w:bottom w:w="0" w:type="dxa"/>
            <w:right w:w="108" w:type="dxa"/>
          </w:tblCellMar>
        </w:tblPrEx>
        <w:trPr>
          <w:trHeight w:val="283" w:hRule="atLeast"/>
          <w:tblHeader/>
        </w:trPr>
        <w:tc>
          <w:tcPr>
            <w:tcW w:w="5000" w:type="pct"/>
            <w:gridSpan w:val="3"/>
            <w:tcBorders>
              <w:top w:val="nil"/>
              <w:left w:val="nil"/>
              <w:bottom w:val="nil"/>
              <w:right w:val="nil"/>
            </w:tcBorders>
            <w:vAlign w:val="center"/>
          </w:tcPr>
          <w:p w14:paraId="7ABFCD59">
            <w:pPr>
              <w:pStyle w:val="98"/>
              <w:spacing w:before="31" w:after="31"/>
              <w:jc w:val="center"/>
              <w:rPr>
                <w:rFonts w:ascii="宋体" w:hAnsi="宋体"/>
                <w:b/>
                <w:bCs/>
                <w:kern w:val="0"/>
                <w:sz w:val="18"/>
                <w:szCs w:val="18"/>
              </w:rPr>
            </w:pPr>
            <w:r>
              <w:rPr>
                <w:rFonts w:hint="eastAsia" w:ascii="黑体" w:hAnsi="黑体" w:eastAsia="黑体"/>
                <w:bCs/>
                <w:color w:val="auto"/>
              </w:rPr>
              <w:t>表</w:t>
            </w:r>
            <w:r>
              <w:rPr>
                <w:rFonts w:hint="eastAsia" w:ascii="黑体" w:hAnsi="黑体" w:eastAsia="黑体"/>
                <w:bCs/>
                <w:color w:val="auto"/>
                <w:lang w:val="en-US" w:eastAsia="zh-CN"/>
              </w:rPr>
              <w:t>C</w:t>
            </w:r>
            <w:r>
              <w:rPr>
                <w:rFonts w:hint="eastAsia" w:ascii="黑体" w:hAnsi="黑体" w:eastAsia="黑体"/>
                <w:bCs/>
                <w:color w:val="auto"/>
              </w:rPr>
              <w:t>.4 热力监测设备</w:t>
            </w:r>
            <w:r>
              <w:rPr>
                <w:rFonts w:hint="eastAsia" w:ascii="黑体" w:hAnsi="黑体" w:eastAsia="黑体"/>
                <w:bCs/>
                <w:color w:val="auto"/>
                <w:lang w:val="en-US" w:eastAsia="zh-CN"/>
              </w:rPr>
              <w:t>性能</w:t>
            </w:r>
            <w:r>
              <w:rPr>
                <w:rFonts w:hint="eastAsia" w:ascii="黑体" w:hAnsi="黑体" w:eastAsia="黑体"/>
                <w:bCs/>
                <w:color w:val="auto"/>
              </w:rPr>
              <w:t>要求</w:t>
            </w:r>
          </w:p>
        </w:tc>
      </w:tr>
      <w:tr w14:paraId="2EEB01CD">
        <w:tblPrEx>
          <w:tblCellMar>
            <w:top w:w="0" w:type="dxa"/>
            <w:left w:w="108" w:type="dxa"/>
            <w:bottom w:w="0" w:type="dxa"/>
            <w:right w:w="108" w:type="dxa"/>
          </w:tblCellMar>
        </w:tblPrEx>
        <w:trPr>
          <w:trHeight w:val="283" w:hRule="atLeast"/>
          <w:tblHeader/>
        </w:trPr>
        <w:tc>
          <w:tcPr>
            <w:tcW w:w="1047" w:type="pct"/>
            <w:tcBorders>
              <w:top w:val="single" w:color="auto" w:sz="4" w:space="0"/>
              <w:left w:val="single" w:color="auto" w:sz="4" w:space="0"/>
              <w:bottom w:val="single" w:color="auto" w:sz="4" w:space="0"/>
              <w:right w:val="single" w:color="auto" w:sz="4" w:space="0"/>
            </w:tcBorders>
            <w:vAlign w:val="center"/>
          </w:tcPr>
          <w:p w14:paraId="1282B950">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监测对象</w:t>
            </w:r>
          </w:p>
        </w:tc>
        <w:tc>
          <w:tcPr>
            <w:tcW w:w="994" w:type="pct"/>
            <w:tcBorders>
              <w:top w:val="single" w:color="auto" w:sz="4" w:space="0"/>
              <w:left w:val="nil"/>
              <w:bottom w:val="single" w:color="auto" w:sz="4" w:space="0"/>
              <w:right w:val="single" w:color="auto" w:sz="4" w:space="0"/>
            </w:tcBorders>
            <w:vAlign w:val="center"/>
          </w:tcPr>
          <w:p w14:paraId="439B1B24">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监测指标</w:t>
            </w:r>
          </w:p>
        </w:tc>
        <w:tc>
          <w:tcPr>
            <w:tcW w:w="2957" w:type="pct"/>
            <w:tcBorders>
              <w:top w:val="single" w:color="auto" w:sz="4" w:space="0"/>
              <w:left w:val="nil"/>
              <w:bottom w:val="single" w:color="auto" w:sz="4" w:space="0"/>
              <w:right w:val="single" w:color="auto" w:sz="4" w:space="0"/>
            </w:tcBorders>
            <w:vAlign w:val="center"/>
          </w:tcPr>
          <w:p w14:paraId="08A464A8">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监测设备</w:t>
            </w:r>
            <w:r>
              <w:rPr>
                <w:rFonts w:hint="eastAsia" w:ascii="宋体" w:hAnsi="宋体" w:cs="宋体"/>
                <w:kern w:val="0"/>
                <w:sz w:val="18"/>
                <w:szCs w:val="18"/>
                <w:lang w:val="en-US" w:eastAsia="zh-CN"/>
              </w:rPr>
              <w:t>性能</w:t>
            </w:r>
            <w:r>
              <w:rPr>
                <w:rFonts w:hint="eastAsia" w:ascii="宋体" w:hAnsi="宋体" w:cs="宋体"/>
                <w:kern w:val="0"/>
                <w:sz w:val="18"/>
                <w:szCs w:val="18"/>
              </w:rPr>
              <w:t>要求</w:t>
            </w:r>
          </w:p>
        </w:tc>
      </w:tr>
      <w:tr w14:paraId="414C3716">
        <w:tblPrEx>
          <w:tblCellMar>
            <w:top w:w="0" w:type="dxa"/>
            <w:left w:w="108" w:type="dxa"/>
            <w:bottom w:w="0" w:type="dxa"/>
            <w:right w:w="108" w:type="dxa"/>
          </w:tblCellMar>
        </w:tblPrEx>
        <w:trPr>
          <w:trHeight w:val="283" w:hRule="atLeast"/>
        </w:trPr>
        <w:tc>
          <w:tcPr>
            <w:tcW w:w="1047" w:type="pct"/>
            <w:vMerge w:val="restart"/>
            <w:tcBorders>
              <w:top w:val="nil"/>
              <w:left w:val="single" w:color="auto" w:sz="4" w:space="0"/>
              <w:bottom w:val="single" w:color="auto" w:sz="4" w:space="0"/>
              <w:right w:val="single" w:color="auto" w:sz="4" w:space="0"/>
            </w:tcBorders>
            <w:vAlign w:val="center"/>
          </w:tcPr>
          <w:p w14:paraId="604B2A61">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热源、中继泵站、隔压站、热力站</w:t>
            </w:r>
          </w:p>
        </w:tc>
        <w:tc>
          <w:tcPr>
            <w:tcW w:w="994" w:type="pct"/>
            <w:tcBorders>
              <w:top w:val="nil"/>
              <w:left w:val="nil"/>
              <w:bottom w:val="single" w:color="auto" w:sz="4" w:space="0"/>
              <w:right w:val="single" w:color="auto" w:sz="4" w:space="0"/>
            </w:tcBorders>
            <w:vAlign w:val="center"/>
          </w:tcPr>
          <w:p w14:paraId="35E729F7">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压力</w:t>
            </w:r>
          </w:p>
        </w:tc>
        <w:tc>
          <w:tcPr>
            <w:tcW w:w="2957" w:type="pct"/>
            <w:tcBorders>
              <w:top w:val="nil"/>
              <w:left w:val="nil"/>
              <w:bottom w:val="single" w:color="auto" w:sz="4" w:space="0"/>
              <w:right w:val="single" w:color="auto" w:sz="4" w:space="0"/>
            </w:tcBorders>
            <w:vAlign w:val="center"/>
          </w:tcPr>
          <w:p w14:paraId="2872B1C6">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1.探测精度：±0.5%FS</w:t>
            </w:r>
          </w:p>
          <w:p w14:paraId="177F29F3">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2.防护等级：不低于IP65</w:t>
            </w:r>
          </w:p>
          <w:p w14:paraId="43DCF314">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3.数据采集频率：实时</w:t>
            </w:r>
          </w:p>
          <w:p w14:paraId="07CABA51">
            <w:pPr>
              <w:widowControl/>
              <w:spacing w:beforeLines="0" w:afterLines="0" w:line="240" w:lineRule="auto"/>
              <w:jc w:val="left"/>
              <w:rPr>
                <w:rFonts w:hint="eastAsia" w:ascii="宋体" w:hAnsi="宋体" w:cs="宋体"/>
                <w:kern w:val="0"/>
                <w:sz w:val="18"/>
                <w:szCs w:val="18"/>
              </w:rPr>
            </w:pPr>
            <w:r>
              <w:rPr>
                <w:rFonts w:hint="eastAsia" w:ascii="宋体" w:hAnsi="宋体" w:cs="宋体"/>
                <w:kern w:val="0"/>
                <w:sz w:val="18"/>
                <w:szCs w:val="18"/>
              </w:rPr>
              <w:t>4.数据上传频率：不低于5次/1min（可设置）</w:t>
            </w:r>
          </w:p>
          <w:p w14:paraId="7BFBD737">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5.使用寿命：不低于5年</w:t>
            </w:r>
          </w:p>
        </w:tc>
      </w:tr>
      <w:tr w14:paraId="1498ADAD">
        <w:tblPrEx>
          <w:tblCellMar>
            <w:top w:w="0" w:type="dxa"/>
            <w:left w:w="108" w:type="dxa"/>
            <w:bottom w:w="0" w:type="dxa"/>
            <w:right w:w="108" w:type="dxa"/>
          </w:tblCellMar>
        </w:tblPrEx>
        <w:trPr>
          <w:trHeight w:val="283" w:hRule="atLeast"/>
        </w:trPr>
        <w:tc>
          <w:tcPr>
            <w:tcW w:w="1047" w:type="pct"/>
            <w:vMerge w:val="continue"/>
            <w:tcBorders>
              <w:top w:val="nil"/>
              <w:left w:val="single" w:color="auto" w:sz="4" w:space="0"/>
              <w:bottom w:val="single" w:color="auto" w:sz="4" w:space="0"/>
              <w:right w:val="single" w:color="auto" w:sz="4" w:space="0"/>
            </w:tcBorders>
            <w:vAlign w:val="center"/>
          </w:tcPr>
          <w:p w14:paraId="16BAD7D4">
            <w:pPr>
              <w:widowControl/>
              <w:spacing w:beforeLines="0" w:afterLines="0" w:line="240" w:lineRule="auto"/>
              <w:jc w:val="left"/>
              <w:rPr>
                <w:rFonts w:ascii="宋体" w:hAnsi="宋体" w:cs="宋体"/>
                <w:kern w:val="0"/>
                <w:sz w:val="18"/>
                <w:szCs w:val="18"/>
              </w:rPr>
            </w:pPr>
          </w:p>
        </w:tc>
        <w:tc>
          <w:tcPr>
            <w:tcW w:w="994" w:type="pct"/>
            <w:tcBorders>
              <w:top w:val="nil"/>
              <w:left w:val="nil"/>
              <w:bottom w:val="single" w:color="auto" w:sz="4" w:space="0"/>
              <w:right w:val="single" w:color="auto" w:sz="4" w:space="0"/>
            </w:tcBorders>
            <w:vAlign w:val="center"/>
          </w:tcPr>
          <w:p w14:paraId="70EBBB7B">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温度</w:t>
            </w:r>
          </w:p>
        </w:tc>
        <w:tc>
          <w:tcPr>
            <w:tcW w:w="2957" w:type="pct"/>
            <w:tcBorders>
              <w:top w:val="nil"/>
              <w:left w:val="nil"/>
              <w:bottom w:val="single" w:color="auto" w:sz="4" w:space="0"/>
              <w:right w:val="single" w:color="auto" w:sz="4" w:space="0"/>
            </w:tcBorders>
            <w:vAlign w:val="center"/>
          </w:tcPr>
          <w:p w14:paraId="2448D682">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1.探测精度：±0.5%FS</w:t>
            </w:r>
          </w:p>
          <w:p w14:paraId="564D8BE9">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2.防护等级：不低于IP65</w:t>
            </w:r>
          </w:p>
          <w:p w14:paraId="4BCFCDAD">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3.数据采集频率：不低于5次/1min（可设置）</w:t>
            </w:r>
          </w:p>
          <w:p w14:paraId="6B66F544">
            <w:pPr>
              <w:widowControl/>
              <w:spacing w:beforeLines="0" w:afterLines="0" w:line="240" w:lineRule="auto"/>
              <w:jc w:val="left"/>
              <w:rPr>
                <w:rFonts w:hint="eastAsia" w:ascii="宋体" w:hAnsi="宋体" w:cs="宋体"/>
                <w:kern w:val="0"/>
                <w:sz w:val="18"/>
                <w:szCs w:val="18"/>
              </w:rPr>
            </w:pPr>
            <w:r>
              <w:rPr>
                <w:rFonts w:hint="eastAsia" w:ascii="宋体" w:hAnsi="宋体" w:cs="宋体"/>
                <w:kern w:val="0"/>
                <w:sz w:val="18"/>
                <w:szCs w:val="18"/>
              </w:rPr>
              <w:t>4.数据上传频率：不低于5次/1min（可设置）</w:t>
            </w:r>
          </w:p>
          <w:p w14:paraId="7852F777">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5.使用寿命：不低于5年</w:t>
            </w:r>
          </w:p>
        </w:tc>
      </w:tr>
      <w:tr w14:paraId="4FDAAABB">
        <w:tblPrEx>
          <w:tblCellMar>
            <w:top w:w="0" w:type="dxa"/>
            <w:left w:w="108" w:type="dxa"/>
            <w:bottom w:w="0" w:type="dxa"/>
            <w:right w:w="108" w:type="dxa"/>
          </w:tblCellMar>
        </w:tblPrEx>
        <w:trPr>
          <w:trHeight w:val="283" w:hRule="atLeast"/>
        </w:trPr>
        <w:tc>
          <w:tcPr>
            <w:tcW w:w="1047" w:type="pct"/>
            <w:vMerge w:val="continue"/>
            <w:tcBorders>
              <w:top w:val="nil"/>
              <w:left w:val="single" w:color="auto" w:sz="4" w:space="0"/>
              <w:bottom w:val="single" w:color="auto" w:sz="4" w:space="0"/>
              <w:right w:val="single" w:color="auto" w:sz="4" w:space="0"/>
            </w:tcBorders>
            <w:vAlign w:val="center"/>
          </w:tcPr>
          <w:p w14:paraId="2A3BF308">
            <w:pPr>
              <w:widowControl/>
              <w:spacing w:beforeLines="0" w:afterLines="0" w:line="240" w:lineRule="auto"/>
              <w:jc w:val="left"/>
              <w:rPr>
                <w:rFonts w:ascii="宋体" w:hAnsi="宋体" w:cs="宋体"/>
                <w:kern w:val="0"/>
                <w:sz w:val="18"/>
                <w:szCs w:val="18"/>
              </w:rPr>
            </w:pPr>
          </w:p>
        </w:tc>
        <w:tc>
          <w:tcPr>
            <w:tcW w:w="994" w:type="pct"/>
            <w:tcBorders>
              <w:top w:val="nil"/>
              <w:left w:val="nil"/>
              <w:bottom w:val="single" w:color="auto" w:sz="4" w:space="0"/>
              <w:right w:val="single" w:color="auto" w:sz="4" w:space="0"/>
            </w:tcBorders>
            <w:vAlign w:val="center"/>
          </w:tcPr>
          <w:p w14:paraId="1B144C8B">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流量</w:t>
            </w:r>
          </w:p>
        </w:tc>
        <w:tc>
          <w:tcPr>
            <w:tcW w:w="2957" w:type="pct"/>
            <w:tcBorders>
              <w:top w:val="nil"/>
              <w:left w:val="nil"/>
              <w:bottom w:val="single" w:color="auto" w:sz="4" w:space="0"/>
              <w:right w:val="single" w:color="auto" w:sz="4" w:space="0"/>
            </w:tcBorders>
            <w:vAlign w:val="center"/>
          </w:tcPr>
          <w:p w14:paraId="03CFDF65">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1.准确度等级：1级、1.5级、2级</w:t>
            </w:r>
          </w:p>
          <w:p w14:paraId="524B0B9D">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2.防护等级：不低于IP54</w:t>
            </w:r>
          </w:p>
          <w:p w14:paraId="080746DF">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3.数据采集频率：依表型</w:t>
            </w:r>
          </w:p>
          <w:p w14:paraId="3EC3DD89">
            <w:pPr>
              <w:widowControl/>
              <w:spacing w:beforeLines="0" w:afterLines="0" w:line="240" w:lineRule="auto"/>
              <w:jc w:val="left"/>
              <w:rPr>
                <w:rFonts w:hint="eastAsia" w:ascii="宋体" w:hAnsi="宋体" w:cs="宋体"/>
                <w:kern w:val="0"/>
                <w:sz w:val="18"/>
                <w:szCs w:val="18"/>
              </w:rPr>
            </w:pPr>
            <w:r>
              <w:rPr>
                <w:rFonts w:hint="eastAsia" w:ascii="宋体" w:hAnsi="宋体" w:cs="宋体"/>
                <w:kern w:val="0"/>
                <w:sz w:val="18"/>
                <w:szCs w:val="18"/>
              </w:rPr>
              <w:t>4.数据上传频率：不低于1次/30min</w:t>
            </w:r>
          </w:p>
          <w:p w14:paraId="13B27B9F">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5.使用寿命：不低于5年</w:t>
            </w:r>
          </w:p>
        </w:tc>
      </w:tr>
      <w:tr w14:paraId="54DEA3DA">
        <w:tblPrEx>
          <w:tblCellMar>
            <w:top w:w="0" w:type="dxa"/>
            <w:left w:w="108" w:type="dxa"/>
            <w:bottom w:w="0" w:type="dxa"/>
            <w:right w:w="108" w:type="dxa"/>
          </w:tblCellMar>
        </w:tblPrEx>
        <w:trPr>
          <w:trHeight w:val="283" w:hRule="atLeast"/>
        </w:trPr>
        <w:tc>
          <w:tcPr>
            <w:tcW w:w="1047" w:type="pct"/>
            <w:vMerge w:val="continue"/>
            <w:tcBorders>
              <w:top w:val="nil"/>
              <w:left w:val="single" w:color="auto" w:sz="4" w:space="0"/>
              <w:bottom w:val="single" w:color="auto" w:sz="4" w:space="0"/>
              <w:right w:val="single" w:color="auto" w:sz="4" w:space="0"/>
            </w:tcBorders>
            <w:vAlign w:val="center"/>
          </w:tcPr>
          <w:p w14:paraId="567D1CD6">
            <w:pPr>
              <w:widowControl/>
              <w:spacing w:beforeLines="0" w:afterLines="0" w:line="240" w:lineRule="auto"/>
              <w:jc w:val="left"/>
              <w:rPr>
                <w:rFonts w:ascii="宋体" w:hAnsi="宋体" w:cs="宋体"/>
                <w:kern w:val="0"/>
                <w:sz w:val="18"/>
                <w:szCs w:val="18"/>
              </w:rPr>
            </w:pPr>
          </w:p>
        </w:tc>
        <w:tc>
          <w:tcPr>
            <w:tcW w:w="994" w:type="pct"/>
            <w:tcBorders>
              <w:top w:val="nil"/>
              <w:left w:val="nil"/>
              <w:bottom w:val="single" w:color="auto" w:sz="4" w:space="0"/>
              <w:right w:val="single" w:color="auto" w:sz="4" w:space="0"/>
            </w:tcBorders>
            <w:vAlign w:val="center"/>
          </w:tcPr>
          <w:p w14:paraId="17041DCD">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液位</w:t>
            </w:r>
          </w:p>
        </w:tc>
        <w:tc>
          <w:tcPr>
            <w:tcW w:w="2957" w:type="pct"/>
            <w:tcBorders>
              <w:top w:val="nil"/>
              <w:left w:val="nil"/>
              <w:bottom w:val="single" w:color="auto" w:sz="4" w:space="0"/>
              <w:right w:val="single" w:color="auto" w:sz="4" w:space="0"/>
            </w:tcBorders>
            <w:vAlign w:val="center"/>
          </w:tcPr>
          <w:p w14:paraId="72C351F7">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1.报警设定值：超出容积10%-90%区间</w:t>
            </w:r>
          </w:p>
          <w:p w14:paraId="0659BEF1">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2.探测精度：±0.1%</w:t>
            </w:r>
          </w:p>
          <w:p w14:paraId="71C50236">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3.防护等级：不低于IP65</w:t>
            </w:r>
          </w:p>
          <w:p w14:paraId="6613AF6E">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4.数据采集频率：实时</w:t>
            </w:r>
          </w:p>
          <w:p w14:paraId="75D8404D">
            <w:pPr>
              <w:widowControl/>
              <w:spacing w:beforeLines="0" w:afterLines="0" w:line="240" w:lineRule="auto"/>
              <w:jc w:val="left"/>
              <w:rPr>
                <w:rFonts w:hint="eastAsia" w:ascii="宋体" w:hAnsi="宋体" w:cs="宋体"/>
                <w:kern w:val="0"/>
                <w:sz w:val="18"/>
                <w:szCs w:val="18"/>
              </w:rPr>
            </w:pPr>
            <w:r>
              <w:rPr>
                <w:rFonts w:hint="eastAsia" w:ascii="宋体" w:hAnsi="宋体" w:cs="宋体"/>
                <w:kern w:val="0"/>
                <w:sz w:val="18"/>
                <w:szCs w:val="18"/>
              </w:rPr>
              <w:t>5.数据上传频率：不低于5次/1min（可设置）</w:t>
            </w:r>
          </w:p>
          <w:p w14:paraId="2B14B999">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6.使用寿命：不低于5年</w:t>
            </w:r>
          </w:p>
        </w:tc>
      </w:tr>
      <w:tr w14:paraId="2284892D">
        <w:tblPrEx>
          <w:tblCellMar>
            <w:top w:w="0" w:type="dxa"/>
            <w:left w:w="108" w:type="dxa"/>
            <w:bottom w:w="0" w:type="dxa"/>
            <w:right w:w="108" w:type="dxa"/>
          </w:tblCellMar>
        </w:tblPrEx>
        <w:trPr>
          <w:trHeight w:val="283" w:hRule="atLeast"/>
        </w:trPr>
        <w:tc>
          <w:tcPr>
            <w:tcW w:w="1047" w:type="pct"/>
            <w:vMerge w:val="continue"/>
            <w:tcBorders>
              <w:top w:val="nil"/>
              <w:left w:val="single" w:color="auto" w:sz="4" w:space="0"/>
              <w:bottom w:val="single" w:color="auto" w:sz="4" w:space="0"/>
              <w:right w:val="single" w:color="auto" w:sz="4" w:space="0"/>
            </w:tcBorders>
            <w:vAlign w:val="center"/>
          </w:tcPr>
          <w:p w14:paraId="3CA2E7A4">
            <w:pPr>
              <w:widowControl/>
              <w:spacing w:beforeLines="0" w:afterLines="0" w:line="240" w:lineRule="auto"/>
              <w:jc w:val="left"/>
              <w:rPr>
                <w:rFonts w:ascii="宋体" w:hAnsi="宋体" w:cs="宋体"/>
                <w:kern w:val="0"/>
                <w:sz w:val="18"/>
                <w:szCs w:val="18"/>
              </w:rPr>
            </w:pPr>
          </w:p>
        </w:tc>
        <w:tc>
          <w:tcPr>
            <w:tcW w:w="994" w:type="pct"/>
            <w:tcBorders>
              <w:top w:val="nil"/>
              <w:left w:val="nil"/>
              <w:bottom w:val="single" w:color="auto" w:sz="4" w:space="0"/>
              <w:right w:val="single" w:color="auto" w:sz="4" w:space="0"/>
            </w:tcBorders>
            <w:vAlign w:val="center"/>
          </w:tcPr>
          <w:p w14:paraId="6C9D1792">
            <w:pPr>
              <w:widowControl/>
              <w:spacing w:beforeLines="0" w:afterLines="0" w:line="240" w:lineRule="auto"/>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视频监控</w:t>
            </w:r>
          </w:p>
        </w:tc>
        <w:tc>
          <w:tcPr>
            <w:tcW w:w="2957" w:type="pct"/>
            <w:tcBorders>
              <w:top w:val="nil"/>
              <w:left w:val="nil"/>
              <w:bottom w:val="single" w:color="auto" w:sz="4" w:space="0"/>
              <w:right w:val="single" w:color="auto" w:sz="4" w:space="0"/>
            </w:tcBorders>
            <w:vAlign w:val="center"/>
          </w:tcPr>
          <w:p w14:paraId="0EE9C283">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1.系统应具备图像切换功能，并能根据系统控制摄像机镜头、云台等</w:t>
            </w:r>
          </w:p>
          <w:p w14:paraId="4EE1EFA7">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2.系统应具有时间、日期的字符叠加、记录和调整功能，字符叠加不应影响图像的监视和记录效果，字符时间与标准时间的误差应在±30</w:t>
            </w:r>
            <w:r>
              <w:rPr>
                <w:rFonts w:hint="eastAsia" w:ascii="宋体" w:hAnsi="宋体" w:cs="宋体"/>
                <w:kern w:val="0"/>
                <w:sz w:val="18"/>
                <w:szCs w:val="18"/>
                <w:lang w:eastAsia="zh-CN"/>
              </w:rPr>
              <w:t>S</w:t>
            </w:r>
            <w:r>
              <w:rPr>
                <w:rFonts w:hint="eastAsia" w:ascii="宋体" w:hAnsi="宋体" w:cs="宋体"/>
                <w:kern w:val="0"/>
                <w:sz w:val="18"/>
                <w:szCs w:val="18"/>
              </w:rPr>
              <w:t>以内</w:t>
            </w:r>
          </w:p>
          <w:p w14:paraId="614AD6F2">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w:t>
            </w:r>
            <w:r>
              <w:rPr>
                <w:rFonts w:hint="eastAsia" w:ascii="宋体" w:hAnsi="宋体" w:cs="宋体"/>
                <w:kern w:val="0"/>
                <w:sz w:val="18"/>
                <w:szCs w:val="18"/>
                <w:lang w:val="en-US" w:eastAsia="zh-CN"/>
              </w:rPr>
              <w:t>像素不低于200万，</w:t>
            </w:r>
            <w:r>
              <w:rPr>
                <w:rFonts w:hint="eastAsia" w:ascii="宋体" w:hAnsi="宋体" w:cs="宋体"/>
                <w:kern w:val="0"/>
                <w:sz w:val="18"/>
                <w:szCs w:val="18"/>
              </w:rPr>
              <w:t>监控录像水平分辨率不低于1080P</w:t>
            </w:r>
          </w:p>
          <w:p w14:paraId="087C8C12">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w:t>
            </w:r>
            <w:r>
              <w:rPr>
                <w:rFonts w:hint="eastAsia" w:ascii="宋体" w:hAnsi="宋体" w:cs="宋体"/>
                <w:kern w:val="0"/>
                <w:sz w:val="18"/>
                <w:szCs w:val="18"/>
                <w:lang w:eastAsia="zh-CN"/>
              </w:rPr>
              <w:t>视频监控</w:t>
            </w:r>
            <w:r>
              <w:rPr>
                <w:rFonts w:hint="eastAsia" w:ascii="宋体" w:hAnsi="宋体" w:cs="宋体"/>
                <w:kern w:val="0"/>
                <w:sz w:val="18"/>
                <w:szCs w:val="18"/>
              </w:rPr>
              <w:t>系统的备用电源供电时间应满足摄像机和录像设备正常工作24h的需要</w:t>
            </w:r>
          </w:p>
          <w:p w14:paraId="28D2D697">
            <w:pPr>
              <w:widowControl/>
              <w:spacing w:beforeLines="0" w:afterLines="0" w:line="240" w:lineRule="auto"/>
              <w:jc w:val="left"/>
              <w:rPr>
                <w:rFonts w:hint="eastAsia" w:ascii="宋体" w:hAnsi="宋体" w:cs="宋体"/>
                <w:kern w:val="0"/>
                <w:sz w:val="18"/>
                <w:szCs w:val="18"/>
              </w:rPr>
            </w:pPr>
            <w:r>
              <w:rPr>
                <w:rFonts w:hint="eastAsia" w:ascii="宋体" w:hAnsi="宋体" w:cs="宋体"/>
                <w:kern w:val="0"/>
                <w:sz w:val="18"/>
                <w:szCs w:val="18"/>
              </w:rPr>
              <w:t>5.</w:t>
            </w:r>
            <w:r>
              <w:rPr>
                <w:rFonts w:hint="eastAsia" w:ascii="宋体" w:hAnsi="宋体" w:cs="宋体"/>
                <w:kern w:val="0"/>
                <w:sz w:val="18"/>
                <w:szCs w:val="18"/>
                <w:lang w:eastAsia="zh-CN"/>
              </w:rPr>
              <w:t>视频监控</w:t>
            </w:r>
            <w:r>
              <w:rPr>
                <w:rFonts w:hint="eastAsia" w:ascii="宋体" w:hAnsi="宋体" w:cs="宋体"/>
                <w:kern w:val="0"/>
                <w:sz w:val="18"/>
                <w:szCs w:val="18"/>
              </w:rPr>
              <w:t>设备宜具备红外摄像、图像识别等功能，能提供包括远程唤醒在内的多种触发方式</w:t>
            </w:r>
          </w:p>
          <w:p w14:paraId="63F2D74B">
            <w:pPr>
              <w:widowControl/>
              <w:spacing w:beforeLines="0" w:afterLines="0" w:line="240" w:lineRule="auto"/>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6.使用寿命：不低于5年</w:t>
            </w:r>
          </w:p>
        </w:tc>
      </w:tr>
      <w:tr w14:paraId="21EDFC6A">
        <w:tblPrEx>
          <w:tblCellMar>
            <w:top w:w="0" w:type="dxa"/>
            <w:left w:w="108" w:type="dxa"/>
            <w:bottom w:w="0" w:type="dxa"/>
            <w:right w:w="108" w:type="dxa"/>
          </w:tblCellMar>
        </w:tblPrEx>
        <w:trPr>
          <w:trHeight w:val="283" w:hRule="atLeast"/>
        </w:trPr>
        <w:tc>
          <w:tcPr>
            <w:tcW w:w="1047" w:type="pct"/>
            <w:vMerge w:val="restart"/>
            <w:tcBorders>
              <w:top w:val="nil"/>
              <w:left w:val="single" w:color="auto" w:sz="4" w:space="0"/>
              <w:bottom w:val="single" w:color="auto" w:sz="4" w:space="0"/>
              <w:right w:val="single" w:color="auto" w:sz="4" w:space="0"/>
            </w:tcBorders>
            <w:vAlign w:val="center"/>
          </w:tcPr>
          <w:p w14:paraId="3BC7E496">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直埋蒸汽管道</w:t>
            </w:r>
          </w:p>
        </w:tc>
        <w:tc>
          <w:tcPr>
            <w:tcW w:w="994" w:type="pct"/>
            <w:tcBorders>
              <w:top w:val="nil"/>
              <w:left w:val="nil"/>
              <w:bottom w:val="single" w:color="auto" w:sz="4" w:space="0"/>
              <w:right w:val="single" w:color="auto" w:sz="4" w:space="0"/>
            </w:tcBorders>
            <w:vAlign w:val="center"/>
          </w:tcPr>
          <w:p w14:paraId="0A4EB7AC">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外护管表面温度</w:t>
            </w:r>
          </w:p>
        </w:tc>
        <w:tc>
          <w:tcPr>
            <w:tcW w:w="2957" w:type="pct"/>
            <w:tcBorders>
              <w:top w:val="nil"/>
              <w:left w:val="nil"/>
              <w:bottom w:val="single" w:color="auto" w:sz="4" w:space="0"/>
              <w:right w:val="single" w:color="auto" w:sz="4" w:space="0"/>
            </w:tcBorders>
            <w:vAlign w:val="center"/>
          </w:tcPr>
          <w:p w14:paraId="3B9C9108">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1.报警设定值：阈值可设置</w:t>
            </w:r>
          </w:p>
          <w:p w14:paraId="3445A214">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2.温度探测精度：±0.1℃</w:t>
            </w:r>
          </w:p>
          <w:p w14:paraId="66A2B261">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3.温度探测范围：0-200℃</w:t>
            </w:r>
          </w:p>
          <w:p w14:paraId="08F4AE41">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4.防护等级：不低于IP20（主机设备）</w:t>
            </w:r>
          </w:p>
          <w:p w14:paraId="52AD194F">
            <w:pPr>
              <w:widowControl/>
              <w:spacing w:beforeLines="0" w:afterLines="0" w:line="240" w:lineRule="auto"/>
              <w:jc w:val="left"/>
              <w:rPr>
                <w:rFonts w:hint="eastAsia" w:ascii="宋体" w:hAnsi="宋体" w:eastAsia="宋体" w:cs="宋体"/>
                <w:kern w:val="0"/>
                <w:sz w:val="18"/>
                <w:szCs w:val="18"/>
                <w:lang w:eastAsia="zh-CN"/>
              </w:rPr>
            </w:pPr>
            <w:r>
              <mc:AlternateContent>
                <mc:Choice Requires="wps">
                  <w:drawing>
                    <wp:anchor distT="0" distB="0" distL="114300" distR="114300" simplePos="0" relativeHeight="251678720" behindDoc="0" locked="0" layoutInCell="1" allowOverlap="1">
                      <wp:simplePos x="0" y="0"/>
                      <wp:positionH relativeFrom="column">
                        <wp:posOffset>1323340</wp:posOffset>
                      </wp:positionH>
                      <wp:positionV relativeFrom="paragraph">
                        <wp:posOffset>-498475</wp:posOffset>
                      </wp:positionV>
                      <wp:extent cx="498475" cy="274955"/>
                      <wp:effectExtent l="0" t="0" r="15875" b="10795"/>
                      <wp:wrapNone/>
                      <wp:docPr id="40" name="文本框 40"/>
                      <wp:cNvGraphicFramePr/>
                      <a:graphic xmlns:a="http://schemas.openxmlformats.org/drawingml/2006/main">
                        <a:graphicData uri="http://schemas.microsoft.com/office/word/2010/wordprocessingShape">
                          <wps:wsp>
                            <wps:cNvSpPr txBox="1"/>
                            <wps:spPr>
                              <a:xfrm>
                                <a:off x="0" y="0"/>
                                <a:ext cx="498475" cy="274955"/>
                              </a:xfrm>
                              <a:prstGeom prst="rect">
                                <a:avLst/>
                              </a:prstGeom>
                              <a:solidFill>
                                <a:srgbClr val="FFFFFF"/>
                              </a:solidFill>
                              <a:ln>
                                <a:noFill/>
                              </a:ln>
                            </wps:spPr>
                            <wps:txbx>
                              <w:txbxContent>
                                <w:p w14:paraId="5F1140DD">
                                  <w:pPr>
                                    <w:rPr>
                                      <w:rFonts w:hint="eastAsia" w:ascii="黑体" w:hAnsi="黑体" w:eastAsia="黑体" w:cs="黑体"/>
                                    </w:rPr>
                                  </w:pPr>
                                  <w:r>
                                    <w:rPr>
                                      <w:rFonts w:hint="eastAsia" w:ascii="黑体" w:hAnsi="黑体" w:eastAsia="黑体" w:cs="黑体"/>
                                    </w:rPr>
                                    <w:t>（续）</w:t>
                                  </w:r>
                                </w:p>
                              </w:txbxContent>
                            </wps:txbx>
                            <wps:bodyPr lIns="0" tIns="0" rIns="0" bIns="0" anchor="t" anchorCtr="0" upright="1"/>
                          </wps:wsp>
                        </a:graphicData>
                      </a:graphic>
                    </wp:anchor>
                  </w:drawing>
                </mc:Choice>
                <mc:Fallback>
                  <w:pict>
                    <v:shape id="_x0000_s1026" o:spid="_x0000_s1026" o:spt="202" type="#_x0000_t202" style="position:absolute;left:0pt;margin-left:104.2pt;margin-top:-39.25pt;height:21.65pt;width:39.25pt;z-index:251678720;mso-width-relative:page;mso-height-relative:page;" fillcolor="#FFFFFF" filled="t" stroked="f" coordsize="21600,21600" o:gfxdata="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GLmyI/aAAAACwEAAA8A&#10;AAAAAAAAAQAgAAAAIgAAAGRycy9kb3ducmV2LnhtbFBLAQIUABQAAAAIAIdO4kCMoHWy3AEAALUD&#10;AAAOAAAAAAAAAAEAIAAAACkBAABkcnMvZTJvRG9jLnhtbFBLBQYAAAAABgAGAFkBAAB3BQAAAAA=&#10;">
                      <v:fill on="t" focussize="0,0"/>
                      <v:stroke on="f"/>
                      <v:imagedata o:title=""/>
                      <o:lock v:ext="edit" aspectratio="f"/>
                      <v:textbox inset="0mm,0mm,0mm,0mm">
                        <w:txbxContent>
                          <w:p w14:paraId="5F1140DD">
                            <w:pPr>
                              <w:rPr>
                                <w:rFonts w:hint="eastAsia" w:ascii="黑体" w:hAnsi="黑体" w:eastAsia="黑体" w:cs="黑体"/>
                              </w:rPr>
                            </w:pPr>
                            <w:r>
                              <w:rPr>
                                <w:rFonts w:hint="eastAsia" w:ascii="黑体" w:hAnsi="黑体" w:eastAsia="黑体" w:cs="黑体"/>
                              </w:rPr>
                              <w:t>（续）</w:t>
                            </w:r>
                          </w:p>
                        </w:txbxContent>
                      </v:textbox>
                    </v:shape>
                  </w:pict>
                </mc:Fallback>
              </mc:AlternateContent>
            </w:r>
            <w:r>
              <w:rPr>
                <w:rFonts w:hint="eastAsia" w:ascii="宋体" w:hAnsi="宋体" w:cs="宋体"/>
                <w:kern w:val="0"/>
                <w:sz w:val="18"/>
                <w:szCs w:val="18"/>
              </w:rPr>
              <w:t>5.数据采集频率：实时</w:t>
            </w:r>
          </w:p>
          <w:p w14:paraId="4EB5C756">
            <w:pPr>
              <w:widowControl/>
              <w:spacing w:beforeLines="0" w:afterLines="0" w:line="240" w:lineRule="auto"/>
              <w:jc w:val="left"/>
              <w:rPr>
                <w:rFonts w:hint="eastAsia" w:ascii="宋体" w:hAnsi="宋体" w:cs="宋体"/>
                <w:kern w:val="0"/>
                <w:sz w:val="18"/>
                <w:szCs w:val="18"/>
              </w:rPr>
            </w:pPr>
            <w:r>
              <w:rPr>
                <w:rFonts w:hint="eastAsia" w:ascii="宋体" w:hAnsi="宋体" w:cs="宋体"/>
                <w:kern w:val="0"/>
                <w:sz w:val="18"/>
                <w:szCs w:val="18"/>
              </w:rPr>
              <w:t>6.数据上传频率：不低于2次/1min（可设置）</w:t>
            </w:r>
          </w:p>
          <w:p w14:paraId="4491D5D8">
            <w:pPr>
              <w:widowControl/>
              <w:spacing w:beforeLines="0" w:afterLines="0" w:line="240" w:lineRule="auto"/>
              <w:jc w:val="left"/>
              <w:rPr>
                <w:rFonts w:hint="eastAsia" w:ascii="宋体" w:hAnsi="宋体" w:cs="宋体"/>
                <w:kern w:val="0"/>
                <w:sz w:val="18"/>
                <w:szCs w:val="18"/>
              </w:rPr>
            </w:pPr>
            <w:r>
              <w:rPr>
                <w:rFonts w:hint="eastAsia" w:ascii="宋体" w:hAnsi="宋体" w:cs="宋体"/>
                <w:kern w:val="0"/>
                <w:sz w:val="18"/>
                <w:szCs w:val="18"/>
                <w:lang w:val="en-US" w:eastAsia="zh-CN"/>
              </w:rPr>
              <w:t>7.使用寿命：不低于5年</w:t>
            </w:r>
          </w:p>
        </w:tc>
      </w:tr>
      <w:tr w14:paraId="77E85EA6">
        <w:tblPrEx>
          <w:tblCellMar>
            <w:top w:w="0" w:type="dxa"/>
            <w:left w:w="108" w:type="dxa"/>
            <w:bottom w:w="0" w:type="dxa"/>
            <w:right w:w="108" w:type="dxa"/>
          </w:tblCellMar>
        </w:tblPrEx>
        <w:trPr>
          <w:trHeight w:val="283" w:hRule="atLeast"/>
        </w:trPr>
        <w:tc>
          <w:tcPr>
            <w:tcW w:w="1047" w:type="pct"/>
            <w:vMerge w:val="continue"/>
            <w:tcBorders>
              <w:top w:val="nil"/>
              <w:left w:val="single" w:color="auto" w:sz="4" w:space="0"/>
              <w:bottom w:val="single" w:color="auto" w:sz="4" w:space="0"/>
              <w:right w:val="single" w:color="auto" w:sz="4" w:space="0"/>
            </w:tcBorders>
            <w:vAlign w:val="center"/>
          </w:tcPr>
          <w:p w14:paraId="06AB1106">
            <w:pPr>
              <w:widowControl/>
              <w:spacing w:beforeLines="0" w:afterLines="0" w:line="240" w:lineRule="auto"/>
              <w:jc w:val="left"/>
              <w:rPr>
                <w:rFonts w:ascii="宋体" w:hAnsi="宋体" w:cs="宋体"/>
                <w:kern w:val="0"/>
                <w:sz w:val="18"/>
                <w:szCs w:val="18"/>
              </w:rPr>
            </w:pPr>
          </w:p>
        </w:tc>
        <w:tc>
          <w:tcPr>
            <w:tcW w:w="994" w:type="pct"/>
            <w:tcBorders>
              <w:top w:val="nil"/>
              <w:left w:val="nil"/>
              <w:bottom w:val="single" w:color="auto" w:sz="4" w:space="0"/>
              <w:right w:val="single" w:color="auto" w:sz="4" w:space="0"/>
            </w:tcBorders>
            <w:vAlign w:val="center"/>
          </w:tcPr>
          <w:p w14:paraId="7EE127A0">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周边土壤振动</w:t>
            </w:r>
          </w:p>
        </w:tc>
        <w:tc>
          <w:tcPr>
            <w:tcW w:w="2957" w:type="pct"/>
            <w:tcBorders>
              <w:top w:val="nil"/>
              <w:left w:val="nil"/>
              <w:bottom w:val="single" w:color="auto" w:sz="4" w:space="0"/>
              <w:right w:val="single" w:color="auto" w:sz="4" w:space="0"/>
            </w:tcBorders>
            <w:vAlign w:val="center"/>
          </w:tcPr>
          <w:p w14:paraId="2E02BD54">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1.报警设定值：阈值可设置</w:t>
            </w:r>
          </w:p>
          <w:p w14:paraId="06E6B3B4">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2.振动探测精度：±0.1%FS</w:t>
            </w:r>
          </w:p>
          <w:p w14:paraId="7FF7A34C">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3.振动探测频率：0.5—2Hz/1—100Hz/1—1000Hz</w:t>
            </w:r>
          </w:p>
          <w:p w14:paraId="5230A994">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4.防护等级：不低于IP20（主机设备）</w:t>
            </w:r>
          </w:p>
          <w:p w14:paraId="7B414162">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5.数据采集频率：实时</w:t>
            </w:r>
          </w:p>
          <w:p w14:paraId="2781B1A2">
            <w:pPr>
              <w:widowControl/>
              <w:spacing w:beforeLines="0" w:afterLines="0" w:line="240" w:lineRule="auto"/>
              <w:jc w:val="left"/>
              <w:rPr>
                <w:rFonts w:hint="eastAsia" w:ascii="宋体" w:hAnsi="宋体" w:cs="宋体"/>
                <w:kern w:val="0"/>
                <w:sz w:val="18"/>
                <w:szCs w:val="18"/>
              </w:rPr>
            </w:pPr>
            <w:r>
              <w:rPr>
                <w:rFonts w:hint="eastAsia" w:ascii="宋体" w:hAnsi="宋体" w:cs="宋体"/>
                <w:kern w:val="0"/>
                <w:sz w:val="18"/>
                <w:szCs w:val="18"/>
              </w:rPr>
              <w:t>6.数据上传频率：不低于2次/1min（可设置）</w:t>
            </w:r>
          </w:p>
          <w:p w14:paraId="10CB20DF">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7.使用寿命：不低于5年</w:t>
            </w:r>
          </w:p>
        </w:tc>
      </w:tr>
      <w:tr w14:paraId="602D30AF">
        <w:tblPrEx>
          <w:tblCellMar>
            <w:top w:w="0" w:type="dxa"/>
            <w:left w:w="108" w:type="dxa"/>
            <w:bottom w:w="0" w:type="dxa"/>
            <w:right w:w="108" w:type="dxa"/>
          </w:tblCellMar>
        </w:tblPrEx>
        <w:trPr>
          <w:trHeight w:val="283" w:hRule="atLeast"/>
        </w:trPr>
        <w:tc>
          <w:tcPr>
            <w:tcW w:w="1047" w:type="pct"/>
            <w:vMerge w:val="continue"/>
            <w:tcBorders>
              <w:top w:val="nil"/>
              <w:left w:val="single" w:color="auto" w:sz="4" w:space="0"/>
              <w:bottom w:val="single" w:color="auto" w:sz="4" w:space="0"/>
              <w:right w:val="single" w:color="auto" w:sz="4" w:space="0"/>
            </w:tcBorders>
            <w:vAlign w:val="center"/>
          </w:tcPr>
          <w:p w14:paraId="321908D3">
            <w:pPr>
              <w:widowControl/>
              <w:spacing w:beforeLines="0" w:afterLines="0" w:line="240" w:lineRule="auto"/>
              <w:jc w:val="left"/>
              <w:rPr>
                <w:rFonts w:ascii="宋体" w:hAnsi="宋体" w:cs="宋体"/>
                <w:kern w:val="0"/>
                <w:sz w:val="18"/>
                <w:szCs w:val="18"/>
              </w:rPr>
            </w:pPr>
          </w:p>
        </w:tc>
        <w:tc>
          <w:tcPr>
            <w:tcW w:w="994" w:type="pct"/>
            <w:tcBorders>
              <w:top w:val="nil"/>
              <w:left w:val="nil"/>
              <w:bottom w:val="single" w:color="auto" w:sz="4" w:space="0"/>
              <w:right w:val="single" w:color="auto" w:sz="4" w:space="0"/>
            </w:tcBorders>
            <w:vAlign w:val="center"/>
          </w:tcPr>
          <w:p w14:paraId="3067CFCD">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外护管电位</w:t>
            </w:r>
          </w:p>
        </w:tc>
        <w:tc>
          <w:tcPr>
            <w:tcW w:w="2957" w:type="pct"/>
            <w:tcBorders>
              <w:top w:val="nil"/>
              <w:left w:val="nil"/>
              <w:bottom w:val="single" w:color="auto" w:sz="4" w:space="0"/>
              <w:right w:val="single" w:color="auto" w:sz="4" w:space="0"/>
            </w:tcBorders>
            <w:vAlign w:val="center"/>
          </w:tcPr>
          <w:p w14:paraId="3CD9B7FD">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1.自然电位、断电电位参数</w:t>
            </w:r>
          </w:p>
          <w:p w14:paraId="783E74C2">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采样范围：±5.0V</w:t>
            </w:r>
          </w:p>
          <w:p w14:paraId="2890442E">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输入阻抗：≥10MΩ</w:t>
            </w:r>
          </w:p>
          <w:p w14:paraId="7084CCB6">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分辨率：1mV</w:t>
            </w:r>
          </w:p>
          <w:p w14:paraId="1319D001">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准确度：不低于0.5级</w:t>
            </w:r>
          </w:p>
          <w:p w14:paraId="1F49EF34">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w:t>
            </w:r>
            <w:r>
              <w:rPr>
                <w:rFonts w:hint="eastAsia" w:ascii="宋体" w:hAnsi="宋体" w:cs="宋体"/>
                <w:kern w:val="0"/>
                <w:sz w:val="18"/>
                <w:szCs w:val="18"/>
                <w:lang w:val="en-US" w:eastAsia="zh-CN"/>
              </w:rPr>
              <w:t>.</w:t>
            </w:r>
            <w:r>
              <w:rPr>
                <w:rFonts w:hint="eastAsia" w:ascii="宋体" w:hAnsi="宋体" w:cs="宋体"/>
                <w:kern w:val="0"/>
                <w:sz w:val="18"/>
                <w:szCs w:val="18"/>
              </w:rPr>
              <w:t>通电电位参数</w:t>
            </w:r>
          </w:p>
          <w:p w14:paraId="155CEE79">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采样范围：±5.0V、±20.00V、±100.0V</w:t>
            </w:r>
          </w:p>
          <w:p w14:paraId="5A00E34E">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分辨率：不低于量程的0.1%</w:t>
            </w:r>
          </w:p>
          <w:p w14:paraId="7EFB1F04">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各量程准确度：不低于0.5级</w:t>
            </w:r>
          </w:p>
          <w:p w14:paraId="5615F775">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w:t>
            </w:r>
            <w:r>
              <w:rPr>
                <w:rFonts w:hint="eastAsia" w:ascii="宋体" w:hAnsi="宋体" w:cs="宋体"/>
                <w:kern w:val="0"/>
                <w:sz w:val="18"/>
                <w:szCs w:val="18"/>
                <w:lang w:val="en-US" w:eastAsia="zh-CN"/>
              </w:rPr>
              <w:t>.</w:t>
            </w:r>
            <w:r>
              <w:rPr>
                <w:rFonts w:hint="eastAsia" w:ascii="宋体" w:hAnsi="宋体" w:cs="宋体"/>
                <w:kern w:val="0"/>
                <w:sz w:val="18"/>
                <w:szCs w:val="18"/>
              </w:rPr>
              <w:t>交流干扰电压</w:t>
            </w:r>
          </w:p>
          <w:p w14:paraId="2A0313CF">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采样范围：0V～30V，或按设计要求</w:t>
            </w:r>
          </w:p>
          <w:p w14:paraId="7AEA5969">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分辨率：0.1V</w:t>
            </w:r>
          </w:p>
          <w:p w14:paraId="2849F6AB">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各量程准确度：不低于1级（误差≤1%FS，25°C）</w:t>
            </w:r>
          </w:p>
          <w:p w14:paraId="7E251872">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w:t>
            </w:r>
            <w:r>
              <w:rPr>
                <w:rFonts w:hint="eastAsia" w:ascii="宋体" w:hAnsi="宋体" w:cs="宋体"/>
                <w:kern w:val="0"/>
                <w:sz w:val="18"/>
                <w:szCs w:val="18"/>
                <w:lang w:val="en-US" w:eastAsia="zh-CN"/>
              </w:rPr>
              <w:t>.</w:t>
            </w:r>
            <w:r>
              <w:rPr>
                <w:rFonts w:hint="eastAsia" w:ascii="宋体" w:hAnsi="宋体" w:cs="宋体"/>
                <w:kern w:val="0"/>
                <w:sz w:val="18"/>
                <w:szCs w:val="18"/>
              </w:rPr>
              <w:t>交流腐蚀试片交直流电流</w:t>
            </w:r>
          </w:p>
          <w:p w14:paraId="50AB8841">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采样范围：±1mA，±20mA的量程选择</w:t>
            </w:r>
          </w:p>
          <w:p w14:paraId="47812A99">
            <w:pPr>
              <w:widowControl/>
              <w:spacing w:beforeLines="0" w:afterLines="0" w:line="240" w:lineRule="auto"/>
              <w:jc w:val="left"/>
              <w:rPr>
                <w:rFonts w:hint="eastAsia" w:ascii="宋体" w:hAnsi="宋体" w:cs="宋体"/>
                <w:kern w:val="0"/>
                <w:sz w:val="18"/>
                <w:szCs w:val="18"/>
              </w:rPr>
            </w:pPr>
            <w:r>
              <w:rPr>
                <w:rFonts w:hint="eastAsia" w:ascii="宋体" w:hAnsi="宋体" w:cs="宋体"/>
                <w:kern w:val="0"/>
                <w:sz w:val="18"/>
                <w:szCs w:val="18"/>
              </w:rPr>
              <w:t>交流电流分辨率不低于10uA，直流电流分辨率不低于1uA；交、直流电流采样误差≤1%FS，25℃</w:t>
            </w:r>
          </w:p>
          <w:p w14:paraId="045D24B8">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5.使用寿命：不低于5年</w:t>
            </w:r>
          </w:p>
        </w:tc>
      </w:tr>
      <w:tr w14:paraId="0D871971">
        <w:tblPrEx>
          <w:tblCellMar>
            <w:top w:w="0" w:type="dxa"/>
            <w:left w:w="108" w:type="dxa"/>
            <w:bottom w:w="0" w:type="dxa"/>
            <w:right w:w="108" w:type="dxa"/>
          </w:tblCellMar>
        </w:tblPrEx>
        <w:trPr>
          <w:trHeight w:val="283" w:hRule="atLeast"/>
        </w:trPr>
        <w:tc>
          <w:tcPr>
            <w:tcW w:w="1047" w:type="pct"/>
            <w:vMerge w:val="restart"/>
            <w:tcBorders>
              <w:top w:val="single" w:color="auto" w:sz="4" w:space="0"/>
              <w:left w:val="single" w:color="auto" w:sz="4" w:space="0"/>
              <w:bottom w:val="single" w:color="auto" w:sz="4" w:space="0"/>
              <w:right w:val="single" w:color="auto" w:sz="4" w:space="0"/>
            </w:tcBorders>
            <w:vAlign w:val="center"/>
          </w:tcPr>
          <w:p w14:paraId="23088398">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直埋热水管道</w:t>
            </w:r>
          </w:p>
        </w:tc>
        <w:tc>
          <w:tcPr>
            <w:tcW w:w="994" w:type="pct"/>
            <w:tcBorders>
              <w:top w:val="nil"/>
              <w:left w:val="nil"/>
              <w:bottom w:val="single" w:color="auto" w:sz="4" w:space="0"/>
              <w:right w:val="single" w:color="auto" w:sz="4" w:space="0"/>
            </w:tcBorders>
            <w:vAlign w:val="center"/>
          </w:tcPr>
          <w:p w14:paraId="566BDAB7">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外护管表面温度</w:t>
            </w:r>
          </w:p>
        </w:tc>
        <w:tc>
          <w:tcPr>
            <w:tcW w:w="2957" w:type="pct"/>
            <w:tcBorders>
              <w:top w:val="nil"/>
              <w:left w:val="nil"/>
              <w:bottom w:val="single" w:color="auto" w:sz="4" w:space="0"/>
              <w:right w:val="single" w:color="auto" w:sz="4" w:space="0"/>
            </w:tcBorders>
            <w:vAlign w:val="center"/>
          </w:tcPr>
          <w:p w14:paraId="499B18E5">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1.报警设定值：阈值可设置</w:t>
            </w:r>
          </w:p>
          <w:p w14:paraId="5F4E8380">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2.温度探测精度：±0.1℃</w:t>
            </w:r>
          </w:p>
          <w:p w14:paraId="3681E361">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3.温度探测范围：0-200℃</w:t>
            </w:r>
          </w:p>
          <w:p w14:paraId="720955F4">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4.防护等级：不低于IP20（主机设备）</w:t>
            </w:r>
          </w:p>
          <w:p w14:paraId="48F5C005">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5.数据采集频率：实时</w:t>
            </w:r>
          </w:p>
          <w:p w14:paraId="622B5E62">
            <w:pPr>
              <w:widowControl/>
              <w:spacing w:beforeLines="0" w:afterLines="0" w:line="240" w:lineRule="auto"/>
              <w:jc w:val="left"/>
              <w:rPr>
                <w:rFonts w:hint="eastAsia" w:ascii="宋体" w:hAnsi="宋体" w:cs="宋体"/>
                <w:kern w:val="0"/>
                <w:sz w:val="18"/>
                <w:szCs w:val="18"/>
              </w:rPr>
            </w:pPr>
            <w:r>
              <w:rPr>
                <w:rFonts w:hint="eastAsia" w:ascii="宋体" w:hAnsi="宋体" w:cs="宋体"/>
                <w:kern w:val="0"/>
                <w:sz w:val="18"/>
                <w:szCs w:val="18"/>
              </w:rPr>
              <w:t>6.数据上传频率：不低于2次/1min（可设置）</w:t>
            </w:r>
          </w:p>
          <w:p w14:paraId="156B36C1">
            <w:pPr>
              <w:widowControl/>
              <w:spacing w:beforeLines="0" w:afterLines="0" w:line="240" w:lineRule="auto"/>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7.使用寿命：不低于5年</w:t>
            </w:r>
          </w:p>
        </w:tc>
      </w:tr>
      <w:tr w14:paraId="1AE0DA6B">
        <w:tblPrEx>
          <w:tblCellMar>
            <w:top w:w="0" w:type="dxa"/>
            <w:left w:w="108" w:type="dxa"/>
            <w:bottom w:w="0" w:type="dxa"/>
            <w:right w:w="108" w:type="dxa"/>
          </w:tblCellMar>
        </w:tblPrEx>
        <w:trPr>
          <w:trHeight w:val="283" w:hRule="atLeast"/>
        </w:trPr>
        <w:tc>
          <w:tcPr>
            <w:tcW w:w="1047" w:type="pct"/>
            <w:vMerge w:val="continue"/>
            <w:tcBorders>
              <w:top w:val="single" w:color="auto" w:sz="4" w:space="0"/>
              <w:left w:val="single" w:color="auto" w:sz="4" w:space="0"/>
              <w:bottom w:val="single" w:color="auto" w:sz="4" w:space="0"/>
              <w:right w:val="single" w:color="auto" w:sz="4" w:space="0"/>
            </w:tcBorders>
            <w:vAlign w:val="center"/>
          </w:tcPr>
          <w:p w14:paraId="18FCD038">
            <w:pPr>
              <w:widowControl/>
              <w:spacing w:beforeLines="0" w:afterLines="0" w:line="240" w:lineRule="auto"/>
              <w:jc w:val="left"/>
              <w:rPr>
                <w:rFonts w:ascii="宋体" w:hAnsi="宋体" w:cs="宋体"/>
                <w:kern w:val="0"/>
                <w:sz w:val="18"/>
                <w:szCs w:val="18"/>
              </w:rPr>
            </w:pPr>
          </w:p>
        </w:tc>
        <w:tc>
          <w:tcPr>
            <w:tcW w:w="994" w:type="pct"/>
            <w:tcBorders>
              <w:top w:val="nil"/>
              <w:left w:val="nil"/>
              <w:bottom w:val="single" w:color="auto" w:sz="4" w:space="0"/>
              <w:right w:val="single" w:color="auto" w:sz="4" w:space="0"/>
            </w:tcBorders>
            <w:vAlign w:val="center"/>
          </w:tcPr>
          <w:p w14:paraId="71FE19B3">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周边土壤振动</w:t>
            </w:r>
          </w:p>
        </w:tc>
        <w:tc>
          <w:tcPr>
            <w:tcW w:w="2957" w:type="pct"/>
            <w:tcBorders>
              <w:top w:val="nil"/>
              <w:left w:val="nil"/>
              <w:bottom w:val="single" w:color="auto" w:sz="4" w:space="0"/>
              <w:right w:val="single" w:color="auto" w:sz="4" w:space="0"/>
            </w:tcBorders>
            <w:vAlign w:val="center"/>
          </w:tcPr>
          <w:p w14:paraId="260E7E6B">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1.报警设定值：阈值可设置</w:t>
            </w:r>
          </w:p>
          <w:p w14:paraId="05FB86D5">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2.振动探测精度：±0.1%FS</w:t>
            </w:r>
          </w:p>
          <w:p w14:paraId="219CE2B5">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3.振动探测频率：0.5—2Hz/1—100Hz/1—1000Hz</w:t>
            </w:r>
          </w:p>
          <w:p w14:paraId="07DCF15B">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4.防护等级：不低于IP20（主机设备）</w:t>
            </w:r>
          </w:p>
          <w:p w14:paraId="5BECD63A">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5.数据采集频率：实时</w:t>
            </w:r>
          </w:p>
          <w:p w14:paraId="16F235DB">
            <w:pPr>
              <w:widowControl/>
              <w:spacing w:beforeLines="0" w:afterLines="0" w:line="240" w:lineRule="auto"/>
              <w:jc w:val="left"/>
              <w:rPr>
                <w:rFonts w:hint="eastAsia" w:ascii="宋体" w:hAnsi="宋体" w:cs="宋体"/>
                <w:kern w:val="0"/>
                <w:sz w:val="18"/>
                <w:szCs w:val="18"/>
              </w:rPr>
            </w:pPr>
            <w:r>
              <w:rPr>
                <w:rFonts w:hint="eastAsia" w:ascii="宋体" w:hAnsi="宋体" w:cs="宋体"/>
                <w:kern w:val="0"/>
                <w:sz w:val="18"/>
                <w:szCs w:val="18"/>
              </w:rPr>
              <w:t>6.数据上传频率：不低于2次/1min（可设置）</w:t>
            </w:r>
          </w:p>
          <w:p w14:paraId="2FD9F48D">
            <w:pPr>
              <w:widowControl/>
              <w:spacing w:beforeLines="0" w:afterLines="0" w:line="240" w:lineRule="auto"/>
              <w:jc w:val="left"/>
              <w:rPr>
                <w:rFonts w:ascii="宋体" w:hAnsi="宋体" w:cs="宋体"/>
                <w:kern w:val="0"/>
                <w:sz w:val="18"/>
                <w:szCs w:val="18"/>
              </w:rPr>
            </w:pPr>
            <w:r>
              <mc:AlternateContent>
                <mc:Choice Requires="wps">
                  <w:drawing>
                    <wp:anchor distT="0" distB="0" distL="114300" distR="114300" simplePos="0" relativeHeight="251679744" behindDoc="0" locked="0" layoutInCell="1" allowOverlap="1">
                      <wp:simplePos x="0" y="0"/>
                      <wp:positionH relativeFrom="column">
                        <wp:posOffset>1352550</wp:posOffset>
                      </wp:positionH>
                      <wp:positionV relativeFrom="paragraph">
                        <wp:posOffset>-499110</wp:posOffset>
                      </wp:positionV>
                      <wp:extent cx="498475" cy="274955"/>
                      <wp:effectExtent l="0" t="0" r="15875" b="10795"/>
                      <wp:wrapNone/>
                      <wp:docPr id="41" name="文本框 41"/>
                      <wp:cNvGraphicFramePr/>
                      <a:graphic xmlns:a="http://schemas.openxmlformats.org/drawingml/2006/main">
                        <a:graphicData uri="http://schemas.microsoft.com/office/word/2010/wordprocessingShape">
                          <wps:wsp>
                            <wps:cNvSpPr txBox="1"/>
                            <wps:spPr>
                              <a:xfrm>
                                <a:off x="0" y="0"/>
                                <a:ext cx="498475" cy="274955"/>
                              </a:xfrm>
                              <a:prstGeom prst="rect">
                                <a:avLst/>
                              </a:prstGeom>
                              <a:solidFill>
                                <a:srgbClr val="FFFFFF"/>
                              </a:solidFill>
                              <a:ln>
                                <a:noFill/>
                              </a:ln>
                            </wps:spPr>
                            <wps:txbx>
                              <w:txbxContent>
                                <w:p w14:paraId="3E67DBEE">
                                  <w:pPr>
                                    <w:rPr>
                                      <w:rFonts w:hint="eastAsia" w:ascii="黑体" w:hAnsi="黑体" w:eastAsia="黑体" w:cs="黑体"/>
                                    </w:rPr>
                                  </w:pPr>
                                  <w:r>
                                    <w:rPr>
                                      <w:rFonts w:hint="eastAsia" w:ascii="黑体" w:hAnsi="黑体" w:eastAsia="黑体" w:cs="黑体"/>
                                    </w:rPr>
                                    <w:t>（续）</w:t>
                                  </w:r>
                                </w:p>
                              </w:txbxContent>
                            </wps:txbx>
                            <wps:bodyPr lIns="0" tIns="0" rIns="0" bIns="0" anchor="t" anchorCtr="0" upright="1"/>
                          </wps:wsp>
                        </a:graphicData>
                      </a:graphic>
                    </wp:anchor>
                  </w:drawing>
                </mc:Choice>
                <mc:Fallback>
                  <w:pict>
                    <v:shape id="_x0000_s1026" o:spid="_x0000_s1026" o:spt="202" type="#_x0000_t202" style="position:absolute;left:0pt;margin-left:106.5pt;margin-top:-39.3pt;height:21.65pt;width:39.25pt;z-index:251679744;mso-width-relative:page;mso-height-relative:page;" fillcolor="#FFFFFF" filled="t" stroked="f" coordsize="21600,21600" o:gfxdata="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p2FymNsAAAALAQAA&#10;DwAAAAAAAAABACAAAAAiAAAAZHJzL2Rvd25yZXYueG1sUEsBAhQAFAAAAAgAh07iQJ8luxPdAQAA&#10;tQMAAA4AAAAAAAAAAQAgAAAAKgEAAGRycy9lMm9Eb2MueG1sUEsFBgAAAAAGAAYAWQEAAHkFAAAA&#10;AA==&#10;">
                      <v:fill on="t" focussize="0,0"/>
                      <v:stroke on="f"/>
                      <v:imagedata o:title=""/>
                      <o:lock v:ext="edit" aspectratio="f"/>
                      <v:textbox inset="0mm,0mm,0mm,0mm">
                        <w:txbxContent>
                          <w:p w14:paraId="3E67DBEE">
                            <w:pPr>
                              <w:rPr>
                                <w:rFonts w:hint="eastAsia" w:ascii="黑体" w:hAnsi="黑体" w:eastAsia="黑体" w:cs="黑体"/>
                              </w:rPr>
                            </w:pPr>
                            <w:r>
                              <w:rPr>
                                <w:rFonts w:hint="eastAsia" w:ascii="黑体" w:hAnsi="黑体" w:eastAsia="黑体" w:cs="黑体"/>
                              </w:rPr>
                              <w:t>（续）</w:t>
                            </w:r>
                          </w:p>
                        </w:txbxContent>
                      </v:textbox>
                    </v:shape>
                  </w:pict>
                </mc:Fallback>
              </mc:AlternateContent>
            </w:r>
            <w:r>
              <w:rPr>
                <w:rFonts w:hint="eastAsia" w:ascii="宋体" w:hAnsi="宋体" w:cs="宋体"/>
                <w:kern w:val="0"/>
                <w:sz w:val="18"/>
                <w:szCs w:val="18"/>
                <w:lang w:val="en-US" w:eastAsia="zh-CN"/>
              </w:rPr>
              <w:t>7.使用寿命：不低于5年</w:t>
            </w:r>
          </w:p>
        </w:tc>
      </w:tr>
      <w:tr w14:paraId="4648B6FB">
        <w:tblPrEx>
          <w:tblCellMar>
            <w:top w:w="0" w:type="dxa"/>
            <w:left w:w="108" w:type="dxa"/>
            <w:bottom w:w="0" w:type="dxa"/>
            <w:right w:w="108" w:type="dxa"/>
          </w:tblCellMar>
        </w:tblPrEx>
        <w:trPr>
          <w:trHeight w:val="283" w:hRule="atLeast"/>
        </w:trPr>
        <w:tc>
          <w:tcPr>
            <w:tcW w:w="1047" w:type="pct"/>
            <w:vMerge w:val="restart"/>
            <w:tcBorders>
              <w:top w:val="single" w:color="auto" w:sz="4" w:space="0"/>
              <w:left w:val="single" w:color="auto" w:sz="4" w:space="0"/>
              <w:bottom w:val="single" w:color="auto" w:sz="4" w:space="0"/>
              <w:right w:val="single" w:color="auto" w:sz="4" w:space="0"/>
            </w:tcBorders>
            <w:vAlign w:val="center"/>
          </w:tcPr>
          <w:p w14:paraId="3E7C52F5">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热力阀井、阀室</w:t>
            </w:r>
          </w:p>
        </w:tc>
        <w:tc>
          <w:tcPr>
            <w:tcW w:w="994" w:type="pct"/>
            <w:tcBorders>
              <w:top w:val="nil"/>
              <w:left w:val="nil"/>
              <w:bottom w:val="single" w:color="auto" w:sz="4" w:space="0"/>
              <w:right w:val="single" w:color="auto" w:sz="4" w:space="0"/>
            </w:tcBorders>
            <w:vAlign w:val="center"/>
          </w:tcPr>
          <w:p w14:paraId="730FA228">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介质压力</w:t>
            </w:r>
          </w:p>
        </w:tc>
        <w:tc>
          <w:tcPr>
            <w:tcW w:w="2957" w:type="pct"/>
            <w:tcBorders>
              <w:top w:val="nil"/>
              <w:left w:val="nil"/>
              <w:bottom w:val="single" w:color="auto" w:sz="4" w:space="0"/>
              <w:right w:val="single" w:color="auto" w:sz="4" w:space="0"/>
            </w:tcBorders>
            <w:vAlign w:val="center"/>
          </w:tcPr>
          <w:p w14:paraId="2377A65F">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1.探测精度：±0.5%FS</w:t>
            </w:r>
          </w:p>
          <w:p w14:paraId="69EBBC96">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2.防护等级：不低于IP65</w:t>
            </w:r>
          </w:p>
          <w:p w14:paraId="174E3D35">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3.数据采集频率：实时</w:t>
            </w:r>
          </w:p>
          <w:p w14:paraId="09AE4E26">
            <w:pPr>
              <w:widowControl/>
              <w:spacing w:beforeLines="0" w:afterLines="0" w:line="240" w:lineRule="auto"/>
              <w:jc w:val="left"/>
              <w:rPr>
                <w:rFonts w:hint="eastAsia" w:ascii="宋体" w:hAnsi="宋体" w:cs="宋体"/>
                <w:kern w:val="0"/>
                <w:sz w:val="18"/>
                <w:szCs w:val="18"/>
              </w:rPr>
            </w:pPr>
            <w:r>
              <w:rPr>
                <w:rFonts w:hint="eastAsia" w:ascii="宋体" w:hAnsi="宋体" w:cs="宋体"/>
                <w:kern w:val="0"/>
                <w:sz w:val="18"/>
                <w:szCs w:val="18"/>
              </w:rPr>
              <w:t>4.数据上传频率：不低于5次/1min（可设置）</w:t>
            </w:r>
          </w:p>
          <w:p w14:paraId="7B692776">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5.使用寿命：不低于5年</w:t>
            </w:r>
          </w:p>
        </w:tc>
      </w:tr>
      <w:tr w14:paraId="30D40F3F">
        <w:tblPrEx>
          <w:tblCellMar>
            <w:top w:w="0" w:type="dxa"/>
            <w:left w:w="108" w:type="dxa"/>
            <w:bottom w:w="0" w:type="dxa"/>
            <w:right w:w="108" w:type="dxa"/>
          </w:tblCellMar>
        </w:tblPrEx>
        <w:trPr>
          <w:trHeight w:val="283" w:hRule="atLeast"/>
        </w:trPr>
        <w:tc>
          <w:tcPr>
            <w:tcW w:w="1047" w:type="pct"/>
            <w:vMerge w:val="continue"/>
            <w:tcBorders>
              <w:top w:val="single" w:color="auto" w:sz="4" w:space="0"/>
              <w:left w:val="single" w:color="auto" w:sz="4" w:space="0"/>
              <w:bottom w:val="single" w:color="auto" w:sz="4" w:space="0"/>
              <w:right w:val="single" w:color="auto" w:sz="4" w:space="0"/>
            </w:tcBorders>
            <w:vAlign w:val="center"/>
          </w:tcPr>
          <w:p w14:paraId="69539471">
            <w:pPr>
              <w:widowControl/>
              <w:spacing w:beforeLines="0" w:afterLines="0" w:line="240" w:lineRule="auto"/>
              <w:jc w:val="left"/>
              <w:rPr>
                <w:rFonts w:ascii="宋体" w:hAnsi="宋体" w:cs="宋体"/>
                <w:kern w:val="0"/>
                <w:sz w:val="18"/>
                <w:szCs w:val="18"/>
              </w:rPr>
            </w:pPr>
          </w:p>
        </w:tc>
        <w:tc>
          <w:tcPr>
            <w:tcW w:w="994" w:type="pct"/>
            <w:tcBorders>
              <w:top w:val="nil"/>
              <w:left w:val="nil"/>
              <w:bottom w:val="single" w:color="auto" w:sz="4" w:space="0"/>
              <w:right w:val="single" w:color="auto" w:sz="4" w:space="0"/>
            </w:tcBorders>
            <w:vAlign w:val="center"/>
          </w:tcPr>
          <w:p w14:paraId="00F391C5">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介质温度</w:t>
            </w:r>
          </w:p>
        </w:tc>
        <w:tc>
          <w:tcPr>
            <w:tcW w:w="2957" w:type="pct"/>
            <w:tcBorders>
              <w:top w:val="nil"/>
              <w:left w:val="nil"/>
              <w:bottom w:val="single" w:color="auto" w:sz="4" w:space="0"/>
              <w:right w:val="single" w:color="auto" w:sz="4" w:space="0"/>
            </w:tcBorders>
            <w:vAlign w:val="center"/>
          </w:tcPr>
          <w:p w14:paraId="2F3A5E77">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1.探测精度：±0.5%FS</w:t>
            </w:r>
          </w:p>
          <w:p w14:paraId="4C3F5E69">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2.防护等级：不低于IP65</w:t>
            </w:r>
          </w:p>
          <w:p w14:paraId="354EC0B8">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3.数据采集频率：不低于5次/1min（可设置）</w:t>
            </w:r>
          </w:p>
          <w:p w14:paraId="519469A7">
            <w:pPr>
              <w:widowControl/>
              <w:spacing w:beforeLines="0" w:afterLines="0" w:line="240" w:lineRule="auto"/>
              <w:jc w:val="left"/>
              <w:rPr>
                <w:rFonts w:hint="eastAsia" w:ascii="宋体" w:hAnsi="宋体" w:cs="宋体"/>
                <w:kern w:val="0"/>
                <w:sz w:val="18"/>
                <w:szCs w:val="18"/>
              </w:rPr>
            </w:pPr>
            <w:r>
              <w:rPr>
                <w:rFonts w:hint="eastAsia" w:ascii="宋体" w:hAnsi="宋体" w:cs="宋体"/>
                <w:kern w:val="0"/>
                <w:sz w:val="18"/>
                <w:szCs w:val="18"/>
              </w:rPr>
              <w:t>4.数据上传频率：不低于5次/1min（可设置）</w:t>
            </w:r>
          </w:p>
          <w:p w14:paraId="2B50465A">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lang w:val="en-US" w:eastAsia="zh-CN"/>
              </w:rPr>
              <w:t>5.使用寿命：不低于5年</w:t>
            </w:r>
          </w:p>
        </w:tc>
      </w:tr>
    </w:tbl>
    <w:p w14:paraId="021FEA5F">
      <w:pPr>
        <w:pStyle w:val="98"/>
        <w:spacing w:before="31" w:after="31"/>
        <w:rPr>
          <w:bCs/>
          <w:color w:val="auto"/>
        </w:rPr>
      </w:pPr>
    </w:p>
    <w:p w14:paraId="68271650">
      <w:pPr>
        <w:spacing w:before="31" w:after="31"/>
      </w:pPr>
    </w:p>
    <w:p w14:paraId="3AF13BD5">
      <w:pPr>
        <w:spacing w:before="31" w:after="31"/>
        <w:sectPr>
          <w:pgSz w:w="11907" w:h="16840"/>
          <w:pgMar w:top="1440" w:right="1418" w:bottom="1440" w:left="1418" w:header="851" w:footer="992" w:gutter="567"/>
          <w:pgBorders>
            <w:top w:val="none" w:sz="0" w:space="0"/>
            <w:left w:val="none" w:sz="0" w:space="0"/>
            <w:bottom w:val="none" w:sz="0" w:space="0"/>
            <w:right w:val="none" w:sz="0" w:space="0"/>
          </w:pgBorders>
          <w:cols w:space="720" w:num="1"/>
          <w:docGrid w:type="linesAndChars" w:linePitch="312" w:charSpace="0"/>
        </w:sectPr>
      </w:pPr>
    </w:p>
    <w:p w14:paraId="32C605A3">
      <w:pPr>
        <w:pStyle w:val="2"/>
        <w:pageBreakBefore/>
        <w:tabs>
          <w:tab w:val="left" w:pos="454"/>
        </w:tabs>
        <w:spacing w:beforeLines="100" w:afterLines="100"/>
        <w:rPr>
          <w:rFonts w:hint="eastAsia" w:ascii="宋体" w:hAnsi="宋体"/>
          <w:szCs w:val="21"/>
        </w:rPr>
      </w:pPr>
      <w:bookmarkStart w:id="188" w:name="_Toc28894"/>
      <w:r>
        <w:rPr>
          <w:rFonts w:hint="eastAsia" w:ascii="宋体" w:hAnsi="宋体"/>
          <w:szCs w:val="21"/>
          <w:lang w:val="en-US" w:eastAsia="zh-CN"/>
        </w:rPr>
        <w:t>C</w:t>
      </w:r>
      <w:r>
        <w:rPr>
          <w:rFonts w:hint="eastAsia" w:ascii="宋体" w:hAnsi="宋体"/>
          <w:szCs w:val="21"/>
        </w:rPr>
        <w:t>.5桥梁</w:t>
      </w:r>
      <w:r>
        <w:rPr>
          <w:rFonts w:hint="eastAsia" w:ascii="宋体" w:hAnsi="宋体"/>
          <w:szCs w:val="21"/>
          <w:lang w:eastAsia="zh-CN"/>
        </w:rPr>
        <w:t>监测设备</w:t>
      </w:r>
      <w:r>
        <w:rPr>
          <w:rFonts w:hint="eastAsia" w:ascii="宋体" w:hAnsi="宋体"/>
          <w:szCs w:val="21"/>
          <w:lang w:val="en-US" w:eastAsia="zh-CN"/>
        </w:rPr>
        <w:t>性能</w:t>
      </w:r>
      <w:r>
        <w:rPr>
          <w:rFonts w:hint="eastAsia" w:ascii="宋体" w:hAnsi="宋体"/>
          <w:szCs w:val="21"/>
        </w:rPr>
        <w:t>要求</w:t>
      </w:r>
      <w:bookmarkEnd w:id="188"/>
    </w:p>
    <w:p w14:paraId="78565CFE">
      <w:pPr>
        <w:rPr>
          <w:rFonts w:hint="eastAsia" w:ascii="黑体" w:hAnsi="黑体" w:eastAsia="黑体"/>
          <w:bCs/>
          <w:color w:val="auto"/>
          <w:lang w:val="en-US" w:eastAsia="zh-CN"/>
        </w:rPr>
      </w:pPr>
      <w:r>
        <w:rPr>
          <w:rFonts w:hint="eastAsia"/>
          <w:b w:val="0"/>
          <w:bCs w:val="0"/>
          <w:lang w:val="en-US" w:eastAsia="zh-CN"/>
        </w:rPr>
        <w:t>桥梁监测设备性能要求见表C.5。</w:t>
      </w:r>
    </w:p>
    <w:tbl>
      <w:tblPr>
        <w:tblStyle w:val="35"/>
        <w:tblW w:w="4879" w:type="pct"/>
        <w:jc w:val="center"/>
        <w:tblLayout w:type="autofit"/>
        <w:tblCellMar>
          <w:top w:w="0" w:type="dxa"/>
          <w:left w:w="108" w:type="dxa"/>
          <w:bottom w:w="0" w:type="dxa"/>
          <w:right w:w="108" w:type="dxa"/>
        </w:tblCellMar>
      </w:tblPr>
      <w:tblGrid>
        <w:gridCol w:w="1689"/>
        <w:gridCol w:w="1789"/>
        <w:gridCol w:w="5031"/>
      </w:tblGrid>
      <w:tr w14:paraId="5373325F">
        <w:tblPrEx>
          <w:tblCellMar>
            <w:top w:w="0" w:type="dxa"/>
            <w:left w:w="108" w:type="dxa"/>
            <w:bottom w:w="0" w:type="dxa"/>
            <w:right w:w="108" w:type="dxa"/>
          </w:tblCellMar>
        </w:tblPrEx>
        <w:trPr>
          <w:trHeight w:val="285" w:hRule="atLeast"/>
          <w:tblHeader/>
          <w:jc w:val="center"/>
        </w:trPr>
        <w:tc>
          <w:tcPr>
            <w:tcW w:w="5000" w:type="pct"/>
            <w:gridSpan w:val="3"/>
            <w:tcBorders>
              <w:top w:val="nil"/>
              <w:left w:val="nil"/>
              <w:bottom w:val="single" w:color="auto" w:sz="4" w:space="0"/>
              <w:right w:val="nil"/>
            </w:tcBorders>
            <w:noWrap/>
            <w:vAlign w:val="center"/>
          </w:tcPr>
          <w:p w14:paraId="57CCBCAD">
            <w:pPr>
              <w:pStyle w:val="98"/>
              <w:spacing w:before="31" w:after="31"/>
              <w:jc w:val="center"/>
              <w:rPr>
                <w:rFonts w:ascii="宋体" w:hAnsi="宋体"/>
                <w:b/>
                <w:bCs/>
                <w:kern w:val="0"/>
                <w:sz w:val="18"/>
                <w:szCs w:val="18"/>
              </w:rPr>
            </w:pPr>
            <w:r>
              <w:rPr>
                <w:rFonts w:hint="eastAsia" w:ascii="黑体" w:hAnsi="黑体" w:eastAsia="黑体"/>
                <w:bCs/>
                <w:color w:val="auto"/>
              </w:rPr>
              <w:t>表</w:t>
            </w:r>
            <w:r>
              <w:rPr>
                <w:rFonts w:hint="eastAsia" w:ascii="黑体" w:hAnsi="黑体" w:eastAsia="黑体"/>
                <w:bCs/>
                <w:color w:val="auto"/>
                <w:lang w:val="en-US" w:eastAsia="zh-CN"/>
              </w:rPr>
              <w:t>C</w:t>
            </w:r>
            <w:r>
              <w:rPr>
                <w:rFonts w:hint="eastAsia" w:ascii="黑体" w:hAnsi="黑体" w:eastAsia="黑体"/>
                <w:bCs/>
                <w:color w:val="auto"/>
              </w:rPr>
              <w:t>.5  桥梁</w:t>
            </w:r>
            <w:r>
              <w:rPr>
                <w:rFonts w:hint="eastAsia" w:ascii="黑体" w:hAnsi="黑体" w:eastAsia="黑体"/>
                <w:bCs/>
                <w:color w:val="auto"/>
                <w:lang w:eastAsia="zh-CN"/>
              </w:rPr>
              <w:t>监测设备</w:t>
            </w:r>
            <w:r>
              <w:rPr>
                <w:rFonts w:hint="eastAsia" w:ascii="黑体" w:hAnsi="黑体" w:eastAsia="黑体"/>
                <w:bCs/>
                <w:color w:val="auto"/>
                <w:lang w:val="en-US" w:eastAsia="zh-CN"/>
              </w:rPr>
              <w:t>性能</w:t>
            </w:r>
            <w:r>
              <w:rPr>
                <w:rFonts w:hint="eastAsia" w:ascii="黑体" w:hAnsi="黑体" w:eastAsia="黑体"/>
                <w:bCs/>
                <w:color w:val="auto"/>
              </w:rPr>
              <w:t>要求</w:t>
            </w:r>
          </w:p>
        </w:tc>
      </w:tr>
      <w:tr w14:paraId="3B034783">
        <w:tblPrEx>
          <w:tblCellMar>
            <w:top w:w="0" w:type="dxa"/>
            <w:left w:w="108" w:type="dxa"/>
            <w:bottom w:w="0" w:type="dxa"/>
            <w:right w:w="108" w:type="dxa"/>
          </w:tblCellMar>
        </w:tblPrEx>
        <w:trPr>
          <w:trHeight w:val="285" w:hRule="atLeast"/>
          <w:tblHeader/>
          <w:jc w:val="center"/>
        </w:trPr>
        <w:tc>
          <w:tcPr>
            <w:tcW w:w="993" w:type="pct"/>
            <w:tcBorders>
              <w:top w:val="nil"/>
              <w:left w:val="single" w:color="auto" w:sz="4" w:space="0"/>
              <w:bottom w:val="single" w:color="auto" w:sz="4" w:space="0"/>
              <w:right w:val="single" w:color="auto" w:sz="4" w:space="0"/>
            </w:tcBorders>
            <w:vAlign w:val="center"/>
          </w:tcPr>
          <w:p w14:paraId="508065C6">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监测对象</w:t>
            </w:r>
          </w:p>
        </w:tc>
        <w:tc>
          <w:tcPr>
            <w:tcW w:w="1051" w:type="pct"/>
            <w:tcBorders>
              <w:top w:val="nil"/>
              <w:left w:val="nil"/>
              <w:bottom w:val="single" w:color="auto" w:sz="4" w:space="0"/>
              <w:right w:val="single" w:color="auto" w:sz="4" w:space="0"/>
            </w:tcBorders>
            <w:vAlign w:val="center"/>
          </w:tcPr>
          <w:p w14:paraId="303B8B6F">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监测指标</w:t>
            </w:r>
          </w:p>
        </w:tc>
        <w:tc>
          <w:tcPr>
            <w:tcW w:w="2954" w:type="pct"/>
            <w:tcBorders>
              <w:top w:val="nil"/>
              <w:left w:val="nil"/>
              <w:bottom w:val="single" w:color="auto" w:sz="4" w:space="0"/>
              <w:right w:val="single" w:color="auto" w:sz="4" w:space="0"/>
            </w:tcBorders>
            <w:vAlign w:val="center"/>
          </w:tcPr>
          <w:p w14:paraId="5C1CF6BD">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监测设备</w:t>
            </w:r>
            <w:r>
              <w:rPr>
                <w:rFonts w:hint="eastAsia" w:ascii="宋体" w:hAnsi="宋体" w:cs="宋体"/>
                <w:kern w:val="0"/>
                <w:sz w:val="18"/>
                <w:szCs w:val="18"/>
                <w:lang w:val="en-US" w:eastAsia="zh-CN"/>
              </w:rPr>
              <w:t>性能</w:t>
            </w:r>
            <w:r>
              <w:rPr>
                <w:rFonts w:hint="eastAsia" w:ascii="宋体" w:hAnsi="宋体" w:cs="宋体"/>
                <w:kern w:val="0"/>
                <w:sz w:val="18"/>
                <w:szCs w:val="18"/>
              </w:rPr>
              <w:t>要求</w:t>
            </w:r>
          </w:p>
        </w:tc>
      </w:tr>
      <w:tr w14:paraId="651E4A66">
        <w:tblPrEx>
          <w:tblCellMar>
            <w:top w:w="0" w:type="dxa"/>
            <w:left w:w="108" w:type="dxa"/>
            <w:bottom w:w="0" w:type="dxa"/>
            <w:right w:w="108" w:type="dxa"/>
          </w:tblCellMar>
        </w:tblPrEx>
        <w:trPr>
          <w:trHeight w:val="1125" w:hRule="atLeast"/>
          <w:jc w:val="center"/>
        </w:trPr>
        <w:tc>
          <w:tcPr>
            <w:tcW w:w="993" w:type="pct"/>
            <w:vMerge w:val="restart"/>
            <w:tcBorders>
              <w:top w:val="nil"/>
              <w:left w:val="single" w:color="auto" w:sz="4" w:space="0"/>
              <w:bottom w:val="single" w:color="auto" w:sz="4" w:space="0"/>
              <w:right w:val="single" w:color="auto" w:sz="4" w:space="0"/>
            </w:tcBorders>
            <w:vAlign w:val="center"/>
          </w:tcPr>
          <w:p w14:paraId="4EF2C0C4">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桥梁结构</w:t>
            </w:r>
          </w:p>
        </w:tc>
        <w:tc>
          <w:tcPr>
            <w:tcW w:w="1051" w:type="pct"/>
            <w:tcBorders>
              <w:top w:val="nil"/>
              <w:left w:val="nil"/>
              <w:bottom w:val="single" w:color="auto" w:sz="4" w:space="0"/>
              <w:right w:val="single" w:color="auto" w:sz="4" w:space="0"/>
            </w:tcBorders>
            <w:vAlign w:val="center"/>
          </w:tcPr>
          <w:p w14:paraId="495A1D97">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倾角</w:t>
            </w:r>
          </w:p>
        </w:tc>
        <w:tc>
          <w:tcPr>
            <w:tcW w:w="2954" w:type="pct"/>
            <w:tcBorders>
              <w:top w:val="nil"/>
              <w:left w:val="nil"/>
              <w:bottom w:val="single" w:color="auto" w:sz="4" w:space="0"/>
              <w:right w:val="single" w:color="auto" w:sz="4" w:space="0"/>
            </w:tcBorders>
            <w:vAlign w:val="center"/>
          </w:tcPr>
          <w:p w14:paraId="1648064B">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1.量程：±15°</w:t>
            </w:r>
          </w:p>
          <w:p w14:paraId="6D77CFA1">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2.精度：±0.0</w:t>
            </w:r>
            <w:r>
              <w:rPr>
                <w:rFonts w:hint="eastAsia" w:ascii="宋体" w:hAnsi="宋体" w:cs="宋体"/>
                <w:kern w:val="0"/>
                <w:sz w:val="18"/>
                <w:szCs w:val="18"/>
                <w:lang w:val="en-US" w:eastAsia="zh-CN"/>
              </w:rPr>
              <w:t>2</w:t>
            </w:r>
            <w:r>
              <w:rPr>
                <w:rFonts w:hint="eastAsia" w:ascii="宋体" w:hAnsi="宋体" w:cs="宋体"/>
                <w:kern w:val="0"/>
                <w:sz w:val="18"/>
                <w:szCs w:val="18"/>
              </w:rPr>
              <w:t>°</w:t>
            </w:r>
          </w:p>
          <w:p w14:paraId="25C73D3A">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3.分辨率：0.0001°；</w:t>
            </w:r>
          </w:p>
          <w:p w14:paraId="620A3524">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p w14:paraId="365BD945">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5.防护等级：IP67。</w:t>
            </w:r>
          </w:p>
        </w:tc>
      </w:tr>
      <w:tr w14:paraId="4E48EDBC">
        <w:tblPrEx>
          <w:tblCellMar>
            <w:top w:w="0" w:type="dxa"/>
            <w:left w:w="108" w:type="dxa"/>
            <w:bottom w:w="0" w:type="dxa"/>
            <w:right w:w="108" w:type="dxa"/>
          </w:tblCellMar>
        </w:tblPrEx>
        <w:trPr>
          <w:trHeight w:val="1350" w:hRule="atLeast"/>
          <w:jc w:val="center"/>
        </w:trPr>
        <w:tc>
          <w:tcPr>
            <w:tcW w:w="993" w:type="pct"/>
            <w:vMerge w:val="continue"/>
            <w:tcBorders>
              <w:top w:val="nil"/>
              <w:left w:val="single" w:color="auto" w:sz="4" w:space="0"/>
              <w:bottom w:val="single" w:color="auto" w:sz="4" w:space="0"/>
              <w:right w:val="single" w:color="auto" w:sz="4" w:space="0"/>
            </w:tcBorders>
            <w:vAlign w:val="center"/>
          </w:tcPr>
          <w:p w14:paraId="228F8EB4">
            <w:pPr>
              <w:widowControl/>
              <w:spacing w:beforeLines="0" w:afterLines="0" w:line="240" w:lineRule="auto"/>
              <w:jc w:val="left"/>
              <w:rPr>
                <w:rFonts w:ascii="宋体" w:hAnsi="宋体" w:cs="宋体"/>
                <w:kern w:val="0"/>
                <w:sz w:val="18"/>
                <w:szCs w:val="18"/>
              </w:rPr>
            </w:pPr>
          </w:p>
        </w:tc>
        <w:tc>
          <w:tcPr>
            <w:tcW w:w="1051" w:type="pct"/>
            <w:tcBorders>
              <w:top w:val="nil"/>
              <w:left w:val="nil"/>
              <w:bottom w:val="single" w:color="auto" w:sz="4" w:space="0"/>
              <w:right w:val="single" w:color="auto" w:sz="4" w:space="0"/>
            </w:tcBorders>
            <w:vAlign w:val="center"/>
          </w:tcPr>
          <w:p w14:paraId="727AE6EC">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位移</w:t>
            </w:r>
          </w:p>
        </w:tc>
        <w:tc>
          <w:tcPr>
            <w:tcW w:w="2954" w:type="pct"/>
            <w:tcBorders>
              <w:top w:val="nil"/>
              <w:left w:val="nil"/>
              <w:bottom w:val="single" w:color="auto" w:sz="4" w:space="0"/>
              <w:right w:val="single" w:color="auto" w:sz="4" w:space="0"/>
            </w:tcBorders>
            <w:vAlign w:val="center"/>
          </w:tcPr>
          <w:p w14:paraId="7D5ED454">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1.量程：（0～±750）mm或根据桥梁设计最大位移2倍值确定；</w:t>
            </w:r>
          </w:p>
          <w:p w14:paraId="6E9CAD2F">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2.精度：0.1%FS；</w:t>
            </w:r>
          </w:p>
          <w:p w14:paraId="277341C6">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3.分辨率：0.</w:t>
            </w:r>
            <w:r>
              <w:rPr>
                <w:rFonts w:hint="default" w:ascii="宋体" w:hAnsi="宋体" w:cs="宋体"/>
                <w:kern w:val="0"/>
                <w:sz w:val="18"/>
                <w:szCs w:val="18"/>
                <w:lang w:val="en-US"/>
              </w:rPr>
              <w:t>01</w:t>
            </w:r>
            <w:r>
              <w:rPr>
                <w:rFonts w:hint="eastAsia" w:ascii="宋体" w:hAnsi="宋体" w:cs="宋体"/>
                <w:kern w:val="0"/>
                <w:sz w:val="18"/>
                <w:szCs w:val="18"/>
              </w:rPr>
              <w:t>mm；</w:t>
            </w:r>
          </w:p>
          <w:p w14:paraId="1582C93B">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p w14:paraId="35F034F4">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5.防护等级：IP67。</w:t>
            </w:r>
          </w:p>
        </w:tc>
      </w:tr>
      <w:tr w14:paraId="251FA91A">
        <w:tblPrEx>
          <w:tblCellMar>
            <w:top w:w="0" w:type="dxa"/>
            <w:left w:w="108" w:type="dxa"/>
            <w:bottom w:w="0" w:type="dxa"/>
            <w:right w:w="108" w:type="dxa"/>
          </w:tblCellMar>
        </w:tblPrEx>
        <w:trPr>
          <w:trHeight w:val="900" w:hRule="atLeast"/>
          <w:jc w:val="center"/>
        </w:trPr>
        <w:tc>
          <w:tcPr>
            <w:tcW w:w="993" w:type="pct"/>
            <w:vMerge w:val="continue"/>
            <w:tcBorders>
              <w:top w:val="nil"/>
              <w:left w:val="single" w:color="auto" w:sz="4" w:space="0"/>
              <w:bottom w:val="single" w:color="auto" w:sz="4" w:space="0"/>
              <w:right w:val="single" w:color="auto" w:sz="4" w:space="0"/>
            </w:tcBorders>
            <w:vAlign w:val="center"/>
          </w:tcPr>
          <w:p w14:paraId="23F5ACB1">
            <w:pPr>
              <w:widowControl/>
              <w:spacing w:beforeLines="0" w:afterLines="0" w:line="240" w:lineRule="auto"/>
              <w:jc w:val="left"/>
              <w:rPr>
                <w:rFonts w:ascii="宋体" w:hAnsi="宋体" w:cs="宋体"/>
                <w:kern w:val="0"/>
                <w:sz w:val="18"/>
                <w:szCs w:val="18"/>
              </w:rPr>
            </w:pPr>
          </w:p>
        </w:tc>
        <w:tc>
          <w:tcPr>
            <w:tcW w:w="1051" w:type="pct"/>
            <w:tcBorders>
              <w:top w:val="nil"/>
              <w:left w:val="nil"/>
              <w:bottom w:val="single" w:color="auto" w:sz="4" w:space="0"/>
              <w:right w:val="single" w:color="auto" w:sz="4" w:space="0"/>
            </w:tcBorders>
            <w:vAlign w:val="center"/>
          </w:tcPr>
          <w:p w14:paraId="4D6984FA">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裂缝宽度</w:t>
            </w:r>
          </w:p>
        </w:tc>
        <w:tc>
          <w:tcPr>
            <w:tcW w:w="2954" w:type="pct"/>
            <w:tcBorders>
              <w:top w:val="nil"/>
              <w:left w:val="nil"/>
              <w:bottom w:val="single" w:color="auto" w:sz="4" w:space="0"/>
              <w:right w:val="single" w:color="auto" w:sz="4" w:space="0"/>
            </w:tcBorders>
            <w:vAlign w:val="center"/>
          </w:tcPr>
          <w:p w14:paraId="6DDEA330">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1.精度：±0.0</w:t>
            </w:r>
            <w:r>
              <w:rPr>
                <w:rFonts w:hint="default" w:ascii="宋体" w:hAnsi="宋体" w:cs="宋体"/>
                <w:kern w:val="0"/>
                <w:sz w:val="18"/>
                <w:szCs w:val="18"/>
                <w:lang w:val="en-US"/>
              </w:rPr>
              <w:t>1</w:t>
            </w:r>
            <w:r>
              <w:rPr>
                <w:rFonts w:hint="eastAsia" w:ascii="宋体" w:hAnsi="宋体" w:cs="宋体"/>
                <w:kern w:val="0"/>
                <w:sz w:val="18"/>
                <w:szCs w:val="18"/>
                <w:lang w:val="en-US" w:eastAsia="zh-CN"/>
              </w:rPr>
              <w:t>2</w:t>
            </w:r>
            <w:r>
              <w:rPr>
                <w:rFonts w:hint="eastAsia" w:ascii="宋体" w:hAnsi="宋体" w:cs="宋体"/>
                <w:kern w:val="0"/>
                <w:sz w:val="18"/>
                <w:szCs w:val="18"/>
              </w:rPr>
              <w:t>mm；</w:t>
            </w:r>
            <w:r>
              <w:rPr>
                <w:rFonts w:hint="eastAsia" w:ascii="宋体" w:hAnsi="宋体" w:cs="宋体"/>
                <w:kern w:val="0"/>
                <w:sz w:val="18"/>
                <w:szCs w:val="18"/>
              </w:rPr>
              <w:br w:type="textWrapping"/>
            </w:r>
            <w:r>
              <w:rPr>
                <w:rFonts w:hint="eastAsia" w:ascii="宋体" w:hAnsi="宋体" w:cs="宋体"/>
                <w:kern w:val="0"/>
                <w:sz w:val="18"/>
                <w:szCs w:val="18"/>
              </w:rPr>
              <w:t>2.分辨率：</w:t>
            </w:r>
            <w:r>
              <w:rPr>
                <w:rFonts w:hint="eastAsia" w:ascii="宋体" w:hAnsi="宋体" w:cs="宋体"/>
                <w:kern w:val="0"/>
                <w:sz w:val="18"/>
                <w:szCs w:val="18"/>
                <w:lang w:val="en-US" w:eastAsia="zh-CN"/>
              </w:rPr>
              <w:t>0.01mm</w:t>
            </w:r>
            <w:r>
              <w:rPr>
                <w:rFonts w:hint="eastAsia" w:ascii="宋体" w:hAnsi="宋体" w:cs="宋体"/>
                <w:kern w:val="0"/>
                <w:sz w:val="18"/>
                <w:szCs w:val="18"/>
              </w:rPr>
              <w:t>；</w:t>
            </w:r>
            <w:r>
              <w:rPr>
                <w:rFonts w:hint="eastAsia" w:ascii="宋体" w:hAnsi="宋体" w:cs="宋体"/>
                <w:kern w:val="0"/>
                <w:sz w:val="18"/>
                <w:szCs w:val="18"/>
              </w:rPr>
              <w:br w:type="textWrapping"/>
            </w:r>
            <w:r>
              <w:rPr>
                <w:rFonts w:hint="eastAsia" w:ascii="宋体" w:hAnsi="宋体" w:cs="宋体"/>
                <w:kern w:val="0"/>
                <w:sz w:val="18"/>
                <w:szCs w:val="18"/>
              </w:rPr>
              <w:t>3.使用寿命：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p w14:paraId="4AE37667">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4.防护等级：IP67。</w:t>
            </w:r>
          </w:p>
        </w:tc>
      </w:tr>
      <w:tr w14:paraId="68095B88">
        <w:tblPrEx>
          <w:tblCellMar>
            <w:top w:w="0" w:type="dxa"/>
            <w:left w:w="108" w:type="dxa"/>
            <w:bottom w:w="0" w:type="dxa"/>
            <w:right w:w="108" w:type="dxa"/>
          </w:tblCellMar>
        </w:tblPrEx>
        <w:trPr>
          <w:trHeight w:val="1350" w:hRule="atLeast"/>
          <w:jc w:val="center"/>
        </w:trPr>
        <w:tc>
          <w:tcPr>
            <w:tcW w:w="993" w:type="pct"/>
            <w:vMerge w:val="continue"/>
            <w:tcBorders>
              <w:top w:val="nil"/>
              <w:left w:val="single" w:color="auto" w:sz="4" w:space="0"/>
              <w:bottom w:val="single" w:color="auto" w:sz="4" w:space="0"/>
              <w:right w:val="single" w:color="auto" w:sz="4" w:space="0"/>
            </w:tcBorders>
            <w:vAlign w:val="center"/>
          </w:tcPr>
          <w:p w14:paraId="3CD8D2B3">
            <w:pPr>
              <w:widowControl/>
              <w:spacing w:beforeLines="0" w:afterLines="0" w:line="240" w:lineRule="auto"/>
              <w:jc w:val="left"/>
              <w:rPr>
                <w:rFonts w:ascii="宋体" w:hAnsi="宋体" w:cs="宋体"/>
                <w:kern w:val="0"/>
                <w:sz w:val="18"/>
                <w:szCs w:val="18"/>
              </w:rPr>
            </w:pPr>
          </w:p>
        </w:tc>
        <w:tc>
          <w:tcPr>
            <w:tcW w:w="1051" w:type="pct"/>
            <w:tcBorders>
              <w:top w:val="nil"/>
              <w:left w:val="nil"/>
              <w:bottom w:val="single" w:color="auto" w:sz="4" w:space="0"/>
              <w:right w:val="single" w:color="auto" w:sz="4" w:space="0"/>
            </w:tcBorders>
            <w:vAlign w:val="center"/>
          </w:tcPr>
          <w:p w14:paraId="31B9AE43">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静应变</w:t>
            </w:r>
          </w:p>
        </w:tc>
        <w:tc>
          <w:tcPr>
            <w:tcW w:w="2954" w:type="pct"/>
            <w:tcBorders>
              <w:top w:val="nil"/>
              <w:left w:val="nil"/>
              <w:bottom w:val="single" w:color="auto" w:sz="4" w:space="0"/>
              <w:right w:val="single" w:color="auto" w:sz="4" w:space="0"/>
            </w:tcBorders>
            <w:vAlign w:val="center"/>
          </w:tcPr>
          <w:p w14:paraId="13C9EA56">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1.量程：±1500με；</w:t>
            </w:r>
          </w:p>
          <w:p w14:paraId="1E234BC5">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2.精度：±2με；</w:t>
            </w:r>
          </w:p>
          <w:p w14:paraId="2405A30E">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3.分辨率：0.1με；</w:t>
            </w:r>
          </w:p>
          <w:p w14:paraId="7C6A18F7">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4.工作温度：（-20～70）℃；</w:t>
            </w:r>
          </w:p>
          <w:p w14:paraId="7BAD2BB1">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5.使用寿命：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p w14:paraId="21EE5091">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6.防护等级：IP67。</w:t>
            </w:r>
          </w:p>
        </w:tc>
      </w:tr>
      <w:tr w14:paraId="38220EFB">
        <w:tblPrEx>
          <w:tblCellMar>
            <w:top w:w="0" w:type="dxa"/>
            <w:left w:w="108" w:type="dxa"/>
            <w:bottom w:w="0" w:type="dxa"/>
            <w:right w:w="108" w:type="dxa"/>
          </w:tblCellMar>
        </w:tblPrEx>
        <w:trPr>
          <w:trHeight w:val="1125" w:hRule="atLeast"/>
          <w:jc w:val="center"/>
        </w:trPr>
        <w:tc>
          <w:tcPr>
            <w:tcW w:w="993" w:type="pct"/>
            <w:vMerge w:val="continue"/>
            <w:tcBorders>
              <w:top w:val="nil"/>
              <w:left w:val="single" w:color="auto" w:sz="4" w:space="0"/>
              <w:bottom w:val="single" w:color="auto" w:sz="4" w:space="0"/>
              <w:right w:val="single" w:color="auto" w:sz="4" w:space="0"/>
            </w:tcBorders>
            <w:vAlign w:val="center"/>
          </w:tcPr>
          <w:p w14:paraId="273A2AC1">
            <w:pPr>
              <w:widowControl/>
              <w:spacing w:beforeLines="0" w:afterLines="0" w:line="240" w:lineRule="auto"/>
              <w:jc w:val="left"/>
              <w:rPr>
                <w:rFonts w:ascii="宋体" w:hAnsi="宋体" w:cs="宋体"/>
                <w:kern w:val="0"/>
                <w:sz w:val="18"/>
                <w:szCs w:val="18"/>
              </w:rPr>
            </w:pPr>
          </w:p>
        </w:tc>
        <w:tc>
          <w:tcPr>
            <w:tcW w:w="1051" w:type="pct"/>
            <w:tcBorders>
              <w:top w:val="nil"/>
              <w:left w:val="nil"/>
              <w:bottom w:val="single" w:color="auto" w:sz="4" w:space="0"/>
              <w:right w:val="single" w:color="auto" w:sz="4" w:space="0"/>
            </w:tcBorders>
            <w:vAlign w:val="center"/>
          </w:tcPr>
          <w:p w14:paraId="32273EDB">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索力</w:t>
            </w:r>
          </w:p>
        </w:tc>
        <w:tc>
          <w:tcPr>
            <w:tcW w:w="2954" w:type="pct"/>
            <w:tcBorders>
              <w:top w:val="nil"/>
              <w:left w:val="nil"/>
              <w:bottom w:val="single" w:color="auto" w:sz="4" w:space="0"/>
              <w:right w:val="single" w:color="auto" w:sz="4" w:space="0"/>
            </w:tcBorders>
            <w:vAlign w:val="center"/>
          </w:tcPr>
          <w:p w14:paraId="5A920035">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1.量程：（0～10000）kN；</w:t>
            </w:r>
          </w:p>
          <w:p w14:paraId="6F797076">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2.精度：0.1%FS；</w:t>
            </w:r>
          </w:p>
          <w:p w14:paraId="25AFF466">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3.分辨率：0.07%FS；</w:t>
            </w:r>
          </w:p>
          <w:p w14:paraId="32E932AA">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p w14:paraId="47F6F0F2">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5.防护等级：IP67。</w:t>
            </w:r>
          </w:p>
        </w:tc>
      </w:tr>
      <w:tr w14:paraId="2BBEE412">
        <w:tblPrEx>
          <w:tblCellMar>
            <w:top w:w="0" w:type="dxa"/>
            <w:left w:w="108" w:type="dxa"/>
            <w:bottom w:w="0" w:type="dxa"/>
            <w:right w:w="108" w:type="dxa"/>
          </w:tblCellMar>
        </w:tblPrEx>
        <w:trPr>
          <w:trHeight w:val="1125" w:hRule="atLeast"/>
          <w:jc w:val="center"/>
        </w:trPr>
        <w:tc>
          <w:tcPr>
            <w:tcW w:w="993" w:type="pct"/>
            <w:vMerge w:val="continue"/>
            <w:tcBorders>
              <w:top w:val="nil"/>
              <w:left w:val="single" w:color="auto" w:sz="4" w:space="0"/>
              <w:bottom w:val="single" w:color="auto" w:sz="4" w:space="0"/>
              <w:right w:val="single" w:color="auto" w:sz="4" w:space="0"/>
            </w:tcBorders>
            <w:vAlign w:val="center"/>
          </w:tcPr>
          <w:p w14:paraId="0C6FD6CC">
            <w:pPr>
              <w:widowControl/>
              <w:spacing w:beforeLines="0" w:afterLines="0" w:line="240" w:lineRule="auto"/>
              <w:jc w:val="left"/>
              <w:rPr>
                <w:rFonts w:ascii="宋体" w:hAnsi="宋体" w:cs="宋体"/>
                <w:kern w:val="0"/>
                <w:sz w:val="18"/>
                <w:szCs w:val="18"/>
              </w:rPr>
            </w:pPr>
          </w:p>
        </w:tc>
        <w:tc>
          <w:tcPr>
            <w:tcW w:w="1051" w:type="pct"/>
            <w:tcBorders>
              <w:top w:val="nil"/>
              <w:left w:val="nil"/>
              <w:bottom w:val="single" w:color="auto" w:sz="4" w:space="0"/>
              <w:right w:val="single" w:color="auto" w:sz="4" w:space="0"/>
            </w:tcBorders>
            <w:vAlign w:val="center"/>
          </w:tcPr>
          <w:p w14:paraId="60E259D5">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加速度</w:t>
            </w:r>
          </w:p>
        </w:tc>
        <w:tc>
          <w:tcPr>
            <w:tcW w:w="2954" w:type="pct"/>
            <w:tcBorders>
              <w:top w:val="nil"/>
              <w:left w:val="nil"/>
              <w:bottom w:val="single" w:color="auto" w:sz="4" w:space="0"/>
              <w:right w:val="single" w:color="auto" w:sz="4" w:space="0"/>
            </w:tcBorders>
            <w:vAlign w:val="center"/>
          </w:tcPr>
          <w:p w14:paraId="28928DB8">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1.频率：＞100Hz；</w:t>
            </w:r>
          </w:p>
          <w:p w14:paraId="0653901B">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2.量程：±2g；</w:t>
            </w:r>
          </w:p>
          <w:p w14:paraId="4C298561">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3.横向灵敏度：1%；</w:t>
            </w:r>
          </w:p>
          <w:p w14:paraId="672F182F">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p w14:paraId="4E67B3B1">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5.防护等级：IP67。</w:t>
            </w:r>
          </w:p>
        </w:tc>
      </w:tr>
      <w:tr w14:paraId="2A0C0BFC">
        <w:tblPrEx>
          <w:tblCellMar>
            <w:top w:w="0" w:type="dxa"/>
            <w:left w:w="108" w:type="dxa"/>
            <w:bottom w:w="0" w:type="dxa"/>
            <w:right w:w="108" w:type="dxa"/>
          </w:tblCellMar>
        </w:tblPrEx>
        <w:trPr>
          <w:trHeight w:val="637" w:hRule="atLeast"/>
          <w:jc w:val="center"/>
        </w:trPr>
        <w:tc>
          <w:tcPr>
            <w:tcW w:w="993" w:type="pct"/>
            <w:vMerge w:val="continue"/>
            <w:tcBorders>
              <w:top w:val="nil"/>
              <w:left w:val="single" w:color="auto" w:sz="4" w:space="0"/>
              <w:bottom w:val="single" w:color="auto" w:sz="4" w:space="0"/>
              <w:right w:val="single" w:color="auto" w:sz="4" w:space="0"/>
            </w:tcBorders>
            <w:vAlign w:val="center"/>
          </w:tcPr>
          <w:p w14:paraId="12444B9F">
            <w:pPr>
              <w:widowControl/>
              <w:spacing w:beforeLines="0" w:afterLines="0" w:line="240" w:lineRule="auto"/>
              <w:jc w:val="left"/>
              <w:rPr>
                <w:rFonts w:ascii="宋体" w:hAnsi="宋体" w:cs="宋体"/>
                <w:kern w:val="0"/>
                <w:sz w:val="18"/>
                <w:szCs w:val="18"/>
              </w:rPr>
            </w:pPr>
          </w:p>
        </w:tc>
        <w:tc>
          <w:tcPr>
            <w:tcW w:w="1051" w:type="pct"/>
            <w:tcBorders>
              <w:top w:val="nil"/>
              <w:left w:val="nil"/>
              <w:bottom w:val="single" w:color="auto" w:sz="4" w:space="0"/>
              <w:right w:val="single" w:color="auto" w:sz="4" w:space="0"/>
            </w:tcBorders>
            <w:vAlign w:val="center"/>
          </w:tcPr>
          <w:p w14:paraId="3C01EA34">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动应变</w:t>
            </w:r>
          </w:p>
        </w:tc>
        <w:tc>
          <w:tcPr>
            <w:tcW w:w="2954" w:type="pct"/>
            <w:tcBorders>
              <w:top w:val="nil"/>
              <w:left w:val="nil"/>
              <w:bottom w:val="single" w:color="auto" w:sz="4" w:space="0"/>
              <w:right w:val="single" w:color="auto" w:sz="4" w:space="0"/>
            </w:tcBorders>
            <w:vAlign w:val="center"/>
          </w:tcPr>
          <w:p w14:paraId="45A238A2">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1.量程：（0～±1000）με；</w:t>
            </w:r>
          </w:p>
          <w:p w14:paraId="46EA7D9B">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2.精度：0.1%FS；</w:t>
            </w:r>
          </w:p>
          <w:p w14:paraId="5A0DDF3F">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3.测量频率：≥100Hz；</w:t>
            </w:r>
          </w:p>
          <w:p w14:paraId="08E75653">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4.分辨率：0.1με；</w:t>
            </w:r>
          </w:p>
          <w:p w14:paraId="0811E85F">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5.使用寿命：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p w14:paraId="37C62852">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6.防护等级：IP67。</w:t>
            </w:r>
          </w:p>
        </w:tc>
      </w:tr>
      <w:tr w14:paraId="23A1BF15">
        <w:tblPrEx>
          <w:tblCellMar>
            <w:top w:w="0" w:type="dxa"/>
            <w:left w:w="108" w:type="dxa"/>
            <w:bottom w:w="0" w:type="dxa"/>
            <w:right w:w="108" w:type="dxa"/>
          </w:tblCellMar>
        </w:tblPrEx>
        <w:trPr>
          <w:trHeight w:val="1350" w:hRule="atLeast"/>
          <w:jc w:val="center"/>
        </w:trPr>
        <w:tc>
          <w:tcPr>
            <w:tcW w:w="993" w:type="pct"/>
            <w:vMerge w:val="continue"/>
            <w:tcBorders>
              <w:top w:val="nil"/>
              <w:left w:val="single" w:color="auto" w:sz="4" w:space="0"/>
              <w:bottom w:val="single" w:color="auto" w:sz="4" w:space="0"/>
              <w:right w:val="single" w:color="auto" w:sz="4" w:space="0"/>
            </w:tcBorders>
            <w:vAlign w:val="center"/>
          </w:tcPr>
          <w:p w14:paraId="76128715">
            <w:pPr>
              <w:widowControl/>
              <w:spacing w:beforeLines="0" w:afterLines="0" w:line="240" w:lineRule="auto"/>
              <w:jc w:val="left"/>
              <w:rPr>
                <w:rFonts w:ascii="宋体" w:hAnsi="宋体" w:cs="宋体"/>
                <w:kern w:val="0"/>
                <w:sz w:val="18"/>
                <w:szCs w:val="18"/>
              </w:rPr>
            </w:pPr>
          </w:p>
        </w:tc>
        <w:tc>
          <w:tcPr>
            <w:tcW w:w="1051" w:type="pct"/>
            <w:tcBorders>
              <w:top w:val="nil"/>
              <w:left w:val="nil"/>
              <w:bottom w:val="single" w:color="auto" w:sz="4" w:space="0"/>
              <w:right w:val="single" w:color="auto" w:sz="4" w:space="0"/>
            </w:tcBorders>
            <w:vAlign w:val="center"/>
          </w:tcPr>
          <w:p w14:paraId="3A21D680">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挠度</w:t>
            </w:r>
          </w:p>
        </w:tc>
        <w:tc>
          <w:tcPr>
            <w:tcW w:w="2954" w:type="pct"/>
            <w:tcBorders>
              <w:top w:val="nil"/>
              <w:left w:val="nil"/>
              <w:bottom w:val="single" w:color="auto" w:sz="4" w:space="0"/>
              <w:right w:val="single" w:color="auto" w:sz="4" w:space="0"/>
            </w:tcBorders>
            <w:vAlign w:val="center"/>
          </w:tcPr>
          <w:p w14:paraId="20BF234F">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1.量程：（0～1000）mm或根</w:t>
            </w:r>
            <w:r>
              <mc:AlternateContent>
                <mc:Choice Requires="wps">
                  <w:drawing>
                    <wp:anchor distT="0" distB="0" distL="114300" distR="114300" simplePos="0" relativeHeight="251680768" behindDoc="0" locked="0" layoutInCell="1" allowOverlap="1">
                      <wp:simplePos x="0" y="0"/>
                      <wp:positionH relativeFrom="column">
                        <wp:posOffset>1355725</wp:posOffset>
                      </wp:positionH>
                      <wp:positionV relativeFrom="paragraph">
                        <wp:posOffset>-507365</wp:posOffset>
                      </wp:positionV>
                      <wp:extent cx="498475" cy="274955"/>
                      <wp:effectExtent l="0" t="0" r="15875" b="10795"/>
                      <wp:wrapNone/>
                      <wp:docPr id="42" name="文本框 42"/>
                      <wp:cNvGraphicFramePr/>
                      <a:graphic xmlns:a="http://schemas.openxmlformats.org/drawingml/2006/main">
                        <a:graphicData uri="http://schemas.microsoft.com/office/word/2010/wordprocessingShape">
                          <wps:wsp>
                            <wps:cNvSpPr txBox="1"/>
                            <wps:spPr>
                              <a:xfrm>
                                <a:off x="0" y="0"/>
                                <a:ext cx="498475" cy="274955"/>
                              </a:xfrm>
                              <a:prstGeom prst="rect">
                                <a:avLst/>
                              </a:prstGeom>
                              <a:solidFill>
                                <a:srgbClr val="FFFFFF"/>
                              </a:solidFill>
                              <a:ln>
                                <a:noFill/>
                              </a:ln>
                            </wps:spPr>
                            <wps:txbx>
                              <w:txbxContent>
                                <w:p w14:paraId="697DA7E8">
                                  <w:pPr>
                                    <w:rPr>
                                      <w:rFonts w:hint="eastAsia" w:ascii="黑体" w:hAnsi="黑体" w:eastAsia="黑体" w:cs="黑体"/>
                                    </w:rPr>
                                  </w:pPr>
                                  <w:r>
                                    <w:rPr>
                                      <w:rFonts w:hint="eastAsia" w:ascii="黑体" w:hAnsi="黑体" w:eastAsia="黑体" w:cs="黑体"/>
                                    </w:rPr>
                                    <w:t>（续）</w:t>
                                  </w:r>
                                </w:p>
                              </w:txbxContent>
                            </wps:txbx>
                            <wps:bodyPr lIns="0" tIns="0" rIns="0" bIns="0" anchor="t" anchorCtr="0" upright="1"/>
                          </wps:wsp>
                        </a:graphicData>
                      </a:graphic>
                    </wp:anchor>
                  </w:drawing>
                </mc:Choice>
                <mc:Fallback>
                  <w:pict>
                    <v:shape id="_x0000_s1026" o:spid="_x0000_s1026" o:spt="202" type="#_x0000_t202" style="position:absolute;left:0pt;margin-left:106.75pt;margin-top:-39.95pt;height:21.65pt;width:39.25pt;z-index:251680768;mso-width-relative:page;mso-height-relative:page;" fillcolor="#FFFFFF" filled="t" stroked="f" coordsize="21600,21600" o:gfxdata="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A8JuZXaAAAACwEAAA8A&#10;AAAAAAAAAQAgAAAAIgAAAGRycy9kb3ducmV2LnhtbFBLAQIUABQAAAAIAIdO4kDrrJkq3AEAALUD&#10;AAAOAAAAAAAAAAEAIAAAACkBAABkcnMvZTJvRG9jLnhtbFBLBQYAAAAABgAGAFkBAAB3BQAAAAA=&#10;">
                      <v:fill on="t" focussize="0,0"/>
                      <v:stroke on="f"/>
                      <v:imagedata o:title=""/>
                      <o:lock v:ext="edit" aspectratio="f"/>
                      <v:textbox inset="0mm,0mm,0mm,0mm">
                        <w:txbxContent>
                          <w:p w14:paraId="697DA7E8">
                            <w:pPr>
                              <w:rPr>
                                <w:rFonts w:hint="eastAsia" w:ascii="黑体" w:hAnsi="黑体" w:eastAsia="黑体" w:cs="黑体"/>
                              </w:rPr>
                            </w:pPr>
                            <w:r>
                              <w:rPr>
                                <w:rFonts w:hint="eastAsia" w:ascii="黑体" w:hAnsi="黑体" w:eastAsia="黑体" w:cs="黑体"/>
                              </w:rPr>
                              <w:t>（续）</w:t>
                            </w:r>
                          </w:p>
                        </w:txbxContent>
                      </v:textbox>
                    </v:shape>
                  </w:pict>
                </mc:Fallback>
              </mc:AlternateContent>
            </w:r>
            <w:r>
              <w:rPr>
                <w:rFonts w:hint="eastAsia" w:ascii="宋体" w:hAnsi="宋体" w:cs="宋体"/>
                <w:kern w:val="0"/>
                <w:sz w:val="18"/>
                <w:szCs w:val="18"/>
              </w:rPr>
              <w:t>据桥梁设计最大挠度2倍值确定；</w:t>
            </w:r>
          </w:p>
          <w:p w14:paraId="288246F3">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2.精度：0.1%FS；</w:t>
            </w:r>
          </w:p>
          <w:p w14:paraId="6919C33E">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3.分辨率：0.01%FS；</w:t>
            </w:r>
          </w:p>
          <w:p w14:paraId="4A818AC7">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p w14:paraId="31ACCFF1">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5.防护等级：IP67。</w:t>
            </w:r>
          </w:p>
        </w:tc>
      </w:tr>
      <w:tr w14:paraId="626C336E">
        <w:tblPrEx>
          <w:tblCellMar>
            <w:top w:w="0" w:type="dxa"/>
            <w:left w:w="108" w:type="dxa"/>
            <w:bottom w:w="0" w:type="dxa"/>
            <w:right w:w="108" w:type="dxa"/>
          </w:tblCellMar>
        </w:tblPrEx>
        <w:trPr>
          <w:trHeight w:val="1350" w:hRule="atLeast"/>
          <w:jc w:val="center"/>
        </w:trPr>
        <w:tc>
          <w:tcPr>
            <w:tcW w:w="993" w:type="pct"/>
            <w:vMerge w:val="continue"/>
            <w:tcBorders>
              <w:top w:val="nil"/>
              <w:left w:val="single" w:color="auto" w:sz="4" w:space="0"/>
              <w:bottom w:val="single" w:color="auto" w:sz="4" w:space="0"/>
              <w:right w:val="single" w:color="auto" w:sz="4" w:space="0"/>
            </w:tcBorders>
            <w:vAlign w:val="center"/>
          </w:tcPr>
          <w:p w14:paraId="19A377EC">
            <w:pPr>
              <w:widowControl/>
              <w:spacing w:beforeLines="0" w:afterLines="0" w:line="240" w:lineRule="auto"/>
              <w:jc w:val="left"/>
              <w:rPr>
                <w:rFonts w:ascii="宋体" w:hAnsi="宋体" w:cs="宋体"/>
                <w:kern w:val="0"/>
                <w:sz w:val="18"/>
                <w:szCs w:val="18"/>
              </w:rPr>
            </w:pPr>
          </w:p>
        </w:tc>
        <w:tc>
          <w:tcPr>
            <w:tcW w:w="1051" w:type="pct"/>
            <w:tcBorders>
              <w:top w:val="nil"/>
              <w:left w:val="nil"/>
              <w:bottom w:val="single" w:color="auto" w:sz="4" w:space="0"/>
              <w:right w:val="single" w:color="auto" w:sz="4" w:space="0"/>
            </w:tcBorders>
            <w:vAlign w:val="center"/>
          </w:tcPr>
          <w:p w14:paraId="0E08D295">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支座反力</w:t>
            </w:r>
          </w:p>
        </w:tc>
        <w:tc>
          <w:tcPr>
            <w:tcW w:w="2954" w:type="pct"/>
            <w:tcBorders>
              <w:top w:val="nil"/>
              <w:left w:val="nil"/>
              <w:bottom w:val="single" w:color="auto" w:sz="4" w:space="0"/>
              <w:right w:val="single" w:color="auto" w:sz="4" w:space="0"/>
            </w:tcBorders>
            <w:vAlign w:val="center"/>
          </w:tcPr>
          <w:p w14:paraId="4B7B560F">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1.测量范围：根据设计最大支座反力2倍值确定；</w:t>
            </w:r>
          </w:p>
          <w:p w14:paraId="7D2CD0A2">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2.精度：0.1%FS；</w:t>
            </w:r>
          </w:p>
          <w:p w14:paraId="7E50972A">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3.采集频率：≥1Hz；</w:t>
            </w:r>
          </w:p>
          <w:p w14:paraId="7BCF8B17">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4.分辨率：0.05%FS；</w:t>
            </w:r>
          </w:p>
          <w:p w14:paraId="3B206189">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5.防护等级：IP67。</w:t>
            </w:r>
          </w:p>
        </w:tc>
      </w:tr>
      <w:tr w14:paraId="6D6CD12D">
        <w:tblPrEx>
          <w:tblCellMar>
            <w:top w:w="0" w:type="dxa"/>
            <w:left w:w="108" w:type="dxa"/>
            <w:bottom w:w="0" w:type="dxa"/>
            <w:right w:w="108" w:type="dxa"/>
          </w:tblCellMar>
        </w:tblPrEx>
        <w:trPr>
          <w:trHeight w:val="900" w:hRule="atLeast"/>
          <w:jc w:val="center"/>
        </w:trPr>
        <w:tc>
          <w:tcPr>
            <w:tcW w:w="993" w:type="pct"/>
            <w:vMerge w:val="restart"/>
            <w:tcBorders>
              <w:top w:val="nil"/>
              <w:left w:val="single" w:color="auto" w:sz="4" w:space="0"/>
              <w:bottom w:val="single" w:color="auto" w:sz="4" w:space="0"/>
              <w:right w:val="single" w:color="auto" w:sz="4" w:space="0"/>
            </w:tcBorders>
            <w:vAlign w:val="center"/>
          </w:tcPr>
          <w:p w14:paraId="69246557">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外部荷载</w:t>
            </w:r>
          </w:p>
        </w:tc>
        <w:tc>
          <w:tcPr>
            <w:tcW w:w="1051" w:type="pct"/>
            <w:tcBorders>
              <w:top w:val="nil"/>
              <w:left w:val="nil"/>
              <w:bottom w:val="single" w:color="auto" w:sz="4" w:space="0"/>
              <w:right w:val="single" w:color="auto" w:sz="4" w:space="0"/>
            </w:tcBorders>
            <w:vAlign w:val="center"/>
          </w:tcPr>
          <w:p w14:paraId="6864D008">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交通流量</w:t>
            </w:r>
          </w:p>
        </w:tc>
        <w:tc>
          <w:tcPr>
            <w:tcW w:w="2954" w:type="pct"/>
            <w:tcBorders>
              <w:top w:val="nil"/>
              <w:left w:val="nil"/>
              <w:bottom w:val="single" w:color="auto" w:sz="4" w:space="0"/>
              <w:right w:val="single" w:color="auto" w:sz="4" w:space="0"/>
            </w:tcBorders>
            <w:vAlign w:val="center"/>
          </w:tcPr>
          <w:p w14:paraId="1525327D">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1.量程：（0～200）km/h；</w:t>
            </w:r>
          </w:p>
          <w:p w14:paraId="3E365BDE">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2.计数精度：＞95%；</w:t>
            </w:r>
          </w:p>
          <w:p w14:paraId="30B3E6ED">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3.速度精度：＞95%；</w:t>
            </w:r>
          </w:p>
          <w:p w14:paraId="68B7516D">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4.使用寿命：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tc>
      </w:tr>
      <w:tr w14:paraId="6202F5F0">
        <w:tblPrEx>
          <w:tblCellMar>
            <w:top w:w="0" w:type="dxa"/>
            <w:left w:w="108" w:type="dxa"/>
            <w:bottom w:w="0" w:type="dxa"/>
            <w:right w:w="108" w:type="dxa"/>
          </w:tblCellMar>
        </w:tblPrEx>
        <w:trPr>
          <w:trHeight w:val="2475" w:hRule="atLeast"/>
          <w:jc w:val="center"/>
        </w:trPr>
        <w:tc>
          <w:tcPr>
            <w:tcW w:w="993" w:type="pct"/>
            <w:vMerge w:val="continue"/>
            <w:tcBorders>
              <w:top w:val="nil"/>
              <w:left w:val="single" w:color="auto" w:sz="4" w:space="0"/>
              <w:bottom w:val="single" w:color="auto" w:sz="4" w:space="0"/>
              <w:right w:val="single" w:color="auto" w:sz="4" w:space="0"/>
            </w:tcBorders>
            <w:vAlign w:val="center"/>
          </w:tcPr>
          <w:p w14:paraId="03AC6446">
            <w:pPr>
              <w:widowControl/>
              <w:spacing w:beforeLines="0" w:afterLines="0" w:line="240" w:lineRule="auto"/>
              <w:jc w:val="left"/>
              <w:rPr>
                <w:rFonts w:ascii="宋体" w:hAnsi="宋体" w:cs="宋体"/>
                <w:kern w:val="0"/>
                <w:sz w:val="18"/>
                <w:szCs w:val="18"/>
              </w:rPr>
            </w:pPr>
          </w:p>
        </w:tc>
        <w:tc>
          <w:tcPr>
            <w:tcW w:w="1051" w:type="pct"/>
            <w:tcBorders>
              <w:top w:val="nil"/>
              <w:left w:val="nil"/>
              <w:bottom w:val="single" w:color="auto" w:sz="4" w:space="0"/>
              <w:right w:val="single" w:color="auto" w:sz="4" w:space="0"/>
            </w:tcBorders>
            <w:vAlign w:val="center"/>
          </w:tcPr>
          <w:p w14:paraId="4EED92EC">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车辆荷载</w:t>
            </w:r>
          </w:p>
        </w:tc>
        <w:tc>
          <w:tcPr>
            <w:tcW w:w="2954" w:type="pct"/>
            <w:tcBorders>
              <w:top w:val="nil"/>
              <w:left w:val="nil"/>
              <w:bottom w:val="single" w:color="auto" w:sz="4" w:space="0"/>
              <w:right w:val="single" w:color="auto" w:sz="4" w:space="0"/>
            </w:tcBorders>
            <w:vAlign w:val="center"/>
          </w:tcPr>
          <w:p w14:paraId="136EFE5B">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1.量程：根据桥梁车辆限载重以及预估车辆荷载重综合确定，单轴监测量程宜大于等于限载车辆轴重的200%；</w:t>
            </w:r>
          </w:p>
          <w:p w14:paraId="67E75832">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2.车辆检测速度：（0.5～100）km/h；</w:t>
            </w:r>
          </w:p>
          <w:p w14:paraId="1CB20035">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3.称重最大容许误差：≤10%；</w:t>
            </w:r>
          </w:p>
          <w:p w14:paraId="5D105457">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4.轴数检测精度：≥99%安装后不影响车辆通行；</w:t>
            </w:r>
          </w:p>
          <w:p w14:paraId="490896B0">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5.工作温度：（-35～65）℃；</w:t>
            </w:r>
          </w:p>
          <w:p w14:paraId="129A467B">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6.工作湿度：≤95％RH；</w:t>
            </w:r>
          </w:p>
          <w:p w14:paraId="72A634C4">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7.使用寿命：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tc>
      </w:tr>
      <w:tr w14:paraId="6F8C671E">
        <w:tblPrEx>
          <w:tblCellMar>
            <w:top w:w="0" w:type="dxa"/>
            <w:left w:w="108" w:type="dxa"/>
            <w:bottom w:w="0" w:type="dxa"/>
            <w:right w:w="108" w:type="dxa"/>
          </w:tblCellMar>
        </w:tblPrEx>
        <w:trPr>
          <w:trHeight w:val="1125" w:hRule="atLeast"/>
          <w:jc w:val="center"/>
        </w:trPr>
        <w:tc>
          <w:tcPr>
            <w:tcW w:w="993" w:type="pct"/>
            <w:vMerge w:val="continue"/>
            <w:tcBorders>
              <w:top w:val="nil"/>
              <w:left w:val="single" w:color="auto" w:sz="4" w:space="0"/>
              <w:bottom w:val="single" w:color="auto" w:sz="4" w:space="0"/>
              <w:right w:val="single" w:color="auto" w:sz="4" w:space="0"/>
            </w:tcBorders>
            <w:vAlign w:val="center"/>
          </w:tcPr>
          <w:p w14:paraId="5DD52EE4">
            <w:pPr>
              <w:widowControl/>
              <w:spacing w:beforeLines="0" w:afterLines="0" w:line="240" w:lineRule="auto"/>
              <w:jc w:val="left"/>
              <w:rPr>
                <w:rFonts w:ascii="宋体" w:hAnsi="宋体" w:cs="宋体"/>
                <w:kern w:val="0"/>
                <w:sz w:val="18"/>
                <w:szCs w:val="18"/>
              </w:rPr>
            </w:pPr>
          </w:p>
        </w:tc>
        <w:tc>
          <w:tcPr>
            <w:tcW w:w="1051" w:type="pct"/>
            <w:tcBorders>
              <w:top w:val="nil"/>
              <w:left w:val="nil"/>
              <w:bottom w:val="single" w:color="auto" w:sz="4" w:space="0"/>
              <w:right w:val="single" w:color="auto" w:sz="4" w:space="0"/>
            </w:tcBorders>
            <w:vAlign w:val="center"/>
          </w:tcPr>
          <w:p w14:paraId="51E71DE4">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车船撞击（加速度）</w:t>
            </w:r>
          </w:p>
        </w:tc>
        <w:tc>
          <w:tcPr>
            <w:tcW w:w="2954" w:type="pct"/>
            <w:tcBorders>
              <w:top w:val="nil"/>
              <w:left w:val="nil"/>
              <w:bottom w:val="single" w:color="auto" w:sz="4" w:space="0"/>
              <w:right w:val="single" w:color="auto" w:sz="4" w:space="0"/>
            </w:tcBorders>
            <w:vAlign w:val="center"/>
          </w:tcPr>
          <w:p w14:paraId="538D9493">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1.带宽：（0.1～1000）Hz；</w:t>
            </w:r>
          </w:p>
          <w:p w14:paraId="05177709">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2.量程：±20g；</w:t>
            </w:r>
          </w:p>
          <w:p w14:paraId="380E816E">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3.横向灵敏度：5%；</w:t>
            </w:r>
          </w:p>
          <w:p w14:paraId="02691CE9">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p w14:paraId="3D37FE8E">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5.防护等级：IP67。</w:t>
            </w:r>
          </w:p>
        </w:tc>
      </w:tr>
      <w:tr w14:paraId="11FB6CB2">
        <w:tblPrEx>
          <w:tblCellMar>
            <w:top w:w="0" w:type="dxa"/>
            <w:left w:w="108" w:type="dxa"/>
            <w:bottom w:w="0" w:type="dxa"/>
            <w:right w:w="108" w:type="dxa"/>
          </w:tblCellMar>
        </w:tblPrEx>
        <w:trPr>
          <w:trHeight w:val="1350" w:hRule="atLeast"/>
          <w:jc w:val="center"/>
        </w:trPr>
        <w:tc>
          <w:tcPr>
            <w:tcW w:w="993" w:type="pct"/>
            <w:vMerge w:val="continue"/>
            <w:tcBorders>
              <w:top w:val="nil"/>
              <w:left w:val="single" w:color="auto" w:sz="4" w:space="0"/>
              <w:bottom w:val="single" w:color="auto" w:sz="4" w:space="0"/>
              <w:right w:val="single" w:color="auto" w:sz="4" w:space="0"/>
            </w:tcBorders>
            <w:vAlign w:val="center"/>
          </w:tcPr>
          <w:p w14:paraId="0640EABF">
            <w:pPr>
              <w:widowControl/>
              <w:spacing w:beforeLines="0" w:afterLines="0" w:line="240" w:lineRule="auto"/>
              <w:jc w:val="left"/>
              <w:rPr>
                <w:rFonts w:ascii="宋体" w:hAnsi="宋体" w:cs="宋体"/>
                <w:kern w:val="0"/>
                <w:sz w:val="18"/>
                <w:szCs w:val="18"/>
              </w:rPr>
            </w:pPr>
          </w:p>
        </w:tc>
        <w:tc>
          <w:tcPr>
            <w:tcW w:w="1051" w:type="pct"/>
            <w:tcBorders>
              <w:top w:val="nil"/>
              <w:left w:val="nil"/>
              <w:bottom w:val="nil"/>
              <w:right w:val="single" w:color="auto" w:sz="4" w:space="0"/>
            </w:tcBorders>
            <w:vAlign w:val="center"/>
          </w:tcPr>
          <w:p w14:paraId="1288AABE">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地震荷载（三向加速度）</w:t>
            </w:r>
          </w:p>
        </w:tc>
        <w:tc>
          <w:tcPr>
            <w:tcW w:w="2954" w:type="pct"/>
            <w:tcBorders>
              <w:top w:val="nil"/>
              <w:left w:val="nil"/>
              <w:bottom w:val="single" w:color="auto" w:sz="4" w:space="0"/>
              <w:right w:val="single" w:color="auto" w:sz="4" w:space="0"/>
            </w:tcBorders>
            <w:vAlign w:val="center"/>
          </w:tcPr>
          <w:p w14:paraId="028375A6">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1.方向：XYZ三方向；</w:t>
            </w:r>
          </w:p>
          <w:p w14:paraId="3DC16F76">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2.带宽：（0.1～500）Hz；</w:t>
            </w:r>
          </w:p>
          <w:p w14:paraId="1B675012">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3.量程：±2g；</w:t>
            </w:r>
          </w:p>
          <w:p w14:paraId="4CAE4022">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4.灵敏度：2000mV/g；</w:t>
            </w:r>
          </w:p>
          <w:p w14:paraId="236C0204">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5.使用寿命：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p w14:paraId="5C89594E">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6.防护等级：IP67。</w:t>
            </w:r>
          </w:p>
        </w:tc>
      </w:tr>
      <w:tr w14:paraId="32BB75DB">
        <w:tblPrEx>
          <w:tblCellMar>
            <w:top w:w="0" w:type="dxa"/>
            <w:left w:w="108" w:type="dxa"/>
            <w:bottom w:w="0" w:type="dxa"/>
            <w:right w:w="108" w:type="dxa"/>
          </w:tblCellMar>
        </w:tblPrEx>
        <w:trPr>
          <w:trHeight w:val="1350" w:hRule="atLeast"/>
          <w:jc w:val="center"/>
        </w:trPr>
        <w:tc>
          <w:tcPr>
            <w:tcW w:w="993" w:type="pct"/>
            <w:vMerge w:val="continue"/>
            <w:tcBorders>
              <w:top w:val="nil"/>
              <w:left w:val="single" w:color="auto" w:sz="4" w:space="0"/>
              <w:bottom w:val="single" w:color="auto" w:sz="4" w:space="0"/>
              <w:right w:val="single" w:color="auto" w:sz="4" w:space="0"/>
            </w:tcBorders>
            <w:vAlign w:val="center"/>
          </w:tcPr>
          <w:p w14:paraId="3192A502">
            <w:pPr>
              <w:widowControl/>
              <w:spacing w:beforeLines="0" w:afterLines="0" w:line="240" w:lineRule="auto"/>
              <w:jc w:val="left"/>
              <w:rPr>
                <w:rFonts w:ascii="宋体" w:hAnsi="宋体" w:cs="宋体"/>
                <w:kern w:val="0"/>
                <w:sz w:val="18"/>
                <w:szCs w:val="18"/>
              </w:rPr>
            </w:pPr>
          </w:p>
        </w:tc>
        <w:tc>
          <w:tcPr>
            <w:tcW w:w="1051" w:type="pct"/>
            <w:tcBorders>
              <w:top w:val="single" w:color="auto" w:sz="4" w:space="0"/>
              <w:left w:val="nil"/>
              <w:bottom w:val="single" w:color="auto" w:sz="4" w:space="0"/>
              <w:right w:val="single" w:color="auto" w:sz="4" w:space="0"/>
            </w:tcBorders>
            <w:vAlign w:val="center"/>
          </w:tcPr>
          <w:p w14:paraId="0C0A9485">
            <w:pPr>
              <w:widowControl/>
              <w:spacing w:beforeLines="0" w:afterLines="0" w:line="240" w:lineRule="auto"/>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视频监控</w:t>
            </w:r>
          </w:p>
        </w:tc>
        <w:tc>
          <w:tcPr>
            <w:tcW w:w="2954" w:type="pct"/>
            <w:tcBorders>
              <w:top w:val="single" w:color="auto" w:sz="4" w:space="0"/>
              <w:left w:val="nil"/>
              <w:bottom w:val="single" w:color="auto" w:sz="4" w:space="0"/>
              <w:right w:val="single" w:color="auto" w:sz="4" w:space="0"/>
            </w:tcBorders>
            <w:vAlign w:val="center"/>
          </w:tcPr>
          <w:p w14:paraId="77F8466F">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1.具备自清洁功能；</w:t>
            </w:r>
          </w:p>
          <w:p w14:paraId="7DEAEAEC">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2.远程调节；</w:t>
            </w:r>
          </w:p>
          <w:p w14:paraId="7CBE3C9C">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3.支持180度大范围全景；</w:t>
            </w:r>
          </w:p>
          <w:p w14:paraId="747D9DDE">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4.宜具备透雾功能；</w:t>
            </w:r>
          </w:p>
          <w:p w14:paraId="66D674D3">
            <w:pPr>
              <w:widowControl/>
              <w:spacing w:beforeLines="0" w:afterLines="0" w:line="240" w:lineRule="auto"/>
              <w:jc w:val="left"/>
              <w:rPr>
                <w:rFonts w:hint="eastAsia" w:ascii="宋体" w:hAnsi="宋体" w:eastAsia="宋体" w:cs="宋体"/>
                <w:kern w:val="0"/>
                <w:sz w:val="18"/>
                <w:szCs w:val="18"/>
                <w:lang w:eastAsia="zh-CN"/>
              </w:rPr>
            </w:pPr>
            <w:r>
              <w:rPr>
                <w:rFonts w:hint="eastAsia" w:ascii="宋体" w:hAnsi="宋体" w:cs="宋体"/>
                <w:kern w:val="0"/>
                <w:sz w:val="18"/>
                <w:szCs w:val="18"/>
              </w:rPr>
              <w:t>5.自动录像；</w:t>
            </w:r>
          </w:p>
          <w:p w14:paraId="128E4AEC">
            <w:pPr>
              <w:widowControl/>
              <w:spacing w:beforeLines="0" w:afterLines="0" w:line="240" w:lineRule="auto"/>
              <w:jc w:val="left"/>
              <w:rPr>
                <w:rFonts w:ascii="宋体" w:hAnsi="宋体" w:cs="宋体"/>
                <w:kern w:val="0"/>
                <w:sz w:val="18"/>
                <w:szCs w:val="18"/>
              </w:rPr>
            </w:pPr>
            <w:r>
              <w:rPr>
                <w:rFonts w:hint="eastAsia" w:ascii="宋体" w:hAnsi="宋体" w:cs="宋体"/>
                <w:kern w:val="0"/>
                <w:sz w:val="18"/>
                <w:szCs w:val="18"/>
              </w:rPr>
              <w:t>6.使用寿命：</w:t>
            </w:r>
            <w:r>
              <w:rPr>
                <w:rFonts w:hint="eastAsia" w:ascii="宋体" w:hAnsi="宋体" w:cs="宋体"/>
                <w:kern w:val="0"/>
                <w:sz w:val="18"/>
                <w:szCs w:val="18"/>
                <w:lang w:eastAsia="zh-CN"/>
              </w:rPr>
              <w:t>不低于</w:t>
            </w:r>
            <w:r>
              <w:rPr>
                <w:rFonts w:hint="eastAsia" w:ascii="宋体" w:hAnsi="宋体" w:cs="宋体"/>
                <w:kern w:val="0"/>
                <w:sz w:val="18"/>
                <w:szCs w:val="18"/>
              </w:rPr>
              <w:t>5年。</w:t>
            </w:r>
          </w:p>
        </w:tc>
      </w:tr>
      <w:tr w14:paraId="4E2D8A59">
        <w:tblPrEx>
          <w:tblCellMar>
            <w:top w:w="0" w:type="dxa"/>
            <w:left w:w="108" w:type="dxa"/>
            <w:bottom w:w="0" w:type="dxa"/>
            <w:right w:w="108" w:type="dxa"/>
          </w:tblCellMar>
        </w:tblPrEx>
        <w:trPr>
          <w:trHeight w:val="1350" w:hRule="atLeast"/>
          <w:jc w:val="center"/>
        </w:trPr>
        <w:tc>
          <w:tcPr>
            <w:tcW w:w="993" w:type="pct"/>
            <w:vMerge w:val="restart"/>
            <w:tcBorders>
              <w:top w:val="single" w:color="auto" w:sz="4" w:space="0"/>
              <w:left w:val="single" w:color="auto" w:sz="4" w:space="0"/>
              <w:bottom w:val="single" w:color="auto" w:sz="4" w:space="0"/>
              <w:right w:val="single" w:color="auto" w:sz="4" w:space="0"/>
            </w:tcBorders>
            <w:vAlign w:val="center"/>
          </w:tcPr>
          <w:p w14:paraId="73A86478">
            <w:pPr>
              <w:widowControl/>
              <w:spacing w:beforeLines="0" w:afterLines="0" w:line="240" w:lineRule="auto"/>
              <w:jc w:val="center"/>
              <w:rPr>
                <w:rFonts w:ascii="宋体" w:hAnsi="宋体" w:cs="宋体"/>
                <w:kern w:val="0"/>
                <w:sz w:val="18"/>
                <w:szCs w:val="18"/>
              </w:rPr>
            </w:pPr>
            <w:r>
              <w:rPr>
                <w:rFonts w:hint="eastAsia"/>
                <w:sz w:val="18"/>
                <w:szCs w:val="18"/>
              </w:rPr>
              <w:t>周边大型公共建筑</w:t>
            </w:r>
          </w:p>
        </w:tc>
        <w:tc>
          <w:tcPr>
            <w:tcW w:w="1051" w:type="pct"/>
            <w:tcBorders>
              <w:top w:val="single" w:color="auto" w:sz="4" w:space="0"/>
              <w:left w:val="nil"/>
              <w:bottom w:val="single" w:color="auto" w:sz="4" w:space="0"/>
              <w:right w:val="single" w:color="auto" w:sz="4" w:space="0"/>
            </w:tcBorders>
            <w:vAlign w:val="center"/>
          </w:tcPr>
          <w:p w14:paraId="3BF1B992">
            <w:pPr>
              <w:widowControl/>
              <w:spacing w:beforeLines="0" w:afterLines="0" w:line="240" w:lineRule="auto"/>
              <w:jc w:val="center"/>
              <w:rPr>
                <w:rFonts w:ascii="宋体" w:hAnsi="宋体" w:cs="宋体"/>
                <w:kern w:val="0"/>
                <w:sz w:val="18"/>
                <w:szCs w:val="18"/>
              </w:rPr>
            </w:pPr>
            <w:r>
              <w:rPr>
                <w:rFonts w:hint="eastAsia"/>
                <w:sz w:val="18"/>
                <w:szCs w:val="18"/>
              </w:rPr>
              <w:t>应变</w:t>
            </w:r>
          </w:p>
        </w:tc>
        <w:tc>
          <w:tcPr>
            <w:tcW w:w="2954" w:type="pct"/>
            <w:tcBorders>
              <w:top w:val="single" w:color="auto" w:sz="4" w:space="0"/>
              <w:left w:val="nil"/>
              <w:bottom w:val="single" w:color="auto" w:sz="4" w:space="0"/>
              <w:right w:val="single" w:color="auto" w:sz="4" w:space="0"/>
            </w:tcBorders>
            <w:vAlign w:val="center"/>
          </w:tcPr>
          <w:p w14:paraId="560C3074">
            <w:pPr>
              <w:widowControl/>
              <w:spacing w:beforeLines="0" w:afterLines="0" w:line="240" w:lineRule="auto"/>
              <w:jc w:val="left"/>
              <w:rPr>
                <w:rFonts w:hint="eastAsia"/>
                <w:sz w:val="18"/>
                <w:szCs w:val="18"/>
              </w:rPr>
            </w:pPr>
            <w:r>
              <mc:AlternateContent>
                <mc:Choice Requires="wps">
                  <w:drawing>
                    <wp:anchor distT="0" distB="0" distL="114300" distR="114300" simplePos="0" relativeHeight="251681792" behindDoc="0" locked="0" layoutInCell="1" allowOverlap="1">
                      <wp:simplePos x="0" y="0"/>
                      <wp:positionH relativeFrom="column">
                        <wp:posOffset>1377950</wp:posOffset>
                      </wp:positionH>
                      <wp:positionV relativeFrom="paragraph">
                        <wp:posOffset>-499110</wp:posOffset>
                      </wp:positionV>
                      <wp:extent cx="498475" cy="274955"/>
                      <wp:effectExtent l="0" t="0" r="15875" b="10795"/>
                      <wp:wrapNone/>
                      <wp:docPr id="43" name="文本框 43"/>
                      <wp:cNvGraphicFramePr/>
                      <a:graphic xmlns:a="http://schemas.openxmlformats.org/drawingml/2006/main">
                        <a:graphicData uri="http://schemas.microsoft.com/office/word/2010/wordprocessingShape">
                          <wps:wsp>
                            <wps:cNvSpPr txBox="1"/>
                            <wps:spPr>
                              <a:xfrm>
                                <a:off x="0" y="0"/>
                                <a:ext cx="498475" cy="274955"/>
                              </a:xfrm>
                              <a:prstGeom prst="rect">
                                <a:avLst/>
                              </a:prstGeom>
                              <a:solidFill>
                                <a:srgbClr val="FFFFFF"/>
                              </a:solidFill>
                              <a:ln>
                                <a:noFill/>
                              </a:ln>
                            </wps:spPr>
                            <wps:txbx>
                              <w:txbxContent>
                                <w:p w14:paraId="49889D26">
                                  <w:pPr>
                                    <w:rPr>
                                      <w:rFonts w:hint="eastAsia" w:ascii="黑体" w:hAnsi="黑体" w:eastAsia="黑体" w:cs="黑体"/>
                                    </w:rPr>
                                  </w:pPr>
                                  <w:r>
                                    <w:rPr>
                                      <w:rFonts w:hint="eastAsia" w:ascii="黑体" w:hAnsi="黑体" w:eastAsia="黑体" w:cs="黑体"/>
                                    </w:rPr>
                                    <w:t>（续）</w:t>
                                  </w:r>
                                </w:p>
                              </w:txbxContent>
                            </wps:txbx>
                            <wps:bodyPr lIns="0" tIns="0" rIns="0" bIns="0" anchor="t" anchorCtr="0" upright="1"/>
                          </wps:wsp>
                        </a:graphicData>
                      </a:graphic>
                    </wp:anchor>
                  </w:drawing>
                </mc:Choice>
                <mc:Fallback>
                  <w:pict>
                    <v:shape id="_x0000_s1026" o:spid="_x0000_s1026" o:spt="202" type="#_x0000_t202" style="position:absolute;left:0pt;margin-left:108.5pt;margin-top:-39.3pt;height:21.65pt;width:39.25pt;z-index:251681792;mso-width-relative:page;mso-height-relative:page;" fillcolor="#FFFFFF" filled="t" stroked="f" coordsize="21600,21600" o:gfxdata="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oyiJsdsAAAALAQAA&#10;DwAAAAAAAAABACAAAAAiAAAAZHJzL2Rvd25yZXYueG1sUEsBAhQAFAAAAAgAh07iQPgpV4vdAQAA&#10;tQMAAA4AAAAAAAAAAQAgAAAAKgEAAGRycy9lMm9Eb2MueG1sUEsFBgAAAAAGAAYAWQEAAHkFAAAA&#10;AA==&#10;">
                      <v:fill on="t" focussize="0,0"/>
                      <v:stroke on="f"/>
                      <v:imagedata o:title=""/>
                      <o:lock v:ext="edit" aspectratio="f"/>
                      <v:textbox inset="0mm,0mm,0mm,0mm">
                        <w:txbxContent>
                          <w:p w14:paraId="49889D26">
                            <w:pPr>
                              <w:rPr>
                                <w:rFonts w:hint="eastAsia" w:ascii="黑体" w:hAnsi="黑体" w:eastAsia="黑体" w:cs="黑体"/>
                              </w:rPr>
                            </w:pPr>
                            <w:r>
                              <w:rPr>
                                <w:rFonts w:hint="eastAsia" w:ascii="黑体" w:hAnsi="黑体" w:eastAsia="黑体" w:cs="黑体"/>
                              </w:rPr>
                              <w:t>（续）</w:t>
                            </w:r>
                          </w:p>
                        </w:txbxContent>
                      </v:textbox>
                    </v:shape>
                  </w:pict>
                </mc:Fallback>
              </mc:AlternateContent>
            </w:r>
            <w:r>
              <w:rPr>
                <w:rFonts w:hint="eastAsia"/>
                <w:sz w:val="18"/>
                <w:szCs w:val="18"/>
              </w:rPr>
              <w:t>1.量程：应与量测范围相适应，监测值宜控制为满量程的30%～80%</w:t>
            </w:r>
          </w:p>
          <w:p w14:paraId="21A4553F">
            <w:pPr>
              <w:widowControl/>
              <w:spacing w:beforeLines="0" w:afterLines="0" w:line="240" w:lineRule="auto"/>
              <w:jc w:val="left"/>
              <w:rPr>
                <w:rFonts w:hint="eastAsia" w:eastAsia="宋体"/>
                <w:sz w:val="18"/>
                <w:szCs w:val="18"/>
                <w:lang w:eastAsia="zh-CN"/>
              </w:rPr>
            </w:pPr>
            <w:r>
              <w:rPr>
                <w:rFonts w:hint="eastAsia"/>
                <w:sz w:val="18"/>
                <w:szCs w:val="18"/>
              </w:rPr>
              <w:t>2.精度：满量程的0.5% FS</w:t>
            </w:r>
          </w:p>
          <w:p w14:paraId="076AC0B8">
            <w:pPr>
              <w:widowControl/>
              <w:spacing w:beforeLines="0" w:afterLines="0" w:line="240" w:lineRule="auto"/>
              <w:jc w:val="left"/>
              <w:rPr>
                <w:rFonts w:hint="eastAsia" w:eastAsia="宋体"/>
                <w:sz w:val="18"/>
                <w:szCs w:val="18"/>
                <w:lang w:eastAsia="zh-CN"/>
              </w:rPr>
            </w:pPr>
            <w:r>
              <w:rPr>
                <w:rFonts w:hint="eastAsia"/>
                <w:sz w:val="18"/>
                <w:szCs w:val="18"/>
              </w:rPr>
              <w:t>3.分辨率：0.05% FS</w:t>
            </w:r>
          </w:p>
          <w:p w14:paraId="79F795D3">
            <w:pPr>
              <w:widowControl/>
              <w:spacing w:beforeLines="0" w:afterLines="0" w:line="240" w:lineRule="auto"/>
              <w:jc w:val="left"/>
              <w:rPr>
                <w:rFonts w:ascii="宋体" w:hAnsi="宋体" w:cs="宋体"/>
                <w:kern w:val="0"/>
                <w:sz w:val="18"/>
                <w:szCs w:val="18"/>
              </w:rPr>
            </w:pPr>
            <w:r>
              <w:rPr>
                <w:rFonts w:hint="eastAsia"/>
                <w:sz w:val="18"/>
                <w:szCs w:val="18"/>
              </w:rPr>
              <w:t>4.使用寿命：</w:t>
            </w:r>
            <w:r>
              <w:rPr>
                <w:rFonts w:hint="eastAsia"/>
                <w:sz w:val="18"/>
                <w:szCs w:val="18"/>
                <w:lang w:eastAsia="zh-CN"/>
              </w:rPr>
              <w:t>不低于</w:t>
            </w:r>
            <w:r>
              <w:rPr>
                <w:rFonts w:hint="eastAsia"/>
                <w:sz w:val="18"/>
                <w:szCs w:val="18"/>
              </w:rPr>
              <w:t>5年</w:t>
            </w:r>
          </w:p>
        </w:tc>
      </w:tr>
      <w:tr w14:paraId="170A6AC8">
        <w:tblPrEx>
          <w:tblCellMar>
            <w:top w:w="0" w:type="dxa"/>
            <w:left w:w="108" w:type="dxa"/>
            <w:bottom w:w="0" w:type="dxa"/>
            <w:right w:w="108" w:type="dxa"/>
          </w:tblCellMar>
        </w:tblPrEx>
        <w:trPr>
          <w:trHeight w:val="1350" w:hRule="atLeast"/>
          <w:jc w:val="center"/>
        </w:trPr>
        <w:tc>
          <w:tcPr>
            <w:tcW w:w="993" w:type="pct"/>
            <w:vMerge w:val="continue"/>
            <w:tcBorders>
              <w:top w:val="single" w:color="auto" w:sz="4" w:space="0"/>
              <w:left w:val="single" w:color="auto" w:sz="4" w:space="0"/>
              <w:bottom w:val="single" w:color="auto" w:sz="4" w:space="0"/>
              <w:right w:val="single" w:color="auto" w:sz="4" w:space="0"/>
            </w:tcBorders>
            <w:vAlign w:val="center"/>
          </w:tcPr>
          <w:p w14:paraId="725E17ED">
            <w:pPr>
              <w:widowControl/>
              <w:spacing w:beforeLines="0" w:afterLines="0" w:line="240" w:lineRule="auto"/>
              <w:jc w:val="left"/>
              <w:rPr>
                <w:rFonts w:ascii="宋体" w:hAnsi="宋体" w:cs="宋体"/>
                <w:kern w:val="0"/>
                <w:sz w:val="18"/>
                <w:szCs w:val="18"/>
              </w:rPr>
            </w:pPr>
          </w:p>
        </w:tc>
        <w:tc>
          <w:tcPr>
            <w:tcW w:w="1051" w:type="pct"/>
            <w:tcBorders>
              <w:top w:val="single" w:color="auto" w:sz="4" w:space="0"/>
              <w:left w:val="nil"/>
              <w:bottom w:val="single" w:color="auto" w:sz="4" w:space="0"/>
              <w:right w:val="single" w:color="auto" w:sz="4" w:space="0"/>
            </w:tcBorders>
            <w:vAlign w:val="center"/>
          </w:tcPr>
          <w:p w14:paraId="372FD315">
            <w:pPr>
              <w:widowControl/>
              <w:spacing w:beforeLines="0" w:afterLines="0" w:line="240" w:lineRule="auto"/>
              <w:jc w:val="center"/>
              <w:rPr>
                <w:rFonts w:ascii="宋体" w:hAnsi="宋体" w:cs="宋体"/>
                <w:kern w:val="0"/>
                <w:sz w:val="18"/>
                <w:szCs w:val="18"/>
              </w:rPr>
            </w:pPr>
            <w:r>
              <w:rPr>
                <w:rFonts w:hint="eastAsia"/>
                <w:sz w:val="18"/>
                <w:szCs w:val="18"/>
              </w:rPr>
              <w:t>变形</w:t>
            </w:r>
          </w:p>
        </w:tc>
        <w:tc>
          <w:tcPr>
            <w:tcW w:w="2954" w:type="pct"/>
            <w:tcBorders>
              <w:top w:val="single" w:color="auto" w:sz="4" w:space="0"/>
              <w:left w:val="nil"/>
              <w:bottom w:val="single" w:color="auto" w:sz="4" w:space="0"/>
              <w:right w:val="single" w:color="auto" w:sz="4" w:space="0"/>
            </w:tcBorders>
            <w:vAlign w:val="center"/>
          </w:tcPr>
          <w:p w14:paraId="794E2014">
            <w:pPr>
              <w:widowControl/>
              <w:spacing w:beforeLines="0" w:afterLines="0" w:line="240" w:lineRule="auto"/>
              <w:jc w:val="left"/>
              <w:rPr>
                <w:rFonts w:hint="eastAsia" w:eastAsia="宋体"/>
                <w:sz w:val="18"/>
                <w:szCs w:val="18"/>
                <w:lang w:eastAsia="zh-CN"/>
              </w:rPr>
            </w:pPr>
            <w:r>
              <w:rPr>
                <w:rFonts w:hint="eastAsia"/>
                <w:sz w:val="18"/>
                <w:szCs w:val="18"/>
              </w:rPr>
              <w:t>1.量程：测点位移估计值或允许值的2～3倍</w:t>
            </w:r>
          </w:p>
          <w:p w14:paraId="66E6B689">
            <w:pPr>
              <w:widowControl/>
              <w:spacing w:beforeLines="0" w:afterLines="0" w:line="240" w:lineRule="auto"/>
              <w:jc w:val="left"/>
              <w:rPr>
                <w:rFonts w:hint="eastAsia" w:eastAsia="宋体"/>
                <w:sz w:val="18"/>
                <w:szCs w:val="18"/>
                <w:lang w:eastAsia="zh-CN"/>
              </w:rPr>
            </w:pPr>
            <w:r>
              <w:rPr>
                <w:rFonts w:hint="eastAsia"/>
                <w:sz w:val="18"/>
                <w:szCs w:val="18"/>
              </w:rPr>
              <w:t>2.精度：≤1 mm</w:t>
            </w:r>
          </w:p>
          <w:p w14:paraId="57688E28">
            <w:pPr>
              <w:widowControl/>
              <w:spacing w:beforeLines="0" w:afterLines="0" w:line="240" w:lineRule="auto"/>
              <w:jc w:val="left"/>
              <w:rPr>
                <w:rFonts w:hint="eastAsia" w:eastAsia="宋体"/>
                <w:sz w:val="18"/>
                <w:szCs w:val="18"/>
                <w:lang w:eastAsia="zh-CN"/>
              </w:rPr>
            </w:pPr>
            <w:r>
              <w:rPr>
                <w:rFonts w:hint="eastAsia"/>
                <w:sz w:val="18"/>
                <w:szCs w:val="18"/>
              </w:rPr>
              <w:t>3.分辨率：≤0.1mm</w:t>
            </w:r>
          </w:p>
          <w:p w14:paraId="22A611E6">
            <w:pPr>
              <w:widowControl/>
              <w:spacing w:beforeLines="0" w:afterLines="0" w:line="240" w:lineRule="auto"/>
              <w:jc w:val="left"/>
              <w:rPr>
                <w:rFonts w:hint="eastAsia" w:eastAsia="宋体"/>
                <w:sz w:val="18"/>
                <w:szCs w:val="18"/>
                <w:lang w:eastAsia="zh-CN"/>
              </w:rPr>
            </w:pPr>
            <w:r>
              <w:rPr>
                <w:rFonts w:hint="eastAsia"/>
                <w:sz w:val="18"/>
                <w:szCs w:val="18"/>
              </w:rPr>
              <w:t>4.采集频次：应根据倾斜或挠度变化速度确定，宜与水平位移监测及垂直位移监测频次相协调，当发现倾斜和挠度增大时应及时增加监测次数或进行持续监测</w:t>
            </w:r>
          </w:p>
          <w:p w14:paraId="2EF81130">
            <w:pPr>
              <w:widowControl/>
              <w:spacing w:beforeLines="0" w:afterLines="0" w:line="240" w:lineRule="auto"/>
              <w:jc w:val="left"/>
              <w:rPr>
                <w:rFonts w:ascii="宋体" w:hAnsi="宋体" w:cs="宋体"/>
                <w:kern w:val="0"/>
                <w:sz w:val="18"/>
                <w:szCs w:val="18"/>
              </w:rPr>
            </w:pPr>
            <w:r>
              <w:rPr>
                <w:rFonts w:hint="eastAsia"/>
                <w:sz w:val="18"/>
                <w:szCs w:val="18"/>
              </w:rPr>
              <w:t>5.使用寿命：</w:t>
            </w:r>
            <w:r>
              <w:rPr>
                <w:rFonts w:hint="eastAsia"/>
                <w:sz w:val="18"/>
                <w:szCs w:val="18"/>
                <w:lang w:eastAsia="zh-CN"/>
              </w:rPr>
              <w:t>不低于</w:t>
            </w:r>
            <w:r>
              <w:rPr>
                <w:rFonts w:hint="eastAsia"/>
                <w:sz w:val="18"/>
                <w:szCs w:val="18"/>
              </w:rPr>
              <w:t>5年</w:t>
            </w:r>
          </w:p>
        </w:tc>
      </w:tr>
      <w:tr w14:paraId="51A25E8A">
        <w:tblPrEx>
          <w:tblCellMar>
            <w:top w:w="0" w:type="dxa"/>
            <w:left w:w="108" w:type="dxa"/>
            <w:bottom w:w="0" w:type="dxa"/>
            <w:right w:w="108" w:type="dxa"/>
          </w:tblCellMar>
        </w:tblPrEx>
        <w:trPr>
          <w:trHeight w:val="637" w:hRule="atLeast"/>
          <w:jc w:val="center"/>
        </w:trPr>
        <w:tc>
          <w:tcPr>
            <w:tcW w:w="993" w:type="pct"/>
            <w:vMerge w:val="continue"/>
            <w:tcBorders>
              <w:top w:val="single" w:color="auto" w:sz="4" w:space="0"/>
              <w:left w:val="single" w:color="auto" w:sz="4" w:space="0"/>
              <w:bottom w:val="single" w:color="auto" w:sz="4" w:space="0"/>
              <w:right w:val="single" w:color="auto" w:sz="4" w:space="0"/>
            </w:tcBorders>
            <w:vAlign w:val="center"/>
          </w:tcPr>
          <w:p w14:paraId="5ACAF203">
            <w:pPr>
              <w:widowControl/>
              <w:spacing w:beforeLines="0" w:afterLines="0" w:line="240" w:lineRule="auto"/>
              <w:jc w:val="left"/>
              <w:rPr>
                <w:rFonts w:ascii="宋体" w:hAnsi="宋体" w:cs="宋体"/>
                <w:kern w:val="0"/>
                <w:sz w:val="18"/>
                <w:szCs w:val="18"/>
              </w:rPr>
            </w:pPr>
          </w:p>
        </w:tc>
        <w:tc>
          <w:tcPr>
            <w:tcW w:w="1051" w:type="pct"/>
            <w:tcBorders>
              <w:top w:val="single" w:color="auto" w:sz="4" w:space="0"/>
              <w:left w:val="nil"/>
              <w:bottom w:val="single" w:color="auto" w:sz="4" w:space="0"/>
              <w:right w:val="single" w:color="auto" w:sz="4" w:space="0"/>
            </w:tcBorders>
            <w:vAlign w:val="center"/>
          </w:tcPr>
          <w:p w14:paraId="0A3F69D5">
            <w:pPr>
              <w:widowControl/>
              <w:spacing w:beforeLines="0" w:afterLines="0" w:line="240" w:lineRule="auto"/>
              <w:jc w:val="center"/>
              <w:rPr>
                <w:rFonts w:ascii="宋体" w:hAnsi="宋体" w:cs="宋体"/>
                <w:kern w:val="0"/>
                <w:sz w:val="18"/>
                <w:szCs w:val="18"/>
              </w:rPr>
            </w:pPr>
            <w:r>
              <w:rPr>
                <w:rFonts w:hint="eastAsia"/>
                <w:sz w:val="18"/>
                <w:szCs w:val="18"/>
              </w:rPr>
              <w:t>裂缝</w:t>
            </w:r>
          </w:p>
        </w:tc>
        <w:tc>
          <w:tcPr>
            <w:tcW w:w="2954" w:type="pct"/>
            <w:tcBorders>
              <w:top w:val="single" w:color="auto" w:sz="4" w:space="0"/>
              <w:left w:val="nil"/>
              <w:bottom w:val="single" w:color="auto" w:sz="4" w:space="0"/>
              <w:right w:val="single" w:color="auto" w:sz="4" w:space="0"/>
            </w:tcBorders>
            <w:vAlign w:val="center"/>
          </w:tcPr>
          <w:p w14:paraId="0979AF9A">
            <w:pPr>
              <w:widowControl/>
              <w:spacing w:beforeLines="0" w:afterLines="0" w:line="240" w:lineRule="auto"/>
              <w:jc w:val="left"/>
              <w:rPr>
                <w:rFonts w:hint="eastAsia" w:eastAsia="宋体"/>
                <w:sz w:val="18"/>
                <w:szCs w:val="18"/>
                <w:lang w:eastAsia="zh-CN"/>
              </w:rPr>
            </w:pPr>
            <w:r>
              <w:rPr>
                <w:rFonts w:hint="eastAsia"/>
                <w:sz w:val="18"/>
                <w:szCs w:val="18"/>
              </w:rPr>
              <w:t>1.量程：应</w:t>
            </w:r>
            <w:r>
              <w:rPr>
                <w:rFonts w:hint="eastAsia"/>
                <w:sz w:val="18"/>
                <w:szCs w:val="18"/>
                <w:lang w:eastAsia="zh-CN"/>
              </w:rPr>
              <w:t>不低于</w:t>
            </w:r>
            <w:r>
              <w:rPr>
                <w:rFonts w:hint="eastAsia"/>
                <w:sz w:val="18"/>
                <w:szCs w:val="18"/>
              </w:rPr>
              <w:t>裂缝的预警宽度，且不小于10mm</w:t>
            </w:r>
          </w:p>
          <w:p w14:paraId="4ABB9F26">
            <w:pPr>
              <w:widowControl/>
              <w:spacing w:beforeLines="0" w:afterLines="0" w:line="240" w:lineRule="auto"/>
              <w:jc w:val="left"/>
              <w:rPr>
                <w:rFonts w:hint="eastAsia" w:eastAsia="宋体"/>
                <w:sz w:val="18"/>
                <w:szCs w:val="18"/>
                <w:lang w:eastAsia="zh-CN"/>
              </w:rPr>
            </w:pPr>
            <w:r>
              <w:rPr>
                <w:rFonts w:hint="eastAsia"/>
                <w:sz w:val="18"/>
                <w:szCs w:val="18"/>
              </w:rPr>
              <w:t>2.精度：≤0.1mm</w:t>
            </w:r>
          </w:p>
          <w:p w14:paraId="20102285">
            <w:pPr>
              <w:widowControl/>
              <w:spacing w:beforeLines="0" w:afterLines="0" w:line="240" w:lineRule="auto"/>
              <w:jc w:val="left"/>
              <w:rPr>
                <w:rFonts w:hint="eastAsia" w:eastAsia="宋体"/>
                <w:sz w:val="18"/>
                <w:szCs w:val="18"/>
                <w:lang w:eastAsia="zh-CN"/>
              </w:rPr>
            </w:pPr>
            <w:r>
              <w:rPr>
                <w:rFonts w:hint="eastAsia"/>
                <w:sz w:val="18"/>
                <w:szCs w:val="18"/>
              </w:rPr>
              <w:t>3.分辨率：≤0.01mm</w:t>
            </w:r>
          </w:p>
          <w:p w14:paraId="7E20803B">
            <w:pPr>
              <w:widowControl/>
              <w:spacing w:beforeLines="0" w:afterLines="0" w:line="240" w:lineRule="auto"/>
              <w:jc w:val="left"/>
              <w:rPr>
                <w:rFonts w:hint="eastAsia" w:eastAsia="宋体"/>
                <w:sz w:val="18"/>
                <w:szCs w:val="18"/>
                <w:lang w:eastAsia="zh-CN"/>
              </w:rPr>
            </w:pPr>
            <w:r>
              <w:rPr>
                <w:rFonts w:hint="eastAsia"/>
                <w:sz w:val="18"/>
                <w:szCs w:val="18"/>
              </w:rPr>
              <w:t>4.采集频次：应根据裂缝变化速度确定，当发现裂缝增大时应及时增加监测次数或进行持续监测</w:t>
            </w:r>
          </w:p>
          <w:p w14:paraId="0AFC2DBF">
            <w:pPr>
              <w:widowControl/>
              <w:spacing w:beforeLines="0" w:afterLines="0" w:line="240" w:lineRule="auto"/>
              <w:jc w:val="left"/>
              <w:rPr>
                <w:rFonts w:ascii="宋体" w:hAnsi="宋体" w:cs="宋体"/>
                <w:kern w:val="0"/>
                <w:sz w:val="18"/>
                <w:szCs w:val="18"/>
              </w:rPr>
            </w:pPr>
            <w:r>
              <w:rPr>
                <w:rFonts w:hint="eastAsia"/>
                <w:sz w:val="18"/>
                <w:szCs w:val="18"/>
              </w:rPr>
              <w:t>5.使用寿命：</w:t>
            </w:r>
            <w:r>
              <w:rPr>
                <w:rFonts w:hint="eastAsia"/>
                <w:sz w:val="18"/>
                <w:szCs w:val="18"/>
                <w:lang w:eastAsia="zh-CN"/>
              </w:rPr>
              <w:t>不低于</w:t>
            </w:r>
            <w:r>
              <w:rPr>
                <w:rFonts w:hint="eastAsia"/>
                <w:sz w:val="18"/>
                <w:szCs w:val="18"/>
              </w:rPr>
              <w:t>5年</w:t>
            </w:r>
          </w:p>
        </w:tc>
      </w:tr>
      <w:tr w14:paraId="729614F2">
        <w:tblPrEx>
          <w:tblCellMar>
            <w:top w:w="0" w:type="dxa"/>
            <w:left w:w="108" w:type="dxa"/>
            <w:bottom w:w="0" w:type="dxa"/>
            <w:right w:w="108" w:type="dxa"/>
          </w:tblCellMar>
        </w:tblPrEx>
        <w:trPr>
          <w:trHeight w:val="1350" w:hRule="atLeast"/>
          <w:jc w:val="center"/>
        </w:trPr>
        <w:tc>
          <w:tcPr>
            <w:tcW w:w="993" w:type="pct"/>
            <w:vMerge w:val="continue"/>
            <w:tcBorders>
              <w:top w:val="single" w:color="auto" w:sz="4" w:space="0"/>
              <w:left w:val="single" w:color="auto" w:sz="4" w:space="0"/>
              <w:bottom w:val="single" w:color="auto" w:sz="4" w:space="0"/>
              <w:right w:val="single" w:color="auto" w:sz="4" w:space="0"/>
            </w:tcBorders>
            <w:vAlign w:val="center"/>
          </w:tcPr>
          <w:p w14:paraId="7079EE22">
            <w:pPr>
              <w:widowControl/>
              <w:spacing w:beforeLines="0" w:afterLines="0" w:line="240" w:lineRule="auto"/>
              <w:jc w:val="left"/>
              <w:rPr>
                <w:rFonts w:ascii="宋体" w:hAnsi="宋体" w:cs="宋体"/>
                <w:kern w:val="0"/>
                <w:sz w:val="18"/>
                <w:szCs w:val="18"/>
              </w:rPr>
            </w:pPr>
          </w:p>
        </w:tc>
        <w:tc>
          <w:tcPr>
            <w:tcW w:w="1051" w:type="pct"/>
            <w:tcBorders>
              <w:top w:val="single" w:color="auto" w:sz="4" w:space="0"/>
              <w:left w:val="nil"/>
              <w:bottom w:val="single" w:color="auto" w:sz="4" w:space="0"/>
              <w:right w:val="single" w:color="auto" w:sz="4" w:space="0"/>
            </w:tcBorders>
            <w:vAlign w:val="center"/>
          </w:tcPr>
          <w:p w14:paraId="51B922D6">
            <w:pPr>
              <w:widowControl/>
              <w:spacing w:beforeLines="0" w:afterLines="0" w:line="240" w:lineRule="auto"/>
              <w:jc w:val="center"/>
              <w:rPr>
                <w:rFonts w:ascii="宋体" w:hAnsi="宋体" w:cs="宋体"/>
                <w:kern w:val="0"/>
                <w:sz w:val="18"/>
                <w:szCs w:val="18"/>
              </w:rPr>
            </w:pPr>
            <w:r>
              <w:rPr>
                <w:rFonts w:hint="eastAsia"/>
                <w:sz w:val="18"/>
                <w:szCs w:val="18"/>
              </w:rPr>
              <w:t>振动</w:t>
            </w:r>
          </w:p>
        </w:tc>
        <w:tc>
          <w:tcPr>
            <w:tcW w:w="2954" w:type="pct"/>
            <w:tcBorders>
              <w:top w:val="single" w:color="auto" w:sz="4" w:space="0"/>
              <w:left w:val="nil"/>
              <w:bottom w:val="single" w:color="auto" w:sz="4" w:space="0"/>
              <w:right w:val="single" w:color="auto" w:sz="4" w:space="0"/>
            </w:tcBorders>
            <w:vAlign w:val="center"/>
          </w:tcPr>
          <w:p w14:paraId="53B54B55">
            <w:pPr>
              <w:widowControl/>
              <w:spacing w:beforeLines="0" w:afterLines="0" w:line="240" w:lineRule="auto"/>
              <w:jc w:val="left"/>
              <w:rPr>
                <w:rFonts w:hint="eastAsia" w:eastAsia="宋体"/>
                <w:sz w:val="18"/>
                <w:szCs w:val="18"/>
                <w:lang w:eastAsia="zh-CN"/>
              </w:rPr>
            </w:pPr>
            <w:r>
              <w:rPr>
                <w:rFonts w:hint="eastAsia"/>
                <w:sz w:val="18"/>
                <w:szCs w:val="18"/>
              </w:rPr>
              <w:t>1.量程：±2g</w:t>
            </w:r>
          </w:p>
          <w:p w14:paraId="190FCE62">
            <w:pPr>
              <w:widowControl/>
              <w:spacing w:beforeLines="0" w:afterLines="0" w:line="240" w:lineRule="auto"/>
              <w:jc w:val="left"/>
              <w:rPr>
                <w:rFonts w:hint="eastAsia" w:eastAsia="宋体"/>
                <w:sz w:val="18"/>
                <w:szCs w:val="18"/>
                <w:lang w:eastAsia="zh-CN"/>
              </w:rPr>
            </w:pPr>
            <w:r>
              <w:rPr>
                <w:rFonts w:hint="eastAsia"/>
                <w:sz w:val="18"/>
                <w:szCs w:val="18"/>
              </w:rPr>
              <w:t>2.精度：不大于±2%FS（幅值），不大于0.5%FS（频率）</w:t>
            </w:r>
          </w:p>
          <w:p w14:paraId="7C84C2DE">
            <w:pPr>
              <w:widowControl/>
              <w:spacing w:beforeLines="0" w:afterLines="0" w:line="240" w:lineRule="auto"/>
              <w:jc w:val="left"/>
              <w:rPr>
                <w:rFonts w:hint="eastAsia" w:eastAsia="宋体"/>
                <w:sz w:val="18"/>
                <w:szCs w:val="18"/>
                <w:lang w:eastAsia="zh-CN"/>
              </w:rPr>
            </w:pPr>
            <w:r>
              <w:rPr>
                <w:rFonts w:hint="eastAsia"/>
                <w:sz w:val="18"/>
                <w:szCs w:val="18"/>
              </w:rPr>
              <w:t>3.横向灵敏度：1%</w:t>
            </w:r>
          </w:p>
          <w:p w14:paraId="197A6504">
            <w:pPr>
              <w:widowControl/>
              <w:spacing w:beforeLines="0" w:afterLines="0" w:line="240" w:lineRule="auto"/>
              <w:jc w:val="left"/>
              <w:rPr>
                <w:rFonts w:hint="eastAsia" w:eastAsia="宋体"/>
                <w:sz w:val="18"/>
                <w:szCs w:val="18"/>
                <w:lang w:eastAsia="zh-CN"/>
              </w:rPr>
            </w:pPr>
            <w:r>
              <w:rPr>
                <w:rFonts w:hint="eastAsia"/>
                <w:sz w:val="18"/>
                <w:szCs w:val="18"/>
              </w:rPr>
              <w:t>4.采集频次：应为需监测到结构最大频率2倍以上，宜为结构最大频率的3～4倍</w:t>
            </w:r>
          </w:p>
          <w:p w14:paraId="4528D623">
            <w:pPr>
              <w:widowControl/>
              <w:spacing w:beforeLines="0" w:afterLines="0" w:line="240" w:lineRule="auto"/>
              <w:jc w:val="left"/>
              <w:rPr>
                <w:rFonts w:ascii="宋体" w:hAnsi="宋体" w:cs="宋体"/>
                <w:kern w:val="0"/>
                <w:sz w:val="18"/>
                <w:szCs w:val="18"/>
              </w:rPr>
            </w:pPr>
            <w:r>
              <w:rPr>
                <w:rFonts w:hint="eastAsia"/>
                <w:sz w:val="18"/>
                <w:szCs w:val="18"/>
              </w:rPr>
              <w:t>5.使用寿命：</w:t>
            </w:r>
            <w:r>
              <w:rPr>
                <w:rFonts w:hint="eastAsia"/>
                <w:sz w:val="18"/>
                <w:szCs w:val="18"/>
                <w:lang w:eastAsia="zh-CN"/>
              </w:rPr>
              <w:t>不低于</w:t>
            </w:r>
            <w:r>
              <w:rPr>
                <w:rFonts w:hint="eastAsia"/>
                <w:sz w:val="18"/>
                <w:szCs w:val="18"/>
              </w:rPr>
              <w:t>5年</w:t>
            </w:r>
          </w:p>
        </w:tc>
      </w:tr>
      <w:tr w14:paraId="533AE364">
        <w:tblPrEx>
          <w:tblCellMar>
            <w:top w:w="0" w:type="dxa"/>
            <w:left w:w="108" w:type="dxa"/>
            <w:bottom w:w="0" w:type="dxa"/>
            <w:right w:w="108" w:type="dxa"/>
          </w:tblCellMar>
        </w:tblPrEx>
        <w:trPr>
          <w:trHeight w:val="787" w:hRule="atLeast"/>
          <w:jc w:val="center"/>
        </w:trPr>
        <w:tc>
          <w:tcPr>
            <w:tcW w:w="993" w:type="pct"/>
            <w:tcBorders>
              <w:top w:val="single" w:color="auto" w:sz="4" w:space="0"/>
              <w:left w:val="single" w:color="auto" w:sz="4" w:space="0"/>
              <w:bottom w:val="single" w:color="auto" w:sz="4" w:space="0"/>
              <w:right w:val="single" w:color="auto" w:sz="4" w:space="0"/>
            </w:tcBorders>
            <w:vAlign w:val="center"/>
          </w:tcPr>
          <w:p w14:paraId="40BE0D75">
            <w:pPr>
              <w:widowControl/>
              <w:spacing w:beforeLines="0" w:afterLines="0" w:line="240" w:lineRule="auto"/>
              <w:jc w:val="center"/>
              <w:rPr>
                <w:rFonts w:ascii="宋体" w:hAnsi="宋体" w:cs="宋体"/>
                <w:kern w:val="0"/>
                <w:sz w:val="18"/>
                <w:szCs w:val="18"/>
              </w:rPr>
            </w:pPr>
            <w:r>
              <w:rPr>
                <w:rFonts w:hint="eastAsia"/>
                <w:sz w:val="18"/>
                <w:szCs w:val="18"/>
              </w:rPr>
              <w:t>河道</w:t>
            </w:r>
          </w:p>
        </w:tc>
        <w:tc>
          <w:tcPr>
            <w:tcW w:w="1051" w:type="pct"/>
            <w:tcBorders>
              <w:top w:val="single" w:color="auto" w:sz="4" w:space="0"/>
              <w:left w:val="nil"/>
              <w:bottom w:val="single" w:color="auto" w:sz="4" w:space="0"/>
              <w:right w:val="single" w:color="auto" w:sz="4" w:space="0"/>
            </w:tcBorders>
            <w:vAlign w:val="center"/>
          </w:tcPr>
          <w:p w14:paraId="1252690F">
            <w:pPr>
              <w:widowControl/>
              <w:spacing w:beforeLines="0" w:afterLines="0" w:line="240" w:lineRule="auto"/>
              <w:jc w:val="center"/>
              <w:rPr>
                <w:rFonts w:ascii="宋体" w:hAnsi="宋体" w:cs="宋体"/>
                <w:kern w:val="0"/>
                <w:sz w:val="18"/>
                <w:szCs w:val="18"/>
              </w:rPr>
            </w:pPr>
            <w:r>
              <w:rPr>
                <w:rFonts w:hint="eastAsia"/>
                <w:sz w:val="18"/>
                <w:szCs w:val="18"/>
              </w:rPr>
              <w:t>水位</w:t>
            </w:r>
          </w:p>
        </w:tc>
        <w:tc>
          <w:tcPr>
            <w:tcW w:w="2954" w:type="pct"/>
            <w:tcBorders>
              <w:top w:val="single" w:color="auto" w:sz="4" w:space="0"/>
              <w:left w:val="nil"/>
              <w:bottom w:val="single" w:color="auto" w:sz="4" w:space="0"/>
              <w:right w:val="single" w:color="auto" w:sz="4" w:space="0"/>
            </w:tcBorders>
            <w:vAlign w:val="center"/>
          </w:tcPr>
          <w:p w14:paraId="720AFC82">
            <w:pPr>
              <w:widowControl/>
              <w:spacing w:beforeLines="0" w:afterLines="0" w:line="240" w:lineRule="auto"/>
              <w:jc w:val="left"/>
              <w:rPr>
                <w:rFonts w:hint="eastAsia" w:eastAsia="宋体"/>
                <w:sz w:val="18"/>
                <w:szCs w:val="18"/>
                <w:lang w:eastAsia="zh-CN"/>
              </w:rPr>
            </w:pPr>
            <w:r>
              <w:rPr>
                <w:rFonts w:hint="eastAsia"/>
                <w:sz w:val="18"/>
                <w:szCs w:val="18"/>
              </w:rPr>
              <w:t>1.量程：（0～20）m</w:t>
            </w:r>
          </w:p>
          <w:p w14:paraId="2DE69A23">
            <w:pPr>
              <w:widowControl/>
              <w:spacing w:beforeLines="0" w:afterLines="0" w:line="240" w:lineRule="auto"/>
              <w:jc w:val="left"/>
              <w:rPr>
                <w:rFonts w:hint="eastAsia" w:eastAsia="宋体"/>
                <w:sz w:val="18"/>
                <w:szCs w:val="18"/>
                <w:lang w:eastAsia="zh-CN"/>
              </w:rPr>
            </w:pPr>
            <w:r>
              <w:rPr>
                <w:rFonts w:hint="eastAsia"/>
                <w:sz w:val="18"/>
                <w:szCs w:val="18"/>
              </w:rPr>
              <w:t>2.精度：±1%FS</w:t>
            </w:r>
          </w:p>
          <w:p w14:paraId="28AB8A24">
            <w:pPr>
              <w:widowControl/>
              <w:spacing w:beforeLines="0" w:afterLines="0" w:line="240" w:lineRule="auto"/>
              <w:jc w:val="left"/>
              <w:rPr>
                <w:rFonts w:ascii="宋体" w:hAnsi="宋体" w:cs="宋体"/>
                <w:kern w:val="0"/>
                <w:sz w:val="18"/>
                <w:szCs w:val="18"/>
              </w:rPr>
            </w:pPr>
            <w:r>
              <w:rPr>
                <w:rFonts w:hint="eastAsia"/>
                <w:sz w:val="18"/>
                <w:szCs w:val="18"/>
              </w:rPr>
              <w:t>3.使用寿命：</w:t>
            </w:r>
            <w:r>
              <w:rPr>
                <w:rFonts w:hint="eastAsia"/>
                <w:sz w:val="18"/>
                <w:szCs w:val="18"/>
                <w:lang w:eastAsia="zh-CN"/>
              </w:rPr>
              <w:t>不低于</w:t>
            </w:r>
            <w:r>
              <w:rPr>
                <w:rFonts w:hint="eastAsia"/>
                <w:sz w:val="18"/>
                <w:szCs w:val="18"/>
              </w:rPr>
              <w:t>5年</w:t>
            </w:r>
          </w:p>
        </w:tc>
      </w:tr>
    </w:tbl>
    <w:p w14:paraId="3E2D2E5F">
      <w:pPr>
        <w:pStyle w:val="2"/>
        <w:pageBreakBefore/>
        <w:tabs>
          <w:tab w:val="left" w:pos="454"/>
        </w:tabs>
        <w:spacing w:beforeLines="100" w:afterLines="100"/>
        <w:rPr>
          <w:rFonts w:hint="eastAsia" w:ascii="宋体" w:hAnsi="宋体"/>
          <w:szCs w:val="21"/>
        </w:rPr>
      </w:pPr>
      <w:bookmarkStart w:id="189" w:name="_Toc11201"/>
      <w:r>
        <w:rPr>
          <w:rFonts w:hint="eastAsia" w:ascii="宋体" w:hAnsi="宋体"/>
          <w:szCs w:val="21"/>
          <w:lang w:val="en-US" w:eastAsia="zh-CN"/>
        </w:rPr>
        <w:t>C</w:t>
      </w:r>
      <w:r>
        <w:rPr>
          <w:rFonts w:hint="eastAsia" w:ascii="宋体" w:hAnsi="宋体"/>
          <w:szCs w:val="21"/>
        </w:rPr>
        <w:t>.6隧道</w:t>
      </w:r>
      <w:r>
        <w:rPr>
          <w:rFonts w:hint="eastAsia" w:ascii="宋体" w:hAnsi="宋体"/>
          <w:szCs w:val="21"/>
          <w:lang w:eastAsia="zh-CN"/>
        </w:rPr>
        <w:t>监测设备</w:t>
      </w:r>
      <w:r>
        <w:rPr>
          <w:rFonts w:hint="eastAsia" w:ascii="宋体" w:hAnsi="宋体"/>
          <w:szCs w:val="21"/>
          <w:lang w:val="en-US" w:eastAsia="zh-CN"/>
        </w:rPr>
        <w:t>性能</w:t>
      </w:r>
      <w:r>
        <w:rPr>
          <w:rFonts w:hint="eastAsia" w:ascii="宋体" w:hAnsi="宋体"/>
          <w:szCs w:val="21"/>
        </w:rPr>
        <w:t>要求</w:t>
      </w:r>
      <w:bookmarkEnd w:id="189"/>
    </w:p>
    <w:p w14:paraId="517B4318">
      <w:pPr>
        <w:rPr>
          <w:rFonts w:hint="eastAsia" w:ascii="黑体" w:hAnsi="黑体" w:eastAsia="黑体"/>
          <w:bCs/>
          <w:color w:val="auto"/>
          <w:lang w:val="en-US" w:eastAsia="zh-CN"/>
        </w:rPr>
      </w:pPr>
      <w:r>
        <w:rPr>
          <w:rFonts w:hint="eastAsia"/>
          <w:b w:val="0"/>
          <w:bCs w:val="0"/>
          <w:lang w:val="en-US" w:eastAsia="zh-CN"/>
        </w:rPr>
        <w:t>隧道监测设备性能要求见表C.6。</w:t>
      </w:r>
    </w:p>
    <w:tbl>
      <w:tblPr>
        <w:tblStyle w:val="35"/>
        <w:tblW w:w="4869" w:type="pct"/>
        <w:tblInd w:w="124" w:type="dxa"/>
        <w:tblLayout w:type="autofit"/>
        <w:tblCellMar>
          <w:top w:w="0" w:type="dxa"/>
          <w:left w:w="108" w:type="dxa"/>
          <w:bottom w:w="0" w:type="dxa"/>
          <w:right w:w="108" w:type="dxa"/>
        </w:tblCellMar>
      </w:tblPr>
      <w:tblGrid>
        <w:gridCol w:w="1662"/>
        <w:gridCol w:w="1787"/>
        <w:gridCol w:w="5043"/>
      </w:tblGrid>
      <w:tr w14:paraId="7233D976">
        <w:tblPrEx>
          <w:tblCellMar>
            <w:top w:w="0" w:type="dxa"/>
            <w:left w:w="108" w:type="dxa"/>
            <w:bottom w:w="0" w:type="dxa"/>
            <w:right w:w="108" w:type="dxa"/>
          </w:tblCellMar>
        </w:tblPrEx>
        <w:trPr>
          <w:trHeight w:val="285" w:hRule="atLeast"/>
          <w:tblHeader/>
        </w:trPr>
        <w:tc>
          <w:tcPr>
            <w:tcW w:w="5000" w:type="pct"/>
            <w:gridSpan w:val="3"/>
            <w:tcBorders>
              <w:top w:val="nil"/>
              <w:left w:val="nil"/>
              <w:bottom w:val="single" w:color="auto" w:sz="4" w:space="0"/>
              <w:right w:val="nil"/>
            </w:tcBorders>
            <w:noWrap/>
            <w:vAlign w:val="center"/>
          </w:tcPr>
          <w:p w14:paraId="4BB05174">
            <w:pPr>
              <w:pStyle w:val="98"/>
              <w:spacing w:before="31" w:after="31"/>
              <w:jc w:val="center"/>
              <w:rPr>
                <w:rFonts w:ascii="宋体" w:hAnsi="宋体"/>
                <w:b/>
                <w:bCs/>
                <w:kern w:val="0"/>
                <w:sz w:val="18"/>
                <w:szCs w:val="18"/>
              </w:rPr>
            </w:pPr>
            <w:r>
              <w:rPr>
                <w:rFonts w:hint="eastAsia" w:ascii="黑体" w:hAnsi="黑体" w:eastAsia="黑体"/>
                <w:bCs/>
                <w:color w:val="auto"/>
              </w:rPr>
              <w:t>表</w:t>
            </w:r>
            <w:r>
              <w:rPr>
                <w:rFonts w:hint="eastAsia" w:ascii="黑体" w:hAnsi="黑体" w:eastAsia="黑体"/>
                <w:bCs/>
                <w:color w:val="auto"/>
                <w:lang w:val="en-US" w:eastAsia="zh-CN"/>
              </w:rPr>
              <w:t>C</w:t>
            </w:r>
            <w:r>
              <w:rPr>
                <w:rFonts w:hint="eastAsia" w:ascii="黑体" w:hAnsi="黑体" w:eastAsia="黑体"/>
                <w:bCs/>
                <w:color w:val="auto"/>
              </w:rPr>
              <w:t>.6  隧道</w:t>
            </w:r>
            <w:r>
              <w:rPr>
                <w:rFonts w:hint="eastAsia" w:ascii="黑体" w:hAnsi="黑体" w:eastAsia="黑体"/>
                <w:bCs/>
                <w:color w:val="auto"/>
                <w:lang w:eastAsia="zh-CN"/>
              </w:rPr>
              <w:t>监测设备</w:t>
            </w:r>
            <w:r>
              <w:rPr>
                <w:rFonts w:hint="eastAsia" w:ascii="黑体" w:hAnsi="黑体" w:eastAsia="黑体"/>
                <w:bCs/>
                <w:color w:val="auto"/>
                <w:lang w:val="en-US" w:eastAsia="zh-CN"/>
              </w:rPr>
              <w:t>性能</w:t>
            </w:r>
            <w:r>
              <w:rPr>
                <w:rFonts w:hint="eastAsia" w:ascii="黑体" w:hAnsi="黑体" w:eastAsia="黑体"/>
                <w:bCs/>
                <w:color w:val="auto"/>
              </w:rPr>
              <w:t>要求</w:t>
            </w:r>
          </w:p>
        </w:tc>
      </w:tr>
      <w:tr w14:paraId="5276B66C">
        <w:tblPrEx>
          <w:tblCellMar>
            <w:top w:w="0" w:type="dxa"/>
            <w:left w:w="108" w:type="dxa"/>
            <w:bottom w:w="0" w:type="dxa"/>
            <w:right w:w="108" w:type="dxa"/>
          </w:tblCellMar>
        </w:tblPrEx>
        <w:trPr>
          <w:trHeight w:val="285" w:hRule="atLeast"/>
          <w:tblHeader/>
        </w:trPr>
        <w:tc>
          <w:tcPr>
            <w:tcW w:w="979" w:type="pct"/>
            <w:tcBorders>
              <w:top w:val="nil"/>
              <w:left w:val="single" w:color="auto" w:sz="4" w:space="0"/>
              <w:bottom w:val="single" w:color="auto" w:sz="4" w:space="0"/>
              <w:right w:val="single" w:color="auto" w:sz="4" w:space="0"/>
            </w:tcBorders>
            <w:vAlign w:val="center"/>
          </w:tcPr>
          <w:p w14:paraId="35046E83">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监测对象</w:t>
            </w:r>
          </w:p>
        </w:tc>
        <w:tc>
          <w:tcPr>
            <w:tcW w:w="1052" w:type="pct"/>
            <w:tcBorders>
              <w:top w:val="nil"/>
              <w:left w:val="nil"/>
              <w:bottom w:val="single" w:color="auto" w:sz="4" w:space="0"/>
              <w:right w:val="single" w:color="auto" w:sz="4" w:space="0"/>
            </w:tcBorders>
            <w:vAlign w:val="center"/>
          </w:tcPr>
          <w:p w14:paraId="1ED2E486">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监测指标</w:t>
            </w:r>
          </w:p>
        </w:tc>
        <w:tc>
          <w:tcPr>
            <w:tcW w:w="2968" w:type="pct"/>
            <w:tcBorders>
              <w:top w:val="nil"/>
              <w:left w:val="nil"/>
              <w:bottom w:val="single" w:color="auto" w:sz="4" w:space="0"/>
              <w:right w:val="single" w:color="auto" w:sz="4" w:space="0"/>
            </w:tcBorders>
            <w:vAlign w:val="center"/>
          </w:tcPr>
          <w:p w14:paraId="7D9EFAFE">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监测设备</w:t>
            </w:r>
            <w:r>
              <w:rPr>
                <w:rFonts w:hint="eastAsia" w:ascii="宋体" w:hAnsi="宋体" w:cs="宋体"/>
                <w:kern w:val="0"/>
                <w:sz w:val="18"/>
                <w:szCs w:val="18"/>
                <w:lang w:val="en-US" w:eastAsia="zh-CN"/>
              </w:rPr>
              <w:t>性能</w:t>
            </w:r>
            <w:r>
              <w:rPr>
                <w:rFonts w:hint="eastAsia" w:ascii="宋体" w:hAnsi="宋体" w:cs="宋体"/>
                <w:kern w:val="0"/>
                <w:sz w:val="18"/>
                <w:szCs w:val="18"/>
              </w:rPr>
              <w:t>要求</w:t>
            </w:r>
          </w:p>
        </w:tc>
      </w:tr>
      <w:tr w14:paraId="0C482FB8">
        <w:tblPrEx>
          <w:tblCellMar>
            <w:top w:w="0" w:type="dxa"/>
            <w:left w:w="108" w:type="dxa"/>
            <w:bottom w:w="0" w:type="dxa"/>
            <w:right w:w="108" w:type="dxa"/>
          </w:tblCellMar>
        </w:tblPrEx>
        <w:trPr>
          <w:trHeight w:val="1125" w:hRule="atLeast"/>
        </w:trPr>
        <w:tc>
          <w:tcPr>
            <w:tcW w:w="979" w:type="pct"/>
            <w:vMerge w:val="restart"/>
            <w:tcBorders>
              <w:top w:val="nil"/>
              <w:left w:val="single" w:color="auto" w:sz="4" w:space="0"/>
              <w:right w:val="single" w:color="auto" w:sz="4" w:space="0"/>
            </w:tcBorders>
            <w:vAlign w:val="center"/>
          </w:tcPr>
          <w:p w14:paraId="28EF378A">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荷载与环境</w:t>
            </w:r>
          </w:p>
        </w:tc>
        <w:tc>
          <w:tcPr>
            <w:tcW w:w="1052" w:type="pct"/>
            <w:tcBorders>
              <w:top w:val="nil"/>
              <w:left w:val="nil"/>
              <w:bottom w:val="single" w:color="auto" w:sz="4" w:space="0"/>
              <w:right w:val="single" w:color="auto" w:sz="4" w:space="0"/>
            </w:tcBorders>
            <w:vAlign w:val="center"/>
          </w:tcPr>
          <w:p w14:paraId="654361C5">
            <w:pPr>
              <w:widowControl/>
              <w:spacing w:beforeLines="0" w:afterLines="0" w:line="240" w:lineRule="auto"/>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视频监控</w:t>
            </w:r>
          </w:p>
        </w:tc>
        <w:tc>
          <w:tcPr>
            <w:tcW w:w="2968" w:type="pct"/>
            <w:tcBorders>
              <w:top w:val="nil"/>
              <w:left w:val="nil"/>
              <w:bottom w:val="single" w:color="auto" w:sz="4" w:space="0"/>
              <w:right w:val="single" w:color="auto" w:sz="4" w:space="0"/>
            </w:tcBorders>
            <w:vAlign w:val="center"/>
          </w:tcPr>
          <w:p w14:paraId="41A068DE">
            <w:pPr>
              <w:pStyle w:val="180"/>
              <w:rPr>
                <w:rFonts w:ascii="宋体" w:hAnsi="宋体"/>
                <w:sz w:val="18"/>
                <w:szCs w:val="18"/>
              </w:rPr>
            </w:pPr>
            <w:r>
              <w:rPr>
                <w:rFonts w:hint="eastAsia" w:ascii="宋体" w:hAnsi="宋体"/>
                <w:sz w:val="18"/>
                <w:szCs w:val="18"/>
              </w:rPr>
              <w:t>1.</w:t>
            </w:r>
            <w:r>
              <w:rPr>
                <w:rFonts w:hint="eastAsia" w:ascii="宋体" w:hAnsi="宋体"/>
                <w:sz w:val="18"/>
                <w:szCs w:val="18"/>
                <w:lang w:eastAsia="zh-CN"/>
              </w:rPr>
              <w:t>视频监控</w:t>
            </w:r>
            <w:r>
              <w:rPr>
                <w:rFonts w:hint="eastAsia" w:ascii="宋体" w:hAnsi="宋体"/>
                <w:sz w:val="18"/>
                <w:szCs w:val="18"/>
              </w:rPr>
              <w:t>宜采用网络摄像机，像素应大于等于200万，帧率应大于等于25FPS；</w:t>
            </w:r>
          </w:p>
          <w:p w14:paraId="0DDEB173">
            <w:pPr>
              <w:pStyle w:val="180"/>
              <w:rPr>
                <w:rFonts w:ascii="宋体" w:hAnsi="宋体"/>
                <w:sz w:val="18"/>
                <w:szCs w:val="18"/>
              </w:rPr>
            </w:pPr>
            <w:r>
              <w:rPr>
                <w:rFonts w:hint="eastAsia" w:ascii="宋体" w:hAnsi="宋体"/>
                <w:sz w:val="18"/>
                <w:szCs w:val="18"/>
              </w:rPr>
              <w:t>2.动态范围应大于等于55dB，应具备自动光圈、变焦镜头、昼/夜自动转换功能；</w:t>
            </w:r>
          </w:p>
          <w:p w14:paraId="7278BC50">
            <w:pPr>
              <w:pStyle w:val="180"/>
              <w:rPr>
                <w:rFonts w:ascii="宋体" w:hAnsi="宋体"/>
                <w:sz w:val="18"/>
                <w:szCs w:val="18"/>
              </w:rPr>
            </w:pPr>
            <w:r>
              <w:rPr>
                <w:rFonts w:hint="eastAsia" w:ascii="宋体" w:hAnsi="宋体"/>
                <w:sz w:val="18"/>
                <w:szCs w:val="18"/>
              </w:rPr>
              <w:t>3.防护罩：具备水平0°～35°垂直15°～-90°旋转功能；</w:t>
            </w:r>
          </w:p>
          <w:p w14:paraId="17F53C3C">
            <w:pPr>
              <w:pStyle w:val="180"/>
              <w:rPr>
                <w:rFonts w:ascii="宋体" w:hAnsi="宋体"/>
                <w:sz w:val="18"/>
                <w:szCs w:val="18"/>
              </w:rPr>
            </w:pPr>
            <w:r>
              <w:rPr>
                <w:rFonts w:hint="eastAsia" w:ascii="宋体" w:hAnsi="宋体"/>
                <w:sz w:val="18"/>
                <w:szCs w:val="18"/>
              </w:rPr>
              <w:t>4.具备交通事件检测、危化品车辆识别能力，且应符合GB/T24726的有关规定；</w:t>
            </w:r>
          </w:p>
          <w:p w14:paraId="021FE1AD">
            <w:pPr>
              <w:widowControl/>
              <w:spacing w:beforeLines="0" w:afterLines="0" w:line="240" w:lineRule="auto"/>
              <w:jc w:val="left"/>
              <w:rPr>
                <w:rFonts w:ascii="宋体" w:hAnsi="宋体" w:cs="宋体"/>
                <w:kern w:val="0"/>
                <w:sz w:val="18"/>
                <w:szCs w:val="18"/>
              </w:rPr>
            </w:pPr>
            <w:r>
              <w:rPr>
                <w:rFonts w:hint="eastAsia" w:ascii="宋体" w:hAnsi="宋体"/>
                <w:sz w:val="18"/>
                <w:szCs w:val="18"/>
              </w:rPr>
              <w:t>5.采集和传输频率：实时监测。</w:t>
            </w:r>
          </w:p>
        </w:tc>
      </w:tr>
      <w:tr w14:paraId="297EBEE8">
        <w:tblPrEx>
          <w:tblCellMar>
            <w:top w:w="0" w:type="dxa"/>
            <w:left w:w="108" w:type="dxa"/>
            <w:bottom w:w="0" w:type="dxa"/>
            <w:right w:w="108" w:type="dxa"/>
          </w:tblCellMar>
        </w:tblPrEx>
        <w:trPr>
          <w:trHeight w:val="1350" w:hRule="atLeast"/>
        </w:trPr>
        <w:tc>
          <w:tcPr>
            <w:tcW w:w="979" w:type="pct"/>
            <w:vMerge w:val="continue"/>
            <w:tcBorders>
              <w:left w:val="single" w:color="auto" w:sz="4" w:space="0"/>
              <w:right w:val="single" w:color="auto" w:sz="4" w:space="0"/>
            </w:tcBorders>
            <w:vAlign w:val="center"/>
          </w:tcPr>
          <w:p w14:paraId="46F635C5">
            <w:pPr>
              <w:widowControl/>
              <w:spacing w:beforeLines="0" w:afterLines="0" w:line="240" w:lineRule="auto"/>
              <w:jc w:val="left"/>
              <w:rPr>
                <w:rFonts w:ascii="宋体" w:hAnsi="宋体" w:cs="宋体"/>
                <w:kern w:val="0"/>
                <w:sz w:val="18"/>
                <w:szCs w:val="18"/>
              </w:rPr>
            </w:pPr>
          </w:p>
        </w:tc>
        <w:tc>
          <w:tcPr>
            <w:tcW w:w="1052" w:type="pct"/>
            <w:tcBorders>
              <w:top w:val="nil"/>
              <w:left w:val="nil"/>
              <w:bottom w:val="single" w:color="auto" w:sz="4" w:space="0"/>
              <w:right w:val="single" w:color="auto" w:sz="4" w:space="0"/>
            </w:tcBorders>
            <w:vAlign w:val="center"/>
          </w:tcPr>
          <w:p w14:paraId="6649C6C8">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环境温湿度</w:t>
            </w:r>
          </w:p>
        </w:tc>
        <w:tc>
          <w:tcPr>
            <w:tcW w:w="2968" w:type="pct"/>
            <w:tcBorders>
              <w:top w:val="nil"/>
              <w:left w:val="nil"/>
              <w:bottom w:val="single" w:color="auto" w:sz="4" w:space="0"/>
              <w:right w:val="single" w:color="auto" w:sz="4" w:space="0"/>
            </w:tcBorders>
            <w:vAlign w:val="center"/>
          </w:tcPr>
          <w:p w14:paraId="550EB784">
            <w:pPr>
              <w:pStyle w:val="180"/>
              <w:rPr>
                <w:rFonts w:ascii="宋体" w:hAnsi="宋体"/>
                <w:sz w:val="18"/>
                <w:szCs w:val="18"/>
              </w:rPr>
            </w:pPr>
            <w:r>
              <w:rPr>
                <w:rFonts w:hint="eastAsia" w:ascii="宋体" w:hAnsi="宋体"/>
                <w:sz w:val="18"/>
                <w:szCs w:val="18"/>
              </w:rPr>
              <w:t>1</w:t>
            </w:r>
            <w:r>
              <w:rPr>
                <w:rFonts w:ascii="宋体" w:hAnsi="宋体"/>
                <w:sz w:val="18"/>
                <w:szCs w:val="18"/>
              </w:rPr>
              <w:t>.量程：湿度0～100%RH，温度－30℃～70℃</w:t>
            </w:r>
            <w:r>
              <w:rPr>
                <w:rFonts w:hint="eastAsia" w:ascii="宋体" w:hAnsi="宋体"/>
                <w:sz w:val="18"/>
                <w:szCs w:val="18"/>
              </w:rPr>
              <w:t>；</w:t>
            </w:r>
          </w:p>
          <w:p w14:paraId="287E0F83">
            <w:pPr>
              <w:pStyle w:val="180"/>
              <w:rPr>
                <w:rFonts w:ascii="宋体" w:hAnsi="宋体"/>
                <w:sz w:val="18"/>
                <w:szCs w:val="18"/>
              </w:rPr>
            </w:pPr>
            <w:r>
              <w:rPr>
                <w:rFonts w:hint="eastAsia" w:ascii="宋体" w:hAnsi="宋体"/>
                <w:sz w:val="18"/>
                <w:szCs w:val="18"/>
              </w:rPr>
              <w:t>2</w:t>
            </w:r>
            <w:r>
              <w:rPr>
                <w:rFonts w:ascii="宋体" w:hAnsi="宋体"/>
                <w:sz w:val="18"/>
                <w:szCs w:val="18"/>
              </w:rPr>
              <w:t>.误差：湿度≤±3%RH，温度≤±0.5℃</w:t>
            </w:r>
            <w:r>
              <w:rPr>
                <w:rFonts w:hint="eastAsia" w:ascii="宋体" w:hAnsi="宋体"/>
                <w:sz w:val="18"/>
                <w:szCs w:val="18"/>
              </w:rPr>
              <w:t>；</w:t>
            </w:r>
          </w:p>
          <w:p w14:paraId="2FF137D8">
            <w:pPr>
              <w:pStyle w:val="180"/>
              <w:rPr>
                <w:rFonts w:ascii="宋体" w:hAnsi="宋体"/>
                <w:sz w:val="18"/>
                <w:szCs w:val="18"/>
              </w:rPr>
            </w:pPr>
            <w:r>
              <w:rPr>
                <w:rFonts w:hint="eastAsia" w:ascii="宋体" w:hAnsi="宋体"/>
                <w:sz w:val="18"/>
                <w:szCs w:val="18"/>
              </w:rPr>
              <w:t>3</w:t>
            </w:r>
            <w:r>
              <w:rPr>
                <w:rFonts w:ascii="宋体" w:hAnsi="宋体"/>
                <w:sz w:val="18"/>
                <w:szCs w:val="18"/>
              </w:rPr>
              <w:t>.分辨率：湿度1%RH，温度0.1℃</w:t>
            </w:r>
            <w:r>
              <w:rPr>
                <w:rFonts w:hint="eastAsia" w:ascii="宋体" w:hAnsi="宋体"/>
                <w:sz w:val="18"/>
                <w:szCs w:val="18"/>
              </w:rPr>
              <w:t>；</w:t>
            </w:r>
          </w:p>
          <w:p w14:paraId="7EE8C7DB">
            <w:pPr>
              <w:pStyle w:val="180"/>
              <w:rPr>
                <w:rFonts w:ascii="宋体" w:hAnsi="宋体"/>
                <w:sz w:val="18"/>
                <w:szCs w:val="18"/>
              </w:rPr>
            </w:pPr>
            <w:r>
              <w:rPr>
                <w:rFonts w:hint="eastAsia" w:ascii="宋体" w:hAnsi="宋体"/>
                <w:sz w:val="18"/>
                <w:szCs w:val="18"/>
              </w:rPr>
              <w:t>4</w:t>
            </w:r>
            <w:r>
              <w:rPr>
                <w:rFonts w:ascii="宋体" w:hAnsi="宋体"/>
                <w:sz w:val="18"/>
                <w:szCs w:val="18"/>
              </w:rPr>
              <w:t>.环境适用：应具有防腐、防水等抗恶劣环境性能</w:t>
            </w:r>
            <w:r>
              <w:rPr>
                <w:rFonts w:hint="eastAsia" w:ascii="宋体" w:hAnsi="宋体"/>
                <w:sz w:val="18"/>
                <w:szCs w:val="18"/>
              </w:rPr>
              <w:t>；</w:t>
            </w:r>
          </w:p>
          <w:p w14:paraId="1A2B5775">
            <w:pPr>
              <w:pStyle w:val="180"/>
              <w:rPr>
                <w:rFonts w:ascii="宋体" w:hAnsi="宋体"/>
                <w:sz w:val="18"/>
                <w:szCs w:val="18"/>
              </w:rPr>
            </w:pPr>
            <w:r>
              <w:rPr>
                <w:rFonts w:hint="eastAsia" w:ascii="宋体" w:hAnsi="宋体"/>
                <w:sz w:val="18"/>
                <w:szCs w:val="18"/>
              </w:rPr>
              <w:t>5</w:t>
            </w:r>
            <w:r>
              <w:rPr>
                <w:rFonts w:ascii="宋体" w:hAnsi="宋体"/>
                <w:sz w:val="18"/>
                <w:szCs w:val="18"/>
              </w:rPr>
              <w:t>.采集和传输频率</w:t>
            </w:r>
            <w:r>
              <w:rPr>
                <w:rFonts w:hint="eastAsia" w:ascii="宋体" w:hAnsi="宋体"/>
                <w:sz w:val="18"/>
                <w:szCs w:val="18"/>
              </w:rPr>
              <w:t>：</w:t>
            </w:r>
            <w:r>
              <w:rPr>
                <w:rFonts w:ascii="宋体" w:hAnsi="宋体"/>
                <w:sz w:val="18"/>
                <w:szCs w:val="18"/>
              </w:rPr>
              <w:t>≤1次/5min</w:t>
            </w:r>
            <w:r>
              <w:rPr>
                <w:rFonts w:hint="eastAsia" w:ascii="宋体" w:hAnsi="宋体"/>
                <w:sz w:val="18"/>
                <w:szCs w:val="18"/>
              </w:rPr>
              <w:t>；</w:t>
            </w:r>
          </w:p>
          <w:p w14:paraId="0804F278">
            <w:pPr>
              <w:widowControl/>
              <w:spacing w:beforeLines="0" w:afterLines="0" w:line="240" w:lineRule="auto"/>
              <w:jc w:val="left"/>
              <w:rPr>
                <w:rFonts w:ascii="宋体" w:hAnsi="宋体" w:cs="宋体"/>
                <w:kern w:val="0"/>
                <w:sz w:val="18"/>
                <w:szCs w:val="18"/>
              </w:rPr>
            </w:pPr>
            <w:r>
              <w:rPr>
                <w:rFonts w:hint="eastAsia" w:ascii="宋体" w:hAnsi="宋体"/>
                <w:sz w:val="18"/>
                <w:szCs w:val="18"/>
              </w:rPr>
              <w:t>6</w:t>
            </w:r>
            <w:r>
              <w:rPr>
                <w:rFonts w:ascii="宋体" w:hAnsi="宋体"/>
                <w:sz w:val="18"/>
                <w:szCs w:val="18"/>
              </w:rPr>
              <w:t>.防护等级：≥IP65</w:t>
            </w:r>
            <w:r>
              <w:rPr>
                <w:rFonts w:hint="eastAsia" w:ascii="宋体" w:hAnsi="宋体"/>
                <w:sz w:val="18"/>
                <w:szCs w:val="18"/>
              </w:rPr>
              <w:t>。</w:t>
            </w:r>
          </w:p>
        </w:tc>
      </w:tr>
      <w:tr w14:paraId="6C2A0203">
        <w:tblPrEx>
          <w:tblCellMar>
            <w:top w:w="0" w:type="dxa"/>
            <w:left w:w="108" w:type="dxa"/>
            <w:bottom w:w="0" w:type="dxa"/>
            <w:right w:w="108" w:type="dxa"/>
          </w:tblCellMar>
        </w:tblPrEx>
        <w:trPr>
          <w:trHeight w:val="900" w:hRule="atLeast"/>
        </w:trPr>
        <w:tc>
          <w:tcPr>
            <w:tcW w:w="979" w:type="pct"/>
            <w:vMerge w:val="continue"/>
            <w:tcBorders>
              <w:left w:val="single" w:color="auto" w:sz="4" w:space="0"/>
              <w:right w:val="single" w:color="auto" w:sz="4" w:space="0"/>
            </w:tcBorders>
            <w:vAlign w:val="center"/>
          </w:tcPr>
          <w:p w14:paraId="143F8B02">
            <w:pPr>
              <w:widowControl/>
              <w:spacing w:beforeLines="0" w:afterLines="0" w:line="240" w:lineRule="auto"/>
              <w:jc w:val="left"/>
              <w:rPr>
                <w:rFonts w:ascii="宋体" w:hAnsi="宋体" w:cs="宋体"/>
                <w:kern w:val="0"/>
                <w:sz w:val="18"/>
                <w:szCs w:val="18"/>
              </w:rPr>
            </w:pPr>
          </w:p>
        </w:tc>
        <w:tc>
          <w:tcPr>
            <w:tcW w:w="1052" w:type="pct"/>
            <w:tcBorders>
              <w:top w:val="nil"/>
              <w:left w:val="nil"/>
              <w:bottom w:val="single" w:color="auto" w:sz="4" w:space="0"/>
              <w:right w:val="single" w:color="auto" w:sz="4" w:space="0"/>
            </w:tcBorders>
            <w:vAlign w:val="center"/>
          </w:tcPr>
          <w:p w14:paraId="624D66DB">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空气质量</w:t>
            </w:r>
          </w:p>
        </w:tc>
        <w:tc>
          <w:tcPr>
            <w:tcW w:w="2968" w:type="pct"/>
            <w:tcBorders>
              <w:top w:val="nil"/>
              <w:left w:val="nil"/>
              <w:bottom w:val="single" w:color="auto" w:sz="4" w:space="0"/>
              <w:right w:val="single" w:color="auto" w:sz="4" w:space="0"/>
            </w:tcBorders>
            <w:vAlign w:val="center"/>
          </w:tcPr>
          <w:p w14:paraId="605EE8EB">
            <w:pPr>
              <w:pStyle w:val="180"/>
              <w:rPr>
                <w:rFonts w:ascii="宋体" w:hAnsi="宋体"/>
                <w:sz w:val="18"/>
                <w:szCs w:val="18"/>
              </w:rPr>
            </w:pPr>
            <w:r>
              <w:rPr>
                <w:rFonts w:hint="eastAsia" w:ascii="宋体" w:hAnsi="宋体"/>
                <w:sz w:val="18"/>
                <w:szCs w:val="18"/>
              </w:rPr>
              <w:t>1</w:t>
            </w:r>
            <w:r>
              <w:rPr>
                <w:rFonts w:ascii="宋体" w:hAnsi="宋体"/>
                <w:sz w:val="18"/>
                <w:szCs w:val="18"/>
              </w:rPr>
              <w:t>.量程：CO：0～300ppm，NO</w:t>
            </w:r>
            <w:r>
              <w:rPr>
                <w:rFonts w:ascii="宋体" w:hAnsi="宋体"/>
                <w:sz w:val="18"/>
                <w:szCs w:val="18"/>
                <w:vertAlign w:val="subscript"/>
              </w:rPr>
              <w:t>2</w:t>
            </w:r>
            <w:r>
              <w:rPr>
                <w:rFonts w:hint="eastAsia" w:ascii="宋体" w:hAnsi="宋体"/>
                <w:sz w:val="18"/>
                <w:szCs w:val="18"/>
                <w:vertAlign w:val="subscript"/>
              </w:rPr>
              <w:t>:</w:t>
            </w:r>
            <w:r>
              <w:rPr>
                <w:rFonts w:ascii="宋体" w:hAnsi="宋体"/>
                <w:sz w:val="18"/>
                <w:szCs w:val="18"/>
              </w:rPr>
              <w:t>0～10ppm</w:t>
            </w:r>
            <w:r>
              <w:rPr>
                <w:rFonts w:hint="eastAsia" w:ascii="宋体" w:hAnsi="宋体"/>
                <w:sz w:val="18"/>
                <w:szCs w:val="18"/>
              </w:rPr>
              <w:t>，</w:t>
            </w:r>
            <w:r>
              <w:rPr>
                <w:rFonts w:ascii="宋体" w:hAnsi="宋体"/>
                <w:sz w:val="18"/>
                <w:szCs w:val="18"/>
              </w:rPr>
              <w:t>VIS:K=0～35×10</w:t>
            </w:r>
            <w:r>
              <w:rPr>
                <w:rFonts w:ascii="宋体" w:hAnsi="宋体"/>
                <w:sz w:val="18"/>
                <w:szCs w:val="18"/>
                <w:vertAlign w:val="superscript"/>
              </w:rPr>
              <w:t>-3</w:t>
            </w:r>
            <w:r>
              <w:rPr>
                <w:rFonts w:ascii="宋体" w:hAnsi="宋体"/>
                <w:sz w:val="18"/>
                <w:szCs w:val="18"/>
              </w:rPr>
              <w:t>/m</w:t>
            </w:r>
            <w:r>
              <w:rPr>
                <w:rFonts w:hint="eastAsia" w:ascii="宋体" w:hAnsi="宋体"/>
                <w:sz w:val="18"/>
                <w:szCs w:val="18"/>
              </w:rPr>
              <w:t>；</w:t>
            </w:r>
          </w:p>
          <w:p w14:paraId="61E3F44A">
            <w:pPr>
              <w:pStyle w:val="180"/>
              <w:rPr>
                <w:rFonts w:ascii="宋体" w:hAnsi="宋体"/>
                <w:sz w:val="18"/>
                <w:szCs w:val="18"/>
              </w:rPr>
            </w:pPr>
            <w:r>
              <w:rPr>
                <w:rFonts w:hint="eastAsia" w:ascii="宋体" w:hAnsi="宋体"/>
                <w:sz w:val="18"/>
                <w:szCs w:val="18"/>
              </w:rPr>
              <w:t>2</w:t>
            </w:r>
            <w:r>
              <w:rPr>
                <w:rFonts w:ascii="宋体" w:hAnsi="宋体"/>
                <w:sz w:val="18"/>
                <w:szCs w:val="18"/>
              </w:rPr>
              <w:t>.测量精度：CO:±1ppm，NO</w:t>
            </w:r>
            <w:r>
              <w:rPr>
                <w:rFonts w:ascii="宋体" w:hAnsi="宋体"/>
                <w:sz w:val="18"/>
                <w:szCs w:val="18"/>
                <w:vertAlign w:val="subscript"/>
              </w:rPr>
              <w:t>2</w:t>
            </w:r>
            <w:r>
              <w:rPr>
                <w:rFonts w:ascii="宋体" w:hAnsi="宋体"/>
                <w:sz w:val="18"/>
                <w:szCs w:val="18"/>
              </w:rPr>
              <w:t>:±0.04ppm，VIS:±1×10</w:t>
            </w:r>
            <w:r>
              <w:rPr>
                <w:rFonts w:ascii="宋体" w:hAnsi="宋体"/>
                <w:sz w:val="18"/>
                <w:szCs w:val="18"/>
                <w:vertAlign w:val="superscript"/>
              </w:rPr>
              <w:t>-4</w:t>
            </w:r>
            <w:r>
              <w:rPr>
                <w:rFonts w:ascii="宋体" w:hAnsi="宋体"/>
                <w:sz w:val="18"/>
                <w:szCs w:val="18"/>
              </w:rPr>
              <w:t>/m</w:t>
            </w:r>
            <w:r>
              <w:rPr>
                <w:rFonts w:hint="eastAsia" w:ascii="宋体" w:hAnsi="宋体"/>
                <w:sz w:val="18"/>
                <w:szCs w:val="18"/>
              </w:rPr>
              <w:t>；</w:t>
            </w:r>
          </w:p>
          <w:p w14:paraId="58646D1C">
            <w:pPr>
              <w:pStyle w:val="180"/>
              <w:rPr>
                <w:rFonts w:ascii="宋体" w:hAnsi="宋体"/>
                <w:sz w:val="18"/>
                <w:szCs w:val="18"/>
              </w:rPr>
            </w:pPr>
            <w:r>
              <w:rPr>
                <w:rFonts w:hint="eastAsia" w:ascii="宋体" w:hAnsi="宋体"/>
                <w:sz w:val="18"/>
                <w:szCs w:val="18"/>
              </w:rPr>
              <w:t>3</w:t>
            </w:r>
            <w:r>
              <w:rPr>
                <w:rFonts w:ascii="宋体" w:hAnsi="宋体"/>
                <w:sz w:val="18"/>
                <w:szCs w:val="18"/>
              </w:rPr>
              <w:t>.环境适用：应具有防腐、防水等抗恶劣环境性能</w:t>
            </w:r>
            <w:r>
              <w:rPr>
                <w:rFonts w:hint="eastAsia" w:ascii="宋体" w:hAnsi="宋体"/>
                <w:sz w:val="18"/>
                <w:szCs w:val="18"/>
              </w:rPr>
              <w:t>；</w:t>
            </w:r>
          </w:p>
          <w:p w14:paraId="54E5936A">
            <w:pPr>
              <w:pStyle w:val="180"/>
              <w:rPr>
                <w:rFonts w:ascii="宋体" w:hAnsi="宋体"/>
                <w:sz w:val="18"/>
                <w:szCs w:val="18"/>
              </w:rPr>
            </w:pPr>
            <w:r>
              <w:rPr>
                <w:rFonts w:hint="eastAsia" w:ascii="宋体" w:hAnsi="宋体"/>
                <w:sz w:val="18"/>
                <w:szCs w:val="18"/>
              </w:rPr>
              <w:t>4</w:t>
            </w:r>
            <w:r>
              <w:rPr>
                <w:rFonts w:ascii="宋体" w:hAnsi="宋体"/>
                <w:sz w:val="18"/>
                <w:szCs w:val="18"/>
              </w:rPr>
              <w:t>.采集和传输频率</w:t>
            </w:r>
            <w:r>
              <w:rPr>
                <w:rFonts w:hint="eastAsia" w:ascii="宋体" w:hAnsi="宋体"/>
                <w:sz w:val="18"/>
                <w:szCs w:val="18"/>
              </w:rPr>
              <w:t>：</w:t>
            </w:r>
            <w:r>
              <w:rPr>
                <w:rFonts w:ascii="宋体" w:hAnsi="宋体"/>
                <w:sz w:val="18"/>
                <w:szCs w:val="18"/>
              </w:rPr>
              <w:t>≤1次/h</w:t>
            </w:r>
            <w:r>
              <w:rPr>
                <w:rFonts w:hint="eastAsia" w:ascii="宋体" w:hAnsi="宋体"/>
                <w:sz w:val="18"/>
                <w:szCs w:val="18"/>
              </w:rPr>
              <w:t>；</w:t>
            </w:r>
          </w:p>
          <w:p w14:paraId="2D9B12DE">
            <w:pPr>
              <w:widowControl/>
              <w:spacing w:beforeLines="0" w:afterLines="0" w:line="240" w:lineRule="auto"/>
              <w:jc w:val="left"/>
              <w:rPr>
                <w:rFonts w:ascii="宋体" w:hAnsi="宋体" w:cs="宋体"/>
                <w:kern w:val="0"/>
                <w:sz w:val="18"/>
                <w:szCs w:val="18"/>
              </w:rPr>
            </w:pPr>
            <w:r>
              <w:rPr>
                <w:rFonts w:hint="eastAsia" w:ascii="宋体" w:hAnsi="宋体"/>
                <w:sz w:val="18"/>
                <w:szCs w:val="18"/>
              </w:rPr>
              <w:t>5</w:t>
            </w:r>
            <w:r>
              <w:rPr>
                <w:rFonts w:ascii="宋体" w:hAnsi="宋体"/>
                <w:sz w:val="18"/>
                <w:szCs w:val="18"/>
              </w:rPr>
              <w:t>.防护等级：IP65</w:t>
            </w:r>
            <w:r>
              <w:rPr>
                <w:rFonts w:hint="eastAsia" w:ascii="宋体" w:hAnsi="宋体"/>
                <w:sz w:val="18"/>
                <w:szCs w:val="18"/>
              </w:rPr>
              <w:t>。</w:t>
            </w:r>
          </w:p>
        </w:tc>
      </w:tr>
      <w:tr w14:paraId="22C6EB48">
        <w:tblPrEx>
          <w:tblCellMar>
            <w:top w:w="0" w:type="dxa"/>
            <w:left w:w="108" w:type="dxa"/>
            <w:bottom w:w="0" w:type="dxa"/>
            <w:right w:w="108" w:type="dxa"/>
          </w:tblCellMar>
        </w:tblPrEx>
        <w:trPr>
          <w:trHeight w:val="1350" w:hRule="atLeast"/>
        </w:trPr>
        <w:tc>
          <w:tcPr>
            <w:tcW w:w="979" w:type="pct"/>
            <w:vMerge w:val="continue"/>
            <w:tcBorders>
              <w:left w:val="single" w:color="auto" w:sz="4" w:space="0"/>
              <w:right w:val="single" w:color="auto" w:sz="4" w:space="0"/>
            </w:tcBorders>
            <w:vAlign w:val="center"/>
          </w:tcPr>
          <w:p w14:paraId="72078ADC">
            <w:pPr>
              <w:widowControl/>
              <w:spacing w:beforeLines="0" w:afterLines="0" w:line="240" w:lineRule="auto"/>
              <w:jc w:val="left"/>
              <w:rPr>
                <w:rFonts w:ascii="宋体" w:hAnsi="宋体" w:cs="宋体"/>
                <w:kern w:val="0"/>
                <w:sz w:val="18"/>
                <w:szCs w:val="18"/>
              </w:rPr>
            </w:pPr>
          </w:p>
        </w:tc>
        <w:tc>
          <w:tcPr>
            <w:tcW w:w="1052" w:type="pct"/>
            <w:tcBorders>
              <w:top w:val="nil"/>
              <w:left w:val="nil"/>
              <w:bottom w:val="single" w:color="auto" w:sz="4" w:space="0"/>
              <w:right w:val="single" w:color="auto" w:sz="4" w:space="0"/>
            </w:tcBorders>
            <w:vAlign w:val="center"/>
          </w:tcPr>
          <w:p w14:paraId="32225ABC">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风速</w:t>
            </w:r>
          </w:p>
        </w:tc>
        <w:tc>
          <w:tcPr>
            <w:tcW w:w="2968" w:type="pct"/>
            <w:tcBorders>
              <w:top w:val="nil"/>
              <w:left w:val="nil"/>
              <w:bottom w:val="single" w:color="auto" w:sz="4" w:space="0"/>
              <w:right w:val="single" w:color="auto" w:sz="4" w:space="0"/>
            </w:tcBorders>
            <w:vAlign w:val="center"/>
          </w:tcPr>
          <w:p w14:paraId="28F0A124">
            <w:pPr>
              <w:pStyle w:val="180"/>
              <w:rPr>
                <w:rFonts w:ascii="宋体" w:hAnsi="宋体"/>
                <w:sz w:val="18"/>
                <w:szCs w:val="18"/>
              </w:rPr>
            </w:pPr>
            <w:r>
              <w:rPr>
                <w:rFonts w:hint="eastAsia" w:ascii="宋体" w:hAnsi="宋体"/>
                <w:sz w:val="18"/>
                <w:szCs w:val="18"/>
              </w:rPr>
              <w:t>1</w:t>
            </w:r>
            <w:r>
              <w:rPr>
                <w:rFonts w:ascii="宋体" w:hAnsi="宋体"/>
                <w:sz w:val="18"/>
                <w:szCs w:val="18"/>
              </w:rPr>
              <w:t>.量程：风速-60 m/s～+60m/s；风向0～360°，无死区</w:t>
            </w:r>
            <w:r>
              <w:rPr>
                <w:rFonts w:hint="eastAsia" w:ascii="宋体" w:hAnsi="宋体"/>
                <w:sz w:val="18"/>
                <w:szCs w:val="18"/>
              </w:rPr>
              <w:t>；</w:t>
            </w:r>
          </w:p>
          <w:p w14:paraId="5B223D63">
            <w:pPr>
              <w:pStyle w:val="180"/>
              <w:rPr>
                <w:rFonts w:ascii="宋体" w:hAnsi="宋体"/>
                <w:sz w:val="18"/>
                <w:szCs w:val="18"/>
              </w:rPr>
            </w:pPr>
            <w:r>
              <w:rPr>
                <w:rFonts w:hint="eastAsia" w:ascii="宋体" w:hAnsi="宋体"/>
                <w:sz w:val="18"/>
                <w:szCs w:val="18"/>
              </w:rPr>
              <w:t>2</w:t>
            </w:r>
            <w:r>
              <w:rPr>
                <w:rFonts w:ascii="宋体" w:hAnsi="宋体"/>
                <w:sz w:val="18"/>
                <w:szCs w:val="18"/>
              </w:rPr>
              <w:t>.测量精度：风速≤10m/s时：±0.2m/s；风速&gt;10m/s时：</w:t>
            </w:r>
            <w:r>
              <w:rPr>
                <w:rFonts w:hint="eastAsia" w:ascii="宋体" w:hAnsi="宋体"/>
                <w:sz w:val="18"/>
                <w:szCs w:val="18"/>
              </w:rPr>
              <w:t>〈</w:t>
            </w:r>
            <w:r>
              <w:rPr>
                <w:rFonts w:ascii="宋体" w:hAnsi="宋体"/>
                <w:sz w:val="18"/>
                <w:szCs w:val="18"/>
              </w:rPr>
              <w:t>测量值的±2%；风向±1°</w:t>
            </w:r>
            <w:r>
              <w:rPr>
                <w:rFonts w:hint="eastAsia" w:ascii="宋体" w:hAnsi="宋体"/>
                <w:sz w:val="18"/>
                <w:szCs w:val="18"/>
              </w:rPr>
              <w:t>；</w:t>
            </w:r>
          </w:p>
          <w:p w14:paraId="2963C739">
            <w:pPr>
              <w:pStyle w:val="180"/>
              <w:rPr>
                <w:rFonts w:ascii="宋体" w:hAnsi="宋体"/>
                <w:sz w:val="18"/>
                <w:szCs w:val="18"/>
              </w:rPr>
            </w:pPr>
            <w:r>
              <w:rPr>
                <w:rFonts w:hint="eastAsia" w:ascii="宋体" w:hAnsi="宋体"/>
                <w:sz w:val="18"/>
                <w:szCs w:val="18"/>
              </w:rPr>
              <w:t>3</w:t>
            </w:r>
            <w:r>
              <w:rPr>
                <w:rFonts w:ascii="宋体" w:hAnsi="宋体"/>
                <w:sz w:val="18"/>
                <w:szCs w:val="18"/>
              </w:rPr>
              <w:t>.分辨率：风速0.1m/s；风向1°</w:t>
            </w:r>
            <w:r>
              <w:rPr>
                <w:rFonts w:hint="eastAsia" w:ascii="宋体" w:hAnsi="宋体"/>
                <w:sz w:val="18"/>
                <w:szCs w:val="18"/>
              </w:rPr>
              <w:t>；</w:t>
            </w:r>
          </w:p>
          <w:p w14:paraId="18AB3FA5">
            <w:pPr>
              <w:pStyle w:val="180"/>
              <w:rPr>
                <w:rFonts w:ascii="宋体" w:hAnsi="宋体"/>
                <w:sz w:val="18"/>
                <w:szCs w:val="18"/>
              </w:rPr>
            </w:pPr>
            <w:r>
              <w:rPr>
                <w:rFonts w:hint="eastAsia" w:ascii="宋体" w:hAnsi="宋体"/>
                <w:sz w:val="18"/>
                <w:szCs w:val="18"/>
              </w:rPr>
              <w:t>4</w:t>
            </w:r>
            <w:r>
              <w:rPr>
                <w:rFonts w:ascii="宋体" w:hAnsi="宋体"/>
                <w:sz w:val="18"/>
                <w:szCs w:val="18"/>
              </w:rPr>
              <w:t>.环境适用：应具有防腐、防水等抗恶劣环境性能</w:t>
            </w:r>
            <w:r>
              <w:rPr>
                <w:rFonts w:hint="eastAsia" w:ascii="宋体" w:hAnsi="宋体"/>
                <w:sz w:val="18"/>
                <w:szCs w:val="18"/>
              </w:rPr>
              <w:t>；</w:t>
            </w:r>
          </w:p>
          <w:p w14:paraId="458E4791">
            <w:pPr>
              <w:pStyle w:val="180"/>
              <w:rPr>
                <w:rFonts w:ascii="宋体" w:hAnsi="宋体"/>
                <w:sz w:val="18"/>
                <w:szCs w:val="18"/>
              </w:rPr>
            </w:pPr>
            <w:r>
              <w:rPr>
                <w:rFonts w:hint="eastAsia" w:ascii="宋体" w:hAnsi="宋体"/>
                <w:sz w:val="18"/>
                <w:szCs w:val="18"/>
              </w:rPr>
              <w:t>5</w:t>
            </w:r>
            <w:r>
              <w:rPr>
                <w:rFonts w:ascii="宋体" w:hAnsi="宋体"/>
                <w:sz w:val="18"/>
                <w:szCs w:val="18"/>
              </w:rPr>
              <w:t>.采集和传输频率</w:t>
            </w:r>
            <w:r>
              <w:rPr>
                <w:rFonts w:hint="eastAsia" w:ascii="宋体" w:hAnsi="宋体"/>
                <w:sz w:val="18"/>
                <w:szCs w:val="18"/>
              </w:rPr>
              <w:t>：</w:t>
            </w:r>
            <w:r>
              <w:rPr>
                <w:rFonts w:ascii="宋体" w:hAnsi="宋体"/>
                <w:sz w:val="18"/>
                <w:szCs w:val="18"/>
              </w:rPr>
              <w:t>1Hz</w:t>
            </w:r>
            <w:r>
              <w:rPr>
                <w:rFonts w:hint="eastAsia" w:ascii="宋体" w:hAnsi="宋体"/>
                <w:sz w:val="18"/>
                <w:szCs w:val="18"/>
              </w:rPr>
              <w:t>；</w:t>
            </w:r>
          </w:p>
          <w:p w14:paraId="03B40679">
            <w:pPr>
              <w:widowControl/>
              <w:spacing w:beforeLines="0" w:afterLines="0" w:line="240" w:lineRule="auto"/>
              <w:jc w:val="left"/>
              <w:rPr>
                <w:rFonts w:ascii="宋体" w:hAnsi="宋体" w:cs="宋体"/>
                <w:kern w:val="0"/>
                <w:sz w:val="18"/>
                <w:szCs w:val="18"/>
              </w:rPr>
            </w:pPr>
            <w:r>
              <w:rPr>
                <w:rFonts w:hint="eastAsia" w:ascii="宋体" w:hAnsi="宋体"/>
                <w:sz w:val="18"/>
                <w:szCs w:val="18"/>
              </w:rPr>
              <w:t>6</w:t>
            </w:r>
            <w:r>
              <w:rPr>
                <w:rFonts w:ascii="宋体" w:hAnsi="宋体"/>
                <w:sz w:val="18"/>
                <w:szCs w:val="18"/>
              </w:rPr>
              <w:t>.防护等级：IP65</w:t>
            </w:r>
            <w:r>
              <w:rPr>
                <w:rFonts w:hint="eastAsia" w:ascii="宋体" w:hAnsi="宋体"/>
                <w:sz w:val="18"/>
                <w:szCs w:val="18"/>
              </w:rPr>
              <w:t>。</w:t>
            </w:r>
          </w:p>
        </w:tc>
      </w:tr>
      <w:tr w14:paraId="660C6CD6">
        <w:tblPrEx>
          <w:tblCellMar>
            <w:top w:w="0" w:type="dxa"/>
            <w:left w:w="108" w:type="dxa"/>
            <w:bottom w:w="0" w:type="dxa"/>
            <w:right w:w="108" w:type="dxa"/>
          </w:tblCellMar>
        </w:tblPrEx>
        <w:trPr>
          <w:trHeight w:val="1125" w:hRule="atLeast"/>
        </w:trPr>
        <w:tc>
          <w:tcPr>
            <w:tcW w:w="979" w:type="pct"/>
            <w:vMerge w:val="continue"/>
            <w:tcBorders>
              <w:left w:val="single" w:color="auto" w:sz="4" w:space="0"/>
              <w:right w:val="single" w:color="auto" w:sz="4" w:space="0"/>
            </w:tcBorders>
            <w:vAlign w:val="center"/>
          </w:tcPr>
          <w:p w14:paraId="265CE771">
            <w:pPr>
              <w:widowControl/>
              <w:spacing w:beforeLines="0" w:afterLines="0" w:line="240" w:lineRule="auto"/>
              <w:jc w:val="left"/>
              <w:rPr>
                <w:rFonts w:ascii="宋体" w:hAnsi="宋体" w:cs="宋体"/>
                <w:kern w:val="0"/>
                <w:sz w:val="18"/>
                <w:szCs w:val="18"/>
              </w:rPr>
            </w:pPr>
          </w:p>
        </w:tc>
        <w:tc>
          <w:tcPr>
            <w:tcW w:w="1052" w:type="pct"/>
            <w:tcBorders>
              <w:top w:val="nil"/>
              <w:left w:val="nil"/>
              <w:bottom w:val="single" w:color="auto" w:sz="4" w:space="0"/>
              <w:right w:val="single" w:color="auto" w:sz="4" w:space="0"/>
            </w:tcBorders>
            <w:vAlign w:val="center"/>
          </w:tcPr>
          <w:p w14:paraId="55E28C9B">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光照度</w:t>
            </w:r>
          </w:p>
        </w:tc>
        <w:tc>
          <w:tcPr>
            <w:tcW w:w="2968" w:type="pct"/>
            <w:tcBorders>
              <w:top w:val="nil"/>
              <w:left w:val="nil"/>
              <w:bottom w:val="single" w:color="auto" w:sz="4" w:space="0"/>
              <w:right w:val="single" w:color="auto" w:sz="4" w:space="0"/>
            </w:tcBorders>
            <w:vAlign w:val="center"/>
          </w:tcPr>
          <w:p w14:paraId="70DF8E24">
            <w:pPr>
              <w:pStyle w:val="180"/>
              <w:rPr>
                <w:rFonts w:ascii="宋体" w:hAnsi="宋体"/>
                <w:sz w:val="18"/>
                <w:szCs w:val="18"/>
              </w:rPr>
            </w:pPr>
            <w:r>
              <w:rPr>
                <w:rFonts w:hint="eastAsia" w:ascii="宋体" w:hAnsi="宋体"/>
                <w:sz w:val="18"/>
                <w:szCs w:val="18"/>
              </w:rPr>
              <w:t>1</w:t>
            </w:r>
            <w:r>
              <w:rPr>
                <w:rFonts w:ascii="宋体" w:hAnsi="宋体"/>
                <w:sz w:val="18"/>
                <w:szCs w:val="18"/>
              </w:rPr>
              <w:t>.量程：（1～20000）Lux</w:t>
            </w:r>
            <w:r>
              <w:rPr>
                <w:rFonts w:hint="eastAsia" w:ascii="宋体" w:hAnsi="宋体"/>
                <w:sz w:val="18"/>
                <w:szCs w:val="18"/>
              </w:rPr>
              <w:t>；</w:t>
            </w:r>
          </w:p>
          <w:p w14:paraId="4DFAE353">
            <w:pPr>
              <w:pStyle w:val="180"/>
              <w:rPr>
                <w:rFonts w:ascii="宋体" w:hAnsi="宋体"/>
                <w:sz w:val="18"/>
                <w:szCs w:val="18"/>
              </w:rPr>
            </w:pPr>
            <w:r>
              <w:rPr>
                <w:rFonts w:hint="eastAsia" w:ascii="宋体" w:hAnsi="宋体"/>
                <w:sz w:val="18"/>
                <w:szCs w:val="18"/>
              </w:rPr>
              <w:t>2</w:t>
            </w:r>
            <w:r>
              <w:rPr>
                <w:rFonts w:ascii="宋体" w:hAnsi="宋体"/>
                <w:sz w:val="18"/>
                <w:szCs w:val="18"/>
              </w:rPr>
              <w:t>.测量精度：≤±0.1lux</w:t>
            </w:r>
            <w:r>
              <w:rPr>
                <w:rFonts w:hint="eastAsia" w:ascii="宋体" w:hAnsi="宋体"/>
                <w:sz w:val="18"/>
                <w:szCs w:val="18"/>
              </w:rPr>
              <w:t>;</w:t>
            </w:r>
          </w:p>
          <w:p w14:paraId="4149A4AE">
            <w:pPr>
              <w:pStyle w:val="180"/>
              <w:rPr>
                <w:rFonts w:ascii="宋体" w:hAnsi="宋体"/>
                <w:sz w:val="18"/>
                <w:szCs w:val="18"/>
              </w:rPr>
            </w:pPr>
            <w:r>
              <w:rPr>
                <w:rFonts w:hint="eastAsia" w:ascii="宋体" w:hAnsi="宋体"/>
                <w:sz w:val="18"/>
                <w:szCs w:val="18"/>
              </w:rPr>
              <w:t>3</w:t>
            </w:r>
            <w:r>
              <w:rPr>
                <w:rFonts w:ascii="宋体" w:hAnsi="宋体"/>
                <w:sz w:val="18"/>
                <w:szCs w:val="18"/>
              </w:rPr>
              <w:t>.环境适用：应具有防腐、防水等抗恶劣环境性能</w:t>
            </w:r>
            <w:r>
              <w:rPr>
                <w:rFonts w:hint="eastAsia" w:ascii="宋体" w:hAnsi="宋体"/>
                <w:sz w:val="18"/>
                <w:szCs w:val="18"/>
              </w:rPr>
              <w:t>；</w:t>
            </w:r>
          </w:p>
          <w:p w14:paraId="1FA9492F">
            <w:pPr>
              <w:pStyle w:val="180"/>
              <w:rPr>
                <w:rFonts w:ascii="宋体" w:hAnsi="宋体"/>
                <w:sz w:val="18"/>
                <w:szCs w:val="18"/>
              </w:rPr>
            </w:pPr>
            <w:r>
              <w:rPr>
                <w:rFonts w:hint="eastAsia" w:ascii="宋体" w:hAnsi="宋体"/>
                <w:sz w:val="18"/>
                <w:szCs w:val="18"/>
              </w:rPr>
              <w:t>4</w:t>
            </w:r>
            <w:r>
              <w:rPr>
                <w:rFonts w:ascii="宋体" w:hAnsi="宋体"/>
                <w:sz w:val="18"/>
                <w:szCs w:val="18"/>
              </w:rPr>
              <w:t>.采集和传输频率</w:t>
            </w:r>
            <w:r>
              <w:rPr>
                <w:rFonts w:hint="eastAsia" w:ascii="宋体" w:hAnsi="宋体"/>
                <w:sz w:val="18"/>
                <w:szCs w:val="18"/>
              </w:rPr>
              <w:t>：</w:t>
            </w:r>
            <w:r>
              <w:rPr>
                <w:rFonts w:ascii="宋体" w:hAnsi="宋体"/>
                <w:sz w:val="18"/>
                <w:szCs w:val="18"/>
              </w:rPr>
              <w:t>≤1次/h</w:t>
            </w:r>
            <w:r>
              <w:rPr>
                <w:rFonts w:hint="eastAsia" w:ascii="宋体" w:hAnsi="宋体"/>
                <w:sz w:val="18"/>
                <w:szCs w:val="18"/>
              </w:rPr>
              <w:t>；</w:t>
            </w:r>
          </w:p>
          <w:p w14:paraId="541244C9">
            <w:pPr>
              <w:widowControl/>
              <w:spacing w:beforeLines="0" w:afterLines="0" w:line="240" w:lineRule="auto"/>
              <w:jc w:val="left"/>
              <w:rPr>
                <w:rFonts w:ascii="宋体" w:hAnsi="宋体" w:cs="宋体"/>
                <w:kern w:val="0"/>
                <w:sz w:val="18"/>
                <w:szCs w:val="18"/>
              </w:rPr>
            </w:pPr>
            <w:r>
              <w:rPr>
                <w:rFonts w:hint="eastAsia" w:ascii="宋体" w:hAnsi="宋体"/>
                <w:sz w:val="18"/>
                <w:szCs w:val="18"/>
              </w:rPr>
              <w:t>5</w:t>
            </w:r>
            <w:r>
              <w:rPr>
                <w:rFonts w:ascii="宋体" w:hAnsi="宋体"/>
                <w:sz w:val="18"/>
                <w:szCs w:val="18"/>
              </w:rPr>
              <w:t>.防护等级：≥IP65</w:t>
            </w:r>
            <w:r>
              <w:rPr>
                <w:rFonts w:hint="eastAsia" w:ascii="宋体" w:hAnsi="宋体"/>
                <w:sz w:val="18"/>
                <w:szCs w:val="18"/>
              </w:rPr>
              <w:t>。</w:t>
            </w:r>
          </w:p>
        </w:tc>
      </w:tr>
      <w:tr w14:paraId="76360677">
        <w:tblPrEx>
          <w:tblCellMar>
            <w:top w:w="0" w:type="dxa"/>
            <w:left w:w="108" w:type="dxa"/>
            <w:bottom w:w="0" w:type="dxa"/>
            <w:right w:w="108" w:type="dxa"/>
          </w:tblCellMar>
        </w:tblPrEx>
        <w:trPr>
          <w:trHeight w:val="90" w:hRule="atLeast"/>
        </w:trPr>
        <w:tc>
          <w:tcPr>
            <w:tcW w:w="979" w:type="pct"/>
            <w:vMerge w:val="continue"/>
            <w:tcBorders>
              <w:left w:val="single" w:color="auto" w:sz="4" w:space="0"/>
              <w:right w:val="single" w:color="auto" w:sz="4" w:space="0"/>
            </w:tcBorders>
            <w:vAlign w:val="center"/>
          </w:tcPr>
          <w:p w14:paraId="317E1955">
            <w:pPr>
              <w:widowControl/>
              <w:spacing w:beforeLines="0" w:afterLines="0" w:line="240" w:lineRule="auto"/>
              <w:jc w:val="left"/>
              <w:rPr>
                <w:rFonts w:ascii="宋体" w:hAnsi="宋体" w:cs="宋体"/>
                <w:kern w:val="0"/>
                <w:sz w:val="18"/>
                <w:szCs w:val="18"/>
              </w:rPr>
            </w:pPr>
          </w:p>
        </w:tc>
        <w:tc>
          <w:tcPr>
            <w:tcW w:w="1052" w:type="pct"/>
            <w:tcBorders>
              <w:top w:val="nil"/>
              <w:left w:val="nil"/>
              <w:bottom w:val="single" w:color="auto" w:sz="4" w:space="0"/>
              <w:right w:val="single" w:color="auto" w:sz="4" w:space="0"/>
            </w:tcBorders>
            <w:vAlign w:val="center"/>
          </w:tcPr>
          <w:p w14:paraId="50A06041">
            <w:pPr>
              <w:pStyle w:val="180"/>
              <w:jc w:val="center"/>
              <w:rPr>
                <w:rFonts w:ascii="宋体" w:hAnsi="宋体"/>
                <w:sz w:val="18"/>
                <w:szCs w:val="18"/>
              </w:rPr>
            </w:pPr>
            <w:r>
              <w:rPr>
                <w:rFonts w:hint="eastAsia" w:ascii="宋体" w:hAnsi="宋体"/>
                <w:sz w:val="18"/>
                <w:szCs w:val="18"/>
              </w:rPr>
              <w:t>地震及车辆撞击</w:t>
            </w:r>
          </w:p>
        </w:tc>
        <w:tc>
          <w:tcPr>
            <w:tcW w:w="2968" w:type="pct"/>
            <w:tcBorders>
              <w:top w:val="nil"/>
              <w:left w:val="nil"/>
              <w:bottom w:val="single" w:color="auto" w:sz="4" w:space="0"/>
              <w:right w:val="single" w:color="auto" w:sz="4" w:space="0"/>
            </w:tcBorders>
            <w:vAlign w:val="center"/>
          </w:tcPr>
          <w:p w14:paraId="0BBCE284">
            <w:pPr>
              <w:pStyle w:val="180"/>
              <w:rPr>
                <w:rFonts w:ascii="宋体" w:hAnsi="宋体"/>
                <w:sz w:val="18"/>
                <w:szCs w:val="18"/>
              </w:rPr>
            </w:pPr>
            <w:r>
              <w:rPr>
                <w:rFonts w:hint="eastAsia" w:ascii="宋体" w:hAnsi="宋体"/>
                <w:sz w:val="18"/>
                <w:szCs w:val="18"/>
              </w:rPr>
              <w:t>1</w:t>
            </w:r>
            <w:r>
              <w:rPr>
                <w:rFonts w:ascii="宋体" w:hAnsi="宋体"/>
                <w:sz w:val="18"/>
                <w:szCs w:val="18"/>
              </w:rPr>
              <w:t>.方向：XYZ三方向；</w:t>
            </w:r>
          </w:p>
          <w:p w14:paraId="1FB1B6B1">
            <w:pPr>
              <w:pStyle w:val="180"/>
              <w:rPr>
                <w:rFonts w:ascii="宋体" w:hAnsi="宋体"/>
                <w:sz w:val="18"/>
                <w:szCs w:val="18"/>
              </w:rPr>
            </w:pPr>
            <w:r>
              <w:rPr>
                <w:rFonts w:hint="eastAsia" w:ascii="宋体" w:hAnsi="宋体"/>
                <w:sz w:val="18"/>
                <w:szCs w:val="18"/>
              </w:rPr>
              <w:t>2</w:t>
            </w:r>
            <w:r>
              <w:rPr>
                <w:rFonts w:ascii="宋体" w:hAnsi="宋体"/>
                <w:sz w:val="18"/>
                <w:szCs w:val="18"/>
              </w:rPr>
              <w:t>.带宽：0.1Hz～500Hz；</w:t>
            </w:r>
          </w:p>
          <w:p w14:paraId="46D62B41">
            <w:pPr>
              <w:pStyle w:val="180"/>
              <w:rPr>
                <w:rFonts w:ascii="宋体" w:hAnsi="宋体"/>
                <w:sz w:val="18"/>
                <w:szCs w:val="18"/>
              </w:rPr>
            </w:pPr>
            <w:r>
              <w:rPr>
                <w:rFonts w:hint="eastAsia" w:ascii="宋体" w:hAnsi="宋体"/>
                <w:sz w:val="18"/>
                <w:szCs w:val="18"/>
              </w:rPr>
              <w:t>3</w:t>
            </w:r>
            <w:r>
              <w:rPr>
                <w:rFonts w:ascii="宋体" w:hAnsi="宋体"/>
                <w:sz w:val="18"/>
                <w:szCs w:val="18"/>
              </w:rPr>
              <w:t>.量程：±2g；</w:t>
            </w:r>
          </w:p>
          <w:p w14:paraId="51357AB1">
            <w:pPr>
              <w:pStyle w:val="180"/>
              <w:rPr>
                <w:rFonts w:ascii="宋体" w:hAnsi="宋体"/>
                <w:sz w:val="18"/>
                <w:szCs w:val="18"/>
              </w:rPr>
            </w:pPr>
            <w:r>
              <w:rPr>
                <w:rFonts w:hint="eastAsia" w:ascii="宋体" w:hAnsi="宋体"/>
                <w:sz w:val="18"/>
                <w:szCs w:val="18"/>
              </w:rPr>
              <w:t>4</w:t>
            </w:r>
            <w:r>
              <w:rPr>
                <w:rFonts w:ascii="宋体" w:hAnsi="宋体"/>
                <w:sz w:val="18"/>
                <w:szCs w:val="18"/>
              </w:rPr>
              <w:t>.灵敏度：2000mV/g；</w:t>
            </w:r>
          </w:p>
          <w:p w14:paraId="78180277">
            <w:pPr>
              <w:pStyle w:val="180"/>
              <w:rPr>
                <w:rFonts w:ascii="宋体" w:hAnsi="宋体"/>
                <w:sz w:val="18"/>
                <w:szCs w:val="18"/>
              </w:rPr>
            </w:pPr>
            <w:r>
              <w:rPr>
                <w:rFonts w:hint="eastAsia" w:ascii="宋体" w:hAnsi="宋体"/>
                <w:sz w:val="18"/>
                <w:szCs w:val="18"/>
              </w:rPr>
              <w:t>5</w:t>
            </w:r>
            <w:r>
              <w:rPr>
                <w:rFonts w:ascii="宋体" w:hAnsi="宋体"/>
                <w:sz w:val="18"/>
                <w:szCs w:val="18"/>
              </w:rPr>
              <w:t>.环境适用性：应具有防腐、防水等抗恶劣环境性能；</w:t>
            </w:r>
          </w:p>
          <w:p w14:paraId="0FB5B757">
            <w:pPr>
              <w:pStyle w:val="180"/>
              <w:rPr>
                <w:rFonts w:ascii="宋体" w:hAnsi="宋体"/>
                <w:sz w:val="18"/>
                <w:szCs w:val="18"/>
              </w:rPr>
            </w:pPr>
            <w:r>
              <w:rPr>
                <w:rFonts w:hint="eastAsia" w:ascii="宋体" w:hAnsi="宋体"/>
                <w:sz w:val="18"/>
                <w:szCs w:val="18"/>
              </w:rPr>
              <w:t>6</w:t>
            </w:r>
            <w:r>
              <w:rPr>
                <w:rFonts w:ascii="宋体" w:hAnsi="宋体"/>
                <w:sz w:val="18"/>
                <w:szCs w:val="18"/>
              </w:rPr>
              <w:t>.采集和传输频率</w:t>
            </w:r>
            <w:r>
              <w:rPr>
                <w:rFonts w:hint="eastAsia" w:ascii="宋体" w:hAnsi="宋体"/>
                <w:sz w:val="18"/>
                <w:szCs w:val="18"/>
              </w:rPr>
              <w:t>：</w:t>
            </w:r>
            <w:r>
              <w:rPr>
                <w:rFonts w:ascii="宋体" w:hAnsi="宋体"/>
                <w:sz w:val="18"/>
                <w:szCs w:val="18"/>
              </w:rPr>
              <w:t>≤1次/h；</w:t>
            </w:r>
            <w:r>
              <mc:AlternateContent>
                <mc:Choice Requires="wps">
                  <w:drawing>
                    <wp:anchor distT="0" distB="0" distL="114300" distR="114300" simplePos="0" relativeHeight="251682816" behindDoc="0" locked="0" layoutInCell="1" allowOverlap="1">
                      <wp:simplePos x="0" y="0"/>
                      <wp:positionH relativeFrom="column">
                        <wp:posOffset>1384300</wp:posOffset>
                      </wp:positionH>
                      <wp:positionV relativeFrom="paragraph">
                        <wp:posOffset>-499110</wp:posOffset>
                      </wp:positionV>
                      <wp:extent cx="498475" cy="274955"/>
                      <wp:effectExtent l="0" t="0" r="15875" b="10795"/>
                      <wp:wrapNone/>
                      <wp:docPr id="44" name="文本框 44"/>
                      <wp:cNvGraphicFramePr/>
                      <a:graphic xmlns:a="http://schemas.openxmlformats.org/drawingml/2006/main">
                        <a:graphicData uri="http://schemas.microsoft.com/office/word/2010/wordprocessingShape">
                          <wps:wsp>
                            <wps:cNvSpPr txBox="1"/>
                            <wps:spPr>
                              <a:xfrm>
                                <a:off x="0" y="0"/>
                                <a:ext cx="498475" cy="274955"/>
                              </a:xfrm>
                              <a:prstGeom prst="rect">
                                <a:avLst/>
                              </a:prstGeom>
                              <a:solidFill>
                                <a:srgbClr val="FFFFFF"/>
                              </a:solidFill>
                              <a:ln>
                                <a:noFill/>
                              </a:ln>
                            </wps:spPr>
                            <wps:txbx>
                              <w:txbxContent>
                                <w:p w14:paraId="66C8FFB0">
                                  <w:pPr>
                                    <w:rPr>
                                      <w:rFonts w:hint="eastAsia" w:ascii="黑体" w:hAnsi="黑体" w:eastAsia="黑体" w:cs="黑体"/>
                                    </w:rPr>
                                  </w:pPr>
                                  <w:r>
                                    <w:rPr>
                                      <w:rFonts w:hint="eastAsia" w:ascii="黑体" w:hAnsi="黑体" w:eastAsia="黑体" w:cs="黑体"/>
                                    </w:rPr>
                                    <w:t>（续）</w:t>
                                  </w:r>
                                </w:p>
                              </w:txbxContent>
                            </wps:txbx>
                            <wps:bodyPr lIns="0" tIns="0" rIns="0" bIns="0" anchor="t" anchorCtr="0" upright="1"/>
                          </wps:wsp>
                        </a:graphicData>
                      </a:graphic>
                    </wp:anchor>
                  </w:drawing>
                </mc:Choice>
                <mc:Fallback>
                  <w:pict>
                    <v:shape id="_x0000_s1026" o:spid="_x0000_s1026" o:spt="202" type="#_x0000_t202" style="position:absolute;left:0pt;margin-left:109pt;margin-top:-39.3pt;height:21.65pt;width:39.25pt;z-index:251682816;mso-width-relative:page;mso-height-relative:page;" fillcolor="#FFFFFF" filled="t" stroked="f" coordsize="21600,21600" o:gfxdata="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fIrUs2wAAAAsBAAAP&#10;AAAAAAAAAAEAIAAAACIAAABkcnMvZG93bnJldi54bWxQSwECFAAUAAAACACHTuJAA77cWNwBAAC1&#10;AwAADgAAAAAAAAABACAAAAAqAQAAZHJzL2Uyb0RvYy54bWxQSwUGAAAAAAYABgBZAQAAeAUAAAAA&#10;">
                      <v:fill on="t" focussize="0,0"/>
                      <v:stroke on="f"/>
                      <v:imagedata o:title=""/>
                      <o:lock v:ext="edit" aspectratio="f"/>
                      <v:textbox inset="0mm,0mm,0mm,0mm">
                        <w:txbxContent>
                          <w:p w14:paraId="66C8FFB0">
                            <w:pPr>
                              <w:rPr>
                                <w:rFonts w:hint="eastAsia" w:ascii="黑体" w:hAnsi="黑体" w:eastAsia="黑体" w:cs="黑体"/>
                              </w:rPr>
                            </w:pPr>
                            <w:r>
                              <w:rPr>
                                <w:rFonts w:hint="eastAsia" w:ascii="黑体" w:hAnsi="黑体" w:eastAsia="黑体" w:cs="黑体"/>
                              </w:rPr>
                              <w:t>（续）</w:t>
                            </w:r>
                          </w:p>
                        </w:txbxContent>
                      </v:textbox>
                    </v:shape>
                  </w:pict>
                </mc:Fallback>
              </mc:AlternateContent>
            </w:r>
          </w:p>
          <w:p w14:paraId="50E4C7A2">
            <w:pPr>
              <w:pStyle w:val="180"/>
              <w:rPr>
                <w:rFonts w:ascii="宋体" w:hAnsi="宋体"/>
                <w:sz w:val="18"/>
                <w:szCs w:val="18"/>
              </w:rPr>
            </w:pPr>
            <w:r>
              <w:rPr>
                <w:rFonts w:hint="eastAsia" w:ascii="宋体" w:hAnsi="宋体"/>
                <w:sz w:val="18"/>
                <w:szCs w:val="18"/>
              </w:rPr>
              <w:t>7</w:t>
            </w:r>
            <w:r>
              <w:rPr>
                <w:rFonts w:ascii="宋体" w:hAnsi="宋体"/>
                <w:sz w:val="18"/>
                <w:szCs w:val="18"/>
              </w:rPr>
              <w:t>.防护等级：IP67。</w:t>
            </w:r>
          </w:p>
        </w:tc>
      </w:tr>
      <w:tr w14:paraId="452323AC">
        <w:tblPrEx>
          <w:tblCellMar>
            <w:top w:w="0" w:type="dxa"/>
            <w:left w:w="108" w:type="dxa"/>
            <w:bottom w:w="0" w:type="dxa"/>
            <w:right w:w="108" w:type="dxa"/>
          </w:tblCellMar>
        </w:tblPrEx>
        <w:trPr>
          <w:trHeight w:val="1125" w:hRule="atLeast"/>
        </w:trPr>
        <w:tc>
          <w:tcPr>
            <w:tcW w:w="979" w:type="pct"/>
            <w:vMerge w:val="continue"/>
            <w:tcBorders>
              <w:left w:val="single" w:color="auto" w:sz="4" w:space="0"/>
              <w:bottom w:val="single" w:color="auto" w:sz="4" w:space="0"/>
              <w:right w:val="single" w:color="auto" w:sz="4" w:space="0"/>
            </w:tcBorders>
            <w:vAlign w:val="center"/>
          </w:tcPr>
          <w:p w14:paraId="49445D1C">
            <w:pPr>
              <w:widowControl/>
              <w:spacing w:beforeLines="0" w:afterLines="0" w:line="240" w:lineRule="auto"/>
              <w:jc w:val="left"/>
              <w:rPr>
                <w:rFonts w:ascii="宋体" w:hAnsi="宋体" w:cs="宋体"/>
                <w:kern w:val="0"/>
                <w:sz w:val="18"/>
                <w:szCs w:val="18"/>
              </w:rPr>
            </w:pPr>
          </w:p>
        </w:tc>
        <w:tc>
          <w:tcPr>
            <w:tcW w:w="1052" w:type="pct"/>
            <w:tcBorders>
              <w:top w:val="nil"/>
              <w:left w:val="nil"/>
              <w:bottom w:val="single" w:color="auto" w:sz="4" w:space="0"/>
              <w:right w:val="single" w:color="auto" w:sz="4" w:space="0"/>
            </w:tcBorders>
            <w:vAlign w:val="center"/>
          </w:tcPr>
          <w:p w14:paraId="020C01D8">
            <w:pPr>
              <w:pStyle w:val="180"/>
              <w:jc w:val="center"/>
              <w:rPr>
                <w:rFonts w:ascii="宋体" w:hAnsi="宋体"/>
                <w:sz w:val="18"/>
                <w:szCs w:val="18"/>
              </w:rPr>
            </w:pPr>
            <w:r>
              <w:rPr>
                <w:rFonts w:hint="eastAsia" w:ascii="宋体" w:hAnsi="宋体"/>
                <w:sz w:val="18"/>
                <w:szCs w:val="18"/>
              </w:rPr>
              <w:t>隧道积水</w:t>
            </w:r>
          </w:p>
        </w:tc>
        <w:tc>
          <w:tcPr>
            <w:tcW w:w="2968" w:type="pct"/>
            <w:tcBorders>
              <w:top w:val="nil"/>
              <w:left w:val="nil"/>
              <w:bottom w:val="single" w:color="auto" w:sz="4" w:space="0"/>
              <w:right w:val="single" w:color="auto" w:sz="4" w:space="0"/>
            </w:tcBorders>
            <w:vAlign w:val="center"/>
          </w:tcPr>
          <w:p w14:paraId="7A0B9DF8">
            <w:pPr>
              <w:pStyle w:val="180"/>
              <w:rPr>
                <w:rFonts w:ascii="宋体" w:hAnsi="宋体"/>
                <w:sz w:val="18"/>
                <w:szCs w:val="18"/>
              </w:rPr>
            </w:pPr>
            <w:r>
              <w:rPr>
                <w:rFonts w:hint="eastAsia" w:ascii="宋体" w:hAnsi="宋体"/>
                <w:sz w:val="18"/>
                <w:szCs w:val="18"/>
              </w:rPr>
              <w:t>1</w:t>
            </w:r>
            <w:r>
              <w:rPr>
                <w:rFonts w:ascii="宋体" w:hAnsi="宋体"/>
                <w:sz w:val="18"/>
                <w:szCs w:val="18"/>
              </w:rPr>
              <w:t>.量程：0～5m</w:t>
            </w:r>
            <w:r>
              <w:rPr>
                <w:rFonts w:hint="eastAsia" w:ascii="宋体" w:hAnsi="宋体"/>
                <w:sz w:val="18"/>
                <w:szCs w:val="18"/>
              </w:rPr>
              <w:t>；</w:t>
            </w:r>
          </w:p>
          <w:p w14:paraId="565A3A7F">
            <w:pPr>
              <w:pStyle w:val="180"/>
              <w:rPr>
                <w:rFonts w:ascii="宋体" w:hAnsi="宋体"/>
                <w:sz w:val="18"/>
                <w:szCs w:val="18"/>
              </w:rPr>
            </w:pPr>
            <w:r>
              <w:rPr>
                <w:rFonts w:hint="eastAsia" w:ascii="宋体" w:hAnsi="宋体"/>
                <w:sz w:val="18"/>
                <w:szCs w:val="18"/>
              </w:rPr>
              <w:t>2</w:t>
            </w:r>
            <w:r>
              <w:rPr>
                <w:rFonts w:ascii="宋体" w:hAnsi="宋体"/>
                <w:sz w:val="18"/>
                <w:szCs w:val="18"/>
              </w:rPr>
              <w:t>.精度：0.5% FS</w:t>
            </w:r>
            <w:r>
              <w:rPr>
                <w:rFonts w:hint="eastAsia" w:ascii="宋体" w:hAnsi="宋体"/>
                <w:sz w:val="18"/>
                <w:szCs w:val="18"/>
              </w:rPr>
              <w:t>；</w:t>
            </w:r>
          </w:p>
          <w:p w14:paraId="51B7F482">
            <w:pPr>
              <w:pStyle w:val="180"/>
              <w:rPr>
                <w:rFonts w:ascii="宋体" w:hAnsi="宋体"/>
                <w:sz w:val="18"/>
                <w:szCs w:val="18"/>
              </w:rPr>
            </w:pPr>
            <w:r>
              <w:rPr>
                <w:rFonts w:hint="eastAsia" w:ascii="宋体" w:hAnsi="宋体"/>
                <w:sz w:val="18"/>
                <w:szCs w:val="18"/>
              </w:rPr>
              <w:t>3</w:t>
            </w:r>
            <w:r>
              <w:rPr>
                <w:rFonts w:ascii="宋体" w:hAnsi="宋体"/>
                <w:sz w:val="18"/>
                <w:szCs w:val="18"/>
              </w:rPr>
              <w:t>.适应环境温度：-20～60℃</w:t>
            </w:r>
            <w:r>
              <w:rPr>
                <w:rFonts w:hint="eastAsia" w:ascii="宋体" w:hAnsi="宋体"/>
                <w:sz w:val="18"/>
                <w:szCs w:val="18"/>
              </w:rPr>
              <w:t>；</w:t>
            </w:r>
          </w:p>
          <w:p w14:paraId="5EE6DC65">
            <w:pPr>
              <w:pStyle w:val="180"/>
              <w:rPr>
                <w:rFonts w:ascii="宋体" w:hAnsi="宋体"/>
                <w:sz w:val="18"/>
                <w:szCs w:val="18"/>
              </w:rPr>
            </w:pPr>
            <w:r>
              <w:rPr>
                <w:rFonts w:hint="eastAsia" w:ascii="宋体" w:hAnsi="宋体"/>
                <w:sz w:val="18"/>
                <w:szCs w:val="18"/>
              </w:rPr>
              <w:t>4</w:t>
            </w:r>
            <w:r>
              <w:rPr>
                <w:rFonts w:ascii="宋体" w:hAnsi="宋体"/>
                <w:sz w:val="18"/>
                <w:szCs w:val="18"/>
              </w:rPr>
              <w:t>.环境适用：应具有防腐、防水等抗恶劣环境性能</w:t>
            </w:r>
            <w:r>
              <w:rPr>
                <w:rFonts w:hint="eastAsia" w:ascii="宋体" w:hAnsi="宋体"/>
                <w:sz w:val="18"/>
                <w:szCs w:val="18"/>
              </w:rPr>
              <w:t>；</w:t>
            </w:r>
          </w:p>
          <w:p w14:paraId="7B50F58D">
            <w:pPr>
              <w:pStyle w:val="180"/>
              <w:rPr>
                <w:rFonts w:ascii="宋体" w:hAnsi="宋体"/>
                <w:sz w:val="18"/>
                <w:szCs w:val="18"/>
              </w:rPr>
            </w:pPr>
            <w:r>
              <w:rPr>
                <w:rFonts w:hint="eastAsia" w:ascii="宋体" w:hAnsi="宋体"/>
                <w:sz w:val="18"/>
                <w:szCs w:val="18"/>
              </w:rPr>
              <w:t>5</w:t>
            </w:r>
            <w:r>
              <w:rPr>
                <w:rFonts w:ascii="宋体" w:hAnsi="宋体"/>
                <w:sz w:val="18"/>
                <w:szCs w:val="18"/>
              </w:rPr>
              <w:t>.采集和传输频率</w:t>
            </w:r>
            <w:r>
              <w:rPr>
                <w:rFonts w:hint="eastAsia" w:ascii="宋体" w:hAnsi="宋体"/>
                <w:sz w:val="18"/>
                <w:szCs w:val="18"/>
              </w:rPr>
              <w:t>：</w:t>
            </w:r>
            <w:r>
              <w:rPr>
                <w:rFonts w:ascii="宋体" w:hAnsi="宋体"/>
                <w:sz w:val="18"/>
                <w:szCs w:val="18"/>
              </w:rPr>
              <w:t>≤1次/5min</w:t>
            </w:r>
            <w:r>
              <w:rPr>
                <w:rFonts w:hint="eastAsia" w:ascii="宋体" w:hAnsi="宋体"/>
                <w:sz w:val="18"/>
                <w:szCs w:val="18"/>
              </w:rPr>
              <w:t>；</w:t>
            </w:r>
          </w:p>
          <w:p w14:paraId="33894C56">
            <w:pPr>
              <w:pStyle w:val="180"/>
              <w:rPr>
                <w:rFonts w:ascii="宋体" w:hAnsi="宋体"/>
                <w:sz w:val="18"/>
                <w:szCs w:val="18"/>
              </w:rPr>
            </w:pPr>
            <w:r>
              <w:rPr>
                <w:rFonts w:hint="eastAsia" w:ascii="宋体" w:hAnsi="宋体"/>
                <w:sz w:val="18"/>
                <w:szCs w:val="18"/>
              </w:rPr>
              <w:t>6</w:t>
            </w:r>
            <w:r>
              <w:rPr>
                <w:rFonts w:ascii="宋体" w:hAnsi="宋体"/>
                <w:sz w:val="18"/>
                <w:szCs w:val="18"/>
              </w:rPr>
              <w:t>.防护等级：≥IP68</w:t>
            </w:r>
            <w:r>
              <w:rPr>
                <w:rFonts w:hint="eastAsia" w:ascii="宋体" w:hAnsi="宋体"/>
                <w:sz w:val="18"/>
                <w:szCs w:val="18"/>
              </w:rPr>
              <w:t>。</w:t>
            </w:r>
          </w:p>
        </w:tc>
      </w:tr>
      <w:tr w14:paraId="3EE7245E">
        <w:tblPrEx>
          <w:tblCellMar>
            <w:top w:w="0" w:type="dxa"/>
            <w:left w:w="108" w:type="dxa"/>
            <w:bottom w:w="0" w:type="dxa"/>
            <w:right w:w="108" w:type="dxa"/>
          </w:tblCellMar>
        </w:tblPrEx>
        <w:trPr>
          <w:trHeight w:val="1125" w:hRule="atLeast"/>
        </w:trPr>
        <w:tc>
          <w:tcPr>
            <w:tcW w:w="979" w:type="pct"/>
            <w:vMerge w:val="continue"/>
            <w:tcBorders>
              <w:left w:val="single" w:color="auto" w:sz="4" w:space="0"/>
              <w:bottom w:val="single" w:color="auto" w:sz="4" w:space="0"/>
              <w:right w:val="single" w:color="auto" w:sz="4" w:space="0"/>
            </w:tcBorders>
            <w:vAlign w:val="center"/>
          </w:tcPr>
          <w:p w14:paraId="37600473">
            <w:pPr>
              <w:widowControl/>
              <w:spacing w:beforeLines="0" w:afterLines="0" w:line="240" w:lineRule="auto"/>
              <w:jc w:val="left"/>
              <w:rPr>
                <w:rFonts w:ascii="宋体" w:hAnsi="宋体" w:cs="宋体"/>
                <w:kern w:val="0"/>
                <w:sz w:val="18"/>
                <w:szCs w:val="18"/>
              </w:rPr>
            </w:pPr>
          </w:p>
        </w:tc>
        <w:tc>
          <w:tcPr>
            <w:tcW w:w="1052" w:type="pct"/>
            <w:tcBorders>
              <w:top w:val="nil"/>
              <w:left w:val="nil"/>
              <w:bottom w:val="single" w:color="auto" w:sz="4" w:space="0"/>
              <w:right w:val="single" w:color="auto" w:sz="4" w:space="0"/>
            </w:tcBorders>
            <w:vAlign w:val="center"/>
          </w:tcPr>
          <w:p w14:paraId="7C69184F">
            <w:pPr>
              <w:pStyle w:val="180"/>
              <w:jc w:val="center"/>
              <w:rPr>
                <w:rFonts w:ascii="宋体" w:hAnsi="宋体"/>
                <w:sz w:val="18"/>
                <w:szCs w:val="18"/>
              </w:rPr>
            </w:pPr>
            <w:r>
              <w:rPr>
                <w:rFonts w:hint="eastAsia" w:ascii="宋体" w:hAnsi="宋体"/>
                <w:sz w:val="18"/>
                <w:szCs w:val="18"/>
              </w:rPr>
              <w:t>消防水池液位</w:t>
            </w:r>
          </w:p>
        </w:tc>
        <w:tc>
          <w:tcPr>
            <w:tcW w:w="2968" w:type="pct"/>
            <w:tcBorders>
              <w:top w:val="nil"/>
              <w:left w:val="nil"/>
              <w:bottom w:val="single" w:color="auto" w:sz="4" w:space="0"/>
              <w:right w:val="single" w:color="auto" w:sz="4" w:space="0"/>
            </w:tcBorders>
            <w:vAlign w:val="center"/>
          </w:tcPr>
          <w:p w14:paraId="6F1073CE">
            <w:pPr>
              <w:pStyle w:val="180"/>
              <w:rPr>
                <w:rFonts w:ascii="宋体" w:hAnsi="宋体"/>
                <w:sz w:val="18"/>
                <w:szCs w:val="18"/>
              </w:rPr>
            </w:pPr>
            <w:r>
              <w:rPr>
                <w:rFonts w:hint="eastAsia" w:ascii="宋体" w:hAnsi="宋体"/>
                <w:sz w:val="18"/>
                <w:szCs w:val="18"/>
              </w:rPr>
              <w:t>1</w:t>
            </w:r>
            <w:r>
              <w:rPr>
                <w:rFonts w:ascii="宋体" w:hAnsi="宋体"/>
                <w:sz w:val="18"/>
                <w:szCs w:val="18"/>
              </w:rPr>
              <w:t>.量程：0～5m</w:t>
            </w:r>
            <w:r>
              <w:rPr>
                <w:rFonts w:hint="eastAsia" w:ascii="宋体" w:hAnsi="宋体"/>
                <w:sz w:val="18"/>
                <w:szCs w:val="18"/>
              </w:rPr>
              <w:t>；</w:t>
            </w:r>
          </w:p>
          <w:p w14:paraId="71B4EBD5">
            <w:pPr>
              <w:pStyle w:val="180"/>
              <w:rPr>
                <w:rFonts w:ascii="宋体" w:hAnsi="宋体"/>
                <w:sz w:val="18"/>
                <w:szCs w:val="18"/>
              </w:rPr>
            </w:pPr>
            <w:r>
              <w:rPr>
                <w:rFonts w:hint="eastAsia" w:ascii="宋体" w:hAnsi="宋体"/>
                <w:sz w:val="18"/>
                <w:szCs w:val="18"/>
              </w:rPr>
              <w:t>2</w:t>
            </w:r>
            <w:r>
              <w:rPr>
                <w:rFonts w:ascii="宋体" w:hAnsi="宋体"/>
                <w:sz w:val="18"/>
                <w:szCs w:val="18"/>
              </w:rPr>
              <w:t>.精度：0.5% FS</w:t>
            </w:r>
            <w:r>
              <w:rPr>
                <w:rFonts w:hint="eastAsia" w:ascii="宋体" w:hAnsi="宋体"/>
                <w:sz w:val="18"/>
                <w:szCs w:val="18"/>
              </w:rPr>
              <w:t>；</w:t>
            </w:r>
          </w:p>
          <w:p w14:paraId="42C0DB90">
            <w:pPr>
              <w:pStyle w:val="180"/>
              <w:rPr>
                <w:rFonts w:ascii="宋体" w:hAnsi="宋体"/>
                <w:sz w:val="18"/>
                <w:szCs w:val="18"/>
              </w:rPr>
            </w:pPr>
            <w:r>
              <w:rPr>
                <w:rFonts w:hint="eastAsia" w:ascii="宋体" w:hAnsi="宋体"/>
                <w:sz w:val="18"/>
                <w:szCs w:val="18"/>
              </w:rPr>
              <w:t>3</w:t>
            </w:r>
            <w:r>
              <w:rPr>
                <w:rFonts w:ascii="宋体" w:hAnsi="宋体"/>
                <w:sz w:val="18"/>
                <w:szCs w:val="18"/>
              </w:rPr>
              <w:t>.适应环境温度：-20～60℃</w:t>
            </w:r>
            <w:r>
              <w:rPr>
                <w:rFonts w:hint="eastAsia" w:ascii="宋体" w:hAnsi="宋体"/>
                <w:sz w:val="18"/>
                <w:szCs w:val="18"/>
              </w:rPr>
              <w:t>；</w:t>
            </w:r>
          </w:p>
          <w:p w14:paraId="531387D9">
            <w:pPr>
              <w:pStyle w:val="180"/>
              <w:rPr>
                <w:rFonts w:ascii="宋体" w:hAnsi="宋体"/>
                <w:sz w:val="18"/>
                <w:szCs w:val="18"/>
              </w:rPr>
            </w:pPr>
            <w:r>
              <w:rPr>
                <w:rFonts w:hint="eastAsia" w:ascii="宋体" w:hAnsi="宋体"/>
                <w:sz w:val="18"/>
                <w:szCs w:val="18"/>
              </w:rPr>
              <w:t>4</w:t>
            </w:r>
            <w:r>
              <w:rPr>
                <w:rFonts w:ascii="宋体" w:hAnsi="宋体"/>
                <w:sz w:val="18"/>
                <w:szCs w:val="18"/>
              </w:rPr>
              <w:t>.环境适用：应具有防腐、防水等抗恶劣环境性能</w:t>
            </w:r>
            <w:r>
              <w:rPr>
                <w:rFonts w:hint="eastAsia" w:ascii="宋体" w:hAnsi="宋体"/>
                <w:sz w:val="18"/>
                <w:szCs w:val="18"/>
              </w:rPr>
              <w:t>；</w:t>
            </w:r>
          </w:p>
          <w:p w14:paraId="490E8C1E">
            <w:pPr>
              <w:pStyle w:val="180"/>
              <w:rPr>
                <w:rFonts w:ascii="宋体" w:hAnsi="宋体"/>
                <w:sz w:val="18"/>
                <w:szCs w:val="18"/>
              </w:rPr>
            </w:pPr>
            <w:r>
              <w:rPr>
                <w:rFonts w:hint="eastAsia" w:ascii="宋体" w:hAnsi="宋体"/>
                <w:sz w:val="18"/>
                <w:szCs w:val="18"/>
              </w:rPr>
              <w:t>5</w:t>
            </w:r>
            <w:r>
              <w:rPr>
                <w:rFonts w:ascii="宋体" w:hAnsi="宋体"/>
                <w:sz w:val="18"/>
                <w:szCs w:val="18"/>
              </w:rPr>
              <w:t>.采集和传输频率</w:t>
            </w:r>
            <w:r>
              <w:rPr>
                <w:rFonts w:hint="eastAsia" w:ascii="宋体" w:hAnsi="宋体"/>
                <w:sz w:val="18"/>
                <w:szCs w:val="18"/>
              </w:rPr>
              <w:t>：</w:t>
            </w:r>
            <w:r>
              <w:rPr>
                <w:rFonts w:ascii="宋体" w:hAnsi="宋体"/>
                <w:sz w:val="18"/>
                <w:szCs w:val="18"/>
              </w:rPr>
              <w:t>≤1次/5min</w:t>
            </w:r>
            <w:r>
              <w:rPr>
                <w:rFonts w:hint="eastAsia" w:ascii="宋体" w:hAnsi="宋体"/>
                <w:sz w:val="18"/>
                <w:szCs w:val="18"/>
              </w:rPr>
              <w:t>；</w:t>
            </w:r>
          </w:p>
          <w:p w14:paraId="3601CD4D">
            <w:pPr>
              <w:pStyle w:val="180"/>
              <w:rPr>
                <w:rFonts w:ascii="宋体" w:hAnsi="宋体"/>
                <w:sz w:val="18"/>
                <w:szCs w:val="18"/>
              </w:rPr>
            </w:pPr>
            <w:r>
              <w:rPr>
                <w:rFonts w:hint="eastAsia" w:ascii="宋体" w:hAnsi="宋体"/>
                <w:sz w:val="18"/>
                <w:szCs w:val="18"/>
              </w:rPr>
              <w:t>6</w:t>
            </w:r>
            <w:r>
              <w:rPr>
                <w:rFonts w:ascii="宋体" w:hAnsi="宋体"/>
                <w:sz w:val="18"/>
                <w:szCs w:val="18"/>
              </w:rPr>
              <w:t>.防护等级：≥IP68</w:t>
            </w:r>
            <w:r>
              <w:rPr>
                <w:rFonts w:hint="eastAsia" w:ascii="宋体" w:hAnsi="宋体"/>
                <w:sz w:val="18"/>
                <w:szCs w:val="18"/>
              </w:rPr>
              <w:t>。</w:t>
            </w:r>
          </w:p>
        </w:tc>
      </w:tr>
      <w:tr w14:paraId="2C263CC1">
        <w:tblPrEx>
          <w:tblCellMar>
            <w:top w:w="0" w:type="dxa"/>
            <w:left w:w="108" w:type="dxa"/>
            <w:bottom w:w="0" w:type="dxa"/>
            <w:right w:w="108" w:type="dxa"/>
          </w:tblCellMar>
        </w:tblPrEx>
        <w:trPr>
          <w:trHeight w:val="900" w:hRule="atLeast"/>
        </w:trPr>
        <w:tc>
          <w:tcPr>
            <w:tcW w:w="979" w:type="pct"/>
            <w:vMerge w:val="restart"/>
            <w:tcBorders>
              <w:top w:val="nil"/>
              <w:left w:val="single" w:color="auto" w:sz="4" w:space="0"/>
              <w:bottom w:val="single" w:color="auto" w:sz="4" w:space="0"/>
              <w:right w:val="single" w:color="auto" w:sz="4" w:space="0"/>
            </w:tcBorders>
            <w:vAlign w:val="center"/>
          </w:tcPr>
          <w:p w14:paraId="4F0903DA">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结构整体响应</w:t>
            </w:r>
          </w:p>
        </w:tc>
        <w:tc>
          <w:tcPr>
            <w:tcW w:w="1052" w:type="pct"/>
            <w:tcBorders>
              <w:top w:val="nil"/>
              <w:left w:val="nil"/>
              <w:bottom w:val="single" w:color="auto" w:sz="4" w:space="0"/>
              <w:right w:val="single" w:color="auto" w:sz="4" w:space="0"/>
            </w:tcBorders>
            <w:vAlign w:val="center"/>
          </w:tcPr>
          <w:p w14:paraId="7502B726">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洞门倾斜</w:t>
            </w:r>
          </w:p>
        </w:tc>
        <w:tc>
          <w:tcPr>
            <w:tcW w:w="2968" w:type="pct"/>
            <w:tcBorders>
              <w:top w:val="nil"/>
              <w:left w:val="nil"/>
              <w:bottom w:val="single" w:color="auto" w:sz="4" w:space="0"/>
              <w:right w:val="single" w:color="auto" w:sz="4" w:space="0"/>
            </w:tcBorders>
            <w:vAlign w:val="center"/>
          </w:tcPr>
          <w:p w14:paraId="0D9FC516">
            <w:pPr>
              <w:spacing w:before="31" w:after="31" w:line="240" w:lineRule="auto"/>
              <w:rPr>
                <w:rFonts w:ascii="宋体" w:hAnsi="宋体"/>
                <w:sz w:val="18"/>
                <w:szCs w:val="18"/>
              </w:rPr>
            </w:pPr>
            <w:r>
              <w:rPr>
                <w:rFonts w:hint="eastAsia" w:ascii="宋体" w:hAnsi="宋体"/>
                <w:sz w:val="18"/>
                <w:szCs w:val="18"/>
              </w:rPr>
              <w:t>1</w:t>
            </w:r>
            <w:r>
              <w:rPr>
                <w:rFonts w:ascii="宋体" w:hAnsi="宋体"/>
                <w:sz w:val="18"/>
                <w:szCs w:val="18"/>
              </w:rPr>
              <w:t>.量程：±15°；</w:t>
            </w:r>
          </w:p>
          <w:p w14:paraId="0A4DE27D">
            <w:pPr>
              <w:spacing w:before="31" w:after="31" w:line="240" w:lineRule="auto"/>
              <w:rPr>
                <w:rFonts w:ascii="宋体" w:hAnsi="宋体"/>
                <w:sz w:val="18"/>
                <w:szCs w:val="18"/>
              </w:rPr>
            </w:pPr>
            <w:r>
              <w:rPr>
                <w:rFonts w:hint="eastAsia" w:ascii="宋体" w:hAnsi="宋体"/>
                <w:sz w:val="18"/>
                <w:szCs w:val="18"/>
              </w:rPr>
              <w:t>2</w:t>
            </w:r>
            <w:r>
              <w:rPr>
                <w:rFonts w:ascii="宋体" w:hAnsi="宋体"/>
                <w:sz w:val="18"/>
                <w:szCs w:val="18"/>
              </w:rPr>
              <w:t>.精度：±0.005°；</w:t>
            </w:r>
          </w:p>
          <w:p w14:paraId="61C3EDF2">
            <w:pPr>
              <w:spacing w:before="31" w:after="31" w:line="240" w:lineRule="auto"/>
              <w:rPr>
                <w:rFonts w:ascii="宋体" w:hAnsi="宋体"/>
                <w:sz w:val="18"/>
                <w:szCs w:val="18"/>
              </w:rPr>
            </w:pPr>
            <w:r>
              <w:rPr>
                <w:rFonts w:hint="eastAsia" w:ascii="宋体" w:hAnsi="宋体"/>
                <w:sz w:val="18"/>
                <w:szCs w:val="18"/>
              </w:rPr>
              <w:t>3</w:t>
            </w:r>
            <w:r>
              <w:rPr>
                <w:rFonts w:ascii="宋体" w:hAnsi="宋体"/>
                <w:sz w:val="18"/>
                <w:szCs w:val="18"/>
              </w:rPr>
              <w:t>.分辨率：0.001°；</w:t>
            </w:r>
          </w:p>
          <w:p w14:paraId="4C7787BD">
            <w:pPr>
              <w:pStyle w:val="180"/>
              <w:rPr>
                <w:rFonts w:ascii="宋体" w:hAnsi="宋体"/>
                <w:sz w:val="18"/>
                <w:szCs w:val="18"/>
              </w:rPr>
            </w:pPr>
            <w:r>
              <w:rPr>
                <w:rFonts w:hint="eastAsia" w:ascii="宋体" w:hAnsi="宋体"/>
                <w:sz w:val="18"/>
                <w:szCs w:val="18"/>
              </w:rPr>
              <w:t>4</w:t>
            </w:r>
            <w:r>
              <w:rPr>
                <w:rFonts w:ascii="宋体" w:hAnsi="宋体"/>
                <w:sz w:val="18"/>
                <w:szCs w:val="18"/>
              </w:rPr>
              <w:t>.环境适用：应具有防腐、防水等抗恶劣环境性能</w:t>
            </w:r>
            <w:r>
              <w:rPr>
                <w:rFonts w:hint="eastAsia" w:ascii="宋体" w:hAnsi="宋体"/>
                <w:sz w:val="18"/>
                <w:szCs w:val="18"/>
              </w:rPr>
              <w:t>；</w:t>
            </w:r>
          </w:p>
          <w:p w14:paraId="192DB144">
            <w:pPr>
              <w:pStyle w:val="180"/>
              <w:rPr>
                <w:rFonts w:ascii="宋体" w:hAnsi="宋体"/>
                <w:sz w:val="18"/>
                <w:szCs w:val="18"/>
              </w:rPr>
            </w:pPr>
            <w:r>
              <w:rPr>
                <w:rFonts w:hint="eastAsia" w:ascii="宋体" w:hAnsi="宋体"/>
                <w:sz w:val="18"/>
                <w:szCs w:val="18"/>
              </w:rPr>
              <w:t>5</w:t>
            </w:r>
            <w:r>
              <w:rPr>
                <w:rFonts w:ascii="宋体" w:hAnsi="宋体"/>
                <w:sz w:val="18"/>
                <w:szCs w:val="18"/>
              </w:rPr>
              <w:t>.采集和传输频率</w:t>
            </w:r>
            <w:r>
              <w:rPr>
                <w:rFonts w:hint="eastAsia" w:ascii="宋体" w:hAnsi="宋体"/>
                <w:sz w:val="18"/>
                <w:szCs w:val="18"/>
              </w:rPr>
              <w:t>：</w:t>
            </w:r>
            <w:r>
              <w:rPr>
                <w:rFonts w:ascii="宋体" w:hAnsi="宋体"/>
                <w:sz w:val="18"/>
                <w:szCs w:val="18"/>
              </w:rPr>
              <w:t>≤1次/h</w:t>
            </w:r>
            <w:r>
              <w:rPr>
                <w:rFonts w:hint="eastAsia" w:ascii="宋体" w:hAnsi="宋体"/>
                <w:sz w:val="18"/>
                <w:szCs w:val="18"/>
              </w:rPr>
              <w:t>；</w:t>
            </w:r>
          </w:p>
          <w:p w14:paraId="36F92260">
            <w:pPr>
              <w:widowControl/>
              <w:spacing w:beforeLines="0" w:afterLines="0" w:line="240" w:lineRule="auto"/>
              <w:jc w:val="left"/>
              <w:rPr>
                <w:rFonts w:ascii="宋体" w:hAnsi="宋体" w:cs="宋体"/>
                <w:kern w:val="0"/>
                <w:sz w:val="18"/>
                <w:szCs w:val="18"/>
              </w:rPr>
            </w:pPr>
            <w:r>
              <w:rPr>
                <w:rFonts w:hint="eastAsia" w:ascii="宋体" w:hAnsi="宋体"/>
                <w:sz w:val="18"/>
                <w:szCs w:val="18"/>
              </w:rPr>
              <w:t>6</w:t>
            </w:r>
            <w:r>
              <w:rPr>
                <w:rFonts w:ascii="宋体" w:hAnsi="宋体"/>
                <w:sz w:val="18"/>
                <w:szCs w:val="18"/>
              </w:rPr>
              <w:t>.防护等级：≥IP65</w:t>
            </w:r>
            <w:r>
              <w:rPr>
                <w:rFonts w:hint="eastAsia" w:ascii="宋体" w:hAnsi="宋体"/>
                <w:sz w:val="18"/>
                <w:szCs w:val="18"/>
              </w:rPr>
              <w:t>。</w:t>
            </w:r>
          </w:p>
        </w:tc>
      </w:tr>
      <w:tr w14:paraId="3C28EF18">
        <w:tblPrEx>
          <w:tblCellMar>
            <w:top w:w="0" w:type="dxa"/>
            <w:left w:w="108" w:type="dxa"/>
            <w:bottom w:w="0" w:type="dxa"/>
            <w:right w:w="108" w:type="dxa"/>
          </w:tblCellMar>
        </w:tblPrEx>
        <w:trPr>
          <w:trHeight w:val="1125" w:hRule="atLeast"/>
        </w:trPr>
        <w:tc>
          <w:tcPr>
            <w:tcW w:w="979" w:type="pct"/>
            <w:vMerge w:val="continue"/>
            <w:tcBorders>
              <w:top w:val="nil"/>
              <w:left w:val="single" w:color="auto" w:sz="4" w:space="0"/>
              <w:bottom w:val="single" w:color="auto" w:sz="4" w:space="0"/>
              <w:right w:val="single" w:color="auto" w:sz="4" w:space="0"/>
            </w:tcBorders>
            <w:vAlign w:val="center"/>
          </w:tcPr>
          <w:p w14:paraId="1E7919C5">
            <w:pPr>
              <w:widowControl/>
              <w:spacing w:beforeLines="0" w:afterLines="0" w:line="240" w:lineRule="auto"/>
              <w:jc w:val="left"/>
              <w:rPr>
                <w:rFonts w:ascii="宋体" w:hAnsi="宋体" w:cs="宋体"/>
                <w:kern w:val="0"/>
                <w:sz w:val="18"/>
                <w:szCs w:val="18"/>
              </w:rPr>
            </w:pPr>
          </w:p>
        </w:tc>
        <w:tc>
          <w:tcPr>
            <w:tcW w:w="1052" w:type="pct"/>
            <w:tcBorders>
              <w:top w:val="nil"/>
              <w:left w:val="nil"/>
              <w:bottom w:val="single" w:color="auto" w:sz="4" w:space="0"/>
              <w:right w:val="single" w:color="auto" w:sz="4" w:space="0"/>
            </w:tcBorders>
            <w:vAlign w:val="center"/>
          </w:tcPr>
          <w:p w14:paraId="1E1C3E3B">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边仰坡位移</w:t>
            </w:r>
          </w:p>
        </w:tc>
        <w:tc>
          <w:tcPr>
            <w:tcW w:w="2968" w:type="pct"/>
            <w:tcBorders>
              <w:top w:val="nil"/>
              <w:left w:val="nil"/>
              <w:bottom w:val="single" w:color="auto" w:sz="4" w:space="0"/>
              <w:right w:val="single" w:color="auto" w:sz="4" w:space="0"/>
            </w:tcBorders>
            <w:vAlign w:val="center"/>
          </w:tcPr>
          <w:p w14:paraId="31E80F7F">
            <w:pPr>
              <w:spacing w:before="31" w:after="31" w:line="240" w:lineRule="auto"/>
              <w:rPr>
                <w:rFonts w:ascii="宋体" w:hAnsi="宋体"/>
                <w:sz w:val="18"/>
                <w:szCs w:val="18"/>
              </w:rPr>
            </w:pPr>
            <w:r>
              <w:rPr>
                <w:rFonts w:hint="eastAsia" w:ascii="宋体" w:hAnsi="宋体"/>
                <w:sz w:val="18"/>
                <w:szCs w:val="18"/>
              </w:rPr>
              <w:t>1</w:t>
            </w:r>
            <w:r>
              <w:rPr>
                <w:rFonts w:ascii="宋体" w:hAnsi="宋体"/>
                <w:sz w:val="18"/>
                <w:szCs w:val="18"/>
              </w:rPr>
              <w:t>.量程：0～1000mm；</w:t>
            </w:r>
          </w:p>
          <w:p w14:paraId="38FA6EFD">
            <w:pPr>
              <w:spacing w:before="31" w:after="31" w:line="240" w:lineRule="auto"/>
              <w:rPr>
                <w:rFonts w:ascii="宋体" w:hAnsi="宋体"/>
                <w:sz w:val="18"/>
                <w:szCs w:val="18"/>
              </w:rPr>
            </w:pPr>
            <w:r>
              <w:rPr>
                <w:rFonts w:hint="eastAsia" w:ascii="宋体" w:hAnsi="宋体"/>
                <w:sz w:val="18"/>
                <w:szCs w:val="18"/>
              </w:rPr>
              <w:t>2</w:t>
            </w:r>
            <w:r>
              <w:rPr>
                <w:rFonts w:ascii="宋体" w:hAnsi="宋体"/>
                <w:sz w:val="18"/>
                <w:szCs w:val="18"/>
              </w:rPr>
              <w:t>.精度：0.01mm；</w:t>
            </w:r>
          </w:p>
          <w:p w14:paraId="1EE12733">
            <w:pPr>
              <w:spacing w:before="31" w:after="31" w:line="240" w:lineRule="auto"/>
              <w:rPr>
                <w:rFonts w:ascii="宋体" w:hAnsi="宋体"/>
                <w:sz w:val="18"/>
                <w:szCs w:val="18"/>
              </w:rPr>
            </w:pPr>
            <w:r>
              <w:rPr>
                <w:rFonts w:hint="eastAsia" w:ascii="宋体" w:hAnsi="宋体"/>
                <w:sz w:val="18"/>
                <w:szCs w:val="18"/>
              </w:rPr>
              <w:t>3</w:t>
            </w:r>
            <w:r>
              <w:rPr>
                <w:rFonts w:ascii="宋体" w:hAnsi="宋体"/>
                <w:sz w:val="18"/>
                <w:szCs w:val="18"/>
              </w:rPr>
              <w:t>.工作温度：－20℃～80℃；</w:t>
            </w:r>
          </w:p>
          <w:p w14:paraId="0C0E94AB">
            <w:pPr>
              <w:spacing w:before="31" w:after="31" w:line="240" w:lineRule="auto"/>
              <w:rPr>
                <w:rFonts w:ascii="宋体" w:hAnsi="宋体"/>
                <w:sz w:val="18"/>
                <w:szCs w:val="18"/>
              </w:rPr>
            </w:pPr>
            <w:r>
              <w:rPr>
                <w:rFonts w:hint="eastAsia" w:ascii="宋体" w:hAnsi="宋体"/>
                <w:sz w:val="18"/>
                <w:szCs w:val="18"/>
              </w:rPr>
              <w:t>4</w:t>
            </w:r>
            <w:r>
              <w:rPr>
                <w:rFonts w:ascii="宋体" w:hAnsi="宋体"/>
                <w:sz w:val="18"/>
                <w:szCs w:val="18"/>
              </w:rPr>
              <w:t>.工作湿度：＜95%RH；</w:t>
            </w:r>
          </w:p>
          <w:p w14:paraId="7C397B9D">
            <w:pPr>
              <w:pStyle w:val="180"/>
              <w:rPr>
                <w:rFonts w:ascii="宋体" w:hAnsi="宋体"/>
                <w:sz w:val="18"/>
                <w:szCs w:val="18"/>
              </w:rPr>
            </w:pPr>
            <w:r>
              <w:rPr>
                <w:rFonts w:hint="eastAsia" w:ascii="宋体" w:hAnsi="宋体"/>
                <w:sz w:val="18"/>
                <w:szCs w:val="18"/>
              </w:rPr>
              <w:t>5</w:t>
            </w:r>
            <w:r>
              <w:rPr>
                <w:rFonts w:ascii="宋体" w:hAnsi="宋体"/>
                <w:sz w:val="18"/>
                <w:szCs w:val="18"/>
              </w:rPr>
              <w:t>.环境适用：应具有防腐、防水等抗恶劣环境性能</w:t>
            </w:r>
            <w:r>
              <w:rPr>
                <w:rFonts w:hint="eastAsia" w:ascii="宋体" w:hAnsi="宋体"/>
                <w:sz w:val="18"/>
                <w:szCs w:val="18"/>
              </w:rPr>
              <w:t>；</w:t>
            </w:r>
          </w:p>
          <w:p w14:paraId="7172960D">
            <w:pPr>
              <w:pStyle w:val="180"/>
              <w:rPr>
                <w:rFonts w:ascii="宋体" w:hAnsi="宋体"/>
                <w:sz w:val="18"/>
                <w:szCs w:val="18"/>
              </w:rPr>
            </w:pPr>
            <w:r>
              <w:rPr>
                <w:rFonts w:hint="eastAsia" w:ascii="宋体" w:hAnsi="宋体"/>
                <w:sz w:val="18"/>
                <w:szCs w:val="18"/>
              </w:rPr>
              <w:t>6</w:t>
            </w:r>
            <w:r>
              <w:rPr>
                <w:rFonts w:ascii="宋体" w:hAnsi="宋体"/>
                <w:sz w:val="18"/>
                <w:szCs w:val="18"/>
              </w:rPr>
              <w:t>.采集和传输频率</w:t>
            </w:r>
            <w:r>
              <w:rPr>
                <w:rFonts w:hint="eastAsia" w:ascii="宋体" w:hAnsi="宋体"/>
                <w:sz w:val="18"/>
                <w:szCs w:val="18"/>
              </w:rPr>
              <w:t>：</w:t>
            </w:r>
            <w:r>
              <w:rPr>
                <w:rFonts w:ascii="宋体" w:hAnsi="宋体"/>
                <w:sz w:val="18"/>
                <w:szCs w:val="18"/>
              </w:rPr>
              <w:t>≤1次/h</w:t>
            </w:r>
            <w:r>
              <w:rPr>
                <w:rFonts w:hint="eastAsia" w:ascii="宋体" w:hAnsi="宋体"/>
                <w:sz w:val="18"/>
                <w:szCs w:val="18"/>
              </w:rPr>
              <w:t>；</w:t>
            </w:r>
          </w:p>
          <w:p w14:paraId="04C68515">
            <w:pPr>
              <w:spacing w:before="31" w:after="31" w:line="240" w:lineRule="auto"/>
              <w:rPr>
                <w:rFonts w:ascii="宋体" w:hAnsi="宋体" w:cs="宋体"/>
                <w:kern w:val="0"/>
                <w:sz w:val="18"/>
                <w:szCs w:val="18"/>
              </w:rPr>
            </w:pPr>
            <w:r>
              <w:rPr>
                <w:rFonts w:hint="eastAsia" w:ascii="宋体" w:hAnsi="宋体"/>
                <w:sz w:val="18"/>
                <w:szCs w:val="18"/>
              </w:rPr>
              <w:t>7</w:t>
            </w:r>
            <w:r>
              <w:rPr>
                <w:rFonts w:ascii="宋体" w:hAnsi="宋体"/>
                <w:sz w:val="18"/>
                <w:szCs w:val="18"/>
              </w:rPr>
              <w:t>.防护等级：≥IP65</w:t>
            </w:r>
            <w:r>
              <w:rPr>
                <w:rFonts w:hint="eastAsia" w:ascii="宋体" w:hAnsi="宋体"/>
                <w:sz w:val="18"/>
                <w:szCs w:val="18"/>
              </w:rPr>
              <w:t>。</w:t>
            </w:r>
          </w:p>
        </w:tc>
      </w:tr>
      <w:tr w14:paraId="6587C36D">
        <w:tblPrEx>
          <w:tblCellMar>
            <w:top w:w="0" w:type="dxa"/>
            <w:left w:w="108" w:type="dxa"/>
            <w:bottom w:w="0" w:type="dxa"/>
            <w:right w:w="108" w:type="dxa"/>
          </w:tblCellMar>
        </w:tblPrEx>
        <w:trPr>
          <w:trHeight w:val="1350" w:hRule="atLeast"/>
        </w:trPr>
        <w:tc>
          <w:tcPr>
            <w:tcW w:w="979" w:type="pct"/>
            <w:vMerge w:val="continue"/>
            <w:tcBorders>
              <w:top w:val="nil"/>
              <w:left w:val="single" w:color="auto" w:sz="4" w:space="0"/>
              <w:bottom w:val="single" w:color="auto" w:sz="4" w:space="0"/>
              <w:right w:val="single" w:color="auto" w:sz="4" w:space="0"/>
            </w:tcBorders>
            <w:vAlign w:val="center"/>
          </w:tcPr>
          <w:p w14:paraId="5C46FC32">
            <w:pPr>
              <w:widowControl/>
              <w:spacing w:beforeLines="0" w:afterLines="0" w:line="240" w:lineRule="auto"/>
              <w:jc w:val="left"/>
              <w:rPr>
                <w:rFonts w:ascii="宋体" w:hAnsi="宋体" w:cs="宋体"/>
                <w:kern w:val="0"/>
                <w:sz w:val="18"/>
                <w:szCs w:val="18"/>
              </w:rPr>
            </w:pPr>
          </w:p>
        </w:tc>
        <w:tc>
          <w:tcPr>
            <w:tcW w:w="1052" w:type="pct"/>
            <w:tcBorders>
              <w:top w:val="nil"/>
              <w:left w:val="nil"/>
              <w:bottom w:val="nil"/>
              <w:right w:val="single" w:color="auto" w:sz="4" w:space="0"/>
            </w:tcBorders>
            <w:vAlign w:val="center"/>
          </w:tcPr>
          <w:p w14:paraId="5D3CDF68">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结构</w:t>
            </w:r>
            <w:r>
              <w:rPr>
                <w:rFonts w:ascii="宋体" w:hAnsi="宋体" w:cs="宋体"/>
                <w:kern w:val="0"/>
                <w:sz w:val="18"/>
                <w:szCs w:val="18"/>
              </w:rPr>
              <w:t>竖向位移</w:t>
            </w:r>
          </w:p>
        </w:tc>
        <w:tc>
          <w:tcPr>
            <w:tcW w:w="2968" w:type="pct"/>
            <w:tcBorders>
              <w:top w:val="nil"/>
              <w:left w:val="nil"/>
              <w:bottom w:val="single" w:color="auto" w:sz="4" w:space="0"/>
              <w:right w:val="single" w:color="auto" w:sz="4" w:space="0"/>
            </w:tcBorders>
            <w:vAlign w:val="center"/>
          </w:tcPr>
          <w:p w14:paraId="26B2C732">
            <w:pPr>
              <w:pStyle w:val="180"/>
              <w:rPr>
                <w:rFonts w:ascii="宋体" w:hAnsi="宋体"/>
                <w:sz w:val="18"/>
                <w:szCs w:val="18"/>
              </w:rPr>
            </w:pPr>
            <w:r>
              <w:rPr>
                <w:rFonts w:hint="eastAsia" w:ascii="宋体" w:hAnsi="宋体"/>
                <w:sz w:val="18"/>
                <w:szCs w:val="18"/>
              </w:rPr>
              <w:t>1.量程：0.5m～30m；</w:t>
            </w:r>
          </w:p>
          <w:p w14:paraId="4ADE6716">
            <w:pPr>
              <w:pStyle w:val="180"/>
              <w:rPr>
                <w:rFonts w:ascii="宋体" w:hAnsi="宋体"/>
                <w:sz w:val="18"/>
                <w:szCs w:val="18"/>
              </w:rPr>
            </w:pPr>
            <w:r>
              <w:rPr>
                <w:rFonts w:hint="eastAsia" w:ascii="宋体" w:hAnsi="宋体"/>
                <w:sz w:val="18"/>
                <w:szCs w:val="18"/>
              </w:rPr>
              <w:t>2.精度：±1mm；</w:t>
            </w:r>
          </w:p>
          <w:p w14:paraId="23FFE211">
            <w:pPr>
              <w:pStyle w:val="180"/>
              <w:rPr>
                <w:rFonts w:ascii="宋体" w:hAnsi="宋体"/>
                <w:sz w:val="18"/>
                <w:szCs w:val="18"/>
              </w:rPr>
            </w:pPr>
            <w:r>
              <w:rPr>
                <w:rFonts w:hint="eastAsia" w:ascii="宋体" w:hAnsi="宋体"/>
                <w:sz w:val="18"/>
                <w:szCs w:val="18"/>
              </w:rPr>
              <w:t>3.工作温度：－30℃～70℃；</w:t>
            </w:r>
          </w:p>
          <w:p w14:paraId="6245848C">
            <w:pPr>
              <w:pStyle w:val="180"/>
              <w:rPr>
                <w:rFonts w:ascii="宋体" w:hAnsi="宋体"/>
                <w:sz w:val="18"/>
                <w:szCs w:val="18"/>
              </w:rPr>
            </w:pPr>
            <w:r>
              <w:rPr>
                <w:rFonts w:hint="eastAsia" w:ascii="宋体" w:hAnsi="宋体"/>
                <w:sz w:val="18"/>
                <w:szCs w:val="18"/>
              </w:rPr>
              <w:t>4.工作湿度：&lt;95%RH；</w:t>
            </w:r>
          </w:p>
          <w:p w14:paraId="10EC5358">
            <w:pPr>
              <w:pStyle w:val="180"/>
              <w:rPr>
                <w:rFonts w:ascii="宋体" w:hAnsi="宋体"/>
                <w:sz w:val="18"/>
                <w:szCs w:val="18"/>
              </w:rPr>
            </w:pPr>
            <w:r>
              <w:rPr>
                <w:rFonts w:hint="eastAsia" w:ascii="宋体" w:hAnsi="宋体"/>
                <w:sz w:val="18"/>
                <w:szCs w:val="18"/>
              </w:rPr>
              <w:t>5.使用寿命：</w:t>
            </w:r>
            <w:r>
              <w:rPr>
                <w:rFonts w:hint="eastAsia" w:ascii="宋体" w:hAnsi="宋体"/>
                <w:sz w:val="18"/>
                <w:szCs w:val="18"/>
                <w:lang w:eastAsia="zh-CN"/>
              </w:rPr>
              <w:t>不低于</w:t>
            </w:r>
            <w:r>
              <w:rPr>
                <w:rFonts w:hint="eastAsia" w:ascii="宋体" w:hAnsi="宋体"/>
                <w:sz w:val="18"/>
                <w:szCs w:val="18"/>
              </w:rPr>
              <w:t>5年；</w:t>
            </w:r>
          </w:p>
          <w:p w14:paraId="54F1817C">
            <w:pPr>
              <w:pStyle w:val="180"/>
              <w:rPr>
                <w:rFonts w:ascii="宋体" w:hAnsi="宋体"/>
                <w:sz w:val="18"/>
                <w:szCs w:val="18"/>
              </w:rPr>
            </w:pPr>
            <w:r>
              <w:rPr>
                <w:rFonts w:hint="eastAsia" w:ascii="宋体" w:hAnsi="宋体"/>
                <w:sz w:val="18"/>
                <w:szCs w:val="18"/>
              </w:rPr>
              <w:t>6.环境适用：应具有防腐、防水等抗恶劣环境性能；</w:t>
            </w:r>
          </w:p>
          <w:p w14:paraId="68FCB8F7">
            <w:pPr>
              <w:pStyle w:val="180"/>
              <w:rPr>
                <w:rFonts w:ascii="宋体" w:hAnsi="宋体"/>
                <w:sz w:val="18"/>
                <w:szCs w:val="18"/>
              </w:rPr>
            </w:pPr>
            <w:r>
              <w:rPr>
                <w:rFonts w:hint="eastAsia" w:ascii="宋体" w:hAnsi="宋体"/>
                <w:sz w:val="18"/>
                <w:szCs w:val="18"/>
              </w:rPr>
              <w:t>7</w:t>
            </w:r>
            <w:r>
              <w:rPr>
                <w:rFonts w:ascii="宋体" w:hAnsi="宋体"/>
                <w:sz w:val="18"/>
                <w:szCs w:val="18"/>
              </w:rPr>
              <w:t>.采集和传输频率</w:t>
            </w:r>
            <w:r>
              <w:rPr>
                <w:rFonts w:hint="eastAsia" w:ascii="宋体" w:hAnsi="宋体"/>
                <w:sz w:val="18"/>
                <w:szCs w:val="18"/>
              </w:rPr>
              <w:t>：</w:t>
            </w:r>
            <w:r>
              <w:rPr>
                <w:rFonts w:ascii="宋体" w:hAnsi="宋体"/>
                <w:sz w:val="18"/>
                <w:szCs w:val="18"/>
              </w:rPr>
              <w:t>≤1次/h</w:t>
            </w:r>
            <w:r>
              <w:rPr>
                <w:rFonts w:hint="eastAsia" w:ascii="宋体" w:hAnsi="宋体"/>
                <w:sz w:val="18"/>
                <w:szCs w:val="18"/>
              </w:rPr>
              <w:t>；</w:t>
            </w:r>
          </w:p>
          <w:p w14:paraId="6B82A8C3">
            <w:pPr>
              <w:widowControl/>
              <w:spacing w:beforeLines="0" w:afterLines="0" w:line="240" w:lineRule="auto"/>
              <w:jc w:val="left"/>
              <w:rPr>
                <w:rFonts w:ascii="宋体" w:hAnsi="宋体" w:cs="宋体"/>
                <w:kern w:val="0"/>
                <w:sz w:val="18"/>
                <w:szCs w:val="18"/>
              </w:rPr>
            </w:pPr>
            <w:r>
              <w:rPr>
                <w:rFonts w:hint="eastAsia" w:ascii="宋体" w:hAnsi="宋体"/>
                <w:sz w:val="18"/>
                <w:szCs w:val="18"/>
              </w:rPr>
              <w:t>8.防护等级：不低于IP65。</w:t>
            </w:r>
          </w:p>
        </w:tc>
      </w:tr>
      <w:tr w14:paraId="6DE16741">
        <w:tblPrEx>
          <w:tblCellMar>
            <w:top w:w="0" w:type="dxa"/>
            <w:left w:w="108" w:type="dxa"/>
            <w:bottom w:w="0" w:type="dxa"/>
            <w:right w:w="108" w:type="dxa"/>
          </w:tblCellMar>
        </w:tblPrEx>
        <w:trPr>
          <w:trHeight w:val="300" w:hRule="atLeast"/>
        </w:trPr>
        <w:tc>
          <w:tcPr>
            <w:tcW w:w="979" w:type="pct"/>
            <w:vMerge w:val="continue"/>
            <w:tcBorders>
              <w:top w:val="nil"/>
              <w:left w:val="single" w:color="auto" w:sz="4" w:space="0"/>
              <w:bottom w:val="single" w:color="auto" w:sz="4" w:space="0"/>
              <w:right w:val="single" w:color="auto" w:sz="4" w:space="0"/>
            </w:tcBorders>
            <w:vAlign w:val="center"/>
          </w:tcPr>
          <w:p w14:paraId="23FD113C">
            <w:pPr>
              <w:widowControl/>
              <w:spacing w:beforeLines="0" w:afterLines="0" w:line="240" w:lineRule="auto"/>
              <w:jc w:val="left"/>
              <w:rPr>
                <w:rFonts w:ascii="宋体" w:hAnsi="宋体" w:cs="宋体"/>
                <w:kern w:val="0"/>
                <w:sz w:val="18"/>
                <w:szCs w:val="18"/>
              </w:rPr>
            </w:pPr>
          </w:p>
        </w:tc>
        <w:tc>
          <w:tcPr>
            <w:tcW w:w="1052" w:type="pct"/>
            <w:tcBorders>
              <w:top w:val="single" w:color="auto" w:sz="4" w:space="0"/>
              <w:left w:val="nil"/>
              <w:bottom w:val="single" w:color="auto" w:sz="4" w:space="0"/>
              <w:right w:val="single" w:color="auto" w:sz="4" w:space="0"/>
            </w:tcBorders>
            <w:vAlign w:val="center"/>
          </w:tcPr>
          <w:p w14:paraId="10002E4C">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结构水平位移</w:t>
            </w:r>
          </w:p>
        </w:tc>
        <w:tc>
          <w:tcPr>
            <w:tcW w:w="2968" w:type="pct"/>
            <w:tcBorders>
              <w:top w:val="single" w:color="auto" w:sz="4" w:space="0"/>
              <w:left w:val="nil"/>
              <w:bottom w:val="single" w:color="auto" w:sz="4" w:space="0"/>
              <w:right w:val="single" w:color="auto" w:sz="4" w:space="0"/>
            </w:tcBorders>
            <w:vAlign w:val="center"/>
          </w:tcPr>
          <w:p w14:paraId="4E80DA94">
            <w:pPr>
              <w:pStyle w:val="180"/>
              <w:rPr>
                <w:rFonts w:ascii="宋体" w:hAnsi="宋体"/>
                <w:sz w:val="18"/>
                <w:szCs w:val="18"/>
              </w:rPr>
            </w:pPr>
            <w:r>
              <w:rPr>
                <w:rFonts w:hint="eastAsia" w:ascii="宋体" w:hAnsi="宋体"/>
                <w:sz w:val="18"/>
                <w:szCs w:val="18"/>
              </w:rPr>
              <w:t>1.量程：0.5m～30m；</w:t>
            </w:r>
          </w:p>
          <w:p w14:paraId="49EBFF71">
            <w:pPr>
              <w:pStyle w:val="180"/>
              <w:rPr>
                <w:rFonts w:ascii="宋体" w:hAnsi="宋体"/>
                <w:sz w:val="18"/>
                <w:szCs w:val="18"/>
              </w:rPr>
            </w:pPr>
            <w:r>
              <w:rPr>
                <w:rFonts w:hint="eastAsia" w:ascii="宋体" w:hAnsi="宋体"/>
                <w:sz w:val="18"/>
                <w:szCs w:val="18"/>
              </w:rPr>
              <w:t>2.精度：±1mm；</w:t>
            </w:r>
          </w:p>
          <w:p w14:paraId="0EE7BEB1">
            <w:pPr>
              <w:pStyle w:val="180"/>
              <w:rPr>
                <w:rFonts w:ascii="宋体" w:hAnsi="宋体"/>
                <w:sz w:val="18"/>
                <w:szCs w:val="18"/>
              </w:rPr>
            </w:pPr>
            <w:r>
              <w:rPr>
                <w:rFonts w:hint="eastAsia" w:ascii="宋体" w:hAnsi="宋体"/>
                <w:sz w:val="18"/>
                <w:szCs w:val="18"/>
              </w:rPr>
              <w:t>3.工作温度：－30℃～70℃；</w:t>
            </w:r>
          </w:p>
          <w:p w14:paraId="261590DA">
            <w:pPr>
              <w:pStyle w:val="180"/>
              <w:rPr>
                <w:rFonts w:ascii="宋体" w:hAnsi="宋体"/>
                <w:sz w:val="18"/>
                <w:szCs w:val="18"/>
              </w:rPr>
            </w:pPr>
            <w:r>
              <w:rPr>
                <w:rFonts w:hint="eastAsia" w:ascii="宋体" w:hAnsi="宋体"/>
                <w:sz w:val="18"/>
                <w:szCs w:val="18"/>
              </w:rPr>
              <w:t>4.工作湿度：&lt;95%RH；</w:t>
            </w:r>
          </w:p>
          <w:p w14:paraId="347FB313">
            <w:pPr>
              <w:pStyle w:val="180"/>
              <w:rPr>
                <w:rFonts w:ascii="宋体" w:hAnsi="宋体"/>
                <w:sz w:val="18"/>
                <w:szCs w:val="18"/>
              </w:rPr>
            </w:pPr>
            <w:r>
              <w:rPr>
                <w:rFonts w:hint="eastAsia" w:ascii="宋体" w:hAnsi="宋体"/>
                <w:sz w:val="18"/>
                <w:szCs w:val="18"/>
              </w:rPr>
              <w:t>5.使用寿命：</w:t>
            </w:r>
            <w:r>
              <w:rPr>
                <w:rFonts w:hint="eastAsia" w:ascii="宋体" w:hAnsi="宋体"/>
                <w:sz w:val="18"/>
                <w:szCs w:val="18"/>
                <w:lang w:eastAsia="zh-CN"/>
              </w:rPr>
              <w:t>不低于</w:t>
            </w:r>
            <w:r>
              <w:rPr>
                <w:rFonts w:hint="eastAsia" w:ascii="宋体" w:hAnsi="宋体"/>
                <w:sz w:val="18"/>
                <w:szCs w:val="18"/>
              </w:rPr>
              <w:t>5年；</w:t>
            </w:r>
          </w:p>
          <w:p w14:paraId="780E83B3">
            <w:pPr>
              <w:pStyle w:val="180"/>
              <w:rPr>
                <w:rFonts w:ascii="宋体" w:hAnsi="宋体"/>
                <w:sz w:val="18"/>
                <w:szCs w:val="18"/>
              </w:rPr>
            </w:pPr>
            <w:r>
              <mc:AlternateContent>
                <mc:Choice Requires="wps">
                  <w:drawing>
                    <wp:anchor distT="0" distB="0" distL="114300" distR="114300" simplePos="0" relativeHeight="251683840" behindDoc="0" locked="0" layoutInCell="1" allowOverlap="1">
                      <wp:simplePos x="0" y="0"/>
                      <wp:positionH relativeFrom="column">
                        <wp:posOffset>1353820</wp:posOffset>
                      </wp:positionH>
                      <wp:positionV relativeFrom="paragraph">
                        <wp:posOffset>-497205</wp:posOffset>
                      </wp:positionV>
                      <wp:extent cx="498475" cy="274955"/>
                      <wp:effectExtent l="0" t="0" r="15875" b="10795"/>
                      <wp:wrapNone/>
                      <wp:docPr id="45" name="文本框 45"/>
                      <wp:cNvGraphicFramePr/>
                      <a:graphic xmlns:a="http://schemas.openxmlformats.org/drawingml/2006/main">
                        <a:graphicData uri="http://schemas.microsoft.com/office/word/2010/wordprocessingShape">
                          <wps:wsp>
                            <wps:cNvSpPr txBox="1"/>
                            <wps:spPr>
                              <a:xfrm>
                                <a:off x="0" y="0"/>
                                <a:ext cx="498475" cy="274955"/>
                              </a:xfrm>
                              <a:prstGeom prst="rect">
                                <a:avLst/>
                              </a:prstGeom>
                              <a:solidFill>
                                <a:srgbClr val="FFFFFF"/>
                              </a:solidFill>
                              <a:ln>
                                <a:noFill/>
                              </a:ln>
                            </wps:spPr>
                            <wps:txbx>
                              <w:txbxContent>
                                <w:p w14:paraId="299C0C97">
                                  <w:pPr>
                                    <w:rPr>
                                      <w:rFonts w:hint="eastAsia" w:ascii="黑体" w:hAnsi="黑体" w:eastAsia="黑体" w:cs="黑体"/>
                                    </w:rPr>
                                  </w:pPr>
                                  <w:r>
                                    <w:rPr>
                                      <w:rFonts w:hint="eastAsia" w:ascii="黑体" w:hAnsi="黑体" w:eastAsia="黑体" w:cs="黑体"/>
                                    </w:rPr>
                                    <w:t>（续）</w:t>
                                  </w:r>
                                </w:p>
                              </w:txbxContent>
                            </wps:txbx>
                            <wps:bodyPr lIns="0" tIns="0" rIns="0" bIns="0" anchor="t" anchorCtr="0" upright="1"/>
                          </wps:wsp>
                        </a:graphicData>
                      </a:graphic>
                    </wp:anchor>
                  </w:drawing>
                </mc:Choice>
                <mc:Fallback>
                  <w:pict>
                    <v:shape id="_x0000_s1026" o:spid="_x0000_s1026" o:spt="202" type="#_x0000_t202" style="position:absolute;left:0pt;margin-left:106.6pt;margin-top:-39.15pt;height:21.65pt;width:39.25pt;z-index:251683840;mso-width-relative:page;mso-height-relative:page;" fillcolor="#FFFFFF" filled="t" stroked="f" coordsize="21600,21600" o:gfxdata="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smt/KdoAAAALAQAA&#10;DwAAAAAAAAABACAAAAAiAAAAZHJzL2Rvd25yZXYueG1sUEsBAhQAFAAAAAgAh07iQBA7EvneAQAA&#10;tQMAAA4AAAAAAAAAAQAgAAAAKQEAAGRycy9lMm9Eb2MueG1sUEsFBgAAAAAGAAYAWQEAAHkFAAAA&#10;AA==&#10;">
                      <v:fill on="t" focussize="0,0"/>
                      <v:stroke on="f"/>
                      <v:imagedata o:title=""/>
                      <o:lock v:ext="edit" aspectratio="f"/>
                      <v:textbox inset="0mm,0mm,0mm,0mm">
                        <w:txbxContent>
                          <w:p w14:paraId="299C0C97">
                            <w:pPr>
                              <w:rPr>
                                <w:rFonts w:hint="eastAsia" w:ascii="黑体" w:hAnsi="黑体" w:eastAsia="黑体" w:cs="黑体"/>
                              </w:rPr>
                            </w:pPr>
                            <w:r>
                              <w:rPr>
                                <w:rFonts w:hint="eastAsia" w:ascii="黑体" w:hAnsi="黑体" w:eastAsia="黑体" w:cs="黑体"/>
                              </w:rPr>
                              <w:t>（续）</w:t>
                            </w:r>
                          </w:p>
                        </w:txbxContent>
                      </v:textbox>
                    </v:shape>
                  </w:pict>
                </mc:Fallback>
              </mc:AlternateContent>
            </w:r>
            <w:r>
              <w:rPr>
                <w:rFonts w:hint="eastAsia" w:ascii="宋体" w:hAnsi="宋体"/>
                <w:sz w:val="18"/>
                <w:szCs w:val="18"/>
              </w:rPr>
              <w:t>6.环境适用：应具有防腐、防水等抗恶劣环境性能；</w:t>
            </w:r>
          </w:p>
          <w:p w14:paraId="775A4395">
            <w:pPr>
              <w:pStyle w:val="180"/>
              <w:rPr>
                <w:rFonts w:ascii="宋体" w:hAnsi="宋体"/>
                <w:sz w:val="18"/>
                <w:szCs w:val="18"/>
              </w:rPr>
            </w:pPr>
            <w:r>
              <w:rPr>
                <w:rFonts w:hint="eastAsia" w:ascii="宋体" w:hAnsi="宋体"/>
                <w:sz w:val="18"/>
                <w:szCs w:val="18"/>
              </w:rPr>
              <w:t>7</w:t>
            </w:r>
            <w:r>
              <w:rPr>
                <w:rFonts w:ascii="宋体" w:hAnsi="宋体"/>
                <w:sz w:val="18"/>
                <w:szCs w:val="18"/>
              </w:rPr>
              <w:t>.采集和传输频率</w:t>
            </w:r>
            <w:r>
              <w:rPr>
                <w:rFonts w:hint="eastAsia" w:ascii="宋体" w:hAnsi="宋体"/>
                <w:sz w:val="18"/>
                <w:szCs w:val="18"/>
              </w:rPr>
              <w:t>：</w:t>
            </w:r>
            <w:r>
              <w:rPr>
                <w:rFonts w:ascii="宋体" w:hAnsi="宋体"/>
                <w:sz w:val="18"/>
                <w:szCs w:val="18"/>
              </w:rPr>
              <w:t>≤1次/h</w:t>
            </w:r>
            <w:r>
              <w:rPr>
                <w:rFonts w:hint="eastAsia" w:ascii="宋体" w:hAnsi="宋体"/>
                <w:sz w:val="18"/>
                <w:szCs w:val="18"/>
              </w:rPr>
              <w:t>；</w:t>
            </w:r>
          </w:p>
          <w:p w14:paraId="4E7241BB">
            <w:pPr>
              <w:widowControl/>
              <w:spacing w:beforeLines="0" w:afterLines="0" w:line="240" w:lineRule="auto"/>
              <w:jc w:val="left"/>
              <w:rPr>
                <w:rFonts w:ascii="宋体" w:hAnsi="宋体" w:cs="宋体"/>
                <w:kern w:val="0"/>
                <w:sz w:val="18"/>
                <w:szCs w:val="18"/>
              </w:rPr>
            </w:pPr>
            <w:r>
              <w:rPr>
                <w:rFonts w:hint="eastAsia" w:ascii="宋体" w:hAnsi="宋体"/>
                <w:sz w:val="18"/>
                <w:szCs w:val="18"/>
              </w:rPr>
              <w:t>8.防护等级：不低于IP65。</w:t>
            </w:r>
          </w:p>
        </w:tc>
      </w:tr>
      <w:tr w14:paraId="0442A506">
        <w:tblPrEx>
          <w:tblCellMar>
            <w:top w:w="0" w:type="dxa"/>
            <w:left w:w="108" w:type="dxa"/>
            <w:bottom w:w="0" w:type="dxa"/>
            <w:right w:w="108" w:type="dxa"/>
          </w:tblCellMar>
        </w:tblPrEx>
        <w:trPr>
          <w:trHeight w:val="1350" w:hRule="atLeast"/>
        </w:trPr>
        <w:tc>
          <w:tcPr>
            <w:tcW w:w="979" w:type="pct"/>
            <w:vMerge w:val="continue"/>
            <w:tcBorders>
              <w:top w:val="nil"/>
              <w:left w:val="single" w:color="auto" w:sz="4" w:space="0"/>
              <w:bottom w:val="single" w:color="auto" w:sz="4" w:space="0"/>
              <w:right w:val="single" w:color="auto" w:sz="4" w:space="0"/>
            </w:tcBorders>
            <w:vAlign w:val="center"/>
          </w:tcPr>
          <w:p w14:paraId="56458638">
            <w:pPr>
              <w:widowControl/>
              <w:spacing w:beforeLines="0" w:afterLines="0" w:line="240" w:lineRule="auto"/>
              <w:jc w:val="left"/>
              <w:rPr>
                <w:rFonts w:ascii="宋体" w:hAnsi="宋体" w:cs="宋体"/>
                <w:kern w:val="0"/>
                <w:sz w:val="18"/>
                <w:szCs w:val="18"/>
              </w:rPr>
            </w:pPr>
          </w:p>
        </w:tc>
        <w:tc>
          <w:tcPr>
            <w:tcW w:w="1052" w:type="pct"/>
            <w:tcBorders>
              <w:top w:val="single" w:color="auto" w:sz="4" w:space="0"/>
              <w:left w:val="nil"/>
              <w:bottom w:val="single" w:color="auto" w:sz="4" w:space="0"/>
              <w:right w:val="single" w:color="auto" w:sz="4" w:space="0"/>
            </w:tcBorders>
            <w:vAlign w:val="center"/>
          </w:tcPr>
          <w:p w14:paraId="31387391">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地表沉降</w:t>
            </w:r>
          </w:p>
        </w:tc>
        <w:tc>
          <w:tcPr>
            <w:tcW w:w="2968" w:type="pct"/>
            <w:tcBorders>
              <w:top w:val="single" w:color="auto" w:sz="4" w:space="0"/>
              <w:left w:val="nil"/>
              <w:bottom w:val="single" w:color="auto" w:sz="4" w:space="0"/>
              <w:right w:val="single" w:color="auto" w:sz="4" w:space="0"/>
            </w:tcBorders>
            <w:vAlign w:val="center"/>
          </w:tcPr>
          <w:p w14:paraId="27CEF6A0">
            <w:pPr>
              <w:spacing w:before="31" w:after="31" w:line="240" w:lineRule="auto"/>
              <w:rPr>
                <w:rFonts w:ascii="宋体" w:hAnsi="宋体"/>
                <w:sz w:val="18"/>
                <w:szCs w:val="18"/>
              </w:rPr>
            </w:pPr>
            <w:r>
              <w:rPr>
                <w:rFonts w:hint="eastAsia" w:ascii="宋体" w:hAnsi="宋体"/>
                <w:sz w:val="18"/>
                <w:szCs w:val="18"/>
              </w:rPr>
              <w:t>1</w:t>
            </w:r>
            <w:r>
              <w:rPr>
                <w:rFonts w:ascii="宋体" w:hAnsi="宋体"/>
                <w:sz w:val="18"/>
                <w:szCs w:val="18"/>
              </w:rPr>
              <w:t>.量程范围：0～2000mm；</w:t>
            </w:r>
          </w:p>
          <w:p w14:paraId="60839A5D">
            <w:pPr>
              <w:spacing w:before="31" w:after="31" w:line="240" w:lineRule="auto"/>
              <w:rPr>
                <w:rFonts w:ascii="宋体" w:hAnsi="宋体"/>
                <w:sz w:val="18"/>
                <w:szCs w:val="18"/>
              </w:rPr>
            </w:pPr>
            <w:r>
              <w:rPr>
                <w:rFonts w:hint="eastAsia" w:ascii="宋体" w:hAnsi="宋体"/>
                <w:sz w:val="18"/>
                <w:szCs w:val="18"/>
              </w:rPr>
              <w:t>2</w:t>
            </w:r>
            <w:r>
              <w:rPr>
                <w:rFonts w:ascii="宋体" w:hAnsi="宋体"/>
                <w:sz w:val="18"/>
                <w:szCs w:val="18"/>
              </w:rPr>
              <w:t>.精度：0.01mm；</w:t>
            </w:r>
          </w:p>
          <w:p w14:paraId="76F5B777">
            <w:pPr>
              <w:spacing w:before="31" w:after="31" w:line="240" w:lineRule="auto"/>
              <w:rPr>
                <w:rFonts w:ascii="宋体" w:hAnsi="宋体"/>
                <w:sz w:val="18"/>
                <w:szCs w:val="18"/>
              </w:rPr>
            </w:pPr>
            <w:r>
              <w:rPr>
                <w:rFonts w:hint="eastAsia" w:ascii="宋体" w:hAnsi="宋体"/>
                <w:sz w:val="18"/>
                <w:szCs w:val="18"/>
              </w:rPr>
              <w:t>3</w:t>
            </w:r>
            <w:r>
              <w:rPr>
                <w:rFonts w:ascii="宋体" w:hAnsi="宋体"/>
                <w:sz w:val="18"/>
                <w:szCs w:val="18"/>
              </w:rPr>
              <w:t>.工作温度：－20℃～80℃；</w:t>
            </w:r>
          </w:p>
          <w:p w14:paraId="32E7F3EC">
            <w:pPr>
              <w:spacing w:before="31" w:after="31" w:line="240" w:lineRule="auto"/>
              <w:rPr>
                <w:rFonts w:ascii="宋体" w:hAnsi="宋体"/>
                <w:sz w:val="18"/>
                <w:szCs w:val="18"/>
              </w:rPr>
            </w:pPr>
            <w:r>
              <w:rPr>
                <w:rFonts w:hint="eastAsia" w:ascii="宋体" w:hAnsi="宋体"/>
                <w:sz w:val="18"/>
                <w:szCs w:val="18"/>
              </w:rPr>
              <w:t>4</w:t>
            </w:r>
            <w:r>
              <w:rPr>
                <w:rFonts w:ascii="宋体" w:hAnsi="宋体"/>
                <w:sz w:val="18"/>
                <w:szCs w:val="18"/>
              </w:rPr>
              <w:t>.工作湿度：＜95%RH；</w:t>
            </w:r>
          </w:p>
          <w:p w14:paraId="2026DB09">
            <w:pPr>
              <w:pStyle w:val="180"/>
              <w:rPr>
                <w:rFonts w:ascii="宋体" w:hAnsi="宋体"/>
                <w:sz w:val="18"/>
                <w:szCs w:val="18"/>
              </w:rPr>
            </w:pPr>
            <w:r>
              <w:rPr>
                <w:rFonts w:hint="eastAsia" w:ascii="宋体" w:hAnsi="宋体"/>
                <w:sz w:val="18"/>
                <w:szCs w:val="18"/>
              </w:rPr>
              <w:t>5</w:t>
            </w:r>
            <w:r>
              <w:rPr>
                <w:rFonts w:ascii="宋体" w:hAnsi="宋体"/>
                <w:sz w:val="18"/>
                <w:szCs w:val="18"/>
              </w:rPr>
              <w:t>.环境适用：应具有防腐、防水等抗恶劣环境性能</w:t>
            </w:r>
            <w:r>
              <w:rPr>
                <w:rFonts w:hint="eastAsia" w:ascii="宋体" w:hAnsi="宋体"/>
                <w:sz w:val="18"/>
                <w:szCs w:val="18"/>
              </w:rPr>
              <w:t>；</w:t>
            </w:r>
          </w:p>
          <w:p w14:paraId="62013B12">
            <w:pPr>
              <w:pStyle w:val="180"/>
              <w:rPr>
                <w:rFonts w:ascii="宋体" w:hAnsi="宋体"/>
                <w:sz w:val="18"/>
                <w:szCs w:val="18"/>
              </w:rPr>
            </w:pPr>
            <w:r>
              <w:rPr>
                <w:rFonts w:hint="eastAsia" w:ascii="宋体" w:hAnsi="宋体"/>
                <w:sz w:val="18"/>
                <w:szCs w:val="18"/>
              </w:rPr>
              <w:t>6</w:t>
            </w:r>
            <w:r>
              <w:rPr>
                <w:rFonts w:ascii="宋体" w:hAnsi="宋体"/>
                <w:sz w:val="18"/>
                <w:szCs w:val="18"/>
              </w:rPr>
              <w:t>.采集和传输频率</w:t>
            </w:r>
            <w:r>
              <w:rPr>
                <w:rFonts w:hint="eastAsia" w:ascii="宋体" w:hAnsi="宋体"/>
                <w:sz w:val="18"/>
                <w:szCs w:val="18"/>
              </w:rPr>
              <w:t>：</w:t>
            </w:r>
            <w:r>
              <w:rPr>
                <w:rFonts w:ascii="宋体" w:hAnsi="宋体"/>
                <w:sz w:val="18"/>
                <w:szCs w:val="18"/>
              </w:rPr>
              <w:t>≤1次/h</w:t>
            </w:r>
            <w:r>
              <w:rPr>
                <w:rFonts w:hint="eastAsia" w:ascii="宋体" w:hAnsi="宋体"/>
                <w:sz w:val="18"/>
                <w:szCs w:val="18"/>
              </w:rPr>
              <w:t>；</w:t>
            </w:r>
          </w:p>
          <w:p w14:paraId="6D14F760">
            <w:pPr>
              <w:widowControl/>
              <w:spacing w:beforeLines="0" w:afterLines="0" w:line="240" w:lineRule="auto"/>
              <w:jc w:val="left"/>
              <w:rPr>
                <w:rFonts w:ascii="宋体" w:hAnsi="宋体" w:cs="宋体"/>
                <w:kern w:val="0"/>
                <w:sz w:val="18"/>
                <w:szCs w:val="18"/>
              </w:rPr>
            </w:pPr>
            <w:r>
              <w:rPr>
                <w:rFonts w:hint="eastAsia" w:ascii="宋体" w:hAnsi="宋体"/>
                <w:sz w:val="18"/>
                <w:szCs w:val="18"/>
              </w:rPr>
              <w:t>7</w:t>
            </w:r>
            <w:r>
              <w:rPr>
                <w:rFonts w:ascii="宋体" w:hAnsi="宋体"/>
                <w:sz w:val="18"/>
                <w:szCs w:val="18"/>
              </w:rPr>
              <w:t>.防护等级：≥IP65</w:t>
            </w:r>
            <w:r>
              <w:rPr>
                <w:rFonts w:hint="eastAsia" w:ascii="宋体" w:hAnsi="宋体"/>
                <w:sz w:val="18"/>
                <w:szCs w:val="18"/>
              </w:rPr>
              <w:t>。</w:t>
            </w:r>
          </w:p>
        </w:tc>
      </w:tr>
      <w:tr w14:paraId="4635E4E4">
        <w:tblPrEx>
          <w:tblCellMar>
            <w:top w:w="0" w:type="dxa"/>
            <w:left w:w="108" w:type="dxa"/>
            <w:bottom w:w="0" w:type="dxa"/>
            <w:right w:w="108" w:type="dxa"/>
          </w:tblCellMar>
        </w:tblPrEx>
        <w:trPr>
          <w:trHeight w:val="1350" w:hRule="atLeast"/>
        </w:trPr>
        <w:tc>
          <w:tcPr>
            <w:tcW w:w="979" w:type="pct"/>
            <w:vMerge w:val="continue"/>
            <w:tcBorders>
              <w:top w:val="nil"/>
              <w:left w:val="single" w:color="auto" w:sz="4" w:space="0"/>
              <w:bottom w:val="single" w:color="auto" w:sz="4" w:space="0"/>
              <w:right w:val="single" w:color="auto" w:sz="4" w:space="0"/>
            </w:tcBorders>
            <w:vAlign w:val="center"/>
          </w:tcPr>
          <w:p w14:paraId="64AA3ABD">
            <w:pPr>
              <w:widowControl/>
              <w:spacing w:beforeLines="0" w:afterLines="0" w:line="240" w:lineRule="auto"/>
              <w:jc w:val="left"/>
              <w:rPr>
                <w:rFonts w:ascii="宋体" w:hAnsi="宋体" w:cs="宋体"/>
                <w:kern w:val="0"/>
                <w:sz w:val="18"/>
                <w:szCs w:val="18"/>
              </w:rPr>
            </w:pPr>
          </w:p>
        </w:tc>
        <w:tc>
          <w:tcPr>
            <w:tcW w:w="1052" w:type="pct"/>
            <w:tcBorders>
              <w:top w:val="single" w:color="auto" w:sz="4" w:space="0"/>
              <w:left w:val="nil"/>
              <w:bottom w:val="single" w:color="auto" w:sz="4" w:space="0"/>
              <w:right w:val="single" w:color="auto" w:sz="4" w:space="0"/>
            </w:tcBorders>
            <w:vAlign w:val="center"/>
          </w:tcPr>
          <w:p w14:paraId="46D38D5E">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不均匀沉降</w:t>
            </w:r>
          </w:p>
        </w:tc>
        <w:tc>
          <w:tcPr>
            <w:tcW w:w="2968" w:type="pct"/>
            <w:tcBorders>
              <w:top w:val="single" w:color="auto" w:sz="4" w:space="0"/>
              <w:left w:val="nil"/>
              <w:bottom w:val="single" w:color="auto" w:sz="4" w:space="0"/>
              <w:right w:val="single" w:color="auto" w:sz="4" w:space="0"/>
            </w:tcBorders>
            <w:vAlign w:val="center"/>
          </w:tcPr>
          <w:p w14:paraId="76014FD2">
            <w:pPr>
              <w:spacing w:before="31" w:after="31" w:line="240" w:lineRule="auto"/>
              <w:rPr>
                <w:rFonts w:ascii="宋体" w:hAnsi="宋体"/>
                <w:sz w:val="18"/>
                <w:szCs w:val="18"/>
              </w:rPr>
            </w:pPr>
            <w:r>
              <w:rPr>
                <w:rFonts w:hint="eastAsia" w:ascii="宋体" w:hAnsi="宋体"/>
                <w:sz w:val="18"/>
                <w:szCs w:val="18"/>
              </w:rPr>
              <w:t>1</w:t>
            </w:r>
            <w:r>
              <w:rPr>
                <w:rFonts w:ascii="宋体" w:hAnsi="宋体"/>
                <w:sz w:val="18"/>
                <w:szCs w:val="18"/>
              </w:rPr>
              <w:t>.量程范围：0～2000mm；</w:t>
            </w:r>
          </w:p>
          <w:p w14:paraId="21C9E5D5">
            <w:pPr>
              <w:spacing w:before="31" w:after="31" w:line="240" w:lineRule="auto"/>
              <w:rPr>
                <w:rFonts w:ascii="宋体" w:hAnsi="宋体"/>
                <w:sz w:val="18"/>
                <w:szCs w:val="18"/>
              </w:rPr>
            </w:pPr>
            <w:r>
              <w:rPr>
                <w:rFonts w:hint="eastAsia" w:ascii="宋体" w:hAnsi="宋体"/>
                <w:sz w:val="18"/>
                <w:szCs w:val="18"/>
              </w:rPr>
              <w:t>2</w:t>
            </w:r>
            <w:r>
              <w:rPr>
                <w:rFonts w:ascii="宋体" w:hAnsi="宋体"/>
                <w:sz w:val="18"/>
                <w:szCs w:val="18"/>
              </w:rPr>
              <w:t>.精度：0.01mm；</w:t>
            </w:r>
          </w:p>
          <w:p w14:paraId="140DF6B0">
            <w:pPr>
              <w:spacing w:before="31" w:after="31" w:line="240" w:lineRule="auto"/>
              <w:rPr>
                <w:rFonts w:ascii="宋体" w:hAnsi="宋体"/>
                <w:sz w:val="18"/>
                <w:szCs w:val="18"/>
              </w:rPr>
            </w:pPr>
            <w:r>
              <w:rPr>
                <w:rFonts w:hint="eastAsia" w:ascii="宋体" w:hAnsi="宋体"/>
                <w:sz w:val="18"/>
                <w:szCs w:val="18"/>
              </w:rPr>
              <w:t>3</w:t>
            </w:r>
            <w:r>
              <w:rPr>
                <w:rFonts w:ascii="宋体" w:hAnsi="宋体"/>
                <w:sz w:val="18"/>
                <w:szCs w:val="18"/>
              </w:rPr>
              <w:t>.工作温度：－20℃～80℃；</w:t>
            </w:r>
          </w:p>
          <w:p w14:paraId="3B1335C7">
            <w:pPr>
              <w:spacing w:before="31" w:after="31" w:line="240" w:lineRule="auto"/>
              <w:rPr>
                <w:rFonts w:ascii="宋体" w:hAnsi="宋体"/>
                <w:sz w:val="18"/>
                <w:szCs w:val="18"/>
              </w:rPr>
            </w:pPr>
            <w:r>
              <w:rPr>
                <w:rFonts w:hint="eastAsia" w:ascii="宋体" w:hAnsi="宋体"/>
                <w:sz w:val="18"/>
                <w:szCs w:val="18"/>
              </w:rPr>
              <w:t>4</w:t>
            </w:r>
            <w:r>
              <w:rPr>
                <w:rFonts w:ascii="宋体" w:hAnsi="宋体"/>
                <w:sz w:val="18"/>
                <w:szCs w:val="18"/>
              </w:rPr>
              <w:t>.工作湿度：＜95%RH；</w:t>
            </w:r>
          </w:p>
          <w:p w14:paraId="2C911916">
            <w:pPr>
              <w:pStyle w:val="180"/>
              <w:rPr>
                <w:rFonts w:ascii="宋体" w:hAnsi="宋体"/>
                <w:sz w:val="18"/>
                <w:szCs w:val="18"/>
              </w:rPr>
            </w:pPr>
            <w:r>
              <w:rPr>
                <w:rFonts w:hint="eastAsia" w:ascii="宋体" w:hAnsi="宋体"/>
                <w:sz w:val="18"/>
                <w:szCs w:val="18"/>
              </w:rPr>
              <w:t>5</w:t>
            </w:r>
            <w:r>
              <w:rPr>
                <w:rFonts w:ascii="宋体" w:hAnsi="宋体"/>
                <w:sz w:val="18"/>
                <w:szCs w:val="18"/>
              </w:rPr>
              <w:t>.环境适用：应具有防腐、防水等抗恶劣环境性能</w:t>
            </w:r>
            <w:r>
              <w:rPr>
                <w:rFonts w:hint="eastAsia" w:ascii="宋体" w:hAnsi="宋体"/>
                <w:sz w:val="18"/>
                <w:szCs w:val="18"/>
              </w:rPr>
              <w:t>；</w:t>
            </w:r>
          </w:p>
          <w:p w14:paraId="189A6244">
            <w:pPr>
              <w:pStyle w:val="180"/>
              <w:rPr>
                <w:rFonts w:ascii="宋体" w:hAnsi="宋体"/>
                <w:sz w:val="18"/>
                <w:szCs w:val="18"/>
              </w:rPr>
            </w:pPr>
            <w:r>
              <w:rPr>
                <w:rFonts w:hint="eastAsia" w:ascii="宋体" w:hAnsi="宋体"/>
                <w:sz w:val="18"/>
                <w:szCs w:val="18"/>
              </w:rPr>
              <w:t>6</w:t>
            </w:r>
            <w:r>
              <w:rPr>
                <w:rFonts w:ascii="宋体" w:hAnsi="宋体"/>
                <w:sz w:val="18"/>
                <w:szCs w:val="18"/>
              </w:rPr>
              <w:t>.采集和传输频率</w:t>
            </w:r>
            <w:r>
              <w:rPr>
                <w:rFonts w:hint="eastAsia" w:ascii="宋体" w:hAnsi="宋体"/>
                <w:sz w:val="18"/>
                <w:szCs w:val="18"/>
              </w:rPr>
              <w:t>：</w:t>
            </w:r>
            <w:r>
              <w:rPr>
                <w:rFonts w:ascii="宋体" w:hAnsi="宋体"/>
                <w:sz w:val="18"/>
                <w:szCs w:val="18"/>
              </w:rPr>
              <w:t>≤1次/h</w:t>
            </w:r>
            <w:r>
              <w:rPr>
                <w:rFonts w:hint="eastAsia" w:ascii="宋体" w:hAnsi="宋体"/>
                <w:sz w:val="18"/>
                <w:szCs w:val="18"/>
              </w:rPr>
              <w:t>；</w:t>
            </w:r>
          </w:p>
          <w:p w14:paraId="42E934FB">
            <w:pPr>
              <w:widowControl/>
              <w:spacing w:beforeLines="0" w:afterLines="0" w:line="240" w:lineRule="auto"/>
              <w:jc w:val="left"/>
              <w:rPr>
                <w:rFonts w:ascii="宋体" w:hAnsi="宋体" w:cs="宋体"/>
                <w:kern w:val="0"/>
                <w:sz w:val="18"/>
                <w:szCs w:val="18"/>
              </w:rPr>
            </w:pPr>
            <w:r>
              <w:rPr>
                <w:rFonts w:hint="eastAsia" w:ascii="宋体" w:hAnsi="宋体"/>
                <w:sz w:val="18"/>
                <w:szCs w:val="18"/>
              </w:rPr>
              <w:t>7</w:t>
            </w:r>
            <w:r>
              <w:rPr>
                <w:rFonts w:ascii="宋体" w:hAnsi="宋体"/>
                <w:sz w:val="18"/>
                <w:szCs w:val="18"/>
              </w:rPr>
              <w:t>.防护等级：≥IP65</w:t>
            </w:r>
            <w:r>
              <w:rPr>
                <w:rFonts w:hint="eastAsia" w:ascii="宋体" w:hAnsi="宋体"/>
                <w:sz w:val="18"/>
                <w:szCs w:val="18"/>
              </w:rPr>
              <w:t>。</w:t>
            </w:r>
          </w:p>
        </w:tc>
      </w:tr>
      <w:tr w14:paraId="30A595DC">
        <w:tblPrEx>
          <w:tblCellMar>
            <w:top w:w="0" w:type="dxa"/>
            <w:left w:w="108" w:type="dxa"/>
            <w:bottom w:w="0" w:type="dxa"/>
            <w:right w:w="108" w:type="dxa"/>
          </w:tblCellMar>
        </w:tblPrEx>
        <w:trPr>
          <w:trHeight w:val="1350" w:hRule="atLeast"/>
        </w:trPr>
        <w:tc>
          <w:tcPr>
            <w:tcW w:w="979" w:type="pct"/>
            <w:vMerge w:val="continue"/>
            <w:tcBorders>
              <w:top w:val="nil"/>
              <w:left w:val="single" w:color="auto" w:sz="4" w:space="0"/>
              <w:bottom w:val="single" w:color="auto" w:sz="4" w:space="0"/>
              <w:right w:val="single" w:color="auto" w:sz="4" w:space="0"/>
            </w:tcBorders>
            <w:vAlign w:val="center"/>
          </w:tcPr>
          <w:p w14:paraId="7EF5D5F1">
            <w:pPr>
              <w:widowControl/>
              <w:spacing w:beforeLines="0" w:afterLines="0" w:line="240" w:lineRule="auto"/>
              <w:jc w:val="left"/>
              <w:rPr>
                <w:rFonts w:ascii="宋体" w:hAnsi="宋体" w:cs="宋体"/>
                <w:kern w:val="0"/>
                <w:sz w:val="18"/>
                <w:szCs w:val="18"/>
              </w:rPr>
            </w:pPr>
          </w:p>
        </w:tc>
        <w:tc>
          <w:tcPr>
            <w:tcW w:w="1052" w:type="pct"/>
            <w:tcBorders>
              <w:top w:val="single" w:color="auto" w:sz="4" w:space="0"/>
              <w:left w:val="nil"/>
              <w:bottom w:val="single" w:color="auto" w:sz="4" w:space="0"/>
              <w:right w:val="single" w:color="auto" w:sz="4" w:space="0"/>
            </w:tcBorders>
            <w:vAlign w:val="center"/>
          </w:tcPr>
          <w:p w14:paraId="34AA51D1">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结构纵向变形</w:t>
            </w:r>
          </w:p>
        </w:tc>
        <w:tc>
          <w:tcPr>
            <w:tcW w:w="2968" w:type="pct"/>
            <w:tcBorders>
              <w:top w:val="single" w:color="auto" w:sz="4" w:space="0"/>
              <w:left w:val="nil"/>
              <w:bottom w:val="single" w:color="auto" w:sz="4" w:space="0"/>
              <w:right w:val="single" w:color="auto" w:sz="4" w:space="0"/>
            </w:tcBorders>
            <w:vAlign w:val="center"/>
          </w:tcPr>
          <w:p w14:paraId="75AF84D7">
            <w:pPr>
              <w:spacing w:before="31" w:after="31" w:line="240" w:lineRule="auto"/>
              <w:rPr>
                <w:rFonts w:ascii="宋体" w:hAnsi="宋体"/>
                <w:sz w:val="18"/>
                <w:szCs w:val="18"/>
              </w:rPr>
            </w:pPr>
            <w:r>
              <w:rPr>
                <w:rFonts w:hint="eastAsia" w:ascii="宋体" w:hAnsi="宋体"/>
                <w:sz w:val="18"/>
                <w:szCs w:val="18"/>
              </w:rPr>
              <w:t>1</w:t>
            </w:r>
            <w:r>
              <w:rPr>
                <w:rFonts w:ascii="宋体" w:hAnsi="宋体"/>
                <w:sz w:val="18"/>
                <w:szCs w:val="18"/>
              </w:rPr>
              <w:t>.量程：0～1000mm；</w:t>
            </w:r>
          </w:p>
          <w:p w14:paraId="6238D280">
            <w:pPr>
              <w:spacing w:before="31" w:after="31" w:line="240" w:lineRule="auto"/>
              <w:rPr>
                <w:rFonts w:ascii="宋体" w:hAnsi="宋体"/>
                <w:sz w:val="18"/>
                <w:szCs w:val="18"/>
              </w:rPr>
            </w:pPr>
            <w:r>
              <w:rPr>
                <w:rFonts w:hint="eastAsia" w:ascii="宋体" w:hAnsi="宋体"/>
                <w:sz w:val="18"/>
                <w:szCs w:val="18"/>
              </w:rPr>
              <w:t>2</w:t>
            </w:r>
            <w:r>
              <w:rPr>
                <w:rFonts w:ascii="宋体" w:hAnsi="宋体"/>
                <w:sz w:val="18"/>
                <w:szCs w:val="18"/>
              </w:rPr>
              <w:t>.精度：0.01mm；</w:t>
            </w:r>
          </w:p>
          <w:p w14:paraId="578B3716">
            <w:pPr>
              <w:spacing w:before="31" w:after="31" w:line="240" w:lineRule="auto"/>
              <w:rPr>
                <w:rFonts w:ascii="宋体" w:hAnsi="宋体"/>
                <w:sz w:val="18"/>
                <w:szCs w:val="18"/>
              </w:rPr>
            </w:pPr>
            <w:r>
              <w:rPr>
                <w:rFonts w:hint="eastAsia" w:ascii="宋体" w:hAnsi="宋体"/>
                <w:sz w:val="18"/>
                <w:szCs w:val="18"/>
              </w:rPr>
              <w:t>3</w:t>
            </w:r>
            <w:r>
              <w:rPr>
                <w:rFonts w:ascii="宋体" w:hAnsi="宋体"/>
                <w:sz w:val="18"/>
                <w:szCs w:val="18"/>
              </w:rPr>
              <w:t>.工作温度：－20℃～80℃；</w:t>
            </w:r>
          </w:p>
          <w:p w14:paraId="2D6B7D51">
            <w:pPr>
              <w:spacing w:before="31" w:after="31" w:line="240" w:lineRule="auto"/>
              <w:rPr>
                <w:rFonts w:ascii="宋体" w:hAnsi="宋体"/>
                <w:sz w:val="18"/>
                <w:szCs w:val="18"/>
              </w:rPr>
            </w:pPr>
            <w:r>
              <w:rPr>
                <w:rFonts w:hint="eastAsia" w:ascii="宋体" w:hAnsi="宋体"/>
                <w:sz w:val="18"/>
                <w:szCs w:val="18"/>
              </w:rPr>
              <w:t>4</w:t>
            </w:r>
            <w:r>
              <w:rPr>
                <w:rFonts w:ascii="宋体" w:hAnsi="宋体"/>
                <w:sz w:val="18"/>
                <w:szCs w:val="18"/>
              </w:rPr>
              <w:t>.工作湿度：＜95%RH；</w:t>
            </w:r>
          </w:p>
          <w:p w14:paraId="6C7D60E2">
            <w:pPr>
              <w:pStyle w:val="180"/>
              <w:rPr>
                <w:rFonts w:ascii="宋体" w:hAnsi="宋体"/>
                <w:sz w:val="18"/>
                <w:szCs w:val="18"/>
              </w:rPr>
            </w:pPr>
            <w:r>
              <w:rPr>
                <w:rFonts w:hint="eastAsia" w:ascii="宋体" w:hAnsi="宋体"/>
                <w:sz w:val="18"/>
                <w:szCs w:val="18"/>
              </w:rPr>
              <w:t>5</w:t>
            </w:r>
            <w:r>
              <w:rPr>
                <w:rFonts w:ascii="宋体" w:hAnsi="宋体"/>
                <w:sz w:val="18"/>
                <w:szCs w:val="18"/>
              </w:rPr>
              <w:t>.环境适用：应具有防腐、防水等抗恶劣环境性能</w:t>
            </w:r>
            <w:r>
              <w:rPr>
                <w:rFonts w:hint="eastAsia" w:ascii="宋体" w:hAnsi="宋体"/>
                <w:sz w:val="18"/>
                <w:szCs w:val="18"/>
              </w:rPr>
              <w:t>；</w:t>
            </w:r>
          </w:p>
          <w:p w14:paraId="2D701D9E">
            <w:pPr>
              <w:pStyle w:val="180"/>
              <w:rPr>
                <w:rFonts w:ascii="宋体" w:hAnsi="宋体"/>
                <w:sz w:val="18"/>
                <w:szCs w:val="18"/>
              </w:rPr>
            </w:pPr>
            <w:r>
              <w:rPr>
                <w:rFonts w:hint="eastAsia" w:ascii="宋体" w:hAnsi="宋体"/>
                <w:sz w:val="18"/>
                <w:szCs w:val="18"/>
              </w:rPr>
              <w:t>6</w:t>
            </w:r>
            <w:r>
              <w:rPr>
                <w:rFonts w:ascii="宋体" w:hAnsi="宋体"/>
                <w:sz w:val="18"/>
                <w:szCs w:val="18"/>
              </w:rPr>
              <w:t>.采集和传输频率</w:t>
            </w:r>
            <w:r>
              <w:rPr>
                <w:rFonts w:hint="eastAsia" w:ascii="宋体" w:hAnsi="宋体"/>
                <w:sz w:val="18"/>
                <w:szCs w:val="18"/>
              </w:rPr>
              <w:t>：</w:t>
            </w:r>
            <w:r>
              <w:rPr>
                <w:rFonts w:ascii="宋体" w:hAnsi="宋体"/>
                <w:sz w:val="18"/>
                <w:szCs w:val="18"/>
              </w:rPr>
              <w:t>≤1次/h</w:t>
            </w:r>
            <w:r>
              <w:rPr>
                <w:rFonts w:hint="eastAsia" w:ascii="宋体" w:hAnsi="宋体"/>
                <w:sz w:val="18"/>
                <w:szCs w:val="18"/>
              </w:rPr>
              <w:t>；</w:t>
            </w:r>
          </w:p>
          <w:p w14:paraId="779219E9">
            <w:pPr>
              <w:widowControl/>
              <w:spacing w:beforeLines="0" w:afterLines="0" w:line="240" w:lineRule="auto"/>
              <w:jc w:val="left"/>
              <w:rPr>
                <w:rFonts w:ascii="宋体" w:hAnsi="宋体" w:cs="宋体"/>
                <w:kern w:val="0"/>
                <w:sz w:val="18"/>
                <w:szCs w:val="18"/>
              </w:rPr>
            </w:pPr>
            <w:r>
              <w:rPr>
                <w:rFonts w:hint="eastAsia" w:ascii="宋体" w:hAnsi="宋体"/>
                <w:sz w:val="18"/>
                <w:szCs w:val="18"/>
              </w:rPr>
              <w:t>7</w:t>
            </w:r>
            <w:r>
              <w:rPr>
                <w:rFonts w:ascii="宋体" w:hAnsi="宋体"/>
                <w:sz w:val="18"/>
                <w:szCs w:val="18"/>
              </w:rPr>
              <w:t>.防护等级：≥IP65</w:t>
            </w:r>
            <w:r>
              <w:rPr>
                <w:rFonts w:hint="eastAsia" w:ascii="宋体" w:hAnsi="宋体"/>
                <w:sz w:val="18"/>
                <w:szCs w:val="18"/>
              </w:rPr>
              <w:t>。</w:t>
            </w:r>
          </w:p>
        </w:tc>
      </w:tr>
      <w:tr w14:paraId="723E764E">
        <w:tblPrEx>
          <w:tblCellMar>
            <w:top w:w="0" w:type="dxa"/>
            <w:left w:w="108" w:type="dxa"/>
            <w:bottom w:w="0" w:type="dxa"/>
            <w:right w:w="108" w:type="dxa"/>
          </w:tblCellMar>
        </w:tblPrEx>
        <w:trPr>
          <w:trHeight w:val="1350" w:hRule="atLeast"/>
        </w:trPr>
        <w:tc>
          <w:tcPr>
            <w:tcW w:w="979" w:type="pct"/>
            <w:vMerge w:val="continue"/>
            <w:tcBorders>
              <w:top w:val="nil"/>
              <w:left w:val="single" w:color="auto" w:sz="4" w:space="0"/>
              <w:bottom w:val="single" w:color="auto" w:sz="4" w:space="0"/>
              <w:right w:val="single" w:color="auto" w:sz="4" w:space="0"/>
            </w:tcBorders>
            <w:vAlign w:val="center"/>
          </w:tcPr>
          <w:p w14:paraId="65F1B8F8">
            <w:pPr>
              <w:widowControl/>
              <w:spacing w:beforeLines="0" w:afterLines="0" w:line="240" w:lineRule="auto"/>
              <w:jc w:val="left"/>
              <w:rPr>
                <w:rFonts w:ascii="宋体" w:hAnsi="宋体" w:cs="宋体"/>
                <w:kern w:val="0"/>
                <w:sz w:val="18"/>
                <w:szCs w:val="18"/>
              </w:rPr>
            </w:pPr>
          </w:p>
        </w:tc>
        <w:tc>
          <w:tcPr>
            <w:tcW w:w="1052" w:type="pct"/>
            <w:tcBorders>
              <w:top w:val="single" w:color="auto" w:sz="4" w:space="0"/>
              <w:left w:val="nil"/>
              <w:bottom w:val="single" w:color="auto" w:sz="4" w:space="0"/>
              <w:right w:val="single" w:color="auto" w:sz="4" w:space="0"/>
            </w:tcBorders>
            <w:vAlign w:val="center"/>
          </w:tcPr>
          <w:p w14:paraId="2651D578">
            <w:pPr>
              <w:widowControl/>
              <w:spacing w:beforeLines="0" w:afterLines="0" w:line="240" w:lineRule="auto"/>
              <w:jc w:val="center"/>
              <w:rPr>
                <w:rFonts w:ascii="宋体" w:hAnsi="宋体" w:cs="宋体"/>
                <w:kern w:val="0"/>
                <w:sz w:val="18"/>
                <w:szCs w:val="18"/>
              </w:rPr>
            </w:pPr>
            <w:r>
              <w:rPr>
                <w:rFonts w:hint="eastAsia" w:ascii="宋体" w:hAnsi="宋体" w:cs="宋体"/>
                <w:kern w:val="0"/>
                <w:sz w:val="18"/>
                <w:szCs w:val="18"/>
              </w:rPr>
              <w:t>结构接缝扩展</w:t>
            </w:r>
          </w:p>
        </w:tc>
        <w:tc>
          <w:tcPr>
            <w:tcW w:w="2968" w:type="pct"/>
            <w:tcBorders>
              <w:top w:val="single" w:color="auto" w:sz="4" w:space="0"/>
              <w:left w:val="nil"/>
              <w:bottom w:val="single" w:color="auto" w:sz="4" w:space="0"/>
              <w:right w:val="single" w:color="auto" w:sz="4" w:space="0"/>
            </w:tcBorders>
            <w:vAlign w:val="center"/>
          </w:tcPr>
          <w:p w14:paraId="0576E7D7">
            <w:pPr>
              <w:pStyle w:val="180"/>
              <w:rPr>
                <w:rFonts w:ascii="宋体" w:hAnsi="宋体"/>
                <w:sz w:val="18"/>
                <w:szCs w:val="18"/>
              </w:rPr>
            </w:pPr>
            <w:r>
              <w:rPr>
                <w:rFonts w:hint="eastAsia" w:ascii="宋体" w:hAnsi="宋体"/>
                <w:sz w:val="18"/>
                <w:szCs w:val="18"/>
              </w:rPr>
              <w:t>1</w:t>
            </w:r>
            <w:r>
              <w:rPr>
                <w:rFonts w:ascii="宋体" w:hAnsi="宋体"/>
                <w:sz w:val="18"/>
                <w:szCs w:val="18"/>
              </w:rPr>
              <w:t>.测量范围：0～200mm</w:t>
            </w:r>
            <w:r>
              <w:rPr>
                <w:rFonts w:hint="eastAsia" w:ascii="宋体" w:hAnsi="宋体"/>
                <w:sz w:val="18"/>
                <w:szCs w:val="18"/>
              </w:rPr>
              <w:t>；</w:t>
            </w:r>
          </w:p>
          <w:p w14:paraId="2367F817">
            <w:pPr>
              <w:pStyle w:val="180"/>
              <w:rPr>
                <w:rFonts w:ascii="宋体" w:hAnsi="宋体"/>
                <w:sz w:val="18"/>
                <w:szCs w:val="18"/>
              </w:rPr>
            </w:pPr>
            <w:r>
              <w:rPr>
                <w:rFonts w:hint="eastAsia" w:ascii="宋体" w:hAnsi="宋体"/>
                <w:sz w:val="18"/>
                <w:szCs w:val="18"/>
              </w:rPr>
              <w:t>2</w:t>
            </w:r>
            <w:r>
              <w:rPr>
                <w:rFonts w:ascii="宋体" w:hAnsi="宋体"/>
                <w:sz w:val="18"/>
                <w:szCs w:val="18"/>
              </w:rPr>
              <w:t>.精度：0.01mm</w:t>
            </w:r>
            <w:r>
              <w:rPr>
                <w:rFonts w:hint="eastAsia" w:ascii="宋体" w:hAnsi="宋体"/>
                <w:sz w:val="18"/>
                <w:szCs w:val="18"/>
              </w:rPr>
              <w:t>；</w:t>
            </w:r>
          </w:p>
          <w:p w14:paraId="6D2961F9">
            <w:pPr>
              <w:pStyle w:val="180"/>
              <w:rPr>
                <w:rFonts w:ascii="宋体" w:hAnsi="宋体"/>
                <w:sz w:val="18"/>
                <w:szCs w:val="18"/>
              </w:rPr>
            </w:pPr>
            <w:r>
              <w:rPr>
                <w:rFonts w:hint="eastAsia" w:ascii="宋体" w:hAnsi="宋体"/>
                <w:sz w:val="18"/>
                <w:szCs w:val="18"/>
              </w:rPr>
              <w:t>3</w:t>
            </w:r>
            <w:r>
              <w:rPr>
                <w:rFonts w:ascii="宋体" w:hAnsi="宋体"/>
                <w:sz w:val="18"/>
                <w:szCs w:val="18"/>
              </w:rPr>
              <w:t>.工作温度：－20℃～80℃</w:t>
            </w:r>
            <w:r>
              <w:rPr>
                <w:rFonts w:hint="eastAsia" w:ascii="宋体" w:hAnsi="宋体"/>
                <w:sz w:val="18"/>
                <w:szCs w:val="18"/>
              </w:rPr>
              <w:t>；</w:t>
            </w:r>
          </w:p>
          <w:p w14:paraId="0D525B6E">
            <w:pPr>
              <w:pStyle w:val="180"/>
              <w:rPr>
                <w:rFonts w:ascii="宋体" w:hAnsi="宋体"/>
                <w:sz w:val="18"/>
                <w:szCs w:val="18"/>
              </w:rPr>
            </w:pPr>
            <w:r>
              <w:rPr>
                <w:rFonts w:hint="eastAsia" w:ascii="宋体" w:hAnsi="宋体"/>
                <w:sz w:val="18"/>
                <w:szCs w:val="18"/>
              </w:rPr>
              <w:t>4</w:t>
            </w:r>
            <w:r>
              <w:rPr>
                <w:rFonts w:ascii="宋体" w:hAnsi="宋体"/>
                <w:sz w:val="18"/>
                <w:szCs w:val="18"/>
              </w:rPr>
              <w:t>.工作湿度：&lt;95%RH</w:t>
            </w:r>
            <w:r>
              <w:rPr>
                <w:rFonts w:hint="eastAsia" w:ascii="宋体" w:hAnsi="宋体"/>
                <w:sz w:val="18"/>
                <w:szCs w:val="18"/>
              </w:rPr>
              <w:t>；</w:t>
            </w:r>
          </w:p>
          <w:p w14:paraId="784252B0">
            <w:pPr>
              <w:pStyle w:val="180"/>
              <w:rPr>
                <w:rFonts w:ascii="宋体" w:hAnsi="宋体"/>
                <w:sz w:val="18"/>
                <w:szCs w:val="18"/>
              </w:rPr>
            </w:pPr>
            <w:r>
              <w:rPr>
                <w:rFonts w:hint="eastAsia" w:ascii="宋体" w:hAnsi="宋体"/>
                <w:sz w:val="18"/>
                <w:szCs w:val="18"/>
              </w:rPr>
              <w:t>5</w:t>
            </w:r>
            <w:r>
              <w:rPr>
                <w:rFonts w:ascii="宋体" w:hAnsi="宋体"/>
                <w:sz w:val="18"/>
                <w:szCs w:val="18"/>
              </w:rPr>
              <w:t>.环境适用：应具有防腐、防水等抗恶劣环境性能</w:t>
            </w:r>
            <w:r>
              <w:rPr>
                <w:rFonts w:hint="eastAsia" w:ascii="宋体" w:hAnsi="宋体"/>
                <w:sz w:val="18"/>
                <w:szCs w:val="18"/>
              </w:rPr>
              <w:t>；</w:t>
            </w:r>
          </w:p>
          <w:p w14:paraId="1CFE2880">
            <w:pPr>
              <w:pStyle w:val="180"/>
              <w:rPr>
                <w:rFonts w:ascii="宋体" w:hAnsi="宋体"/>
                <w:sz w:val="18"/>
                <w:szCs w:val="18"/>
              </w:rPr>
            </w:pPr>
            <w:r>
              <w:rPr>
                <w:rFonts w:hint="eastAsia" w:ascii="宋体" w:hAnsi="宋体"/>
                <w:sz w:val="18"/>
                <w:szCs w:val="18"/>
              </w:rPr>
              <w:t>6</w:t>
            </w:r>
            <w:r>
              <w:rPr>
                <w:rFonts w:ascii="宋体" w:hAnsi="宋体"/>
                <w:sz w:val="18"/>
                <w:szCs w:val="18"/>
              </w:rPr>
              <w:t>.采集和传输频率</w:t>
            </w:r>
            <w:r>
              <w:rPr>
                <w:rFonts w:hint="eastAsia" w:ascii="宋体" w:hAnsi="宋体"/>
                <w:sz w:val="18"/>
                <w:szCs w:val="18"/>
              </w:rPr>
              <w:t>：</w:t>
            </w:r>
            <w:r>
              <w:rPr>
                <w:rFonts w:ascii="宋体" w:hAnsi="宋体"/>
                <w:sz w:val="18"/>
                <w:szCs w:val="18"/>
              </w:rPr>
              <w:t>≤1次/h</w:t>
            </w:r>
            <w:r>
              <w:rPr>
                <w:rFonts w:hint="eastAsia" w:ascii="宋体" w:hAnsi="宋体"/>
                <w:sz w:val="18"/>
                <w:szCs w:val="18"/>
              </w:rPr>
              <w:t>；</w:t>
            </w:r>
          </w:p>
          <w:p w14:paraId="13454583">
            <w:pPr>
              <w:widowControl/>
              <w:spacing w:beforeLines="0" w:afterLines="0" w:line="240" w:lineRule="auto"/>
              <w:jc w:val="left"/>
              <w:rPr>
                <w:rFonts w:ascii="宋体" w:hAnsi="宋体" w:cs="宋体"/>
                <w:kern w:val="0"/>
                <w:sz w:val="18"/>
                <w:szCs w:val="18"/>
              </w:rPr>
            </w:pPr>
            <w:r>
              <w:rPr>
                <w:rFonts w:hint="eastAsia" w:ascii="宋体" w:hAnsi="宋体"/>
                <w:sz w:val="18"/>
                <w:szCs w:val="18"/>
              </w:rPr>
              <w:t>7</w:t>
            </w:r>
            <w:r>
              <w:rPr>
                <w:rFonts w:ascii="宋体" w:hAnsi="宋体"/>
                <w:sz w:val="18"/>
                <w:szCs w:val="18"/>
              </w:rPr>
              <w:t>.防护等级：不低于IP65</w:t>
            </w:r>
            <w:r>
              <w:rPr>
                <w:rFonts w:hint="eastAsia" w:ascii="宋体" w:hAnsi="宋体"/>
                <w:sz w:val="18"/>
                <w:szCs w:val="18"/>
              </w:rPr>
              <w:t>。</w:t>
            </w:r>
          </w:p>
        </w:tc>
      </w:tr>
      <w:tr w14:paraId="1B7EAB66">
        <w:tblPrEx>
          <w:tblCellMar>
            <w:top w:w="0" w:type="dxa"/>
            <w:left w:w="108" w:type="dxa"/>
            <w:bottom w:w="0" w:type="dxa"/>
            <w:right w:w="108" w:type="dxa"/>
          </w:tblCellMar>
        </w:tblPrEx>
        <w:trPr>
          <w:trHeight w:val="293" w:hRule="atLeast"/>
        </w:trPr>
        <w:tc>
          <w:tcPr>
            <w:tcW w:w="979" w:type="pct"/>
            <w:vMerge w:val="restart"/>
            <w:tcBorders>
              <w:top w:val="single" w:color="auto" w:sz="4" w:space="0"/>
              <w:left w:val="single" w:color="auto" w:sz="4" w:space="0"/>
              <w:bottom w:val="single" w:color="auto" w:sz="4" w:space="0"/>
              <w:right w:val="single" w:color="auto" w:sz="4" w:space="0"/>
            </w:tcBorders>
            <w:vAlign w:val="center"/>
          </w:tcPr>
          <w:p w14:paraId="760D9F47">
            <w:pPr>
              <w:widowControl/>
              <w:spacing w:beforeLines="0" w:afterLines="0" w:line="240" w:lineRule="auto"/>
              <w:jc w:val="center"/>
              <w:rPr>
                <w:rFonts w:ascii="宋体" w:hAnsi="宋体" w:cs="宋体"/>
                <w:kern w:val="0"/>
                <w:sz w:val="18"/>
                <w:szCs w:val="18"/>
              </w:rPr>
            </w:pPr>
            <w:r>
              <w:rPr>
                <w:rFonts w:hint="eastAsia"/>
                <w:sz w:val="18"/>
                <w:szCs w:val="18"/>
              </w:rPr>
              <w:t>结构局部响应</w:t>
            </w:r>
          </w:p>
        </w:tc>
        <w:tc>
          <w:tcPr>
            <w:tcW w:w="1052" w:type="pct"/>
            <w:tcBorders>
              <w:top w:val="single" w:color="auto" w:sz="4" w:space="0"/>
              <w:left w:val="nil"/>
              <w:bottom w:val="single" w:color="auto" w:sz="4" w:space="0"/>
              <w:right w:val="single" w:color="auto" w:sz="4" w:space="0"/>
            </w:tcBorders>
            <w:vAlign w:val="center"/>
          </w:tcPr>
          <w:p w14:paraId="79C505EF">
            <w:pPr>
              <w:widowControl/>
              <w:spacing w:beforeLines="0" w:afterLines="0" w:line="240" w:lineRule="auto"/>
              <w:jc w:val="center"/>
              <w:rPr>
                <w:rFonts w:ascii="宋体" w:hAnsi="宋体" w:cs="宋体"/>
                <w:kern w:val="0"/>
                <w:sz w:val="18"/>
                <w:szCs w:val="18"/>
              </w:rPr>
            </w:pPr>
            <w:r>
              <w:rPr>
                <w:rFonts w:hint="eastAsia"/>
                <w:sz w:val="18"/>
                <w:szCs w:val="18"/>
              </w:rPr>
              <w:t>结构应力</w:t>
            </w:r>
          </w:p>
        </w:tc>
        <w:tc>
          <w:tcPr>
            <w:tcW w:w="2968" w:type="pct"/>
            <w:tcBorders>
              <w:top w:val="single" w:color="auto" w:sz="4" w:space="0"/>
              <w:left w:val="nil"/>
              <w:bottom w:val="single" w:color="auto" w:sz="4" w:space="0"/>
              <w:right w:val="single" w:color="auto" w:sz="4" w:space="0"/>
            </w:tcBorders>
            <w:vAlign w:val="center"/>
          </w:tcPr>
          <w:p w14:paraId="63F75463">
            <w:pPr>
              <w:pStyle w:val="180"/>
              <w:rPr>
                <w:rFonts w:ascii="宋体" w:hAnsi="宋体"/>
                <w:sz w:val="18"/>
                <w:szCs w:val="18"/>
              </w:rPr>
            </w:pPr>
            <w:r>
              <w:rPr>
                <w:rFonts w:hint="eastAsia" w:ascii="宋体" w:hAnsi="宋体"/>
                <w:sz w:val="18"/>
                <w:szCs w:val="18"/>
              </w:rPr>
              <w:t>1</w:t>
            </w:r>
            <w:r>
              <w:rPr>
                <w:rFonts w:ascii="宋体" w:hAnsi="宋体"/>
                <w:sz w:val="18"/>
                <w:szCs w:val="18"/>
              </w:rPr>
              <w:t>.测量范围：</w:t>
            </w:r>
            <w:r>
              <w:rPr>
                <w:rFonts w:hint="eastAsia" w:ascii="宋体" w:hAnsi="宋体"/>
                <w:sz w:val="18"/>
                <w:szCs w:val="18"/>
              </w:rPr>
              <w:t>±</w:t>
            </w:r>
            <w:r>
              <w:rPr>
                <w:rFonts w:ascii="宋体" w:hAnsi="宋体"/>
                <w:sz w:val="18"/>
                <w:szCs w:val="18"/>
              </w:rPr>
              <w:t>1500με</w:t>
            </w:r>
            <w:r>
              <w:rPr>
                <w:rFonts w:hint="eastAsia" w:ascii="宋体" w:hAnsi="宋体"/>
                <w:sz w:val="18"/>
                <w:szCs w:val="18"/>
              </w:rPr>
              <w:t>；</w:t>
            </w:r>
          </w:p>
          <w:p w14:paraId="61C891BC">
            <w:pPr>
              <w:pStyle w:val="180"/>
              <w:rPr>
                <w:rFonts w:ascii="宋体" w:hAnsi="宋体"/>
                <w:sz w:val="18"/>
                <w:szCs w:val="18"/>
              </w:rPr>
            </w:pPr>
            <w:r>
              <w:rPr>
                <w:rFonts w:hint="eastAsia" w:ascii="宋体" w:hAnsi="宋体"/>
                <w:sz w:val="18"/>
                <w:szCs w:val="18"/>
              </w:rPr>
              <w:t>2</w:t>
            </w:r>
            <w:r>
              <w:rPr>
                <w:rFonts w:ascii="宋体" w:hAnsi="宋体"/>
                <w:sz w:val="18"/>
                <w:szCs w:val="18"/>
              </w:rPr>
              <w:t>.精度：1με</w:t>
            </w:r>
            <w:r>
              <w:rPr>
                <w:rFonts w:hint="eastAsia" w:ascii="宋体" w:hAnsi="宋体"/>
                <w:sz w:val="18"/>
                <w:szCs w:val="18"/>
              </w:rPr>
              <w:t>；</w:t>
            </w:r>
          </w:p>
          <w:p w14:paraId="7EC91E5B">
            <w:pPr>
              <w:pStyle w:val="180"/>
              <w:rPr>
                <w:rFonts w:ascii="宋体" w:hAnsi="宋体"/>
                <w:sz w:val="18"/>
                <w:szCs w:val="18"/>
              </w:rPr>
            </w:pPr>
            <w:r>
              <w:rPr>
                <w:rFonts w:hint="eastAsia" w:ascii="宋体" w:hAnsi="宋体"/>
                <w:sz w:val="18"/>
                <w:szCs w:val="18"/>
              </w:rPr>
              <w:t>3</w:t>
            </w:r>
            <w:r>
              <w:rPr>
                <w:rFonts w:ascii="宋体" w:hAnsi="宋体"/>
                <w:sz w:val="18"/>
                <w:szCs w:val="18"/>
              </w:rPr>
              <w:t>.工作温度：－20℃～80℃</w:t>
            </w:r>
            <w:r>
              <w:rPr>
                <w:rFonts w:hint="eastAsia" w:ascii="宋体" w:hAnsi="宋体"/>
                <w:sz w:val="18"/>
                <w:szCs w:val="18"/>
              </w:rPr>
              <w:t>；</w:t>
            </w:r>
          </w:p>
          <w:p w14:paraId="3487A96E">
            <w:pPr>
              <w:pStyle w:val="180"/>
              <w:rPr>
                <w:rFonts w:ascii="宋体" w:hAnsi="宋体"/>
                <w:sz w:val="18"/>
                <w:szCs w:val="18"/>
              </w:rPr>
            </w:pPr>
            <w:r>
              <w:rPr>
                <w:rFonts w:hint="eastAsia" w:ascii="宋体" w:hAnsi="宋体"/>
                <w:sz w:val="18"/>
                <w:szCs w:val="18"/>
              </w:rPr>
              <w:t>4</w:t>
            </w:r>
            <w:r>
              <w:rPr>
                <w:rFonts w:ascii="宋体" w:hAnsi="宋体"/>
                <w:sz w:val="18"/>
                <w:szCs w:val="18"/>
              </w:rPr>
              <w:t>.工作湿度：&lt;95%RH</w:t>
            </w:r>
            <w:r>
              <w:rPr>
                <w:rFonts w:hint="eastAsia" w:ascii="宋体" w:hAnsi="宋体"/>
                <w:sz w:val="18"/>
                <w:szCs w:val="18"/>
              </w:rPr>
              <w:t>；</w:t>
            </w:r>
          </w:p>
          <w:p w14:paraId="7AF84C95">
            <w:pPr>
              <w:pStyle w:val="180"/>
              <w:rPr>
                <w:rFonts w:ascii="宋体" w:hAnsi="宋体"/>
                <w:sz w:val="18"/>
                <w:szCs w:val="18"/>
              </w:rPr>
            </w:pPr>
            <w:r>
              <w:rPr>
                <w:rFonts w:hint="eastAsia" w:ascii="宋体" w:hAnsi="宋体"/>
                <w:sz w:val="18"/>
                <w:szCs w:val="18"/>
              </w:rPr>
              <w:t>5</w:t>
            </w:r>
            <w:r>
              <w:rPr>
                <w:rFonts w:ascii="宋体" w:hAnsi="宋体"/>
                <w:sz w:val="18"/>
                <w:szCs w:val="18"/>
              </w:rPr>
              <w:t>.环境适用：应具有防腐、防水等抗恶劣环境性能</w:t>
            </w:r>
            <w:r>
              <w:rPr>
                <w:rFonts w:hint="eastAsia" w:ascii="宋体" w:hAnsi="宋体"/>
                <w:sz w:val="18"/>
                <w:szCs w:val="18"/>
              </w:rPr>
              <w:t>；</w:t>
            </w:r>
          </w:p>
          <w:p w14:paraId="11DBC3F3">
            <w:pPr>
              <w:pStyle w:val="180"/>
              <w:rPr>
                <w:rFonts w:ascii="宋体" w:hAnsi="宋体"/>
                <w:sz w:val="18"/>
                <w:szCs w:val="18"/>
              </w:rPr>
            </w:pPr>
            <w:r>
              <w:rPr>
                <w:rFonts w:hint="eastAsia" w:ascii="宋体" w:hAnsi="宋体"/>
                <w:sz w:val="18"/>
                <w:szCs w:val="18"/>
              </w:rPr>
              <w:t>6</w:t>
            </w:r>
            <w:r>
              <w:rPr>
                <w:rFonts w:ascii="宋体" w:hAnsi="宋体"/>
                <w:sz w:val="18"/>
                <w:szCs w:val="18"/>
              </w:rPr>
              <w:t>.采集和传输频率</w:t>
            </w:r>
            <w:r>
              <w:rPr>
                <w:rFonts w:hint="eastAsia" w:ascii="宋体" w:hAnsi="宋体"/>
                <w:sz w:val="18"/>
                <w:szCs w:val="18"/>
              </w:rPr>
              <w:t>：</w:t>
            </w:r>
            <w:r>
              <w:rPr>
                <w:rFonts w:ascii="宋体" w:hAnsi="宋体"/>
                <w:sz w:val="18"/>
                <w:szCs w:val="18"/>
              </w:rPr>
              <w:t>≤1次/h</w:t>
            </w:r>
            <w:r>
              <w:rPr>
                <w:rFonts w:hint="eastAsia" w:ascii="宋体" w:hAnsi="宋体"/>
                <w:sz w:val="18"/>
                <w:szCs w:val="18"/>
              </w:rPr>
              <w:t>；</w:t>
            </w:r>
          </w:p>
          <w:p w14:paraId="5EB7B580">
            <w:pPr>
              <w:widowControl/>
              <w:spacing w:beforeLines="0" w:afterLines="0" w:line="240" w:lineRule="auto"/>
              <w:jc w:val="left"/>
              <w:rPr>
                <w:rFonts w:ascii="宋体" w:hAnsi="宋体" w:cs="宋体"/>
                <w:kern w:val="0"/>
                <w:sz w:val="18"/>
                <w:szCs w:val="18"/>
              </w:rPr>
            </w:pPr>
            <w:r>
              <w:rPr>
                <w:rFonts w:hint="eastAsia" w:ascii="宋体" w:hAnsi="宋体"/>
                <w:sz w:val="18"/>
                <w:szCs w:val="18"/>
              </w:rPr>
              <w:t>7</w:t>
            </w:r>
            <w:r>
              <w:rPr>
                <w:rFonts w:ascii="宋体" w:hAnsi="宋体"/>
                <w:sz w:val="18"/>
                <w:szCs w:val="18"/>
              </w:rPr>
              <w:t>.防护等级：不低于IP65</w:t>
            </w:r>
            <w:r>
              <w:rPr>
                <w:rFonts w:hint="eastAsia" w:ascii="宋体" w:hAnsi="宋体"/>
                <w:sz w:val="18"/>
                <w:szCs w:val="18"/>
              </w:rPr>
              <w:t>。</w:t>
            </w:r>
            <w:r>
              <mc:AlternateContent>
                <mc:Choice Requires="wps">
                  <w:drawing>
                    <wp:anchor distT="0" distB="0" distL="114300" distR="114300" simplePos="0" relativeHeight="251684864" behindDoc="0" locked="0" layoutInCell="1" allowOverlap="1">
                      <wp:simplePos x="0" y="0"/>
                      <wp:positionH relativeFrom="column">
                        <wp:posOffset>1384300</wp:posOffset>
                      </wp:positionH>
                      <wp:positionV relativeFrom="paragraph">
                        <wp:posOffset>-499110</wp:posOffset>
                      </wp:positionV>
                      <wp:extent cx="498475" cy="274955"/>
                      <wp:effectExtent l="0" t="0" r="15875" b="10795"/>
                      <wp:wrapNone/>
                      <wp:docPr id="46" name="文本框 46"/>
                      <wp:cNvGraphicFramePr/>
                      <a:graphic xmlns:a="http://schemas.openxmlformats.org/drawingml/2006/main">
                        <a:graphicData uri="http://schemas.microsoft.com/office/word/2010/wordprocessingShape">
                          <wps:wsp>
                            <wps:cNvSpPr txBox="1"/>
                            <wps:spPr>
                              <a:xfrm>
                                <a:off x="0" y="0"/>
                                <a:ext cx="498475" cy="274955"/>
                              </a:xfrm>
                              <a:prstGeom prst="rect">
                                <a:avLst/>
                              </a:prstGeom>
                              <a:solidFill>
                                <a:srgbClr val="FFFFFF"/>
                              </a:solidFill>
                              <a:ln>
                                <a:noFill/>
                              </a:ln>
                            </wps:spPr>
                            <wps:txbx>
                              <w:txbxContent>
                                <w:p w14:paraId="6015932B">
                                  <w:pPr>
                                    <w:rPr>
                                      <w:rFonts w:hint="eastAsia" w:ascii="黑体" w:hAnsi="黑体" w:eastAsia="黑体" w:cs="黑体"/>
                                    </w:rPr>
                                  </w:pPr>
                                  <w:r>
                                    <w:rPr>
                                      <w:rFonts w:hint="eastAsia" w:ascii="黑体" w:hAnsi="黑体" w:eastAsia="黑体" w:cs="黑体"/>
                                    </w:rPr>
                                    <w:t>（续）</w:t>
                                  </w:r>
                                </w:p>
                              </w:txbxContent>
                            </wps:txbx>
                            <wps:bodyPr lIns="0" tIns="0" rIns="0" bIns="0" anchor="t" anchorCtr="0" upright="1"/>
                          </wps:wsp>
                        </a:graphicData>
                      </a:graphic>
                    </wp:anchor>
                  </w:drawing>
                </mc:Choice>
                <mc:Fallback>
                  <w:pict>
                    <v:shape id="_x0000_s1026" o:spid="_x0000_s1026" o:spt="202" type="#_x0000_t202" style="position:absolute;left:0pt;margin-left:109pt;margin-top:-39.3pt;height:21.65pt;width:39.25pt;z-index:251684864;mso-width-relative:page;mso-height-relative:page;" fillcolor="#FFFFFF" filled="t" stroked="f" coordsize="21600,21600" o:gfxdata="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fIrUs2wAAAAsBAAAP&#10;AAAAAAAAAAEAIAAAACIAAABkcnMvZG93bnJldi54bWxQSwECFAAUAAAACACHTuJAZLIwwNwBAAC1&#10;AwAADgAAAAAAAAABACAAAAAqAQAAZHJzL2Uyb0RvYy54bWxQSwUGAAAAAAYABgBZAQAAeAUAAAAA&#10;">
                      <v:fill on="t" focussize="0,0"/>
                      <v:stroke on="f"/>
                      <v:imagedata o:title=""/>
                      <o:lock v:ext="edit" aspectratio="f"/>
                      <v:textbox inset="0mm,0mm,0mm,0mm">
                        <w:txbxContent>
                          <w:p w14:paraId="6015932B">
                            <w:pPr>
                              <w:rPr>
                                <w:rFonts w:hint="eastAsia" w:ascii="黑体" w:hAnsi="黑体" w:eastAsia="黑体" w:cs="黑体"/>
                              </w:rPr>
                            </w:pPr>
                            <w:r>
                              <w:rPr>
                                <w:rFonts w:hint="eastAsia" w:ascii="黑体" w:hAnsi="黑体" w:eastAsia="黑体" w:cs="黑体"/>
                              </w:rPr>
                              <w:t>（续）</w:t>
                            </w:r>
                          </w:p>
                        </w:txbxContent>
                      </v:textbox>
                    </v:shape>
                  </w:pict>
                </mc:Fallback>
              </mc:AlternateContent>
            </w:r>
          </w:p>
        </w:tc>
      </w:tr>
      <w:tr w14:paraId="4687D599">
        <w:tblPrEx>
          <w:tblCellMar>
            <w:top w:w="0" w:type="dxa"/>
            <w:left w:w="108" w:type="dxa"/>
            <w:bottom w:w="0" w:type="dxa"/>
            <w:right w:w="108" w:type="dxa"/>
          </w:tblCellMar>
        </w:tblPrEx>
        <w:trPr>
          <w:trHeight w:val="637" w:hRule="atLeast"/>
        </w:trPr>
        <w:tc>
          <w:tcPr>
            <w:tcW w:w="979" w:type="pct"/>
            <w:vMerge w:val="continue"/>
            <w:tcBorders>
              <w:top w:val="single" w:color="auto" w:sz="4" w:space="0"/>
              <w:left w:val="single" w:color="auto" w:sz="4" w:space="0"/>
              <w:bottom w:val="single" w:color="auto" w:sz="4" w:space="0"/>
              <w:right w:val="single" w:color="auto" w:sz="4" w:space="0"/>
            </w:tcBorders>
            <w:vAlign w:val="center"/>
          </w:tcPr>
          <w:p w14:paraId="0E2F8128">
            <w:pPr>
              <w:widowControl/>
              <w:spacing w:beforeLines="0" w:afterLines="0" w:line="240" w:lineRule="auto"/>
              <w:jc w:val="left"/>
              <w:rPr>
                <w:rFonts w:ascii="宋体" w:hAnsi="宋体" w:cs="宋体"/>
                <w:kern w:val="0"/>
                <w:sz w:val="18"/>
                <w:szCs w:val="18"/>
              </w:rPr>
            </w:pPr>
          </w:p>
        </w:tc>
        <w:tc>
          <w:tcPr>
            <w:tcW w:w="1052" w:type="pct"/>
            <w:tcBorders>
              <w:top w:val="single" w:color="auto" w:sz="4" w:space="0"/>
              <w:left w:val="nil"/>
              <w:bottom w:val="single" w:color="auto" w:sz="4" w:space="0"/>
              <w:right w:val="single" w:color="auto" w:sz="4" w:space="0"/>
            </w:tcBorders>
            <w:vAlign w:val="center"/>
          </w:tcPr>
          <w:p w14:paraId="615F81AE">
            <w:pPr>
              <w:widowControl/>
              <w:spacing w:beforeLines="0" w:afterLines="0" w:line="240" w:lineRule="auto"/>
              <w:jc w:val="center"/>
              <w:rPr>
                <w:rFonts w:ascii="宋体" w:hAnsi="宋体" w:cs="宋体"/>
                <w:kern w:val="0"/>
                <w:sz w:val="18"/>
                <w:szCs w:val="18"/>
              </w:rPr>
            </w:pPr>
            <w:r>
              <w:rPr>
                <w:rFonts w:hint="eastAsia"/>
                <w:sz w:val="18"/>
                <w:szCs w:val="18"/>
              </w:rPr>
              <w:t>结构裂缝</w:t>
            </w:r>
          </w:p>
        </w:tc>
        <w:tc>
          <w:tcPr>
            <w:tcW w:w="2968" w:type="pct"/>
            <w:tcBorders>
              <w:top w:val="single" w:color="auto" w:sz="4" w:space="0"/>
              <w:left w:val="nil"/>
              <w:bottom w:val="single" w:color="auto" w:sz="4" w:space="0"/>
              <w:right w:val="single" w:color="auto" w:sz="4" w:space="0"/>
            </w:tcBorders>
            <w:vAlign w:val="center"/>
          </w:tcPr>
          <w:p w14:paraId="21D201AF">
            <w:pPr>
              <w:pStyle w:val="180"/>
              <w:rPr>
                <w:rFonts w:ascii="宋体" w:hAnsi="宋体"/>
                <w:sz w:val="18"/>
                <w:szCs w:val="18"/>
              </w:rPr>
            </w:pPr>
            <w:r>
              <mc:AlternateContent>
                <mc:Choice Requires="wps">
                  <w:drawing>
                    <wp:anchor distT="0" distB="0" distL="114300" distR="114300" simplePos="0" relativeHeight="251685888" behindDoc="0" locked="0" layoutInCell="1" allowOverlap="1">
                      <wp:simplePos x="0" y="0"/>
                      <wp:positionH relativeFrom="column">
                        <wp:posOffset>1403350</wp:posOffset>
                      </wp:positionH>
                      <wp:positionV relativeFrom="paragraph">
                        <wp:posOffset>-495935</wp:posOffset>
                      </wp:positionV>
                      <wp:extent cx="498475" cy="274955"/>
                      <wp:effectExtent l="0" t="0" r="15875" b="10795"/>
                      <wp:wrapNone/>
                      <wp:docPr id="48" name="文本框 48"/>
                      <wp:cNvGraphicFramePr/>
                      <a:graphic xmlns:a="http://schemas.openxmlformats.org/drawingml/2006/main">
                        <a:graphicData uri="http://schemas.microsoft.com/office/word/2010/wordprocessingShape">
                          <wps:wsp>
                            <wps:cNvSpPr txBox="1"/>
                            <wps:spPr>
                              <a:xfrm>
                                <a:off x="0" y="0"/>
                                <a:ext cx="498475" cy="274955"/>
                              </a:xfrm>
                              <a:prstGeom prst="rect">
                                <a:avLst/>
                              </a:prstGeom>
                              <a:solidFill>
                                <a:srgbClr val="FFFFFF"/>
                              </a:solidFill>
                              <a:ln>
                                <a:noFill/>
                              </a:ln>
                            </wps:spPr>
                            <wps:txbx>
                              <w:txbxContent>
                                <w:p w14:paraId="2DF22AEB">
                                  <w:pPr>
                                    <w:rPr>
                                      <w:rFonts w:hint="eastAsia" w:ascii="黑体" w:hAnsi="黑体" w:eastAsia="黑体" w:cs="黑体"/>
                                    </w:rPr>
                                  </w:pPr>
                                  <w:r>
                                    <w:rPr>
                                      <w:rFonts w:hint="eastAsia" w:ascii="黑体" w:hAnsi="黑体" w:eastAsia="黑体" w:cs="黑体"/>
                                    </w:rPr>
                                    <w:t>（续）</w:t>
                                  </w:r>
                                </w:p>
                              </w:txbxContent>
                            </wps:txbx>
                            <wps:bodyPr lIns="0" tIns="0" rIns="0" bIns="0" anchor="t" anchorCtr="0" upright="1"/>
                          </wps:wsp>
                        </a:graphicData>
                      </a:graphic>
                    </wp:anchor>
                  </w:drawing>
                </mc:Choice>
                <mc:Fallback>
                  <w:pict>
                    <v:shape id="_x0000_s1026" o:spid="_x0000_s1026" o:spt="202" type="#_x0000_t202" style="position:absolute;left:0pt;margin-left:110.5pt;margin-top:-39.05pt;height:21.65pt;width:39.25pt;z-index:251685888;mso-width-relative:page;mso-height-relative:page;" fillcolor="#FFFFFF" filled="t" stroked="f" coordsize="21600,21600" o:gfxdata="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eTixZ2wAAAAsBAAAP&#10;AAAAAAAAAAEAIAAAACIAAABkcnMvZG93bnJldi54bWxQSwECFAAUAAAACACHTuJA05tWvNwBAAC1&#10;AwAADgAAAAAAAAABACAAAAAqAQAAZHJzL2Uyb0RvYy54bWxQSwUGAAAAAAYABgBZAQAAeAUAAAAA&#10;">
                      <v:fill on="t" focussize="0,0"/>
                      <v:stroke on="f"/>
                      <v:imagedata o:title=""/>
                      <o:lock v:ext="edit" aspectratio="f"/>
                      <v:textbox inset="0mm,0mm,0mm,0mm">
                        <w:txbxContent>
                          <w:p w14:paraId="2DF22AEB">
                            <w:pPr>
                              <w:rPr>
                                <w:rFonts w:hint="eastAsia" w:ascii="黑体" w:hAnsi="黑体" w:eastAsia="黑体" w:cs="黑体"/>
                              </w:rPr>
                            </w:pPr>
                            <w:r>
                              <w:rPr>
                                <w:rFonts w:hint="eastAsia" w:ascii="黑体" w:hAnsi="黑体" w:eastAsia="黑体" w:cs="黑体"/>
                              </w:rPr>
                              <w:t>（续）</w:t>
                            </w:r>
                          </w:p>
                        </w:txbxContent>
                      </v:textbox>
                    </v:shape>
                  </w:pict>
                </mc:Fallback>
              </mc:AlternateContent>
            </w:r>
            <w:r>
              <w:rPr>
                <w:rFonts w:hint="eastAsia" w:ascii="宋体" w:hAnsi="宋体"/>
                <w:sz w:val="18"/>
                <w:szCs w:val="18"/>
              </w:rPr>
              <w:t>1</w:t>
            </w:r>
            <w:r>
              <w:rPr>
                <w:rFonts w:ascii="宋体" w:hAnsi="宋体"/>
                <w:sz w:val="18"/>
                <w:szCs w:val="18"/>
              </w:rPr>
              <w:t>.测量范围：0～200mm</w:t>
            </w:r>
            <w:r>
              <w:rPr>
                <w:rFonts w:hint="eastAsia" w:ascii="宋体" w:hAnsi="宋体"/>
                <w:sz w:val="18"/>
                <w:szCs w:val="18"/>
              </w:rPr>
              <w:t>；</w:t>
            </w:r>
          </w:p>
          <w:p w14:paraId="43B6B5E9">
            <w:pPr>
              <w:pStyle w:val="180"/>
              <w:rPr>
                <w:rFonts w:ascii="宋体" w:hAnsi="宋体"/>
                <w:sz w:val="18"/>
                <w:szCs w:val="18"/>
              </w:rPr>
            </w:pPr>
            <w:r>
              <w:rPr>
                <w:rFonts w:hint="eastAsia" w:ascii="宋体" w:hAnsi="宋体"/>
                <w:sz w:val="18"/>
                <w:szCs w:val="18"/>
              </w:rPr>
              <w:t>2</w:t>
            </w:r>
            <w:r>
              <w:rPr>
                <w:rFonts w:ascii="宋体" w:hAnsi="宋体"/>
                <w:sz w:val="18"/>
                <w:szCs w:val="18"/>
              </w:rPr>
              <w:t>.精度：0.01mm</w:t>
            </w:r>
            <w:r>
              <w:rPr>
                <w:rFonts w:hint="eastAsia" w:ascii="宋体" w:hAnsi="宋体"/>
                <w:sz w:val="18"/>
                <w:szCs w:val="18"/>
              </w:rPr>
              <w:t>；</w:t>
            </w:r>
          </w:p>
          <w:p w14:paraId="0D72DEEA">
            <w:pPr>
              <w:pStyle w:val="180"/>
              <w:rPr>
                <w:rFonts w:ascii="宋体" w:hAnsi="宋体"/>
                <w:sz w:val="18"/>
                <w:szCs w:val="18"/>
              </w:rPr>
            </w:pPr>
            <w:r>
              <w:rPr>
                <w:rFonts w:hint="eastAsia" w:ascii="宋体" w:hAnsi="宋体"/>
                <w:sz w:val="18"/>
                <w:szCs w:val="18"/>
              </w:rPr>
              <w:t>3</w:t>
            </w:r>
            <w:r>
              <w:rPr>
                <w:rFonts w:ascii="宋体" w:hAnsi="宋体"/>
                <w:sz w:val="18"/>
                <w:szCs w:val="18"/>
              </w:rPr>
              <w:t>.工作温度：－20℃～80℃</w:t>
            </w:r>
            <w:r>
              <w:rPr>
                <w:rFonts w:hint="eastAsia" w:ascii="宋体" w:hAnsi="宋体"/>
                <w:sz w:val="18"/>
                <w:szCs w:val="18"/>
              </w:rPr>
              <w:t>；</w:t>
            </w:r>
          </w:p>
          <w:p w14:paraId="4D974B50">
            <w:pPr>
              <w:pStyle w:val="180"/>
              <w:rPr>
                <w:rFonts w:ascii="宋体" w:hAnsi="宋体"/>
                <w:sz w:val="18"/>
                <w:szCs w:val="18"/>
              </w:rPr>
            </w:pPr>
            <w:r>
              <w:rPr>
                <w:rFonts w:hint="eastAsia" w:ascii="宋体" w:hAnsi="宋体"/>
                <w:sz w:val="18"/>
                <w:szCs w:val="18"/>
              </w:rPr>
              <w:t>4</w:t>
            </w:r>
            <w:r>
              <w:rPr>
                <w:rFonts w:ascii="宋体" w:hAnsi="宋体"/>
                <w:sz w:val="18"/>
                <w:szCs w:val="18"/>
              </w:rPr>
              <w:t>.工作湿度：&lt;95%RH</w:t>
            </w:r>
            <w:r>
              <w:rPr>
                <w:rFonts w:hint="eastAsia" w:ascii="宋体" w:hAnsi="宋体"/>
                <w:sz w:val="18"/>
                <w:szCs w:val="18"/>
              </w:rPr>
              <w:t>；</w:t>
            </w:r>
          </w:p>
          <w:p w14:paraId="78F2D75A">
            <w:pPr>
              <w:pStyle w:val="180"/>
              <w:rPr>
                <w:rFonts w:ascii="宋体" w:hAnsi="宋体"/>
                <w:sz w:val="18"/>
                <w:szCs w:val="18"/>
              </w:rPr>
            </w:pPr>
            <w:r>
              <w:rPr>
                <w:rFonts w:hint="eastAsia" w:ascii="宋体" w:hAnsi="宋体"/>
                <w:sz w:val="18"/>
                <w:szCs w:val="18"/>
              </w:rPr>
              <w:t>5</w:t>
            </w:r>
            <w:r>
              <w:rPr>
                <w:rFonts w:ascii="宋体" w:hAnsi="宋体"/>
                <w:sz w:val="18"/>
                <w:szCs w:val="18"/>
              </w:rPr>
              <w:t>.环境适用：应具有防腐、防水等抗恶劣环境性能</w:t>
            </w:r>
            <w:r>
              <w:rPr>
                <w:rFonts w:hint="eastAsia" w:ascii="宋体" w:hAnsi="宋体"/>
                <w:sz w:val="18"/>
                <w:szCs w:val="18"/>
              </w:rPr>
              <w:t>；</w:t>
            </w:r>
          </w:p>
          <w:p w14:paraId="5FD18ECF">
            <w:pPr>
              <w:pStyle w:val="180"/>
              <w:rPr>
                <w:rFonts w:ascii="宋体" w:hAnsi="宋体"/>
                <w:sz w:val="18"/>
                <w:szCs w:val="18"/>
              </w:rPr>
            </w:pPr>
            <w:r>
              <w:rPr>
                <w:rFonts w:hint="eastAsia" w:ascii="宋体" w:hAnsi="宋体"/>
                <w:sz w:val="18"/>
                <w:szCs w:val="18"/>
              </w:rPr>
              <w:t>6</w:t>
            </w:r>
            <w:r>
              <w:rPr>
                <w:rFonts w:ascii="宋体" w:hAnsi="宋体"/>
                <w:sz w:val="18"/>
                <w:szCs w:val="18"/>
              </w:rPr>
              <w:t>.采集和传输频率</w:t>
            </w:r>
            <w:r>
              <w:rPr>
                <w:rFonts w:hint="eastAsia" w:ascii="宋体" w:hAnsi="宋体"/>
                <w:sz w:val="18"/>
                <w:szCs w:val="18"/>
              </w:rPr>
              <w:t>：</w:t>
            </w:r>
            <w:r>
              <w:rPr>
                <w:rFonts w:ascii="宋体" w:hAnsi="宋体"/>
                <w:sz w:val="18"/>
                <w:szCs w:val="18"/>
              </w:rPr>
              <w:t>≤1次/h</w:t>
            </w:r>
            <w:r>
              <w:rPr>
                <w:rFonts w:hint="eastAsia" w:ascii="宋体" w:hAnsi="宋体"/>
                <w:sz w:val="18"/>
                <w:szCs w:val="18"/>
              </w:rPr>
              <w:t>；</w:t>
            </w:r>
          </w:p>
          <w:p w14:paraId="39BE9F1D">
            <w:pPr>
              <w:widowControl/>
              <w:spacing w:beforeLines="0" w:afterLines="0" w:line="240" w:lineRule="auto"/>
              <w:jc w:val="left"/>
              <w:rPr>
                <w:rFonts w:ascii="宋体" w:hAnsi="宋体" w:cs="宋体"/>
                <w:kern w:val="0"/>
                <w:sz w:val="18"/>
                <w:szCs w:val="18"/>
              </w:rPr>
            </w:pPr>
            <w:r>
              <w:rPr>
                <w:rFonts w:hint="eastAsia" w:ascii="宋体" w:hAnsi="宋体"/>
                <w:sz w:val="18"/>
                <w:szCs w:val="18"/>
              </w:rPr>
              <w:t>7</w:t>
            </w:r>
            <w:r>
              <w:rPr>
                <w:rFonts w:ascii="宋体" w:hAnsi="宋体"/>
                <w:sz w:val="18"/>
                <w:szCs w:val="18"/>
              </w:rPr>
              <w:t>.防护等级：不低于IP65</w:t>
            </w:r>
            <w:r>
              <w:rPr>
                <w:rFonts w:hint="eastAsia" w:ascii="宋体" w:hAnsi="宋体"/>
                <w:sz w:val="18"/>
                <w:szCs w:val="18"/>
              </w:rPr>
              <w:t>。</w:t>
            </w:r>
          </w:p>
        </w:tc>
      </w:tr>
      <w:tr w14:paraId="4316BB88">
        <w:tblPrEx>
          <w:tblCellMar>
            <w:top w:w="0" w:type="dxa"/>
            <w:left w:w="108" w:type="dxa"/>
            <w:bottom w:w="0" w:type="dxa"/>
            <w:right w:w="108" w:type="dxa"/>
          </w:tblCellMar>
        </w:tblPrEx>
        <w:trPr>
          <w:trHeight w:val="509" w:hRule="atLeast"/>
        </w:trPr>
        <w:tc>
          <w:tcPr>
            <w:tcW w:w="5000" w:type="pct"/>
            <w:gridSpan w:val="3"/>
            <w:tcBorders>
              <w:top w:val="single" w:color="auto" w:sz="4" w:space="0"/>
              <w:left w:val="single" w:color="auto" w:sz="4" w:space="0"/>
              <w:bottom w:val="single" w:color="auto" w:sz="4" w:space="0"/>
              <w:right w:val="single" w:color="auto" w:sz="4" w:space="0"/>
            </w:tcBorders>
            <w:vAlign w:val="center"/>
          </w:tcPr>
          <w:p w14:paraId="2D50FBE3">
            <w:pPr>
              <w:pStyle w:val="180"/>
              <w:rPr>
                <w:rFonts w:ascii="宋体" w:hAnsi="宋体"/>
                <w:sz w:val="18"/>
                <w:szCs w:val="18"/>
              </w:rPr>
            </w:pPr>
            <w:r>
              <w:rPr>
                <w:rFonts w:ascii="宋体" w:hAnsi="宋体"/>
                <w:sz w:val="18"/>
                <w:szCs w:val="18"/>
              </w:rPr>
              <w:t>注：预埋在结构内部的传感器的使用寿命应不低于20年；附着安装在结构上的非埋入式传感器的使用寿命应不低于5年。</w:t>
            </w:r>
          </w:p>
        </w:tc>
      </w:tr>
    </w:tbl>
    <w:p w14:paraId="4B7A5A87">
      <w:pPr>
        <w:pStyle w:val="98"/>
        <w:spacing w:before="31" w:after="31"/>
        <w:rPr>
          <w:bCs/>
          <w:color w:val="auto"/>
        </w:rPr>
      </w:pPr>
    </w:p>
    <w:p w14:paraId="53CBE912">
      <w:pPr>
        <w:pStyle w:val="98"/>
        <w:spacing w:before="31" w:after="31"/>
        <w:rPr>
          <w:bCs/>
          <w:color w:val="auto"/>
        </w:rPr>
      </w:pPr>
    </w:p>
    <w:p w14:paraId="4237F967">
      <w:pPr>
        <w:rPr>
          <w:bCs/>
          <w:color w:val="auto"/>
        </w:rPr>
      </w:pPr>
      <w:r>
        <w:rPr>
          <w:bCs/>
          <w:color w:val="auto"/>
        </w:rPr>
        <w:br w:type="page"/>
      </w:r>
    </w:p>
    <w:p w14:paraId="46D1415A">
      <w:pPr>
        <w:pStyle w:val="2"/>
        <w:pageBreakBefore/>
        <w:tabs>
          <w:tab w:val="left" w:pos="454"/>
        </w:tabs>
        <w:spacing w:before="31" w:after="31"/>
        <w:jc w:val="center"/>
        <w:rPr>
          <w:rFonts w:hint="eastAsia" w:ascii="黑体" w:hAnsi="黑体" w:eastAsia="黑体" w:cs="黑体"/>
          <w:b w:val="0"/>
          <w:bCs w:val="0"/>
          <w:sz w:val="21"/>
          <w:szCs w:val="21"/>
          <w:lang w:val="en-US" w:eastAsia="zh-CN"/>
        </w:rPr>
      </w:pPr>
      <w:bookmarkStart w:id="190" w:name="_Toc27570"/>
      <w:r>
        <w:rPr>
          <w:rFonts w:hint="eastAsia" w:ascii="黑体" w:hAnsi="黑体" w:eastAsia="黑体" w:cs="黑体"/>
          <w:sz w:val="21"/>
          <w:szCs w:val="21"/>
        </w:rPr>
        <w:t>附录</w:t>
      </w:r>
      <w:r>
        <w:rPr>
          <w:rFonts w:hint="eastAsia" w:ascii="黑体" w:hAnsi="黑体" w:eastAsia="黑体" w:cs="黑体"/>
          <w:sz w:val="21"/>
          <w:szCs w:val="21"/>
          <w:lang w:val="en-US" w:eastAsia="zh-CN"/>
        </w:rPr>
        <w:t>D</w:t>
      </w:r>
      <w:r>
        <w:rPr>
          <w:rFonts w:hint="eastAsia" w:ascii="黑体" w:hAnsi="黑体" w:eastAsia="黑体" w:cs="黑体"/>
          <w:sz w:val="21"/>
          <w:szCs w:val="21"/>
        </w:rPr>
        <w:br w:type="textWrapping"/>
      </w:r>
      <w:r>
        <w:rPr>
          <w:rFonts w:hint="eastAsia" w:ascii="黑体" w:hAnsi="黑体" w:eastAsia="黑体" w:cs="黑体"/>
          <w:b w:val="0"/>
          <w:bCs w:val="0"/>
          <w:sz w:val="21"/>
          <w:szCs w:val="21"/>
        </w:rPr>
        <w:t>（资料性）</w:t>
      </w:r>
      <w:r>
        <w:rPr>
          <w:rFonts w:hint="eastAsia" w:ascii="黑体" w:hAnsi="黑体" w:eastAsia="黑体" w:cs="黑体"/>
          <w:b w:val="0"/>
          <w:bCs w:val="0"/>
          <w:sz w:val="21"/>
          <w:szCs w:val="21"/>
        </w:rPr>
        <w:br w:type="textWrapping"/>
      </w:r>
      <w:r>
        <w:rPr>
          <w:rFonts w:hint="eastAsia" w:ascii="黑体" w:hAnsi="黑体" w:eastAsia="黑体" w:cs="黑体"/>
          <w:b w:val="0"/>
          <w:bCs w:val="0"/>
          <w:sz w:val="21"/>
          <w:szCs w:val="21"/>
          <w:lang w:val="en-US" w:eastAsia="zh-CN"/>
        </w:rPr>
        <w:t>系统架构示意图</w:t>
      </w:r>
      <w:bookmarkEnd w:id="190"/>
    </w:p>
    <w:p w14:paraId="4B751CC7">
      <w:pPr>
        <w:rPr>
          <w:rFonts w:hint="eastAsia"/>
          <w:b w:val="0"/>
          <w:bCs w:val="0"/>
        </w:rPr>
      </w:pPr>
    </w:p>
    <w:p w14:paraId="51C32C5A">
      <w:pPr>
        <w:rPr>
          <w:rFonts w:hint="default"/>
          <w:b w:val="0"/>
          <w:bCs w:val="0"/>
          <w:lang w:val="en-US" w:eastAsia="zh-CN"/>
        </w:rPr>
      </w:pPr>
      <w:r>
        <w:rPr>
          <w:rFonts w:hint="eastAsia"/>
          <w:b w:val="0"/>
          <w:bCs w:val="0"/>
          <w:lang w:val="en-US" w:eastAsia="zh-CN"/>
        </w:rPr>
        <w:t>系统架构示意图见图D.1。</w:t>
      </w:r>
    </w:p>
    <w:p w14:paraId="068325E9">
      <w:pPr>
        <w:rPr>
          <w:rFonts w:hint="eastAsia"/>
          <w:b w:val="0"/>
          <w:bCs w:val="0"/>
        </w:rPr>
      </w:pPr>
    </w:p>
    <w:p w14:paraId="205E158A">
      <w:pPr>
        <w:rPr>
          <w:rFonts w:hint="eastAsia"/>
          <w:b w:val="0"/>
          <w:bCs w:val="0"/>
        </w:rPr>
      </w:pPr>
      <w:r>
        <w:drawing>
          <wp:anchor distT="0" distB="0" distL="114300" distR="114300" simplePos="0" relativeHeight="251668480" behindDoc="1" locked="0" layoutInCell="1" allowOverlap="1">
            <wp:simplePos x="0" y="0"/>
            <wp:positionH relativeFrom="column">
              <wp:posOffset>83185</wp:posOffset>
            </wp:positionH>
            <wp:positionV relativeFrom="paragraph">
              <wp:posOffset>160655</wp:posOffset>
            </wp:positionV>
            <wp:extent cx="5598795" cy="3183255"/>
            <wp:effectExtent l="0" t="0" r="1905" b="17145"/>
            <wp:wrapTight wrapText="bothSides">
              <wp:wrapPolygon>
                <wp:start x="0" y="0"/>
                <wp:lineTo x="0" y="21458"/>
                <wp:lineTo x="21534" y="21458"/>
                <wp:lineTo x="21534" y="0"/>
                <wp:lineTo x="0" y="0"/>
              </wp:wrapPolygon>
            </wp:wrapTight>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33" cstate="print"/>
                    <a:stretch>
                      <a:fillRect/>
                    </a:stretch>
                  </pic:blipFill>
                  <pic:spPr>
                    <a:xfrm>
                      <a:off x="0" y="0"/>
                      <a:ext cx="5598795" cy="3183255"/>
                    </a:xfrm>
                    <a:prstGeom prst="rect">
                      <a:avLst/>
                    </a:prstGeom>
                    <a:noFill/>
                    <a:ln>
                      <a:noFill/>
                    </a:ln>
                  </pic:spPr>
                </pic:pic>
              </a:graphicData>
            </a:graphic>
          </wp:anchor>
        </w:drawing>
      </w:r>
    </w:p>
    <w:p w14:paraId="09C0DAF6">
      <w:pPr>
        <w:jc w:val="center"/>
        <w:rPr>
          <w:rFonts w:hint="eastAsia"/>
          <w:b w:val="0"/>
          <w:bCs w:val="0"/>
        </w:rPr>
      </w:pPr>
      <w:r>
        <w:rPr>
          <w:rFonts w:hint="eastAsia"/>
          <w:b w:val="0"/>
          <w:bCs w:val="0"/>
          <w:lang w:val="en-US" w:eastAsia="zh-CN"/>
        </w:rPr>
        <w:t>图D.1 系统架构示意图</w:t>
      </w:r>
    </w:p>
    <w:p w14:paraId="7BE4F98D">
      <w:pPr>
        <w:rPr>
          <w:rFonts w:hint="eastAsia"/>
          <w:b w:val="0"/>
          <w:bCs w:val="0"/>
        </w:rPr>
      </w:pPr>
    </w:p>
    <w:p w14:paraId="2FBF009B">
      <w:pPr>
        <w:rPr>
          <w:rFonts w:hint="eastAsia"/>
          <w:b w:val="0"/>
          <w:bCs w:val="0"/>
        </w:rPr>
      </w:pPr>
    </w:p>
    <w:p w14:paraId="14E46167">
      <w:pPr>
        <w:rPr>
          <w:rFonts w:hint="eastAsia"/>
          <w:b w:val="0"/>
          <w:bCs w:val="0"/>
        </w:rPr>
      </w:pPr>
    </w:p>
    <w:p w14:paraId="5FE7BF69">
      <w:pPr>
        <w:pStyle w:val="2"/>
        <w:pageBreakBefore/>
        <w:tabs>
          <w:tab w:val="left" w:pos="454"/>
        </w:tabs>
        <w:spacing w:before="31" w:after="31"/>
        <w:jc w:val="center"/>
        <w:rPr>
          <w:rFonts w:hint="eastAsia" w:ascii="黑体" w:hAnsi="黑体" w:eastAsia="黑体" w:cs="黑体"/>
          <w:b w:val="0"/>
          <w:bCs w:val="0"/>
          <w:sz w:val="21"/>
          <w:szCs w:val="21"/>
        </w:rPr>
      </w:pPr>
      <w:bookmarkStart w:id="191" w:name="_Toc6209"/>
      <w:r>
        <w:rPr>
          <w:rFonts w:hint="eastAsia" w:ascii="黑体" w:hAnsi="黑体" w:eastAsia="黑体" w:cs="黑体"/>
          <w:sz w:val="21"/>
          <w:szCs w:val="21"/>
        </w:rPr>
        <w:t>附录</w:t>
      </w:r>
      <w:r>
        <w:rPr>
          <w:rFonts w:hint="eastAsia" w:ascii="黑体" w:hAnsi="黑体" w:eastAsia="黑体" w:cs="黑体"/>
          <w:sz w:val="21"/>
          <w:szCs w:val="21"/>
          <w:lang w:val="en-US" w:eastAsia="zh-CN"/>
        </w:rPr>
        <w:t>E</w:t>
      </w:r>
      <w:r>
        <w:rPr>
          <w:rFonts w:hint="eastAsia" w:ascii="黑体" w:hAnsi="黑体" w:eastAsia="黑体" w:cs="黑体"/>
          <w:sz w:val="21"/>
          <w:szCs w:val="21"/>
        </w:rPr>
        <w:br w:type="textWrapping"/>
      </w:r>
      <w:bookmarkStart w:id="192" w:name="_Toc151390230"/>
      <w:bookmarkStart w:id="193" w:name="_Toc183155562"/>
      <w:bookmarkStart w:id="194" w:name="_Toc151390325"/>
      <w:bookmarkStart w:id="195" w:name="_Toc151389568"/>
      <w:r>
        <w:rPr>
          <w:rFonts w:hint="eastAsia" w:ascii="黑体" w:hAnsi="黑体" w:eastAsia="黑体" w:cs="黑体"/>
          <w:b w:val="0"/>
          <w:bCs w:val="0"/>
          <w:sz w:val="21"/>
          <w:szCs w:val="21"/>
        </w:rPr>
        <w:t>（资料性）</w:t>
      </w:r>
      <w:r>
        <w:rPr>
          <w:rFonts w:hint="eastAsia" w:ascii="黑体" w:hAnsi="黑体" w:eastAsia="黑体" w:cs="黑体"/>
          <w:b w:val="0"/>
          <w:bCs w:val="0"/>
          <w:sz w:val="21"/>
          <w:szCs w:val="21"/>
        </w:rPr>
        <w:br w:type="textWrapping"/>
      </w:r>
      <w:r>
        <w:rPr>
          <w:rFonts w:hint="eastAsia" w:ascii="黑体" w:hAnsi="黑体" w:eastAsia="黑体" w:cs="黑体"/>
          <w:b w:val="0"/>
          <w:bCs w:val="0"/>
          <w:sz w:val="21"/>
          <w:szCs w:val="21"/>
        </w:rPr>
        <w:t>湖北省地方标准实施信息及意见反馈表</w:t>
      </w:r>
      <w:bookmarkEnd w:id="191"/>
      <w:bookmarkEnd w:id="192"/>
      <w:bookmarkEnd w:id="193"/>
      <w:bookmarkEnd w:id="194"/>
      <w:bookmarkEnd w:id="195"/>
    </w:p>
    <w:p w14:paraId="734B23FE">
      <w:pPr>
        <w:rPr>
          <w:rFonts w:hint="eastAsia"/>
        </w:rPr>
      </w:pPr>
    </w:p>
    <w:p w14:paraId="02774EE5">
      <w:pPr>
        <w:jc w:val="left"/>
      </w:pPr>
      <w:r>
        <w:rPr>
          <w:rFonts w:hint="eastAsia"/>
        </w:rPr>
        <w:t>湖北省地方标准实施信息及意见反馈表如表</w:t>
      </w:r>
      <w:r>
        <w:rPr>
          <w:rFonts w:hint="eastAsia"/>
          <w:lang w:val="en-US" w:eastAsia="zh-CN"/>
        </w:rPr>
        <w:t>E</w:t>
      </w:r>
      <w:r>
        <w:rPr>
          <w:rFonts w:hint="eastAsia"/>
        </w:rPr>
        <w:t>.1所示。</w:t>
      </w:r>
    </w:p>
    <w:p w14:paraId="760161B3">
      <w:pPr>
        <w:pStyle w:val="125"/>
        <w:numPr>
          <w:ilvl w:val="1"/>
          <w:numId w:val="0"/>
        </w:numPr>
        <w:spacing w:before="156" w:after="156"/>
        <w:ind w:left="420" w:leftChars="0"/>
        <w:jc w:val="center"/>
      </w:pPr>
      <w:r>
        <w:rPr>
          <w:rFonts w:hint="eastAsia"/>
          <w:lang w:val="en-US" w:eastAsia="zh-CN"/>
        </w:rPr>
        <w:t xml:space="preserve">表E.1 </w:t>
      </w:r>
      <w:r>
        <w:rPr>
          <w:rFonts w:hint="eastAsia"/>
        </w:rPr>
        <w:t>湖北省地方标准实施信息及意见反馈表</w:t>
      </w:r>
    </w:p>
    <w:tbl>
      <w:tblPr>
        <w:tblStyle w:val="35"/>
        <w:tblW w:w="9057" w:type="dxa"/>
        <w:jc w:val="center"/>
        <w:tblBorders>
          <w:top w:val="single" w:color="auto" w:sz="12" w:space="0"/>
          <w:left w:val="single" w:color="auto" w:sz="12" w:space="0"/>
          <w:bottom w:val="single" w:color="auto" w:sz="12" w:space="0"/>
          <w:right w:val="single" w:color="auto" w:sz="12" w:space="0"/>
          <w:insideH w:val="none" w:color="auto" w:sz="0" w:space="0"/>
          <w:insideV w:val="single" w:color="auto" w:sz="4" w:space="0"/>
        </w:tblBorders>
        <w:tblLayout w:type="fixed"/>
        <w:tblCellMar>
          <w:top w:w="0" w:type="dxa"/>
          <w:left w:w="0" w:type="dxa"/>
          <w:bottom w:w="0" w:type="dxa"/>
          <w:right w:w="0" w:type="dxa"/>
        </w:tblCellMar>
      </w:tblPr>
      <w:tblGrid>
        <w:gridCol w:w="1211"/>
        <w:gridCol w:w="823"/>
        <w:gridCol w:w="338"/>
        <w:gridCol w:w="2192"/>
        <w:gridCol w:w="3109"/>
        <w:gridCol w:w="1384"/>
      </w:tblGrid>
      <w:tr w14:paraId="735E3462">
        <w:tblPrEx>
          <w:tblBorders>
            <w:top w:val="single" w:color="auto" w:sz="12" w:space="0"/>
            <w:left w:val="single" w:color="auto" w:sz="12" w:space="0"/>
            <w:bottom w:val="single" w:color="auto" w:sz="12" w:space="0"/>
            <w:right w:val="single" w:color="auto" w:sz="12" w:space="0"/>
            <w:insideH w:val="none" w:color="auto" w:sz="0" w:space="0"/>
            <w:insideV w:val="single" w:color="auto" w:sz="4" w:space="0"/>
          </w:tblBorders>
          <w:tblCellMar>
            <w:top w:w="0" w:type="dxa"/>
            <w:left w:w="0" w:type="dxa"/>
            <w:bottom w:w="0" w:type="dxa"/>
            <w:right w:w="0" w:type="dxa"/>
          </w:tblCellMar>
        </w:tblPrEx>
        <w:trPr>
          <w:trHeight w:val="576" w:hRule="atLeast"/>
          <w:jc w:val="center"/>
        </w:trPr>
        <w:tc>
          <w:tcPr>
            <w:tcW w:w="2034" w:type="dxa"/>
            <w:gridSpan w:val="2"/>
            <w:tcBorders>
              <w:bottom w:val="single" w:color="auto" w:sz="4" w:space="0"/>
            </w:tcBorders>
            <w:noWrap w:val="0"/>
            <w:vAlign w:val="center"/>
          </w:tcPr>
          <w:p w14:paraId="3D3581C5">
            <w:pPr>
              <w:widowControl/>
              <w:tabs>
                <w:tab w:val="left" w:pos="420"/>
                <w:tab w:val="left" w:pos="567"/>
                <w:tab w:val="right" w:leader="middleDot" w:pos="8495"/>
              </w:tabs>
              <w:kinsoku w:val="0"/>
              <w:autoSpaceDE w:val="0"/>
              <w:autoSpaceDN w:val="0"/>
              <w:snapToGrid w:val="0"/>
              <w:spacing w:before="31" w:after="31"/>
              <w:ind w:left="115"/>
              <w:jc w:val="left"/>
              <w:textAlignment w:val="baseline"/>
              <w:rPr>
                <w:rFonts w:ascii="宋体" w:hAnsi="宋体"/>
                <w:color w:val="000000"/>
                <w:kern w:val="0"/>
                <w:sz w:val="18"/>
                <w:szCs w:val="18"/>
              </w:rPr>
            </w:pPr>
            <w:r>
              <w:rPr>
                <w:rFonts w:hint="eastAsia" w:ascii="宋体" w:hAnsi="宋体"/>
                <w:color w:val="000000"/>
                <w:spacing w:val="9"/>
                <w:kern w:val="0"/>
                <w:sz w:val="18"/>
                <w:szCs w:val="18"/>
              </w:rPr>
              <w:t>标准名称及编号</w:t>
            </w:r>
          </w:p>
        </w:tc>
        <w:tc>
          <w:tcPr>
            <w:tcW w:w="7023" w:type="dxa"/>
            <w:gridSpan w:val="4"/>
            <w:tcBorders>
              <w:bottom w:val="single" w:color="auto" w:sz="4" w:space="0"/>
            </w:tcBorders>
            <w:noWrap w:val="0"/>
            <w:vAlign w:val="center"/>
          </w:tcPr>
          <w:p w14:paraId="2E1465DB">
            <w:pPr>
              <w:tabs>
                <w:tab w:val="left" w:pos="420"/>
                <w:tab w:val="left" w:pos="567"/>
                <w:tab w:val="right" w:leader="middleDot" w:pos="8495"/>
              </w:tabs>
              <w:spacing w:before="31" w:after="31"/>
              <w:jc w:val="left"/>
              <w:rPr>
                <w:rFonts w:ascii="宋体" w:hAnsi="宋体" w:cs="Arial"/>
                <w:kern w:val="0"/>
                <w:sz w:val="18"/>
                <w:szCs w:val="18"/>
              </w:rPr>
            </w:pPr>
          </w:p>
        </w:tc>
      </w:tr>
      <w:tr w14:paraId="0E9654B4">
        <w:tblPrEx>
          <w:tblBorders>
            <w:top w:val="single" w:color="auto" w:sz="12" w:space="0"/>
            <w:left w:val="single" w:color="auto" w:sz="12" w:space="0"/>
            <w:bottom w:val="single" w:color="auto" w:sz="12" w:space="0"/>
            <w:right w:val="single" w:color="auto" w:sz="12" w:space="0"/>
            <w:insideH w:val="none" w:color="auto" w:sz="0" w:space="0"/>
            <w:insideV w:val="single" w:color="auto" w:sz="4" w:space="0"/>
          </w:tblBorders>
          <w:tblCellMar>
            <w:top w:w="0" w:type="dxa"/>
            <w:left w:w="0" w:type="dxa"/>
            <w:bottom w:w="0" w:type="dxa"/>
            <w:right w:w="0" w:type="dxa"/>
          </w:tblCellMar>
        </w:tblPrEx>
        <w:trPr>
          <w:trHeight w:val="806" w:hRule="atLeast"/>
          <w:jc w:val="center"/>
        </w:trPr>
        <w:tc>
          <w:tcPr>
            <w:tcW w:w="1211" w:type="dxa"/>
            <w:vMerge w:val="restart"/>
            <w:tcBorders>
              <w:top w:val="single" w:color="auto" w:sz="4" w:space="0"/>
              <w:bottom w:val="single" w:color="auto" w:sz="4" w:space="0"/>
            </w:tcBorders>
            <w:noWrap w:val="0"/>
            <w:vAlign w:val="center"/>
          </w:tcPr>
          <w:p w14:paraId="2FF1E890">
            <w:pPr>
              <w:widowControl/>
              <w:tabs>
                <w:tab w:val="left" w:pos="420"/>
                <w:tab w:val="left" w:pos="567"/>
                <w:tab w:val="right" w:leader="middleDot" w:pos="8495"/>
              </w:tabs>
              <w:kinsoku w:val="0"/>
              <w:autoSpaceDE w:val="0"/>
              <w:autoSpaceDN w:val="0"/>
              <w:snapToGrid w:val="0"/>
              <w:spacing w:before="31" w:after="31"/>
              <w:ind w:left="147"/>
              <w:jc w:val="left"/>
              <w:textAlignment w:val="baseline"/>
              <w:rPr>
                <w:rFonts w:ascii="宋体" w:hAnsi="宋体"/>
                <w:color w:val="000000"/>
                <w:kern w:val="0"/>
                <w:sz w:val="18"/>
                <w:szCs w:val="18"/>
              </w:rPr>
            </w:pPr>
            <w:r>
              <w:rPr>
                <w:rFonts w:hint="eastAsia" w:ascii="宋体" w:hAnsi="宋体"/>
                <w:color w:val="000000"/>
                <w:spacing w:val="3"/>
                <w:kern w:val="0"/>
                <w:sz w:val="18"/>
                <w:szCs w:val="18"/>
              </w:rPr>
              <w:t>总体评价</w:t>
            </w:r>
          </w:p>
        </w:tc>
        <w:tc>
          <w:tcPr>
            <w:tcW w:w="1161" w:type="dxa"/>
            <w:gridSpan w:val="2"/>
            <w:tcBorders>
              <w:top w:val="single" w:color="auto" w:sz="4" w:space="0"/>
              <w:bottom w:val="single" w:color="auto" w:sz="4" w:space="0"/>
            </w:tcBorders>
            <w:noWrap w:val="0"/>
            <w:vAlign w:val="center"/>
          </w:tcPr>
          <w:p w14:paraId="5723CD33">
            <w:pPr>
              <w:widowControl/>
              <w:tabs>
                <w:tab w:val="left" w:pos="420"/>
                <w:tab w:val="left" w:pos="567"/>
                <w:tab w:val="right" w:leader="middleDot" w:pos="8495"/>
              </w:tabs>
              <w:kinsoku w:val="0"/>
              <w:autoSpaceDE w:val="0"/>
              <w:autoSpaceDN w:val="0"/>
              <w:snapToGrid w:val="0"/>
              <w:spacing w:before="31" w:after="31"/>
              <w:ind w:left="229"/>
              <w:jc w:val="left"/>
              <w:textAlignment w:val="baseline"/>
              <w:rPr>
                <w:rFonts w:ascii="宋体" w:hAnsi="宋体"/>
                <w:color w:val="000000"/>
                <w:kern w:val="0"/>
                <w:sz w:val="18"/>
                <w:szCs w:val="18"/>
              </w:rPr>
            </w:pPr>
            <w:r>
              <w:rPr>
                <w:rFonts w:hint="eastAsia" w:ascii="宋体" w:hAnsi="宋体"/>
                <w:color w:val="000000"/>
                <w:spacing w:val="5"/>
                <w:kern w:val="0"/>
                <w:sz w:val="18"/>
                <w:szCs w:val="18"/>
              </w:rPr>
              <w:t>适用性</w:t>
            </w:r>
          </w:p>
        </w:tc>
        <w:tc>
          <w:tcPr>
            <w:tcW w:w="5301" w:type="dxa"/>
            <w:gridSpan w:val="2"/>
            <w:tcBorders>
              <w:top w:val="single" w:color="auto" w:sz="4" w:space="0"/>
              <w:bottom w:val="single" w:color="auto" w:sz="4" w:space="0"/>
            </w:tcBorders>
            <w:noWrap w:val="0"/>
            <w:vAlign w:val="center"/>
          </w:tcPr>
          <w:p w14:paraId="1D828F41">
            <w:pPr>
              <w:widowControl/>
              <w:tabs>
                <w:tab w:val="left" w:pos="420"/>
                <w:tab w:val="left" w:pos="567"/>
                <w:tab w:val="right" w:leader="middleDot" w:pos="8495"/>
              </w:tabs>
              <w:kinsoku w:val="0"/>
              <w:autoSpaceDE w:val="0"/>
              <w:autoSpaceDN w:val="0"/>
              <w:snapToGrid w:val="0"/>
              <w:spacing w:before="31" w:after="31"/>
              <w:ind w:left="116" w:right="103"/>
              <w:jc w:val="left"/>
              <w:textAlignment w:val="baseline"/>
              <w:rPr>
                <w:rFonts w:ascii="宋体" w:hAnsi="宋体"/>
                <w:color w:val="000000"/>
                <w:spacing w:val="11"/>
                <w:kern w:val="0"/>
                <w:sz w:val="18"/>
                <w:szCs w:val="18"/>
              </w:rPr>
            </w:pPr>
            <w:r>
              <w:rPr>
                <w:rFonts w:hint="eastAsia" w:ascii="宋体" w:hAnsi="宋体"/>
                <w:color w:val="000000"/>
                <w:spacing w:val="11"/>
                <w:kern w:val="0"/>
                <w:sz w:val="18"/>
                <w:szCs w:val="18"/>
              </w:rPr>
              <w:t>该标准与当前所在地的产业或社会发展水平是否</w:t>
            </w:r>
          </w:p>
          <w:p w14:paraId="58C6797C">
            <w:pPr>
              <w:widowControl/>
              <w:tabs>
                <w:tab w:val="left" w:pos="420"/>
                <w:tab w:val="left" w:pos="567"/>
                <w:tab w:val="right" w:leader="middleDot" w:pos="8495"/>
              </w:tabs>
              <w:kinsoku w:val="0"/>
              <w:autoSpaceDE w:val="0"/>
              <w:autoSpaceDN w:val="0"/>
              <w:snapToGrid w:val="0"/>
              <w:spacing w:before="31" w:after="31"/>
              <w:ind w:left="116" w:right="103"/>
              <w:jc w:val="left"/>
              <w:textAlignment w:val="baseline"/>
              <w:rPr>
                <w:rFonts w:ascii="宋体" w:hAnsi="宋体"/>
                <w:color w:val="000000"/>
                <w:kern w:val="0"/>
                <w:sz w:val="18"/>
                <w:szCs w:val="18"/>
              </w:rPr>
            </w:pPr>
            <w:r>
              <w:rPr>
                <w:rFonts w:hint="eastAsia" w:ascii="宋体" w:hAnsi="宋体"/>
                <w:color w:val="000000"/>
                <w:spacing w:val="11"/>
                <w:kern w:val="0"/>
                <w:sz w:val="18"/>
                <w:szCs w:val="18"/>
              </w:rPr>
              <w:t>相匹配？</w:t>
            </w:r>
          </w:p>
        </w:tc>
        <w:tc>
          <w:tcPr>
            <w:tcW w:w="1384" w:type="dxa"/>
            <w:tcBorders>
              <w:top w:val="single" w:color="auto" w:sz="4" w:space="0"/>
              <w:bottom w:val="single" w:color="auto" w:sz="4" w:space="0"/>
            </w:tcBorders>
            <w:noWrap w:val="0"/>
            <w:vAlign w:val="center"/>
          </w:tcPr>
          <w:p w14:paraId="17D7E778">
            <w:pPr>
              <w:widowControl/>
              <w:tabs>
                <w:tab w:val="left" w:pos="420"/>
                <w:tab w:val="left" w:pos="567"/>
                <w:tab w:val="right" w:leader="middleDot" w:pos="8495"/>
              </w:tabs>
              <w:kinsoku w:val="0"/>
              <w:autoSpaceDE w:val="0"/>
              <w:autoSpaceDN w:val="0"/>
              <w:snapToGrid w:val="0"/>
              <w:spacing w:before="31" w:after="31"/>
              <w:ind w:left="127"/>
              <w:jc w:val="left"/>
              <w:textAlignment w:val="baseline"/>
              <w:rPr>
                <w:rFonts w:ascii="宋体" w:hAnsi="宋体"/>
                <w:color w:val="000000"/>
                <w:kern w:val="0"/>
                <w:sz w:val="18"/>
                <w:szCs w:val="18"/>
              </w:rPr>
            </w:pPr>
            <w:r>
              <w:rPr>
                <w:rFonts w:ascii="宋体" w:hAnsi="宋体" w:eastAsia="Times New Roman"/>
                <w:color w:val="000000"/>
                <w:kern w:val="0"/>
                <w:sz w:val="18"/>
                <w:szCs w:val="18"/>
              </w:rPr>
              <w:drawing>
                <wp:inline distT="0" distB="0" distL="114300" distR="114300">
                  <wp:extent cx="114300" cy="114300"/>
                  <wp:effectExtent l="0" t="0" r="0" b="0"/>
                  <wp:docPr id="22" name="图片 2" descr="C:\Users\ADMINI~1.USE\AppData\Local\Temp\ksohtml11916\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descr="C:\Users\ADMINI~1.USE\AppData\Local\Temp\ksohtml11916\wps1.png"/>
                          <pic:cNvPicPr>
                            <a:picLocks noChangeAspect="1"/>
                          </pic:cNvPicPr>
                        </pic:nvPicPr>
                        <pic:blipFill>
                          <a:blip r:embed="rId34"/>
                          <a:stretch>
                            <a:fillRect/>
                          </a:stretch>
                        </pic:blipFill>
                        <pic:spPr>
                          <a:xfrm>
                            <a:off x="0" y="0"/>
                            <a:ext cx="114300" cy="114300"/>
                          </a:xfrm>
                          <a:prstGeom prst="rect">
                            <a:avLst/>
                          </a:prstGeom>
                          <a:noFill/>
                          <a:ln>
                            <a:noFill/>
                          </a:ln>
                        </pic:spPr>
                      </pic:pic>
                    </a:graphicData>
                  </a:graphic>
                </wp:inline>
              </w:drawing>
            </w:r>
            <w:r>
              <w:rPr>
                <w:rFonts w:hint="eastAsia" w:ascii="宋体" w:hAnsi="宋体"/>
                <w:color w:val="000000"/>
                <w:spacing w:val="22"/>
                <w:kern w:val="0"/>
                <w:sz w:val="18"/>
                <w:szCs w:val="18"/>
              </w:rPr>
              <w:t xml:space="preserve">是  </w:t>
            </w:r>
            <w:r>
              <w:rPr>
                <w:rFonts w:ascii="宋体" w:hAnsi="宋体" w:eastAsia="Times New Roman"/>
                <w:color w:val="000000"/>
                <w:kern w:val="0"/>
                <w:sz w:val="18"/>
                <w:szCs w:val="18"/>
              </w:rPr>
              <w:drawing>
                <wp:inline distT="0" distB="0" distL="114300" distR="114300">
                  <wp:extent cx="114300" cy="114300"/>
                  <wp:effectExtent l="0" t="0" r="0" b="0"/>
                  <wp:docPr id="14" name="图片 3" descr="C:\Users\ADMINI~1.USE\AppData\Local\Temp\ksohtml11916\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descr="C:\Users\ADMINI~1.USE\AppData\Local\Temp\ksohtml11916\wps2.png"/>
                          <pic:cNvPicPr>
                            <a:picLocks noChangeAspect="1"/>
                          </pic:cNvPicPr>
                        </pic:nvPicPr>
                        <pic:blipFill>
                          <a:blip r:embed="rId34"/>
                          <a:stretch>
                            <a:fillRect/>
                          </a:stretch>
                        </pic:blipFill>
                        <pic:spPr>
                          <a:xfrm>
                            <a:off x="0" y="0"/>
                            <a:ext cx="114300" cy="114300"/>
                          </a:xfrm>
                          <a:prstGeom prst="rect">
                            <a:avLst/>
                          </a:prstGeom>
                          <a:noFill/>
                          <a:ln>
                            <a:noFill/>
                          </a:ln>
                        </pic:spPr>
                      </pic:pic>
                    </a:graphicData>
                  </a:graphic>
                </wp:inline>
              </w:drawing>
            </w:r>
            <w:r>
              <w:rPr>
                <w:rFonts w:hint="eastAsia" w:ascii="宋体" w:hAnsi="宋体"/>
                <w:color w:val="000000"/>
                <w:spacing w:val="22"/>
                <w:kern w:val="0"/>
                <w:sz w:val="18"/>
                <w:szCs w:val="18"/>
              </w:rPr>
              <w:t>否</w:t>
            </w:r>
          </w:p>
        </w:tc>
      </w:tr>
      <w:tr w14:paraId="39DB3898">
        <w:tblPrEx>
          <w:tblBorders>
            <w:top w:val="single" w:color="auto" w:sz="12" w:space="0"/>
            <w:left w:val="single" w:color="auto" w:sz="12" w:space="0"/>
            <w:bottom w:val="single" w:color="auto" w:sz="12" w:space="0"/>
            <w:right w:val="single" w:color="auto" w:sz="12" w:space="0"/>
            <w:insideH w:val="none" w:color="auto" w:sz="0" w:space="0"/>
            <w:insideV w:val="single" w:color="auto" w:sz="4" w:space="0"/>
          </w:tblBorders>
          <w:tblCellMar>
            <w:top w:w="0" w:type="dxa"/>
            <w:left w:w="0" w:type="dxa"/>
            <w:bottom w:w="0" w:type="dxa"/>
            <w:right w:w="0" w:type="dxa"/>
          </w:tblCellMar>
        </w:tblPrEx>
        <w:trPr>
          <w:trHeight w:val="694" w:hRule="atLeast"/>
          <w:jc w:val="center"/>
        </w:trPr>
        <w:tc>
          <w:tcPr>
            <w:tcW w:w="1211" w:type="dxa"/>
            <w:vMerge w:val="continue"/>
            <w:tcBorders>
              <w:top w:val="single" w:color="auto" w:sz="4" w:space="0"/>
              <w:bottom w:val="single" w:color="auto" w:sz="4" w:space="0"/>
            </w:tcBorders>
            <w:noWrap w:val="0"/>
            <w:vAlign w:val="center"/>
          </w:tcPr>
          <w:p w14:paraId="3519A5E4">
            <w:pPr>
              <w:widowControl/>
              <w:tabs>
                <w:tab w:val="left" w:pos="420"/>
                <w:tab w:val="left" w:pos="567"/>
                <w:tab w:val="right" w:leader="middleDot" w:pos="8495"/>
              </w:tabs>
              <w:spacing w:before="31" w:after="31"/>
              <w:jc w:val="left"/>
              <w:rPr>
                <w:rFonts w:ascii="宋体" w:hAnsi="宋体"/>
                <w:color w:val="000000"/>
                <w:kern w:val="0"/>
                <w:sz w:val="18"/>
                <w:szCs w:val="18"/>
              </w:rPr>
            </w:pPr>
          </w:p>
        </w:tc>
        <w:tc>
          <w:tcPr>
            <w:tcW w:w="1161" w:type="dxa"/>
            <w:gridSpan w:val="2"/>
            <w:tcBorders>
              <w:top w:val="single" w:color="auto" w:sz="4" w:space="0"/>
              <w:bottom w:val="single" w:color="auto" w:sz="4" w:space="0"/>
            </w:tcBorders>
            <w:noWrap w:val="0"/>
            <w:vAlign w:val="center"/>
          </w:tcPr>
          <w:p w14:paraId="78055588">
            <w:pPr>
              <w:widowControl/>
              <w:tabs>
                <w:tab w:val="left" w:pos="420"/>
                <w:tab w:val="left" w:pos="567"/>
                <w:tab w:val="right" w:leader="middleDot" w:pos="8495"/>
              </w:tabs>
              <w:kinsoku w:val="0"/>
              <w:autoSpaceDE w:val="0"/>
              <w:autoSpaceDN w:val="0"/>
              <w:snapToGrid w:val="0"/>
              <w:spacing w:before="31" w:after="31"/>
              <w:ind w:left="229"/>
              <w:jc w:val="left"/>
              <w:textAlignment w:val="baseline"/>
              <w:rPr>
                <w:rFonts w:ascii="宋体" w:hAnsi="宋体"/>
                <w:color w:val="000000"/>
                <w:kern w:val="0"/>
                <w:sz w:val="18"/>
                <w:szCs w:val="18"/>
              </w:rPr>
            </w:pPr>
            <w:r>
              <w:rPr>
                <w:rFonts w:hint="eastAsia" w:ascii="宋体" w:hAnsi="宋体"/>
                <w:color w:val="000000"/>
                <w:spacing w:val="5"/>
                <w:kern w:val="0"/>
                <w:sz w:val="18"/>
                <w:szCs w:val="18"/>
              </w:rPr>
              <w:t>协调性</w:t>
            </w:r>
          </w:p>
        </w:tc>
        <w:tc>
          <w:tcPr>
            <w:tcW w:w="5301" w:type="dxa"/>
            <w:gridSpan w:val="2"/>
            <w:tcBorders>
              <w:top w:val="single" w:color="auto" w:sz="4" w:space="0"/>
              <w:bottom w:val="single" w:color="auto" w:sz="4" w:space="0"/>
            </w:tcBorders>
            <w:noWrap w:val="0"/>
            <w:vAlign w:val="center"/>
          </w:tcPr>
          <w:p w14:paraId="1946DFFC">
            <w:pPr>
              <w:widowControl/>
              <w:tabs>
                <w:tab w:val="left" w:pos="420"/>
                <w:tab w:val="left" w:pos="567"/>
                <w:tab w:val="right" w:leader="middleDot" w:pos="8495"/>
              </w:tabs>
              <w:kinsoku w:val="0"/>
              <w:autoSpaceDE w:val="0"/>
              <w:autoSpaceDN w:val="0"/>
              <w:snapToGrid w:val="0"/>
              <w:spacing w:before="31" w:after="31"/>
              <w:ind w:left="116" w:right="103"/>
              <w:jc w:val="left"/>
              <w:textAlignment w:val="baseline"/>
              <w:rPr>
                <w:rFonts w:ascii="宋体" w:hAnsi="宋体"/>
                <w:color w:val="000000"/>
                <w:kern w:val="0"/>
                <w:sz w:val="18"/>
                <w:szCs w:val="18"/>
              </w:rPr>
            </w:pPr>
            <w:r>
              <w:rPr>
                <w:rFonts w:hint="eastAsia" w:ascii="宋体" w:hAnsi="宋体"/>
                <w:color w:val="000000"/>
                <w:spacing w:val="11"/>
                <w:kern w:val="0"/>
                <w:sz w:val="18"/>
                <w:szCs w:val="18"/>
              </w:rPr>
              <w:t>该标准的特色要求与其他强制性标准的主要技术指标、相关法律法规、部门规章或产业政策是否</w:t>
            </w:r>
            <w:r>
              <w:rPr>
                <w:rFonts w:hint="eastAsia" w:ascii="宋体" w:hAnsi="宋体"/>
                <w:color w:val="000000"/>
                <w:spacing w:val="2"/>
                <w:kern w:val="0"/>
                <w:sz w:val="18"/>
                <w:szCs w:val="18"/>
              </w:rPr>
              <w:t>协调？</w:t>
            </w:r>
          </w:p>
        </w:tc>
        <w:tc>
          <w:tcPr>
            <w:tcW w:w="1384" w:type="dxa"/>
            <w:tcBorders>
              <w:top w:val="single" w:color="auto" w:sz="4" w:space="0"/>
              <w:bottom w:val="single" w:color="auto" w:sz="4" w:space="0"/>
            </w:tcBorders>
            <w:noWrap w:val="0"/>
            <w:vAlign w:val="center"/>
          </w:tcPr>
          <w:p w14:paraId="4EF54FC5">
            <w:pPr>
              <w:widowControl/>
              <w:tabs>
                <w:tab w:val="left" w:pos="420"/>
                <w:tab w:val="left" w:pos="567"/>
                <w:tab w:val="right" w:leader="middleDot" w:pos="8495"/>
              </w:tabs>
              <w:kinsoku w:val="0"/>
              <w:autoSpaceDE w:val="0"/>
              <w:autoSpaceDN w:val="0"/>
              <w:snapToGrid w:val="0"/>
              <w:spacing w:before="31" w:after="31"/>
              <w:ind w:left="127"/>
              <w:jc w:val="left"/>
              <w:textAlignment w:val="baseline"/>
              <w:rPr>
                <w:rFonts w:ascii="宋体" w:hAnsi="宋体"/>
                <w:color w:val="000000"/>
                <w:kern w:val="0"/>
                <w:sz w:val="18"/>
                <w:szCs w:val="18"/>
              </w:rPr>
            </w:pPr>
            <w:r>
              <w:rPr>
                <w:rFonts w:ascii="宋体" w:hAnsi="宋体" w:eastAsia="Times New Roman"/>
                <w:color w:val="000000"/>
                <w:kern w:val="0"/>
                <w:sz w:val="18"/>
                <w:szCs w:val="18"/>
              </w:rPr>
              <w:drawing>
                <wp:inline distT="0" distB="0" distL="114300" distR="114300">
                  <wp:extent cx="114300" cy="114300"/>
                  <wp:effectExtent l="0" t="0" r="0" b="0"/>
                  <wp:docPr id="11" name="图片 4" descr="C:\Users\ADMINI~1.USE\AppData\Local\Temp\ksohtml11916\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descr="C:\Users\ADMINI~1.USE\AppData\Local\Temp\ksohtml11916\wps3.png"/>
                          <pic:cNvPicPr>
                            <a:picLocks noChangeAspect="1"/>
                          </pic:cNvPicPr>
                        </pic:nvPicPr>
                        <pic:blipFill>
                          <a:blip r:embed="rId35"/>
                          <a:stretch>
                            <a:fillRect/>
                          </a:stretch>
                        </pic:blipFill>
                        <pic:spPr>
                          <a:xfrm>
                            <a:off x="0" y="0"/>
                            <a:ext cx="114300" cy="114300"/>
                          </a:xfrm>
                          <a:prstGeom prst="rect">
                            <a:avLst/>
                          </a:prstGeom>
                          <a:noFill/>
                          <a:ln>
                            <a:noFill/>
                          </a:ln>
                        </pic:spPr>
                      </pic:pic>
                    </a:graphicData>
                  </a:graphic>
                </wp:inline>
              </w:drawing>
            </w:r>
            <w:r>
              <w:rPr>
                <w:rFonts w:hint="eastAsia" w:ascii="宋体" w:hAnsi="宋体"/>
                <w:color w:val="000000"/>
                <w:spacing w:val="22"/>
                <w:kern w:val="0"/>
                <w:sz w:val="18"/>
                <w:szCs w:val="18"/>
              </w:rPr>
              <w:t xml:space="preserve">是  </w:t>
            </w:r>
            <w:r>
              <w:rPr>
                <w:rFonts w:ascii="宋体" w:hAnsi="宋体" w:eastAsia="Times New Roman"/>
                <w:color w:val="000000"/>
                <w:kern w:val="0"/>
                <w:sz w:val="18"/>
                <w:szCs w:val="18"/>
              </w:rPr>
              <w:drawing>
                <wp:inline distT="0" distB="0" distL="114300" distR="114300">
                  <wp:extent cx="114300" cy="114300"/>
                  <wp:effectExtent l="0" t="0" r="0" b="0"/>
                  <wp:docPr id="12" name="图片 5" descr="C:\Users\ADMINI~1.USE\AppData\Local\Temp\ksohtml11916\wp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descr="C:\Users\ADMINI~1.USE\AppData\Local\Temp\ksohtml11916\wps4.png"/>
                          <pic:cNvPicPr>
                            <a:picLocks noChangeAspect="1"/>
                          </pic:cNvPicPr>
                        </pic:nvPicPr>
                        <pic:blipFill>
                          <a:blip r:embed="rId35"/>
                          <a:stretch>
                            <a:fillRect/>
                          </a:stretch>
                        </pic:blipFill>
                        <pic:spPr>
                          <a:xfrm>
                            <a:off x="0" y="0"/>
                            <a:ext cx="114300" cy="114300"/>
                          </a:xfrm>
                          <a:prstGeom prst="rect">
                            <a:avLst/>
                          </a:prstGeom>
                          <a:noFill/>
                          <a:ln>
                            <a:noFill/>
                          </a:ln>
                        </pic:spPr>
                      </pic:pic>
                    </a:graphicData>
                  </a:graphic>
                </wp:inline>
              </w:drawing>
            </w:r>
            <w:r>
              <w:rPr>
                <w:rFonts w:hint="eastAsia" w:ascii="宋体" w:hAnsi="宋体"/>
                <w:color w:val="000000"/>
                <w:spacing w:val="22"/>
                <w:kern w:val="0"/>
                <w:sz w:val="18"/>
                <w:szCs w:val="18"/>
              </w:rPr>
              <w:t>否</w:t>
            </w:r>
          </w:p>
        </w:tc>
      </w:tr>
      <w:tr w14:paraId="46031745">
        <w:tblPrEx>
          <w:tblBorders>
            <w:top w:val="single" w:color="auto" w:sz="12" w:space="0"/>
            <w:left w:val="single" w:color="auto" w:sz="12" w:space="0"/>
            <w:bottom w:val="single" w:color="auto" w:sz="12" w:space="0"/>
            <w:right w:val="single" w:color="auto" w:sz="12" w:space="0"/>
            <w:insideH w:val="none" w:color="auto" w:sz="0" w:space="0"/>
            <w:insideV w:val="single" w:color="auto" w:sz="4" w:space="0"/>
          </w:tblBorders>
          <w:tblCellMar>
            <w:top w:w="0" w:type="dxa"/>
            <w:left w:w="0" w:type="dxa"/>
            <w:bottom w:w="0" w:type="dxa"/>
            <w:right w:w="0" w:type="dxa"/>
          </w:tblCellMar>
        </w:tblPrEx>
        <w:trPr>
          <w:trHeight w:val="803" w:hRule="atLeast"/>
          <w:jc w:val="center"/>
        </w:trPr>
        <w:tc>
          <w:tcPr>
            <w:tcW w:w="1211" w:type="dxa"/>
            <w:vMerge w:val="continue"/>
            <w:tcBorders>
              <w:top w:val="single" w:color="auto" w:sz="4" w:space="0"/>
              <w:bottom w:val="single" w:color="auto" w:sz="4" w:space="0"/>
            </w:tcBorders>
            <w:noWrap w:val="0"/>
            <w:vAlign w:val="center"/>
          </w:tcPr>
          <w:p w14:paraId="2BC4DE4B">
            <w:pPr>
              <w:widowControl/>
              <w:tabs>
                <w:tab w:val="left" w:pos="420"/>
                <w:tab w:val="left" w:pos="567"/>
                <w:tab w:val="right" w:leader="middleDot" w:pos="8495"/>
              </w:tabs>
              <w:spacing w:before="31" w:after="31"/>
              <w:jc w:val="left"/>
              <w:rPr>
                <w:rFonts w:ascii="宋体" w:hAnsi="宋体"/>
                <w:color w:val="000000"/>
                <w:kern w:val="0"/>
                <w:sz w:val="18"/>
                <w:szCs w:val="18"/>
              </w:rPr>
            </w:pPr>
          </w:p>
        </w:tc>
        <w:tc>
          <w:tcPr>
            <w:tcW w:w="1161" w:type="dxa"/>
            <w:gridSpan w:val="2"/>
            <w:tcBorders>
              <w:top w:val="single" w:color="auto" w:sz="4" w:space="0"/>
              <w:bottom w:val="single" w:color="auto" w:sz="4" w:space="0"/>
            </w:tcBorders>
            <w:noWrap w:val="0"/>
            <w:vAlign w:val="center"/>
          </w:tcPr>
          <w:p w14:paraId="4DBC5731">
            <w:pPr>
              <w:widowControl/>
              <w:tabs>
                <w:tab w:val="left" w:pos="420"/>
                <w:tab w:val="left" w:pos="567"/>
                <w:tab w:val="right" w:leader="middleDot" w:pos="8495"/>
              </w:tabs>
              <w:kinsoku w:val="0"/>
              <w:autoSpaceDE w:val="0"/>
              <w:autoSpaceDN w:val="0"/>
              <w:snapToGrid w:val="0"/>
              <w:spacing w:before="31" w:after="31"/>
              <w:ind w:left="351"/>
              <w:jc w:val="left"/>
              <w:textAlignment w:val="baseline"/>
              <w:rPr>
                <w:rFonts w:ascii="宋体" w:hAnsi="宋体"/>
                <w:color w:val="000000"/>
                <w:kern w:val="0"/>
                <w:sz w:val="18"/>
                <w:szCs w:val="18"/>
              </w:rPr>
            </w:pPr>
            <w:r>
              <w:rPr>
                <w:rFonts w:hint="eastAsia" w:ascii="宋体" w:hAnsi="宋体"/>
                <w:color w:val="000000"/>
                <w:spacing w:val="2"/>
                <w:kern w:val="0"/>
                <w:position w:val="12"/>
                <w:sz w:val="18"/>
                <w:szCs w:val="18"/>
              </w:rPr>
              <w:t>执行</w:t>
            </w:r>
          </w:p>
          <w:p w14:paraId="44D0C87F">
            <w:pPr>
              <w:widowControl/>
              <w:tabs>
                <w:tab w:val="left" w:pos="420"/>
                <w:tab w:val="left" w:pos="567"/>
                <w:tab w:val="right" w:leader="middleDot" w:pos="8495"/>
              </w:tabs>
              <w:kinsoku w:val="0"/>
              <w:autoSpaceDE w:val="0"/>
              <w:autoSpaceDN w:val="0"/>
              <w:snapToGrid w:val="0"/>
              <w:spacing w:before="31" w:after="31"/>
              <w:ind w:left="355"/>
              <w:jc w:val="left"/>
              <w:textAlignment w:val="baseline"/>
              <w:rPr>
                <w:rFonts w:ascii="宋体" w:hAnsi="宋体"/>
                <w:color w:val="000000"/>
                <w:kern w:val="0"/>
                <w:sz w:val="18"/>
                <w:szCs w:val="18"/>
              </w:rPr>
            </w:pPr>
            <w:r>
              <w:rPr>
                <w:rFonts w:hint="eastAsia" w:ascii="宋体" w:hAnsi="宋体"/>
                <w:color w:val="000000"/>
                <w:kern w:val="0"/>
                <w:sz w:val="18"/>
                <w:szCs w:val="18"/>
              </w:rPr>
              <w:t>情况</w:t>
            </w:r>
          </w:p>
        </w:tc>
        <w:tc>
          <w:tcPr>
            <w:tcW w:w="5301" w:type="dxa"/>
            <w:gridSpan w:val="2"/>
            <w:tcBorders>
              <w:top w:val="single" w:color="auto" w:sz="4" w:space="0"/>
              <w:bottom w:val="single" w:color="auto" w:sz="4" w:space="0"/>
            </w:tcBorders>
            <w:noWrap w:val="0"/>
            <w:vAlign w:val="center"/>
          </w:tcPr>
          <w:p w14:paraId="2E0C0F1E">
            <w:pPr>
              <w:widowControl/>
              <w:tabs>
                <w:tab w:val="left" w:pos="420"/>
                <w:tab w:val="left" w:pos="567"/>
                <w:tab w:val="right" w:leader="middleDot" w:pos="8495"/>
              </w:tabs>
              <w:kinsoku w:val="0"/>
              <w:autoSpaceDE w:val="0"/>
              <w:autoSpaceDN w:val="0"/>
              <w:snapToGrid w:val="0"/>
              <w:spacing w:before="31" w:after="31"/>
              <w:ind w:left="116" w:right="103"/>
              <w:jc w:val="left"/>
              <w:textAlignment w:val="baseline"/>
              <w:rPr>
                <w:rFonts w:ascii="宋体" w:hAnsi="宋体"/>
                <w:color w:val="000000"/>
                <w:spacing w:val="11"/>
                <w:kern w:val="0"/>
                <w:sz w:val="18"/>
                <w:szCs w:val="18"/>
              </w:rPr>
            </w:pPr>
            <w:r>
              <w:rPr>
                <w:rFonts w:hint="eastAsia" w:ascii="宋体" w:hAnsi="宋体"/>
                <w:color w:val="000000"/>
                <w:spacing w:val="11"/>
                <w:kern w:val="0"/>
                <w:sz w:val="18"/>
                <w:szCs w:val="18"/>
              </w:rPr>
              <w:t>标准执行单位或人员是否按照标准要求组织开展</w:t>
            </w:r>
          </w:p>
          <w:p w14:paraId="5A046AED">
            <w:pPr>
              <w:widowControl/>
              <w:tabs>
                <w:tab w:val="left" w:pos="420"/>
                <w:tab w:val="left" w:pos="567"/>
                <w:tab w:val="right" w:leader="middleDot" w:pos="8495"/>
              </w:tabs>
              <w:kinsoku w:val="0"/>
              <w:autoSpaceDE w:val="0"/>
              <w:autoSpaceDN w:val="0"/>
              <w:snapToGrid w:val="0"/>
              <w:spacing w:before="31" w:after="31"/>
              <w:ind w:left="116" w:right="103"/>
              <w:jc w:val="left"/>
              <w:textAlignment w:val="baseline"/>
              <w:rPr>
                <w:rFonts w:ascii="宋体" w:hAnsi="宋体"/>
                <w:color w:val="000000"/>
                <w:kern w:val="0"/>
                <w:sz w:val="18"/>
                <w:szCs w:val="18"/>
              </w:rPr>
            </w:pPr>
            <w:r>
              <w:rPr>
                <w:rFonts w:hint="eastAsia" w:ascii="宋体" w:hAnsi="宋体"/>
                <w:color w:val="000000"/>
                <w:spacing w:val="11"/>
                <w:kern w:val="0"/>
                <w:sz w:val="18"/>
                <w:szCs w:val="18"/>
              </w:rPr>
              <w:t>相关工作？</w:t>
            </w:r>
          </w:p>
        </w:tc>
        <w:tc>
          <w:tcPr>
            <w:tcW w:w="1384" w:type="dxa"/>
            <w:tcBorders>
              <w:top w:val="single" w:color="auto" w:sz="4" w:space="0"/>
              <w:bottom w:val="single" w:color="auto" w:sz="4" w:space="0"/>
            </w:tcBorders>
            <w:noWrap w:val="0"/>
            <w:vAlign w:val="center"/>
          </w:tcPr>
          <w:p w14:paraId="263340EA">
            <w:pPr>
              <w:widowControl/>
              <w:tabs>
                <w:tab w:val="left" w:pos="420"/>
                <w:tab w:val="left" w:pos="567"/>
                <w:tab w:val="right" w:leader="middleDot" w:pos="8495"/>
              </w:tabs>
              <w:kinsoku w:val="0"/>
              <w:autoSpaceDE w:val="0"/>
              <w:autoSpaceDN w:val="0"/>
              <w:snapToGrid w:val="0"/>
              <w:spacing w:before="31" w:after="31"/>
              <w:ind w:left="127"/>
              <w:jc w:val="left"/>
              <w:textAlignment w:val="baseline"/>
              <w:rPr>
                <w:rFonts w:ascii="宋体" w:hAnsi="宋体"/>
                <w:color w:val="000000"/>
                <w:kern w:val="0"/>
                <w:sz w:val="18"/>
                <w:szCs w:val="18"/>
              </w:rPr>
            </w:pPr>
            <w:r>
              <w:rPr>
                <w:rFonts w:ascii="宋体" w:hAnsi="宋体" w:eastAsia="Times New Roman"/>
                <w:color w:val="000000"/>
                <w:kern w:val="0"/>
                <w:sz w:val="18"/>
                <w:szCs w:val="18"/>
              </w:rPr>
              <w:drawing>
                <wp:inline distT="0" distB="0" distL="114300" distR="114300">
                  <wp:extent cx="114300" cy="114300"/>
                  <wp:effectExtent l="0" t="0" r="0" b="0"/>
                  <wp:docPr id="15" name="图片 6" descr="C:\Users\ADMINI~1.USE\AppData\Local\Temp\ksohtml11916\wp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descr="C:\Users\ADMINI~1.USE\AppData\Local\Temp\ksohtml11916\wps5.png"/>
                          <pic:cNvPicPr>
                            <a:picLocks noChangeAspect="1"/>
                          </pic:cNvPicPr>
                        </pic:nvPicPr>
                        <pic:blipFill>
                          <a:blip r:embed="rId34"/>
                          <a:stretch>
                            <a:fillRect/>
                          </a:stretch>
                        </pic:blipFill>
                        <pic:spPr>
                          <a:xfrm>
                            <a:off x="0" y="0"/>
                            <a:ext cx="114300" cy="114300"/>
                          </a:xfrm>
                          <a:prstGeom prst="rect">
                            <a:avLst/>
                          </a:prstGeom>
                          <a:noFill/>
                          <a:ln>
                            <a:noFill/>
                          </a:ln>
                        </pic:spPr>
                      </pic:pic>
                    </a:graphicData>
                  </a:graphic>
                </wp:inline>
              </w:drawing>
            </w:r>
            <w:r>
              <w:rPr>
                <w:rFonts w:hint="eastAsia" w:ascii="宋体" w:hAnsi="宋体"/>
                <w:color w:val="000000"/>
                <w:spacing w:val="22"/>
                <w:kern w:val="0"/>
                <w:sz w:val="18"/>
                <w:szCs w:val="18"/>
              </w:rPr>
              <w:t xml:space="preserve">是  </w:t>
            </w:r>
            <w:r>
              <w:rPr>
                <w:rFonts w:ascii="宋体" w:hAnsi="宋体" w:eastAsia="Times New Roman"/>
                <w:color w:val="000000"/>
                <w:kern w:val="0"/>
                <w:sz w:val="18"/>
                <w:szCs w:val="18"/>
              </w:rPr>
              <w:drawing>
                <wp:inline distT="0" distB="0" distL="114300" distR="114300">
                  <wp:extent cx="114300" cy="114300"/>
                  <wp:effectExtent l="0" t="0" r="0" b="0"/>
                  <wp:docPr id="23" name="图片 7" descr="C:\Users\ADMINI~1.USE\AppData\Local\Temp\ksohtml11916\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descr="C:\Users\ADMINI~1.USE\AppData\Local\Temp\ksohtml11916\wps6.png"/>
                          <pic:cNvPicPr>
                            <a:picLocks noChangeAspect="1"/>
                          </pic:cNvPicPr>
                        </pic:nvPicPr>
                        <pic:blipFill>
                          <a:blip r:embed="rId34"/>
                          <a:stretch>
                            <a:fillRect/>
                          </a:stretch>
                        </pic:blipFill>
                        <pic:spPr>
                          <a:xfrm>
                            <a:off x="0" y="0"/>
                            <a:ext cx="114300" cy="114300"/>
                          </a:xfrm>
                          <a:prstGeom prst="rect">
                            <a:avLst/>
                          </a:prstGeom>
                          <a:noFill/>
                          <a:ln>
                            <a:noFill/>
                          </a:ln>
                        </pic:spPr>
                      </pic:pic>
                    </a:graphicData>
                  </a:graphic>
                </wp:inline>
              </w:drawing>
            </w:r>
            <w:r>
              <w:rPr>
                <w:rFonts w:hint="eastAsia" w:ascii="宋体" w:hAnsi="宋体"/>
                <w:color w:val="000000"/>
                <w:spacing w:val="22"/>
                <w:kern w:val="0"/>
                <w:sz w:val="18"/>
                <w:szCs w:val="18"/>
              </w:rPr>
              <w:t>否</w:t>
            </w:r>
          </w:p>
        </w:tc>
      </w:tr>
      <w:tr w14:paraId="4D7A7F33">
        <w:tblPrEx>
          <w:tblBorders>
            <w:top w:val="single" w:color="auto" w:sz="12" w:space="0"/>
            <w:left w:val="single" w:color="auto" w:sz="12" w:space="0"/>
            <w:bottom w:val="single" w:color="auto" w:sz="12" w:space="0"/>
            <w:right w:val="single" w:color="auto" w:sz="12" w:space="0"/>
            <w:insideH w:val="none" w:color="auto" w:sz="0" w:space="0"/>
            <w:insideV w:val="single" w:color="auto" w:sz="4" w:space="0"/>
          </w:tblBorders>
          <w:tblCellMar>
            <w:top w:w="0" w:type="dxa"/>
            <w:left w:w="0" w:type="dxa"/>
            <w:bottom w:w="0" w:type="dxa"/>
            <w:right w:w="0" w:type="dxa"/>
          </w:tblCellMar>
        </w:tblPrEx>
        <w:trPr>
          <w:trHeight w:val="405" w:hRule="atLeast"/>
          <w:jc w:val="center"/>
        </w:trPr>
        <w:tc>
          <w:tcPr>
            <w:tcW w:w="1211" w:type="dxa"/>
            <w:vMerge w:val="restart"/>
            <w:tcBorders>
              <w:top w:val="single" w:color="auto" w:sz="4" w:space="0"/>
              <w:bottom w:val="single" w:color="auto" w:sz="4" w:space="0"/>
            </w:tcBorders>
            <w:noWrap w:val="0"/>
            <w:vAlign w:val="center"/>
          </w:tcPr>
          <w:p w14:paraId="69188C98">
            <w:pPr>
              <w:widowControl/>
              <w:tabs>
                <w:tab w:val="left" w:pos="420"/>
                <w:tab w:val="left" w:pos="567"/>
                <w:tab w:val="right" w:leader="middleDot" w:pos="8495"/>
              </w:tabs>
              <w:kinsoku w:val="0"/>
              <w:autoSpaceDE w:val="0"/>
              <w:autoSpaceDN w:val="0"/>
              <w:snapToGrid w:val="0"/>
              <w:spacing w:before="31" w:after="31"/>
              <w:ind w:left="143"/>
              <w:jc w:val="left"/>
              <w:textAlignment w:val="baseline"/>
              <w:rPr>
                <w:rFonts w:ascii="宋体" w:hAnsi="宋体"/>
                <w:color w:val="000000"/>
                <w:kern w:val="0"/>
                <w:sz w:val="18"/>
                <w:szCs w:val="18"/>
              </w:rPr>
            </w:pPr>
            <w:r>
              <w:rPr>
                <w:rFonts w:hint="eastAsia" w:ascii="宋体" w:hAnsi="宋体"/>
                <w:color w:val="000000"/>
                <w:spacing w:val="4"/>
                <w:kern w:val="0"/>
                <w:sz w:val="18"/>
                <w:szCs w:val="18"/>
              </w:rPr>
              <w:t>实施信息</w:t>
            </w:r>
          </w:p>
        </w:tc>
        <w:tc>
          <w:tcPr>
            <w:tcW w:w="6462" w:type="dxa"/>
            <w:gridSpan w:val="4"/>
            <w:tcBorders>
              <w:top w:val="single" w:color="auto" w:sz="4" w:space="0"/>
              <w:bottom w:val="single" w:color="auto" w:sz="4" w:space="0"/>
            </w:tcBorders>
            <w:noWrap w:val="0"/>
            <w:vAlign w:val="center"/>
          </w:tcPr>
          <w:p w14:paraId="4704C031">
            <w:pPr>
              <w:widowControl/>
              <w:tabs>
                <w:tab w:val="left" w:pos="420"/>
                <w:tab w:val="left" w:pos="567"/>
                <w:tab w:val="right" w:leader="middleDot" w:pos="8495"/>
              </w:tabs>
              <w:kinsoku w:val="0"/>
              <w:autoSpaceDE w:val="0"/>
              <w:autoSpaceDN w:val="0"/>
              <w:snapToGrid w:val="0"/>
              <w:spacing w:before="31" w:after="31"/>
              <w:ind w:left="111"/>
              <w:jc w:val="left"/>
              <w:textAlignment w:val="baseline"/>
              <w:rPr>
                <w:rFonts w:ascii="宋体" w:hAnsi="宋体"/>
                <w:color w:val="000000"/>
                <w:kern w:val="0"/>
                <w:sz w:val="18"/>
                <w:szCs w:val="18"/>
              </w:rPr>
            </w:pPr>
            <w:r>
              <w:rPr>
                <w:rFonts w:hint="eastAsia" w:ascii="宋体" w:hAnsi="宋体"/>
                <w:color w:val="000000"/>
                <w:spacing w:val="8"/>
                <w:kern w:val="0"/>
                <w:sz w:val="18"/>
                <w:szCs w:val="18"/>
              </w:rPr>
              <w:t>标准实施过程中是否存在阻力和障碍？</w:t>
            </w:r>
          </w:p>
        </w:tc>
        <w:tc>
          <w:tcPr>
            <w:tcW w:w="1384" w:type="dxa"/>
            <w:tcBorders>
              <w:top w:val="single" w:color="auto" w:sz="4" w:space="0"/>
              <w:bottom w:val="single" w:color="auto" w:sz="4" w:space="0"/>
            </w:tcBorders>
            <w:noWrap w:val="0"/>
            <w:vAlign w:val="center"/>
          </w:tcPr>
          <w:p w14:paraId="34CEEFE3">
            <w:pPr>
              <w:widowControl/>
              <w:tabs>
                <w:tab w:val="left" w:pos="420"/>
                <w:tab w:val="left" w:pos="567"/>
                <w:tab w:val="right" w:leader="middleDot" w:pos="8495"/>
              </w:tabs>
              <w:kinsoku w:val="0"/>
              <w:autoSpaceDE w:val="0"/>
              <w:autoSpaceDN w:val="0"/>
              <w:snapToGrid w:val="0"/>
              <w:spacing w:before="31" w:after="31"/>
              <w:ind w:left="127"/>
              <w:jc w:val="left"/>
              <w:textAlignment w:val="baseline"/>
              <w:rPr>
                <w:rFonts w:ascii="宋体" w:hAnsi="宋体"/>
                <w:color w:val="000000"/>
                <w:kern w:val="0"/>
                <w:sz w:val="18"/>
                <w:szCs w:val="18"/>
              </w:rPr>
            </w:pPr>
            <w:r>
              <w:rPr>
                <w:rFonts w:ascii="宋体" w:hAnsi="宋体" w:eastAsia="Times New Roman"/>
                <w:color w:val="000000"/>
                <w:kern w:val="0"/>
                <w:sz w:val="18"/>
                <w:szCs w:val="18"/>
              </w:rPr>
              <w:drawing>
                <wp:inline distT="0" distB="0" distL="114300" distR="114300">
                  <wp:extent cx="114300" cy="114300"/>
                  <wp:effectExtent l="0" t="0" r="0" b="0"/>
                  <wp:docPr id="13" name="图片 8" descr="C:\Users\ADMINI~1.USE\AppData\Local\Temp\ksohtml11916\wp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descr="C:\Users\ADMINI~1.USE\AppData\Local\Temp\ksohtml11916\wps7.png"/>
                          <pic:cNvPicPr>
                            <a:picLocks noChangeAspect="1"/>
                          </pic:cNvPicPr>
                        </pic:nvPicPr>
                        <pic:blipFill>
                          <a:blip r:embed="rId35"/>
                          <a:stretch>
                            <a:fillRect/>
                          </a:stretch>
                        </pic:blipFill>
                        <pic:spPr>
                          <a:xfrm>
                            <a:off x="0" y="0"/>
                            <a:ext cx="114300" cy="114300"/>
                          </a:xfrm>
                          <a:prstGeom prst="rect">
                            <a:avLst/>
                          </a:prstGeom>
                          <a:noFill/>
                          <a:ln>
                            <a:noFill/>
                          </a:ln>
                        </pic:spPr>
                      </pic:pic>
                    </a:graphicData>
                  </a:graphic>
                </wp:inline>
              </w:drawing>
            </w:r>
            <w:r>
              <w:rPr>
                <w:rFonts w:hint="eastAsia" w:ascii="宋体" w:hAnsi="宋体"/>
                <w:color w:val="000000"/>
                <w:spacing w:val="22"/>
                <w:kern w:val="0"/>
                <w:sz w:val="18"/>
                <w:szCs w:val="18"/>
              </w:rPr>
              <w:t xml:space="preserve">是  </w:t>
            </w:r>
            <w:r>
              <w:rPr>
                <w:rFonts w:ascii="宋体" w:hAnsi="宋体" w:eastAsia="Times New Roman"/>
                <w:color w:val="000000"/>
                <w:kern w:val="0"/>
                <w:sz w:val="18"/>
                <w:szCs w:val="18"/>
              </w:rPr>
              <w:drawing>
                <wp:inline distT="0" distB="0" distL="114300" distR="114300">
                  <wp:extent cx="114300" cy="114300"/>
                  <wp:effectExtent l="0" t="0" r="0" b="0"/>
                  <wp:docPr id="16" name="图片 9" descr="C:\Users\ADMINI~1.USE\AppData\Local\Temp\ksohtml11916\wps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descr="C:\Users\ADMINI~1.USE\AppData\Local\Temp\ksohtml11916\wps8.png"/>
                          <pic:cNvPicPr>
                            <a:picLocks noChangeAspect="1"/>
                          </pic:cNvPicPr>
                        </pic:nvPicPr>
                        <pic:blipFill>
                          <a:blip r:embed="rId35"/>
                          <a:stretch>
                            <a:fillRect/>
                          </a:stretch>
                        </pic:blipFill>
                        <pic:spPr>
                          <a:xfrm>
                            <a:off x="0" y="0"/>
                            <a:ext cx="114300" cy="114300"/>
                          </a:xfrm>
                          <a:prstGeom prst="rect">
                            <a:avLst/>
                          </a:prstGeom>
                          <a:noFill/>
                          <a:ln>
                            <a:noFill/>
                          </a:ln>
                        </pic:spPr>
                      </pic:pic>
                    </a:graphicData>
                  </a:graphic>
                </wp:inline>
              </w:drawing>
            </w:r>
            <w:r>
              <w:rPr>
                <w:rFonts w:hint="eastAsia" w:ascii="宋体" w:hAnsi="宋体"/>
                <w:color w:val="000000"/>
                <w:spacing w:val="22"/>
                <w:kern w:val="0"/>
                <w:sz w:val="18"/>
                <w:szCs w:val="18"/>
              </w:rPr>
              <w:t>否</w:t>
            </w:r>
          </w:p>
        </w:tc>
      </w:tr>
      <w:tr w14:paraId="428CC404">
        <w:tblPrEx>
          <w:tblBorders>
            <w:top w:val="single" w:color="auto" w:sz="12" w:space="0"/>
            <w:left w:val="single" w:color="auto" w:sz="12" w:space="0"/>
            <w:bottom w:val="single" w:color="auto" w:sz="12" w:space="0"/>
            <w:right w:val="single" w:color="auto" w:sz="12" w:space="0"/>
            <w:insideH w:val="none" w:color="auto" w:sz="0" w:space="0"/>
            <w:insideV w:val="single" w:color="auto" w:sz="4" w:space="0"/>
          </w:tblBorders>
          <w:tblCellMar>
            <w:top w:w="0" w:type="dxa"/>
            <w:left w:w="0" w:type="dxa"/>
            <w:bottom w:w="0" w:type="dxa"/>
            <w:right w:w="0" w:type="dxa"/>
          </w:tblCellMar>
        </w:tblPrEx>
        <w:trPr>
          <w:trHeight w:val="450" w:hRule="atLeast"/>
          <w:jc w:val="center"/>
        </w:trPr>
        <w:tc>
          <w:tcPr>
            <w:tcW w:w="1211" w:type="dxa"/>
            <w:vMerge w:val="continue"/>
            <w:tcBorders>
              <w:top w:val="single" w:color="auto" w:sz="4" w:space="0"/>
              <w:bottom w:val="single" w:color="auto" w:sz="4" w:space="0"/>
            </w:tcBorders>
            <w:noWrap w:val="0"/>
            <w:vAlign w:val="center"/>
          </w:tcPr>
          <w:p w14:paraId="43B8B6F4">
            <w:pPr>
              <w:widowControl/>
              <w:tabs>
                <w:tab w:val="left" w:pos="420"/>
                <w:tab w:val="left" w:pos="567"/>
                <w:tab w:val="right" w:leader="middleDot" w:pos="8495"/>
              </w:tabs>
              <w:spacing w:before="31" w:after="31"/>
              <w:jc w:val="left"/>
              <w:rPr>
                <w:rFonts w:ascii="宋体" w:hAnsi="宋体"/>
                <w:color w:val="000000"/>
                <w:kern w:val="0"/>
                <w:sz w:val="18"/>
                <w:szCs w:val="18"/>
              </w:rPr>
            </w:pPr>
          </w:p>
        </w:tc>
        <w:tc>
          <w:tcPr>
            <w:tcW w:w="3353" w:type="dxa"/>
            <w:gridSpan w:val="3"/>
            <w:tcBorders>
              <w:top w:val="single" w:color="auto" w:sz="4" w:space="0"/>
              <w:bottom w:val="single" w:color="auto" w:sz="4" w:space="0"/>
            </w:tcBorders>
            <w:noWrap w:val="0"/>
            <w:vAlign w:val="center"/>
          </w:tcPr>
          <w:p w14:paraId="1E2425FB">
            <w:pPr>
              <w:widowControl/>
              <w:tabs>
                <w:tab w:val="left" w:pos="420"/>
                <w:tab w:val="left" w:pos="567"/>
                <w:tab w:val="right" w:leader="middleDot" w:pos="8495"/>
              </w:tabs>
              <w:kinsoku w:val="0"/>
              <w:autoSpaceDE w:val="0"/>
              <w:autoSpaceDN w:val="0"/>
              <w:snapToGrid w:val="0"/>
              <w:spacing w:before="31" w:after="31"/>
              <w:ind w:left="125"/>
              <w:jc w:val="left"/>
              <w:textAlignment w:val="baseline"/>
              <w:rPr>
                <w:rFonts w:ascii="宋体" w:hAnsi="宋体"/>
                <w:color w:val="000000"/>
                <w:kern w:val="0"/>
                <w:sz w:val="18"/>
                <w:szCs w:val="18"/>
              </w:rPr>
            </w:pPr>
            <w:r>
              <w:rPr>
                <w:rFonts w:hint="eastAsia" w:ascii="宋体" w:hAnsi="宋体"/>
                <w:color w:val="000000"/>
                <w:spacing w:val="8"/>
                <w:kern w:val="0"/>
                <w:sz w:val="18"/>
                <w:szCs w:val="18"/>
              </w:rPr>
              <w:t>实施过程中存在的主要问题</w:t>
            </w:r>
          </w:p>
        </w:tc>
        <w:tc>
          <w:tcPr>
            <w:tcW w:w="4493" w:type="dxa"/>
            <w:gridSpan w:val="2"/>
            <w:tcBorders>
              <w:top w:val="single" w:color="auto" w:sz="4" w:space="0"/>
              <w:bottom w:val="single" w:color="auto" w:sz="4" w:space="0"/>
            </w:tcBorders>
            <w:noWrap w:val="0"/>
            <w:vAlign w:val="center"/>
          </w:tcPr>
          <w:p w14:paraId="31769BC1">
            <w:pPr>
              <w:tabs>
                <w:tab w:val="left" w:pos="420"/>
                <w:tab w:val="left" w:pos="567"/>
                <w:tab w:val="right" w:leader="middleDot" w:pos="8495"/>
              </w:tabs>
              <w:spacing w:before="31" w:after="31"/>
              <w:jc w:val="left"/>
              <w:rPr>
                <w:rFonts w:ascii="宋体" w:hAnsi="宋体" w:cs="Arial"/>
                <w:kern w:val="0"/>
                <w:sz w:val="18"/>
                <w:szCs w:val="18"/>
              </w:rPr>
            </w:pPr>
          </w:p>
        </w:tc>
      </w:tr>
      <w:tr w14:paraId="06B00D1E">
        <w:tblPrEx>
          <w:tblBorders>
            <w:top w:val="single" w:color="auto" w:sz="12" w:space="0"/>
            <w:left w:val="single" w:color="auto" w:sz="12" w:space="0"/>
            <w:bottom w:val="single" w:color="auto" w:sz="12" w:space="0"/>
            <w:right w:val="single" w:color="auto" w:sz="12" w:space="0"/>
            <w:insideH w:val="none" w:color="auto" w:sz="0" w:space="0"/>
            <w:insideV w:val="single" w:color="auto" w:sz="4" w:space="0"/>
          </w:tblBorders>
          <w:tblCellMar>
            <w:top w:w="0" w:type="dxa"/>
            <w:left w:w="0" w:type="dxa"/>
            <w:bottom w:w="0" w:type="dxa"/>
            <w:right w:w="0" w:type="dxa"/>
          </w:tblCellMar>
        </w:tblPrEx>
        <w:trPr>
          <w:trHeight w:val="1023" w:hRule="atLeast"/>
          <w:jc w:val="center"/>
        </w:trPr>
        <w:tc>
          <w:tcPr>
            <w:tcW w:w="1211" w:type="dxa"/>
            <w:vMerge w:val="restart"/>
            <w:tcBorders>
              <w:top w:val="single" w:color="auto" w:sz="4" w:space="0"/>
              <w:bottom w:val="single" w:color="auto" w:sz="4" w:space="0"/>
            </w:tcBorders>
            <w:noWrap w:val="0"/>
            <w:vAlign w:val="center"/>
          </w:tcPr>
          <w:p w14:paraId="769DA33B">
            <w:pPr>
              <w:widowControl/>
              <w:tabs>
                <w:tab w:val="left" w:pos="420"/>
                <w:tab w:val="left" w:pos="567"/>
                <w:tab w:val="right" w:leader="middleDot" w:pos="8495"/>
              </w:tabs>
              <w:kinsoku w:val="0"/>
              <w:autoSpaceDE w:val="0"/>
              <w:autoSpaceDN w:val="0"/>
              <w:snapToGrid w:val="0"/>
              <w:spacing w:before="31" w:after="31"/>
              <w:ind w:left="126"/>
              <w:jc w:val="left"/>
              <w:textAlignment w:val="baseline"/>
              <w:rPr>
                <w:rFonts w:ascii="宋体" w:hAnsi="宋体"/>
                <w:color w:val="000000"/>
                <w:kern w:val="0"/>
                <w:sz w:val="18"/>
                <w:szCs w:val="18"/>
              </w:rPr>
            </w:pPr>
            <w:r>
              <w:rPr>
                <w:rFonts w:hint="eastAsia" w:ascii="宋体" w:hAnsi="宋体"/>
                <w:color w:val="000000"/>
                <w:spacing w:val="8"/>
                <w:kern w:val="0"/>
                <w:sz w:val="18"/>
                <w:szCs w:val="18"/>
              </w:rPr>
              <w:t>修改意见</w:t>
            </w:r>
          </w:p>
        </w:tc>
        <w:tc>
          <w:tcPr>
            <w:tcW w:w="1161" w:type="dxa"/>
            <w:gridSpan w:val="2"/>
            <w:tcBorders>
              <w:top w:val="single" w:color="auto" w:sz="4" w:space="0"/>
              <w:bottom w:val="single" w:color="auto" w:sz="4" w:space="0"/>
            </w:tcBorders>
            <w:noWrap w:val="0"/>
            <w:vAlign w:val="center"/>
          </w:tcPr>
          <w:p w14:paraId="4F0E3762">
            <w:pPr>
              <w:widowControl/>
              <w:tabs>
                <w:tab w:val="left" w:pos="420"/>
                <w:tab w:val="left" w:pos="567"/>
                <w:tab w:val="right" w:leader="middleDot" w:pos="8495"/>
              </w:tabs>
              <w:kinsoku w:val="0"/>
              <w:autoSpaceDE w:val="0"/>
              <w:autoSpaceDN w:val="0"/>
              <w:snapToGrid w:val="0"/>
              <w:spacing w:before="31" w:after="31"/>
              <w:ind w:left="361"/>
              <w:jc w:val="left"/>
              <w:textAlignment w:val="baseline"/>
              <w:rPr>
                <w:rFonts w:ascii="宋体" w:hAnsi="宋体"/>
                <w:color w:val="000000"/>
                <w:kern w:val="0"/>
                <w:sz w:val="18"/>
                <w:szCs w:val="18"/>
              </w:rPr>
            </w:pPr>
            <w:r>
              <w:rPr>
                <w:rFonts w:hint="eastAsia" w:ascii="宋体" w:hAnsi="宋体"/>
                <w:color w:val="000000"/>
                <w:spacing w:val="-3"/>
                <w:kern w:val="0"/>
                <w:position w:val="12"/>
                <w:sz w:val="18"/>
                <w:szCs w:val="18"/>
              </w:rPr>
              <w:t>总体</w:t>
            </w:r>
          </w:p>
          <w:p w14:paraId="541F2F56">
            <w:pPr>
              <w:widowControl/>
              <w:tabs>
                <w:tab w:val="left" w:pos="420"/>
                <w:tab w:val="left" w:pos="567"/>
                <w:tab w:val="right" w:leader="middleDot" w:pos="8495"/>
              </w:tabs>
              <w:kinsoku w:val="0"/>
              <w:autoSpaceDE w:val="0"/>
              <w:autoSpaceDN w:val="0"/>
              <w:snapToGrid w:val="0"/>
              <w:spacing w:before="31" w:after="31"/>
              <w:ind w:left="361"/>
              <w:jc w:val="left"/>
              <w:textAlignment w:val="baseline"/>
              <w:rPr>
                <w:rFonts w:ascii="宋体" w:hAnsi="宋体"/>
                <w:color w:val="000000"/>
                <w:kern w:val="0"/>
                <w:sz w:val="18"/>
                <w:szCs w:val="18"/>
              </w:rPr>
            </w:pPr>
            <w:r>
              <w:rPr>
                <w:rFonts w:hint="eastAsia" w:ascii="宋体" w:hAnsi="宋体"/>
                <w:color w:val="000000"/>
                <w:spacing w:val="-3"/>
                <w:kern w:val="0"/>
                <w:sz w:val="18"/>
                <w:szCs w:val="18"/>
              </w:rPr>
              <w:t>意见</w:t>
            </w:r>
          </w:p>
        </w:tc>
        <w:tc>
          <w:tcPr>
            <w:tcW w:w="6685" w:type="dxa"/>
            <w:gridSpan w:val="3"/>
            <w:tcBorders>
              <w:top w:val="single" w:color="auto" w:sz="4" w:space="0"/>
              <w:bottom w:val="single" w:color="auto" w:sz="4" w:space="0"/>
            </w:tcBorders>
            <w:noWrap w:val="0"/>
            <w:vAlign w:val="center"/>
          </w:tcPr>
          <w:p w14:paraId="5F304BE4">
            <w:pPr>
              <w:widowControl/>
              <w:tabs>
                <w:tab w:val="left" w:pos="420"/>
                <w:tab w:val="left" w:pos="567"/>
                <w:tab w:val="right" w:leader="middleDot" w:pos="8495"/>
              </w:tabs>
              <w:kinsoku w:val="0"/>
              <w:autoSpaceDE w:val="0"/>
              <w:autoSpaceDN w:val="0"/>
              <w:snapToGrid w:val="0"/>
              <w:spacing w:before="31" w:after="31"/>
              <w:ind w:left="124"/>
              <w:jc w:val="left"/>
              <w:textAlignment w:val="baseline"/>
              <w:rPr>
                <w:rFonts w:ascii="宋体" w:hAnsi="宋体"/>
                <w:color w:val="000000"/>
                <w:kern w:val="0"/>
                <w:sz w:val="18"/>
                <w:szCs w:val="18"/>
              </w:rPr>
            </w:pPr>
            <w:r>
              <w:rPr>
                <w:rFonts w:ascii="宋体" w:hAnsi="宋体" w:eastAsia="Times New Roman"/>
                <w:color w:val="000000"/>
                <w:kern w:val="0"/>
                <w:sz w:val="18"/>
                <w:szCs w:val="18"/>
              </w:rPr>
              <w:drawing>
                <wp:inline distT="0" distB="0" distL="114300" distR="114300">
                  <wp:extent cx="114300" cy="114300"/>
                  <wp:effectExtent l="0" t="0" r="0" b="0"/>
                  <wp:docPr id="17" name="图片 10" descr="C:\Users\ADMINI~1.USE\AppData\Local\Temp\ksohtml11916\wp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0" descr="C:\Users\ADMINI~1.USE\AppData\Local\Temp\ksohtml11916\wps9.png"/>
                          <pic:cNvPicPr>
                            <a:picLocks noChangeAspect="1"/>
                          </pic:cNvPicPr>
                        </pic:nvPicPr>
                        <pic:blipFill>
                          <a:blip r:embed="rId34"/>
                          <a:stretch>
                            <a:fillRect/>
                          </a:stretch>
                        </pic:blipFill>
                        <pic:spPr>
                          <a:xfrm>
                            <a:off x="0" y="0"/>
                            <a:ext cx="114300" cy="114300"/>
                          </a:xfrm>
                          <a:prstGeom prst="rect">
                            <a:avLst/>
                          </a:prstGeom>
                          <a:noFill/>
                          <a:ln>
                            <a:noFill/>
                          </a:ln>
                        </pic:spPr>
                      </pic:pic>
                    </a:graphicData>
                  </a:graphic>
                </wp:inline>
              </w:drawing>
            </w:r>
            <w:r>
              <w:rPr>
                <w:rFonts w:hint="eastAsia" w:ascii="宋体" w:hAnsi="宋体"/>
                <w:color w:val="000000"/>
                <w:spacing w:val="14"/>
                <w:kern w:val="0"/>
                <w:sz w:val="18"/>
                <w:szCs w:val="18"/>
              </w:rPr>
              <w:t xml:space="preserve">适用    </w:t>
            </w:r>
            <w:r>
              <w:rPr>
                <w:rFonts w:ascii="宋体" w:hAnsi="宋体" w:eastAsia="Times New Roman"/>
                <w:color w:val="000000"/>
                <w:kern w:val="0"/>
                <w:sz w:val="18"/>
                <w:szCs w:val="18"/>
              </w:rPr>
              <w:drawing>
                <wp:inline distT="0" distB="0" distL="114300" distR="114300">
                  <wp:extent cx="114300" cy="114300"/>
                  <wp:effectExtent l="0" t="0" r="0" b="0"/>
                  <wp:docPr id="18" name="图片 11" descr="C:\Users\ADMINI~1.USE\AppData\Local\Temp\ksohtml11916\wp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1" descr="C:\Users\ADMINI~1.USE\AppData\Local\Temp\ksohtml11916\wps10.png"/>
                          <pic:cNvPicPr>
                            <a:picLocks noChangeAspect="1"/>
                          </pic:cNvPicPr>
                        </pic:nvPicPr>
                        <pic:blipFill>
                          <a:blip r:embed="rId36"/>
                          <a:stretch>
                            <a:fillRect/>
                          </a:stretch>
                        </pic:blipFill>
                        <pic:spPr>
                          <a:xfrm>
                            <a:off x="0" y="0"/>
                            <a:ext cx="114300" cy="114300"/>
                          </a:xfrm>
                          <a:prstGeom prst="rect">
                            <a:avLst/>
                          </a:prstGeom>
                          <a:noFill/>
                          <a:ln>
                            <a:noFill/>
                          </a:ln>
                        </pic:spPr>
                      </pic:pic>
                    </a:graphicData>
                  </a:graphic>
                </wp:inline>
              </w:drawing>
            </w:r>
            <w:r>
              <w:rPr>
                <w:rFonts w:hint="eastAsia" w:ascii="宋体" w:hAnsi="宋体"/>
                <w:color w:val="000000"/>
                <w:spacing w:val="14"/>
                <w:kern w:val="0"/>
                <w:sz w:val="18"/>
                <w:szCs w:val="18"/>
              </w:rPr>
              <w:t xml:space="preserve">修改    </w:t>
            </w:r>
            <w:r>
              <w:rPr>
                <w:rFonts w:ascii="宋体" w:hAnsi="宋体" w:eastAsia="Times New Roman"/>
                <w:color w:val="000000"/>
                <w:kern w:val="0"/>
                <w:sz w:val="18"/>
                <w:szCs w:val="18"/>
              </w:rPr>
              <w:drawing>
                <wp:inline distT="0" distB="0" distL="114300" distR="114300">
                  <wp:extent cx="114300" cy="114300"/>
                  <wp:effectExtent l="0" t="0" r="0" b="0"/>
                  <wp:docPr id="19" name="图片 12" descr="C:\Users\ADMINI~1.USE\AppData\Local\Temp\ksohtml11916\wp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2" descr="C:\Users\ADMINI~1.USE\AppData\Local\Temp\ksohtml11916\wps11.png"/>
                          <pic:cNvPicPr>
                            <a:picLocks noChangeAspect="1"/>
                          </pic:cNvPicPr>
                        </pic:nvPicPr>
                        <pic:blipFill>
                          <a:blip r:embed="rId36"/>
                          <a:stretch>
                            <a:fillRect/>
                          </a:stretch>
                        </pic:blipFill>
                        <pic:spPr>
                          <a:xfrm>
                            <a:off x="0" y="0"/>
                            <a:ext cx="114300" cy="114300"/>
                          </a:xfrm>
                          <a:prstGeom prst="rect">
                            <a:avLst/>
                          </a:prstGeom>
                          <a:noFill/>
                          <a:ln>
                            <a:noFill/>
                          </a:ln>
                        </pic:spPr>
                      </pic:pic>
                    </a:graphicData>
                  </a:graphic>
                </wp:inline>
              </w:drawing>
            </w:r>
            <w:r>
              <w:rPr>
                <w:rFonts w:hint="eastAsia" w:ascii="宋体" w:hAnsi="宋体"/>
                <w:color w:val="000000"/>
                <w:spacing w:val="14"/>
                <w:kern w:val="0"/>
                <w:sz w:val="18"/>
                <w:szCs w:val="18"/>
              </w:rPr>
              <w:t>废止</w:t>
            </w:r>
          </w:p>
        </w:tc>
      </w:tr>
      <w:tr w14:paraId="7EE231D5">
        <w:tblPrEx>
          <w:tblBorders>
            <w:top w:val="single" w:color="auto" w:sz="12" w:space="0"/>
            <w:left w:val="single" w:color="auto" w:sz="12" w:space="0"/>
            <w:bottom w:val="single" w:color="auto" w:sz="12" w:space="0"/>
            <w:right w:val="single" w:color="auto" w:sz="12" w:space="0"/>
            <w:insideH w:val="none" w:color="auto" w:sz="0" w:space="0"/>
            <w:insideV w:val="single" w:color="auto" w:sz="4" w:space="0"/>
          </w:tblBorders>
          <w:tblCellMar>
            <w:top w:w="0" w:type="dxa"/>
            <w:left w:w="0" w:type="dxa"/>
            <w:bottom w:w="0" w:type="dxa"/>
            <w:right w:w="0" w:type="dxa"/>
          </w:tblCellMar>
        </w:tblPrEx>
        <w:trPr>
          <w:trHeight w:val="1089" w:hRule="atLeast"/>
          <w:jc w:val="center"/>
        </w:trPr>
        <w:tc>
          <w:tcPr>
            <w:tcW w:w="1211" w:type="dxa"/>
            <w:vMerge w:val="continue"/>
            <w:tcBorders>
              <w:top w:val="single" w:color="auto" w:sz="4" w:space="0"/>
              <w:bottom w:val="single" w:color="auto" w:sz="4" w:space="0"/>
            </w:tcBorders>
            <w:noWrap w:val="0"/>
            <w:vAlign w:val="center"/>
          </w:tcPr>
          <w:p w14:paraId="48DAA0E1">
            <w:pPr>
              <w:widowControl/>
              <w:tabs>
                <w:tab w:val="left" w:pos="420"/>
                <w:tab w:val="left" w:pos="567"/>
                <w:tab w:val="right" w:leader="middleDot" w:pos="8495"/>
              </w:tabs>
              <w:spacing w:before="31" w:after="31"/>
              <w:jc w:val="left"/>
              <w:rPr>
                <w:rFonts w:ascii="宋体" w:hAnsi="宋体"/>
                <w:color w:val="000000"/>
                <w:kern w:val="0"/>
                <w:sz w:val="18"/>
                <w:szCs w:val="18"/>
              </w:rPr>
            </w:pPr>
          </w:p>
        </w:tc>
        <w:tc>
          <w:tcPr>
            <w:tcW w:w="1161" w:type="dxa"/>
            <w:gridSpan w:val="2"/>
            <w:tcBorders>
              <w:top w:val="single" w:color="auto" w:sz="4" w:space="0"/>
              <w:bottom w:val="single" w:color="auto" w:sz="4" w:space="0"/>
            </w:tcBorders>
            <w:noWrap w:val="0"/>
            <w:vAlign w:val="center"/>
          </w:tcPr>
          <w:p w14:paraId="175EE924">
            <w:pPr>
              <w:widowControl/>
              <w:tabs>
                <w:tab w:val="left" w:pos="420"/>
                <w:tab w:val="left" w:pos="567"/>
                <w:tab w:val="right" w:leader="middleDot" w:pos="8495"/>
              </w:tabs>
              <w:kinsoku w:val="0"/>
              <w:autoSpaceDE w:val="0"/>
              <w:autoSpaceDN w:val="0"/>
              <w:snapToGrid w:val="0"/>
              <w:spacing w:before="31" w:after="31"/>
              <w:ind w:left="233"/>
              <w:jc w:val="left"/>
              <w:textAlignment w:val="baseline"/>
              <w:rPr>
                <w:rFonts w:ascii="宋体" w:hAnsi="宋体"/>
                <w:color w:val="000000"/>
                <w:kern w:val="0"/>
                <w:sz w:val="18"/>
                <w:szCs w:val="18"/>
              </w:rPr>
            </w:pPr>
            <w:r>
              <w:rPr>
                <w:rFonts w:hint="eastAsia" w:ascii="宋体" w:hAnsi="宋体"/>
                <w:color w:val="000000"/>
                <w:spacing w:val="4"/>
                <w:kern w:val="0"/>
                <w:position w:val="12"/>
                <w:sz w:val="18"/>
                <w:szCs w:val="18"/>
              </w:rPr>
              <w:t>具体修</w:t>
            </w:r>
          </w:p>
          <w:p w14:paraId="466A3F5B">
            <w:pPr>
              <w:widowControl/>
              <w:tabs>
                <w:tab w:val="left" w:pos="420"/>
                <w:tab w:val="left" w:pos="567"/>
                <w:tab w:val="right" w:leader="middleDot" w:pos="8495"/>
              </w:tabs>
              <w:kinsoku w:val="0"/>
              <w:autoSpaceDE w:val="0"/>
              <w:autoSpaceDN w:val="0"/>
              <w:snapToGrid w:val="0"/>
              <w:spacing w:before="31" w:after="31"/>
              <w:ind w:left="251"/>
              <w:jc w:val="left"/>
              <w:textAlignment w:val="baseline"/>
              <w:rPr>
                <w:rFonts w:ascii="宋体" w:hAnsi="宋体"/>
                <w:color w:val="000000"/>
                <w:kern w:val="0"/>
                <w:sz w:val="18"/>
                <w:szCs w:val="18"/>
              </w:rPr>
            </w:pPr>
            <w:r>
              <w:rPr>
                <w:rFonts w:hint="eastAsia" w:ascii="宋体" w:hAnsi="宋体"/>
                <w:color w:val="000000"/>
                <w:spacing w:val="-2"/>
                <w:kern w:val="0"/>
                <w:sz w:val="18"/>
                <w:szCs w:val="18"/>
              </w:rPr>
              <w:t>改意见</w:t>
            </w:r>
          </w:p>
        </w:tc>
        <w:tc>
          <w:tcPr>
            <w:tcW w:w="6685" w:type="dxa"/>
            <w:gridSpan w:val="3"/>
            <w:tcBorders>
              <w:top w:val="single" w:color="auto" w:sz="4" w:space="0"/>
              <w:bottom w:val="single" w:color="auto" w:sz="4" w:space="0"/>
            </w:tcBorders>
            <w:noWrap w:val="0"/>
            <w:vAlign w:val="center"/>
          </w:tcPr>
          <w:p w14:paraId="7BD3B9B3">
            <w:pPr>
              <w:widowControl/>
              <w:tabs>
                <w:tab w:val="left" w:pos="420"/>
                <w:tab w:val="left" w:pos="567"/>
                <w:tab w:val="right" w:leader="middleDot" w:pos="8495"/>
              </w:tabs>
              <w:kinsoku w:val="0"/>
              <w:autoSpaceDE w:val="0"/>
              <w:autoSpaceDN w:val="0"/>
              <w:snapToGrid w:val="0"/>
              <w:spacing w:before="31" w:after="31"/>
              <w:ind w:left="127"/>
              <w:jc w:val="left"/>
              <w:textAlignment w:val="baseline"/>
              <w:rPr>
                <w:rFonts w:ascii="宋体" w:hAnsi="宋体"/>
                <w:color w:val="000000"/>
                <w:kern w:val="0"/>
                <w:sz w:val="18"/>
                <w:szCs w:val="18"/>
              </w:rPr>
            </w:pPr>
            <w:r>
              <w:rPr>
                <w:rFonts w:hint="eastAsia" w:ascii="宋体" w:hAnsi="宋体"/>
                <w:color w:val="000000"/>
                <w:spacing w:val="4"/>
                <w:kern w:val="0"/>
                <w:sz w:val="18"/>
                <w:szCs w:val="18"/>
              </w:rPr>
              <w:t>需修改章节：</w:t>
            </w:r>
          </w:p>
          <w:p w14:paraId="60346A88">
            <w:pPr>
              <w:widowControl/>
              <w:tabs>
                <w:tab w:val="left" w:pos="420"/>
                <w:tab w:val="left" w:pos="567"/>
                <w:tab w:val="right" w:leader="middleDot" w:pos="8495"/>
              </w:tabs>
              <w:kinsoku w:val="0"/>
              <w:autoSpaceDE w:val="0"/>
              <w:autoSpaceDN w:val="0"/>
              <w:snapToGrid w:val="0"/>
              <w:spacing w:before="31" w:after="31"/>
              <w:ind w:left="121"/>
              <w:jc w:val="left"/>
              <w:textAlignment w:val="baseline"/>
              <w:rPr>
                <w:rFonts w:ascii="宋体" w:hAnsi="宋体"/>
                <w:color w:val="000000"/>
                <w:kern w:val="0"/>
                <w:sz w:val="18"/>
                <w:szCs w:val="18"/>
              </w:rPr>
            </w:pPr>
            <w:r>
              <w:rPr>
                <w:rFonts w:hint="eastAsia" w:ascii="宋体" w:hAnsi="宋体"/>
                <w:color w:val="000000"/>
                <w:spacing w:val="6"/>
                <w:kern w:val="0"/>
                <w:sz w:val="18"/>
                <w:szCs w:val="18"/>
              </w:rPr>
              <w:t>具体修改意见：</w:t>
            </w:r>
          </w:p>
        </w:tc>
      </w:tr>
      <w:tr w14:paraId="17BCD85C">
        <w:tblPrEx>
          <w:tblBorders>
            <w:top w:val="single" w:color="auto" w:sz="12" w:space="0"/>
            <w:left w:val="single" w:color="auto" w:sz="12" w:space="0"/>
            <w:bottom w:val="single" w:color="auto" w:sz="12" w:space="0"/>
            <w:right w:val="single" w:color="auto" w:sz="12" w:space="0"/>
            <w:insideH w:val="none" w:color="auto" w:sz="0" w:space="0"/>
            <w:insideV w:val="single" w:color="auto" w:sz="4" w:space="0"/>
          </w:tblBorders>
          <w:tblCellMar>
            <w:top w:w="0" w:type="dxa"/>
            <w:left w:w="0" w:type="dxa"/>
            <w:bottom w:w="0" w:type="dxa"/>
            <w:right w:w="0" w:type="dxa"/>
          </w:tblCellMar>
        </w:tblPrEx>
        <w:trPr>
          <w:trHeight w:val="1916" w:hRule="atLeast"/>
          <w:jc w:val="center"/>
        </w:trPr>
        <w:tc>
          <w:tcPr>
            <w:tcW w:w="1211" w:type="dxa"/>
            <w:tcBorders>
              <w:top w:val="single" w:color="auto" w:sz="4" w:space="0"/>
              <w:bottom w:val="single" w:color="auto" w:sz="4" w:space="0"/>
            </w:tcBorders>
            <w:noWrap w:val="0"/>
            <w:vAlign w:val="center"/>
          </w:tcPr>
          <w:p w14:paraId="60C7BD7B">
            <w:pPr>
              <w:widowControl/>
              <w:tabs>
                <w:tab w:val="left" w:pos="420"/>
                <w:tab w:val="left" w:pos="567"/>
                <w:tab w:val="right" w:leader="middleDot" w:pos="8495"/>
              </w:tabs>
              <w:kinsoku w:val="0"/>
              <w:autoSpaceDE w:val="0"/>
              <w:autoSpaceDN w:val="0"/>
              <w:snapToGrid w:val="0"/>
              <w:spacing w:before="31" w:after="31"/>
              <w:ind w:left="132"/>
              <w:jc w:val="left"/>
              <w:textAlignment w:val="baseline"/>
              <w:rPr>
                <w:rFonts w:ascii="宋体" w:hAnsi="宋体"/>
                <w:color w:val="000000"/>
                <w:kern w:val="0"/>
                <w:sz w:val="18"/>
                <w:szCs w:val="18"/>
              </w:rPr>
            </w:pPr>
            <w:r>
              <w:rPr>
                <w:rFonts w:hint="eastAsia" w:ascii="宋体" w:hAnsi="宋体"/>
                <w:color w:val="000000"/>
                <w:spacing w:val="7"/>
                <w:kern w:val="0"/>
                <w:sz w:val="18"/>
                <w:szCs w:val="18"/>
              </w:rPr>
              <w:t>反馈渠道</w:t>
            </w:r>
          </w:p>
        </w:tc>
        <w:tc>
          <w:tcPr>
            <w:tcW w:w="7846" w:type="dxa"/>
            <w:gridSpan w:val="5"/>
            <w:tcBorders>
              <w:top w:val="single" w:color="auto" w:sz="4" w:space="0"/>
              <w:bottom w:val="single" w:color="auto" w:sz="4" w:space="0"/>
            </w:tcBorders>
            <w:noWrap w:val="0"/>
            <w:vAlign w:val="center"/>
          </w:tcPr>
          <w:p w14:paraId="7B4322AF">
            <w:pPr>
              <w:widowControl/>
              <w:tabs>
                <w:tab w:val="left" w:pos="420"/>
                <w:tab w:val="left" w:pos="567"/>
                <w:tab w:val="right" w:leader="middleDot" w:pos="8495"/>
              </w:tabs>
              <w:kinsoku w:val="0"/>
              <w:autoSpaceDE w:val="0"/>
              <w:autoSpaceDN w:val="0"/>
              <w:snapToGrid w:val="0"/>
              <w:spacing w:before="31" w:after="31"/>
              <w:ind w:left="124"/>
              <w:jc w:val="left"/>
              <w:textAlignment w:val="baseline"/>
              <w:rPr>
                <w:rFonts w:ascii="宋体" w:hAnsi="宋体"/>
                <w:color w:val="000000"/>
                <w:kern w:val="0"/>
                <w:sz w:val="18"/>
                <w:szCs w:val="18"/>
              </w:rPr>
            </w:pPr>
            <w:r>
              <w:rPr>
                <w:rFonts w:ascii="宋体" w:hAnsi="宋体" w:eastAsia="Times New Roman"/>
                <w:color w:val="000000"/>
                <w:kern w:val="0"/>
                <w:sz w:val="18"/>
                <w:szCs w:val="18"/>
              </w:rPr>
              <w:drawing>
                <wp:inline distT="0" distB="0" distL="114300" distR="114300">
                  <wp:extent cx="114300" cy="114300"/>
                  <wp:effectExtent l="0" t="0" r="0" b="0"/>
                  <wp:docPr id="25" name="图片 13" descr="C:\Users\ADMINI~1.USE\AppData\Local\Temp\ksohtml11916\wps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3" descr="C:\Users\ADMINI~1.USE\AppData\Local\Temp\ksohtml11916\wps12.png"/>
                          <pic:cNvPicPr>
                            <a:picLocks noChangeAspect="1"/>
                          </pic:cNvPicPr>
                        </pic:nvPicPr>
                        <pic:blipFill>
                          <a:blip r:embed="rId37"/>
                          <a:stretch>
                            <a:fillRect/>
                          </a:stretch>
                        </pic:blipFill>
                        <pic:spPr>
                          <a:xfrm>
                            <a:off x="0" y="0"/>
                            <a:ext cx="114300" cy="114300"/>
                          </a:xfrm>
                          <a:prstGeom prst="rect">
                            <a:avLst/>
                          </a:prstGeom>
                          <a:noFill/>
                          <a:ln>
                            <a:noFill/>
                          </a:ln>
                        </pic:spPr>
                      </pic:pic>
                    </a:graphicData>
                  </a:graphic>
                </wp:inline>
              </w:drawing>
            </w:r>
            <w:r>
              <w:rPr>
                <w:rFonts w:hint="eastAsia" w:ascii="宋体" w:hAnsi="宋体"/>
                <w:color w:val="000000"/>
                <w:spacing w:val="12"/>
                <w:kern w:val="0"/>
                <w:sz w:val="18"/>
                <w:szCs w:val="18"/>
              </w:rPr>
              <w:t>标准化行政主管部门</w:t>
            </w:r>
          </w:p>
          <w:p w14:paraId="68B52B71">
            <w:pPr>
              <w:widowControl/>
              <w:tabs>
                <w:tab w:val="left" w:pos="420"/>
                <w:tab w:val="left" w:pos="567"/>
                <w:tab w:val="right" w:leader="middleDot" w:pos="8495"/>
              </w:tabs>
              <w:kinsoku w:val="0"/>
              <w:autoSpaceDE w:val="0"/>
              <w:autoSpaceDN w:val="0"/>
              <w:snapToGrid w:val="0"/>
              <w:spacing w:before="31" w:after="31"/>
              <w:ind w:left="124"/>
              <w:jc w:val="left"/>
              <w:textAlignment w:val="baseline"/>
              <w:rPr>
                <w:rFonts w:ascii="宋体" w:hAnsi="宋体"/>
                <w:color w:val="000000"/>
                <w:kern w:val="0"/>
                <w:sz w:val="18"/>
                <w:szCs w:val="18"/>
              </w:rPr>
            </w:pPr>
            <w:r>
              <w:rPr>
                <w:rFonts w:ascii="宋体" w:hAnsi="宋体" w:eastAsia="Times New Roman"/>
                <w:color w:val="000000"/>
                <w:kern w:val="0"/>
                <w:sz w:val="18"/>
                <w:szCs w:val="18"/>
              </w:rPr>
              <w:drawing>
                <wp:inline distT="0" distB="0" distL="114300" distR="114300">
                  <wp:extent cx="114300" cy="114300"/>
                  <wp:effectExtent l="0" t="0" r="0" b="0"/>
                  <wp:docPr id="24" name="图片 14" descr="C:\Users\ADMINI~1.USE\AppData\Local\Temp\ksohtml11916\wps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4" descr="C:\Users\ADMINI~1.USE\AppData\Local\Temp\ksohtml11916\wps13.png"/>
                          <pic:cNvPicPr>
                            <a:picLocks noChangeAspect="1"/>
                          </pic:cNvPicPr>
                        </pic:nvPicPr>
                        <pic:blipFill>
                          <a:blip r:embed="rId38"/>
                          <a:stretch>
                            <a:fillRect/>
                          </a:stretch>
                        </pic:blipFill>
                        <pic:spPr>
                          <a:xfrm>
                            <a:off x="0" y="0"/>
                            <a:ext cx="114300" cy="114300"/>
                          </a:xfrm>
                          <a:prstGeom prst="rect">
                            <a:avLst/>
                          </a:prstGeom>
                          <a:noFill/>
                          <a:ln>
                            <a:noFill/>
                          </a:ln>
                        </pic:spPr>
                      </pic:pic>
                    </a:graphicData>
                  </a:graphic>
                </wp:inline>
              </w:drawing>
            </w:r>
            <w:r>
              <w:rPr>
                <w:rFonts w:hint="eastAsia" w:ascii="宋体" w:hAnsi="宋体"/>
                <w:color w:val="000000"/>
                <w:spacing w:val="12"/>
                <w:kern w:val="0"/>
                <w:sz w:val="18"/>
                <w:szCs w:val="18"/>
              </w:rPr>
              <w:t>省直行业主管部门</w:t>
            </w:r>
          </w:p>
          <w:p w14:paraId="0F1C9C08">
            <w:pPr>
              <w:widowControl/>
              <w:tabs>
                <w:tab w:val="left" w:pos="420"/>
                <w:tab w:val="left" w:pos="567"/>
                <w:tab w:val="right" w:leader="middleDot" w:pos="8495"/>
              </w:tabs>
              <w:kinsoku w:val="0"/>
              <w:autoSpaceDE w:val="0"/>
              <w:autoSpaceDN w:val="0"/>
              <w:snapToGrid w:val="0"/>
              <w:spacing w:before="31" w:after="31"/>
              <w:ind w:left="124"/>
              <w:jc w:val="left"/>
              <w:textAlignment w:val="baseline"/>
              <w:rPr>
                <w:rFonts w:ascii="宋体" w:hAnsi="宋体"/>
                <w:color w:val="000000"/>
                <w:kern w:val="0"/>
                <w:sz w:val="18"/>
                <w:szCs w:val="18"/>
              </w:rPr>
            </w:pPr>
            <w:r>
              <w:rPr>
                <w:rFonts w:ascii="宋体" w:hAnsi="宋体" w:eastAsia="Times New Roman"/>
                <w:color w:val="000000"/>
                <w:kern w:val="0"/>
                <w:sz w:val="18"/>
                <w:szCs w:val="18"/>
              </w:rPr>
              <w:drawing>
                <wp:inline distT="0" distB="0" distL="114300" distR="114300">
                  <wp:extent cx="114300" cy="114300"/>
                  <wp:effectExtent l="0" t="0" r="0" b="0"/>
                  <wp:docPr id="20" name="图片 15" descr="C:\Users\ADMINI~1.USE\AppData\Local\Temp\ksohtml11916\wps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5" descr="C:\Users\ADMINI~1.USE\AppData\Local\Temp\ksohtml11916\wps14.png"/>
                          <pic:cNvPicPr>
                            <a:picLocks noChangeAspect="1"/>
                          </pic:cNvPicPr>
                        </pic:nvPicPr>
                        <pic:blipFill>
                          <a:blip r:embed="rId37"/>
                          <a:stretch>
                            <a:fillRect/>
                          </a:stretch>
                        </pic:blipFill>
                        <pic:spPr>
                          <a:xfrm>
                            <a:off x="0" y="0"/>
                            <a:ext cx="114300" cy="114300"/>
                          </a:xfrm>
                          <a:prstGeom prst="rect">
                            <a:avLst/>
                          </a:prstGeom>
                          <a:noFill/>
                          <a:ln>
                            <a:noFill/>
                          </a:ln>
                        </pic:spPr>
                      </pic:pic>
                    </a:graphicData>
                  </a:graphic>
                </wp:inline>
              </w:drawing>
            </w:r>
            <w:r>
              <w:rPr>
                <w:rFonts w:hint="eastAsia" w:ascii="宋体" w:hAnsi="宋体"/>
                <w:color w:val="000000"/>
                <w:spacing w:val="10"/>
                <w:kern w:val="0"/>
                <w:sz w:val="18"/>
                <w:szCs w:val="18"/>
              </w:rPr>
              <w:t>专业标准化技术委员会（工作组）</w:t>
            </w:r>
          </w:p>
          <w:p w14:paraId="0CC57BF9">
            <w:pPr>
              <w:widowControl/>
              <w:tabs>
                <w:tab w:val="left" w:pos="420"/>
                <w:tab w:val="left" w:pos="567"/>
                <w:tab w:val="right" w:leader="middleDot" w:pos="8495"/>
              </w:tabs>
              <w:kinsoku w:val="0"/>
              <w:autoSpaceDE w:val="0"/>
              <w:autoSpaceDN w:val="0"/>
              <w:snapToGrid w:val="0"/>
              <w:spacing w:before="31" w:after="31"/>
              <w:ind w:left="124"/>
              <w:jc w:val="left"/>
              <w:textAlignment w:val="baseline"/>
              <w:rPr>
                <w:rFonts w:ascii="宋体" w:hAnsi="宋体"/>
                <w:color w:val="000000"/>
                <w:kern w:val="0"/>
                <w:sz w:val="18"/>
                <w:szCs w:val="18"/>
              </w:rPr>
            </w:pPr>
            <w:r>
              <w:rPr>
                <w:rFonts w:ascii="宋体" w:hAnsi="宋体" w:eastAsia="Times New Roman"/>
                <w:color w:val="000000"/>
                <w:kern w:val="0"/>
                <w:sz w:val="18"/>
                <w:szCs w:val="18"/>
              </w:rPr>
              <w:drawing>
                <wp:inline distT="0" distB="0" distL="114300" distR="114300">
                  <wp:extent cx="114300" cy="114300"/>
                  <wp:effectExtent l="0" t="0" r="0" b="0"/>
                  <wp:docPr id="21" name="图片 16" descr="C:\Users\ADMINI~1.USE\AppData\Local\Temp\ksohtml11916\wps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6" descr="C:\Users\ADMINI~1.USE\AppData\Local\Temp\ksohtml11916\wps15.png"/>
                          <pic:cNvPicPr>
                            <a:picLocks noChangeAspect="1"/>
                          </pic:cNvPicPr>
                        </pic:nvPicPr>
                        <pic:blipFill>
                          <a:blip r:embed="rId37"/>
                          <a:stretch>
                            <a:fillRect/>
                          </a:stretch>
                        </pic:blipFill>
                        <pic:spPr>
                          <a:xfrm>
                            <a:off x="0" y="0"/>
                            <a:ext cx="114300" cy="114300"/>
                          </a:xfrm>
                          <a:prstGeom prst="rect">
                            <a:avLst/>
                          </a:prstGeom>
                          <a:noFill/>
                          <a:ln>
                            <a:noFill/>
                          </a:ln>
                        </pic:spPr>
                      </pic:pic>
                    </a:graphicData>
                  </a:graphic>
                </wp:inline>
              </w:drawing>
            </w:r>
            <w:r>
              <w:rPr>
                <w:rFonts w:hint="eastAsia" w:ascii="宋体" w:hAnsi="宋体"/>
                <w:color w:val="000000"/>
                <w:spacing w:val="11"/>
                <w:kern w:val="0"/>
                <w:sz w:val="18"/>
                <w:szCs w:val="18"/>
              </w:rPr>
              <w:t>标准起草组（牵头起草单位）</w:t>
            </w:r>
          </w:p>
        </w:tc>
      </w:tr>
      <w:tr w14:paraId="1A5EA4FE">
        <w:tblPrEx>
          <w:tblBorders>
            <w:top w:val="single" w:color="auto" w:sz="12" w:space="0"/>
            <w:left w:val="single" w:color="auto" w:sz="12" w:space="0"/>
            <w:bottom w:val="single" w:color="auto" w:sz="12" w:space="0"/>
            <w:right w:val="single" w:color="auto" w:sz="12" w:space="0"/>
            <w:insideH w:val="none" w:color="auto" w:sz="0" w:space="0"/>
            <w:insideV w:val="single" w:color="auto" w:sz="4" w:space="0"/>
          </w:tblBorders>
          <w:tblCellMar>
            <w:top w:w="0" w:type="dxa"/>
            <w:left w:w="0" w:type="dxa"/>
            <w:bottom w:w="0" w:type="dxa"/>
            <w:right w:w="0" w:type="dxa"/>
          </w:tblCellMar>
        </w:tblPrEx>
        <w:trPr>
          <w:trHeight w:val="1224" w:hRule="atLeast"/>
          <w:jc w:val="center"/>
        </w:trPr>
        <w:tc>
          <w:tcPr>
            <w:tcW w:w="1211" w:type="dxa"/>
            <w:tcBorders>
              <w:top w:val="single" w:color="auto" w:sz="4" w:space="0"/>
            </w:tcBorders>
            <w:noWrap w:val="0"/>
            <w:vAlign w:val="center"/>
          </w:tcPr>
          <w:p w14:paraId="225A0073">
            <w:pPr>
              <w:widowControl/>
              <w:tabs>
                <w:tab w:val="left" w:pos="420"/>
                <w:tab w:val="left" w:pos="567"/>
                <w:tab w:val="right" w:leader="middleDot" w:pos="8495"/>
              </w:tabs>
              <w:kinsoku w:val="0"/>
              <w:autoSpaceDE w:val="0"/>
              <w:autoSpaceDN w:val="0"/>
              <w:snapToGrid w:val="0"/>
              <w:spacing w:before="31" w:after="31"/>
              <w:ind w:left="252"/>
              <w:jc w:val="left"/>
              <w:textAlignment w:val="baseline"/>
              <w:rPr>
                <w:rFonts w:ascii="宋体" w:hAnsi="宋体"/>
                <w:color w:val="000000"/>
                <w:kern w:val="0"/>
                <w:sz w:val="18"/>
                <w:szCs w:val="18"/>
              </w:rPr>
            </w:pPr>
            <w:r>
              <w:rPr>
                <w:rFonts w:hint="eastAsia" w:ascii="宋体" w:hAnsi="宋体"/>
                <w:color w:val="000000"/>
                <w:spacing w:val="6"/>
                <w:kern w:val="0"/>
                <w:sz w:val="18"/>
                <w:szCs w:val="18"/>
              </w:rPr>
              <w:t>反馈人</w:t>
            </w:r>
          </w:p>
        </w:tc>
        <w:tc>
          <w:tcPr>
            <w:tcW w:w="7846" w:type="dxa"/>
            <w:gridSpan w:val="5"/>
            <w:tcBorders>
              <w:top w:val="single" w:color="auto" w:sz="4" w:space="0"/>
            </w:tcBorders>
            <w:noWrap w:val="0"/>
            <w:vAlign w:val="center"/>
          </w:tcPr>
          <w:p w14:paraId="0EB31DC4">
            <w:pPr>
              <w:widowControl/>
              <w:tabs>
                <w:tab w:val="left" w:pos="420"/>
                <w:tab w:val="left" w:pos="567"/>
                <w:tab w:val="right" w:leader="middleDot" w:pos="8495"/>
              </w:tabs>
              <w:kinsoku w:val="0"/>
              <w:autoSpaceDE w:val="0"/>
              <w:autoSpaceDN w:val="0"/>
              <w:snapToGrid w:val="0"/>
              <w:spacing w:before="31" w:after="31"/>
              <w:ind w:left="113"/>
              <w:jc w:val="left"/>
              <w:textAlignment w:val="baseline"/>
              <w:rPr>
                <w:rFonts w:ascii="宋体" w:hAnsi="宋体"/>
                <w:color w:val="000000"/>
                <w:kern w:val="0"/>
                <w:sz w:val="18"/>
                <w:szCs w:val="18"/>
              </w:rPr>
            </w:pPr>
            <w:r>
              <w:rPr>
                <w:rFonts w:hint="eastAsia" w:ascii="宋体" w:hAnsi="宋体"/>
                <w:color w:val="000000"/>
                <w:spacing w:val="2"/>
                <w:kern w:val="0"/>
                <w:sz w:val="18"/>
                <w:szCs w:val="18"/>
              </w:rPr>
              <w:t>姓名：</w:t>
            </w:r>
            <w:r>
              <w:rPr>
                <w:rFonts w:hint="eastAsia" w:ascii="宋体" w:hAnsi="宋体"/>
                <w:color w:val="000000"/>
                <w:spacing w:val="8"/>
                <w:kern w:val="0"/>
                <w:sz w:val="18"/>
                <w:szCs w:val="18"/>
              </w:rPr>
              <w:t xml:space="preserve">           </w:t>
            </w:r>
            <w:r>
              <w:rPr>
                <w:rFonts w:hint="eastAsia" w:ascii="宋体" w:hAnsi="宋体"/>
                <w:color w:val="000000"/>
                <w:spacing w:val="2"/>
                <w:kern w:val="0"/>
                <w:sz w:val="18"/>
                <w:szCs w:val="18"/>
              </w:rPr>
              <w:t>单位：</w:t>
            </w:r>
            <w:r>
              <w:rPr>
                <w:rFonts w:hint="eastAsia" w:ascii="宋体" w:hAnsi="宋体"/>
                <w:color w:val="000000"/>
                <w:spacing w:val="1"/>
                <w:kern w:val="0"/>
                <w:sz w:val="18"/>
                <w:szCs w:val="18"/>
              </w:rPr>
              <w:t xml:space="preserve">                      </w:t>
            </w:r>
            <w:r>
              <w:rPr>
                <w:rFonts w:hint="eastAsia" w:ascii="宋体" w:hAnsi="宋体"/>
                <w:color w:val="000000"/>
                <w:spacing w:val="2"/>
                <w:kern w:val="0"/>
                <w:sz w:val="18"/>
                <w:szCs w:val="18"/>
              </w:rPr>
              <w:t>联系方式：</w:t>
            </w:r>
          </w:p>
        </w:tc>
      </w:tr>
    </w:tbl>
    <w:p w14:paraId="25ADE16B">
      <w:pPr>
        <w:spacing w:before="31" w:after="31"/>
        <w:ind w:firstLine="360" w:firstLineChars="200"/>
        <w:jc w:val="left"/>
        <w:rPr>
          <w:rFonts w:hint="eastAsia" w:ascii="宋体" w:hAnsi="宋体"/>
          <w:bCs/>
          <w:color w:val="auto"/>
          <w:szCs w:val="21"/>
        </w:rPr>
      </w:pPr>
      <w:r>
        <w:rPr>
          <w:rFonts w:hint="eastAsia" w:ascii="宋体" w:hAnsi="宋体" w:cs="宋体"/>
          <w:color w:val="000000"/>
          <w:sz w:val="18"/>
          <w:szCs w:val="18"/>
        </w:rPr>
        <w:t>填表说明：为及时掌握标准实施情况，了解地方标准实施过程中存在的问题，并为标准复审提供科学依据，特制定《湖北省地方标准实施信息及意见反馈表》。可根据实际情况在表格中对应方框打勾，有需要文字说明的反馈意见可在相应位置进行文字描述，也可另附页。</w:t>
      </w:r>
      <w:bookmarkEnd w:id="149"/>
      <w:bookmarkEnd w:id="157"/>
    </w:p>
    <w:sectPr>
      <w:pgSz w:w="11907" w:h="16840"/>
      <w:pgMar w:top="1440" w:right="1418" w:bottom="1440" w:left="1418" w:header="851" w:footer="992" w:gutter="567"/>
      <w:pgBorders>
        <w:top w:val="none" w:sz="0" w:space="0"/>
        <w:left w:val="none" w:sz="0" w:space="0"/>
        <w:bottom w:val="none" w:sz="0" w:space="0"/>
        <w:right w:val="none" w:sz="0" w:space="0"/>
      </w:pgBorders>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FZSSK--GBK1-0">
    <w:altName w:val="微软雅黑"/>
    <w:panose1 w:val="00000000000000000000"/>
    <w:charset w:val="00"/>
    <w:family w:val="auto"/>
    <w:pitch w:val="default"/>
    <w:sig w:usb0="00000000" w:usb1="00000000" w:usb2="00000000" w:usb3="00000000" w:csb0="00040001" w:csb1="00000000"/>
  </w:font>
  <w:font w:name="Noto Serif CJK JP">
    <w:altName w:val="Segoe Print"/>
    <w:panose1 w:val="00000000000000000000"/>
    <w:charset w:val="00"/>
    <w:family w:val="auto"/>
    <w:pitch w:val="default"/>
    <w:sig w:usb0="00000000" w:usb1="00000000" w:usb2="00000000" w:usb3="00000000" w:csb0="00000000" w:csb1="00000000"/>
  </w:font>
  <w:font w:name="E-BZ">
    <w:altName w:val="微软雅黑"/>
    <w:panose1 w:val="00000000000000000000"/>
    <w:charset w:val="00"/>
    <w:family w:val="auto"/>
    <w:pitch w:val="default"/>
    <w:sig w:usb0="00000000" w:usb1="00000000" w:usb2="00000000" w:usb3="00000000" w:csb0="00040001" w:csb1="00000000"/>
  </w:font>
  <w:font w:name="Open Sans">
    <w:altName w:val="Times New Roman"/>
    <w:panose1 w:val="020B0606030504020204"/>
    <w:charset w:val="00"/>
    <w:family w:val="swiss"/>
    <w:pitch w:val="default"/>
    <w:sig w:usb0="00000000" w:usb1="00000000" w:usb2="00000028" w:usb3="00000000" w:csb0="2000019F" w:csb1="00000000"/>
  </w:font>
  <w:font w:name="Noto Kufi Arabic">
    <w:altName w:val="Segoe Print"/>
    <w:panose1 w:val="00000000000000000000"/>
    <w:charset w:val="00"/>
    <w:family w:val="auto"/>
    <w:pitch w:val="default"/>
    <w:sig w:usb0="00000000" w:usb1="00000000" w:usb2="00000000" w:usb3="00000000" w:csb0="0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A23AB">
    <w:pPr>
      <w:pStyle w:val="71"/>
      <w:rPr>
        <w:rStyle w:val="39"/>
      </w:rPr>
    </w:pPr>
    <w:r>
      <w:rPr>
        <w:rStyle w:val="39"/>
      </w:rPr>
      <w:fldChar w:fldCharType="begin"/>
    </w:r>
    <w:r>
      <w:rPr>
        <w:rStyle w:val="39"/>
      </w:rPr>
      <w:instrText xml:space="preserve">PAGE  </w:instrText>
    </w:r>
    <w:r>
      <w:rPr>
        <w:rStyle w:val="39"/>
      </w:rPr>
      <w:fldChar w:fldCharType="separate"/>
    </w:r>
    <w:r>
      <w:rPr>
        <w:rStyle w:val="39"/>
      </w:rPr>
      <w:t>2</w:t>
    </w:r>
    <w:r>
      <w:rPr>
        <w:rStyle w:val="39"/>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38B9A">
    <w:pPr>
      <w:pStyle w:val="22"/>
      <w:spacing w:before="24" w:after="24"/>
      <w:jc w:val="right"/>
      <w:rPr>
        <w:szCs w:val="28"/>
      </w:rPr>
    </w:pPr>
    <w:r>
      <w:fldChar w:fldCharType="begin"/>
    </w:r>
    <w:r>
      <w:instrText xml:space="preserve"> PAGE   \* MERGEFORMAT </w:instrText>
    </w:r>
    <w:r>
      <w:fldChar w:fldCharType="separate"/>
    </w:r>
    <w:r>
      <w:rPr>
        <w:lang w:val="zh-CN"/>
      </w:rPr>
      <w:t>91</w:t>
    </w:r>
    <w:r>
      <w:rPr>
        <w:lang w:val="zh-CN"/>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77851">
    <w:pPr>
      <w:pStyle w:val="22"/>
      <w:spacing w:before="24" w:after="24"/>
    </w:pPr>
    <w:r>
      <w:fldChar w:fldCharType="begin"/>
    </w:r>
    <w:r>
      <w:instrText xml:space="preserve"> PAGE   \* MERGEFORMAT </w:instrText>
    </w:r>
    <w:r>
      <w:fldChar w:fldCharType="separate"/>
    </w:r>
    <w:r>
      <w:rPr>
        <w:lang w:val="zh-CN"/>
      </w:rPr>
      <w:t>62</w:t>
    </w:r>
    <w:r>
      <w:rPr>
        <w:lang w:val="zh-CN"/>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9AC15">
    <w:pPr>
      <w:pStyle w:val="22"/>
      <w:spacing w:before="24" w:after="24"/>
    </w:pPr>
    <w:r>
      <w:fldChar w:fldCharType="begin"/>
    </w:r>
    <w:r>
      <w:instrText xml:space="preserve"> PAGE   \* MERGEFORMAT </w:instrText>
    </w:r>
    <w:r>
      <w:fldChar w:fldCharType="separate"/>
    </w:r>
    <w:r>
      <w:rPr>
        <w:lang w:val="zh-CN"/>
      </w:rPr>
      <w:t>92</w:t>
    </w:r>
    <w:r>
      <w:rPr>
        <w:lang w:val="zh-CN"/>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F5DD4">
    <w:pPr>
      <w:pStyle w:val="22"/>
      <w:spacing w:before="24" w:after="24"/>
    </w:pPr>
    <w:r>
      <w:fldChar w:fldCharType="begin"/>
    </w:r>
    <w:r>
      <w:instrText xml:space="preserve"> PAGE   \* MERGEFORMAT </w:instrText>
    </w:r>
    <w:r>
      <w:fldChar w:fldCharType="separate"/>
    </w:r>
    <w:r>
      <w:rPr>
        <w:lang w:val="zh-CN"/>
      </w:rPr>
      <w:t>92</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D0CD4">
    <w:pPr>
      <w:pStyle w:val="22"/>
      <w:framePr w:wrap="around" w:vAnchor="text" w:hAnchor="margin" w:xAlign="right" w:y="1"/>
      <w:tabs>
        <w:tab w:val="left" w:pos="360"/>
      </w:tabs>
      <w:spacing w:before="24" w:after="24" w:line="240" w:lineRule="auto"/>
      <w:ind w:right="210" w:rightChars="100"/>
      <w:jc w:val="right"/>
      <w:rPr>
        <w:rStyle w:val="39"/>
      </w:rPr>
    </w:pPr>
    <w:r>
      <w:rPr>
        <w:rStyle w:val="39"/>
      </w:rPr>
      <w:fldChar w:fldCharType="begin"/>
    </w:r>
    <w:r>
      <w:rPr>
        <w:rStyle w:val="39"/>
      </w:rPr>
      <w:instrText xml:space="preserve">PAGE  </w:instrText>
    </w:r>
    <w:r>
      <w:rPr>
        <w:rStyle w:val="39"/>
      </w:rPr>
      <w:fldChar w:fldCharType="separate"/>
    </w:r>
    <w:r>
      <w:rPr>
        <w:rStyle w:val="39"/>
      </w:rPr>
      <w:t>2</w:t>
    </w:r>
    <w:r>
      <w:rPr>
        <w:rStyle w:val="39"/>
      </w:rPr>
      <w:fldChar w:fldCharType="end"/>
    </w:r>
  </w:p>
  <w:p w14:paraId="2C490BAF">
    <w:pPr>
      <w:pStyle w:val="22"/>
      <w:tabs>
        <w:tab w:val="left" w:pos="360"/>
      </w:tabs>
      <w:spacing w:before="24" w:after="24" w:line="240" w:lineRule="auto"/>
      <w:ind w:right="210" w:rightChars="10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C6D6C">
    <w:pPr>
      <w:pStyle w:val="22"/>
      <w:spacing w:before="24" w:after="2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5CE39">
    <w:pPr>
      <w:pStyle w:val="22"/>
      <w:spacing w:before="24" w:after="24"/>
      <w:jc w:val="right"/>
    </w:pPr>
    <w:r>
      <w:fldChar w:fldCharType="begin"/>
    </w:r>
    <w:r>
      <w:instrText xml:space="preserve"> PAGE   \* MERGEFORMAT </w:instrText>
    </w:r>
    <w:r>
      <w:fldChar w:fldCharType="separate"/>
    </w:r>
    <w:r>
      <w:rPr>
        <w:lang w:val="zh-CN"/>
      </w:rPr>
      <w:t>I</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BD2D1">
    <w:pPr>
      <w:pStyle w:val="22"/>
      <w:spacing w:before="24" w:after="24"/>
      <w:jc w:val="right"/>
    </w:pPr>
    <w:r>
      <w:fldChar w:fldCharType="begin"/>
    </w:r>
    <w:r>
      <w:instrText xml:space="preserve"> PAGE   \* MERGEFORMAT </w:instrText>
    </w:r>
    <w:r>
      <w:fldChar w:fldCharType="separate"/>
    </w:r>
    <w:r>
      <w:rPr>
        <w:lang w:val="zh-CN"/>
      </w:rPr>
      <w:t>II</w:t>
    </w:r>
    <w:r>
      <w:rPr>
        <w:lang w:val="zh-CN"/>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699E8">
    <w:pPr>
      <w:pStyle w:val="22"/>
      <w:spacing w:before="24" w:after="24"/>
    </w:pPr>
    <w:r>
      <w:fldChar w:fldCharType="begin"/>
    </w:r>
    <w:r>
      <w:instrText xml:space="preserve"> PAGE   \* MERGEFORMAT </w:instrText>
    </w:r>
    <w:r>
      <w:fldChar w:fldCharType="separate"/>
    </w:r>
    <w:r>
      <w:rPr>
        <w:lang w:val="zh-CN"/>
      </w:rPr>
      <w:t>II</w:t>
    </w:r>
    <w:r>
      <w:rPr>
        <w:lang w:val="zh-CN"/>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C1469">
    <w:pPr>
      <w:pStyle w:val="22"/>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9AEFC">
    <w:pPr>
      <w:pStyle w:val="22"/>
      <w:spacing w:before="24" w:after="24"/>
      <w:jc w:val="right"/>
    </w:pPr>
    <w:r>
      <w:fldChar w:fldCharType="begin"/>
    </w:r>
    <w:r>
      <w:instrText xml:space="preserve"> PAGE   \* MERGEFORMAT </w:instrText>
    </w:r>
    <w:r>
      <w:fldChar w:fldCharType="separate"/>
    </w:r>
    <w:r>
      <w:rPr>
        <w:lang w:val="zh-CN"/>
      </w:rPr>
      <w:t>V</w:t>
    </w:r>
    <w:r>
      <w:rPr>
        <w:lang w:val="zh-CN"/>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1A5C3">
    <w:pPr>
      <w:pStyle w:val="22"/>
      <w:spacing w:before="24" w:after="24"/>
    </w:pPr>
    <w:r>
      <w:fldChar w:fldCharType="begin"/>
    </w:r>
    <w:r>
      <w:instrText xml:space="preserve"> PAGE   \* MERGEFORMAT </w:instrText>
    </w:r>
    <w:r>
      <w:fldChar w:fldCharType="separate"/>
    </w:r>
    <w:r>
      <w:rPr>
        <w:lang w:val="zh-CN"/>
      </w:rPr>
      <w:t>62</w:t>
    </w:r>
    <w:r>
      <w:rPr>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A93EF">
    <w:pPr>
      <w:pStyle w:val="23"/>
      <w:spacing w:before="24" w:after="24"/>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E2388">
    <w:pPr>
      <w:pStyle w:val="23"/>
      <w:pBdr>
        <w:bottom w:val="none" w:color="auto" w:sz="0" w:space="0"/>
      </w:pBdr>
      <w:spacing w:beforeLines="150" w:afterLines="50" w:line="320" w:lineRule="exact"/>
      <w:jc w:val="left"/>
    </w:pPr>
    <w:r>
      <w:rPr>
        <w:rFonts w:hint="eastAsia"/>
      </w:rPr>
      <w:t>DB42/</w:t>
    </w:r>
    <w:r>
      <w:rPr>
        <w:rFonts w:hint="eastAsia"/>
        <w:lang w:val="en-US" w:eastAsia="zh-CN"/>
      </w:rPr>
      <w:t>T***</w:t>
    </w:r>
    <w:r>
      <w:rPr>
        <w:rFonts w:hint="eastAsia"/>
      </w:rPr>
      <w:t>—202*</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4DA15">
    <w:pPr>
      <w:pStyle w:val="23"/>
      <w:pBdr>
        <w:bottom w:val="none" w:color="auto" w:sz="0" w:space="0"/>
      </w:pBdr>
      <w:wordWrap w:val="0"/>
      <w:spacing w:before="360" w:beforeLines="150" w:after="120" w:afterLines="50" w:line="320" w:lineRule="atLeast"/>
      <w:jc w:val="right"/>
    </w:pPr>
    <w:r>
      <w:rPr>
        <w:rFonts w:hint="eastAsia"/>
      </w:rPr>
      <w:t>DB42/408—202*</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17A8B">
    <w:pPr>
      <w:pStyle w:val="23"/>
      <w:pBdr>
        <w:bottom w:val="none" w:color="auto" w:sz="0" w:space="0"/>
      </w:pBdr>
      <w:wordWrap w:val="0"/>
      <w:spacing w:beforeLines="150" w:afterLines="50" w:line="320" w:lineRule="atLeast"/>
      <w:jc w:val="right"/>
    </w:pPr>
    <w:r>
      <w:rPr>
        <w:rFonts w:hint="eastAsia"/>
      </w:rPr>
      <w:t>DB42/</w:t>
    </w:r>
    <w:r>
      <w:rPr>
        <w:rFonts w:hint="eastAsia"/>
        <w:lang w:val="en-US" w:eastAsia="zh-CN"/>
      </w:rPr>
      <w:t>T***</w:t>
    </w:r>
    <w:r>
      <w:rPr>
        <w:rFonts w:hint="eastAsia"/>
      </w:rPr>
      <w:t>—202*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44973">
    <w:pPr>
      <w:pStyle w:val="23"/>
      <w:pBdr>
        <w:bottom w:val="none" w:color="auto" w:sz="0" w:space="0"/>
      </w:pBdr>
      <w:spacing w:beforeLines="50" w:afterLines="50" w:line="320" w:lineRule="exact"/>
      <w:jc w:val="right"/>
    </w:pPr>
    <w:r>
      <w:rPr>
        <w:rFonts w:hint="eastAsia"/>
      </w:rPr>
      <w:t>DB42/408—202x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ED93C">
    <w:pPr>
      <w:pStyle w:val="23"/>
      <w:pBdr>
        <w:bottom w:val="none" w:color="auto" w:sz="0" w:space="0"/>
      </w:pBdr>
      <w:spacing w:beforeLines="50" w:afterLines="50" w:line="400" w:lineRule="exact"/>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6EDE5">
    <w:pPr>
      <w:pStyle w:val="23"/>
      <w:pBdr>
        <w:bottom w:val="none" w:color="auto" w:sz="0" w:space="0"/>
      </w:pBdr>
      <w:spacing w:beforeLines="50" w:afterLines="50" w:line="320" w:lineRule="exact"/>
      <w:jc w:val="left"/>
    </w:pPr>
    <w:r>
      <w:rPr>
        <w:rFonts w:hint="eastAsia"/>
      </w:rPr>
      <w:t>DB42/</w:t>
    </w:r>
    <w:r>
      <w:rPr>
        <w:rFonts w:hint="eastAsia"/>
        <w:lang w:val="en-US" w:eastAsia="zh-CN"/>
      </w:rPr>
      <w:t>T***</w:t>
    </w:r>
    <w:r>
      <w:rPr>
        <w:rFonts w:hint="eastAsia"/>
      </w:rPr>
      <w:t>—202*</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4A92A">
    <w:pPr>
      <w:pStyle w:val="23"/>
      <w:pBdr>
        <w:bottom w:val="none" w:color="auto" w:sz="0" w:space="0"/>
      </w:pBdr>
      <w:spacing w:beforeLines="50" w:afterLines="50" w:line="400" w:lineRule="exact"/>
      <w:jc w:val="right"/>
    </w:pPr>
    <w:r>
      <w:t>DB42/</w:t>
    </w:r>
    <w:r>
      <w:rPr>
        <w:rFonts w:hint="eastAsia"/>
        <w:lang w:val="en-US" w:eastAsia="zh-CN"/>
      </w:rPr>
      <w:t>T***</w:t>
    </w:r>
    <w:r>
      <w:rPr>
        <w:rFonts w:hint="eastAsia"/>
      </w:rPr>
      <w:t>—</w:t>
    </w:r>
    <w:r>
      <w:t>202</w:t>
    </w:r>
    <w:r>
      <w:rPr>
        <w:rFonts w:hint="eastAsia"/>
      </w:rP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A99CC">
    <w:pPr>
      <w:pStyle w:val="23"/>
      <w:pBdr>
        <w:bottom w:val="none" w:color="auto" w:sz="0" w:space="0"/>
      </w:pBdr>
      <w:spacing w:beforeLines="50" w:afterLines="50" w:line="400" w:lineRule="exact"/>
      <w:jc w:val="right"/>
    </w:pPr>
    <w:r>
      <w:rPr>
        <w:rFonts w:hint="eastAsia"/>
      </w:rPr>
      <w:t>DB42/408—202x</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0AC9B"/>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4D8E2">
    <w:pPr>
      <w:pStyle w:val="23"/>
      <w:pBdr>
        <w:bottom w:val="none" w:color="auto" w:sz="0" w:space="0"/>
      </w:pBdr>
      <w:spacing w:beforeLines="50" w:afterLines="50" w:line="320" w:lineRule="exact"/>
      <w:jc w:val="right"/>
    </w:pPr>
    <w:r>
      <w:rPr>
        <w:rFonts w:hint="eastAsia"/>
      </w:rPr>
      <w:t>DB42/</w:t>
    </w:r>
    <w:r>
      <w:rPr>
        <w:rFonts w:hint="eastAsia"/>
        <w:lang w:val="en-US" w:eastAsia="zh-CN"/>
      </w:rPr>
      <w:t>T***</w:t>
    </w:r>
    <w:r>
      <w:rPr>
        <w:rFonts w:hint="eastAsia"/>
      </w:rPr>
      <w:t>—202*</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8F5C2">
    <w:pPr>
      <w:pStyle w:val="23"/>
      <w:pBdr>
        <w:bottom w:val="none" w:color="auto" w:sz="0" w:space="0"/>
      </w:pBdr>
      <w:spacing w:beforeLines="150" w:afterLines="50" w:line="400" w:lineRule="exact"/>
      <w:jc w:val="right"/>
    </w:pPr>
    <w:r>
      <w:rPr>
        <w:rFonts w:hint="eastAsia"/>
      </w:rPr>
      <w:t>DB42/</w:t>
    </w:r>
    <w:r>
      <w:rPr>
        <w:rFonts w:hint="eastAsia"/>
        <w:lang w:val="en-US" w:eastAsia="zh-CN"/>
      </w:rPr>
      <w:t>T***</w:t>
    </w:r>
    <w:r>
      <w:rPr>
        <w:rFonts w:hint="eastAsia"/>
      </w:rPr>
      <w:t>—202*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14497C"/>
    <w:multiLevelType w:val="singleLevel"/>
    <w:tmpl w:val="8414497C"/>
    <w:lvl w:ilvl="0" w:tentative="0">
      <w:start w:val="1"/>
      <w:numFmt w:val="lowerLetter"/>
      <w:suff w:val="nothing"/>
      <w:lvlText w:val="%1）"/>
      <w:lvlJc w:val="left"/>
    </w:lvl>
  </w:abstractNum>
  <w:abstractNum w:abstractNumId="1">
    <w:nsid w:val="A927958E"/>
    <w:multiLevelType w:val="singleLevel"/>
    <w:tmpl w:val="A927958E"/>
    <w:lvl w:ilvl="0" w:tentative="0">
      <w:start w:val="1"/>
      <w:numFmt w:val="lowerLetter"/>
      <w:suff w:val="nothing"/>
      <w:lvlText w:val="%1）"/>
      <w:lvlJc w:val="left"/>
    </w:lvl>
  </w:abstractNum>
  <w:abstractNum w:abstractNumId="2">
    <w:nsid w:val="D7B076BA"/>
    <w:multiLevelType w:val="singleLevel"/>
    <w:tmpl w:val="D7B076BA"/>
    <w:lvl w:ilvl="0" w:tentative="0">
      <w:start w:val="1"/>
      <w:numFmt w:val="lowerLetter"/>
      <w:suff w:val="nothing"/>
      <w:lvlText w:val="%1）"/>
      <w:lvlJc w:val="left"/>
      <w:pPr>
        <w:ind w:left="525" w:firstLine="0"/>
      </w:pPr>
    </w:lvl>
  </w:abstractNum>
  <w:abstractNum w:abstractNumId="3">
    <w:nsid w:val="E7049B2F"/>
    <w:multiLevelType w:val="singleLevel"/>
    <w:tmpl w:val="E7049B2F"/>
    <w:lvl w:ilvl="0" w:tentative="0">
      <w:start w:val="1"/>
      <w:numFmt w:val="lowerLetter"/>
      <w:suff w:val="nothing"/>
      <w:lvlText w:val="%1）"/>
      <w:lvlJc w:val="left"/>
    </w:lvl>
  </w:abstractNum>
  <w:abstractNum w:abstractNumId="4">
    <w:nsid w:val="FC9DAA4B"/>
    <w:multiLevelType w:val="singleLevel"/>
    <w:tmpl w:val="FC9DAA4B"/>
    <w:lvl w:ilvl="0" w:tentative="0">
      <w:start w:val="1"/>
      <w:numFmt w:val="lowerLetter"/>
      <w:suff w:val="nothing"/>
      <w:lvlText w:val="%1）"/>
      <w:lvlJc w:val="left"/>
      <w:pPr>
        <w:ind w:left="525" w:firstLine="0"/>
      </w:pPr>
    </w:lvl>
  </w:abstractNum>
  <w:abstractNum w:abstractNumId="5">
    <w:nsid w:val="00A6B2F5"/>
    <w:multiLevelType w:val="singleLevel"/>
    <w:tmpl w:val="00A6B2F5"/>
    <w:lvl w:ilvl="0" w:tentative="0">
      <w:start w:val="1"/>
      <w:numFmt w:val="lowerLetter"/>
      <w:suff w:val="nothing"/>
      <w:lvlText w:val="%1）"/>
      <w:lvlJc w:val="left"/>
    </w:lvl>
  </w:abstractNum>
  <w:abstractNum w:abstractNumId="6">
    <w:nsid w:val="024174B6"/>
    <w:multiLevelType w:val="singleLevel"/>
    <w:tmpl w:val="024174B6"/>
    <w:lvl w:ilvl="0" w:tentative="0">
      <w:start w:val="1"/>
      <w:numFmt w:val="lowerLetter"/>
      <w:suff w:val="nothing"/>
      <w:lvlText w:val="%1）"/>
      <w:lvlJc w:val="left"/>
    </w:lvl>
  </w:abstractNum>
  <w:abstractNum w:abstractNumId="7">
    <w:nsid w:val="1127E857"/>
    <w:multiLevelType w:val="singleLevel"/>
    <w:tmpl w:val="1127E857"/>
    <w:lvl w:ilvl="0" w:tentative="0">
      <w:start w:val="1"/>
      <w:numFmt w:val="lowerLetter"/>
      <w:suff w:val="nothing"/>
      <w:lvlText w:val="%1）"/>
      <w:lvlJc w:val="left"/>
    </w:lvl>
  </w:abstractNum>
  <w:abstractNum w:abstractNumId="8">
    <w:nsid w:val="21C75A8C"/>
    <w:multiLevelType w:val="singleLevel"/>
    <w:tmpl w:val="21C75A8C"/>
    <w:lvl w:ilvl="0" w:tentative="0">
      <w:start w:val="1"/>
      <w:numFmt w:val="lowerLetter"/>
      <w:suff w:val="nothing"/>
      <w:lvlText w:val="%1）"/>
      <w:lvlJc w:val="left"/>
    </w:lvl>
  </w:abstractNum>
  <w:abstractNum w:abstractNumId="9">
    <w:nsid w:val="30876829"/>
    <w:multiLevelType w:val="singleLevel"/>
    <w:tmpl w:val="30876829"/>
    <w:lvl w:ilvl="0" w:tentative="0">
      <w:start w:val="1"/>
      <w:numFmt w:val="lowerLetter"/>
      <w:suff w:val="nothing"/>
      <w:lvlText w:val="%1）"/>
      <w:lvlJc w:val="left"/>
    </w:lvl>
  </w:abstractNum>
  <w:abstractNum w:abstractNumId="10">
    <w:nsid w:val="368DC512"/>
    <w:multiLevelType w:val="singleLevel"/>
    <w:tmpl w:val="368DC512"/>
    <w:lvl w:ilvl="0" w:tentative="0">
      <w:start w:val="1"/>
      <w:numFmt w:val="lowerLetter"/>
      <w:suff w:val="nothing"/>
      <w:lvlText w:val="%1）"/>
      <w:lvlJc w:val="left"/>
    </w:lvl>
  </w:abstractNum>
  <w:abstractNum w:abstractNumId="11">
    <w:nsid w:val="39215B0C"/>
    <w:multiLevelType w:val="multilevel"/>
    <w:tmpl w:val="39215B0C"/>
    <w:lvl w:ilvl="0" w:tentative="0">
      <w:start w:val="1"/>
      <w:numFmt w:val="lowerLetter"/>
      <w:suff w:val="nothing"/>
      <w:lvlText w:val="%1）"/>
      <w:lvlJc w:val="left"/>
      <w:pPr>
        <w:ind w:left="525" w:firstLine="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2">
    <w:nsid w:val="393B5A8D"/>
    <w:multiLevelType w:val="multilevel"/>
    <w:tmpl w:val="393B5A8D"/>
    <w:lvl w:ilvl="0" w:tentative="0">
      <w:start w:val="1"/>
      <w:numFmt w:val="decimal"/>
      <w:pStyle w:val="74"/>
      <w:lvlText w:val="%1"/>
      <w:lvlJc w:val="left"/>
      <w:pPr>
        <w:tabs>
          <w:tab w:val="left" w:pos="454"/>
        </w:tabs>
        <w:ind w:left="454" w:hanging="454"/>
      </w:pPr>
      <w:rPr>
        <w:rFonts w:hint="default" w:ascii="Times New Roman" w:hAnsi="Times New Roman" w:eastAsia="黑体"/>
        <w:b/>
        <w:i w:val="0"/>
        <w:color w:val="auto"/>
      </w:rPr>
    </w:lvl>
    <w:lvl w:ilvl="1" w:tentative="0">
      <w:start w:val="1"/>
      <w:numFmt w:val="decimal"/>
      <w:pStyle w:val="89"/>
      <w:lvlText w:val="%1.%2"/>
      <w:lvlJc w:val="left"/>
      <w:pPr>
        <w:tabs>
          <w:tab w:val="left" w:pos="360"/>
        </w:tabs>
        <w:ind w:left="0" w:firstLine="0"/>
      </w:pPr>
      <w:rPr>
        <w:rFonts w:hint="default" w:ascii="Times New Roman" w:hAnsi="Times New Roman" w:eastAsia="黑体"/>
        <w:b/>
        <w:i w:val="0"/>
      </w:rPr>
    </w:lvl>
    <w:lvl w:ilvl="2" w:tentative="0">
      <w:start w:val="1"/>
      <w:numFmt w:val="decimal"/>
      <w:pStyle w:val="75"/>
      <w:lvlText w:val="%1.%2.%3"/>
      <w:lvlJc w:val="left"/>
      <w:pPr>
        <w:tabs>
          <w:tab w:val="left" w:pos="1004"/>
        </w:tabs>
        <w:ind w:left="284" w:firstLine="0"/>
      </w:pPr>
      <w:rPr>
        <w:rFonts w:hint="default" w:ascii="Times New Roman" w:hAnsi="Times New Roman" w:eastAsia="宋体"/>
        <w:b/>
        <w:i w:val="0"/>
      </w:rPr>
    </w:lvl>
    <w:lvl w:ilvl="3" w:tentative="0">
      <w:start w:val="1"/>
      <w:numFmt w:val="decimal"/>
      <w:pStyle w:val="76"/>
      <w:lvlText w:val="%1.%2.%3.%4"/>
      <w:lvlJc w:val="left"/>
      <w:pPr>
        <w:tabs>
          <w:tab w:val="left" w:pos="1148"/>
        </w:tabs>
        <w:ind w:left="1148" w:hanging="864"/>
      </w:pPr>
      <w:rPr>
        <w:rFonts w:hint="eastAsia"/>
      </w:rPr>
    </w:lvl>
    <w:lvl w:ilvl="4" w:tentative="0">
      <w:start w:val="1"/>
      <w:numFmt w:val="decimal"/>
      <w:pStyle w:val="87"/>
      <w:lvlText w:val="%1.%2.%3.%4.%5"/>
      <w:lvlJc w:val="left"/>
      <w:pPr>
        <w:tabs>
          <w:tab w:val="left" w:pos="1292"/>
        </w:tabs>
        <w:ind w:left="1292" w:hanging="1008"/>
      </w:pPr>
      <w:rPr>
        <w:rFonts w:hint="eastAsia"/>
      </w:rPr>
    </w:lvl>
    <w:lvl w:ilvl="5" w:tentative="0">
      <w:start w:val="1"/>
      <w:numFmt w:val="decimal"/>
      <w:pStyle w:val="7"/>
      <w:lvlText w:val="%1.%2.%3.%4.%5.%6"/>
      <w:lvlJc w:val="left"/>
      <w:pPr>
        <w:tabs>
          <w:tab w:val="left" w:pos="1436"/>
        </w:tabs>
        <w:ind w:left="1436" w:hanging="1152"/>
      </w:pPr>
      <w:rPr>
        <w:rFonts w:hint="eastAsia"/>
      </w:rPr>
    </w:lvl>
    <w:lvl w:ilvl="6" w:tentative="0">
      <w:start w:val="1"/>
      <w:numFmt w:val="decimal"/>
      <w:pStyle w:val="8"/>
      <w:lvlText w:val="%1.%2.%3.%4.%5.%6.%7"/>
      <w:lvlJc w:val="left"/>
      <w:pPr>
        <w:tabs>
          <w:tab w:val="left" w:pos="1580"/>
        </w:tabs>
        <w:ind w:left="1580" w:hanging="1296"/>
      </w:pPr>
      <w:rPr>
        <w:rFonts w:hint="eastAsia"/>
      </w:rPr>
    </w:lvl>
    <w:lvl w:ilvl="7" w:tentative="0">
      <w:start w:val="1"/>
      <w:numFmt w:val="decimal"/>
      <w:pStyle w:val="9"/>
      <w:lvlText w:val="%1.%2.%3.%4.%5.%6.%7.%8"/>
      <w:lvlJc w:val="left"/>
      <w:pPr>
        <w:tabs>
          <w:tab w:val="left" w:pos="1724"/>
        </w:tabs>
        <w:ind w:left="1724" w:hanging="1440"/>
      </w:pPr>
      <w:rPr>
        <w:rFonts w:hint="eastAsia"/>
      </w:rPr>
    </w:lvl>
    <w:lvl w:ilvl="8" w:tentative="0">
      <w:start w:val="1"/>
      <w:numFmt w:val="decimal"/>
      <w:pStyle w:val="10"/>
      <w:lvlText w:val="%1.%2.%3.%4.%5.%6.%7.%8.%9"/>
      <w:lvlJc w:val="left"/>
      <w:pPr>
        <w:tabs>
          <w:tab w:val="left" w:pos="1868"/>
        </w:tabs>
        <w:ind w:left="1868" w:hanging="1584"/>
      </w:pPr>
      <w:rPr>
        <w:rFonts w:hint="eastAsia"/>
      </w:rPr>
    </w:lvl>
  </w:abstractNum>
  <w:abstractNum w:abstractNumId="13">
    <w:nsid w:val="446DA26A"/>
    <w:multiLevelType w:val="singleLevel"/>
    <w:tmpl w:val="446DA26A"/>
    <w:lvl w:ilvl="0" w:tentative="0">
      <w:start w:val="1"/>
      <w:numFmt w:val="lowerLetter"/>
      <w:suff w:val="nothing"/>
      <w:lvlText w:val="%1）"/>
      <w:lvlJc w:val="left"/>
    </w:lvl>
  </w:abstractNum>
  <w:abstractNum w:abstractNumId="14">
    <w:nsid w:val="5603797C"/>
    <w:multiLevelType w:val="multilevel"/>
    <w:tmpl w:val="5603797C"/>
    <w:lvl w:ilvl="0" w:tentative="0">
      <w:start w:val="1"/>
      <w:numFmt w:val="upperLetter"/>
      <w:pStyle w:val="131"/>
      <w:suff w:val="space"/>
      <w:lvlText w:val="%1"/>
      <w:lvlJc w:val="left"/>
      <w:pPr>
        <w:ind w:left="425" w:hanging="425"/>
      </w:pPr>
      <w:rPr>
        <w:rFonts w:hint="eastAsia"/>
      </w:rPr>
    </w:lvl>
    <w:lvl w:ilvl="1" w:tentative="0">
      <w:start w:val="1"/>
      <w:numFmt w:val="decimal"/>
      <w:pStyle w:val="125"/>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5">
    <w:nsid w:val="575DA2F8"/>
    <w:multiLevelType w:val="singleLevel"/>
    <w:tmpl w:val="575DA2F8"/>
    <w:lvl w:ilvl="0" w:tentative="0">
      <w:start w:val="1"/>
      <w:numFmt w:val="lowerLetter"/>
      <w:suff w:val="nothing"/>
      <w:lvlText w:val="%1）"/>
      <w:lvlJc w:val="left"/>
    </w:lvl>
  </w:abstractNum>
  <w:abstractNum w:abstractNumId="16">
    <w:nsid w:val="62100D9D"/>
    <w:multiLevelType w:val="singleLevel"/>
    <w:tmpl w:val="62100D9D"/>
    <w:lvl w:ilvl="0" w:tentative="0">
      <w:start w:val="1"/>
      <w:numFmt w:val="lowerLetter"/>
      <w:suff w:val="nothing"/>
      <w:lvlText w:val="%1）"/>
      <w:lvlJc w:val="left"/>
    </w:lvl>
  </w:abstractNum>
  <w:abstractNum w:abstractNumId="17">
    <w:nsid w:val="657D3FBC"/>
    <w:multiLevelType w:val="multilevel"/>
    <w:tmpl w:val="657D3FBC"/>
    <w:lvl w:ilvl="0" w:tentative="0">
      <w:start w:val="1"/>
      <w:numFmt w:val="upperLetter"/>
      <w:pStyle w:val="124"/>
      <w:suff w:val="nothing"/>
      <w:lvlText w:val="附录%1"/>
      <w:lvlJc w:val="left"/>
      <w:pPr>
        <w:ind w:left="0" w:firstLine="0"/>
      </w:pPr>
      <w:rPr>
        <w:rFonts w:hint="eastAsia"/>
        <w:spacing w:val="100"/>
      </w:rPr>
    </w:lvl>
    <w:lvl w:ilvl="1" w:tentative="0">
      <w:start w:val="1"/>
      <w:numFmt w:val="decimal"/>
      <w:pStyle w:val="126"/>
      <w:suff w:val="nothing"/>
      <w:lvlText w:val="%1.%2　"/>
      <w:lvlJc w:val="left"/>
      <w:pPr>
        <w:ind w:left="0" w:firstLine="0"/>
      </w:pPr>
      <w:rPr>
        <w:rFonts w:hint="eastAsia" w:ascii="黑体" w:eastAsia="黑体"/>
        <w:b w:val="0"/>
        <w:i w:val="0"/>
        <w:sz w:val="21"/>
      </w:rPr>
    </w:lvl>
    <w:lvl w:ilvl="2" w:tentative="0">
      <w:start w:val="1"/>
      <w:numFmt w:val="decimal"/>
      <w:pStyle w:val="127"/>
      <w:suff w:val="nothing"/>
      <w:lvlText w:val="%1.%2.%3　"/>
      <w:lvlJc w:val="left"/>
      <w:pPr>
        <w:ind w:left="0" w:firstLine="0"/>
      </w:pPr>
      <w:rPr>
        <w:rFonts w:hint="eastAsia" w:ascii="黑体" w:eastAsia="黑体"/>
        <w:b w:val="0"/>
        <w:i w:val="0"/>
        <w:sz w:val="21"/>
      </w:rPr>
    </w:lvl>
    <w:lvl w:ilvl="3" w:tentative="0">
      <w:start w:val="1"/>
      <w:numFmt w:val="decimal"/>
      <w:pStyle w:val="128"/>
      <w:suff w:val="nothing"/>
      <w:lvlText w:val="%1.%2.%3.%4　"/>
      <w:lvlJc w:val="left"/>
      <w:pPr>
        <w:ind w:left="0" w:firstLine="0"/>
      </w:pPr>
      <w:rPr>
        <w:rFonts w:hint="eastAsia" w:ascii="黑体" w:eastAsia="黑体"/>
        <w:b w:val="0"/>
        <w:i w:val="0"/>
        <w:sz w:val="21"/>
      </w:rPr>
    </w:lvl>
    <w:lvl w:ilvl="4" w:tentative="0">
      <w:start w:val="1"/>
      <w:numFmt w:val="decimal"/>
      <w:pStyle w:val="129"/>
      <w:suff w:val="nothing"/>
      <w:lvlText w:val="%1.%2.%3.%4.%5　"/>
      <w:lvlJc w:val="left"/>
      <w:pPr>
        <w:ind w:left="0" w:firstLine="0"/>
      </w:pPr>
      <w:rPr>
        <w:rFonts w:hint="eastAsia" w:ascii="黑体" w:eastAsia="黑体"/>
        <w:b w:val="0"/>
        <w:i w:val="0"/>
        <w:sz w:val="21"/>
      </w:rPr>
    </w:lvl>
    <w:lvl w:ilvl="5" w:tentative="0">
      <w:start w:val="1"/>
      <w:numFmt w:val="decimal"/>
      <w:pStyle w:val="130"/>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8">
    <w:nsid w:val="68D16744"/>
    <w:multiLevelType w:val="multilevel"/>
    <w:tmpl w:val="68D16744"/>
    <w:lvl w:ilvl="0" w:tentative="0">
      <w:start w:val="1"/>
      <w:numFmt w:val="lowerLetter"/>
      <w:suff w:val="nothing"/>
      <w:lvlText w:val="%1）"/>
      <w:lvlJc w:val="left"/>
      <w:pPr>
        <w:ind w:left="525" w:firstLine="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9">
    <w:nsid w:val="7A4B54CF"/>
    <w:multiLevelType w:val="multilevel"/>
    <w:tmpl w:val="7A4B54CF"/>
    <w:lvl w:ilvl="0" w:tentative="0">
      <w:start w:val="1"/>
      <w:numFmt w:val="decimal"/>
      <w:pStyle w:val="69"/>
      <w:lvlText w:val="(%1)"/>
      <w:lvlJc w:val="left"/>
      <w:pPr>
        <w:tabs>
          <w:tab w:val="left" w:pos="1211"/>
        </w:tabs>
        <w:ind w:left="851" w:firstLine="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7BA00C6D"/>
    <w:multiLevelType w:val="multilevel"/>
    <w:tmpl w:val="7BA00C6D"/>
    <w:lvl w:ilvl="0" w:tentative="0">
      <w:start w:val="1"/>
      <w:numFmt w:val="lowerLetter"/>
      <w:suff w:val="nothing"/>
      <w:lvlText w:val="%1）"/>
      <w:lvlJc w:val="left"/>
      <w:pPr>
        <w:ind w:left="525" w:firstLine="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2"/>
  </w:num>
  <w:num w:numId="2">
    <w:abstractNumId w:val="19"/>
  </w:num>
  <w:num w:numId="3">
    <w:abstractNumId w:val="17"/>
  </w:num>
  <w:num w:numId="4">
    <w:abstractNumId w:val="14"/>
  </w:num>
  <w:num w:numId="5">
    <w:abstractNumId w:val="5"/>
  </w:num>
  <w:num w:numId="6">
    <w:abstractNumId w:val="9"/>
  </w:num>
  <w:num w:numId="7">
    <w:abstractNumId w:val="13"/>
  </w:num>
  <w:num w:numId="8">
    <w:abstractNumId w:val="8"/>
  </w:num>
  <w:num w:numId="9">
    <w:abstractNumId w:val="16"/>
  </w:num>
  <w:num w:numId="10">
    <w:abstractNumId w:val="6"/>
  </w:num>
  <w:num w:numId="11">
    <w:abstractNumId w:val="15"/>
  </w:num>
  <w:num w:numId="12">
    <w:abstractNumId w:val="7"/>
  </w:num>
  <w:num w:numId="13">
    <w:abstractNumId w:val="3"/>
  </w:num>
  <w:num w:numId="14">
    <w:abstractNumId w:val="0"/>
  </w:num>
  <w:num w:numId="15">
    <w:abstractNumId w:val="10"/>
  </w:num>
  <w:num w:numId="16">
    <w:abstractNumId w:val="1"/>
  </w:num>
  <w:num w:numId="17">
    <w:abstractNumId w:val="2"/>
    <w:lvlOverride w:ilvl="0">
      <w:startOverride w:val="1"/>
    </w:lvlOverride>
  </w:num>
  <w:num w:numId="18">
    <w:abstractNumId w:val="4"/>
  </w:num>
  <w:num w:numId="19">
    <w:abstractNumId w:val="20"/>
  </w:num>
  <w:num w:numId="20">
    <w:abstractNumId w:val="11"/>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0"/>
  <w:bordersDoNotSurroundFooter w:val="0"/>
  <w:hideSpellingErrors/>
  <w:attachedTemplate r:id="rId1"/>
  <w:documentProtection w:enforcement="0"/>
  <w:defaultTabStop w:val="424"/>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jZjZjMDE4ZjE0ZTgzOTJmYWM5ZDlhYmQ0OTg1Y2MifQ=="/>
  </w:docVars>
  <w:rsids>
    <w:rsidRoot w:val="00DF739F"/>
    <w:rsid w:val="000006BC"/>
    <w:rsid w:val="00000CB1"/>
    <w:rsid w:val="00001844"/>
    <w:rsid w:val="00001AA8"/>
    <w:rsid w:val="00001ACF"/>
    <w:rsid w:val="0000220C"/>
    <w:rsid w:val="00002608"/>
    <w:rsid w:val="00002646"/>
    <w:rsid w:val="0000276F"/>
    <w:rsid w:val="00002EB8"/>
    <w:rsid w:val="00002FD0"/>
    <w:rsid w:val="00003085"/>
    <w:rsid w:val="00003E04"/>
    <w:rsid w:val="000049DA"/>
    <w:rsid w:val="00004AC1"/>
    <w:rsid w:val="00004D82"/>
    <w:rsid w:val="000064F7"/>
    <w:rsid w:val="00006C4D"/>
    <w:rsid w:val="00006D7D"/>
    <w:rsid w:val="00006E75"/>
    <w:rsid w:val="000073E8"/>
    <w:rsid w:val="000101B0"/>
    <w:rsid w:val="00010A37"/>
    <w:rsid w:val="00010C06"/>
    <w:rsid w:val="00010CA8"/>
    <w:rsid w:val="00010DC4"/>
    <w:rsid w:val="000110F2"/>
    <w:rsid w:val="000116FA"/>
    <w:rsid w:val="00011B9E"/>
    <w:rsid w:val="0001220C"/>
    <w:rsid w:val="0001241A"/>
    <w:rsid w:val="000124FA"/>
    <w:rsid w:val="00012DED"/>
    <w:rsid w:val="000134A3"/>
    <w:rsid w:val="000136B0"/>
    <w:rsid w:val="00013D08"/>
    <w:rsid w:val="000147AA"/>
    <w:rsid w:val="00014FA8"/>
    <w:rsid w:val="000150E7"/>
    <w:rsid w:val="00016805"/>
    <w:rsid w:val="00017728"/>
    <w:rsid w:val="00017750"/>
    <w:rsid w:val="00017C82"/>
    <w:rsid w:val="00020A9D"/>
    <w:rsid w:val="00020CF2"/>
    <w:rsid w:val="00021C66"/>
    <w:rsid w:val="00021EE3"/>
    <w:rsid w:val="0002209B"/>
    <w:rsid w:val="00022376"/>
    <w:rsid w:val="000227D7"/>
    <w:rsid w:val="00022BC8"/>
    <w:rsid w:val="00022F8A"/>
    <w:rsid w:val="00022FB5"/>
    <w:rsid w:val="00023118"/>
    <w:rsid w:val="000231C5"/>
    <w:rsid w:val="000235AF"/>
    <w:rsid w:val="000238ED"/>
    <w:rsid w:val="00023AD3"/>
    <w:rsid w:val="00023DDB"/>
    <w:rsid w:val="00024510"/>
    <w:rsid w:val="000259F3"/>
    <w:rsid w:val="000264BB"/>
    <w:rsid w:val="000265A0"/>
    <w:rsid w:val="0002681E"/>
    <w:rsid w:val="0002773B"/>
    <w:rsid w:val="000300B5"/>
    <w:rsid w:val="00030134"/>
    <w:rsid w:val="000301B5"/>
    <w:rsid w:val="000306E5"/>
    <w:rsid w:val="00030752"/>
    <w:rsid w:val="00030BEF"/>
    <w:rsid w:val="00031099"/>
    <w:rsid w:val="000320D8"/>
    <w:rsid w:val="0003271C"/>
    <w:rsid w:val="000328E4"/>
    <w:rsid w:val="00032988"/>
    <w:rsid w:val="00032E13"/>
    <w:rsid w:val="00033DE1"/>
    <w:rsid w:val="000341EC"/>
    <w:rsid w:val="000350FF"/>
    <w:rsid w:val="00035E9C"/>
    <w:rsid w:val="00036F1B"/>
    <w:rsid w:val="00037B80"/>
    <w:rsid w:val="00037C67"/>
    <w:rsid w:val="00037FF4"/>
    <w:rsid w:val="00040185"/>
    <w:rsid w:val="00040488"/>
    <w:rsid w:val="00040ABB"/>
    <w:rsid w:val="00040B6E"/>
    <w:rsid w:val="00041120"/>
    <w:rsid w:val="00041F39"/>
    <w:rsid w:val="00042202"/>
    <w:rsid w:val="0004269F"/>
    <w:rsid w:val="00043492"/>
    <w:rsid w:val="00043865"/>
    <w:rsid w:val="000438DA"/>
    <w:rsid w:val="00043DD2"/>
    <w:rsid w:val="000447FD"/>
    <w:rsid w:val="000448A7"/>
    <w:rsid w:val="00045239"/>
    <w:rsid w:val="00045267"/>
    <w:rsid w:val="00045F37"/>
    <w:rsid w:val="00045FF4"/>
    <w:rsid w:val="0004611D"/>
    <w:rsid w:val="000467F6"/>
    <w:rsid w:val="000476B4"/>
    <w:rsid w:val="00047D4E"/>
    <w:rsid w:val="00047D69"/>
    <w:rsid w:val="00047DE2"/>
    <w:rsid w:val="00050DD7"/>
    <w:rsid w:val="00051F97"/>
    <w:rsid w:val="000522F2"/>
    <w:rsid w:val="000531E8"/>
    <w:rsid w:val="00053385"/>
    <w:rsid w:val="0005338F"/>
    <w:rsid w:val="00053534"/>
    <w:rsid w:val="00053958"/>
    <w:rsid w:val="000545FF"/>
    <w:rsid w:val="00054A69"/>
    <w:rsid w:val="00054BC9"/>
    <w:rsid w:val="00054CDC"/>
    <w:rsid w:val="00054EC5"/>
    <w:rsid w:val="000552A3"/>
    <w:rsid w:val="000555D3"/>
    <w:rsid w:val="00055F98"/>
    <w:rsid w:val="00056201"/>
    <w:rsid w:val="00056245"/>
    <w:rsid w:val="00056458"/>
    <w:rsid w:val="0005661C"/>
    <w:rsid w:val="00056DA7"/>
    <w:rsid w:val="00056DC7"/>
    <w:rsid w:val="00056F3A"/>
    <w:rsid w:val="000570B5"/>
    <w:rsid w:val="0005778C"/>
    <w:rsid w:val="00057882"/>
    <w:rsid w:val="00057A46"/>
    <w:rsid w:val="00057A8C"/>
    <w:rsid w:val="0006017D"/>
    <w:rsid w:val="00060304"/>
    <w:rsid w:val="000604E7"/>
    <w:rsid w:val="00060632"/>
    <w:rsid w:val="0006079E"/>
    <w:rsid w:val="00060A9D"/>
    <w:rsid w:val="00060DDB"/>
    <w:rsid w:val="000615AF"/>
    <w:rsid w:val="0006170F"/>
    <w:rsid w:val="00061C7B"/>
    <w:rsid w:val="00061ECB"/>
    <w:rsid w:val="00061F29"/>
    <w:rsid w:val="000620AB"/>
    <w:rsid w:val="00062441"/>
    <w:rsid w:val="00063EE4"/>
    <w:rsid w:val="00064036"/>
    <w:rsid w:val="000640A1"/>
    <w:rsid w:val="000641E2"/>
    <w:rsid w:val="0006432C"/>
    <w:rsid w:val="000652E1"/>
    <w:rsid w:val="00065847"/>
    <w:rsid w:val="00066582"/>
    <w:rsid w:val="0006719C"/>
    <w:rsid w:val="00067378"/>
    <w:rsid w:val="000678A9"/>
    <w:rsid w:val="00067F3F"/>
    <w:rsid w:val="0007028D"/>
    <w:rsid w:val="00070F6F"/>
    <w:rsid w:val="00070F7B"/>
    <w:rsid w:val="0007131B"/>
    <w:rsid w:val="000716CB"/>
    <w:rsid w:val="000718EE"/>
    <w:rsid w:val="00071A91"/>
    <w:rsid w:val="00071E5C"/>
    <w:rsid w:val="00072046"/>
    <w:rsid w:val="0007271C"/>
    <w:rsid w:val="00073D32"/>
    <w:rsid w:val="000740E6"/>
    <w:rsid w:val="00074477"/>
    <w:rsid w:val="000756B1"/>
    <w:rsid w:val="00075D87"/>
    <w:rsid w:val="000761A5"/>
    <w:rsid w:val="00076BCC"/>
    <w:rsid w:val="00076C1B"/>
    <w:rsid w:val="00076C70"/>
    <w:rsid w:val="00076DED"/>
    <w:rsid w:val="0007704B"/>
    <w:rsid w:val="000772E6"/>
    <w:rsid w:val="00077D66"/>
    <w:rsid w:val="00077EE0"/>
    <w:rsid w:val="00081C0B"/>
    <w:rsid w:val="00081D60"/>
    <w:rsid w:val="00082020"/>
    <w:rsid w:val="0008263C"/>
    <w:rsid w:val="0008288E"/>
    <w:rsid w:val="0008297E"/>
    <w:rsid w:val="0008298D"/>
    <w:rsid w:val="00082FD5"/>
    <w:rsid w:val="00083CD5"/>
    <w:rsid w:val="00083E46"/>
    <w:rsid w:val="00084174"/>
    <w:rsid w:val="0008427F"/>
    <w:rsid w:val="000842BE"/>
    <w:rsid w:val="00084665"/>
    <w:rsid w:val="00084ADF"/>
    <w:rsid w:val="000859AD"/>
    <w:rsid w:val="0008609B"/>
    <w:rsid w:val="000860DC"/>
    <w:rsid w:val="00087932"/>
    <w:rsid w:val="00087AF6"/>
    <w:rsid w:val="00087D3F"/>
    <w:rsid w:val="00090575"/>
    <w:rsid w:val="00090C62"/>
    <w:rsid w:val="000914B3"/>
    <w:rsid w:val="00091805"/>
    <w:rsid w:val="00091E54"/>
    <w:rsid w:val="0009209B"/>
    <w:rsid w:val="0009227B"/>
    <w:rsid w:val="00092285"/>
    <w:rsid w:val="000924E5"/>
    <w:rsid w:val="00092997"/>
    <w:rsid w:val="00092EAC"/>
    <w:rsid w:val="00093933"/>
    <w:rsid w:val="000942C2"/>
    <w:rsid w:val="00094D45"/>
    <w:rsid w:val="00094E34"/>
    <w:rsid w:val="00095783"/>
    <w:rsid w:val="00096197"/>
    <w:rsid w:val="000961BD"/>
    <w:rsid w:val="000962FA"/>
    <w:rsid w:val="000967A6"/>
    <w:rsid w:val="00096C3A"/>
    <w:rsid w:val="000970B0"/>
    <w:rsid w:val="000973AE"/>
    <w:rsid w:val="00097D49"/>
    <w:rsid w:val="000A05C3"/>
    <w:rsid w:val="000A06E5"/>
    <w:rsid w:val="000A0E00"/>
    <w:rsid w:val="000A1263"/>
    <w:rsid w:val="000A19EA"/>
    <w:rsid w:val="000A20C7"/>
    <w:rsid w:val="000A245E"/>
    <w:rsid w:val="000A2593"/>
    <w:rsid w:val="000A2B90"/>
    <w:rsid w:val="000A2ED1"/>
    <w:rsid w:val="000A33A1"/>
    <w:rsid w:val="000A343D"/>
    <w:rsid w:val="000A34D0"/>
    <w:rsid w:val="000A360F"/>
    <w:rsid w:val="000A3F9E"/>
    <w:rsid w:val="000A411A"/>
    <w:rsid w:val="000A4641"/>
    <w:rsid w:val="000A47D1"/>
    <w:rsid w:val="000A4C4C"/>
    <w:rsid w:val="000A4D43"/>
    <w:rsid w:val="000A52B4"/>
    <w:rsid w:val="000A5378"/>
    <w:rsid w:val="000A5F51"/>
    <w:rsid w:val="000A681C"/>
    <w:rsid w:val="000A7100"/>
    <w:rsid w:val="000A7115"/>
    <w:rsid w:val="000A7218"/>
    <w:rsid w:val="000A73CB"/>
    <w:rsid w:val="000A7425"/>
    <w:rsid w:val="000A7474"/>
    <w:rsid w:val="000A763D"/>
    <w:rsid w:val="000A76FE"/>
    <w:rsid w:val="000A7D2B"/>
    <w:rsid w:val="000B0026"/>
    <w:rsid w:val="000B0195"/>
    <w:rsid w:val="000B06B7"/>
    <w:rsid w:val="000B0705"/>
    <w:rsid w:val="000B0D82"/>
    <w:rsid w:val="000B134E"/>
    <w:rsid w:val="000B214F"/>
    <w:rsid w:val="000B2533"/>
    <w:rsid w:val="000B2E04"/>
    <w:rsid w:val="000B3290"/>
    <w:rsid w:val="000B3AF8"/>
    <w:rsid w:val="000B47EC"/>
    <w:rsid w:val="000B4B8F"/>
    <w:rsid w:val="000B4CE8"/>
    <w:rsid w:val="000B5409"/>
    <w:rsid w:val="000B594E"/>
    <w:rsid w:val="000B62A5"/>
    <w:rsid w:val="000B714E"/>
    <w:rsid w:val="000B7649"/>
    <w:rsid w:val="000B7F75"/>
    <w:rsid w:val="000C000B"/>
    <w:rsid w:val="000C017D"/>
    <w:rsid w:val="000C06F4"/>
    <w:rsid w:val="000C073F"/>
    <w:rsid w:val="000C0A12"/>
    <w:rsid w:val="000C1072"/>
    <w:rsid w:val="000C1079"/>
    <w:rsid w:val="000C12D4"/>
    <w:rsid w:val="000C243E"/>
    <w:rsid w:val="000C252C"/>
    <w:rsid w:val="000C2A3C"/>
    <w:rsid w:val="000C2CF9"/>
    <w:rsid w:val="000C2EB0"/>
    <w:rsid w:val="000C30AC"/>
    <w:rsid w:val="000C45D4"/>
    <w:rsid w:val="000C4918"/>
    <w:rsid w:val="000C5040"/>
    <w:rsid w:val="000C5C44"/>
    <w:rsid w:val="000C5F4E"/>
    <w:rsid w:val="000C6360"/>
    <w:rsid w:val="000C6565"/>
    <w:rsid w:val="000C6740"/>
    <w:rsid w:val="000C6A75"/>
    <w:rsid w:val="000C6BCF"/>
    <w:rsid w:val="000C713C"/>
    <w:rsid w:val="000C7160"/>
    <w:rsid w:val="000C7D71"/>
    <w:rsid w:val="000D074D"/>
    <w:rsid w:val="000D0D68"/>
    <w:rsid w:val="000D1C43"/>
    <w:rsid w:val="000D2187"/>
    <w:rsid w:val="000D2280"/>
    <w:rsid w:val="000D2853"/>
    <w:rsid w:val="000D2A49"/>
    <w:rsid w:val="000D2BBD"/>
    <w:rsid w:val="000D2E9C"/>
    <w:rsid w:val="000D33AF"/>
    <w:rsid w:val="000D34DC"/>
    <w:rsid w:val="000D4B89"/>
    <w:rsid w:val="000D4ED3"/>
    <w:rsid w:val="000D5040"/>
    <w:rsid w:val="000D52C6"/>
    <w:rsid w:val="000D5A14"/>
    <w:rsid w:val="000D6430"/>
    <w:rsid w:val="000D6747"/>
    <w:rsid w:val="000D759E"/>
    <w:rsid w:val="000D77E7"/>
    <w:rsid w:val="000D7AEA"/>
    <w:rsid w:val="000D7E8E"/>
    <w:rsid w:val="000E0DBD"/>
    <w:rsid w:val="000E2634"/>
    <w:rsid w:val="000E323A"/>
    <w:rsid w:val="000E3B10"/>
    <w:rsid w:val="000E44F5"/>
    <w:rsid w:val="000E4CE0"/>
    <w:rsid w:val="000E522A"/>
    <w:rsid w:val="000E52EB"/>
    <w:rsid w:val="000E6379"/>
    <w:rsid w:val="000E6725"/>
    <w:rsid w:val="000E6745"/>
    <w:rsid w:val="000E6BC1"/>
    <w:rsid w:val="000E7044"/>
    <w:rsid w:val="000E7839"/>
    <w:rsid w:val="000E788B"/>
    <w:rsid w:val="000E7B22"/>
    <w:rsid w:val="000E7D44"/>
    <w:rsid w:val="000E7E82"/>
    <w:rsid w:val="000E7F14"/>
    <w:rsid w:val="000F02D7"/>
    <w:rsid w:val="000F06A7"/>
    <w:rsid w:val="000F0747"/>
    <w:rsid w:val="000F099A"/>
    <w:rsid w:val="000F0F5B"/>
    <w:rsid w:val="000F1982"/>
    <w:rsid w:val="000F1A8F"/>
    <w:rsid w:val="000F1C98"/>
    <w:rsid w:val="000F1CB3"/>
    <w:rsid w:val="000F2A4E"/>
    <w:rsid w:val="000F2C33"/>
    <w:rsid w:val="000F33B1"/>
    <w:rsid w:val="000F3473"/>
    <w:rsid w:val="000F3667"/>
    <w:rsid w:val="000F3958"/>
    <w:rsid w:val="000F46AC"/>
    <w:rsid w:val="000F4CAD"/>
    <w:rsid w:val="000F4DCE"/>
    <w:rsid w:val="000F53DD"/>
    <w:rsid w:val="000F54E0"/>
    <w:rsid w:val="000F55DF"/>
    <w:rsid w:val="000F5CD1"/>
    <w:rsid w:val="000F638F"/>
    <w:rsid w:val="000F654C"/>
    <w:rsid w:val="000F65E4"/>
    <w:rsid w:val="000F735D"/>
    <w:rsid w:val="000F75A4"/>
    <w:rsid w:val="000F7631"/>
    <w:rsid w:val="000F794B"/>
    <w:rsid w:val="000F795A"/>
    <w:rsid w:val="00100259"/>
    <w:rsid w:val="001006C5"/>
    <w:rsid w:val="001011B2"/>
    <w:rsid w:val="00101312"/>
    <w:rsid w:val="0010175E"/>
    <w:rsid w:val="00101AEC"/>
    <w:rsid w:val="00101B1D"/>
    <w:rsid w:val="00101FD1"/>
    <w:rsid w:val="00102080"/>
    <w:rsid w:val="0010231E"/>
    <w:rsid w:val="00103CC4"/>
    <w:rsid w:val="001042CD"/>
    <w:rsid w:val="0010482E"/>
    <w:rsid w:val="00105580"/>
    <w:rsid w:val="00105942"/>
    <w:rsid w:val="00105B43"/>
    <w:rsid w:val="00105D49"/>
    <w:rsid w:val="00106AE1"/>
    <w:rsid w:val="00106BE1"/>
    <w:rsid w:val="00106E15"/>
    <w:rsid w:val="00106F6B"/>
    <w:rsid w:val="0010754E"/>
    <w:rsid w:val="00107587"/>
    <w:rsid w:val="00110058"/>
    <w:rsid w:val="001101EC"/>
    <w:rsid w:val="0011092F"/>
    <w:rsid w:val="00110A6C"/>
    <w:rsid w:val="00110A9D"/>
    <w:rsid w:val="00111456"/>
    <w:rsid w:val="0011170F"/>
    <w:rsid w:val="00111B19"/>
    <w:rsid w:val="00112699"/>
    <w:rsid w:val="00112B7D"/>
    <w:rsid w:val="00113491"/>
    <w:rsid w:val="00113AEA"/>
    <w:rsid w:val="0011420D"/>
    <w:rsid w:val="00114D52"/>
    <w:rsid w:val="00115391"/>
    <w:rsid w:val="001155CD"/>
    <w:rsid w:val="00115780"/>
    <w:rsid w:val="001157C4"/>
    <w:rsid w:val="001157D5"/>
    <w:rsid w:val="00115C70"/>
    <w:rsid w:val="0011611C"/>
    <w:rsid w:val="0011618B"/>
    <w:rsid w:val="0011685E"/>
    <w:rsid w:val="001170DA"/>
    <w:rsid w:val="001171EE"/>
    <w:rsid w:val="00117955"/>
    <w:rsid w:val="00120108"/>
    <w:rsid w:val="0012014B"/>
    <w:rsid w:val="00120523"/>
    <w:rsid w:val="00120638"/>
    <w:rsid w:val="00120671"/>
    <w:rsid w:val="00120A21"/>
    <w:rsid w:val="00120C16"/>
    <w:rsid w:val="00120F1B"/>
    <w:rsid w:val="00121710"/>
    <w:rsid w:val="0012241A"/>
    <w:rsid w:val="001228C6"/>
    <w:rsid w:val="00122BD1"/>
    <w:rsid w:val="00122E3D"/>
    <w:rsid w:val="001231DB"/>
    <w:rsid w:val="0012324B"/>
    <w:rsid w:val="00123D1C"/>
    <w:rsid w:val="00123D9A"/>
    <w:rsid w:val="00123F0E"/>
    <w:rsid w:val="0012487B"/>
    <w:rsid w:val="001248CB"/>
    <w:rsid w:val="00124EFE"/>
    <w:rsid w:val="0012544F"/>
    <w:rsid w:val="0012591D"/>
    <w:rsid w:val="00125D29"/>
    <w:rsid w:val="00126910"/>
    <w:rsid w:val="00126E71"/>
    <w:rsid w:val="001305A3"/>
    <w:rsid w:val="00130687"/>
    <w:rsid w:val="00130A4F"/>
    <w:rsid w:val="00130A69"/>
    <w:rsid w:val="00130AC7"/>
    <w:rsid w:val="001321B4"/>
    <w:rsid w:val="001326B2"/>
    <w:rsid w:val="00132823"/>
    <w:rsid w:val="00132F3A"/>
    <w:rsid w:val="00133361"/>
    <w:rsid w:val="00133CB3"/>
    <w:rsid w:val="001349A8"/>
    <w:rsid w:val="00135D5A"/>
    <w:rsid w:val="00135F03"/>
    <w:rsid w:val="001368FC"/>
    <w:rsid w:val="001369D7"/>
    <w:rsid w:val="00136B27"/>
    <w:rsid w:val="00136C76"/>
    <w:rsid w:val="001374AD"/>
    <w:rsid w:val="0013771F"/>
    <w:rsid w:val="00137C27"/>
    <w:rsid w:val="00137C6E"/>
    <w:rsid w:val="00140B08"/>
    <w:rsid w:val="00140B6E"/>
    <w:rsid w:val="00140E43"/>
    <w:rsid w:val="00141052"/>
    <w:rsid w:val="00141699"/>
    <w:rsid w:val="00141C7A"/>
    <w:rsid w:val="00142582"/>
    <w:rsid w:val="00142E6F"/>
    <w:rsid w:val="00143655"/>
    <w:rsid w:val="00143CDA"/>
    <w:rsid w:val="00143F44"/>
    <w:rsid w:val="00144217"/>
    <w:rsid w:val="001451A2"/>
    <w:rsid w:val="001456ED"/>
    <w:rsid w:val="001459CE"/>
    <w:rsid w:val="00145A62"/>
    <w:rsid w:val="001461FC"/>
    <w:rsid w:val="001464BC"/>
    <w:rsid w:val="00146882"/>
    <w:rsid w:val="00146B0D"/>
    <w:rsid w:val="00146F2D"/>
    <w:rsid w:val="00147012"/>
    <w:rsid w:val="00147068"/>
    <w:rsid w:val="001476D2"/>
    <w:rsid w:val="00147738"/>
    <w:rsid w:val="00147A03"/>
    <w:rsid w:val="00147AE6"/>
    <w:rsid w:val="00147B07"/>
    <w:rsid w:val="00150522"/>
    <w:rsid w:val="00150E12"/>
    <w:rsid w:val="00150F53"/>
    <w:rsid w:val="001513F8"/>
    <w:rsid w:val="0015150F"/>
    <w:rsid w:val="001515C9"/>
    <w:rsid w:val="00151A96"/>
    <w:rsid w:val="00151F43"/>
    <w:rsid w:val="00152292"/>
    <w:rsid w:val="00152602"/>
    <w:rsid w:val="00152633"/>
    <w:rsid w:val="001527C6"/>
    <w:rsid w:val="00152C4D"/>
    <w:rsid w:val="0015339A"/>
    <w:rsid w:val="001534FB"/>
    <w:rsid w:val="001538C9"/>
    <w:rsid w:val="00153E9A"/>
    <w:rsid w:val="00153F84"/>
    <w:rsid w:val="00153F8D"/>
    <w:rsid w:val="0015432B"/>
    <w:rsid w:val="0015455B"/>
    <w:rsid w:val="001549C6"/>
    <w:rsid w:val="00154BC6"/>
    <w:rsid w:val="00155159"/>
    <w:rsid w:val="00155449"/>
    <w:rsid w:val="001554EB"/>
    <w:rsid w:val="001557D1"/>
    <w:rsid w:val="0015581E"/>
    <w:rsid w:val="00155D7F"/>
    <w:rsid w:val="00156238"/>
    <w:rsid w:val="001567E5"/>
    <w:rsid w:val="00156B72"/>
    <w:rsid w:val="00156FF5"/>
    <w:rsid w:val="00157219"/>
    <w:rsid w:val="001574BF"/>
    <w:rsid w:val="0015765A"/>
    <w:rsid w:val="00157B6F"/>
    <w:rsid w:val="00157D74"/>
    <w:rsid w:val="001601C4"/>
    <w:rsid w:val="0016049C"/>
    <w:rsid w:val="00160F85"/>
    <w:rsid w:val="00161282"/>
    <w:rsid w:val="00161387"/>
    <w:rsid w:val="00161464"/>
    <w:rsid w:val="001615A6"/>
    <w:rsid w:val="0016188B"/>
    <w:rsid w:val="0016193D"/>
    <w:rsid w:val="001619FB"/>
    <w:rsid w:val="00161D4B"/>
    <w:rsid w:val="00162663"/>
    <w:rsid w:val="00162BFB"/>
    <w:rsid w:val="00163ACF"/>
    <w:rsid w:val="001648F3"/>
    <w:rsid w:val="00165182"/>
    <w:rsid w:val="00165AF7"/>
    <w:rsid w:val="00167285"/>
    <w:rsid w:val="0016780B"/>
    <w:rsid w:val="001679FC"/>
    <w:rsid w:val="0017065A"/>
    <w:rsid w:val="00170877"/>
    <w:rsid w:val="00170938"/>
    <w:rsid w:val="00170EB1"/>
    <w:rsid w:val="0017128B"/>
    <w:rsid w:val="00171334"/>
    <w:rsid w:val="0017173E"/>
    <w:rsid w:val="001718E6"/>
    <w:rsid w:val="00171D51"/>
    <w:rsid w:val="0017218E"/>
    <w:rsid w:val="00172A25"/>
    <w:rsid w:val="00172AC3"/>
    <w:rsid w:val="00172E85"/>
    <w:rsid w:val="00174151"/>
    <w:rsid w:val="00174C2D"/>
    <w:rsid w:val="00174C31"/>
    <w:rsid w:val="001753CA"/>
    <w:rsid w:val="001757CB"/>
    <w:rsid w:val="0017604C"/>
    <w:rsid w:val="00176BB4"/>
    <w:rsid w:val="00176D4B"/>
    <w:rsid w:val="0017726E"/>
    <w:rsid w:val="00177713"/>
    <w:rsid w:val="00177AB6"/>
    <w:rsid w:val="00177B77"/>
    <w:rsid w:val="001802B1"/>
    <w:rsid w:val="00181325"/>
    <w:rsid w:val="00181A05"/>
    <w:rsid w:val="00181A20"/>
    <w:rsid w:val="0018246A"/>
    <w:rsid w:val="00182887"/>
    <w:rsid w:val="001828F1"/>
    <w:rsid w:val="0018301B"/>
    <w:rsid w:val="00183024"/>
    <w:rsid w:val="0018313B"/>
    <w:rsid w:val="00183A68"/>
    <w:rsid w:val="00183A7C"/>
    <w:rsid w:val="00184B15"/>
    <w:rsid w:val="00185667"/>
    <w:rsid w:val="00185D24"/>
    <w:rsid w:val="00190288"/>
    <w:rsid w:val="0019167D"/>
    <w:rsid w:val="00191D71"/>
    <w:rsid w:val="00192038"/>
    <w:rsid w:val="00192A38"/>
    <w:rsid w:val="00193E90"/>
    <w:rsid w:val="00194695"/>
    <w:rsid w:val="00194FF0"/>
    <w:rsid w:val="00195A84"/>
    <w:rsid w:val="001961B6"/>
    <w:rsid w:val="00196CA1"/>
    <w:rsid w:val="0019727E"/>
    <w:rsid w:val="00197412"/>
    <w:rsid w:val="00197453"/>
    <w:rsid w:val="0019794F"/>
    <w:rsid w:val="00197DA5"/>
    <w:rsid w:val="001A03D9"/>
    <w:rsid w:val="001A0768"/>
    <w:rsid w:val="001A0FD8"/>
    <w:rsid w:val="001A0FE4"/>
    <w:rsid w:val="001A1774"/>
    <w:rsid w:val="001A1977"/>
    <w:rsid w:val="001A1B78"/>
    <w:rsid w:val="001A2994"/>
    <w:rsid w:val="001A3201"/>
    <w:rsid w:val="001A36C9"/>
    <w:rsid w:val="001A37A8"/>
    <w:rsid w:val="001A3991"/>
    <w:rsid w:val="001A3A4E"/>
    <w:rsid w:val="001A40D2"/>
    <w:rsid w:val="001A49D8"/>
    <w:rsid w:val="001A51E3"/>
    <w:rsid w:val="001A6281"/>
    <w:rsid w:val="001A6297"/>
    <w:rsid w:val="001A6A24"/>
    <w:rsid w:val="001A6ECF"/>
    <w:rsid w:val="001A7615"/>
    <w:rsid w:val="001A7CF9"/>
    <w:rsid w:val="001B0AD8"/>
    <w:rsid w:val="001B1216"/>
    <w:rsid w:val="001B1325"/>
    <w:rsid w:val="001B19A8"/>
    <w:rsid w:val="001B1D77"/>
    <w:rsid w:val="001B1DB3"/>
    <w:rsid w:val="001B33C0"/>
    <w:rsid w:val="001B391D"/>
    <w:rsid w:val="001B3E6F"/>
    <w:rsid w:val="001B3F02"/>
    <w:rsid w:val="001B41B0"/>
    <w:rsid w:val="001B4F82"/>
    <w:rsid w:val="001B556F"/>
    <w:rsid w:val="001B59A4"/>
    <w:rsid w:val="001B5E9D"/>
    <w:rsid w:val="001B6563"/>
    <w:rsid w:val="001B662B"/>
    <w:rsid w:val="001B66F7"/>
    <w:rsid w:val="001B68F4"/>
    <w:rsid w:val="001B7219"/>
    <w:rsid w:val="001B771B"/>
    <w:rsid w:val="001C06DF"/>
    <w:rsid w:val="001C0CCC"/>
    <w:rsid w:val="001C0E70"/>
    <w:rsid w:val="001C0F85"/>
    <w:rsid w:val="001C17A2"/>
    <w:rsid w:val="001C18D8"/>
    <w:rsid w:val="001C2988"/>
    <w:rsid w:val="001C2AE1"/>
    <w:rsid w:val="001C2B8A"/>
    <w:rsid w:val="001C38E9"/>
    <w:rsid w:val="001C3A32"/>
    <w:rsid w:val="001C41E0"/>
    <w:rsid w:val="001C428B"/>
    <w:rsid w:val="001C452D"/>
    <w:rsid w:val="001C46CE"/>
    <w:rsid w:val="001C4B7B"/>
    <w:rsid w:val="001C4F83"/>
    <w:rsid w:val="001C5194"/>
    <w:rsid w:val="001C5470"/>
    <w:rsid w:val="001C5B98"/>
    <w:rsid w:val="001C5C47"/>
    <w:rsid w:val="001C5C9E"/>
    <w:rsid w:val="001C65F7"/>
    <w:rsid w:val="001C6A82"/>
    <w:rsid w:val="001C7097"/>
    <w:rsid w:val="001C73FB"/>
    <w:rsid w:val="001D0323"/>
    <w:rsid w:val="001D057B"/>
    <w:rsid w:val="001D0959"/>
    <w:rsid w:val="001D0D07"/>
    <w:rsid w:val="001D0FDC"/>
    <w:rsid w:val="001D2426"/>
    <w:rsid w:val="001D3206"/>
    <w:rsid w:val="001D3C33"/>
    <w:rsid w:val="001D4CB1"/>
    <w:rsid w:val="001D62AB"/>
    <w:rsid w:val="001D64EE"/>
    <w:rsid w:val="001D70FC"/>
    <w:rsid w:val="001D76F1"/>
    <w:rsid w:val="001D7747"/>
    <w:rsid w:val="001E03CC"/>
    <w:rsid w:val="001E08E4"/>
    <w:rsid w:val="001E1182"/>
    <w:rsid w:val="001E1975"/>
    <w:rsid w:val="001E1BAE"/>
    <w:rsid w:val="001E1BF0"/>
    <w:rsid w:val="001E1EC3"/>
    <w:rsid w:val="001E2546"/>
    <w:rsid w:val="001E30E9"/>
    <w:rsid w:val="001E34D1"/>
    <w:rsid w:val="001E355D"/>
    <w:rsid w:val="001E384D"/>
    <w:rsid w:val="001E44E7"/>
    <w:rsid w:val="001E4BDB"/>
    <w:rsid w:val="001E5086"/>
    <w:rsid w:val="001E5450"/>
    <w:rsid w:val="001E5EA3"/>
    <w:rsid w:val="001E600B"/>
    <w:rsid w:val="001E64BD"/>
    <w:rsid w:val="001E6658"/>
    <w:rsid w:val="001E6987"/>
    <w:rsid w:val="001E6EEA"/>
    <w:rsid w:val="001F0B84"/>
    <w:rsid w:val="001F0ECA"/>
    <w:rsid w:val="001F1160"/>
    <w:rsid w:val="001F19D0"/>
    <w:rsid w:val="001F20AC"/>
    <w:rsid w:val="001F308B"/>
    <w:rsid w:val="001F3370"/>
    <w:rsid w:val="001F3DD3"/>
    <w:rsid w:val="001F40FE"/>
    <w:rsid w:val="001F430A"/>
    <w:rsid w:val="001F4902"/>
    <w:rsid w:val="001F4CD0"/>
    <w:rsid w:val="001F5B23"/>
    <w:rsid w:val="001F5EE7"/>
    <w:rsid w:val="001F6121"/>
    <w:rsid w:val="001F6221"/>
    <w:rsid w:val="001F63E4"/>
    <w:rsid w:val="001F6B4F"/>
    <w:rsid w:val="001F6F09"/>
    <w:rsid w:val="0020083B"/>
    <w:rsid w:val="0020168F"/>
    <w:rsid w:val="00201747"/>
    <w:rsid w:val="0020193C"/>
    <w:rsid w:val="0020196C"/>
    <w:rsid w:val="002019B5"/>
    <w:rsid w:val="00201C63"/>
    <w:rsid w:val="002022BB"/>
    <w:rsid w:val="00202442"/>
    <w:rsid w:val="002027A7"/>
    <w:rsid w:val="0020284C"/>
    <w:rsid w:val="00202E48"/>
    <w:rsid w:val="00203A76"/>
    <w:rsid w:val="00203DE7"/>
    <w:rsid w:val="00203F6D"/>
    <w:rsid w:val="00204269"/>
    <w:rsid w:val="002045FA"/>
    <w:rsid w:val="002049CA"/>
    <w:rsid w:val="00205B8D"/>
    <w:rsid w:val="00206684"/>
    <w:rsid w:val="002066D3"/>
    <w:rsid w:val="00206E57"/>
    <w:rsid w:val="00207578"/>
    <w:rsid w:val="002075EE"/>
    <w:rsid w:val="002076C7"/>
    <w:rsid w:val="00207FE6"/>
    <w:rsid w:val="00210671"/>
    <w:rsid w:val="0021079E"/>
    <w:rsid w:val="00210A44"/>
    <w:rsid w:val="002113CE"/>
    <w:rsid w:val="0021158B"/>
    <w:rsid w:val="00211BD9"/>
    <w:rsid w:val="00211C07"/>
    <w:rsid w:val="00212AC9"/>
    <w:rsid w:val="00212C44"/>
    <w:rsid w:val="00212DBA"/>
    <w:rsid w:val="00213B90"/>
    <w:rsid w:val="00213C98"/>
    <w:rsid w:val="00213CF6"/>
    <w:rsid w:val="00213EBD"/>
    <w:rsid w:val="00214780"/>
    <w:rsid w:val="00214789"/>
    <w:rsid w:val="00214E4B"/>
    <w:rsid w:val="002150F6"/>
    <w:rsid w:val="00215F0F"/>
    <w:rsid w:val="00216CDD"/>
    <w:rsid w:val="0021757E"/>
    <w:rsid w:val="00217AF4"/>
    <w:rsid w:val="00217D74"/>
    <w:rsid w:val="00217DD6"/>
    <w:rsid w:val="00217EA5"/>
    <w:rsid w:val="00220A03"/>
    <w:rsid w:val="00220CA5"/>
    <w:rsid w:val="00220EFF"/>
    <w:rsid w:val="0022109E"/>
    <w:rsid w:val="002213E7"/>
    <w:rsid w:val="0022262D"/>
    <w:rsid w:val="00222ACB"/>
    <w:rsid w:val="00222B59"/>
    <w:rsid w:val="00222DF0"/>
    <w:rsid w:val="00222EB9"/>
    <w:rsid w:val="002231C4"/>
    <w:rsid w:val="00223A32"/>
    <w:rsid w:val="00224150"/>
    <w:rsid w:val="00224170"/>
    <w:rsid w:val="002247A2"/>
    <w:rsid w:val="00224906"/>
    <w:rsid w:val="00224EAC"/>
    <w:rsid w:val="002250FF"/>
    <w:rsid w:val="00225D79"/>
    <w:rsid w:val="00226304"/>
    <w:rsid w:val="0022655E"/>
    <w:rsid w:val="002272D7"/>
    <w:rsid w:val="002274A2"/>
    <w:rsid w:val="0022775F"/>
    <w:rsid w:val="002277D3"/>
    <w:rsid w:val="0023006C"/>
    <w:rsid w:val="002304B9"/>
    <w:rsid w:val="00230ED9"/>
    <w:rsid w:val="00231284"/>
    <w:rsid w:val="00231299"/>
    <w:rsid w:val="002313F4"/>
    <w:rsid w:val="0023151F"/>
    <w:rsid w:val="00231956"/>
    <w:rsid w:val="00231BBE"/>
    <w:rsid w:val="00231DA0"/>
    <w:rsid w:val="002321BB"/>
    <w:rsid w:val="002327AF"/>
    <w:rsid w:val="00232B0C"/>
    <w:rsid w:val="00233087"/>
    <w:rsid w:val="0023369C"/>
    <w:rsid w:val="00233C68"/>
    <w:rsid w:val="00233F52"/>
    <w:rsid w:val="002343D2"/>
    <w:rsid w:val="002346E5"/>
    <w:rsid w:val="00234804"/>
    <w:rsid w:val="00234806"/>
    <w:rsid w:val="00234DF2"/>
    <w:rsid w:val="002357E5"/>
    <w:rsid w:val="0023616C"/>
    <w:rsid w:val="002367BA"/>
    <w:rsid w:val="0023685C"/>
    <w:rsid w:val="00236E13"/>
    <w:rsid w:val="0023714F"/>
    <w:rsid w:val="00237682"/>
    <w:rsid w:val="00237A09"/>
    <w:rsid w:val="00237A9B"/>
    <w:rsid w:val="00240281"/>
    <w:rsid w:val="00240643"/>
    <w:rsid w:val="00240C6F"/>
    <w:rsid w:val="00241211"/>
    <w:rsid w:val="00241566"/>
    <w:rsid w:val="002417FB"/>
    <w:rsid w:val="00241889"/>
    <w:rsid w:val="002419DD"/>
    <w:rsid w:val="00241B64"/>
    <w:rsid w:val="00241BD5"/>
    <w:rsid w:val="002423B1"/>
    <w:rsid w:val="00242DB0"/>
    <w:rsid w:val="002430D9"/>
    <w:rsid w:val="00243400"/>
    <w:rsid w:val="002443A5"/>
    <w:rsid w:val="00244B83"/>
    <w:rsid w:val="00244BCA"/>
    <w:rsid w:val="00244EC9"/>
    <w:rsid w:val="002453A1"/>
    <w:rsid w:val="00245C8D"/>
    <w:rsid w:val="002461CE"/>
    <w:rsid w:val="00246223"/>
    <w:rsid w:val="00246280"/>
    <w:rsid w:val="002468F5"/>
    <w:rsid w:val="00246F83"/>
    <w:rsid w:val="00246FC6"/>
    <w:rsid w:val="002471A5"/>
    <w:rsid w:val="00247314"/>
    <w:rsid w:val="00247B86"/>
    <w:rsid w:val="00247C86"/>
    <w:rsid w:val="00247D5D"/>
    <w:rsid w:val="0025067B"/>
    <w:rsid w:val="002506F9"/>
    <w:rsid w:val="00250D44"/>
    <w:rsid w:val="002514F6"/>
    <w:rsid w:val="00251553"/>
    <w:rsid w:val="0025166D"/>
    <w:rsid w:val="00251A1B"/>
    <w:rsid w:val="00251AE8"/>
    <w:rsid w:val="002536C5"/>
    <w:rsid w:val="00253A6A"/>
    <w:rsid w:val="002541B9"/>
    <w:rsid w:val="00254580"/>
    <w:rsid w:val="002548C0"/>
    <w:rsid w:val="0025490E"/>
    <w:rsid w:val="00254CA5"/>
    <w:rsid w:val="002553C5"/>
    <w:rsid w:val="002554EE"/>
    <w:rsid w:val="00255E1B"/>
    <w:rsid w:val="00256204"/>
    <w:rsid w:val="0025668C"/>
    <w:rsid w:val="002568CB"/>
    <w:rsid w:val="0025736D"/>
    <w:rsid w:val="0025739A"/>
    <w:rsid w:val="00257834"/>
    <w:rsid w:val="00257C60"/>
    <w:rsid w:val="00257C8F"/>
    <w:rsid w:val="002607F3"/>
    <w:rsid w:val="00260A05"/>
    <w:rsid w:val="00260C0C"/>
    <w:rsid w:val="00260C4C"/>
    <w:rsid w:val="00261B08"/>
    <w:rsid w:val="00262926"/>
    <w:rsid w:val="00262AC9"/>
    <w:rsid w:val="002636BF"/>
    <w:rsid w:val="00263AA6"/>
    <w:rsid w:val="00263DD4"/>
    <w:rsid w:val="00264124"/>
    <w:rsid w:val="00264569"/>
    <w:rsid w:val="002645B1"/>
    <w:rsid w:val="00264B79"/>
    <w:rsid w:val="002660FF"/>
    <w:rsid w:val="00266E22"/>
    <w:rsid w:val="00267150"/>
    <w:rsid w:val="00267235"/>
    <w:rsid w:val="00267251"/>
    <w:rsid w:val="002675A8"/>
    <w:rsid w:val="00267C0C"/>
    <w:rsid w:val="00270817"/>
    <w:rsid w:val="00270C10"/>
    <w:rsid w:val="0027164F"/>
    <w:rsid w:val="00271746"/>
    <w:rsid w:val="00272F78"/>
    <w:rsid w:val="00273292"/>
    <w:rsid w:val="002739F4"/>
    <w:rsid w:val="00273EB3"/>
    <w:rsid w:val="00274025"/>
    <w:rsid w:val="002747D4"/>
    <w:rsid w:val="0027499B"/>
    <w:rsid w:val="00274D3A"/>
    <w:rsid w:val="00275366"/>
    <w:rsid w:val="00275AF1"/>
    <w:rsid w:val="00275E27"/>
    <w:rsid w:val="00275ECD"/>
    <w:rsid w:val="00276023"/>
    <w:rsid w:val="00276078"/>
    <w:rsid w:val="00276F9A"/>
    <w:rsid w:val="00277BFB"/>
    <w:rsid w:val="00280027"/>
    <w:rsid w:val="002801C6"/>
    <w:rsid w:val="00280669"/>
    <w:rsid w:val="00280693"/>
    <w:rsid w:val="0028072C"/>
    <w:rsid w:val="002809B1"/>
    <w:rsid w:val="00281127"/>
    <w:rsid w:val="0028165C"/>
    <w:rsid w:val="002816AA"/>
    <w:rsid w:val="00281A95"/>
    <w:rsid w:val="00281DAE"/>
    <w:rsid w:val="002823CF"/>
    <w:rsid w:val="00282548"/>
    <w:rsid w:val="002825BC"/>
    <w:rsid w:val="00282A79"/>
    <w:rsid w:val="00282CFF"/>
    <w:rsid w:val="0028338F"/>
    <w:rsid w:val="00283C2A"/>
    <w:rsid w:val="00284024"/>
    <w:rsid w:val="0028403A"/>
    <w:rsid w:val="00284153"/>
    <w:rsid w:val="00284625"/>
    <w:rsid w:val="00284D71"/>
    <w:rsid w:val="00284E34"/>
    <w:rsid w:val="00284E3B"/>
    <w:rsid w:val="00284FC7"/>
    <w:rsid w:val="00285561"/>
    <w:rsid w:val="00285853"/>
    <w:rsid w:val="00285974"/>
    <w:rsid w:val="00285FC8"/>
    <w:rsid w:val="00286020"/>
    <w:rsid w:val="00286F65"/>
    <w:rsid w:val="00287497"/>
    <w:rsid w:val="00287EB6"/>
    <w:rsid w:val="002906CC"/>
    <w:rsid w:val="0029092A"/>
    <w:rsid w:val="00290C03"/>
    <w:rsid w:val="00290DE1"/>
    <w:rsid w:val="002910FF"/>
    <w:rsid w:val="002912A4"/>
    <w:rsid w:val="002913DB"/>
    <w:rsid w:val="00291481"/>
    <w:rsid w:val="002918D7"/>
    <w:rsid w:val="00291BF9"/>
    <w:rsid w:val="0029211E"/>
    <w:rsid w:val="00292200"/>
    <w:rsid w:val="00292559"/>
    <w:rsid w:val="0029265F"/>
    <w:rsid w:val="00292FBC"/>
    <w:rsid w:val="0029304C"/>
    <w:rsid w:val="002936C8"/>
    <w:rsid w:val="00293CB3"/>
    <w:rsid w:val="00293DED"/>
    <w:rsid w:val="00294260"/>
    <w:rsid w:val="00294566"/>
    <w:rsid w:val="002949B7"/>
    <w:rsid w:val="00294B2F"/>
    <w:rsid w:val="00294B89"/>
    <w:rsid w:val="002950E1"/>
    <w:rsid w:val="002954AC"/>
    <w:rsid w:val="00295875"/>
    <w:rsid w:val="002962E5"/>
    <w:rsid w:val="00296340"/>
    <w:rsid w:val="0029676D"/>
    <w:rsid w:val="00297CB9"/>
    <w:rsid w:val="00297F6F"/>
    <w:rsid w:val="002A005F"/>
    <w:rsid w:val="002A015C"/>
    <w:rsid w:val="002A046C"/>
    <w:rsid w:val="002A0DD7"/>
    <w:rsid w:val="002A1022"/>
    <w:rsid w:val="002A1256"/>
    <w:rsid w:val="002A1E7A"/>
    <w:rsid w:val="002A2496"/>
    <w:rsid w:val="002A27B5"/>
    <w:rsid w:val="002A2B80"/>
    <w:rsid w:val="002A2DA2"/>
    <w:rsid w:val="002A2FA0"/>
    <w:rsid w:val="002A3663"/>
    <w:rsid w:val="002A3742"/>
    <w:rsid w:val="002A38FC"/>
    <w:rsid w:val="002A3B6D"/>
    <w:rsid w:val="002A4541"/>
    <w:rsid w:val="002A4A03"/>
    <w:rsid w:val="002A4EFC"/>
    <w:rsid w:val="002A5785"/>
    <w:rsid w:val="002A5E6A"/>
    <w:rsid w:val="002A650D"/>
    <w:rsid w:val="002A68B5"/>
    <w:rsid w:val="002A68D0"/>
    <w:rsid w:val="002A6EE1"/>
    <w:rsid w:val="002A73DD"/>
    <w:rsid w:val="002A7AC1"/>
    <w:rsid w:val="002A7BA9"/>
    <w:rsid w:val="002A7D2A"/>
    <w:rsid w:val="002A7E74"/>
    <w:rsid w:val="002B0089"/>
    <w:rsid w:val="002B032E"/>
    <w:rsid w:val="002B049B"/>
    <w:rsid w:val="002B06D1"/>
    <w:rsid w:val="002B0804"/>
    <w:rsid w:val="002B155D"/>
    <w:rsid w:val="002B1738"/>
    <w:rsid w:val="002B1E7A"/>
    <w:rsid w:val="002B1EC5"/>
    <w:rsid w:val="002B1F4C"/>
    <w:rsid w:val="002B1FDC"/>
    <w:rsid w:val="002B2023"/>
    <w:rsid w:val="002B2251"/>
    <w:rsid w:val="002B26E2"/>
    <w:rsid w:val="002B2710"/>
    <w:rsid w:val="002B2983"/>
    <w:rsid w:val="002B2B60"/>
    <w:rsid w:val="002B317B"/>
    <w:rsid w:val="002B3269"/>
    <w:rsid w:val="002B328B"/>
    <w:rsid w:val="002B32DC"/>
    <w:rsid w:val="002B339B"/>
    <w:rsid w:val="002B381E"/>
    <w:rsid w:val="002B43AE"/>
    <w:rsid w:val="002B44DA"/>
    <w:rsid w:val="002B455E"/>
    <w:rsid w:val="002B47AF"/>
    <w:rsid w:val="002B4D59"/>
    <w:rsid w:val="002B4DBD"/>
    <w:rsid w:val="002B5748"/>
    <w:rsid w:val="002B5A19"/>
    <w:rsid w:val="002B5C29"/>
    <w:rsid w:val="002B6107"/>
    <w:rsid w:val="002B61EA"/>
    <w:rsid w:val="002B6681"/>
    <w:rsid w:val="002B6A11"/>
    <w:rsid w:val="002B6E81"/>
    <w:rsid w:val="002B7070"/>
    <w:rsid w:val="002B7D78"/>
    <w:rsid w:val="002C0658"/>
    <w:rsid w:val="002C0731"/>
    <w:rsid w:val="002C081C"/>
    <w:rsid w:val="002C0F61"/>
    <w:rsid w:val="002C1D9A"/>
    <w:rsid w:val="002C270F"/>
    <w:rsid w:val="002C29FE"/>
    <w:rsid w:val="002C3120"/>
    <w:rsid w:val="002C3E17"/>
    <w:rsid w:val="002C415B"/>
    <w:rsid w:val="002C46A1"/>
    <w:rsid w:val="002C46B3"/>
    <w:rsid w:val="002C47C3"/>
    <w:rsid w:val="002C493C"/>
    <w:rsid w:val="002C4E2F"/>
    <w:rsid w:val="002C51D2"/>
    <w:rsid w:val="002C63D4"/>
    <w:rsid w:val="002C6639"/>
    <w:rsid w:val="002C6F3B"/>
    <w:rsid w:val="002C745D"/>
    <w:rsid w:val="002C7F63"/>
    <w:rsid w:val="002D0CAD"/>
    <w:rsid w:val="002D1176"/>
    <w:rsid w:val="002D26F9"/>
    <w:rsid w:val="002D35EF"/>
    <w:rsid w:val="002D3B20"/>
    <w:rsid w:val="002D404D"/>
    <w:rsid w:val="002D4C19"/>
    <w:rsid w:val="002D4C1F"/>
    <w:rsid w:val="002D4D82"/>
    <w:rsid w:val="002D514A"/>
    <w:rsid w:val="002D5D7B"/>
    <w:rsid w:val="002D6689"/>
    <w:rsid w:val="002D6CA8"/>
    <w:rsid w:val="002D7224"/>
    <w:rsid w:val="002D7FF5"/>
    <w:rsid w:val="002E04EB"/>
    <w:rsid w:val="002E069A"/>
    <w:rsid w:val="002E0B21"/>
    <w:rsid w:val="002E0C8A"/>
    <w:rsid w:val="002E0D72"/>
    <w:rsid w:val="002E0E42"/>
    <w:rsid w:val="002E1240"/>
    <w:rsid w:val="002E1445"/>
    <w:rsid w:val="002E18D6"/>
    <w:rsid w:val="002E1F68"/>
    <w:rsid w:val="002E2844"/>
    <w:rsid w:val="002E28E5"/>
    <w:rsid w:val="002E3616"/>
    <w:rsid w:val="002E39D6"/>
    <w:rsid w:val="002E401A"/>
    <w:rsid w:val="002E472C"/>
    <w:rsid w:val="002E47F8"/>
    <w:rsid w:val="002E48A8"/>
    <w:rsid w:val="002E4CD5"/>
    <w:rsid w:val="002E4EAC"/>
    <w:rsid w:val="002E53A3"/>
    <w:rsid w:val="002E53D7"/>
    <w:rsid w:val="002E59BF"/>
    <w:rsid w:val="002E5B11"/>
    <w:rsid w:val="002E5D12"/>
    <w:rsid w:val="002E6515"/>
    <w:rsid w:val="002E662C"/>
    <w:rsid w:val="002E6698"/>
    <w:rsid w:val="002E67B6"/>
    <w:rsid w:val="002E6ADA"/>
    <w:rsid w:val="002E6D30"/>
    <w:rsid w:val="002E6D4F"/>
    <w:rsid w:val="002E712F"/>
    <w:rsid w:val="002E729A"/>
    <w:rsid w:val="002F0347"/>
    <w:rsid w:val="002F0482"/>
    <w:rsid w:val="002F0500"/>
    <w:rsid w:val="002F0D20"/>
    <w:rsid w:val="002F1490"/>
    <w:rsid w:val="002F1C19"/>
    <w:rsid w:val="002F2A24"/>
    <w:rsid w:val="002F3017"/>
    <w:rsid w:val="002F396E"/>
    <w:rsid w:val="002F3E25"/>
    <w:rsid w:val="002F40BA"/>
    <w:rsid w:val="002F4B8C"/>
    <w:rsid w:val="002F4EBF"/>
    <w:rsid w:val="002F4F08"/>
    <w:rsid w:val="002F5778"/>
    <w:rsid w:val="002F5988"/>
    <w:rsid w:val="002F5CA0"/>
    <w:rsid w:val="002F5EE3"/>
    <w:rsid w:val="002F6656"/>
    <w:rsid w:val="002F746F"/>
    <w:rsid w:val="002F780D"/>
    <w:rsid w:val="002F7E9E"/>
    <w:rsid w:val="003002D4"/>
    <w:rsid w:val="0030068D"/>
    <w:rsid w:val="003008E1"/>
    <w:rsid w:val="0030136C"/>
    <w:rsid w:val="00301A61"/>
    <w:rsid w:val="0030331D"/>
    <w:rsid w:val="003037E0"/>
    <w:rsid w:val="00303882"/>
    <w:rsid w:val="00303A50"/>
    <w:rsid w:val="00303F13"/>
    <w:rsid w:val="00304678"/>
    <w:rsid w:val="0030518A"/>
    <w:rsid w:val="0030598B"/>
    <w:rsid w:val="00306037"/>
    <w:rsid w:val="0030656F"/>
    <w:rsid w:val="00307433"/>
    <w:rsid w:val="0030785C"/>
    <w:rsid w:val="00307C22"/>
    <w:rsid w:val="00307DB4"/>
    <w:rsid w:val="0031032F"/>
    <w:rsid w:val="00310797"/>
    <w:rsid w:val="00310BD4"/>
    <w:rsid w:val="00311025"/>
    <w:rsid w:val="0031137E"/>
    <w:rsid w:val="0031171F"/>
    <w:rsid w:val="00311851"/>
    <w:rsid w:val="00311D22"/>
    <w:rsid w:val="00312194"/>
    <w:rsid w:val="003123F8"/>
    <w:rsid w:val="00312DFF"/>
    <w:rsid w:val="003132CC"/>
    <w:rsid w:val="00313523"/>
    <w:rsid w:val="00313911"/>
    <w:rsid w:val="00314338"/>
    <w:rsid w:val="003143A7"/>
    <w:rsid w:val="003145EC"/>
    <w:rsid w:val="00314EB1"/>
    <w:rsid w:val="003154D6"/>
    <w:rsid w:val="003157BC"/>
    <w:rsid w:val="003157FC"/>
    <w:rsid w:val="00315895"/>
    <w:rsid w:val="00316184"/>
    <w:rsid w:val="003164A4"/>
    <w:rsid w:val="00316B84"/>
    <w:rsid w:val="003173AB"/>
    <w:rsid w:val="00317632"/>
    <w:rsid w:val="0032018E"/>
    <w:rsid w:val="003201E3"/>
    <w:rsid w:val="00320EC8"/>
    <w:rsid w:val="0032108F"/>
    <w:rsid w:val="00321913"/>
    <w:rsid w:val="00321A98"/>
    <w:rsid w:val="00321BD9"/>
    <w:rsid w:val="00321C95"/>
    <w:rsid w:val="00322D8E"/>
    <w:rsid w:val="00323009"/>
    <w:rsid w:val="00323351"/>
    <w:rsid w:val="003239BD"/>
    <w:rsid w:val="00323D14"/>
    <w:rsid w:val="00324869"/>
    <w:rsid w:val="00325B0C"/>
    <w:rsid w:val="00325CB9"/>
    <w:rsid w:val="00326301"/>
    <w:rsid w:val="00326502"/>
    <w:rsid w:val="003267F7"/>
    <w:rsid w:val="00326BCA"/>
    <w:rsid w:val="003279C5"/>
    <w:rsid w:val="00327C5B"/>
    <w:rsid w:val="003304D3"/>
    <w:rsid w:val="00330691"/>
    <w:rsid w:val="00330E6A"/>
    <w:rsid w:val="00331343"/>
    <w:rsid w:val="00331602"/>
    <w:rsid w:val="00331A69"/>
    <w:rsid w:val="00331AC6"/>
    <w:rsid w:val="00331D1F"/>
    <w:rsid w:val="0033227C"/>
    <w:rsid w:val="0033232D"/>
    <w:rsid w:val="0033276D"/>
    <w:rsid w:val="0033300E"/>
    <w:rsid w:val="00333DAA"/>
    <w:rsid w:val="00334228"/>
    <w:rsid w:val="00334557"/>
    <w:rsid w:val="003347AB"/>
    <w:rsid w:val="00334C57"/>
    <w:rsid w:val="00334D30"/>
    <w:rsid w:val="003350ED"/>
    <w:rsid w:val="00335E94"/>
    <w:rsid w:val="003363DC"/>
    <w:rsid w:val="003365C9"/>
    <w:rsid w:val="00336CC5"/>
    <w:rsid w:val="00336D20"/>
    <w:rsid w:val="0033720A"/>
    <w:rsid w:val="00337250"/>
    <w:rsid w:val="00337611"/>
    <w:rsid w:val="00337A03"/>
    <w:rsid w:val="00337B30"/>
    <w:rsid w:val="00340018"/>
    <w:rsid w:val="00340122"/>
    <w:rsid w:val="00340947"/>
    <w:rsid w:val="00340B8B"/>
    <w:rsid w:val="00340C59"/>
    <w:rsid w:val="0034191D"/>
    <w:rsid w:val="00341A4B"/>
    <w:rsid w:val="00341A64"/>
    <w:rsid w:val="00342688"/>
    <w:rsid w:val="00342A1F"/>
    <w:rsid w:val="003430C5"/>
    <w:rsid w:val="003430D4"/>
    <w:rsid w:val="0034327B"/>
    <w:rsid w:val="003434C3"/>
    <w:rsid w:val="003439CA"/>
    <w:rsid w:val="00343A01"/>
    <w:rsid w:val="00343BEC"/>
    <w:rsid w:val="00345D50"/>
    <w:rsid w:val="00345DD4"/>
    <w:rsid w:val="0035019A"/>
    <w:rsid w:val="0035068E"/>
    <w:rsid w:val="003506B7"/>
    <w:rsid w:val="00350B31"/>
    <w:rsid w:val="00351C4F"/>
    <w:rsid w:val="0035287D"/>
    <w:rsid w:val="00352D8A"/>
    <w:rsid w:val="00352DD3"/>
    <w:rsid w:val="00353481"/>
    <w:rsid w:val="003536A0"/>
    <w:rsid w:val="00353CE3"/>
    <w:rsid w:val="00353F47"/>
    <w:rsid w:val="0035434A"/>
    <w:rsid w:val="00354CBC"/>
    <w:rsid w:val="00356596"/>
    <w:rsid w:val="00356D88"/>
    <w:rsid w:val="0035759B"/>
    <w:rsid w:val="00357BCB"/>
    <w:rsid w:val="00357E02"/>
    <w:rsid w:val="003607BD"/>
    <w:rsid w:val="00360D87"/>
    <w:rsid w:val="00361726"/>
    <w:rsid w:val="003617D1"/>
    <w:rsid w:val="00361B20"/>
    <w:rsid w:val="00361F46"/>
    <w:rsid w:val="003620D3"/>
    <w:rsid w:val="003626BB"/>
    <w:rsid w:val="00362784"/>
    <w:rsid w:val="00362C0D"/>
    <w:rsid w:val="00362C2F"/>
    <w:rsid w:val="00362E11"/>
    <w:rsid w:val="0036326E"/>
    <w:rsid w:val="00363802"/>
    <w:rsid w:val="00363DCC"/>
    <w:rsid w:val="0036420E"/>
    <w:rsid w:val="0036438E"/>
    <w:rsid w:val="003646E4"/>
    <w:rsid w:val="0036479A"/>
    <w:rsid w:val="003649EB"/>
    <w:rsid w:val="00364ABA"/>
    <w:rsid w:val="00364FE2"/>
    <w:rsid w:val="003661CA"/>
    <w:rsid w:val="00366825"/>
    <w:rsid w:val="00366B5F"/>
    <w:rsid w:val="00367202"/>
    <w:rsid w:val="00367464"/>
    <w:rsid w:val="00367565"/>
    <w:rsid w:val="003678D4"/>
    <w:rsid w:val="003679E8"/>
    <w:rsid w:val="00367A31"/>
    <w:rsid w:val="0037000E"/>
    <w:rsid w:val="00370CF1"/>
    <w:rsid w:val="00371152"/>
    <w:rsid w:val="00371199"/>
    <w:rsid w:val="003711F3"/>
    <w:rsid w:val="0037161D"/>
    <w:rsid w:val="0037189A"/>
    <w:rsid w:val="00371E64"/>
    <w:rsid w:val="0037266D"/>
    <w:rsid w:val="00372BDE"/>
    <w:rsid w:val="003733C7"/>
    <w:rsid w:val="00373463"/>
    <w:rsid w:val="0037402B"/>
    <w:rsid w:val="00374EF9"/>
    <w:rsid w:val="00375182"/>
    <w:rsid w:val="00375196"/>
    <w:rsid w:val="003752E7"/>
    <w:rsid w:val="00375656"/>
    <w:rsid w:val="003757B8"/>
    <w:rsid w:val="00375A8A"/>
    <w:rsid w:val="003762ED"/>
    <w:rsid w:val="003769E6"/>
    <w:rsid w:val="0037747E"/>
    <w:rsid w:val="00377556"/>
    <w:rsid w:val="00377ED0"/>
    <w:rsid w:val="00377FE9"/>
    <w:rsid w:val="00380107"/>
    <w:rsid w:val="00380501"/>
    <w:rsid w:val="003809D1"/>
    <w:rsid w:val="00380DB2"/>
    <w:rsid w:val="00380F12"/>
    <w:rsid w:val="00380FF9"/>
    <w:rsid w:val="00381077"/>
    <w:rsid w:val="003811D2"/>
    <w:rsid w:val="003812DB"/>
    <w:rsid w:val="00381C33"/>
    <w:rsid w:val="00381FF6"/>
    <w:rsid w:val="003824DA"/>
    <w:rsid w:val="003824FD"/>
    <w:rsid w:val="003827CB"/>
    <w:rsid w:val="00382AE3"/>
    <w:rsid w:val="00382EC6"/>
    <w:rsid w:val="00383949"/>
    <w:rsid w:val="00384231"/>
    <w:rsid w:val="003843E6"/>
    <w:rsid w:val="00384DCC"/>
    <w:rsid w:val="00386086"/>
    <w:rsid w:val="00386237"/>
    <w:rsid w:val="003865EF"/>
    <w:rsid w:val="00386662"/>
    <w:rsid w:val="00386A71"/>
    <w:rsid w:val="00386BA6"/>
    <w:rsid w:val="00386D09"/>
    <w:rsid w:val="00387C5E"/>
    <w:rsid w:val="00387D08"/>
    <w:rsid w:val="003902F9"/>
    <w:rsid w:val="0039046C"/>
    <w:rsid w:val="003904F7"/>
    <w:rsid w:val="00390A4D"/>
    <w:rsid w:val="00391267"/>
    <w:rsid w:val="00391B2C"/>
    <w:rsid w:val="00391DD6"/>
    <w:rsid w:val="00391E8B"/>
    <w:rsid w:val="00392643"/>
    <w:rsid w:val="00392CC6"/>
    <w:rsid w:val="00392DD5"/>
    <w:rsid w:val="003936EC"/>
    <w:rsid w:val="003938B8"/>
    <w:rsid w:val="00394081"/>
    <w:rsid w:val="00395D14"/>
    <w:rsid w:val="00395F63"/>
    <w:rsid w:val="0039632A"/>
    <w:rsid w:val="003967F7"/>
    <w:rsid w:val="00396818"/>
    <w:rsid w:val="0039690F"/>
    <w:rsid w:val="00396970"/>
    <w:rsid w:val="00396C75"/>
    <w:rsid w:val="00397B55"/>
    <w:rsid w:val="003A00C2"/>
    <w:rsid w:val="003A07C3"/>
    <w:rsid w:val="003A176D"/>
    <w:rsid w:val="003A1E81"/>
    <w:rsid w:val="003A27D3"/>
    <w:rsid w:val="003A2BC8"/>
    <w:rsid w:val="003A2D56"/>
    <w:rsid w:val="003A2FDA"/>
    <w:rsid w:val="003A37DB"/>
    <w:rsid w:val="003A3C49"/>
    <w:rsid w:val="003A4300"/>
    <w:rsid w:val="003A49AA"/>
    <w:rsid w:val="003A4E53"/>
    <w:rsid w:val="003A4F8F"/>
    <w:rsid w:val="003A5548"/>
    <w:rsid w:val="003A58C3"/>
    <w:rsid w:val="003A5EFC"/>
    <w:rsid w:val="003A6642"/>
    <w:rsid w:val="003B0CEC"/>
    <w:rsid w:val="003B0F3F"/>
    <w:rsid w:val="003B154D"/>
    <w:rsid w:val="003B1E2B"/>
    <w:rsid w:val="003B2045"/>
    <w:rsid w:val="003B20FB"/>
    <w:rsid w:val="003B26BB"/>
    <w:rsid w:val="003B31AA"/>
    <w:rsid w:val="003B3699"/>
    <w:rsid w:val="003B369B"/>
    <w:rsid w:val="003B4F72"/>
    <w:rsid w:val="003B5479"/>
    <w:rsid w:val="003B5D44"/>
    <w:rsid w:val="003B5FEE"/>
    <w:rsid w:val="003B61EE"/>
    <w:rsid w:val="003B64C7"/>
    <w:rsid w:val="003B670A"/>
    <w:rsid w:val="003B68AF"/>
    <w:rsid w:val="003B69B7"/>
    <w:rsid w:val="003B7E93"/>
    <w:rsid w:val="003C0DB1"/>
    <w:rsid w:val="003C10E7"/>
    <w:rsid w:val="003C1D49"/>
    <w:rsid w:val="003C23BE"/>
    <w:rsid w:val="003C2D77"/>
    <w:rsid w:val="003C37EE"/>
    <w:rsid w:val="003C3854"/>
    <w:rsid w:val="003C38A8"/>
    <w:rsid w:val="003C3C28"/>
    <w:rsid w:val="003C497C"/>
    <w:rsid w:val="003C58F7"/>
    <w:rsid w:val="003C63B4"/>
    <w:rsid w:val="003C6A44"/>
    <w:rsid w:val="003C6A5E"/>
    <w:rsid w:val="003C6A9A"/>
    <w:rsid w:val="003C6CAB"/>
    <w:rsid w:val="003C72A0"/>
    <w:rsid w:val="003C73FC"/>
    <w:rsid w:val="003C7C5D"/>
    <w:rsid w:val="003D0061"/>
    <w:rsid w:val="003D0245"/>
    <w:rsid w:val="003D033B"/>
    <w:rsid w:val="003D044B"/>
    <w:rsid w:val="003D0B59"/>
    <w:rsid w:val="003D18B7"/>
    <w:rsid w:val="003D1D3D"/>
    <w:rsid w:val="003D206C"/>
    <w:rsid w:val="003D299C"/>
    <w:rsid w:val="003D2CFE"/>
    <w:rsid w:val="003D3982"/>
    <w:rsid w:val="003D39C1"/>
    <w:rsid w:val="003D4BFF"/>
    <w:rsid w:val="003D4E72"/>
    <w:rsid w:val="003D56EA"/>
    <w:rsid w:val="003D59F6"/>
    <w:rsid w:val="003D5B17"/>
    <w:rsid w:val="003D5E90"/>
    <w:rsid w:val="003D6A84"/>
    <w:rsid w:val="003D7AA1"/>
    <w:rsid w:val="003D7FA6"/>
    <w:rsid w:val="003E00AB"/>
    <w:rsid w:val="003E02A6"/>
    <w:rsid w:val="003E06A0"/>
    <w:rsid w:val="003E0AFA"/>
    <w:rsid w:val="003E0C2D"/>
    <w:rsid w:val="003E0CC4"/>
    <w:rsid w:val="003E0F73"/>
    <w:rsid w:val="003E1172"/>
    <w:rsid w:val="003E33EB"/>
    <w:rsid w:val="003E3B10"/>
    <w:rsid w:val="003E4647"/>
    <w:rsid w:val="003E4800"/>
    <w:rsid w:val="003E498B"/>
    <w:rsid w:val="003E5928"/>
    <w:rsid w:val="003E6060"/>
    <w:rsid w:val="003E6829"/>
    <w:rsid w:val="003E7127"/>
    <w:rsid w:val="003E7192"/>
    <w:rsid w:val="003E7911"/>
    <w:rsid w:val="003F0317"/>
    <w:rsid w:val="003F03F6"/>
    <w:rsid w:val="003F09BD"/>
    <w:rsid w:val="003F0C0E"/>
    <w:rsid w:val="003F171E"/>
    <w:rsid w:val="003F177F"/>
    <w:rsid w:val="003F1C73"/>
    <w:rsid w:val="003F1F11"/>
    <w:rsid w:val="003F2B7A"/>
    <w:rsid w:val="003F2D2D"/>
    <w:rsid w:val="003F3101"/>
    <w:rsid w:val="003F40DA"/>
    <w:rsid w:val="003F4512"/>
    <w:rsid w:val="003F48F4"/>
    <w:rsid w:val="003F4F5E"/>
    <w:rsid w:val="003F5352"/>
    <w:rsid w:val="003F5612"/>
    <w:rsid w:val="003F5947"/>
    <w:rsid w:val="003F647F"/>
    <w:rsid w:val="003F6EA7"/>
    <w:rsid w:val="003F72E7"/>
    <w:rsid w:val="003F782B"/>
    <w:rsid w:val="004001B6"/>
    <w:rsid w:val="004001E9"/>
    <w:rsid w:val="00400652"/>
    <w:rsid w:val="00400941"/>
    <w:rsid w:val="00400A86"/>
    <w:rsid w:val="004011AD"/>
    <w:rsid w:val="00401B69"/>
    <w:rsid w:val="00401D70"/>
    <w:rsid w:val="00402065"/>
    <w:rsid w:val="004025BD"/>
    <w:rsid w:val="00402DFD"/>
    <w:rsid w:val="0040383A"/>
    <w:rsid w:val="00403863"/>
    <w:rsid w:val="00403D80"/>
    <w:rsid w:val="00403F12"/>
    <w:rsid w:val="00404185"/>
    <w:rsid w:val="00404329"/>
    <w:rsid w:val="00404443"/>
    <w:rsid w:val="004049C5"/>
    <w:rsid w:val="004055D4"/>
    <w:rsid w:val="00405F26"/>
    <w:rsid w:val="00406315"/>
    <w:rsid w:val="0040655F"/>
    <w:rsid w:val="00406B74"/>
    <w:rsid w:val="00406C7D"/>
    <w:rsid w:val="00407C96"/>
    <w:rsid w:val="00407CD9"/>
    <w:rsid w:val="0041139A"/>
    <w:rsid w:val="00411ED1"/>
    <w:rsid w:val="00412024"/>
    <w:rsid w:val="00412920"/>
    <w:rsid w:val="004129AF"/>
    <w:rsid w:val="004135EC"/>
    <w:rsid w:val="00413AC6"/>
    <w:rsid w:val="00413D35"/>
    <w:rsid w:val="00414E4C"/>
    <w:rsid w:val="00415600"/>
    <w:rsid w:val="00415926"/>
    <w:rsid w:val="00415C37"/>
    <w:rsid w:val="00416EE0"/>
    <w:rsid w:val="00417237"/>
    <w:rsid w:val="0041730D"/>
    <w:rsid w:val="0041789F"/>
    <w:rsid w:val="00417D63"/>
    <w:rsid w:val="00417EC4"/>
    <w:rsid w:val="00420B96"/>
    <w:rsid w:val="00420FC4"/>
    <w:rsid w:val="004215D9"/>
    <w:rsid w:val="004223A9"/>
    <w:rsid w:val="004223C4"/>
    <w:rsid w:val="0042258D"/>
    <w:rsid w:val="004226AE"/>
    <w:rsid w:val="00422F5E"/>
    <w:rsid w:val="00423862"/>
    <w:rsid w:val="00423E9E"/>
    <w:rsid w:val="00423EBC"/>
    <w:rsid w:val="00423EC2"/>
    <w:rsid w:val="00424967"/>
    <w:rsid w:val="00424FF8"/>
    <w:rsid w:val="00425060"/>
    <w:rsid w:val="0042513F"/>
    <w:rsid w:val="004253FB"/>
    <w:rsid w:val="00425A35"/>
    <w:rsid w:val="00425E32"/>
    <w:rsid w:val="004261BE"/>
    <w:rsid w:val="0042649F"/>
    <w:rsid w:val="004268AE"/>
    <w:rsid w:val="00426E1C"/>
    <w:rsid w:val="00426FE6"/>
    <w:rsid w:val="004270EF"/>
    <w:rsid w:val="00427295"/>
    <w:rsid w:val="00427570"/>
    <w:rsid w:val="0042789E"/>
    <w:rsid w:val="00427C3F"/>
    <w:rsid w:val="00427DB4"/>
    <w:rsid w:val="00427EC5"/>
    <w:rsid w:val="0043058C"/>
    <w:rsid w:val="00430D03"/>
    <w:rsid w:val="0043167E"/>
    <w:rsid w:val="0043208B"/>
    <w:rsid w:val="00432331"/>
    <w:rsid w:val="00432877"/>
    <w:rsid w:val="00432C45"/>
    <w:rsid w:val="004337A1"/>
    <w:rsid w:val="00433CA8"/>
    <w:rsid w:val="00434430"/>
    <w:rsid w:val="004345E6"/>
    <w:rsid w:val="00434B1C"/>
    <w:rsid w:val="00434D0A"/>
    <w:rsid w:val="0043573E"/>
    <w:rsid w:val="00435AE6"/>
    <w:rsid w:val="0043632C"/>
    <w:rsid w:val="00440FFC"/>
    <w:rsid w:val="00441B8E"/>
    <w:rsid w:val="00441D39"/>
    <w:rsid w:val="00441E4C"/>
    <w:rsid w:val="004427F1"/>
    <w:rsid w:val="00442A2A"/>
    <w:rsid w:val="00442A76"/>
    <w:rsid w:val="00442B68"/>
    <w:rsid w:val="0044317B"/>
    <w:rsid w:val="004431BB"/>
    <w:rsid w:val="004439B5"/>
    <w:rsid w:val="0044400B"/>
    <w:rsid w:val="00444569"/>
    <w:rsid w:val="0044462A"/>
    <w:rsid w:val="00444919"/>
    <w:rsid w:val="004452A7"/>
    <w:rsid w:val="004455CD"/>
    <w:rsid w:val="0044660C"/>
    <w:rsid w:val="00446752"/>
    <w:rsid w:val="00446923"/>
    <w:rsid w:val="00446951"/>
    <w:rsid w:val="00446C47"/>
    <w:rsid w:val="0044718A"/>
    <w:rsid w:val="00447AB0"/>
    <w:rsid w:val="004503EA"/>
    <w:rsid w:val="0045041E"/>
    <w:rsid w:val="004511CA"/>
    <w:rsid w:val="00451440"/>
    <w:rsid w:val="00451529"/>
    <w:rsid w:val="00451939"/>
    <w:rsid w:val="00451F4C"/>
    <w:rsid w:val="00452029"/>
    <w:rsid w:val="00452285"/>
    <w:rsid w:val="004523A2"/>
    <w:rsid w:val="00452BC9"/>
    <w:rsid w:val="00453236"/>
    <w:rsid w:val="00453250"/>
    <w:rsid w:val="0045340A"/>
    <w:rsid w:val="00453B0A"/>
    <w:rsid w:val="0045475C"/>
    <w:rsid w:val="00454A99"/>
    <w:rsid w:val="004557CF"/>
    <w:rsid w:val="00455AB2"/>
    <w:rsid w:val="00455F68"/>
    <w:rsid w:val="00456411"/>
    <w:rsid w:val="0045648C"/>
    <w:rsid w:val="0045667A"/>
    <w:rsid w:val="00456756"/>
    <w:rsid w:val="00456C58"/>
    <w:rsid w:val="00456ED8"/>
    <w:rsid w:val="0045730E"/>
    <w:rsid w:val="00457482"/>
    <w:rsid w:val="00457684"/>
    <w:rsid w:val="00457889"/>
    <w:rsid w:val="00457B5F"/>
    <w:rsid w:val="00457B80"/>
    <w:rsid w:val="00460393"/>
    <w:rsid w:val="0046073C"/>
    <w:rsid w:val="00461164"/>
    <w:rsid w:val="00461352"/>
    <w:rsid w:val="004614BE"/>
    <w:rsid w:val="00461533"/>
    <w:rsid w:val="00461F62"/>
    <w:rsid w:val="00461F8C"/>
    <w:rsid w:val="004620D4"/>
    <w:rsid w:val="0046235C"/>
    <w:rsid w:val="00462439"/>
    <w:rsid w:val="0046245D"/>
    <w:rsid w:val="004627CD"/>
    <w:rsid w:val="00462C07"/>
    <w:rsid w:val="00462FEC"/>
    <w:rsid w:val="00463200"/>
    <w:rsid w:val="00463972"/>
    <w:rsid w:val="00464641"/>
    <w:rsid w:val="0046522D"/>
    <w:rsid w:val="00465481"/>
    <w:rsid w:val="00465E82"/>
    <w:rsid w:val="004660CB"/>
    <w:rsid w:val="00466D3D"/>
    <w:rsid w:val="00467DC7"/>
    <w:rsid w:val="00467E60"/>
    <w:rsid w:val="0047012C"/>
    <w:rsid w:val="00470E26"/>
    <w:rsid w:val="00470E27"/>
    <w:rsid w:val="00471284"/>
    <w:rsid w:val="0047128E"/>
    <w:rsid w:val="00471C88"/>
    <w:rsid w:val="004725C5"/>
    <w:rsid w:val="004728E3"/>
    <w:rsid w:val="00473031"/>
    <w:rsid w:val="0047355E"/>
    <w:rsid w:val="004743DE"/>
    <w:rsid w:val="00474A2F"/>
    <w:rsid w:val="00474CBC"/>
    <w:rsid w:val="004751F5"/>
    <w:rsid w:val="004758DC"/>
    <w:rsid w:val="00475DCB"/>
    <w:rsid w:val="00476061"/>
    <w:rsid w:val="00476966"/>
    <w:rsid w:val="00476E0E"/>
    <w:rsid w:val="004772D4"/>
    <w:rsid w:val="00477866"/>
    <w:rsid w:val="00477B9E"/>
    <w:rsid w:val="00477BAC"/>
    <w:rsid w:val="00477C5A"/>
    <w:rsid w:val="00477D44"/>
    <w:rsid w:val="00480F1E"/>
    <w:rsid w:val="00481D2F"/>
    <w:rsid w:val="0048203D"/>
    <w:rsid w:val="004826EF"/>
    <w:rsid w:val="00482D6C"/>
    <w:rsid w:val="0048374B"/>
    <w:rsid w:val="00483A11"/>
    <w:rsid w:val="00483C9F"/>
    <w:rsid w:val="00483CB8"/>
    <w:rsid w:val="004840DB"/>
    <w:rsid w:val="00484268"/>
    <w:rsid w:val="0048435B"/>
    <w:rsid w:val="004846FC"/>
    <w:rsid w:val="00484964"/>
    <w:rsid w:val="00484AB9"/>
    <w:rsid w:val="00484BA9"/>
    <w:rsid w:val="00485042"/>
    <w:rsid w:val="0048543C"/>
    <w:rsid w:val="00485ACD"/>
    <w:rsid w:val="00485C64"/>
    <w:rsid w:val="00485D66"/>
    <w:rsid w:val="004861FE"/>
    <w:rsid w:val="0048666B"/>
    <w:rsid w:val="00486937"/>
    <w:rsid w:val="00486F25"/>
    <w:rsid w:val="00487093"/>
    <w:rsid w:val="00487360"/>
    <w:rsid w:val="004873C3"/>
    <w:rsid w:val="004877DA"/>
    <w:rsid w:val="00487E17"/>
    <w:rsid w:val="00490387"/>
    <w:rsid w:val="004903EE"/>
    <w:rsid w:val="00490505"/>
    <w:rsid w:val="004907DA"/>
    <w:rsid w:val="00490C71"/>
    <w:rsid w:val="00490F2C"/>
    <w:rsid w:val="00491205"/>
    <w:rsid w:val="0049136A"/>
    <w:rsid w:val="00491473"/>
    <w:rsid w:val="004916A9"/>
    <w:rsid w:val="0049175B"/>
    <w:rsid w:val="004917B8"/>
    <w:rsid w:val="0049191F"/>
    <w:rsid w:val="00491EFE"/>
    <w:rsid w:val="00491F4D"/>
    <w:rsid w:val="00493B58"/>
    <w:rsid w:val="00493B97"/>
    <w:rsid w:val="00493C45"/>
    <w:rsid w:val="00494E3D"/>
    <w:rsid w:val="004952DB"/>
    <w:rsid w:val="004955C3"/>
    <w:rsid w:val="00495D53"/>
    <w:rsid w:val="00495EB3"/>
    <w:rsid w:val="0049643E"/>
    <w:rsid w:val="0049717B"/>
    <w:rsid w:val="00497BD7"/>
    <w:rsid w:val="00497F28"/>
    <w:rsid w:val="004A00EE"/>
    <w:rsid w:val="004A07F8"/>
    <w:rsid w:val="004A0AB6"/>
    <w:rsid w:val="004A1308"/>
    <w:rsid w:val="004A1AA1"/>
    <w:rsid w:val="004A23FF"/>
    <w:rsid w:val="004A34A7"/>
    <w:rsid w:val="004A3E9C"/>
    <w:rsid w:val="004A42BE"/>
    <w:rsid w:val="004A5555"/>
    <w:rsid w:val="004A55D2"/>
    <w:rsid w:val="004A5C5C"/>
    <w:rsid w:val="004A60C3"/>
    <w:rsid w:val="004A6C75"/>
    <w:rsid w:val="004A6DD4"/>
    <w:rsid w:val="004A763E"/>
    <w:rsid w:val="004A7C85"/>
    <w:rsid w:val="004B0118"/>
    <w:rsid w:val="004B022D"/>
    <w:rsid w:val="004B0BD6"/>
    <w:rsid w:val="004B1990"/>
    <w:rsid w:val="004B1D1A"/>
    <w:rsid w:val="004B243C"/>
    <w:rsid w:val="004B2648"/>
    <w:rsid w:val="004B2864"/>
    <w:rsid w:val="004B30FC"/>
    <w:rsid w:val="004B359D"/>
    <w:rsid w:val="004B3AFD"/>
    <w:rsid w:val="004B44D9"/>
    <w:rsid w:val="004B4519"/>
    <w:rsid w:val="004B457A"/>
    <w:rsid w:val="004B4B62"/>
    <w:rsid w:val="004B4F25"/>
    <w:rsid w:val="004B54C3"/>
    <w:rsid w:val="004B5CC3"/>
    <w:rsid w:val="004B5D0B"/>
    <w:rsid w:val="004B7E30"/>
    <w:rsid w:val="004B7F7F"/>
    <w:rsid w:val="004C052C"/>
    <w:rsid w:val="004C0647"/>
    <w:rsid w:val="004C0771"/>
    <w:rsid w:val="004C0A37"/>
    <w:rsid w:val="004C1504"/>
    <w:rsid w:val="004C1EBE"/>
    <w:rsid w:val="004C224B"/>
    <w:rsid w:val="004C2502"/>
    <w:rsid w:val="004C2648"/>
    <w:rsid w:val="004C2EFC"/>
    <w:rsid w:val="004C34D2"/>
    <w:rsid w:val="004C3BCF"/>
    <w:rsid w:val="004C3CAB"/>
    <w:rsid w:val="004C3DF5"/>
    <w:rsid w:val="004C3F8B"/>
    <w:rsid w:val="004C4474"/>
    <w:rsid w:val="004C4578"/>
    <w:rsid w:val="004C4DB6"/>
    <w:rsid w:val="004C4E71"/>
    <w:rsid w:val="004C653E"/>
    <w:rsid w:val="004C6BA9"/>
    <w:rsid w:val="004C6DAF"/>
    <w:rsid w:val="004C6FD7"/>
    <w:rsid w:val="004C72BD"/>
    <w:rsid w:val="004C76E3"/>
    <w:rsid w:val="004C7B26"/>
    <w:rsid w:val="004D1130"/>
    <w:rsid w:val="004D1619"/>
    <w:rsid w:val="004D1C8D"/>
    <w:rsid w:val="004D2B30"/>
    <w:rsid w:val="004D2DBF"/>
    <w:rsid w:val="004D35F5"/>
    <w:rsid w:val="004D3775"/>
    <w:rsid w:val="004D3ABE"/>
    <w:rsid w:val="004D3B4E"/>
    <w:rsid w:val="004D3EF1"/>
    <w:rsid w:val="004D41D2"/>
    <w:rsid w:val="004D45F5"/>
    <w:rsid w:val="004D46BD"/>
    <w:rsid w:val="004D4797"/>
    <w:rsid w:val="004D5CA3"/>
    <w:rsid w:val="004D6253"/>
    <w:rsid w:val="004D6FCC"/>
    <w:rsid w:val="004D7CEE"/>
    <w:rsid w:val="004E109A"/>
    <w:rsid w:val="004E124D"/>
    <w:rsid w:val="004E1666"/>
    <w:rsid w:val="004E208F"/>
    <w:rsid w:val="004E28EA"/>
    <w:rsid w:val="004E3019"/>
    <w:rsid w:val="004E3F35"/>
    <w:rsid w:val="004E4F79"/>
    <w:rsid w:val="004E5064"/>
    <w:rsid w:val="004E5457"/>
    <w:rsid w:val="004E59FE"/>
    <w:rsid w:val="004E6C77"/>
    <w:rsid w:val="004E7CCE"/>
    <w:rsid w:val="004F00B3"/>
    <w:rsid w:val="004F0F3C"/>
    <w:rsid w:val="004F2087"/>
    <w:rsid w:val="004F2195"/>
    <w:rsid w:val="004F2BEF"/>
    <w:rsid w:val="004F3143"/>
    <w:rsid w:val="004F3E3A"/>
    <w:rsid w:val="004F3F2A"/>
    <w:rsid w:val="004F4662"/>
    <w:rsid w:val="004F4B70"/>
    <w:rsid w:val="004F4DDD"/>
    <w:rsid w:val="004F4EB9"/>
    <w:rsid w:val="004F5B01"/>
    <w:rsid w:val="004F5C4C"/>
    <w:rsid w:val="004F61CF"/>
    <w:rsid w:val="004F73D2"/>
    <w:rsid w:val="004F7CED"/>
    <w:rsid w:val="00500279"/>
    <w:rsid w:val="005005CC"/>
    <w:rsid w:val="005006B6"/>
    <w:rsid w:val="005010B3"/>
    <w:rsid w:val="00501301"/>
    <w:rsid w:val="00501316"/>
    <w:rsid w:val="00501982"/>
    <w:rsid w:val="00501A91"/>
    <w:rsid w:val="00501B61"/>
    <w:rsid w:val="005021A5"/>
    <w:rsid w:val="00503B71"/>
    <w:rsid w:val="005041D4"/>
    <w:rsid w:val="0050446A"/>
    <w:rsid w:val="0050447B"/>
    <w:rsid w:val="0050458C"/>
    <w:rsid w:val="00504EFA"/>
    <w:rsid w:val="00505061"/>
    <w:rsid w:val="00506629"/>
    <w:rsid w:val="005102C8"/>
    <w:rsid w:val="00510FB6"/>
    <w:rsid w:val="00511FD1"/>
    <w:rsid w:val="005121CC"/>
    <w:rsid w:val="005127BD"/>
    <w:rsid w:val="00512AC2"/>
    <w:rsid w:val="00512D5D"/>
    <w:rsid w:val="00512FC6"/>
    <w:rsid w:val="00513AD0"/>
    <w:rsid w:val="00513CB4"/>
    <w:rsid w:val="00513E83"/>
    <w:rsid w:val="0051461A"/>
    <w:rsid w:val="0051484F"/>
    <w:rsid w:val="005148A7"/>
    <w:rsid w:val="00515B71"/>
    <w:rsid w:val="00515D27"/>
    <w:rsid w:val="0051660D"/>
    <w:rsid w:val="005166D5"/>
    <w:rsid w:val="00516800"/>
    <w:rsid w:val="00516803"/>
    <w:rsid w:val="005169CC"/>
    <w:rsid w:val="00516C79"/>
    <w:rsid w:val="00516D3A"/>
    <w:rsid w:val="00516D95"/>
    <w:rsid w:val="005176D4"/>
    <w:rsid w:val="00517997"/>
    <w:rsid w:val="00517D56"/>
    <w:rsid w:val="00517DD1"/>
    <w:rsid w:val="00520039"/>
    <w:rsid w:val="00520423"/>
    <w:rsid w:val="0052098B"/>
    <w:rsid w:val="00520F2B"/>
    <w:rsid w:val="005220FA"/>
    <w:rsid w:val="0052299A"/>
    <w:rsid w:val="00522E06"/>
    <w:rsid w:val="00523E2E"/>
    <w:rsid w:val="00524082"/>
    <w:rsid w:val="00524240"/>
    <w:rsid w:val="005244CE"/>
    <w:rsid w:val="00524951"/>
    <w:rsid w:val="00524A85"/>
    <w:rsid w:val="00524B91"/>
    <w:rsid w:val="00525663"/>
    <w:rsid w:val="005258E0"/>
    <w:rsid w:val="00525A6D"/>
    <w:rsid w:val="00525B05"/>
    <w:rsid w:val="00525BBD"/>
    <w:rsid w:val="0052650E"/>
    <w:rsid w:val="0052674E"/>
    <w:rsid w:val="005277DC"/>
    <w:rsid w:val="00527807"/>
    <w:rsid w:val="00527DB7"/>
    <w:rsid w:val="00530788"/>
    <w:rsid w:val="005308BE"/>
    <w:rsid w:val="00530D87"/>
    <w:rsid w:val="005311B3"/>
    <w:rsid w:val="00531554"/>
    <w:rsid w:val="0053189A"/>
    <w:rsid w:val="00531916"/>
    <w:rsid w:val="00531DEA"/>
    <w:rsid w:val="0053274D"/>
    <w:rsid w:val="00532AB7"/>
    <w:rsid w:val="00532B91"/>
    <w:rsid w:val="0053354C"/>
    <w:rsid w:val="00533942"/>
    <w:rsid w:val="00533978"/>
    <w:rsid w:val="00533E38"/>
    <w:rsid w:val="00534494"/>
    <w:rsid w:val="00534FBD"/>
    <w:rsid w:val="005350F0"/>
    <w:rsid w:val="00535507"/>
    <w:rsid w:val="0053588D"/>
    <w:rsid w:val="00535EAF"/>
    <w:rsid w:val="00536BEC"/>
    <w:rsid w:val="00537A2B"/>
    <w:rsid w:val="00537CBF"/>
    <w:rsid w:val="00540059"/>
    <w:rsid w:val="00540354"/>
    <w:rsid w:val="00540DFF"/>
    <w:rsid w:val="005410EF"/>
    <w:rsid w:val="00541398"/>
    <w:rsid w:val="00541480"/>
    <w:rsid w:val="00541781"/>
    <w:rsid w:val="0054180F"/>
    <w:rsid w:val="0054234F"/>
    <w:rsid w:val="0054315A"/>
    <w:rsid w:val="00543210"/>
    <w:rsid w:val="00543BD9"/>
    <w:rsid w:val="0054410B"/>
    <w:rsid w:val="005442D4"/>
    <w:rsid w:val="00544743"/>
    <w:rsid w:val="00545275"/>
    <w:rsid w:val="00545855"/>
    <w:rsid w:val="0054629C"/>
    <w:rsid w:val="005468FD"/>
    <w:rsid w:val="00547FC6"/>
    <w:rsid w:val="005505F7"/>
    <w:rsid w:val="00550874"/>
    <w:rsid w:val="00550C78"/>
    <w:rsid w:val="00550CA3"/>
    <w:rsid w:val="00550F28"/>
    <w:rsid w:val="00551B18"/>
    <w:rsid w:val="0055219D"/>
    <w:rsid w:val="00552284"/>
    <w:rsid w:val="0055257E"/>
    <w:rsid w:val="00552635"/>
    <w:rsid w:val="00552912"/>
    <w:rsid w:val="00552D46"/>
    <w:rsid w:val="00553A0F"/>
    <w:rsid w:val="00553B2F"/>
    <w:rsid w:val="00553C81"/>
    <w:rsid w:val="00554480"/>
    <w:rsid w:val="0055449E"/>
    <w:rsid w:val="0055501E"/>
    <w:rsid w:val="0055578B"/>
    <w:rsid w:val="00555C1A"/>
    <w:rsid w:val="00556016"/>
    <w:rsid w:val="00556143"/>
    <w:rsid w:val="005561CF"/>
    <w:rsid w:val="0055643B"/>
    <w:rsid w:val="0055657B"/>
    <w:rsid w:val="00556610"/>
    <w:rsid w:val="0055728A"/>
    <w:rsid w:val="005574E4"/>
    <w:rsid w:val="0055775C"/>
    <w:rsid w:val="00557FD5"/>
    <w:rsid w:val="005604A0"/>
    <w:rsid w:val="0056053B"/>
    <w:rsid w:val="005605A0"/>
    <w:rsid w:val="005608A4"/>
    <w:rsid w:val="005609F6"/>
    <w:rsid w:val="00560DA8"/>
    <w:rsid w:val="00562156"/>
    <w:rsid w:val="0056255B"/>
    <w:rsid w:val="005625A6"/>
    <w:rsid w:val="005643A2"/>
    <w:rsid w:val="005647A2"/>
    <w:rsid w:val="005656A6"/>
    <w:rsid w:val="00565C20"/>
    <w:rsid w:val="00565E0E"/>
    <w:rsid w:val="00566223"/>
    <w:rsid w:val="005662DC"/>
    <w:rsid w:val="005666F4"/>
    <w:rsid w:val="00566759"/>
    <w:rsid w:val="00566AFF"/>
    <w:rsid w:val="0056714B"/>
    <w:rsid w:val="00567225"/>
    <w:rsid w:val="0056751E"/>
    <w:rsid w:val="005677C0"/>
    <w:rsid w:val="005679C0"/>
    <w:rsid w:val="00570484"/>
    <w:rsid w:val="00570782"/>
    <w:rsid w:val="005707F0"/>
    <w:rsid w:val="00570972"/>
    <w:rsid w:val="00570A79"/>
    <w:rsid w:val="00570AE8"/>
    <w:rsid w:val="00571C29"/>
    <w:rsid w:val="00571C2D"/>
    <w:rsid w:val="00571F1C"/>
    <w:rsid w:val="0057218A"/>
    <w:rsid w:val="00572B5D"/>
    <w:rsid w:val="00572F0C"/>
    <w:rsid w:val="00572F14"/>
    <w:rsid w:val="00573206"/>
    <w:rsid w:val="005733ED"/>
    <w:rsid w:val="00573A5C"/>
    <w:rsid w:val="0057415E"/>
    <w:rsid w:val="005742B1"/>
    <w:rsid w:val="00574384"/>
    <w:rsid w:val="00574616"/>
    <w:rsid w:val="00574C71"/>
    <w:rsid w:val="00574EF4"/>
    <w:rsid w:val="00575069"/>
    <w:rsid w:val="005756A4"/>
    <w:rsid w:val="00575918"/>
    <w:rsid w:val="00575AB8"/>
    <w:rsid w:val="00575B7F"/>
    <w:rsid w:val="00575C71"/>
    <w:rsid w:val="00575FCE"/>
    <w:rsid w:val="00576A6D"/>
    <w:rsid w:val="00576CF9"/>
    <w:rsid w:val="0057752D"/>
    <w:rsid w:val="005775FE"/>
    <w:rsid w:val="00577683"/>
    <w:rsid w:val="00577716"/>
    <w:rsid w:val="00577B38"/>
    <w:rsid w:val="00577BB5"/>
    <w:rsid w:val="0058026A"/>
    <w:rsid w:val="005817EC"/>
    <w:rsid w:val="0058187C"/>
    <w:rsid w:val="0058211D"/>
    <w:rsid w:val="00582A5C"/>
    <w:rsid w:val="0058309F"/>
    <w:rsid w:val="00583370"/>
    <w:rsid w:val="005833D5"/>
    <w:rsid w:val="005835FB"/>
    <w:rsid w:val="00583677"/>
    <w:rsid w:val="00583C4B"/>
    <w:rsid w:val="00583C80"/>
    <w:rsid w:val="00584001"/>
    <w:rsid w:val="00584475"/>
    <w:rsid w:val="00584522"/>
    <w:rsid w:val="00584B6B"/>
    <w:rsid w:val="00585410"/>
    <w:rsid w:val="005859E8"/>
    <w:rsid w:val="0058607C"/>
    <w:rsid w:val="00586105"/>
    <w:rsid w:val="00586800"/>
    <w:rsid w:val="005879EF"/>
    <w:rsid w:val="0059067F"/>
    <w:rsid w:val="00590A5C"/>
    <w:rsid w:val="00590D11"/>
    <w:rsid w:val="00591125"/>
    <w:rsid w:val="0059119A"/>
    <w:rsid w:val="005911E2"/>
    <w:rsid w:val="00591DC3"/>
    <w:rsid w:val="00591EC8"/>
    <w:rsid w:val="00592593"/>
    <w:rsid w:val="0059265C"/>
    <w:rsid w:val="00592665"/>
    <w:rsid w:val="00592CC5"/>
    <w:rsid w:val="005930B7"/>
    <w:rsid w:val="005939D5"/>
    <w:rsid w:val="00593FAF"/>
    <w:rsid w:val="0059465E"/>
    <w:rsid w:val="00594C00"/>
    <w:rsid w:val="00594E8B"/>
    <w:rsid w:val="00595198"/>
    <w:rsid w:val="0059615F"/>
    <w:rsid w:val="005964A9"/>
    <w:rsid w:val="0059699C"/>
    <w:rsid w:val="00596C08"/>
    <w:rsid w:val="0059750B"/>
    <w:rsid w:val="00597774"/>
    <w:rsid w:val="005A05E6"/>
    <w:rsid w:val="005A075E"/>
    <w:rsid w:val="005A15A8"/>
    <w:rsid w:val="005A1A30"/>
    <w:rsid w:val="005A1A92"/>
    <w:rsid w:val="005A24F2"/>
    <w:rsid w:val="005A2AB3"/>
    <w:rsid w:val="005A2FD7"/>
    <w:rsid w:val="005A317B"/>
    <w:rsid w:val="005A4445"/>
    <w:rsid w:val="005A455A"/>
    <w:rsid w:val="005A5379"/>
    <w:rsid w:val="005A5B9C"/>
    <w:rsid w:val="005A5FB3"/>
    <w:rsid w:val="005A63A7"/>
    <w:rsid w:val="005A63F4"/>
    <w:rsid w:val="005A706A"/>
    <w:rsid w:val="005A7106"/>
    <w:rsid w:val="005A7817"/>
    <w:rsid w:val="005B034C"/>
    <w:rsid w:val="005B039D"/>
    <w:rsid w:val="005B056F"/>
    <w:rsid w:val="005B0873"/>
    <w:rsid w:val="005B09B8"/>
    <w:rsid w:val="005B0C33"/>
    <w:rsid w:val="005B21EF"/>
    <w:rsid w:val="005B2896"/>
    <w:rsid w:val="005B29F6"/>
    <w:rsid w:val="005B2AE1"/>
    <w:rsid w:val="005B3062"/>
    <w:rsid w:val="005B36F9"/>
    <w:rsid w:val="005B3A98"/>
    <w:rsid w:val="005B3F82"/>
    <w:rsid w:val="005B443C"/>
    <w:rsid w:val="005B4484"/>
    <w:rsid w:val="005B470F"/>
    <w:rsid w:val="005B4F90"/>
    <w:rsid w:val="005B55CD"/>
    <w:rsid w:val="005B5716"/>
    <w:rsid w:val="005B5B39"/>
    <w:rsid w:val="005B6153"/>
    <w:rsid w:val="005B61B5"/>
    <w:rsid w:val="005B61BE"/>
    <w:rsid w:val="005B6979"/>
    <w:rsid w:val="005B6BA2"/>
    <w:rsid w:val="005B7234"/>
    <w:rsid w:val="005B7948"/>
    <w:rsid w:val="005B7AA7"/>
    <w:rsid w:val="005B7B26"/>
    <w:rsid w:val="005C04EC"/>
    <w:rsid w:val="005C0A43"/>
    <w:rsid w:val="005C0D47"/>
    <w:rsid w:val="005C1160"/>
    <w:rsid w:val="005C159C"/>
    <w:rsid w:val="005C180C"/>
    <w:rsid w:val="005C18B3"/>
    <w:rsid w:val="005C1BA6"/>
    <w:rsid w:val="005C2132"/>
    <w:rsid w:val="005C2208"/>
    <w:rsid w:val="005C24C1"/>
    <w:rsid w:val="005C2EB0"/>
    <w:rsid w:val="005C300A"/>
    <w:rsid w:val="005C30E9"/>
    <w:rsid w:val="005C3274"/>
    <w:rsid w:val="005C33C8"/>
    <w:rsid w:val="005C360A"/>
    <w:rsid w:val="005C385F"/>
    <w:rsid w:val="005C3898"/>
    <w:rsid w:val="005C3D9F"/>
    <w:rsid w:val="005C3DD0"/>
    <w:rsid w:val="005C4FAD"/>
    <w:rsid w:val="005C5051"/>
    <w:rsid w:val="005C5B06"/>
    <w:rsid w:val="005C5B5A"/>
    <w:rsid w:val="005C6976"/>
    <w:rsid w:val="005C7709"/>
    <w:rsid w:val="005C795E"/>
    <w:rsid w:val="005C7FCD"/>
    <w:rsid w:val="005D06DD"/>
    <w:rsid w:val="005D1594"/>
    <w:rsid w:val="005D16E3"/>
    <w:rsid w:val="005D23C4"/>
    <w:rsid w:val="005D24CC"/>
    <w:rsid w:val="005D25F1"/>
    <w:rsid w:val="005D3151"/>
    <w:rsid w:val="005D375C"/>
    <w:rsid w:val="005D45AF"/>
    <w:rsid w:val="005D4D87"/>
    <w:rsid w:val="005D51BB"/>
    <w:rsid w:val="005D561A"/>
    <w:rsid w:val="005D594A"/>
    <w:rsid w:val="005D6092"/>
    <w:rsid w:val="005D616C"/>
    <w:rsid w:val="005D62C9"/>
    <w:rsid w:val="005D6819"/>
    <w:rsid w:val="005D6A02"/>
    <w:rsid w:val="005D71E6"/>
    <w:rsid w:val="005D7524"/>
    <w:rsid w:val="005D7939"/>
    <w:rsid w:val="005D79EB"/>
    <w:rsid w:val="005D7F30"/>
    <w:rsid w:val="005E009B"/>
    <w:rsid w:val="005E0129"/>
    <w:rsid w:val="005E0131"/>
    <w:rsid w:val="005E0378"/>
    <w:rsid w:val="005E0494"/>
    <w:rsid w:val="005E0906"/>
    <w:rsid w:val="005E0E4D"/>
    <w:rsid w:val="005E1560"/>
    <w:rsid w:val="005E1848"/>
    <w:rsid w:val="005E19CF"/>
    <w:rsid w:val="005E1BDB"/>
    <w:rsid w:val="005E1D32"/>
    <w:rsid w:val="005E1F06"/>
    <w:rsid w:val="005E2FE6"/>
    <w:rsid w:val="005E3080"/>
    <w:rsid w:val="005E3CE7"/>
    <w:rsid w:val="005E4107"/>
    <w:rsid w:val="005E4263"/>
    <w:rsid w:val="005E4767"/>
    <w:rsid w:val="005E5400"/>
    <w:rsid w:val="005E581F"/>
    <w:rsid w:val="005E5A5E"/>
    <w:rsid w:val="005E5B3A"/>
    <w:rsid w:val="005E69D7"/>
    <w:rsid w:val="005E6B2E"/>
    <w:rsid w:val="005E6DC8"/>
    <w:rsid w:val="005E77AD"/>
    <w:rsid w:val="005E77F8"/>
    <w:rsid w:val="005E7B3C"/>
    <w:rsid w:val="005F03B6"/>
    <w:rsid w:val="005F06D6"/>
    <w:rsid w:val="005F0729"/>
    <w:rsid w:val="005F0A15"/>
    <w:rsid w:val="005F0CA6"/>
    <w:rsid w:val="005F134D"/>
    <w:rsid w:val="005F1AFA"/>
    <w:rsid w:val="005F1D79"/>
    <w:rsid w:val="005F1E6D"/>
    <w:rsid w:val="005F2DF3"/>
    <w:rsid w:val="005F2E8A"/>
    <w:rsid w:val="005F35F2"/>
    <w:rsid w:val="005F37F6"/>
    <w:rsid w:val="005F3E69"/>
    <w:rsid w:val="005F4086"/>
    <w:rsid w:val="005F447D"/>
    <w:rsid w:val="005F51F9"/>
    <w:rsid w:val="005F53B2"/>
    <w:rsid w:val="005F54AD"/>
    <w:rsid w:val="005F54BA"/>
    <w:rsid w:val="005F55D1"/>
    <w:rsid w:val="005F59EB"/>
    <w:rsid w:val="005F5C68"/>
    <w:rsid w:val="005F5E40"/>
    <w:rsid w:val="005F62A2"/>
    <w:rsid w:val="005F681D"/>
    <w:rsid w:val="005F684F"/>
    <w:rsid w:val="005F7032"/>
    <w:rsid w:val="005F744D"/>
    <w:rsid w:val="005F7B16"/>
    <w:rsid w:val="0060068B"/>
    <w:rsid w:val="006007A4"/>
    <w:rsid w:val="00601B5B"/>
    <w:rsid w:val="0060212D"/>
    <w:rsid w:val="006030A9"/>
    <w:rsid w:val="00603C5F"/>
    <w:rsid w:val="006040FB"/>
    <w:rsid w:val="00604660"/>
    <w:rsid w:val="006049DE"/>
    <w:rsid w:val="00604F4F"/>
    <w:rsid w:val="0060509C"/>
    <w:rsid w:val="00605579"/>
    <w:rsid w:val="006066F9"/>
    <w:rsid w:val="00607100"/>
    <w:rsid w:val="006076DC"/>
    <w:rsid w:val="00607D23"/>
    <w:rsid w:val="00610328"/>
    <w:rsid w:val="00610CB6"/>
    <w:rsid w:val="00611013"/>
    <w:rsid w:val="00611634"/>
    <w:rsid w:val="006116AF"/>
    <w:rsid w:val="00611969"/>
    <w:rsid w:val="00611B7A"/>
    <w:rsid w:val="00611D19"/>
    <w:rsid w:val="0061220B"/>
    <w:rsid w:val="006122E4"/>
    <w:rsid w:val="006123B1"/>
    <w:rsid w:val="00612804"/>
    <w:rsid w:val="00612B9B"/>
    <w:rsid w:val="00612CD1"/>
    <w:rsid w:val="00613368"/>
    <w:rsid w:val="006137B0"/>
    <w:rsid w:val="00613893"/>
    <w:rsid w:val="00613D8B"/>
    <w:rsid w:val="0061455A"/>
    <w:rsid w:val="006146F1"/>
    <w:rsid w:val="00614F33"/>
    <w:rsid w:val="00614F4A"/>
    <w:rsid w:val="00615664"/>
    <w:rsid w:val="00616850"/>
    <w:rsid w:val="006174DE"/>
    <w:rsid w:val="0061762B"/>
    <w:rsid w:val="00617EBB"/>
    <w:rsid w:val="006200BA"/>
    <w:rsid w:val="00620241"/>
    <w:rsid w:val="0062072B"/>
    <w:rsid w:val="006207C7"/>
    <w:rsid w:val="0062087D"/>
    <w:rsid w:val="00620AE3"/>
    <w:rsid w:val="00620F7C"/>
    <w:rsid w:val="00621835"/>
    <w:rsid w:val="00621D1E"/>
    <w:rsid w:val="00621D94"/>
    <w:rsid w:val="00621DF1"/>
    <w:rsid w:val="00622BE1"/>
    <w:rsid w:val="00622DA9"/>
    <w:rsid w:val="00622EA0"/>
    <w:rsid w:val="00622FF2"/>
    <w:rsid w:val="00623F8D"/>
    <w:rsid w:val="00624349"/>
    <w:rsid w:val="00624ABC"/>
    <w:rsid w:val="00625338"/>
    <w:rsid w:val="006253B3"/>
    <w:rsid w:val="006255AE"/>
    <w:rsid w:val="00625DA8"/>
    <w:rsid w:val="00626197"/>
    <w:rsid w:val="006267F0"/>
    <w:rsid w:val="00626FE4"/>
    <w:rsid w:val="00627058"/>
    <w:rsid w:val="0062743C"/>
    <w:rsid w:val="00627B40"/>
    <w:rsid w:val="006301ED"/>
    <w:rsid w:val="00630C5C"/>
    <w:rsid w:val="00630FB4"/>
    <w:rsid w:val="006311AB"/>
    <w:rsid w:val="00631757"/>
    <w:rsid w:val="00631DEA"/>
    <w:rsid w:val="0063286B"/>
    <w:rsid w:val="00632F24"/>
    <w:rsid w:val="00633FCB"/>
    <w:rsid w:val="00634607"/>
    <w:rsid w:val="0063496C"/>
    <w:rsid w:val="00634B87"/>
    <w:rsid w:val="00634F77"/>
    <w:rsid w:val="006357A9"/>
    <w:rsid w:val="00635A68"/>
    <w:rsid w:val="00635C65"/>
    <w:rsid w:val="00635EBF"/>
    <w:rsid w:val="00636693"/>
    <w:rsid w:val="00637646"/>
    <w:rsid w:val="006377B4"/>
    <w:rsid w:val="00637913"/>
    <w:rsid w:val="0064085E"/>
    <w:rsid w:val="006409F6"/>
    <w:rsid w:val="006419F3"/>
    <w:rsid w:val="00641DA4"/>
    <w:rsid w:val="0064208B"/>
    <w:rsid w:val="00642654"/>
    <w:rsid w:val="00642B50"/>
    <w:rsid w:val="00643005"/>
    <w:rsid w:val="00643763"/>
    <w:rsid w:val="006437A9"/>
    <w:rsid w:val="00643F6E"/>
    <w:rsid w:val="00643FA7"/>
    <w:rsid w:val="00644B1E"/>
    <w:rsid w:val="00644EA6"/>
    <w:rsid w:val="0064580D"/>
    <w:rsid w:val="006462FC"/>
    <w:rsid w:val="006463A6"/>
    <w:rsid w:val="00646D74"/>
    <w:rsid w:val="00647027"/>
    <w:rsid w:val="006501A8"/>
    <w:rsid w:val="006501AE"/>
    <w:rsid w:val="00650357"/>
    <w:rsid w:val="0065103B"/>
    <w:rsid w:val="00652070"/>
    <w:rsid w:val="0065229D"/>
    <w:rsid w:val="00652340"/>
    <w:rsid w:val="006528A6"/>
    <w:rsid w:val="00652EA3"/>
    <w:rsid w:val="00652F99"/>
    <w:rsid w:val="00653518"/>
    <w:rsid w:val="00654440"/>
    <w:rsid w:val="006549B3"/>
    <w:rsid w:val="006549D7"/>
    <w:rsid w:val="00655D73"/>
    <w:rsid w:val="00656045"/>
    <w:rsid w:val="00656459"/>
    <w:rsid w:val="00656569"/>
    <w:rsid w:val="00657154"/>
    <w:rsid w:val="0065732A"/>
    <w:rsid w:val="00657384"/>
    <w:rsid w:val="006600F8"/>
    <w:rsid w:val="00660353"/>
    <w:rsid w:val="00660AD2"/>
    <w:rsid w:val="00661156"/>
    <w:rsid w:val="00661208"/>
    <w:rsid w:val="00661366"/>
    <w:rsid w:val="00661590"/>
    <w:rsid w:val="0066186B"/>
    <w:rsid w:val="006620A8"/>
    <w:rsid w:val="0066290E"/>
    <w:rsid w:val="00662B26"/>
    <w:rsid w:val="00662D62"/>
    <w:rsid w:val="00662F0B"/>
    <w:rsid w:val="006643F2"/>
    <w:rsid w:val="00665218"/>
    <w:rsid w:val="00665980"/>
    <w:rsid w:val="006659C2"/>
    <w:rsid w:val="00665F90"/>
    <w:rsid w:val="00666C2F"/>
    <w:rsid w:val="00666C94"/>
    <w:rsid w:val="0066737E"/>
    <w:rsid w:val="00667823"/>
    <w:rsid w:val="006679F9"/>
    <w:rsid w:val="00667EEA"/>
    <w:rsid w:val="006702EC"/>
    <w:rsid w:val="006706FD"/>
    <w:rsid w:val="0067079E"/>
    <w:rsid w:val="006707AB"/>
    <w:rsid w:val="00670B44"/>
    <w:rsid w:val="00670BEC"/>
    <w:rsid w:val="0067128F"/>
    <w:rsid w:val="006712B4"/>
    <w:rsid w:val="00671332"/>
    <w:rsid w:val="00671D37"/>
    <w:rsid w:val="00672240"/>
    <w:rsid w:val="00672438"/>
    <w:rsid w:val="00672C42"/>
    <w:rsid w:val="00672C44"/>
    <w:rsid w:val="00672D4E"/>
    <w:rsid w:val="00673314"/>
    <w:rsid w:val="00673359"/>
    <w:rsid w:val="0067344C"/>
    <w:rsid w:val="00673455"/>
    <w:rsid w:val="0067357A"/>
    <w:rsid w:val="006747B2"/>
    <w:rsid w:val="006750EC"/>
    <w:rsid w:val="0067563A"/>
    <w:rsid w:val="00676155"/>
    <w:rsid w:val="0067651C"/>
    <w:rsid w:val="00676740"/>
    <w:rsid w:val="006767B1"/>
    <w:rsid w:val="0067687F"/>
    <w:rsid w:val="00676AA7"/>
    <w:rsid w:val="00676FC1"/>
    <w:rsid w:val="006770BC"/>
    <w:rsid w:val="00677344"/>
    <w:rsid w:val="00677443"/>
    <w:rsid w:val="00677668"/>
    <w:rsid w:val="00677973"/>
    <w:rsid w:val="00677A66"/>
    <w:rsid w:val="00680646"/>
    <w:rsid w:val="006809D7"/>
    <w:rsid w:val="0068106F"/>
    <w:rsid w:val="006811E0"/>
    <w:rsid w:val="006812EC"/>
    <w:rsid w:val="0068199D"/>
    <w:rsid w:val="006828A6"/>
    <w:rsid w:val="00682C27"/>
    <w:rsid w:val="0068359B"/>
    <w:rsid w:val="006837A6"/>
    <w:rsid w:val="0068420D"/>
    <w:rsid w:val="00684578"/>
    <w:rsid w:val="00684634"/>
    <w:rsid w:val="006859E9"/>
    <w:rsid w:val="00686002"/>
    <w:rsid w:val="0068671C"/>
    <w:rsid w:val="00686996"/>
    <w:rsid w:val="00686E0B"/>
    <w:rsid w:val="00687442"/>
    <w:rsid w:val="006874AE"/>
    <w:rsid w:val="006878CB"/>
    <w:rsid w:val="00687C97"/>
    <w:rsid w:val="00690147"/>
    <w:rsid w:val="00690C3B"/>
    <w:rsid w:val="00690FF4"/>
    <w:rsid w:val="00691418"/>
    <w:rsid w:val="00691724"/>
    <w:rsid w:val="00691C98"/>
    <w:rsid w:val="00691DB7"/>
    <w:rsid w:val="00692147"/>
    <w:rsid w:val="0069222F"/>
    <w:rsid w:val="00692BBE"/>
    <w:rsid w:val="00692EEE"/>
    <w:rsid w:val="0069306E"/>
    <w:rsid w:val="00693649"/>
    <w:rsid w:val="00694366"/>
    <w:rsid w:val="00695246"/>
    <w:rsid w:val="00695787"/>
    <w:rsid w:val="00695C85"/>
    <w:rsid w:val="00696191"/>
    <w:rsid w:val="0069621B"/>
    <w:rsid w:val="00696309"/>
    <w:rsid w:val="0069632E"/>
    <w:rsid w:val="00696799"/>
    <w:rsid w:val="00696BFA"/>
    <w:rsid w:val="0069735A"/>
    <w:rsid w:val="006973C3"/>
    <w:rsid w:val="006A0A3C"/>
    <w:rsid w:val="006A1535"/>
    <w:rsid w:val="006A16CF"/>
    <w:rsid w:val="006A1C34"/>
    <w:rsid w:val="006A1FA3"/>
    <w:rsid w:val="006A214C"/>
    <w:rsid w:val="006A21B2"/>
    <w:rsid w:val="006A2286"/>
    <w:rsid w:val="006A2493"/>
    <w:rsid w:val="006A27CB"/>
    <w:rsid w:val="006A3566"/>
    <w:rsid w:val="006A3A69"/>
    <w:rsid w:val="006A3B49"/>
    <w:rsid w:val="006A3C1A"/>
    <w:rsid w:val="006A3E01"/>
    <w:rsid w:val="006A44D8"/>
    <w:rsid w:val="006A4688"/>
    <w:rsid w:val="006A46D3"/>
    <w:rsid w:val="006A4B3F"/>
    <w:rsid w:val="006A5543"/>
    <w:rsid w:val="006A6598"/>
    <w:rsid w:val="006A6DBA"/>
    <w:rsid w:val="006A7126"/>
    <w:rsid w:val="006A71F8"/>
    <w:rsid w:val="006A7C68"/>
    <w:rsid w:val="006A7EFB"/>
    <w:rsid w:val="006B065B"/>
    <w:rsid w:val="006B0C0D"/>
    <w:rsid w:val="006B0C76"/>
    <w:rsid w:val="006B1144"/>
    <w:rsid w:val="006B11C8"/>
    <w:rsid w:val="006B16FD"/>
    <w:rsid w:val="006B229E"/>
    <w:rsid w:val="006B3068"/>
    <w:rsid w:val="006B3517"/>
    <w:rsid w:val="006B3F0C"/>
    <w:rsid w:val="006B4054"/>
    <w:rsid w:val="006B4372"/>
    <w:rsid w:val="006B4659"/>
    <w:rsid w:val="006B5141"/>
    <w:rsid w:val="006B542C"/>
    <w:rsid w:val="006B5886"/>
    <w:rsid w:val="006B59D5"/>
    <w:rsid w:val="006B6DDC"/>
    <w:rsid w:val="006B7558"/>
    <w:rsid w:val="006B79F8"/>
    <w:rsid w:val="006B7D9A"/>
    <w:rsid w:val="006B7EBE"/>
    <w:rsid w:val="006C0138"/>
    <w:rsid w:val="006C05A6"/>
    <w:rsid w:val="006C0D8D"/>
    <w:rsid w:val="006C1120"/>
    <w:rsid w:val="006C12B7"/>
    <w:rsid w:val="006C17D3"/>
    <w:rsid w:val="006C1835"/>
    <w:rsid w:val="006C2077"/>
    <w:rsid w:val="006C229F"/>
    <w:rsid w:val="006C2E67"/>
    <w:rsid w:val="006C2F96"/>
    <w:rsid w:val="006C31C4"/>
    <w:rsid w:val="006C3380"/>
    <w:rsid w:val="006C36FE"/>
    <w:rsid w:val="006C379B"/>
    <w:rsid w:val="006C3A00"/>
    <w:rsid w:val="006C3EC2"/>
    <w:rsid w:val="006C4110"/>
    <w:rsid w:val="006C41DC"/>
    <w:rsid w:val="006C4474"/>
    <w:rsid w:val="006C4C8D"/>
    <w:rsid w:val="006C56DB"/>
    <w:rsid w:val="006C571D"/>
    <w:rsid w:val="006C617A"/>
    <w:rsid w:val="006C617C"/>
    <w:rsid w:val="006C6227"/>
    <w:rsid w:val="006C6F1F"/>
    <w:rsid w:val="006C7017"/>
    <w:rsid w:val="006C7309"/>
    <w:rsid w:val="006D04BA"/>
    <w:rsid w:val="006D0F33"/>
    <w:rsid w:val="006D1592"/>
    <w:rsid w:val="006D1B11"/>
    <w:rsid w:val="006D1C2A"/>
    <w:rsid w:val="006D1ED4"/>
    <w:rsid w:val="006D2833"/>
    <w:rsid w:val="006D2B72"/>
    <w:rsid w:val="006D32FA"/>
    <w:rsid w:val="006D33A8"/>
    <w:rsid w:val="006D3D27"/>
    <w:rsid w:val="006D3F36"/>
    <w:rsid w:val="006D4B4F"/>
    <w:rsid w:val="006D4C1B"/>
    <w:rsid w:val="006D4E51"/>
    <w:rsid w:val="006D50D1"/>
    <w:rsid w:val="006D5800"/>
    <w:rsid w:val="006D6811"/>
    <w:rsid w:val="006D6A3B"/>
    <w:rsid w:val="006D712B"/>
    <w:rsid w:val="006D727C"/>
    <w:rsid w:val="006D774A"/>
    <w:rsid w:val="006D7B31"/>
    <w:rsid w:val="006E1279"/>
    <w:rsid w:val="006E1615"/>
    <w:rsid w:val="006E232E"/>
    <w:rsid w:val="006E28EC"/>
    <w:rsid w:val="006E2CC5"/>
    <w:rsid w:val="006E3A09"/>
    <w:rsid w:val="006E45FF"/>
    <w:rsid w:val="006E4AA9"/>
    <w:rsid w:val="006E53F5"/>
    <w:rsid w:val="006E5726"/>
    <w:rsid w:val="006E58F0"/>
    <w:rsid w:val="006E598B"/>
    <w:rsid w:val="006E5CB9"/>
    <w:rsid w:val="006E5FFF"/>
    <w:rsid w:val="006E633B"/>
    <w:rsid w:val="006E6F37"/>
    <w:rsid w:val="006E7221"/>
    <w:rsid w:val="006E74AA"/>
    <w:rsid w:val="006E7C8D"/>
    <w:rsid w:val="006F0022"/>
    <w:rsid w:val="006F017E"/>
    <w:rsid w:val="006F07C7"/>
    <w:rsid w:val="006F0860"/>
    <w:rsid w:val="006F08E5"/>
    <w:rsid w:val="006F0964"/>
    <w:rsid w:val="006F0990"/>
    <w:rsid w:val="006F0EF6"/>
    <w:rsid w:val="006F14CB"/>
    <w:rsid w:val="006F1525"/>
    <w:rsid w:val="006F180D"/>
    <w:rsid w:val="006F1B9B"/>
    <w:rsid w:val="006F2168"/>
    <w:rsid w:val="006F28A5"/>
    <w:rsid w:val="006F2A64"/>
    <w:rsid w:val="006F34E9"/>
    <w:rsid w:val="006F38BA"/>
    <w:rsid w:val="006F478E"/>
    <w:rsid w:val="006F47F3"/>
    <w:rsid w:val="006F5022"/>
    <w:rsid w:val="006F5E51"/>
    <w:rsid w:val="006F623E"/>
    <w:rsid w:val="006F654E"/>
    <w:rsid w:val="006F6C49"/>
    <w:rsid w:val="006F7765"/>
    <w:rsid w:val="006F7B06"/>
    <w:rsid w:val="00700E37"/>
    <w:rsid w:val="00701108"/>
    <w:rsid w:val="00701412"/>
    <w:rsid w:val="00701694"/>
    <w:rsid w:val="007016C7"/>
    <w:rsid w:val="00701ADE"/>
    <w:rsid w:val="0070253F"/>
    <w:rsid w:val="00702CA7"/>
    <w:rsid w:val="0070310F"/>
    <w:rsid w:val="007032D1"/>
    <w:rsid w:val="007036EA"/>
    <w:rsid w:val="0070387D"/>
    <w:rsid w:val="00704CD9"/>
    <w:rsid w:val="00704D02"/>
    <w:rsid w:val="0070539A"/>
    <w:rsid w:val="00706506"/>
    <w:rsid w:val="0070655D"/>
    <w:rsid w:val="00706593"/>
    <w:rsid w:val="007069DC"/>
    <w:rsid w:val="00706A6B"/>
    <w:rsid w:val="00706F15"/>
    <w:rsid w:val="00707372"/>
    <w:rsid w:val="00707950"/>
    <w:rsid w:val="00707CF3"/>
    <w:rsid w:val="00710032"/>
    <w:rsid w:val="00710131"/>
    <w:rsid w:val="007104B1"/>
    <w:rsid w:val="00711033"/>
    <w:rsid w:val="007110B6"/>
    <w:rsid w:val="0071147B"/>
    <w:rsid w:val="00712E15"/>
    <w:rsid w:val="00712E5E"/>
    <w:rsid w:val="007130A7"/>
    <w:rsid w:val="00713196"/>
    <w:rsid w:val="007136D3"/>
    <w:rsid w:val="00713F6F"/>
    <w:rsid w:val="007147B9"/>
    <w:rsid w:val="0071493E"/>
    <w:rsid w:val="00714AEE"/>
    <w:rsid w:val="00714C68"/>
    <w:rsid w:val="00714D05"/>
    <w:rsid w:val="00714F32"/>
    <w:rsid w:val="007158B1"/>
    <w:rsid w:val="00715B77"/>
    <w:rsid w:val="00716145"/>
    <w:rsid w:val="00717286"/>
    <w:rsid w:val="00717540"/>
    <w:rsid w:val="00717CB4"/>
    <w:rsid w:val="0072033A"/>
    <w:rsid w:val="007207A6"/>
    <w:rsid w:val="007215ED"/>
    <w:rsid w:val="007216B4"/>
    <w:rsid w:val="007218A9"/>
    <w:rsid w:val="00721A17"/>
    <w:rsid w:val="00721AEB"/>
    <w:rsid w:val="00721FF5"/>
    <w:rsid w:val="007223EB"/>
    <w:rsid w:val="00722A62"/>
    <w:rsid w:val="0072326C"/>
    <w:rsid w:val="00723298"/>
    <w:rsid w:val="00723767"/>
    <w:rsid w:val="0072389D"/>
    <w:rsid w:val="00723ED6"/>
    <w:rsid w:val="0072404B"/>
    <w:rsid w:val="00724117"/>
    <w:rsid w:val="0072509B"/>
    <w:rsid w:val="00725788"/>
    <w:rsid w:val="007258CB"/>
    <w:rsid w:val="00725C6D"/>
    <w:rsid w:val="007264CF"/>
    <w:rsid w:val="00727AAA"/>
    <w:rsid w:val="00730692"/>
    <w:rsid w:val="00730A7E"/>
    <w:rsid w:val="00730C7E"/>
    <w:rsid w:val="00731B3B"/>
    <w:rsid w:val="00731BEF"/>
    <w:rsid w:val="007333E4"/>
    <w:rsid w:val="00733470"/>
    <w:rsid w:val="007336DD"/>
    <w:rsid w:val="00733789"/>
    <w:rsid w:val="00733A15"/>
    <w:rsid w:val="00733DDD"/>
    <w:rsid w:val="0073425B"/>
    <w:rsid w:val="00734CD0"/>
    <w:rsid w:val="00734D43"/>
    <w:rsid w:val="00734D57"/>
    <w:rsid w:val="0073522D"/>
    <w:rsid w:val="00735951"/>
    <w:rsid w:val="007361F4"/>
    <w:rsid w:val="00736403"/>
    <w:rsid w:val="00736585"/>
    <w:rsid w:val="00736A0F"/>
    <w:rsid w:val="00736D61"/>
    <w:rsid w:val="00736E1A"/>
    <w:rsid w:val="007370F7"/>
    <w:rsid w:val="0073746D"/>
    <w:rsid w:val="007377A6"/>
    <w:rsid w:val="007377CF"/>
    <w:rsid w:val="00737AD6"/>
    <w:rsid w:val="00737FC0"/>
    <w:rsid w:val="00740837"/>
    <w:rsid w:val="00741297"/>
    <w:rsid w:val="00741310"/>
    <w:rsid w:val="00741343"/>
    <w:rsid w:val="007413AA"/>
    <w:rsid w:val="00741AAB"/>
    <w:rsid w:val="00741E7D"/>
    <w:rsid w:val="007420B8"/>
    <w:rsid w:val="0074247C"/>
    <w:rsid w:val="00742714"/>
    <w:rsid w:val="0074278F"/>
    <w:rsid w:val="00742B0B"/>
    <w:rsid w:val="00742DD9"/>
    <w:rsid w:val="00744918"/>
    <w:rsid w:val="00744A18"/>
    <w:rsid w:val="00745326"/>
    <w:rsid w:val="007455BB"/>
    <w:rsid w:val="007462F6"/>
    <w:rsid w:val="007466B6"/>
    <w:rsid w:val="00746DD5"/>
    <w:rsid w:val="007475DD"/>
    <w:rsid w:val="00747F95"/>
    <w:rsid w:val="00747FE4"/>
    <w:rsid w:val="00750299"/>
    <w:rsid w:val="00750479"/>
    <w:rsid w:val="007507C6"/>
    <w:rsid w:val="00750971"/>
    <w:rsid w:val="00750E69"/>
    <w:rsid w:val="007511FB"/>
    <w:rsid w:val="00751888"/>
    <w:rsid w:val="00751893"/>
    <w:rsid w:val="00751ADD"/>
    <w:rsid w:val="00751CED"/>
    <w:rsid w:val="00752366"/>
    <w:rsid w:val="0075303F"/>
    <w:rsid w:val="00753726"/>
    <w:rsid w:val="00753E73"/>
    <w:rsid w:val="00754BCB"/>
    <w:rsid w:val="00754E2B"/>
    <w:rsid w:val="007553E8"/>
    <w:rsid w:val="007556C7"/>
    <w:rsid w:val="0075677B"/>
    <w:rsid w:val="007567FB"/>
    <w:rsid w:val="00756B44"/>
    <w:rsid w:val="00756D61"/>
    <w:rsid w:val="007575F4"/>
    <w:rsid w:val="007577EC"/>
    <w:rsid w:val="0075789E"/>
    <w:rsid w:val="00760F74"/>
    <w:rsid w:val="00761167"/>
    <w:rsid w:val="00761C53"/>
    <w:rsid w:val="00761D3F"/>
    <w:rsid w:val="00761DE4"/>
    <w:rsid w:val="0076248A"/>
    <w:rsid w:val="00762775"/>
    <w:rsid w:val="00762AB2"/>
    <w:rsid w:val="00762D18"/>
    <w:rsid w:val="007632BC"/>
    <w:rsid w:val="00763323"/>
    <w:rsid w:val="00763716"/>
    <w:rsid w:val="0076413D"/>
    <w:rsid w:val="007650DB"/>
    <w:rsid w:val="00765421"/>
    <w:rsid w:val="00765A82"/>
    <w:rsid w:val="00765FEE"/>
    <w:rsid w:val="00766CE5"/>
    <w:rsid w:val="0076796F"/>
    <w:rsid w:val="0077008A"/>
    <w:rsid w:val="007701FB"/>
    <w:rsid w:val="007707A1"/>
    <w:rsid w:val="007709B6"/>
    <w:rsid w:val="00770A7D"/>
    <w:rsid w:val="00770C22"/>
    <w:rsid w:val="007716EA"/>
    <w:rsid w:val="007724BA"/>
    <w:rsid w:val="00773A59"/>
    <w:rsid w:val="00773AB3"/>
    <w:rsid w:val="00773F08"/>
    <w:rsid w:val="007741EC"/>
    <w:rsid w:val="00774AE0"/>
    <w:rsid w:val="00774CB5"/>
    <w:rsid w:val="00774EE0"/>
    <w:rsid w:val="0077538F"/>
    <w:rsid w:val="00775CED"/>
    <w:rsid w:val="00776F47"/>
    <w:rsid w:val="007773CB"/>
    <w:rsid w:val="007777CC"/>
    <w:rsid w:val="007779B8"/>
    <w:rsid w:val="00777F81"/>
    <w:rsid w:val="00777F96"/>
    <w:rsid w:val="00777FCA"/>
    <w:rsid w:val="007807C0"/>
    <w:rsid w:val="00780806"/>
    <w:rsid w:val="00780A55"/>
    <w:rsid w:val="00781782"/>
    <w:rsid w:val="00781CA0"/>
    <w:rsid w:val="00782076"/>
    <w:rsid w:val="0078230A"/>
    <w:rsid w:val="0078294A"/>
    <w:rsid w:val="007829AB"/>
    <w:rsid w:val="00782BA3"/>
    <w:rsid w:val="00782D59"/>
    <w:rsid w:val="00783028"/>
    <w:rsid w:val="00783908"/>
    <w:rsid w:val="00783ED8"/>
    <w:rsid w:val="007841B1"/>
    <w:rsid w:val="00784A10"/>
    <w:rsid w:val="00784E86"/>
    <w:rsid w:val="00785665"/>
    <w:rsid w:val="007856DF"/>
    <w:rsid w:val="007858B4"/>
    <w:rsid w:val="00786089"/>
    <w:rsid w:val="0078611B"/>
    <w:rsid w:val="00786AB5"/>
    <w:rsid w:val="00787241"/>
    <w:rsid w:val="00787556"/>
    <w:rsid w:val="007917DB"/>
    <w:rsid w:val="00791AB3"/>
    <w:rsid w:val="007929DB"/>
    <w:rsid w:val="00792BE1"/>
    <w:rsid w:val="00792E2E"/>
    <w:rsid w:val="00792F91"/>
    <w:rsid w:val="00793AB7"/>
    <w:rsid w:val="0079429F"/>
    <w:rsid w:val="0079454D"/>
    <w:rsid w:val="007945C8"/>
    <w:rsid w:val="007946D5"/>
    <w:rsid w:val="00794B4C"/>
    <w:rsid w:val="00794F6E"/>
    <w:rsid w:val="00795076"/>
    <w:rsid w:val="007952E4"/>
    <w:rsid w:val="007959D1"/>
    <w:rsid w:val="00795DA6"/>
    <w:rsid w:val="00795E5D"/>
    <w:rsid w:val="00796457"/>
    <w:rsid w:val="00796541"/>
    <w:rsid w:val="007968D3"/>
    <w:rsid w:val="00796A0A"/>
    <w:rsid w:val="00796E66"/>
    <w:rsid w:val="007971C9"/>
    <w:rsid w:val="0079733A"/>
    <w:rsid w:val="007973B3"/>
    <w:rsid w:val="00797559"/>
    <w:rsid w:val="0079758E"/>
    <w:rsid w:val="007977C6"/>
    <w:rsid w:val="007A02AA"/>
    <w:rsid w:val="007A0586"/>
    <w:rsid w:val="007A0B27"/>
    <w:rsid w:val="007A0D4C"/>
    <w:rsid w:val="007A1103"/>
    <w:rsid w:val="007A1C86"/>
    <w:rsid w:val="007A203F"/>
    <w:rsid w:val="007A288D"/>
    <w:rsid w:val="007A3791"/>
    <w:rsid w:val="007A3D20"/>
    <w:rsid w:val="007A46F1"/>
    <w:rsid w:val="007A4F5A"/>
    <w:rsid w:val="007A565C"/>
    <w:rsid w:val="007A5A74"/>
    <w:rsid w:val="007A5E30"/>
    <w:rsid w:val="007A70B9"/>
    <w:rsid w:val="007A7197"/>
    <w:rsid w:val="007A7199"/>
    <w:rsid w:val="007A7217"/>
    <w:rsid w:val="007A7365"/>
    <w:rsid w:val="007A772F"/>
    <w:rsid w:val="007A7999"/>
    <w:rsid w:val="007A7A2E"/>
    <w:rsid w:val="007A7ACD"/>
    <w:rsid w:val="007A7E73"/>
    <w:rsid w:val="007B0160"/>
    <w:rsid w:val="007B01CC"/>
    <w:rsid w:val="007B03B2"/>
    <w:rsid w:val="007B0A02"/>
    <w:rsid w:val="007B0BFE"/>
    <w:rsid w:val="007B1207"/>
    <w:rsid w:val="007B1491"/>
    <w:rsid w:val="007B249C"/>
    <w:rsid w:val="007B2999"/>
    <w:rsid w:val="007B2FE6"/>
    <w:rsid w:val="007B37AB"/>
    <w:rsid w:val="007B3B6B"/>
    <w:rsid w:val="007B3F2B"/>
    <w:rsid w:val="007B661C"/>
    <w:rsid w:val="007B7443"/>
    <w:rsid w:val="007B7848"/>
    <w:rsid w:val="007B79F8"/>
    <w:rsid w:val="007B7BF4"/>
    <w:rsid w:val="007B7CF3"/>
    <w:rsid w:val="007C00A3"/>
    <w:rsid w:val="007C04C9"/>
    <w:rsid w:val="007C08F4"/>
    <w:rsid w:val="007C12DA"/>
    <w:rsid w:val="007C1505"/>
    <w:rsid w:val="007C2208"/>
    <w:rsid w:val="007C399A"/>
    <w:rsid w:val="007C423B"/>
    <w:rsid w:val="007C4757"/>
    <w:rsid w:val="007C4B1B"/>
    <w:rsid w:val="007C4FA6"/>
    <w:rsid w:val="007C4FB1"/>
    <w:rsid w:val="007C4FB5"/>
    <w:rsid w:val="007C52B5"/>
    <w:rsid w:val="007C55F3"/>
    <w:rsid w:val="007C5EB0"/>
    <w:rsid w:val="007C5EE6"/>
    <w:rsid w:val="007C6086"/>
    <w:rsid w:val="007C6246"/>
    <w:rsid w:val="007C6963"/>
    <w:rsid w:val="007C6970"/>
    <w:rsid w:val="007C6B67"/>
    <w:rsid w:val="007C6F0C"/>
    <w:rsid w:val="007C79E2"/>
    <w:rsid w:val="007D049B"/>
    <w:rsid w:val="007D0613"/>
    <w:rsid w:val="007D07DE"/>
    <w:rsid w:val="007D0A91"/>
    <w:rsid w:val="007D1509"/>
    <w:rsid w:val="007D26E1"/>
    <w:rsid w:val="007D2DDB"/>
    <w:rsid w:val="007D2E30"/>
    <w:rsid w:val="007D3328"/>
    <w:rsid w:val="007D3AE9"/>
    <w:rsid w:val="007D3D54"/>
    <w:rsid w:val="007D56B1"/>
    <w:rsid w:val="007D5A52"/>
    <w:rsid w:val="007D5BA3"/>
    <w:rsid w:val="007D602D"/>
    <w:rsid w:val="007D652C"/>
    <w:rsid w:val="007D6D9B"/>
    <w:rsid w:val="007D7436"/>
    <w:rsid w:val="007D7B68"/>
    <w:rsid w:val="007D7CD7"/>
    <w:rsid w:val="007E0120"/>
    <w:rsid w:val="007E03D1"/>
    <w:rsid w:val="007E0A4A"/>
    <w:rsid w:val="007E0BCF"/>
    <w:rsid w:val="007E0C49"/>
    <w:rsid w:val="007E0E20"/>
    <w:rsid w:val="007E1033"/>
    <w:rsid w:val="007E1442"/>
    <w:rsid w:val="007E162A"/>
    <w:rsid w:val="007E1C93"/>
    <w:rsid w:val="007E20FE"/>
    <w:rsid w:val="007E230C"/>
    <w:rsid w:val="007E295D"/>
    <w:rsid w:val="007E2B69"/>
    <w:rsid w:val="007E2D7E"/>
    <w:rsid w:val="007E308A"/>
    <w:rsid w:val="007E3218"/>
    <w:rsid w:val="007E3937"/>
    <w:rsid w:val="007E4A57"/>
    <w:rsid w:val="007E4AC3"/>
    <w:rsid w:val="007E4C5F"/>
    <w:rsid w:val="007E53DD"/>
    <w:rsid w:val="007E64CA"/>
    <w:rsid w:val="007E660C"/>
    <w:rsid w:val="007E67A2"/>
    <w:rsid w:val="007E6A92"/>
    <w:rsid w:val="007E6E28"/>
    <w:rsid w:val="007E713F"/>
    <w:rsid w:val="007E7757"/>
    <w:rsid w:val="007E7AFA"/>
    <w:rsid w:val="007E7B45"/>
    <w:rsid w:val="007E7CC0"/>
    <w:rsid w:val="007E7CEC"/>
    <w:rsid w:val="007F046F"/>
    <w:rsid w:val="007F07A9"/>
    <w:rsid w:val="007F0E25"/>
    <w:rsid w:val="007F1620"/>
    <w:rsid w:val="007F1D8F"/>
    <w:rsid w:val="007F1DB2"/>
    <w:rsid w:val="007F281D"/>
    <w:rsid w:val="007F2F4B"/>
    <w:rsid w:val="007F3343"/>
    <w:rsid w:val="007F34AE"/>
    <w:rsid w:val="007F37AC"/>
    <w:rsid w:val="007F387C"/>
    <w:rsid w:val="007F3E62"/>
    <w:rsid w:val="007F40A7"/>
    <w:rsid w:val="007F52D0"/>
    <w:rsid w:val="007F55C7"/>
    <w:rsid w:val="007F569A"/>
    <w:rsid w:val="007F56A6"/>
    <w:rsid w:val="007F6188"/>
    <w:rsid w:val="007F67C9"/>
    <w:rsid w:val="007F6DF9"/>
    <w:rsid w:val="007F6F64"/>
    <w:rsid w:val="007F753E"/>
    <w:rsid w:val="007F7B15"/>
    <w:rsid w:val="007F7C11"/>
    <w:rsid w:val="0080053E"/>
    <w:rsid w:val="008005DE"/>
    <w:rsid w:val="00800A4B"/>
    <w:rsid w:val="00800BB1"/>
    <w:rsid w:val="00801914"/>
    <w:rsid w:val="00801C59"/>
    <w:rsid w:val="00801FDC"/>
    <w:rsid w:val="00802D43"/>
    <w:rsid w:val="00802DE7"/>
    <w:rsid w:val="00802ED7"/>
    <w:rsid w:val="00803D58"/>
    <w:rsid w:val="00804293"/>
    <w:rsid w:val="00804802"/>
    <w:rsid w:val="00804C31"/>
    <w:rsid w:val="00805AA1"/>
    <w:rsid w:val="00805E33"/>
    <w:rsid w:val="008061FA"/>
    <w:rsid w:val="008062F0"/>
    <w:rsid w:val="00806748"/>
    <w:rsid w:val="00806991"/>
    <w:rsid w:val="00806DFE"/>
    <w:rsid w:val="00807676"/>
    <w:rsid w:val="008077FB"/>
    <w:rsid w:val="00807848"/>
    <w:rsid w:val="00810365"/>
    <w:rsid w:val="008103A0"/>
    <w:rsid w:val="00810780"/>
    <w:rsid w:val="00811E44"/>
    <w:rsid w:val="0081250F"/>
    <w:rsid w:val="00812576"/>
    <w:rsid w:val="0081267B"/>
    <w:rsid w:val="008128A4"/>
    <w:rsid w:val="00812934"/>
    <w:rsid w:val="0081293F"/>
    <w:rsid w:val="00812C1D"/>
    <w:rsid w:val="008130D3"/>
    <w:rsid w:val="008138F9"/>
    <w:rsid w:val="00813949"/>
    <w:rsid w:val="00813F54"/>
    <w:rsid w:val="00814467"/>
    <w:rsid w:val="00814550"/>
    <w:rsid w:val="00814916"/>
    <w:rsid w:val="00814BAE"/>
    <w:rsid w:val="00815063"/>
    <w:rsid w:val="008159F5"/>
    <w:rsid w:val="00815B1E"/>
    <w:rsid w:val="0081615F"/>
    <w:rsid w:val="00816F29"/>
    <w:rsid w:val="00817553"/>
    <w:rsid w:val="00817E87"/>
    <w:rsid w:val="00820564"/>
    <w:rsid w:val="00820BC8"/>
    <w:rsid w:val="00820C0B"/>
    <w:rsid w:val="00821462"/>
    <w:rsid w:val="008215A2"/>
    <w:rsid w:val="00821F40"/>
    <w:rsid w:val="00822176"/>
    <w:rsid w:val="008223D6"/>
    <w:rsid w:val="00822483"/>
    <w:rsid w:val="00822777"/>
    <w:rsid w:val="00822B89"/>
    <w:rsid w:val="00822CF1"/>
    <w:rsid w:val="00822E5B"/>
    <w:rsid w:val="00823080"/>
    <w:rsid w:val="0082335F"/>
    <w:rsid w:val="00823D95"/>
    <w:rsid w:val="008243E7"/>
    <w:rsid w:val="00824417"/>
    <w:rsid w:val="00824C50"/>
    <w:rsid w:val="00825375"/>
    <w:rsid w:val="00825738"/>
    <w:rsid w:val="0082605F"/>
    <w:rsid w:val="0082611B"/>
    <w:rsid w:val="00826145"/>
    <w:rsid w:val="008268A7"/>
    <w:rsid w:val="00826C28"/>
    <w:rsid w:val="00826D82"/>
    <w:rsid w:val="008273A8"/>
    <w:rsid w:val="00827924"/>
    <w:rsid w:val="00827B56"/>
    <w:rsid w:val="00827FA6"/>
    <w:rsid w:val="00830053"/>
    <w:rsid w:val="00830302"/>
    <w:rsid w:val="00830827"/>
    <w:rsid w:val="00830F7A"/>
    <w:rsid w:val="00830FFA"/>
    <w:rsid w:val="008312E8"/>
    <w:rsid w:val="0083182E"/>
    <w:rsid w:val="00831DDB"/>
    <w:rsid w:val="00831E8F"/>
    <w:rsid w:val="00831F9F"/>
    <w:rsid w:val="0083287A"/>
    <w:rsid w:val="00832CCB"/>
    <w:rsid w:val="00833191"/>
    <w:rsid w:val="008347C8"/>
    <w:rsid w:val="00834EB1"/>
    <w:rsid w:val="008350ED"/>
    <w:rsid w:val="008354B8"/>
    <w:rsid w:val="008354B9"/>
    <w:rsid w:val="00835C99"/>
    <w:rsid w:val="0083660C"/>
    <w:rsid w:val="00837233"/>
    <w:rsid w:val="0084001F"/>
    <w:rsid w:val="008400C3"/>
    <w:rsid w:val="008405AE"/>
    <w:rsid w:val="00841A63"/>
    <w:rsid w:val="00841C4A"/>
    <w:rsid w:val="00842041"/>
    <w:rsid w:val="008428E5"/>
    <w:rsid w:val="00842BF5"/>
    <w:rsid w:val="00842DDE"/>
    <w:rsid w:val="008440EF"/>
    <w:rsid w:val="00845220"/>
    <w:rsid w:val="008461CD"/>
    <w:rsid w:val="00846BD1"/>
    <w:rsid w:val="0084734F"/>
    <w:rsid w:val="00847C8D"/>
    <w:rsid w:val="0085003E"/>
    <w:rsid w:val="0085024B"/>
    <w:rsid w:val="00850374"/>
    <w:rsid w:val="008505DC"/>
    <w:rsid w:val="00850E71"/>
    <w:rsid w:val="0085141B"/>
    <w:rsid w:val="0085169D"/>
    <w:rsid w:val="00851AAD"/>
    <w:rsid w:val="00851E3D"/>
    <w:rsid w:val="00852231"/>
    <w:rsid w:val="008528CD"/>
    <w:rsid w:val="00852E72"/>
    <w:rsid w:val="008532BE"/>
    <w:rsid w:val="0085394B"/>
    <w:rsid w:val="008539C5"/>
    <w:rsid w:val="00853D7A"/>
    <w:rsid w:val="0085489D"/>
    <w:rsid w:val="0085509F"/>
    <w:rsid w:val="008553BB"/>
    <w:rsid w:val="00855CD9"/>
    <w:rsid w:val="00855FEB"/>
    <w:rsid w:val="0085637F"/>
    <w:rsid w:val="00856924"/>
    <w:rsid w:val="00856C6E"/>
    <w:rsid w:val="0085765E"/>
    <w:rsid w:val="008576E7"/>
    <w:rsid w:val="008576F3"/>
    <w:rsid w:val="00857A4B"/>
    <w:rsid w:val="00857B64"/>
    <w:rsid w:val="00857B65"/>
    <w:rsid w:val="00857C0F"/>
    <w:rsid w:val="008604B4"/>
    <w:rsid w:val="008605E2"/>
    <w:rsid w:val="00860FDC"/>
    <w:rsid w:val="00861DE6"/>
    <w:rsid w:val="00862647"/>
    <w:rsid w:val="0086340F"/>
    <w:rsid w:val="00863825"/>
    <w:rsid w:val="00865348"/>
    <w:rsid w:val="008655F7"/>
    <w:rsid w:val="00865FDD"/>
    <w:rsid w:val="008665D5"/>
    <w:rsid w:val="0086752D"/>
    <w:rsid w:val="008676A7"/>
    <w:rsid w:val="008679B5"/>
    <w:rsid w:val="00867D0A"/>
    <w:rsid w:val="00870113"/>
    <w:rsid w:val="0087021E"/>
    <w:rsid w:val="00870439"/>
    <w:rsid w:val="008706B7"/>
    <w:rsid w:val="0087074E"/>
    <w:rsid w:val="00870FF2"/>
    <w:rsid w:val="00871149"/>
    <w:rsid w:val="00871B99"/>
    <w:rsid w:val="00871BDE"/>
    <w:rsid w:val="0087208E"/>
    <w:rsid w:val="00872854"/>
    <w:rsid w:val="00872993"/>
    <w:rsid w:val="00872B65"/>
    <w:rsid w:val="00872FDB"/>
    <w:rsid w:val="00873865"/>
    <w:rsid w:val="008743D0"/>
    <w:rsid w:val="00874429"/>
    <w:rsid w:val="00874724"/>
    <w:rsid w:val="008752E4"/>
    <w:rsid w:val="008754C5"/>
    <w:rsid w:val="0087579A"/>
    <w:rsid w:val="00876221"/>
    <w:rsid w:val="00876573"/>
    <w:rsid w:val="00876B74"/>
    <w:rsid w:val="00876BDF"/>
    <w:rsid w:val="00876BF3"/>
    <w:rsid w:val="00877240"/>
    <w:rsid w:val="0087739F"/>
    <w:rsid w:val="00877E53"/>
    <w:rsid w:val="00877F72"/>
    <w:rsid w:val="00880777"/>
    <w:rsid w:val="0088093C"/>
    <w:rsid w:val="00880A17"/>
    <w:rsid w:val="00880C6B"/>
    <w:rsid w:val="008815FE"/>
    <w:rsid w:val="00881C3F"/>
    <w:rsid w:val="00881E03"/>
    <w:rsid w:val="00881F34"/>
    <w:rsid w:val="008826F1"/>
    <w:rsid w:val="008827AC"/>
    <w:rsid w:val="00882FD1"/>
    <w:rsid w:val="00883902"/>
    <w:rsid w:val="00884E73"/>
    <w:rsid w:val="00885752"/>
    <w:rsid w:val="00885A85"/>
    <w:rsid w:val="00885D81"/>
    <w:rsid w:val="00885F5F"/>
    <w:rsid w:val="008866B7"/>
    <w:rsid w:val="0088678A"/>
    <w:rsid w:val="00886A53"/>
    <w:rsid w:val="00887483"/>
    <w:rsid w:val="008874A2"/>
    <w:rsid w:val="008878B2"/>
    <w:rsid w:val="00887E74"/>
    <w:rsid w:val="008904FC"/>
    <w:rsid w:val="00890A4E"/>
    <w:rsid w:val="00890B55"/>
    <w:rsid w:val="008910E7"/>
    <w:rsid w:val="0089167F"/>
    <w:rsid w:val="00891A92"/>
    <w:rsid w:val="00891E98"/>
    <w:rsid w:val="00891FD2"/>
    <w:rsid w:val="008928FD"/>
    <w:rsid w:val="008934C7"/>
    <w:rsid w:val="00893C54"/>
    <w:rsid w:val="00894279"/>
    <w:rsid w:val="00894B9D"/>
    <w:rsid w:val="00894BA4"/>
    <w:rsid w:val="008950B7"/>
    <w:rsid w:val="0089543F"/>
    <w:rsid w:val="0089593A"/>
    <w:rsid w:val="00895D1A"/>
    <w:rsid w:val="00895F93"/>
    <w:rsid w:val="008960DB"/>
    <w:rsid w:val="0089701A"/>
    <w:rsid w:val="00897452"/>
    <w:rsid w:val="00897777"/>
    <w:rsid w:val="00897778"/>
    <w:rsid w:val="008A0051"/>
    <w:rsid w:val="008A0759"/>
    <w:rsid w:val="008A1475"/>
    <w:rsid w:val="008A14A1"/>
    <w:rsid w:val="008A153C"/>
    <w:rsid w:val="008A199E"/>
    <w:rsid w:val="008A1D44"/>
    <w:rsid w:val="008A2128"/>
    <w:rsid w:val="008A21C2"/>
    <w:rsid w:val="008A31D4"/>
    <w:rsid w:val="008A3309"/>
    <w:rsid w:val="008A477D"/>
    <w:rsid w:val="008A4E61"/>
    <w:rsid w:val="008A57C0"/>
    <w:rsid w:val="008A5FD1"/>
    <w:rsid w:val="008A696A"/>
    <w:rsid w:val="008A6BA7"/>
    <w:rsid w:val="008A7200"/>
    <w:rsid w:val="008A756E"/>
    <w:rsid w:val="008A7B7C"/>
    <w:rsid w:val="008B0A0B"/>
    <w:rsid w:val="008B0CE2"/>
    <w:rsid w:val="008B0DA6"/>
    <w:rsid w:val="008B0DF0"/>
    <w:rsid w:val="008B138F"/>
    <w:rsid w:val="008B1FE5"/>
    <w:rsid w:val="008B2939"/>
    <w:rsid w:val="008B2F97"/>
    <w:rsid w:val="008B2F99"/>
    <w:rsid w:val="008B2FE0"/>
    <w:rsid w:val="008B3E88"/>
    <w:rsid w:val="008B3ED3"/>
    <w:rsid w:val="008B4380"/>
    <w:rsid w:val="008B454D"/>
    <w:rsid w:val="008B45A7"/>
    <w:rsid w:val="008B477B"/>
    <w:rsid w:val="008B4BA5"/>
    <w:rsid w:val="008B4F13"/>
    <w:rsid w:val="008B569D"/>
    <w:rsid w:val="008B580A"/>
    <w:rsid w:val="008B63A1"/>
    <w:rsid w:val="008B648D"/>
    <w:rsid w:val="008B6811"/>
    <w:rsid w:val="008B7232"/>
    <w:rsid w:val="008B7538"/>
    <w:rsid w:val="008B7603"/>
    <w:rsid w:val="008B7E05"/>
    <w:rsid w:val="008B7F2C"/>
    <w:rsid w:val="008C080C"/>
    <w:rsid w:val="008C0827"/>
    <w:rsid w:val="008C09E8"/>
    <w:rsid w:val="008C0A71"/>
    <w:rsid w:val="008C0DAB"/>
    <w:rsid w:val="008C0F07"/>
    <w:rsid w:val="008C102E"/>
    <w:rsid w:val="008C2B7F"/>
    <w:rsid w:val="008C2CE0"/>
    <w:rsid w:val="008C3778"/>
    <w:rsid w:val="008C3804"/>
    <w:rsid w:val="008C3A98"/>
    <w:rsid w:val="008C3D73"/>
    <w:rsid w:val="008C4C06"/>
    <w:rsid w:val="008C4C50"/>
    <w:rsid w:val="008C5324"/>
    <w:rsid w:val="008C54C6"/>
    <w:rsid w:val="008C6006"/>
    <w:rsid w:val="008C6153"/>
    <w:rsid w:val="008C618C"/>
    <w:rsid w:val="008C625A"/>
    <w:rsid w:val="008C63B5"/>
    <w:rsid w:val="008C6ABD"/>
    <w:rsid w:val="008C7584"/>
    <w:rsid w:val="008C76D0"/>
    <w:rsid w:val="008C7D6A"/>
    <w:rsid w:val="008D03DE"/>
    <w:rsid w:val="008D0ABE"/>
    <w:rsid w:val="008D0B1E"/>
    <w:rsid w:val="008D1D35"/>
    <w:rsid w:val="008D225A"/>
    <w:rsid w:val="008D3550"/>
    <w:rsid w:val="008D374E"/>
    <w:rsid w:val="008D3DDF"/>
    <w:rsid w:val="008D3E05"/>
    <w:rsid w:val="008D4808"/>
    <w:rsid w:val="008D4BA6"/>
    <w:rsid w:val="008D4F63"/>
    <w:rsid w:val="008D5118"/>
    <w:rsid w:val="008D549E"/>
    <w:rsid w:val="008D5AB1"/>
    <w:rsid w:val="008D5D14"/>
    <w:rsid w:val="008D5F45"/>
    <w:rsid w:val="008D645F"/>
    <w:rsid w:val="008D6777"/>
    <w:rsid w:val="008D6DCA"/>
    <w:rsid w:val="008D6FF1"/>
    <w:rsid w:val="008D7B17"/>
    <w:rsid w:val="008E055D"/>
    <w:rsid w:val="008E0606"/>
    <w:rsid w:val="008E0B43"/>
    <w:rsid w:val="008E0FF9"/>
    <w:rsid w:val="008E14FE"/>
    <w:rsid w:val="008E1894"/>
    <w:rsid w:val="008E1F98"/>
    <w:rsid w:val="008E249F"/>
    <w:rsid w:val="008E24EB"/>
    <w:rsid w:val="008E2632"/>
    <w:rsid w:val="008E2836"/>
    <w:rsid w:val="008E2CD9"/>
    <w:rsid w:val="008E2ED0"/>
    <w:rsid w:val="008E34B4"/>
    <w:rsid w:val="008E34DA"/>
    <w:rsid w:val="008E380B"/>
    <w:rsid w:val="008E3A11"/>
    <w:rsid w:val="008E3BCB"/>
    <w:rsid w:val="008E40F4"/>
    <w:rsid w:val="008E49F3"/>
    <w:rsid w:val="008E4D0D"/>
    <w:rsid w:val="008E51D5"/>
    <w:rsid w:val="008E55CB"/>
    <w:rsid w:val="008E5B5E"/>
    <w:rsid w:val="008E6865"/>
    <w:rsid w:val="008E6924"/>
    <w:rsid w:val="008E6DD9"/>
    <w:rsid w:val="008E71DF"/>
    <w:rsid w:val="008E7458"/>
    <w:rsid w:val="008E779C"/>
    <w:rsid w:val="008E7A5D"/>
    <w:rsid w:val="008E7BBA"/>
    <w:rsid w:val="008E7BCA"/>
    <w:rsid w:val="008F00F2"/>
    <w:rsid w:val="008F0950"/>
    <w:rsid w:val="008F129B"/>
    <w:rsid w:val="008F1614"/>
    <w:rsid w:val="008F1E11"/>
    <w:rsid w:val="008F210B"/>
    <w:rsid w:val="008F2B20"/>
    <w:rsid w:val="008F2C9E"/>
    <w:rsid w:val="008F2FA7"/>
    <w:rsid w:val="008F308E"/>
    <w:rsid w:val="008F33BE"/>
    <w:rsid w:val="008F351D"/>
    <w:rsid w:val="008F3DC2"/>
    <w:rsid w:val="008F3E92"/>
    <w:rsid w:val="008F3FF9"/>
    <w:rsid w:val="008F4C4B"/>
    <w:rsid w:val="008F56A8"/>
    <w:rsid w:val="008F5993"/>
    <w:rsid w:val="008F5C0E"/>
    <w:rsid w:val="008F5F07"/>
    <w:rsid w:val="008F61FC"/>
    <w:rsid w:val="008F6249"/>
    <w:rsid w:val="008F6770"/>
    <w:rsid w:val="008F7142"/>
    <w:rsid w:val="0090047F"/>
    <w:rsid w:val="0090091A"/>
    <w:rsid w:val="009012CA"/>
    <w:rsid w:val="00901481"/>
    <w:rsid w:val="00902393"/>
    <w:rsid w:val="00902A05"/>
    <w:rsid w:val="00902BF8"/>
    <w:rsid w:val="00902C58"/>
    <w:rsid w:val="00903142"/>
    <w:rsid w:val="00903416"/>
    <w:rsid w:val="00904D0C"/>
    <w:rsid w:val="00904EEF"/>
    <w:rsid w:val="0090514E"/>
    <w:rsid w:val="009053D0"/>
    <w:rsid w:val="00905B8B"/>
    <w:rsid w:val="00905E61"/>
    <w:rsid w:val="009072F1"/>
    <w:rsid w:val="00907501"/>
    <w:rsid w:val="0090759F"/>
    <w:rsid w:val="00907861"/>
    <w:rsid w:val="00907A5A"/>
    <w:rsid w:val="00907DE0"/>
    <w:rsid w:val="009102BB"/>
    <w:rsid w:val="0091067A"/>
    <w:rsid w:val="00911774"/>
    <w:rsid w:val="0091198E"/>
    <w:rsid w:val="009125AE"/>
    <w:rsid w:val="00912633"/>
    <w:rsid w:val="009126AC"/>
    <w:rsid w:val="00912A22"/>
    <w:rsid w:val="00912EEF"/>
    <w:rsid w:val="00913485"/>
    <w:rsid w:val="0091350D"/>
    <w:rsid w:val="009135E0"/>
    <w:rsid w:val="00913703"/>
    <w:rsid w:val="00913EF9"/>
    <w:rsid w:val="00914CD7"/>
    <w:rsid w:val="0091508C"/>
    <w:rsid w:val="00915204"/>
    <w:rsid w:val="00915556"/>
    <w:rsid w:val="009155B2"/>
    <w:rsid w:val="009156F3"/>
    <w:rsid w:val="00915998"/>
    <w:rsid w:val="009163FE"/>
    <w:rsid w:val="00916601"/>
    <w:rsid w:val="00916639"/>
    <w:rsid w:val="00916AD0"/>
    <w:rsid w:val="00916DF2"/>
    <w:rsid w:val="00916FDE"/>
    <w:rsid w:val="009202E8"/>
    <w:rsid w:val="00920707"/>
    <w:rsid w:val="00920720"/>
    <w:rsid w:val="00920A2B"/>
    <w:rsid w:val="0092108E"/>
    <w:rsid w:val="009210A8"/>
    <w:rsid w:val="0092157F"/>
    <w:rsid w:val="00921739"/>
    <w:rsid w:val="0092173D"/>
    <w:rsid w:val="009219C4"/>
    <w:rsid w:val="009225A8"/>
    <w:rsid w:val="009228C4"/>
    <w:rsid w:val="00923006"/>
    <w:rsid w:val="00923058"/>
    <w:rsid w:val="00923070"/>
    <w:rsid w:val="009230E1"/>
    <w:rsid w:val="009231ED"/>
    <w:rsid w:val="00923E8E"/>
    <w:rsid w:val="009247D0"/>
    <w:rsid w:val="009254D3"/>
    <w:rsid w:val="00925674"/>
    <w:rsid w:val="00925E4A"/>
    <w:rsid w:val="0092642E"/>
    <w:rsid w:val="009266D2"/>
    <w:rsid w:val="0092670C"/>
    <w:rsid w:val="0092697E"/>
    <w:rsid w:val="00926E46"/>
    <w:rsid w:val="00927222"/>
    <w:rsid w:val="00927ABD"/>
    <w:rsid w:val="00927FF5"/>
    <w:rsid w:val="009300A2"/>
    <w:rsid w:val="0093053F"/>
    <w:rsid w:val="009312F7"/>
    <w:rsid w:val="009314B1"/>
    <w:rsid w:val="00931B9E"/>
    <w:rsid w:val="00931E6A"/>
    <w:rsid w:val="00932004"/>
    <w:rsid w:val="00932044"/>
    <w:rsid w:val="00932E8B"/>
    <w:rsid w:val="00933974"/>
    <w:rsid w:val="00933BC9"/>
    <w:rsid w:val="00933D82"/>
    <w:rsid w:val="00933FAE"/>
    <w:rsid w:val="00934291"/>
    <w:rsid w:val="00934310"/>
    <w:rsid w:val="0093435D"/>
    <w:rsid w:val="009349AB"/>
    <w:rsid w:val="00934D38"/>
    <w:rsid w:val="00935F6C"/>
    <w:rsid w:val="00936361"/>
    <w:rsid w:val="00936489"/>
    <w:rsid w:val="00936657"/>
    <w:rsid w:val="00936888"/>
    <w:rsid w:val="00936C13"/>
    <w:rsid w:val="00936C7B"/>
    <w:rsid w:val="00936E6C"/>
    <w:rsid w:val="00936E87"/>
    <w:rsid w:val="00937072"/>
    <w:rsid w:val="00937DB0"/>
    <w:rsid w:val="00937ED6"/>
    <w:rsid w:val="0094035D"/>
    <w:rsid w:val="0094078C"/>
    <w:rsid w:val="00940E6F"/>
    <w:rsid w:val="00940F75"/>
    <w:rsid w:val="0094135C"/>
    <w:rsid w:val="0094187E"/>
    <w:rsid w:val="009419D5"/>
    <w:rsid w:val="00941C73"/>
    <w:rsid w:val="00942763"/>
    <w:rsid w:val="00942BE8"/>
    <w:rsid w:val="009430D1"/>
    <w:rsid w:val="0094350B"/>
    <w:rsid w:val="0094387D"/>
    <w:rsid w:val="00943BE7"/>
    <w:rsid w:val="00943CCE"/>
    <w:rsid w:val="00944237"/>
    <w:rsid w:val="009442C5"/>
    <w:rsid w:val="00944C92"/>
    <w:rsid w:val="00944E09"/>
    <w:rsid w:val="00945071"/>
    <w:rsid w:val="0094570D"/>
    <w:rsid w:val="00945996"/>
    <w:rsid w:val="00945B05"/>
    <w:rsid w:val="00945DF0"/>
    <w:rsid w:val="00945FAC"/>
    <w:rsid w:val="009468B5"/>
    <w:rsid w:val="00946A32"/>
    <w:rsid w:val="009471A7"/>
    <w:rsid w:val="00950038"/>
    <w:rsid w:val="009505E6"/>
    <w:rsid w:val="00950830"/>
    <w:rsid w:val="0095089C"/>
    <w:rsid w:val="00950DFC"/>
    <w:rsid w:val="0095238D"/>
    <w:rsid w:val="00952758"/>
    <w:rsid w:val="00952898"/>
    <w:rsid w:val="00952C5F"/>
    <w:rsid w:val="00952F85"/>
    <w:rsid w:val="00953121"/>
    <w:rsid w:val="009539FD"/>
    <w:rsid w:val="00953D2E"/>
    <w:rsid w:val="009541A2"/>
    <w:rsid w:val="00954A83"/>
    <w:rsid w:val="00954CFE"/>
    <w:rsid w:val="00955428"/>
    <w:rsid w:val="009554CE"/>
    <w:rsid w:val="0095569D"/>
    <w:rsid w:val="00955BBE"/>
    <w:rsid w:val="00956474"/>
    <w:rsid w:val="009571BB"/>
    <w:rsid w:val="009573D2"/>
    <w:rsid w:val="00957622"/>
    <w:rsid w:val="00957A88"/>
    <w:rsid w:val="00957A91"/>
    <w:rsid w:val="00957AC4"/>
    <w:rsid w:val="0096095C"/>
    <w:rsid w:val="00960C0C"/>
    <w:rsid w:val="00960C69"/>
    <w:rsid w:val="0096130F"/>
    <w:rsid w:val="0096171B"/>
    <w:rsid w:val="009617BF"/>
    <w:rsid w:val="00961C60"/>
    <w:rsid w:val="00961DB7"/>
    <w:rsid w:val="00962D4C"/>
    <w:rsid w:val="00962F67"/>
    <w:rsid w:val="00962F6B"/>
    <w:rsid w:val="009630AF"/>
    <w:rsid w:val="009630E0"/>
    <w:rsid w:val="009639A5"/>
    <w:rsid w:val="00964C19"/>
    <w:rsid w:val="0096590A"/>
    <w:rsid w:val="0096646A"/>
    <w:rsid w:val="009673B5"/>
    <w:rsid w:val="0096794F"/>
    <w:rsid w:val="00970065"/>
    <w:rsid w:val="00970321"/>
    <w:rsid w:val="009703F2"/>
    <w:rsid w:val="00970AEA"/>
    <w:rsid w:val="009710D2"/>
    <w:rsid w:val="009710F7"/>
    <w:rsid w:val="00971238"/>
    <w:rsid w:val="00971E3B"/>
    <w:rsid w:val="00972172"/>
    <w:rsid w:val="009724C5"/>
    <w:rsid w:val="009724CA"/>
    <w:rsid w:val="00972593"/>
    <w:rsid w:val="009729DF"/>
    <w:rsid w:val="00972AAD"/>
    <w:rsid w:val="00972C02"/>
    <w:rsid w:val="00972C1E"/>
    <w:rsid w:val="00972CEB"/>
    <w:rsid w:val="00973512"/>
    <w:rsid w:val="00974D14"/>
    <w:rsid w:val="00975632"/>
    <w:rsid w:val="009760D4"/>
    <w:rsid w:val="00976302"/>
    <w:rsid w:val="009764BA"/>
    <w:rsid w:val="009775E7"/>
    <w:rsid w:val="009776C0"/>
    <w:rsid w:val="009779FE"/>
    <w:rsid w:val="00977D67"/>
    <w:rsid w:val="009818E1"/>
    <w:rsid w:val="00981B56"/>
    <w:rsid w:val="00982199"/>
    <w:rsid w:val="00982A9E"/>
    <w:rsid w:val="00982B8A"/>
    <w:rsid w:val="00983261"/>
    <w:rsid w:val="009838DB"/>
    <w:rsid w:val="00983D6A"/>
    <w:rsid w:val="00984354"/>
    <w:rsid w:val="009843A5"/>
    <w:rsid w:val="00984438"/>
    <w:rsid w:val="00984859"/>
    <w:rsid w:val="00984DB4"/>
    <w:rsid w:val="00984EE7"/>
    <w:rsid w:val="00985322"/>
    <w:rsid w:val="00985C27"/>
    <w:rsid w:val="00986695"/>
    <w:rsid w:val="009872F2"/>
    <w:rsid w:val="00987C7D"/>
    <w:rsid w:val="00990780"/>
    <w:rsid w:val="009907E3"/>
    <w:rsid w:val="00991169"/>
    <w:rsid w:val="009916AE"/>
    <w:rsid w:val="009917C2"/>
    <w:rsid w:val="00991CCF"/>
    <w:rsid w:val="009922CC"/>
    <w:rsid w:val="009924C0"/>
    <w:rsid w:val="009932CA"/>
    <w:rsid w:val="0099360B"/>
    <w:rsid w:val="009939C3"/>
    <w:rsid w:val="009939D9"/>
    <w:rsid w:val="009942FD"/>
    <w:rsid w:val="00994585"/>
    <w:rsid w:val="00994B1C"/>
    <w:rsid w:val="00995186"/>
    <w:rsid w:val="009953D8"/>
    <w:rsid w:val="0099553A"/>
    <w:rsid w:val="009956F2"/>
    <w:rsid w:val="009957B5"/>
    <w:rsid w:val="00995B53"/>
    <w:rsid w:val="0099644B"/>
    <w:rsid w:val="009966B2"/>
    <w:rsid w:val="009970F6"/>
    <w:rsid w:val="00997143"/>
    <w:rsid w:val="00997598"/>
    <w:rsid w:val="00997B43"/>
    <w:rsid w:val="009A0471"/>
    <w:rsid w:val="009A0485"/>
    <w:rsid w:val="009A0C1C"/>
    <w:rsid w:val="009A0D36"/>
    <w:rsid w:val="009A0F59"/>
    <w:rsid w:val="009A15B2"/>
    <w:rsid w:val="009A1B11"/>
    <w:rsid w:val="009A3836"/>
    <w:rsid w:val="009A3D91"/>
    <w:rsid w:val="009A456F"/>
    <w:rsid w:val="009A4D0E"/>
    <w:rsid w:val="009A51D3"/>
    <w:rsid w:val="009A562C"/>
    <w:rsid w:val="009A56F3"/>
    <w:rsid w:val="009A5E56"/>
    <w:rsid w:val="009A61CD"/>
    <w:rsid w:val="009A66F7"/>
    <w:rsid w:val="009A706A"/>
    <w:rsid w:val="009A70E6"/>
    <w:rsid w:val="009A7DDD"/>
    <w:rsid w:val="009B0A49"/>
    <w:rsid w:val="009B0D6B"/>
    <w:rsid w:val="009B1650"/>
    <w:rsid w:val="009B179A"/>
    <w:rsid w:val="009B1DB6"/>
    <w:rsid w:val="009B206E"/>
    <w:rsid w:val="009B23A9"/>
    <w:rsid w:val="009B24E9"/>
    <w:rsid w:val="009B2671"/>
    <w:rsid w:val="009B284D"/>
    <w:rsid w:val="009B2D85"/>
    <w:rsid w:val="009B3539"/>
    <w:rsid w:val="009B3F07"/>
    <w:rsid w:val="009B4312"/>
    <w:rsid w:val="009B4793"/>
    <w:rsid w:val="009B47D9"/>
    <w:rsid w:val="009B4B60"/>
    <w:rsid w:val="009B511A"/>
    <w:rsid w:val="009B562C"/>
    <w:rsid w:val="009B57BE"/>
    <w:rsid w:val="009B5A93"/>
    <w:rsid w:val="009B6179"/>
    <w:rsid w:val="009B62F4"/>
    <w:rsid w:val="009B63EA"/>
    <w:rsid w:val="009B690B"/>
    <w:rsid w:val="009B706C"/>
    <w:rsid w:val="009B76F6"/>
    <w:rsid w:val="009B790C"/>
    <w:rsid w:val="009B7C99"/>
    <w:rsid w:val="009B7D2D"/>
    <w:rsid w:val="009B7EB3"/>
    <w:rsid w:val="009B7F3A"/>
    <w:rsid w:val="009C0160"/>
    <w:rsid w:val="009C0176"/>
    <w:rsid w:val="009C06D6"/>
    <w:rsid w:val="009C0A7B"/>
    <w:rsid w:val="009C0B90"/>
    <w:rsid w:val="009C1C5E"/>
    <w:rsid w:val="009C1EF3"/>
    <w:rsid w:val="009C2378"/>
    <w:rsid w:val="009C2AEA"/>
    <w:rsid w:val="009C31F4"/>
    <w:rsid w:val="009C3EEE"/>
    <w:rsid w:val="009C448B"/>
    <w:rsid w:val="009C4FDD"/>
    <w:rsid w:val="009C5062"/>
    <w:rsid w:val="009C5082"/>
    <w:rsid w:val="009C5187"/>
    <w:rsid w:val="009C59C0"/>
    <w:rsid w:val="009C59FF"/>
    <w:rsid w:val="009C5EEF"/>
    <w:rsid w:val="009C6680"/>
    <w:rsid w:val="009C71F2"/>
    <w:rsid w:val="009C7648"/>
    <w:rsid w:val="009C795F"/>
    <w:rsid w:val="009C7D8F"/>
    <w:rsid w:val="009D0169"/>
    <w:rsid w:val="009D02F8"/>
    <w:rsid w:val="009D06D3"/>
    <w:rsid w:val="009D097A"/>
    <w:rsid w:val="009D0B70"/>
    <w:rsid w:val="009D152C"/>
    <w:rsid w:val="009D1729"/>
    <w:rsid w:val="009D1A4D"/>
    <w:rsid w:val="009D1A75"/>
    <w:rsid w:val="009D2203"/>
    <w:rsid w:val="009D2554"/>
    <w:rsid w:val="009D2A0D"/>
    <w:rsid w:val="009D35DC"/>
    <w:rsid w:val="009D408E"/>
    <w:rsid w:val="009D4222"/>
    <w:rsid w:val="009D5B81"/>
    <w:rsid w:val="009D7240"/>
    <w:rsid w:val="009D7C73"/>
    <w:rsid w:val="009D7FB7"/>
    <w:rsid w:val="009E02A8"/>
    <w:rsid w:val="009E1533"/>
    <w:rsid w:val="009E2180"/>
    <w:rsid w:val="009E29BD"/>
    <w:rsid w:val="009E3D08"/>
    <w:rsid w:val="009E49F0"/>
    <w:rsid w:val="009E4E17"/>
    <w:rsid w:val="009E4F49"/>
    <w:rsid w:val="009E5262"/>
    <w:rsid w:val="009E540B"/>
    <w:rsid w:val="009E5754"/>
    <w:rsid w:val="009E6142"/>
    <w:rsid w:val="009E6413"/>
    <w:rsid w:val="009E6F01"/>
    <w:rsid w:val="009E7077"/>
    <w:rsid w:val="009E753F"/>
    <w:rsid w:val="009E7881"/>
    <w:rsid w:val="009E7DB8"/>
    <w:rsid w:val="009E7DFD"/>
    <w:rsid w:val="009F0613"/>
    <w:rsid w:val="009F063B"/>
    <w:rsid w:val="009F0F8F"/>
    <w:rsid w:val="009F23CF"/>
    <w:rsid w:val="009F247D"/>
    <w:rsid w:val="009F2C31"/>
    <w:rsid w:val="009F2E42"/>
    <w:rsid w:val="009F3ADE"/>
    <w:rsid w:val="009F3E31"/>
    <w:rsid w:val="009F3EB0"/>
    <w:rsid w:val="009F40FC"/>
    <w:rsid w:val="009F432C"/>
    <w:rsid w:val="009F44FA"/>
    <w:rsid w:val="009F4A90"/>
    <w:rsid w:val="009F4EED"/>
    <w:rsid w:val="009F6166"/>
    <w:rsid w:val="009F70CE"/>
    <w:rsid w:val="009F76EB"/>
    <w:rsid w:val="009F7BD3"/>
    <w:rsid w:val="009F7EFB"/>
    <w:rsid w:val="00A000E2"/>
    <w:rsid w:val="00A007CB"/>
    <w:rsid w:val="00A00A5D"/>
    <w:rsid w:val="00A018CB"/>
    <w:rsid w:val="00A01E7F"/>
    <w:rsid w:val="00A022AF"/>
    <w:rsid w:val="00A037F9"/>
    <w:rsid w:val="00A03CC1"/>
    <w:rsid w:val="00A03DAE"/>
    <w:rsid w:val="00A03E29"/>
    <w:rsid w:val="00A03E90"/>
    <w:rsid w:val="00A03EB2"/>
    <w:rsid w:val="00A0421C"/>
    <w:rsid w:val="00A0425A"/>
    <w:rsid w:val="00A05493"/>
    <w:rsid w:val="00A05DE3"/>
    <w:rsid w:val="00A06262"/>
    <w:rsid w:val="00A06427"/>
    <w:rsid w:val="00A0682B"/>
    <w:rsid w:val="00A06993"/>
    <w:rsid w:val="00A06E1B"/>
    <w:rsid w:val="00A06FA8"/>
    <w:rsid w:val="00A07D18"/>
    <w:rsid w:val="00A07DFA"/>
    <w:rsid w:val="00A11190"/>
    <w:rsid w:val="00A12589"/>
    <w:rsid w:val="00A12DAD"/>
    <w:rsid w:val="00A13313"/>
    <w:rsid w:val="00A13532"/>
    <w:rsid w:val="00A13946"/>
    <w:rsid w:val="00A13AC9"/>
    <w:rsid w:val="00A13D9D"/>
    <w:rsid w:val="00A13E3F"/>
    <w:rsid w:val="00A1434F"/>
    <w:rsid w:val="00A1446E"/>
    <w:rsid w:val="00A14819"/>
    <w:rsid w:val="00A14DB1"/>
    <w:rsid w:val="00A15C7C"/>
    <w:rsid w:val="00A15E2F"/>
    <w:rsid w:val="00A15F84"/>
    <w:rsid w:val="00A160F4"/>
    <w:rsid w:val="00A1628D"/>
    <w:rsid w:val="00A162B7"/>
    <w:rsid w:val="00A16462"/>
    <w:rsid w:val="00A16C4D"/>
    <w:rsid w:val="00A1702D"/>
    <w:rsid w:val="00A17152"/>
    <w:rsid w:val="00A174CB"/>
    <w:rsid w:val="00A17620"/>
    <w:rsid w:val="00A17E47"/>
    <w:rsid w:val="00A20534"/>
    <w:rsid w:val="00A20977"/>
    <w:rsid w:val="00A20CD0"/>
    <w:rsid w:val="00A20E68"/>
    <w:rsid w:val="00A227EE"/>
    <w:rsid w:val="00A228FC"/>
    <w:rsid w:val="00A22ED0"/>
    <w:rsid w:val="00A23105"/>
    <w:rsid w:val="00A23A20"/>
    <w:rsid w:val="00A24793"/>
    <w:rsid w:val="00A247DF"/>
    <w:rsid w:val="00A24BAD"/>
    <w:rsid w:val="00A257EE"/>
    <w:rsid w:val="00A25928"/>
    <w:rsid w:val="00A25AE0"/>
    <w:rsid w:val="00A26429"/>
    <w:rsid w:val="00A26672"/>
    <w:rsid w:val="00A27532"/>
    <w:rsid w:val="00A2768F"/>
    <w:rsid w:val="00A2790A"/>
    <w:rsid w:val="00A27986"/>
    <w:rsid w:val="00A27B2A"/>
    <w:rsid w:val="00A27BD1"/>
    <w:rsid w:val="00A27C05"/>
    <w:rsid w:val="00A27C2A"/>
    <w:rsid w:val="00A3034B"/>
    <w:rsid w:val="00A30695"/>
    <w:rsid w:val="00A30959"/>
    <w:rsid w:val="00A30EE2"/>
    <w:rsid w:val="00A31123"/>
    <w:rsid w:val="00A3138C"/>
    <w:rsid w:val="00A31EF6"/>
    <w:rsid w:val="00A3207E"/>
    <w:rsid w:val="00A32312"/>
    <w:rsid w:val="00A323D4"/>
    <w:rsid w:val="00A3257B"/>
    <w:rsid w:val="00A327EE"/>
    <w:rsid w:val="00A32EAF"/>
    <w:rsid w:val="00A331FA"/>
    <w:rsid w:val="00A33334"/>
    <w:rsid w:val="00A333FA"/>
    <w:rsid w:val="00A33A76"/>
    <w:rsid w:val="00A3434B"/>
    <w:rsid w:val="00A3451D"/>
    <w:rsid w:val="00A34923"/>
    <w:rsid w:val="00A34A38"/>
    <w:rsid w:val="00A34D09"/>
    <w:rsid w:val="00A3503F"/>
    <w:rsid w:val="00A3504B"/>
    <w:rsid w:val="00A35054"/>
    <w:rsid w:val="00A351FB"/>
    <w:rsid w:val="00A35A3D"/>
    <w:rsid w:val="00A3627D"/>
    <w:rsid w:val="00A36A86"/>
    <w:rsid w:val="00A36AF5"/>
    <w:rsid w:val="00A36B7B"/>
    <w:rsid w:val="00A37097"/>
    <w:rsid w:val="00A37743"/>
    <w:rsid w:val="00A3781D"/>
    <w:rsid w:val="00A3792C"/>
    <w:rsid w:val="00A37CCE"/>
    <w:rsid w:val="00A40299"/>
    <w:rsid w:val="00A403B8"/>
    <w:rsid w:val="00A403D8"/>
    <w:rsid w:val="00A40C69"/>
    <w:rsid w:val="00A40F64"/>
    <w:rsid w:val="00A416AC"/>
    <w:rsid w:val="00A42250"/>
    <w:rsid w:val="00A424DE"/>
    <w:rsid w:val="00A42888"/>
    <w:rsid w:val="00A43532"/>
    <w:rsid w:val="00A448AA"/>
    <w:rsid w:val="00A44C0C"/>
    <w:rsid w:val="00A4533B"/>
    <w:rsid w:val="00A45758"/>
    <w:rsid w:val="00A45A37"/>
    <w:rsid w:val="00A46277"/>
    <w:rsid w:val="00A46F03"/>
    <w:rsid w:val="00A46FA3"/>
    <w:rsid w:val="00A470A9"/>
    <w:rsid w:val="00A47172"/>
    <w:rsid w:val="00A47322"/>
    <w:rsid w:val="00A478C1"/>
    <w:rsid w:val="00A5037A"/>
    <w:rsid w:val="00A50733"/>
    <w:rsid w:val="00A512EC"/>
    <w:rsid w:val="00A514BD"/>
    <w:rsid w:val="00A514EB"/>
    <w:rsid w:val="00A5182E"/>
    <w:rsid w:val="00A51D39"/>
    <w:rsid w:val="00A521B9"/>
    <w:rsid w:val="00A52298"/>
    <w:rsid w:val="00A52407"/>
    <w:rsid w:val="00A533AE"/>
    <w:rsid w:val="00A53A41"/>
    <w:rsid w:val="00A54144"/>
    <w:rsid w:val="00A541AF"/>
    <w:rsid w:val="00A543DC"/>
    <w:rsid w:val="00A5468C"/>
    <w:rsid w:val="00A54769"/>
    <w:rsid w:val="00A54A48"/>
    <w:rsid w:val="00A54B74"/>
    <w:rsid w:val="00A55087"/>
    <w:rsid w:val="00A55997"/>
    <w:rsid w:val="00A55A12"/>
    <w:rsid w:val="00A55C3F"/>
    <w:rsid w:val="00A560CB"/>
    <w:rsid w:val="00A565AF"/>
    <w:rsid w:val="00A5669E"/>
    <w:rsid w:val="00A566F1"/>
    <w:rsid w:val="00A56C0D"/>
    <w:rsid w:val="00A56E59"/>
    <w:rsid w:val="00A5767F"/>
    <w:rsid w:val="00A57948"/>
    <w:rsid w:val="00A57E0A"/>
    <w:rsid w:val="00A57EFF"/>
    <w:rsid w:val="00A605CE"/>
    <w:rsid w:val="00A6068C"/>
    <w:rsid w:val="00A60B7F"/>
    <w:rsid w:val="00A60DA2"/>
    <w:rsid w:val="00A617C8"/>
    <w:rsid w:val="00A61D20"/>
    <w:rsid w:val="00A62113"/>
    <w:rsid w:val="00A62409"/>
    <w:rsid w:val="00A6285B"/>
    <w:rsid w:val="00A62C13"/>
    <w:rsid w:val="00A6365E"/>
    <w:rsid w:val="00A64059"/>
    <w:rsid w:val="00A641E3"/>
    <w:rsid w:val="00A645F4"/>
    <w:rsid w:val="00A6487B"/>
    <w:rsid w:val="00A65A67"/>
    <w:rsid w:val="00A66750"/>
    <w:rsid w:val="00A66C67"/>
    <w:rsid w:val="00A67364"/>
    <w:rsid w:val="00A67681"/>
    <w:rsid w:val="00A677BF"/>
    <w:rsid w:val="00A67DE7"/>
    <w:rsid w:val="00A7016C"/>
    <w:rsid w:val="00A7046B"/>
    <w:rsid w:val="00A70975"/>
    <w:rsid w:val="00A70A3F"/>
    <w:rsid w:val="00A7147D"/>
    <w:rsid w:val="00A71DD8"/>
    <w:rsid w:val="00A71E6D"/>
    <w:rsid w:val="00A71F4F"/>
    <w:rsid w:val="00A7212D"/>
    <w:rsid w:val="00A721A4"/>
    <w:rsid w:val="00A726D5"/>
    <w:rsid w:val="00A72A57"/>
    <w:rsid w:val="00A72B65"/>
    <w:rsid w:val="00A72F2D"/>
    <w:rsid w:val="00A72F41"/>
    <w:rsid w:val="00A732B1"/>
    <w:rsid w:val="00A736E3"/>
    <w:rsid w:val="00A7395B"/>
    <w:rsid w:val="00A739F0"/>
    <w:rsid w:val="00A73E31"/>
    <w:rsid w:val="00A7450B"/>
    <w:rsid w:val="00A746A1"/>
    <w:rsid w:val="00A74782"/>
    <w:rsid w:val="00A74EE8"/>
    <w:rsid w:val="00A75309"/>
    <w:rsid w:val="00A7570B"/>
    <w:rsid w:val="00A758EA"/>
    <w:rsid w:val="00A75BEB"/>
    <w:rsid w:val="00A7658F"/>
    <w:rsid w:val="00A76C03"/>
    <w:rsid w:val="00A76E33"/>
    <w:rsid w:val="00A773BB"/>
    <w:rsid w:val="00A7747C"/>
    <w:rsid w:val="00A80989"/>
    <w:rsid w:val="00A80B73"/>
    <w:rsid w:val="00A80C95"/>
    <w:rsid w:val="00A810FE"/>
    <w:rsid w:val="00A81274"/>
    <w:rsid w:val="00A812CC"/>
    <w:rsid w:val="00A81A85"/>
    <w:rsid w:val="00A81D4B"/>
    <w:rsid w:val="00A823CB"/>
    <w:rsid w:val="00A8297F"/>
    <w:rsid w:val="00A8313F"/>
    <w:rsid w:val="00A83482"/>
    <w:rsid w:val="00A84130"/>
    <w:rsid w:val="00A8473E"/>
    <w:rsid w:val="00A84AD9"/>
    <w:rsid w:val="00A84AF6"/>
    <w:rsid w:val="00A84B3A"/>
    <w:rsid w:val="00A84B42"/>
    <w:rsid w:val="00A859A9"/>
    <w:rsid w:val="00A85C18"/>
    <w:rsid w:val="00A85E19"/>
    <w:rsid w:val="00A862DA"/>
    <w:rsid w:val="00A863DD"/>
    <w:rsid w:val="00A86F3B"/>
    <w:rsid w:val="00A86FD1"/>
    <w:rsid w:val="00A87081"/>
    <w:rsid w:val="00A8743A"/>
    <w:rsid w:val="00A87809"/>
    <w:rsid w:val="00A900BE"/>
    <w:rsid w:val="00A90C40"/>
    <w:rsid w:val="00A91434"/>
    <w:rsid w:val="00A91A14"/>
    <w:rsid w:val="00A91C03"/>
    <w:rsid w:val="00A91FA7"/>
    <w:rsid w:val="00A927A3"/>
    <w:rsid w:val="00A927AA"/>
    <w:rsid w:val="00A9389C"/>
    <w:rsid w:val="00A938AC"/>
    <w:rsid w:val="00A93BDA"/>
    <w:rsid w:val="00A93D24"/>
    <w:rsid w:val="00A9441D"/>
    <w:rsid w:val="00A9448E"/>
    <w:rsid w:val="00A9472E"/>
    <w:rsid w:val="00A953F5"/>
    <w:rsid w:val="00A956BA"/>
    <w:rsid w:val="00A95A86"/>
    <w:rsid w:val="00A95A99"/>
    <w:rsid w:val="00A95C22"/>
    <w:rsid w:val="00A96598"/>
    <w:rsid w:val="00A97177"/>
    <w:rsid w:val="00A97F9B"/>
    <w:rsid w:val="00AA0CD7"/>
    <w:rsid w:val="00AA1A20"/>
    <w:rsid w:val="00AA1BB4"/>
    <w:rsid w:val="00AA1E2E"/>
    <w:rsid w:val="00AA2744"/>
    <w:rsid w:val="00AA2A36"/>
    <w:rsid w:val="00AA333D"/>
    <w:rsid w:val="00AA3572"/>
    <w:rsid w:val="00AA3BC9"/>
    <w:rsid w:val="00AA3BD9"/>
    <w:rsid w:val="00AA3CCB"/>
    <w:rsid w:val="00AA3F3E"/>
    <w:rsid w:val="00AA3F5C"/>
    <w:rsid w:val="00AA4700"/>
    <w:rsid w:val="00AA4806"/>
    <w:rsid w:val="00AA4FED"/>
    <w:rsid w:val="00AA5012"/>
    <w:rsid w:val="00AA54FA"/>
    <w:rsid w:val="00AA5BC9"/>
    <w:rsid w:val="00AA62D2"/>
    <w:rsid w:val="00AA652D"/>
    <w:rsid w:val="00AA6B7A"/>
    <w:rsid w:val="00AA6FDC"/>
    <w:rsid w:val="00AA703D"/>
    <w:rsid w:val="00AA7BD5"/>
    <w:rsid w:val="00AB0B1C"/>
    <w:rsid w:val="00AB0C8E"/>
    <w:rsid w:val="00AB0F51"/>
    <w:rsid w:val="00AB10D5"/>
    <w:rsid w:val="00AB1153"/>
    <w:rsid w:val="00AB2228"/>
    <w:rsid w:val="00AB2354"/>
    <w:rsid w:val="00AB2404"/>
    <w:rsid w:val="00AB2510"/>
    <w:rsid w:val="00AB47BB"/>
    <w:rsid w:val="00AB502B"/>
    <w:rsid w:val="00AB52C9"/>
    <w:rsid w:val="00AB565A"/>
    <w:rsid w:val="00AB616B"/>
    <w:rsid w:val="00AB6195"/>
    <w:rsid w:val="00AB6198"/>
    <w:rsid w:val="00AB6663"/>
    <w:rsid w:val="00AB6947"/>
    <w:rsid w:val="00AB6B4C"/>
    <w:rsid w:val="00AB6FDE"/>
    <w:rsid w:val="00AC046B"/>
    <w:rsid w:val="00AC0577"/>
    <w:rsid w:val="00AC0597"/>
    <w:rsid w:val="00AC1084"/>
    <w:rsid w:val="00AC2972"/>
    <w:rsid w:val="00AC2AA2"/>
    <w:rsid w:val="00AC2ACF"/>
    <w:rsid w:val="00AC2CD5"/>
    <w:rsid w:val="00AC35BF"/>
    <w:rsid w:val="00AC3C6D"/>
    <w:rsid w:val="00AC43FF"/>
    <w:rsid w:val="00AC45C3"/>
    <w:rsid w:val="00AC4AA7"/>
    <w:rsid w:val="00AC4AF5"/>
    <w:rsid w:val="00AC5B88"/>
    <w:rsid w:val="00AC5BB1"/>
    <w:rsid w:val="00AC5F07"/>
    <w:rsid w:val="00AC6F21"/>
    <w:rsid w:val="00AC7738"/>
    <w:rsid w:val="00AD0C71"/>
    <w:rsid w:val="00AD0D9B"/>
    <w:rsid w:val="00AD16D1"/>
    <w:rsid w:val="00AD1BD1"/>
    <w:rsid w:val="00AD1C81"/>
    <w:rsid w:val="00AD1DC8"/>
    <w:rsid w:val="00AD1EC6"/>
    <w:rsid w:val="00AD22B3"/>
    <w:rsid w:val="00AD248C"/>
    <w:rsid w:val="00AD2A87"/>
    <w:rsid w:val="00AD2B9F"/>
    <w:rsid w:val="00AD2F72"/>
    <w:rsid w:val="00AD3367"/>
    <w:rsid w:val="00AD3620"/>
    <w:rsid w:val="00AD3D9E"/>
    <w:rsid w:val="00AD3E46"/>
    <w:rsid w:val="00AD41FF"/>
    <w:rsid w:val="00AD4263"/>
    <w:rsid w:val="00AD4336"/>
    <w:rsid w:val="00AD4543"/>
    <w:rsid w:val="00AD4582"/>
    <w:rsid w:val="00AD4812"/>
    <w:rsid w:val="00AD4A1D"/>
    <w:rsid w:val="00AD4C35"/>
    <w:rsid w:val="00AD500F"/>
    <w:rsid w:val="00AD5074"/>
    <w:rsid w:val="00AD5616"/>
    <w:rsid w:val="00AD56D3"/>
    <w:rsid w:val="00AD57E2"/>
    <w:rsid w:val="00AD5BAF"/>
    <w:rsid w:val="00AD5C0C"/>
    <w:rsid w:val="00AD6535"/>
    <w:rsid w:val="00AD6581"/>
    <w:rsid w:val="00AD6658"/>
    <w:rsid w:val="00AD6699"/>
    <w:rsid w:val="00AD716A"/>
    <w:rsid w:val="00AD71CC"/>
    <w:rsid w:val="00AD7498"/>
    <w:rsid w:val="00AD7A00"/>
    <w:rsid w:val="00AE044D"/>
    <w:rsid w:val="00AE0DDF"/>
    <w:rsid w:val="00AE1226"/>
    <w:rsid w:val="00AE14FA"/>
    <w:rsid w:val="00AE15D8"/>
    <w:rsid w:val="00AE1749"/>
    <w:rsid w:val="00AE20B3"/>
    <w:rsid w:val="00AE22DF"/>
    <w:rsid w:val="00AE2860"/>
    <w:rsid w:val="00AE2979"/>
    <w:rsid w:val="00AE2BCC"/>
    <w:rsid w:val="00AE2C78"/>
    <w:rsid w:val="00AE2CB7"/>
    <w:rsid w:val="00AE2F69"/>
    <w:rsid w:val="00AE33F1"/>
    <w:rsid w:val="00AE3531"/>
    <w:rsid w:val="00AE3E0D"/>
    <w:rsid w:val="00AE406D"/>
    <w:rsid w:val="00AE49CA"/>
    <w:rsid w:val="00AE4AE4"/>
    <w:rsid w:val="00AE4D49"/>
    <w:rsid w:val="00AE4F17"/>
    <w:rsid w:val="00AE5652"/>
    <w:rsid w:val="00AE598E"/>
    <w:rsid w:val="00AE6948"/>
    <w:rsid w:val="00AE6EBA"/>
    <w:rsid w:val="00AE6F9C"/>
    <w:rsid w:val="00AE726E"/>
    <w:rsid w:val="00AE737A"/>
    <w:rsid w:val="00AE771E"/>
    <w:rsid w:val="00AF089E"/>
    <w:rsid w:val="00AF0D29"/>
    <w:rsid w:val="00AF0F88"/>
    <w:rsid w:val="00AF171B"/>
    <w:rsid w:val="00AF1F73"/>
    <w:rsid w:val="00AF27DC"/>
    <w:rsid w:val="00AF3097"/>
    <w:rsid w:val="00AF31E9"/>
    <w:rsid w:val="00AF3F1B"/>
    <w:rsid w:val="00AF5338"/>
    <w:rsid w:val="00AF5343"/>
    <w:rsid w:val="00AF5547"/>
    <w:rsid w:val="00AF56F1"/>
    <w:rsid w:val="00AF6148"/>
    <w:rsid w:val="00AF6EEC"/>
    <w:rsid w:val="00AF75EE"/>
    <w:rsid w:val="00AF7715"/>
    <w:rsid w:val="00AF793F"/>
    <w:rsid w:val="00AF7AAA"/>
    <w:rsid w:val="00AF7B4C"/>
    <w:rsid w:val="00B000A1"/>
    <w:rsid w:val="00B00703"/>
    <w:rsid w:val="00B007E5"/>
    <w:rsid w:val="00B01003"/>
    <w:rsid w:val="00B016D8"/>
    <w:rsid w:val="00B01B51"/>
    <w:rsid w:val="00B01BD4"/>
    <w:rsid w:val="00B01E53"/>
    <w:rsid w:val="00B0227F"/>
    <w:rsid w:val="00B032D6"/>
    <w:rsid w:val="00B03BA4"/>
    <w:rsid w:val="00B03CF1"/>
    <w:rsid w:val="00B03EF6"/>
    <w:rsid w:val="00B04571"/>
    <w:rsid w:val="00B04940"/>
    <w:rsid w:val="00B04BCD"/>
    <w:rsid w:val="00B0559C"/>
    <w:rsid w:val="00B05A1E"/>
    <w:rsid w:val="00B06880"/>
    <w:rsid w:val="00B06A6D"/>
    <w:rsid w:val="00B06B37"/>
    <w:rsid w:val="00B06DC8"/>
    <w:rsid w:val="00B06EE6"/>
    <w:rsid w:val="00B07212"/>
    <w:rsid w:val="00B10190"/>
    <w:rsid w:val="00B10290"/>
    <w:rsid w:val="00B1040A"/>
    <w:rsid w:val="00B1092B"/>
    <w:rsid w:val="00B112AD"/>
    <w:rsid w:val="00B1202B"/>
    <w:rsid w:val="00B12036"/>
    <w:rsid w:val="00B129FD"/>
    <w:rsid w:val="00B12E6A"/>
    <w:rsid w:val="00B12EF9"/>
    <w:rsid w:val="00B131CA"/>
    <w:rsid w:val="00B13D7E"/>
    <w:rsid w:val="00B145D8"/>
    <w:rsid w:val="00B15231"/>
    <w:rsid w:val="00B153B9"/>
    <w:rsid w:val="00B15548"/>
    <w:rsid w:val="00B15D16"/>
    <w:rsid w:val="00B176AC"/>
    <w:rsid w:val="00B17ACD"/>
    <w:rsid w:val="00B2068B"/>
    <w:rsid w:val="00B20973"/>
    <w:rsid w:val="00B20A5E"/>
    <w:rsid w:val="00B20C46"/>
    <w:rsid w:val="00B2132F"/>
    <w:rsid w:val="00B21658"/>
    <w:rsid w:val="00B21885"/>
    <w:rsid w:val="00B22C60"/>
    <w:rsid w:val="00B22C78"/>
    <w:rsid w:val="00B22F51"/>
    <w:rsid w:val="00B22F69"/>
    <w:rsid w:val="00B24F33"/>
    <w:rsid w:val="00B25006"/>
    <w:rsid w:val="00B2507D"/>
    <w:rsid w:val="00B25754"/>
    <w:rsid w:val="00B25D21"/>
    <w:rsid w:val="00B25F64"/>
    <w:rsid w:val="00B26CB8"/>
    <w:rsid w:val="00B277C9"/>
    <w:rsid w:val="00B27888"/>
    <w:rsid w:val="00B27A76"/>
    <w:rsid w:val="00B27B66"/>
    <w:rsid w:val="00B303CA"/>
    <w:rsid w:val="00B304CF"/>
    <w:rsid w:val="00B3058A"/>
    <w:rsid w:val="00B309C0"/>
    <w:rsid w:val="00B30D2C"/>
    <w:rsid w:val="00B312EC"/>
    <w:rsid w:val="00B31F0A"/>
    <w:rsid w:val="00B31FE6"/>
    <w:rsid w:val="00B3234D"/>
    <w:rsid w:val="00B32992"/>
    <w:rsid w:val="00B32C9D"/>
    <w:rsid w:val="00B33156"/>
    <w:rsid w:val="00B334B5"/>
    <w:rsid w:val="00B33502"/>
    <w:rsid w:val="00B3372B"/>
    <w:rsid w:val="00B33847"/>
    <w:rsid w:val="00B33969"/>
    <w:rsid w:val="00B33B93"/>
    <w:rsid w:val="00B340B4"/>
    <w:rsid w:val="00B34204"/>
    <w:rsid w:val="00B34429"/>
    <w:rsid w:val="00B34815"/>
    <w:rsid w:val="00B34924"/>
    <w:rsid w:val="00B353C8"/>
    <w:rsid w:val="00B3584D"/>
    <w:rsid w:val="00B3587C"/>
    <w:rsid w:val="00B35D5A"/>
    <w:rsid w:val="00B35FFD"/>
    <w:rsid w:val="00B364A4"/>
    <w:rsid w:val="00B36C31"/>
    <w:rsid w:val="00B37D10"/>
    <w:rsid w:val="00B37DBA"/>
    <w:rsid w:val="00B37FE6"/>
    <w:rsid w:val="00B40798"/>
    <w:rsid w:val="00B40EAF"/>
    <w:rsid w:val="00B41354"/>
    <w:rsid w:val="00B41A74"/>
    <w:rsid w:val="00B41F99"/>
    <w:rsid w:val="00B4223A"/>
    <w:rsid w:val="00B424C2"/>
    <w:rsid w:val="00B42533"/>
    <w:rsid w:val="00B43318"/>
    <w:rsid w:val="00B435C7"/>
    <w:rsid w:val="00B435DA"/>
    <w:rsid w:val="00B43830"/>
    <w:rsid w:val="00B438C7"/>
    <w:rsid w:val="00B439F0"/>
    <w:rsid w:val="00B43DAE"/>
    <w:rsid w:val="00B44649"/>
    <w:rsid w:val="00B44A36"/>
    <w:rsid w:val="00B44BE1"/>
    <w:rsid w:val="00B44E4B"/>
    <w:rsid w:val="00B450E5"/>
    <w:rsid w:val="00B4526C"/>
    <w:rsid w:val="00B45736"/>
    <w:rsid w:val="00B45C69"/>
    <w:rsid w:val="00B46A5A"/>
    <w:rsid w:val="00B46B31"/>
    <w:rsid w:val="00B47071"/>
    <w:rsid w:val="00B470A1"/>
    <w:rsid w:val="00B47278"/>
    <w:rsid w:val="00B47A2A"/>
    <w:rsid w:val="00B47AE9"/>
    <w:rsid w:val="00B47D59"/>
    <w:rsid w:val="00B50048"/>
    <w:rsid w:val="00B500AE"/>
    <w:rsid w:val="00B50286"/>
    <w:rsid w:val="00B506FC"/>
    <w:rsid w:val="00B5072D"/>
    <w:rsid w:val="00B50864"/>
    <w:rsid w:val="00B508A9"/>
    <w:rsid w:val="00B50910"/>
    <w:rsid w:val="00B50C48"/>
    <w:rsid w:val="00B51105"/>
    <w:rsid w:val="00B51252"/>
    <w:rsid w:val="00B5183E"/>
    <w:rsid w:val="00B518C4"/>
    <w:rsid w:val="00B51B16"/>
    <w:rsid w:val="00B51BE2"/>
    <w:rsid w:val="00B52F4D"/>
    <w:rsid w:val="00B5306C"/>
    <w:rsid w:val="00B533BA"/>
    <w:rsid w:val="00B53545"/>
    <w:rsid w:val="00B53743"/>
    <w:rsid w:val="00B53D85"/>
    <w:rsid w:val="00B53FF6"/>
    <w:rsid w:val="00B5411E"/>
    <w:rsid w:val="00B5439E"/>
    <w:rsid w:val="00B54573"/>
    <w:rsid w:val="00B54E3F"/>
    <w:rsid w:val="00B55F43"/>
    <w:rsid w:val="00B56232"/>
    <w:rsid w:val="00B56D2E"/>
    <w:rsid w:val="00B5768B"/>
    <w:rsid w:val="00B576C3"/>
    <w:rsid w:val="00B579D5"/>
    <w:rsid w:val="00B57A90"/>
    <w:rsid w:val="00B60049"/>
    <w:rsid w:val="00B6025F"/>
    <w:rsid w:val="00B603A3"/>
    <w:rsid w:val="00B6286C"/>
    <w:rsid w:val="00B62A48"/>
    <w:rsid w:val="00B62BB9"/>
    <w:rsid w:val="00B62DF5"/>
    <w:rsid w:val="00B63022"/>
    <w:rsid w:val="00B63982"/>
    <w:rsid w:val="00B63AA3"/>
    <w:rsid w:val="00B64417"/>
    <w:rsid w:val="00B65885"/>
    <w:rsid w:val="00B66521"/>
    <w:rsid w:val="00B66B29"/>
    <w:rsid w:val="00B66DE3"/>
    <w:rsid w:val="00B67A4C"/>
    <w:rsid w:val="00B67DA2"/>
    <w:rsid w:val="00B702EA"/>
    <w:rsid w:val="00B704E4"/>
    <w:rsid w:val="00B70594"/>
    <w:rsid w:val="00B7073E"/>
    <w:rsid w:val="00B7122E"/>
    <w:rsid w:val="00B714DC"/>
    <w:rsid w:val="00B717F4"/>
    <w:rsid w:val="00B719A4"/>
    <w:rsid w:val="00B71D69"/>
    <w:rsid w:val="00B724AD"/>
    <w:rsid w:val="00B73132"/>
    <w:rsid w:val="00B73177"/>
    <w:rsid w:val="00B73370"/>
    <w:rsid w:val="00B73AB1"/>
    <w:rsid w:val="00B74060"/>
    <w:rsid w:val="00B7412E"/>
    <w:rsid w:val="00B7453E"/>
    <w:rsid w:val="00B74644"/>
    <w:rsid w:val="00B7465C"/>
    <w:rsid w:val="00B7466B"/>
    <w:rsid w:val="00B747BE"/>
    <w:rsid w:val="00B74B79"/>
    <w:rsid w:val="00B74DF4"/>
    <w:rsid w:val="00B756DB"/>
    <w:rsid w:val="00B7598E"/>
    <w:rsid w:val="00B75B65"/>
    <w:rsid w:val="00B75C89"/>
    <w:rsid w:val="00B76D09"/>
    <w:rsid w:val="00B76ED4"/>
    <w:rsid w:val="00B77670"/>
    <w:rsid w:val="00B804C7"/>
    <w:rsid w:val="00B806B4"/>
    <w:rsid w:val="00B80946"/>
    <w:rsid w:val="00B80FC7"/>
    <w:rsid w:val="00B81007"/>
    <w:rsid w:val="00B81806"/>
    <w:rsid w:val="00B81D95"/>
    <w:rsid w:val="00B81E7A"/>
    <w:rsid w:val="00B82089"/>
    <w:rsid w:val="00B8216B"/>
    <w:rsid w:val="00B824B5"/>
    <w:rsid w:val="00B825E2"/>
    <w:rsid w:val="00B829FF"/>
    <w:rsid w:val="00B83004"/>
    <w:rsid w:val="00B83961"/>
    <w:rsid w:val="00B83E5E"/>
    <w:rsid w:val="00B83EA9"/>
    <w:rsid w:val="00B84815"/>
    <w:rsid w:val="00B849D8"/>
    <w:rsid w:val="00B84A95"/>
    <w:rsid w:val="00B84B4B"/>
    <w:rsid w:val="00B84D7A"/>
    <w:rsid w:val="00B84DE1"/>
    <w:rsid w:val="00B84F62"/>
    <w:rsid w:val="00B84FAE"/>
    <w:rsid w:val="00B8505E"/>
    <w:rsid w:val="00B850CC"/>
    <w:rsid w:val="00B851C7"/>
    <w:rsid w:val="00B85344"/>
    <w:rsid w:val="00B85491"/>
    <w:rsid w:val="00B854A2"/>
    <w:rsid w:val="00B85E28"/>
    <w:rsid w:val="00B85FB6"/>
    <w:rsid w:val="00B86B5A"/>
    <w:rsid w:val="00B86E05"/>
    <w:rsid w:val="00B86F40"/>
    <w:rsid w:val="00B87081"/>
    <w:rsid w:val="00B87285"/>
    <w:rsid w:val="00B87286"/>
    <w:rsid w:val="00B8748B"/>
    <w:rsid w:val="00B87741"/>
    <w:rsid w:val="00B90134"/>
    <w:rsid w:val="00B902C0"/>
    <w:rsid w:val="00B90542"/>
    <w:rsid w:val="00B90B26"/>
    <w:rsid w:val="00B91728"/>
    <w:rsid w:val="00B927A8"/>
    <w:rsid w:val="00B929E1"/>
    <w:rsid w:val="00B92A58"/>
    <w:rsid w:val="00B92C07"/>
    <w:rsid w:val="00B93075"/>
    <w:rsid w:val="00B934E3"/>
    <w:rsid w:val="00B936AE"/>
    <w:rsid w:val="00B93A38"/>
    <w:rsid w:val="00B93AB4"/>
    <w:rsid w:val="00B940D3"/>
    <w:rsid w:val="00B942D8"/>
    <w:rsid w:val="00B946F6"/>
    <w:rsid w:val="00B948AB"/>
    <w:rsid w:val="00B94D32"/>
    <w:rsid w:val="00B952FF"/>
    <w:rsid w:val="00B95348"/>
    <w:rsid w:val="00B95530"/>
    <w:rsid w:val="00B955FD"/>
    <w:rsid w:val="00B9613D"/>
    <w:rsid w:val="00B96687"/>
    <w:rsid w:val="00B9668A"/>
    <w:rsid w:val="00B96B3C"/>
    <w:rsid w:val="00B96C46"/>
    <w:rsid w:val="00B96C66"/>
    <w:rsid w:val="00B97181"/>
    <w:rsid w:val="00B971E2"/>
    <w:rsid w:val="00B97881"/>
    <w:rsid w:val="00B97FC5"/>
    <w:rsid w:val="00BA029F"/>
    <w:rsid w:val="00BA043A"/>
    <w:rsid w:val="00BA0771"/>
    <w:rsid w:val="00BA0943"/>
    <w:rsid w:val="00BA18A4"/>
    <w:rsid w:val="00BA1997"/>
    <w:rsid w:val="00BA215D"/>
    <w:rsid w:val="00BA2444"/>
    <w:rsid w:val="00BA2B38"/>
    <w:rsid w:val="00BA2F76"/>
    <w:rsid w:val="00BA3803"/>
    <w:rsid w:val="00BA3812"/>
    <w:rsid w:val="00BA3A95"/>
    <w:rsid w:val="00BA3C28"/>
    <w:rsid w:val="00BA42F0"/>
    <w:rsid w:val="00BA48DB"/>
    <w:rsid w:val="00BA4BB4"/>
    <w:rsid w:val="00BA50E8"/>
    <w:rsid w:val="00BA52C2"/>
    <w:rsid w:val="00BA5712"/>
    <w:rsid w:val="00BA588A"/>
    <w:rsid w:val="00BA5A96"/>
    <w:rsid w:val="00BA5E9D"/>
    <w:rsid w:val="00BA6132"/>
    <w:rsid w:val="00BA6B70"/>
    <w:rsid w:val="00BA745C"/>
    <w:rsid w:val="00BA78B1"/>
    <w:rsid w:val="00BB0322"/>
    <w:rsid w:val="00BB062C"/>
    <w:rsid w:val="00BB0D0E"/>
    <w:rsid w:val="00BB11D0"/>
    <w:rsid w:val="00BB1511"/>
    <w:rsid w:val="00BB17CE"/>
    <w:rsid w:val="00BB1A33"/>
    <w:rsid w:val="00BB1B75"/>
    <w:rsid w:val="00BB1E44"/>
    <w:rsid w:val="00BB2631"/>
    <w:rsid w:val="00BB2E57"/>
    <w:rsid w:val="00BB3060"/>
    <w:rsid w:val="00BB32B9"/>
    <w:rsid w:val="00BB3792"/>
    <w:rsid w:val="00BB40CE"/>
    <w:rsid w:val="00BB4490"/>
    <w:rsid w:val="00BB4B15"/>
    <w:rsid w:val="00BB4C19"/>
    <w:rsid w:val="00BB4EBF"/>
    <w:rsid w:val="00BB50FB"/>
    <w:rsid w:val="00BB52BD"/>
    <w:rsid w:val="00BB5C89"/>
    <w:rsid w:val="00BB5D9B"/>
    <w:rsid w:val="00BB604A"/>
    <w:rsid w:val="00BB6284"/>
    <w:rsid w:val="00BB675B"/>
    <w:rsid w:val="00BB706E"/>
    <w:rsid w:val="00BB74AF"/>
    <w:rsid w:val="00BB7523"/>
    <w:rsid w:val="00BB77BC"/>
    <w:rsid w:val="00BC0A2B"/>
    <w:rsid w:val="00BC0D7D"/>
    <w:rsid w:val="00BC0EBD"/>
    <w:rsid w:val="00BC0FA0"/>
    <w:rsid w:val="00BC13E5"/>
    <w:rsid w:val="00BC1D85"/>
    <w:rsid w:val="00BC20A6"/>
    <w:rsid w:val="00BC2520"/>
    <w:rsid w:val="00BC276B"/>
    <w:rsid w:val="00BC32BC"/>
    <w:rsid w:val="00BC3830"/>
    <w:rsid w:val="00BC3856"/>
    <w:rsid w:val="00BC3A24"/>
    <w:rsid w:val="00BC42EC"/>
    <w:rsid w:val="00BC512B"/>
    <w:rsid w:val="00BC53B9"/>
    <w:rsid w:val="00BC5508"/>
    <w:rsid w:val="00BC56B8"/>
    <w:rsid w:val="00BC580D"/>
    <w:rsid w:val="00BC5B9A"/>
    <w:rsid w:val="00BC5CEE"/>
    <w:rsid w:val="00BC5D0E"/>
    <w:rsid w:val="00BC5EE8"/>
    <w:rsid w:val="00BC6539"/>
    <w:rsid w:val="00BC675D"/>
    <w:rsid w:val="00BC7265"/>
    <w:rsid w:val="00BC7AC5"/>
    <w:rsid w:val="00BC7B2C"/>
    <w:rsid w:val="00BC7D91"/>
    <w:rsid w:val="00BD045D"/>
    <w:rsid w:val="00BD1415"/>
    <w:rsid w:val="00BD1817"/>
    <w:rsid w:val="00BD1EC0"/>
    <w:rsid w:val="00BD2EBF"/>
    <w:rsid w:val="00BD3676"/>
    <w:rsid w:val="00BD3729"/>
    <w:rsid w:val="00BD3C17"/>
    <w:rsid w:val="00BD3CEF"/>
    <w:rsid w:val="00BD4486"/>
    <w:rsid w:val="00BD44BD"/>
    <w:rsid w:val="00BD502D"/>
    <w:rsid w:val="00BD5194"/>
    <w:rsid w:val="00BD5CF3"/>
    <w:rsid w:val="00BD5FA6"/>
    <w:rsid w:val="00BD5FB3"/>
    <w:rsid w:val="00BD63F1"/>
    <w:rsid w:val="00BD6D49"/>
    <w:rsid w:val="00BD7A83"/>
    <w:rsid w:val="00BD7EEB"/>
    <w:rsid w:val="00BD7F11"/>
    <w:rsid w:val="00BE0A2B"/>
    <w:rsid w:val="00BE0AC7"/>
    <w:rsid w:val="00BE0D0F"/>
    <w:rsid w:val="00BE1376"/>
    <w:rsid w:val="00BE1673"/>
    <w:rsid w:val="00BE16E9"/>
    <w:rsid w:val="00BE1D67"/>
    <w:rsid w:val="00BE1DC0"/>
    <w:rsid w:val="00BE1EA9"/>
    <w:rsid w:val="00BE20BA"/>
    <w:rsid w:val="00BE2420"/>
    <w:rsid w:val="00BE2BD2"/>
    <w:rsid w:val="00BE2C2F"/>
    <w:rsid w:val="00BE2DF8"/>
    <w:rsid w:val="00BE334A"/>
    <w:rsid w:val="00BE339F"/>
    <w:rsid w:val="00BE3484"/>
    <w:rsid w:val="00BE3BC3"/>
    <w:rsid w:val="00BE559F"/>
    <w:rsid w:val="00BE57C0"/>
    <w:rsid w:val="00BE6D00"/>
    <w:rsid w:val="00BE71C3"/>
    <w:rsid w:val="00BE73A4"/>
    <w:rsid w:val="00BE78A7"/>
    <w:rsid w:val="00BE7919"/>
    <w:rsid w:val="00BF05DE"/>
    <w:rsid w:val="00BF06A9"/>
    <w:rsid w:val="00BF1178"/>
    <w:rsid w:val="00BF130E"/>
    <w:rsid w:val="00BF16C1"/>
    <w:rsid w:val="00BF18D7"/>
    <w:rsid w:val="00BF1AFA"/>
    <w:rsid w:val="00BF21FE"/>
    <w:rsid w:val="00BF257C"/>
    <w:rsid w:val="00BF2AD7"/>
    <w:rsid w:val="00BF3DAD"/>
    <w:rsid w:val="00BF4F30"/>
    <w:rsid w:val="00BF6EBA"/>
    <w:rsid w:val="00BF7574"/>
    <w:rsid w:val="00BF7A17"/>
    <w:rsid w:val="00C00666"/>
    <w:rsid w:val="00C00719"/>
    <w:rsid w:val="00C0076A"/>
    <w:rsid w:val="00C00878"/>
    <w:rsid w:val="00C0089A"/>
    <w:rsid w:val="00C00AB9"/>
    <w:rsid w:val="00C01042"/>
    <w:rsid w:val="00C0107E"/>
    <w:rsid w:val="00C01397"/>
    <w:rsid w:val="00C017BB"/>
    <w:rsid w:val="00C01CA9"/>
    <w:rsid w:val="00C0243B"/>
    <w:rsid w:val="00C02468"/>
    <w:rsid w:val="00C02983"/>
    <w:rsid w:val="00C02ABA"/>
    <w:rsid w:val="00C03BE1"/>
    <w:rsid w:val="00C03ED0"/>
    <w:rsid w:val="00C03EFA"/>
    <w:rsid w:val="00C03FC5"/>
    <w:rsid w:val="00C040A8"/>
    <w:rsid w:val="00C0415A"/>
    <w:rsid w:val="00C04563"/>
    <w:rsid w:val="00C05060"/>
    <w:rsid w:val="00C05330"/>
    <w:rsid w:val="00C054C5"/>
    <w:rsid w:val="00C05580"/>
    <w:rsid w:val="00C055F5"/>
    <w:rsid w:val="00C06017"/>
    <w:rsid w:val="00C0608D"/>
    <w:rsid w:val="00C06A87"/>
    <w:rsid w:val="00C06E26"/>
    <w:rsid w:val="00C075E5"/>
    <w:rsid w:val="00C07D29"/>
    <w:rsid w:val="00C10224"/>
    <w:rsid w:val="00C10446"/>
    <w:rsid w:val="00C106B2"/>
    <w:rsid w:val="00C10985"/>
    <w:rsid w:val="00C10F5B"/>
    <w:rsid w:val="00C10FDF"/>
    <w:rsid w:val="00C11424"/>
    <w:rsid w:val="00C11595"/>
    <w:rsid w:val="00C117D1"/>
    <w:rsid w:val="00C11F8E"/>
    <w:rsid w:val="00C121B0"/>
    <w:rsid w:val="00C125A4"/>
    <w:rsid w:val="00C12915"/>
    <w:rsid w:val="00C12D71"/>
    <w:rsid w:val="00C130E7"/>
    <w:rsid w:val="00C13177"/>
    <w:rsid w:val="00C1322C"/>
    <w:rsid w:val="00C134E7"/>
    <w:rsid w:val="00C13750"/>
    <w:rsid w:val="00C13A0B"/>
    <w:rsid w:val="00C13BC0"/>
    <w:rsid w:val="00C14595"/>
    <w:rsid w:val="00C15302"/>
    <w:rsid w:val="00C1628A"/>
    <w:rsid w:val="00C164C4"/>
    <w:rsid w:val="00C16E57"/>
    <w:rsid w:val="00C16F0E"/>
    <w:rsid w:val="00C175AC"/>
    <w:rsid w:val="00C175D2"/>
    <w:rsid w:val="00C17C0A"/>
    <w:rsid w:val="00C17CF2"/>
    <w:rsid w:val="00C2005B"/>
    <w:rsid w:val="00C20154"/>
    <w:rsid w:val="00C202FF"/>
    <w:rsid w:val="00C2091A"/>
    <w:rsid w:val="00C20950"/>
    <w:rsid w:val="00C215CC"/>
    <w:rsid w:val="00C215F2"/>
    <w:rsid w:val="00C21AD8"/>
    <w:rsid w:val="00C2240A"/>
    <w:rsid w:val="00C2248C"/>
    <w:rsid w:val="00C2292B"/>
    <w:rsid w:val="00C22A51"/>
    <w:rsid w:val="00C22D16"/>
    <w:rsid w:val="00C2312E"/>
    <w:rsid w:val="00C2331B"/>
    <w:rsid w:val="00C23A53"/>
    <w:rsid w:val="00C24328"/>
    <w:rsid w:val="00C24439"/>
    <w:rsid w:val="00C24D95"/>
    <w:rsid w:val="00C24DAA"/>
    <w:rsid w:val="00C24DE5"/>
    <w:rsid w:val="00C24F52"/>
    <w:rsid w:val="00C25005"/>
    <w:rsid w:val="00C2536B"/>
    <w:rsid w:val="00C25A60"/>
    <w:rsid w:val="00C260F5"/>
    <w:rsid w:val="00C261CD"/>
    <w:rsid w:val="00C27739"/>
    <w:rsid w:val="00C27BA8"/>
    <w:rsid w:val="00C27C57"/>
    <w:rsid w:val="00C30017"/>
    <w:rsid w:val="00C30257"/>
    <w:rsid w:val="00C3073A"/>
    <w:rsid w:val="00C309C5"/>
    <w:rsid w:val="00C3124E"/>
    <w:rsid w:val="00C31459"/>
    <w:rsid w:val="00C316D4"/>
    <w:rsid w:val="00C31A3A"/>
    <w:rsid w:val="00C31AD7"/>
    <w:rsid w:val="00C32724"/>
    <w:rsid w:val="00C32B35"/>
    <w:rsid w:val="00C32BC5"/>
    <w:rsid w:val="00C32E1E"/>
    <w:rsid w:val="00C331B9"/>
    <w:rsid w:val="00C3328B"/>
    <w:rsid w:val="00C33295"/>
    <w:rsid w:val="00C335FB"/>
    <w:rsid w:val="00C33A41"/>
    <w:rsid w:val="00C33B81"/>
    <w:rsid w:val="00C33B86"/>
    <w:rsid w:val="00C34A74"/>
    <w:rsid w:val="00C36104"/>
    <w:rsid w:val="00C36542"/>
    <w:rsid w:val="00C36663"/>
    <w:rsid w:val="00C378EC"/>
    <w:rsid w:val="00C37CF0"/>
    <w:rsid w:val="00C37FF5"/>
    <w:rsid w:val="00C4003B"/>
    <w:rsid w:val="00C40532"/>
    <w:rsid w:val="00C40C4A"/>
    <w:rsid w:val="00C41153"/>
    <w:rsid w:val="00C411D1"/>
    <w:rsid w:val="00C41AE2"/>
    <w:rsid w:val="00C41EEE"/>
    <w:rsid w:val="00C42616"/>
    <w:rsid w:val="00C42633"/>
    <w:rsid w:val="00C426CA"/>
    <w:rsid w:val="00C42C12"/>
    <w:rsid w:val="00C431A0"/>
    <w:rsid w:val="00C43983"/>
    <w:rsid w:val="00C447BC"/>
    <w:rsid w:val="00C45043"/>
    <w:rsid w:val="00C452BC"/>
    <w:rsid w:val="00C45CA9"/>
    <w:rsid w:val="00C46EBC"/>
    <w:rsid w:val="00C474C0"/>
    <w:rsid w:val="00C47521"/>
    <w:rsid w:val="00C475A0"/>
    <w:rsid w:val="00C47CA5"/>
    <w:rsid w:val="00C47E8D"/>
    <w:rsid w:val="00C501D4"/>
    <w:rsid w:val="00C5042D"/>
    <w:rsid w:val="00C505EB"/>
    <w:rsid w:val="00C507E8"/>
    <w:rsid w:val="00C50903"/>
    <w:rsid w:val="00C50A1B"/>
    <w:rsid w:val="00C50CFC"/>
    <w:rsid w:val="00C51660"/>
    <w:rsid w:val="00C51803"/>
    <w:rsid w:val="00C51D4E"/>
    <w:rsid w:val="00C51E35"/>
    <w:rsid w:val="00C5265A"/>
    <w:rsid w:val="00C5273E"/>
    <w:rsid w:val="00C52C18"/>
    <w:rsid w:val="00C52F8E"/>
    <w:rsid w:val="00C53411"/>
    <w:rsid w:val="00C54711"/>
    <w:rsid w:val="00C55058"/>
    <w:rsid w:val="00C55189"/>
    <w:rsid w:val="00C551F7"/>
    <w:rsid w:val="00C55386"/>
    <w:rsid w:val="00C55AE7"/>
    <w:rsid w:val="00C56D0C"/>
    <w:rsid w:val="00C56F4E"/>
    <w:rsid w:val="00C579D9"/>
    <w:rsid w:val="00C57D3B"/>
    <w:rsid w:val="00C630E4"/>
    <w:rsid w:val="00C633E1"/>
    <w:rsid w:val="00C63907"/>
    <w:rsid w:val="00C63EB6"/>
    <w:rsid w:val="00C6403A"/>
    <w:rsid w:val="00C6426F"/>
    <w:rsid w:val="00C649BD"/>
    <w:rsid w:val="00C64B28"/>
    <w:rsid w:val="00C64C99"/>
    <w:rsid w:val="00C65010"/>
    <w:rsid w:val="00C660FE"/>
    <w:rsid w:val="00C66190"/>
    <w:rsid w:val="00C6619E"/>
    <w:rsid w:val="00C66221"/>
    <w:rsid w:val="00C6703E"/>
    <w:rsid w:val="00C673D6"/>
    <w:rsid w:val="00C6744D"/>
    <w:rsid w:val="00C67BEC"/>
    <w:rsid w:val="00C704BB"/>
    <w:rsid w:val="00C7062D"/>
    <w:rsid w:val="00C70851"/>
    <w:rsid w:val="00C70CB8"/>
    <w:rsid w:val="00C71EA2"/>
    <w:rsid w:val="00C71F05"/>
    <w:rsid w:val="00C72101"/>
    <w:rsid w:val="00C72111"/>
    <w:rsid w:val="00C72254"/>
    <w:rsid w:val="00C722BF"/>
    <w:rsid w:val="00C724B3"/>
    <w:rsid w:val="00C72B60"/>
    <w:rsid w:val="00C734F0"/>
    <w:rsid w:val="00C74122"/>
    <w:rsid w:val="00C745EF"/>
    <w:rsid w:val="00C74EF8"/>
    <w:rsid w:val="00C750D3"/>
    <w:rsid w:val="00C751A1"/>
    <w:rsid w:val="00C752D1"/>
    <w:rsid w:val="00C75500"/>
    <w:rsid w:val="00C77793"/>
    <w:rsid w:val="00C778A7"/>
    <w:rsid w:val="00C77B94"/>
    <w:rsid w:val="00C80342"/>
    <w:rsid w:val="00C8048C"/>
    <w:rsid w:val="00C80548"/>
    <w:rsid w:val="00C80769"/>
    <w:rsid w:val="00C80F4D"/>
    <w:rsid w:val="00C81576"/>
    <w:rsid w:val="00C81A4C"/>
    <w:rsid w:val="00C81ACE"/>
    <w:rsid w:val="00C81BB8"/>
    <w:rsid w:val="00C82297"/>
    <w:rsid w:val="00C82C8D"/>
    <w:rsid w:val="00C83257"/>
    <w:rsid w:val="00C83845"/>
    <w:rsid w:val="00C83BE8"/>
    <w:rsid w:val="00C84A40"/>
    <w:rsid w:val="00C85018"/>
    <w:rsid w:val="00C863E8"/>
    <w:rsid w:val="00C86C28"/>
    <w:rsid w:val="00C86D4E"/>
    <w:rsid w:val="00C86E29"/>
    <w:rsid w:val="00C874F2"/>
    <w:rsid w:val="00C87687"/>
    <w:rsid w:val="00C87C39"/>
    <w:rsid w:val="00C87F20"/>
    <w:rsid w:val="00C90330"/>
    <w:rsid w:val="00C90416"/>
    <w:rsid w:val="00C90B96"/>
    <w:rsid w:val="00C91449"/>
    <w:rsid w:val="00C91A74"/>
    <w:rsid w:val="00C91E9D"/>
    <w:rsid w:val="00C91F5C"/>
    <w:rsid w:val="00C92143"/>
    <w:rsid w:val="00C92147"/>
    <w:rsid w:val="00C92BFA"/>
    <w:rsid w:val="00C931BA"/>
    <w:rsid w:val="00C9344D"/>
    <w:rsid w:val="00C93716"/>
    <w:rsid w:val="00C93BF0"/>
    <w:rsid w:val="00C93D46"/>
    <w:rsid w:val="00C94042"/>
    <w:rsid w:val="00C942F3"/>
    <w:rsid w:val="00C94779"/>
    <w:rsid w:val="00C94801"/>
    <w:rsid w:val="00C94D04"/>
    <w:rsid w:val="00C94D30"/>
    <w:rsid w:val="00C953F4"/>
    <w:rsid w:val="00C9585F"/>
    <w:rsid w:val="00C95BE6"/>
    <w:rsid w:val="00C96DE7"/>
    <w:rsid w:val="00CA0852"/>
    <w:rsid w:val="00CA1282"/>
    <w:rsid w:val="00CA1342"/>
    <w:rsid w:val="00CA146E"/>
    <w:rsid w:val="00CA14A3"/>
    <w:rsid w:val="00CA263C"/>
    <w:rsid w:val="00CA27C3"/>
    <w:rsid w:val="00CA27F1"/>
    <w:rsid w:val="00CA3440"/>
    <w:rsid w:val="00CA39C9"/>
    <w:rsid w:val="00CA4425"/>
    <w:rsid w:val="00CA4638"/>
    <w:rsid w:val="00CA4DAA"/>
    <w:rsid w:val="00CA506C"/>
    <w:rsid w:val="00CA5075"/>
    <w:rsid w:val="00CA5691"/>
    <w:rsid w:val="00CA5787"/>
    <w:rsid w:val="00CA5CFC"/>
    <w:rsid w:val="00CA6C5D"/>
    <w:rsid w:val="00CA71E7"/>
    <w:rsid w:val="00CA73DA"/>
    <w:rsid w:val="00CA7C12"/>
    <w:rsid w:val="00CA7E61"/>
    <w:rsid w:val="00CA7EA3"/>
    <w:rsid w:val="00CB0AFA"/>
    <w:rsid w:val="00CB0C84"/>
    <w:rsid w:val="00CB16CC"/>
    <w:rsid w:val="00CB20FD"/>
    <w:rsid w:val="00CB2148"/>
    <w:rsid w:val="00CB265B"/>
    <w:rsid w:val="00CB27DC"/>
    <w:rsid w:val="00CB33CB"/>
    <w:rsid w:val="00CB3781"/>
    <w:rsid w:val="00CB3B97"/>
    <w:rsid w:val="00CB3DAA"/>
    <w:rsid w:val="00CB40AC"/>
    <w:rsid w:val="00CB40CD"/>
    <w:rsid w:val="00CB45E2"/>
    <w:rsid w:val="00CB4805"/>
    <w:rsid w:val="00CB4864"/>
    <w:rsid w:val="00CB4A3D"/>
    <w:rsid w:val="00CB5343"/>
    <w:rsid w:val="00CB59DE"/>
    <w:rsid w:val="00CB5D7B"/>
    <w:rsid w:val="00CB5D8B"/>
    <w:rsid w:val="00CB6245"/>
    <w:rsid w:val="00CB6C2D"/>
    <w:rsid w:val="00CB7388"/>
    <w:rsid w:val="00CB7B80"/>
    <w:rsid w:val="00CC02FE"/>
    <w:rsid w:val="00CC0483"/>
    <w:rsid w:val="00CC055E"/>
    <w:rsid w:val="00CC1212"/>
    <w:rsid w:val="00CC1520"/>
    <w:rsid w:val="00CC1697"/>
    <w:rsid w:val="00CC17F4"/>
    <w:rsid w:val="00CC18CF"/>
    <w:rsid w:val="00CC1A33"/>
    <w:rsid w:val="00CC1B7B"/>
    <w:rsid w:val="00CC27F4"/>
    <w:rsid w:val="00CC2A83"/>
    <w:rsid w:val="00CC319E"/>
    <w:rsid w:val="00CC371F"/>
    <w:rsid w:val="00CC3949"/>
    <w:rsid w:val="00CC3A5C"/>
    <w:rsid w:val="00CC42F1"/>
    <w:rsid w:val="00CC4607"/>
    <w:rsid w:val="00CC4A16"/>
    <w:rsid w:val="00CC4EAC"/>
    <w:rsid w:val="00CC4FA7"/>
    <w:rsid w:val="00CC61F2"/>
    <w:rsid w:val="00CC63CB"/>
    <w:rsid w:val="00CC69F9"/>
    <w:rsid w:val="00CC7D40"/>
    <w:rsid w:val="00CC7D97"/>
    <w:rsid w:val="00CD0093"/>
    <w:rsid w:val="00CD014B"/>
    <w:rsid w:val="00CD0439"/>
    <w:rsid w:val="00CD0800"/>
    <w:rsid w:val="00CD0F9E"/>
    <w:rsid w:val="00CD10B6"/>
    <w:rsid w:val="00CD198D"/>
    <w:rsid w:val="00CD23A0"/>
    <w:rsid w:val="00CD2866"/>
    <w:rsid w:val="00CD2AB8"/>
    <w:rsid w:val="00CD2AD4"/>
    <w:rsid w:val="00CD2B30"/>
    <w:rsid w:val="00CD3404"/>
    <w:rsid w:val="00CD37AA"/>
    <w:rsid w:val="00CD4363"/>
    <w:rsid w:val="00CD43FB"/>
    <w:rsid w:val="00CD4434"/>
    <w:rsid w:val="00CD46C2"/>
    <w:rsid w:val="00CD47A9"/>
    <w:rsid w:val="00CD47B8"/>
    <w:rsid w:val="00CD48B0"/>
    <w:rsid w:val="00CD4A79"/>
    <w:rsid w:val="00CD4CBA"/>
    <w:rsid w:val="00CD4E91"/>
    <w:rsid w:val="00CD5F27"/>
    <w:rsid w:val="00CD604B"/>
    <w:rsid w:val="00CD6154"/>
    <w:rsid w:val="00CD6475"/>
    <w:rsid w:val="00CD73C1"/>
    <w:rsid w:val="00CD7541"/>
    <w:rsid w:val="00CD76F7"/>
    <w:rsid w:val="00CD7EAE"/>
    <w:rsid w:val="00CE1092"/>
    <w:rsid w:val="00CE12B1"/>
    <w:rsid w:val="00CE3492"/>
    <w:rsid w:val="00CE35BE"/>
    <w:rsid w:val="00CE391D"/>
    <w:rsid w:val="00CE3CDC"/>
    <w:rsid w:val="00CE3EDE"/>
    <w:rsid w:val="00CE3F28"/>
    <w:rsid w:val="00CE3FB0"/>
    <w:rsid w:val="00CE441B"/>
    <w:rsid w:val="00CE4666"/>
    <w:rsid w:val="00CE499B"/>
    <w:rsid w:val="00CE5031"/>
    <w:rsid w:val="00CE58D1"/>
    <w:rsid w:val="00CE5EEC"/>
    <w:rsid w:val="00CE61F6"/>
    <w:rsid w:val="00CE66D8"/>
    <w:rsid w:val="00CE680A"/>
    <w:rsid w:val="00CE7287"/>
    <w:rsid w:val="00CE729F"/>
    <w:rsid w:val="00CE7990"/>
    <w:rsid w:val="00CE7BAF"/>
    <w:rsid w:val="00CE7C86"/>
    <w:rsid w:val="00CF035C"/>
    <w:rsid w:val="00CF04B8"/>
    <w:rsid w:val="00CF0884"/>
    <w:rsid w:val="00CF0B77"/>
    <w:rsid w:val="00CF140C"/>
    <w:rsid w:val="00CF1AA2"/>
    <w:rsid w:val="00CF21AF"/>
    <w:rsid w:val="00CF294C"/>
    <w:rsid w:val="00CF2BB0"/>
    <w:rsid w:val="00CF2D7E"/>
    <w:rsid w:val="00CF3858"/>
    <w:rsid w:val="00CF427F"/>
    <w:rsid w:val="00CF4417"/>
    <w:rsid w:val="00CF4A90"/>
    <w:rsid w:val="00CF4DF6"/>
    <w:rsid w:val="00CF58C7"/>
    <w:rsid w:val="00CF58F3"/>
    <w:rsid w:val="00CF5A9E"/>
    <w:rsid w:val="00CF6301"/>
    <w:rsid w:val="00CF6738"/>
    <w:rsid w:val="00CF67DD"/>
    <w:rsid w:val="00CF68F9"/>
    <w:rsid w:val="00CF6AEA"/>
    <w:rsid w:val="00CF6BC8"/>
    <w:rsid w:val="00CF6EA5"/>
    <w:rsid w:val="00CF70FF"/>
    <w:rsid w:val="00CF7670"/>
    <w:rsid w:val="00CF777F"/>
    <w:rsid w:val="00D0002D"/>
    <w:rsid w:val="00D00405"/>
    <w:rsid w:val="00D00823"/>
    <w:rsid w:val="00D00B5A"/>
    <w:rsid w:val="00D00C4F"/>
    <w:rsid w:val="00D012F8"/>
    <w:rsid w:val="00D01378"/>
    <w:rsid w:val="00D02ECD"/>
    <w:rsid w:val="00D030C1"/>
    <w:rsid w:val="00D0316D"/>
    <w:rsid w:val="00D03578"/>
    <w:rsid w:val="00D06081"/>
    <w:rsid w:val="00D0693F"/>
    <w:rsid w:val="00D069D9"/>
    <w:rsid w:val="00D06CFA"/>
    <w:rsid w:val="00D07245"/>
    <w:rsid w:val="00D10BE8"/>
    <w:rsid w:val="00D1113C"/>
    <w:rsid w:val="00D112DA"/>
    <w:rsid w:val="00D11721"/>
    <w:rsid w:val="00D1192F"/>
    <w:rsid w:val="00D11BB8"/>
    <w:rsid w:val="00D125B6"/>
    <w:rsid w:val="00D126A6"/>
    <w:rsid w:val="00D126C8"/>
    <w:rsid w:val="00D13000"/>
    <w:rsid w:val="00D13074"/>
    <w:rsid w:val="00D13888"/>
    <w:rsid w:val="00D13960"/>
    <w:rsid w:val="00D13A33"/>
    <w:rsid w:val="00D144B2"/>
    <w:rsid w:val="00D146B8"/>
    <w:rsid w:val="00D1610F"/>
    <w:rsid w:val="00D16120"/>
    <w:rsid w:val="00D16666"/>
    <w:rsid w:val="00D16F09"/>
    <w:rsid w:val="00D17B92"/>
    <w:rsid w:val="00D17BC2"/>
    <w:rsid w:val="00D17BC6"/>
    <w:rsid w:val="00D17C10"/>
    <w:rsid w:val="00D17D52"/>
    <w:rsid w:val="00D20556"/>
    <w:rsid w:val="00D20A69"/>
    <w:rsid w:val="00D20B0D"/>
    <w:rsid w:val="00D20F02"/>
    <w:rsid w:val="00D212F4"/>
    <w:rsid w:val="00D21E99"/>
    <w:rsid w:val="00D223C6"/>
    <w:rsid w:val="00D2287A"/>
    <w:rsid w:val="00D22B95"/>
    <w:rsid w:val="00D23368"/>
    <w:rsid w:val="00D237FC"/>
    <w:rsid w:val="00D249DD"/>
    <w:rsid w:val="00D24F2B"/>
    <w:rsid w:val="00D2518D"/>
    <w:rsid w:val="00D251F5"/>
    <w:rsid w:val="00D25BD7"/>
    <w:rsid w:val="00D25C58"/>
    <w:rsid w:val="00D26071"/>
    <w:rsid w:val="00D270A9"/>
    <w:rsid w:val="00D2770E"/>
    <w:rsid w:val="00D27A7B"/>
    <w:rsid w:val="00D27ED4"/>
    <w:rsid w:val="00D302D8"/>
    <w:rsid w:val="00D30890"/>
    <w:rsid w:val="00D30930"/>
    <w:rsid w:val="00D3095A"/>
    <w:rsid w:val="00D30C1E"/>
    <w:rsid w:val="00D30D8A"/>
    <w:rsid w:val="00D3147C"/>
    <w:rsid w:val="00D319B8"/>
    <w:rsid w:val="00D321A2"/>
    <w:rsid w:val="00D3227B"/>
    <w:rsid w:val="00D325F6"/>
    <w:rsid w:val="00D32ED2"/>
    <w:rsid w:val="00D32F2F"/>
    <w:rsid w:val="00D33049"/>
    <w:rsid w:val="00D34648"/>
    <w:rsid w:val="00D352B8"/>
    <w:rsid w:val="00D352D6"/>
    <w:rsid w:val="00D353A1"/>
    <w:rsid w:val="00D356A5"/>
    <w:rsid w:val="00D36453"/>
    <w:rsid w:val="00D36476"/>
    <w:rsid w:val="00D366C8"/>
    <w:rsid w:val="00D371C6"/>
    <w:rsid w:val="00D37F53"/>
    <w:rsid w:val="00D404A6"/>
    <w:rsid w:val="00D40BA5"/>
    <w:rsid w:val="00D40CA0"/>
    <w:rsid w:val="00D40EA3"/>
    <w:rsid w:val="00D40F6B"/>
    <w:rsid w:val="00D41251"/>
    <w:rsid w:val="00D4151E"/>
    <w:rsid w:val="00D419E8"/>
    <w:rsid w:val="00D41D73"/>
    <w:rsid w:val="00D42225"/>
    <w:rsid w:val="00D422B2"/>
    <w:rsid w:val="00D4271E"/>
    <w:rsid w:val="00D427AE"/>
    <w:rsid w:val="00D42B6A"/>
    <w:rsid w:val="00D43294"/>
    <w:rsid w:val="00D43727"/>
    <w:rsid w:val="00D43B9B"/>
    <w:rsid w:val="00D44730"/>
    <w:rsid w:val="00D44ADC"/>
    <w:rsid w:val="00D44F2D"/>
    <w:rsid w:val="00D463FE"/>
    <w:rsid w:val="00D465FC"/>
    <w:rsid w:val="00D46CDC"/>
    <w:rsid w:val="00D47523"/>
    <w:rsid w:val="00D47609"/>
    <w:rsid w:val="00D5003D"/>
    <w:rsid w:val="00D501AD"/>
    <w:rsid w:val="00D50F7B"/>
    <w:rsid w:val="00D51823"/>
    <w:rsid w:val="00D51C7C"/>
    <w:rsid w:val="00D51D5F"/>
    <w:rsid w:val="00D520B1"/>
    <w:rsid w:val="00D52498"/>
    <w:rsid w:val="00D52535"/>
    <w:rsid w:val="00D52953"/>
    <w:rsid w:val="00D52C57"/>
    <w:rsid w:val="00D52C80"/>
    <w:rsid w:val="00D52E42"/>
    <w:rsid w:val="00D5323B"/>
    <w:rsid w:val="00D532E7"/>
    <w:rsid w:val="00D53732"/>
    <w:rsid w:val="00D53798"/>
    <w:rsid w:val="00D53B0A"/>
    <w:rsid w:val="00D5406A"/>
    <w:rsid w:val="00D543E5"/>
    <w:rsid w:val="00D5445D"/>
    <w:rsid w:val="00D54645"/>
    <w:rsid w:val="00D54CE2"/>
    <w:rsid w:val="00D54DEC"/>
    <w:rsid w:val="00D5510C"/>
    <w:rsid w:val="00D55AF9"/>
    <w:rsid w:val="00D5659B"/>
    <w:rsid w:val="00D569C6"/>
    <w:rsid w:val="00D56E5E"/>
    <w:rsid w:val="00D57152"/>
    <w:rsid w:val="00D572BA"/>
    <w:rsid w:val="00D576A8"/>
    <w:rsid w:val="00D600ED"/>
    <w:rsid w:val="00D606CB"/>
    <w:rsid w:val="00D60EAD"/>
    <w:rsid w:val="00D612D1"/>
    <w:rsid w:val="00D614F4"/>
    <w:rsid w:val="00D618B7"/>
    <w:rsid w:val="00D61D2F"/>
    <w:rsid w:val="00D61FD9"/>
    <w:rsid w:val="00D62071"/>
    <w:rsid w:val="00D6239C"/>
    <w:rsid w:val="00D63777"/>
    <w:rsid w:val="00D63CDD"/>
    <w:rsid w:val="00D6432F"/>
    <w:rsid w:val="00D647FA"/>
    <w:rsid w:val="00D6482D"/>
    <w:rsid w:val="00D64A1C"/>
    <w:rsid w:val="00D651B5"/>
    <w:rsid w:val="00D65438"/>
    <w:rsid w:val="00D65454"/>
    <w:rsid w:val="00D658BC"/>
    <w:rsid w:val="00D65B09"/>
    <w:rsid w:val="00D65D3A"/>
    <w:rsid w:val="00D66039"/>
    <w:rsid w:val="00D675A2"/>
    <w:rsid w:val="00D67985"/>
    <w:rsid w:val="00D67AC7"/>
    <w:rsid w:val="00D67B24"/>
    <w:rsid w:val="00D70005"/>
    <w:rsid w:val="00D700CE"/>
    <w:rsid w:val="00D71279"/>
    <w:rsid w:val="00D72540"/>
    <w:rsid w:val="00D7256D"/>
    <w:rsid w:val="00D72722"/>
    <w:rsid w:val="00D728ED"/>
    <w:rsid w:val="00D729BF"/>
    <w:rsid w:val="00D73B9D"/>
    <w:rsid w:val="00D73E11"/>
    <w:rsid w:val="00D73EED"/>
    <w:rsid w:val="00D74352"/>
    <w:rsid w:val="00D74642"/>
    <w:rsid w:val="00D74DC6"/>
    <w:rsid w:val="00D7536E"/>
    <w:rsid w:val="00D75528"/>
    <w:rsid w:val="00D75818"/>
    <w:rsid w:val="00D7619C"/>
    <w:rsid w:val="00D763A4"/>
    <w:rsid w:val="00D765F9"/>
    <w:rsid w:val="00D7660C"/>
    <w:rsid w:val="00D76B06"/>
    <w:rsid w:val="00D76D31"/>
    <w:rsid w:val="00D80286"/>
    <w:rsid w:val="00D807F2"/>
    <w:rsid w:val="00D80958"/>
    <w:rsid w:val="00D80D65"/>
    <w:rsid w:val="00D80FD3"/>
    <w:rsid w:val="00D8120A"/>
    <w:rsid w:val="00D81368"/>
    <w:rsid w:val="00D81389"/>
    <w:rsid w:val="00D8198E"/>
    <w:rsid w:val="00D81DE5"/>
    <w:rsid w:val="00D81F3F"/>
    <w:rsid w:val="00D8211A"/>
    <w:rsid w:val="00D83449"/>
    <w:rsid w:val="00D83610"/>
    <w:rsid w:val="00D83929"/>
    <w:rsid w:val="00D83D54"/>
    <w:rsid w:val="00D83D8F"/>
    <w:rsid w:val="00D84271"/>
    <w:rsid w:val="00D84FAD"/>
    <w:rsid w:val="00D8514B"/>
    <w:rsid w:val="00D85863"/>
    <w:rsid w:val="00D8596A"/>
    <w:rsid w:val="00D85B5F"/>
    <w:rsid w:val="00D86196"/>
    <w:rsid w:val="00D86919"/>
    <w:rsid w:val="00D86993"/>
    <w:rsid w:val="00D86EE1"/>
    <w:rsid w:val="00D8705E"/>
    <w:rsid w:val="00D87399"/>
    <w:rsid w:val="00D905FD"/>
    <w:rsid w:val="00D906D3"/>
    <w:rsid w:val="00D90834"/>
    <w:rsid w:val="00D90C6F"/>
    <w:rsid w:val="00D90E6E"/>
    <w:rsid w:val="00D91129"/>
    <w:rsid w:val="00D914EE"/>
    <w:rsid w:val="00D91553"/>
    <w:rsid w:val="00D91DFD"/>
    <w:rsid w:val="00D924E9"/>
    <w:rsid w:val="00D92BDE"/>
    <w:rsid w:val="00D9352E"/>
    <w:rsid w:val="00D93A41"/>
    <w:rsid w:val="00D94028"/>
    <w:rsid w:val="00D94418"/>
    <w:rsid w:val="00D944A7"/>
    <w:rsid w:val="00D945C1"/>
    <w:rsid w:val="00D94773"/>
    <w:rsid w:val="00D94CD1"/>
    <w:rsid w:val="00D94D16"/>
    <w:rsid w:val="00D9533B"/>
    <w:rsid w:val="00D957ED"/>
    <w:rsid w:val="00D95A47"/>
    <w:rsid w:val="00D961B5"/>
    <w:rsid w:val="00D96219"/>
    <w:rsid w:val="00D963D4"/>
    <w:rsid w:val="00D97B58"/>
    <w:rsid w:val="00D97FE3"/>
    <w:rsid w:val="00DA04FF"/>
    <w:rsid w:val="00DA1008"/>
    <w:rsid w:val="00DA15B8"/>
    <w:rsid w:val="00DA19A5"/>
    <w:rsid w:val="00DA2CE5"/>
    <w:rsid w:val="00DA2D60"/>
    <w:rsid w:val="00DA3CB9"/>
    <w:rsid w:val="00DA3FE2"/>
    <w:rsid w:val="00DA42DC"/>
    <w:rsid w:val="00DA48C6"/>
    <w:rsid w:val="00DA4B41"/>
    <w:rsid w:val="00DA50FA"/>
    <w:rsid w:val="00DA5A20"/>
    <w:rsid w:val="00DA5D1D"/>
    <w:rsid w:val="00DA62F4"/>
    <w:rsid w:val="00DA6319"/>
    <w:rsid w:val="00DB05C9"/>
    <w:rsid w:val="00DB09C2"/>
    <w:rsid w:val="00DB116C"/>
    <w:rsid w:val="00DB1E27"/>
    <w:rsid w:val="00DB1E96"/>
    <w:rsid w:val="00DB2328"/>
    <w:rsid w:val="00DB2457"/>
    <w:rsid w:val="00DB27BD"/>
    <w:rsid w:val="00DB31C5"/>
    <w:rsid w:val="00DB3602"/>
    <w:rsid w:val="00DB36FE"/>
    <w:rsid w:val="00DB3A7D"/>
    <w:rsid w:val="00DB4214"/>
    <w:rsid w:val="00DB4985"/>
    <w:rsid w:val="00DB51F4"/>
    <w:rsid w:val="00DB5DA7"/>
    <w:rsid w:val="00DB65F8"/>
    <w:rsid w:val="00DB6BAC"/>
    <w:rsid w:val="00DB7901"/>
    <w:rsid w:val="00DB7E31"/>
    <w:rsid w:val="00DC0159"/>
    <w:rsid w:val="00DC0439"/>
    <w:rsid w:val="00DC09CC"/>
    <w:rsid w:val="00DC0BBE"/>
    <w:rsid w:val="00DC0DD6"/>
    <w:rsid w:val="00DC0F33"/>
    <w:rsid w:val="00DC1921"/>
    <w:rsid w:val="00DC1A63"/>
    <w:rsid w:val="00DC1AA3"/>
    <w:rsid w:val="00DC1B94"/>
    <w:rsid w:val="00DC1D07"/>
    <w:rsid w:val="00DC20A8"/>
    <w:rsid w:val="00DC2692"/>
    <w:rsid w:val="00DC30E4"/>
    <w:rsid w:val="00DC3BC4"/>
    <w:rsid w:val="00DC3DE8"/>
    <w:rsid w:val="00DC3F72"/>
    <w:rsid w:val="00DC444A"/>
    <w:rsid w:val="00DC4683"/>
    <w:rsid w:val="00DC483A"/>
    <w:rsid w:val="00DC510B"/>
    <w:rsid w:val="00DC69EF"/>
    <w:rsid w:val="00DC7E06"/>
    <w:rsid w:val="00DD01F9"/>
    <w:rsid w:val="00DD0368"/>
    <w:rsid w:val="00DD0686"/>
    <w:rsid w:val="00DD0ACB"/>
    <w:rsid w:val="00DD0DC3"/>
    <w:rsid w:val="00DD0E4E"/>
    <w:rsid w:val="00DD1305"/>
    <w:rsid w:val="00DD1AC9"/>
    <w:rsid w:val="00DD20AD"/>
    <w:rsid w:val="00DD2DD0"/>
    <w:rsid w:val="00DD3633"/>
    <w:rsid w:val="00DD3B36"/>
    <w:rsid w:val="00DD5058"/>
    <w:rsid w:val="00DD5874"/>
    <w:rsid w:val="00DD5F07"/>
    <w:rsid w:val="00DD61AF"/>
    <w:rsid w:val="00DD63FF"/>
    <w:rsid w:val="00DD655B"/>
    <w:rsid w:val="00DD675B"/>
    <w:rsid w:val="00DD6CDD"/>
    <w:rsid w:val="00DD7A6B"/>
    <w:rsid w:val="00DD7AAA"/>
    <w:rsid w:val="00DD7C99"/>
    <w:rsid w:val="00DE031D"/>
    <w:rsid w:val="00DE0BBD"/>
    <w:rsid w:val="00DE142F"/>
    <w:rsid w:val="00DE167B"/>
    <w:rsid w:val="00DE1732"/>
    <w:rsid w:val="00DE1B68"/>
    <w:rsid w:val="00DE2406"/>
    <w:rsid w:val="00DE29DD"/>
    <w:rsid w:val="00DE3034"/>
    <w:rsid w:val="00DE3A7F"/>
    <w:rsid w:val="00DE3C0C"/>
    <w:rsid w:val="00DE3CE8"/>
    <w:rsid w:val="00DE3FFD"/>
    <w:rsid w:val="00DE4769"/>
    <w:rsid w:val="00DE4AA2"/>
    <w:rsid w:val="00DE4DE4"/>
    <w:rsid w:val="00DE51D6"/>
    <w:rsid w:val="00DE5ADC"/>
    <w:rsid w:val="00DE5C0A"/>
    <w:rsid w:val="00DE5C13"/>
    <w:rsid w:val="00DE5E6D"/>
    <w:rsid w:val="00DE64A0"/>
    <w:rsid w:val="00DE6805"/>
    <w:rsid w:val="00DE6BD8"/>
    <w:rsid w:val="00DE6DDE"/>
    <w:rsid w:val="00DE6FFE"/>
    <w:rsid w:val="00DE709F"/>
    <w:rsid w:val="00DE73A3"/>
    <w:rsid w:val="00DE77D1"/>
    <w:rsid w:val="00DE7C01"/>
    <w:rsid w:val="00DF0972"/>
    <w:rsid w:val="00DF0AC0"/>
    <w:rsid w:val="00DF0D8A"/>
    <w:rsid w:val="00DF0E4E"/>
    <w:rsid w:val="00DF103D"/>
    <w:rsid w:val="00DF138D"/>
    <w:rsid w:val="00DF14E8"/>
    <w:rsid w:val="00DF188E"/>
    <w:rsid w:val="00DF18C1"/>
    <w:rsid w:val="00DF26B3"/>
    <w:rsid w:val="00DF356C"/>
    <w:rsid w:val="00DF366D"/>
    <w:rsid w:val="00DF3BA4"/>
    <w:rsid w:val="00DF4670"/>
    <w:rsid w:val="00DF50C9"/>
    <w:rsid w:val="00DF564C"/>
    <w:rsid w:val="00DF5FA0"/>
    <w:rsid w:val="00DF6DA0"/>
    <w:rsid w:val="00DF6E05"/>
    <w:rsid w:val="00DF739F"/>
    <w:rsid w:val="00DF7418"/>
    <w:rsid w:val="00DF7DFD"/>
    <w:rsid w:val="00E00133"/>
    <w:rsid w:val="00E00182"/>
    <w:rsid w:val="00E006E1"/>
    <w:rsid w:val="00E01111"/>
    <w:rsid w:val="00E01233"/>
    <w:rsid w:val="00E0124A"/>
    <w:rsid w:val="00E01684"/>
    <w:rsid w:val="00E0260F"/>
    <w:rsid w:val="00E0274E"/>
    <w:rsid w:val="00E02DA1"/>
    <w:rsid w:val="00E0346F"/>
    <w:rsid w:val="00E03524"/>
    <w:rsid w:val="00E03932"/>
    <w:rsid w:val="00E03D24"/>
    <w:rsid w:val="00E03F3A"/>
    <w:rsid w:val="00E04015"/>
    <w:rsid w:val="00E04328"/>
    <w:rsid w:val="00E04A32"/>
    <w:rsid w:val="00E04BB7"/>
    <w:rsid w:val="00E0507D"/>
    <w:rsid w:val="00E05393"/>
    <w:rsid w:val="00E053B3"/>
    <w:rsid w:val="00E0567B"/>
    <w:rsid w:val="00E063EB"/>
    <w:rsid w:val="00E06500"/>
    <w:rsid w:val="00E0678B"/>
    <w:rsid w:val="00E067BF"/>
    <w:rsid w:val="00E06D6E"/>
    <w:rsid w:val="00E075BA"/>
    <w:rsid w:val="00E104AD"/>
    <w:rsid w:val="00E10F79"/>
    <w:rsid w:val="00E1141A"/>
    <w:rsid w:val="00E122E4"/>
    <w:rsid w:val="00E128E9"/>
    <w:rsid w:val="00E12A5F"/>
    <w:rsid w:val="00E12A74"/>
    <w:rsid w:val="00E135F3"/>
    <w:rsid w:val="00E135FF"/>
    <w:rsid w:val="00E13ABB"/>
    <w:rsid w:val="00E13B89"/>
    <w:rsid w:val="00E1412C"/>
    <w:rsid w:val="00E14870"/>
    <w:rsid w:val="00E1495B"/>
    <w:rsid w:val="00E14AC9"/>
    <w:rsid w:val="00E14C5D"/>
    <w:rsid w:val="00E14CED"/>
    <w:rsid w:val="00E14CFF"/>
    <w:rsid w:val="00E14D34"/>
    <w:rsid w:val="00E15243"/>
    <w:rsid w:val="00E1554A"/>
    <w:rsid w:val="00E1568F"/>
    <w:rsid w:val="00E156EF"/>
    <w:rsid w:val="00E15787"/>
    <w:rsid w:val="00E165CB"/>
    <w:rsid w:val="00E1678F"/>
    <w:rsid w:val="00E16EBE"/>
    <w:rsid w:val="00E16F28"/>
    <w:rsid w:val="00E16FAB"/>
    <w:rsid w:val="00E170B5"/>
    <w:rsid w:val="00E171AB"/>
    <w:rsid w:val="00E17276"/>
    <w:rsid w:val="00E176E7"/>
    <w:rsid w:val="00E176F0"/>
    <w:rsid w:val="00E17B31"/>
    <w:rsid w:val="00E17C1B"/>
    <w:rsid w:val="00E17E82"/>
    <w:rsid w:val="00E20112"/>
    <w:rsid w:val="00E201A2"/>
    <w:rsid w:val="00E20954"/>
    <w:rsid w:val="00E21CB7"/>
    <w:rsid w:val="00E2253D"/>
    <w:rsid w:val="00E22717"/>
    <w:rsid w:val="00E22788"/>
    <w:rsid w:val="00E2278C"/>
    <w:rsid w:val="00E228AD"/>
    <w:rsid w:val="00E22987"/>
    <w:rsid w:val="00E2400D"/>
    <w:rsid w:val="00E242C9"/>
    <w:rsid w:val="00E247B2"/>
    <w:rsid w:val="00E24DCE"/>
    <w:rsid w:val="00E2535A"/>
    <w:rsid w:val="00E257EA"/>
    <w:rsid w:val="00E25926"/>
    <w:rsid w:val="00E25DBF"/>
    <w:rsid w:val="00E260F4"/>
    <w:rsid w:val="00E266A9"/>
    <w:rsid w:val="00E266E2"/>
    <w:rsid w:val="00E26789"/>
    <w:rsid w:val="00E26CD4"/>
    <w:rsid w:val="00E273C9"/>
    <w:rsid w:val="00E27442"/>
    <w:rsid w:val="00E2764F"/>
    <w:rsid w:val="00E277E4"/>
    <w:rsid w:val="00E3044E"/>
    <w:rsid w:val="00E31491"/>
    <w:rsid w:val="00E31794"/>
    <w:rsid w:val="00E32C04"/>
    <w:rsid w:val="00E33007"/>
    <w:rsid w:val="00E332A8"/>
    <w:rsid w:val="00E337EA"/>
    <w:rsid w:val="00E33932"/>
    <w:rsid w:val="00E33D2E"/>
    <w:rsid w:val="00E33EEF"/>
    <w:rsid w:val="00E340D7"/>
    <w:rsid w:val="00E3434A"/>
    <w:rsid w:val="00E3468B"/>
    <w:rsid w:val="00E351FD"/>
    <w:rsid w:val="00E35F62"/>
    <w:rsid w:val="00E361A1"/>
    <w:rsid w:val="00E36597"/>
    <w:rsid w:val="00E3698A"/>
    <w:rsid w:val="00E36E08"/>
    <w:rsid w:val="00E37098"/>
    <w:rsid w:val="00E371FA"/>
    <w:rsid w:val="00E37451"/>
    <w:rsid w:val="00E40436"/>
    <w:rsid w:val="00E40545"/>
    <w:rsid w:val="00E40A6B"/>
    <w:rsid w:val="00E40CFD"/>
    <w:rsid w:val="00E40E5F"/>
    <w:rsid w:val="00E4208F"/>
    <w:rsid w:val="00E420FB"/>
    <w:rsid w:val="00E424E6"/>
    <w:rsid w:val="00E4355D"/>
    <w:rsid w:val="00E437C2"/>
    <w:rsid w:val="00E43989"/>
    <w:rsid w:val="00E439F6"/>
    <w:rsid w:val="00E43D0F"/>
    <w:rsid w:val="00E4472B"/>
    <w:rsid w:val="00E44EB4"/>
    <w:rsid w:val="00E45277"/>
    <w:rsid w:val="00E45728"/>
    <w:rsid w:val="00E45C81"/>
    <w:rsid w:val="00E45D45"/>
    <w:rsid w:val="00E46469"/>
    <w:rsid w:val="00E46568"/>
    <w:rsid w:val="00E476A7"/>
    <w:rsid w:val="00E4781D"/>
    <w:rsid w:val="00E478DA"/>
    <w:rsid w:val="00E47A56"/>
    <w:rsid w:val="00E47A5E"/>
    <w:rsid w:val="00E47AE5"/>
    <w:rsid w:val="00E47BBF"/>
    <w:rsid w:val="00E47CE5"/>
    <w:rsid w:val="00E50000"/>
    <w:rsid w:val="00E500CC"/>
    <w:rsid w:val="00E50206"/>
    <w:rsid w:val="00E506BE"/>
    <w:rsid w:val="00E506E1"/>
    <w:rsid w:val="00E511D7"/>
    <w:rsid w:val="00E51CD1"/>
    <w:rsid w:val="00E51D2C"/>
    <w:rsid w:val="00E52024"/>
    <w:rsid w:val="00E52688"/>
    <w:rsid w:val="00E526DA"/>
    <w:rsid w:val="00E5459D"/>
    <w:rsid w:val="00E5479C"/>
    <w:rsid w:val="00E549C1"/>
    <w:rsid w:val="00E549D8"/>
    <w:rsid w:val="00E54C0B"/>
    <w:rsid w:val="00E54C4F"/>
    <w:rsid w:val="00E55501"/>
    <w:rsid w:val="00E55720"/>
    <w:rsid w:val="00E55790"/>
    <w:rsid w:val="00E55BC6"/>
    <w:rsid w:val="00E55F3D"/>
    <w:rsid w:val="00E56C78"/>
    <w:rsid w:val="00E572C5"/>
    <w:rsid w:val="00E57C1B"/>
    <w:rsid w:val="00E57E8E"/>
    <w:rsid w:val="00E606CA"/>
    <w:rsid w:val="00E60A5A"/>
    <w:rsid w:val="00E60D48"/>
    <w:rsid w:val="00E612A0"/>
    <w:rsid w:val="00E617BF"/>
    <w:rsid w:val="00E617D4"/>
    <w:rsid w:val="00E61958"/>
    <w:rsid w:val="00E62328"/>
    <w:rsid w:val="00E6241A"/>
    <w:rsid w:val="00E62DDE"/>
    <w:rsid w:val="00E62E52"/>
    <w:rsid w:val="00E62F0D"/>
    <w:rsid w:val="00E632CA"/>
    <w:rsid w:val="00E63655"/>
    <w:rsid w:val="00E63925"/>
    <w:rsid w:val="00E64F4B"/>
    <w:rsid w:val="00E6513A"/>
    <w:rsid w:val="00E65487"/>
    <w:rsid w:val="00E65649"/>
    <w:rsid w:val="00E65FBA"/>
    <w:rsid w:val="00E667F8"/>
    <w:rsid w:val="00E66AC1"/>
    <w:rsid w:val="00E66F04"/>
    <w:rsid w:val="00E703DF"/>
    <w:rsid w:val="00E711F9"/>
    <w:rsid w:val="00E713F6"/>
    <w:rsid w:val="00E72543"/>
    <w:rsid w:val="00E730D1"/>
    <w:rsid w:val="00E73231"/>
    <w:rsid w:val="00E737CE"/>
    <w:rsid w:val="00E744CB"/>
    <w:rsid w:val="00E74D40"/>
    <w:rsid w:val="00E7520C"/>
    <w:rsid w:val="00E75291"/>
    <w:rsid w:val="00E753BB"/>
    <w:rsid w:val="00E759E2"/>
    <w:rsid w:val="00E76151"/>
    <w:rsid w:val="00E76272"/>
    <w:rsid w:val="00E76354"/>
    <w:rsid w:val="00E765ED"/>
    <w:rsid w:val="00E7669A"/>
    <w:rsid w:val="00E7712E"/>
    <w:rsid w:val="00E773F1"/>
    <w:rsid w:val="00E77413"/>
    <w:rsid w:val="00E804A5"/>
    <w:rsid w:val="00E80C03"/>
    <w:rsid w:val="00E80D82"/>
    <w:rsid w:val="00E80E33"/>
    <w:rsid w:val="00E81312"/>
    <w:rsid w:val="00E81783"/>
    <w:rsid w:val="00E81F64"/>
    <w:rsid w:val="00E8227B"/>
    <w:rsid w:val="00E8255D"/>
    <w:rsid w:val="00E82579"/>
    <w:rsid w:val="00E82743"/>
    <w:rsid w:val="00E827C9"/>
    <w:rsid w:val="00E8289C"/>
    <w:rsid w:val="00E82979"/>
    <w:rsid w:val="00E82A36"/>
    <w:rsid w:val="00E84062"/>
    <w:rsid w:val="00E84B3A"/>
    <w:rsid w:val="00E84DAA"/>
    <w:rsid w:val="00E856E3"/>
    <w:rsid w:val="00E8571B"/>
    <w:rsid w:val="00E85B06"/>
    <w:rsid w:val="00E86799"/>
    <w:rsid w:val="00E86AB1"/>
    <w:rsid w:val="00E870BE"/>
    <w:rsid w:val="00E87260"/>
    <w:rsid w:val="00E87358"/>
    <w:rsid w:val="00E878AF"/>
    <w:rsid w:val="00E87A1C"/>
    <w:rsid w:val="00E87C05"/>
    <w:rsid w:val="00E87C23"/>
    <w:rsid w:val="00E9013D"/>
    <w:rsid w:val="00E90269"/>
    <w:rsid w:val="00E90555"/>
    <w:rsid w:val="00E905C5"/>
    <w:rsid w:val="00E90B03"/>
    <w:rsid w:val="00E90BF0"/>
    <w:rsid w:val="00E91BC1"/>
    <w:rsid w:val="00E91D0A"/>
    <w:rsid w:val="00E922DC"/>
    <w:rsid w:val="00E92C61"/>
    <w:rsid w:val="00E936C8"/>
    <w:rsid w:val="00E9422F"/>
    <w:rsid w:val="00E960EC"/>
    <w:rsid w:val="00E9626E"/>
    <w:rsid w:val="00E96694"/>
    <w:rsid w:val="00E96A03"/>
    <w:rsid w:val="00E96A59"/>
    <w:rsid w:val="00E972DF"/>
    <w:rsid w:val="00E97479"/>
    <w:rsid w:val="00E975F0"/>
    <w:rsid w:val="00E976EB"/>
    <w:rsid w:val="00E97CAC"/>
    <w:rsid w:val="00E97FB8"/>
    <w:rsid w:val="00EA0048"/>
    <w:rsid w:val="00EA0485"/>
    <w:rsid w:val="00EA0668"/>
    <w:rsid w:val="00EA0B73"/>
    <w:rsid w:val="00EA0B82"/>
    <w:rsid w:val="00EA1A9D"/>
    <w:rsid w:val="00EA1EEF"/>
    <w:rsid w:val="00EA247E"/>
    <w:rsid w:val="00EA2E20"/>
    <w:rsid w:val="00EA3334"/>
    <w:rsid w:val="00EA3D2E"/>
    <w:rsid w:val="00EA40D3"/>
    <w:rsid w:val="00EA48CA"/>
    <w:rsid w:val="00EA4B70"/>
    <w:rsid w:val="00EA5341"/>
    <w:rsid w:val="00EA561A"/>
    <w:rsid w:val="00EA565F"/>
    <w:rsid w:val="00EA5EB9"/>
    <w:rsid w:val="00EA61A6"/>
    <w:rsid w:val="00EA61B8"/>
    <w:rsid w:val="00EA61F7"/>
    <w:rsid w:val="00EA6287"/>
    <w:rsid w:val="00EA6B35"/>
    <w:rsid w:val="00EA6C23"/>
    <w:rsid w:val="00EA7680"/>
    <w:rsid w:val="00EA7A11"/>
    <w:rsid w:val="00EA7A3D"/>
    <w:rsid w:val="00EA7AC9"/>
    <w:rsid w:val="00EB06FB"/>
    <w:rsid w:val="00EB0AF3"/>
    <w:rsid w:val="00EB0BC8"/>
    <w:rsid w:val="00EB26CB"/>
    <w:rsid w:val="00EB287F"/>
    <w:rsid w:val="00EB292F"/>
    <w:rsid w:val="00EB29EE"/>
    <w:rsid w:val="00EB2AA3"/>
    <w:rsid w:val="00EB2B10"/>
    <w:rsid w:val="00EB2EAE"/>
    <w:rsid w:val="00EB3713"/>
    <w:rsid w:val="00EB4B4F"/>
    <w:rsid w:val="00EB4FDE"/>
    <w:rsid w:val="00EB5095"/>
    <w:rsid w:val="00EB5312"/>
    <w:rsid w:val="00EB5952"/>
    <w:rsid w:val="00EB5DEC"/>
    <w:rsid w:val="00EB5E17"/>
    <w:rsid w:val="00EB6241"/>
    <w:rsid w:val="00EB6573"/>
    <w:rsid w:val="00EB674E"/>
    <w:rsid w:val="00EB6CE8"/>
    <w:rsid w:val="00EB6FAC"/>
    <w:rsid w:val="00EB6FC4"/>
    <w:rsid w:val="00EB6FEC"/>
    <w:rsid w:val="00EB7C60"/>
    <w:rsid w:val="00EC028D"/>
    <w:rsid w:val="00EC08F4"/>
    <w:rsid w:val="00EC0FB2"/>
    <w:rsid w:val="00EC11A7"/>
    <w:rsid w:val="00EC141F"/>
    <w:rsid w:val="00EC14DF"/>
    <w:rsid w:val="00EC151D"/>
    <w:rsid w:val="00EC1570"/>
    <w:rsid w:val="00EC169C"/>
    <w:rsid w:val="00EC18F7"/>
    <w:rsid w:val="00EC1D13"/>
    <w:rsid w:val="00EC21ED"/>
    <w:rsid w:val="00EC2340"/>
    <w:rsid w:val="00EC28E4"/>
    <w:rsid w:val="00EC2B20"/>
    <w:rsid w:val="00EC2B4B"/>
    <w:rsid w:val="00EC2D4F"/>
    <w:rsid w:val="00EC3362"/>
    <w:rsid w:val="00EC3B89"/>
    <w:rsid w:val="00EC3DE4"/>
    <w:rsid w:val="00EC431B"/>
    <w:rsid w:val="00EC441B"/>
    <w:rsid w:val="00EC45D5"/>
    <w:rsid w:val="00EC4F62"/>
    <w:rsid w:val="00EC53C3"/>
    <w:rsid w:val="00EC54EB"/>
    <w:rsid w:val="00EC5570"/>
    <w:rsid w:val="00EC58F6"/>
    <w:rsid w:val="00EC5923"/>
    <w:rsid w:val="00EC5D77"/>
    <w:rsid w:val="00EC6306"/>
    <w:rsid w:val="00EC6557"/>
    <w:rsid w:val="00EC669E"/>
    <w:rsid w:val="00EC6A59"/>
    <w:rsid w:val="00EC700E"/>
    <w:rsid w:val="00EC7511"/>
    <w:rsid w:val="00EC7B33"/>
    <w:rsid w:val="00ED0278"/>
    <w:rsid w:val="00ED093F"/>
    <w:rsid w:val="00ED0AD7"/>
    <w:rsid w:val="00ED0E48"/>
    <w:rsid w:val="00ED1506"/>
    <w:rsid w:val="00ED1C3B"/>
    <w:rsid w:val="00ED210B"/>
    <w:rsid w:val="00ED222E"/>
    <w:rsid w:val="00ED22CA"/>
    <w:rsid w:val="00ED2768"/>
    <w:rsid w:val="00ED2871"/>
    <w:rsid w:val="00ED3092"/>
    <w:rsid w:val="00ED34B1"/>
    <w:rsid w:val="00ED3611"/>
    <w:rsid w:val="00ED3DD2"/>
    <w:rsid w:val="00ED412C"/>
    <w:rsid w:val="00ED4135"/>
    <w:rsid w:val="00ED46DA"/>
    <w:rsid w:val="00ED4B07"/>
    <w:rsid w:val="00ED50EC"/>
    <w:rsid w:val="00ED54D5"/>
    <w:rsid w:val="00ED58FF"/>
    <w:rsid w:val="00ED5BC3"/>
    <w:rsid w:val="00ED5D00"/>
    <w:rsid w:val="00ED60F2"/>
    <w:rsid w:val="00ED7436"/>
    <w:rsid w:val="00ED78C3"/>
    <w:rsid w:val="00EE02AB"/>
    <w:rsid w:val="00EE0C68"/>
    <w:rsid w:val="00EE0E59"/>
    <w:rsid w:val="00EE0F08"/>
    <w:rsid w:val="00EE0FF8"/>
    <w:rsid w:val="00EE15F8"/>
    <w:rsid w:val="00EE1CB4"/>
    <w:rsid w:val="00EE1DD5"/>
    <w:rsid w:val="00EE20D9"/>
    <w:rsid w:val="00EE2B0E"/>
    <w:rsid w:val="00EE3242"/>
    <w:rsid w:val="00EE358F"/>
    <w:rsid w:val="00EE3B52"/>
    <w:rsid w:val="00EE4A61"/>
    <w:rsid w:val="00EE4F65"/>
    <w:rsid w:val="00EE4F75"/>
    <w:rsid w:val="00EE5308"/>
    <w:rsid w:val="00EE552B"/>
    <w:rsid w:val="00EE5A0D"/>
    <w:rsid w:val="00EE66FD"/>
    <w:rsid w:val="00EE6DE2"/>
    <w:rsid w:val="00EE73CC"/>
    <w:rsid w:val="00EE74D9"/>
    <w:rsid w:val="00EE7AFC"/>
    <w:rsid w:val="00EE7B08"/>
    <w:rsid w:val="00EE7C27"/>
    <w:rsid w:val="00EE7D5F"/>
    <w:rsid w:val="00EF157D"/>
    <w:rsid w:val="00EF1644"/>
    <w:rsid w:val="00EF17BC"/>
    <w:rsid w:val="00EF18C9"/>
    <w:rsid w:val="00EF1F09"/>
    <w:rsid w:val="00EF2072"/>
    <w:rsid w:val="00EF2A51"/>
    <w:rsid w:val="00EF2B1F"/>
    <w:rsid w:val="00EF2C38"/>
    <w:rsid w:val="00EF37B2"/>
    <w:rsid w:val="00EF37FE"/>
    <w:rsid w:val="00EF3C48"/>
    <w:rsid w:val="00EF43BA"/>
    <w:rsid w:val="00EF4511"/>
    <w:rsid w:val="00EF45C4"/>
    <w:rsid w:val="00EF49D7"/>
    <w:rsid w:val="00EF513C"/>
    <w:rsid w:val="00EF5D5F"/>
    <w:rsid w:val="00EF6171"/>
    <w:rsid w:val="00EF6255"/>
    <w:rsid w:val="00EF6330"/>
    <w:rsid w:val="00EF681D"/>
    <w:rsid w:val="00EF7409"/>
    <w:rsid w:val="00EF7E9E"/>
    <w:rsid w:val="00EF7EEF"/>
    <w:rsid w:val="00F0009E"/>
    <w:rsid w:val="00F00528"/>
    <w:rsid w:val="00F00910"/>
    <w:rsid w:val="00F00915"/>
    <w:rsid w:val="00F00C24"/>
    <w:rsid w:val="00F00E56"/>
    <w:rsid w:val="00F00EF5"/>
    <w:rsid w:val="00F00FEC"/>
    <w:rsid w:val="00F010F9"/>
    <w:rsid w:val="00F0158A"/>
    <w:rsid w:val="00F015CB"/>
    <w:rsid w:val="00F01799"/>
    <w:rsid w:val="00F01C37"/>
    <w:rsid w:val="00F024CA"/>
    <w:rsid w:val="00F02586"/>
    <w:rsid w:val="00F02A17"/>
    <w:rsid w:val="00F02F2C"/>
    <w:rsid w:val="00F032C7"/>
    <w:rsid w:val="00F032CB"/>
    <w:rsid w:val="00F04298"/>
    <w:rsid w:val="00F04303"/>
    <w:rsid w:val="00F044B2"/>
    <w:rsid w:val="00F0544E"/>
    <w:rsid w:val="00F054A5"/>
    <w:rsid w:val="00F0553C"/>
    <w:rsid w:val="00F05E09"/>
    <w:rsid w:val="00F0696A"/>
    <w:rsid w:val="00F069AF"/>
    <w:rsid w:val="00F06A1E"/>
    <w:rsid w:val="00F0764F"/>
    <w:rsid w:val="00F10093"/>
    <w:rsid w:val="00F10582"/>
    <w:rsid w:val="00F108E8"/>
    <w:rsid w:val="00F1188C"/>
    <w:rsid w:val="00F11D09"/>
    <w:rsid w:val="00F12284"/>
    <w:rsid w:val="00F126B2"/>
    <w:rsid w:val="00F12966"/>
    <w:rsid w:val="00F12B0B"/>
    <w:rsid w:val="00F12BA9"/>
    <w:rsid w:val="00F12DE4"/>
    <w:rsid w:val="00F13014"/>
    <w:rsid w:val="00F1322F"/>
    <w:rsid w:val="00F1358E"/>
    <w:rsid w:val="00F13CDC"/>
    <w:rsid w:val="00F13F40"/>
    <w:rsid w:val="00F1435D"/>
    <w:rsid w:val="00F153E1"/>
    <w:rsid w:val="00F15F0E"/>
    <w:rsid w:val="00F175D3"/>
    <w:rsid w:val="00F17CC2"/>
    <w:rsid w:val="00F201AB"/>
    <w:rsid w:val="00F207BF"/>
    <w:rsid w:val="00F207CD"/>
    <w:rsid w:val="00F2090A"/>
    <w:rsid w:val="00F20EC8"/>
    <w:rsid w:val="00F20FBF"/>
    <w:rsid w:val="00F2142B"/>
    <w:rsid w:val="00F221C1"/>
    <w:rsid w:val="00F226E4"/>
    <w:rsid w:val="00F231B7"/>
    <w:rsid w:val="00F23C39"/>
    <w:rsid w:val="00F24324"/>
    <w:rsid w:val="00F2438D"/>
    <w:rsid w:val="00F248FC"/>
    <w:rsid w:val="00F24C28"/>
    <w:rsid w:val="00F253AC"/>
    <w:rsid w:val="00F2544E"/>
    <w:rsid w:val="00F25508"/>
    <w:rsid w:val="00F259D8"/>
    <w:rsid w:val="00F2601C"/>
    <w:rsid w:val="00F26041"/>
    <w:rsid w:val="00F26058"/>
    <w:rsid w:val="00F26253"/>
    <w:rsid w:val="00F26446"/>
    <w:rsid w:val="00F27186"/>
    <w:rsid w:val="00F2775F"/>
    <w:rsid w:val="00F27876"/>
    <w:rsid w:val="00F27EC4"/>
    <w:rsid w:val="00F30C63"/>
    <w:rsid w:val="00F30D9D"/>
    <w:rsid w:val="00F30DD4"/>
    <w:rsid w:val="00F30F09"/>
    <w:rsid w:val="00F31084"/>
    <w:rsid w:val="00F328F7"/>
    <w:rsid w:val="00F32A57"/>
    <w:rsid w:val="00F32B98"/>
    <w:rsid w:val="00F32D7A"/>
    <w:rsid w:val="00F33134"/>
    <w:rsid w:val="00F333DE"/>
    <w:rsid w:val="00F33CF1"/>
    <w:rsid w:val="00F340D4"/>
    <w:rsid w:val="00F3440A"/>
    <w:rsid w:val="00F345F8"/>
    <w:rsid w:val="00F352F6"/>
    <w:rsid w:val="00F353F6"/>
    <w:rsid w:val="00F354F6"/>
    <w:rsid w:val="00F3564C"/>
    <w:rsid w:val="00F35A13"/>
    <w:rsid w:val="00F35D9D"/>
    <w:rsid w:val="00F35DB8"/>
    <w:rsid w:val="00F369EE"/>
    <w:rsid w:val="00F36A1B"/>
    <w:rsid w:val="00F3774E"/>
    <w:rsid w:val="00F37847"/>
    <w:rsid w:val="00F37E90"/>
    <w:rsid w:val="00F37F5C"/>
    <w:rsid w:val="00F40E88"/>
    <w:rsid w:val="00F41146"/>
    <w:rsid w:val="00F4158D"/>
    <w:rsid w:val="00F422CD"/>
    <w:rsid w:val="00F42784"/>
    <w:rsid w:val="00F42B52"/>
    <w:rsid w:val="00F42C3F"/>
    <w:rsid w:val="00F42E1A"/>
    <w:rsid w:val="00F42FF1"/>
    <w:rsid w:val="00F430D5"/>
    <w:rsid w:val="00F434B0"/>
    <w:rsid w:val="00F434DA"/>
    <w:rsid w:val="00F44377"/>
    <w:rsid w:val="00F443D5"/>
    <w:rsid w:val="00F45372"/>
    <w:rsid w:val="00F45BA7"/>
    <w:rsid w:val="00F45D36"/>
    <w:rsid w:val="00F46B89"/>
    <w:rsid w:val="00F473D5"/>
    <w:rsid w:val="00F47498"/>
    <w:rsid w:val="00F47811"/>
    <w:rsid w:val="00F47DB2"/>
    <w:rsid w:val="00F50350"/>
    <w:rsid w:val="00F50C8F"/>
    <w:rsid w:val="00F50E1A"/>
    <w:rsid w:val="00F50EC5"/>
    <w:rsid w:val="00F511FC"/>
    <w:rsid w:val="00F51371"/>
    <w:rsid w:val="00F51888"/>
    <w:rsid w:val="00F51CA1"/>
    <w:rsid w:val="00F5219C"/>
    <w:rsid w:val="00F52ECC"/>
    <w:rsid w:val="00F53013"/>
    <w:rsid w:val="00F53514"/>
    <w:rsid w:val="00F5471F"/>
    <w:rsid w:val="00F54C42"/>
    <w:rsid w:val="00F54DFB"/>
    <w:rsid w:val="00F550D8"/>
    <w:rsid w:val="00F553A7"/>
    <w:rsid w:val="00F554D6"/>
    <w:rsid w:val="00F55807"/>
    <w:rsid w:val="00F55AA8"/>
    <w:rsid w:val="00F55B7D"/>
    <w:rsid w:val="00F55D2A"/>
    <w:rsid w:val="00F55E26"/>
    <w:rsid w:val="00F56322"/>
    <w:rsid w:val="00F5648C"/>
    <w:rsid w:val="00F57461"/>
    <w:rsid w:val="00F57707"/>
    <w:rsid w:val="00F578F7"/>
    <w:rsid w:val="00F57E9F"/>
    <w:rsid w:val="00F57EFA"/>
    <w:rsid w:val="00F60233"/>
    <w:rsid w:val="00F60C4E"/>
    <w:rsid w:val="00F6113C"/>
    <w:rsid w:val="00F61DED"/>
    <w:rsid w:val="00F6217D"/>
    <w:rsid w:val="00F629F7"/>
    <w:rsid w:val="00F62A16"/>
    <w:rsid w:val="00F62B51"/>
    <w:rsid w:val="00F62B94"/>
    <w:rsid w:val="00F63096"/>
    <w:rsid w:val="00F631D0"/>
    <w:rsid w:val="00F636EA"/>
    <w:rsid w:val="00F63ABB"/>
    <w:rsid w:val="00F63E0D"/>
    <w:rsid w:val="00F64480"/>
    <w:rsid w:val="00F64538"/>
    <w:rsid w:val="00F6457F"/>
    <w:rsid w:val="00F647F0"/>
    <w:rsid w:val="00F64CF2"/>
    <w:rsid w:val="00F64D16"/>
    <w:rsid w:val="00F652A4"/>
    <w:rsid w:val="00F6544B"/>
    <w:rsid w:val="00F657CB"/>
    <w:rsid w:val="00F65B53"/>
    <w:rsid w:val="00F65D09"/>
    <w:rsid w:val="00F66728"/>
    <w:rsid w:val="00F66DD4"/>
    <w:rsid w:val="00F67115"/>
    <w:rsid w:val="00F67376"/>
    <w:rsid w:val="00F676B5"/>
    <w:rsid w:val="00F67CA3"/>
    <w:rsid w:val="00F701A9"/>
    <w:rsid w:val="00F70458"/>
    <w:rsid w:val="00F706E5"/>
    <w:rsid w:val="00F72213"/>
    <w:rsid w:val="00F735A8"/>
    <w:rsid w:val="00F73AD3"/>
    <w:rsid w:val="00F73D60"/>
    <w:rsid w:val="00F73DFA"/>
    <w:rsid w:val="00F7492C"/>
    <w:rsid w:val="00F74A1D"/>
    <w:rsid w:val="00F74AAA"/>
    <w:rsid w:val="00F75443"/>
    <w:rsid w:val="00F7555D"/>
    <w:rsid w:val="00F755A4"/>
    <w:rsid w:val="00F75CA6"/>
    <w:rsid w:val="00F763A2"/>
    <w:rsid w:val="00F7660E"/>
    <w:rsid w:val="00F76888"/>
    <w:rsid w:val="00F76D76"/>
    <w:rsid w:val="00F774E3"/>
    <w:rsid w:val="00F77700"/>
    <w:rsid w:val="00F77804"/>
    <w:rsid w:val="00F8076F"/>
    <w:rsid w:val="00F80CEE"/>
    <w:rsid w:val="00F8166F"/>
    <w:rsid w:val="00F816E3"/>
    <w:rsid w:val="00F81C70"/>
    <w:rsid w:val="00F81F0A"/>
    <w:rsid w:val="00F8248A"/>
    <w:rsid w:val="00F82552"/>
    <w:rsid w:val="00F82BEA"/>
    <w:rsid w:val="00F83134"/>
    <w:rsid w:val="00F8314B"/>
    <w:rsid w:val="00F83CE7"/>
    <w:rsid w:val="00F83D82"/>
    <w:rsid w:val="00F840BF"/>
    <w:rsid w:val="00F841A1"/>
    <w:rsid w:val="00F847AE"/>
    <w:rsid w:val="00F84CDE"/>
    <w:rsid w:val="00F84F6D"/>
    <w:rsid w:val="00F85130"/>
    <w:rsid w:val="00F85A1F"/>
    <w:rsid w:val="00F86435"/>
    <w:rsid w:val="00F87186"/>
    <w:rsid w:val="00F901DD"/>
    <w:rsid w:val="00F902D8"/>
    <w:rsid w:val="00F9037F"/>
    <w:rsid w:val="00F908EB"/>
    <w:rsid w:val="00F90B90"/>
    <w:rsid w:val="00F9198F"/>
    <w:rsid w:val="00F91BAE"/>
    <w:rsid w:val="00F91C3F"/>
    <w:rsid w:val="00F91E1E"/>
    <w:rsid w:val="00F91E43"/>
    <w:rsid w:val="00F92244"/>
    <w:rsid w:val="00F92392"/>
    <w:rsid w:val="00F92459"/>
    <w:rsid w:val="00F92712"/>
    <w:rsid w:val="00F929A2"/>
    <w:rsid w:val="00F92C7D"/>
    <w:rsid w:val="00F92DA0"/>
    <w:rsid w:val="00F92E70"/>
    <w:rsid w:val="00F93331"/>
    <w:rsid w:val="00F934BB"/>
    <w:rsid w:val="00F939B5"/>
    <w:rsid w:val="00F93A33"/>
    <w:rsid w:val="00F93AD3"/>
    <w:rsid w:val="00F93E6F"/>
    <w:rsid w:val="00F9421C"/>
    <w:rsid w:val="00F942DA"/>
    <w:rsid w:val="00F942FD"/>
    <w:rsid w:val="00F949FF"/>
    <w:rsid w:val="00F94DFF"/>
    <w:rsid w:val="00F94E2A"/>
    <w:rsid w:val="00F95093"/>
    <w:rsid w:val="00F95827"/>
    <w:rsid w:val="00F960F2"/>
    <w:rsid w:val="00F96AB2"/>
    <w:rsid w:val="00F96EC9"/>
    <w:rsid w:val="00F97535"/>
    <w:rsid w:val="00F976B5"/>
    <w:rsid w:val="00F97CD3"/>
    <w:rsid w:val="00F97F8D"/>
    <w:rsid w:val="00FA095B"/>
    <w:rsid w:val="00FA0981"/>
    <w:rsid w:val="00FA09C1"/>
    <w:rsid w:val="00FA0D1F"/>
    <w:rsid w:val="00FA165A"/>
    <w:rsid w:val="00FA2188"/>
    <w:rsid w:val="00FA286A"/>
    <w:rsid w:val="00FA296C"/>
    <w:rsid w:val="00FA2FEB"/>
    <w:rsid w:val="00FA359C"/>
    <w:rsid w:val="00FA37F4"/>
    <w:rsid w:val="00FA3A30"/>
    <w:rsid w:val="00FA416E"/>
    <w:rsid w:val="00FA481D"/>
    <w:rsid w:val="00FA4C75"/>
    <w:rsid w:val="00FA4E73"/>
    <w:rsid w:val="00FA51AB"/>
    <w:rsid w:val="00FA52B2"/>
    <w:rsid w:val="00FA5D5E"/>
    <w:rsid w:val="00FA6460"/>
    <w:rsid w:val="00FA666A"/>
    <w:rsid w:val="00FA68F7"/>
    <w:rsid w:val="00FA6A58"/>
    <w:rsid w:val="00FA735A"/>
    <w:rsid w:val="00FA7D96"/>
    <w:rsid w:val="00FB00D9"/>
    <w:rsid w:val="00FB0D7A"/>
    <w:rsid w:val="00FB105E"/>
    <w:rsid w:val="00FB1B8E"/>
    <w:rsid w:val="00FB1EB7"/>
    <w:rsid w:val="00FB21F5"/>
    <w:rsid w:val="00FB2625"/>
    <w:rsid w:val="00FB3271"/>
    <w:rsid w:val="00FB3BAE"/>
    <w:rsid w:val="00FB3F55"/>
    <w:rsid w:val="00FB489D"/>
    <w:rsid w:val="00FB48EC"/>
    <w:rsid w:val="00FB4CE3"/>
    <w:rsid w:val="00FB5A9A"/>
    <w:rsid w:val="00FB5C50"/>
    <w:rsid w:val="00FB5E89"/>
    <w:rsid w:val="00FB688C"/>
    <w:rsid w:val="00FB6DE0"/>
    <w:rsid w:val="00FB6F75"/>
    <w:rsid w:val="00FB7296"/>
    <w:rsid w:val="00FB78EB"/>
    <w:rsid w:val="00FC0C41"/>
    <w:rsid w:val="00FC0F30"/>
    <w:rsid w:val="00FC12E0"/>
    <w:rsid w:val="00FC16B9"/>
    <w:rsid w:val="00FC1D47"/>
    <w:rsid w:val="00FC25AC"/>
    <w:rsid w:val="00FC295A"/>
    <w:rsid w:val="00FC2FDB"/>
    <w:rsid w:val="00FC30E8"/>
    <w:rsid w:val="00FC32EC"/>
    <w:rsid w:val="00FC3403"/>
    <w:rsid w:val="00FC407C"/>
    <w:rsid w:val="00FC43FB"/>
    <w:rsid w:val="00FC4C98"/>
    <w:rsid w:val="00FC51E5"/>
    <w:rsid w:val="00FC5276"/>
    <w:rsid w:val="00FC551D"/>
    <w:rsid w:val="00FC5676"/>
    <w:rsid w:val="00FC5C29"/>
    <w:rsid w:val="00FC5C51"/>
    <w:rsid w:val="00FC6074"/>
    <w:rsid w:val="00FC619A"/>
    <w:rsid w:val="00FC681E"/>
    <w:rsid w:val="00FC7AB9"/>
    <w:rsid w:val="00FC7AC4"/>
    <w:rsid w:val="00FC7C01"/>
    <w:rsid w:val="00FC7DD7"/>
    <w:rsid w:val="00FC7ED9"/>
    <w:rsid w:val="00FC7FE0"/>
    <w:rsid w:val="00FD0219"/>
    <w:rsid w:val="00FD03FD"/>
    <w:rsid w:val="00FD07CB"/>
    <w:rsid w:val="00FD07DE"/>
    <w:rsid w:val="00FD10AC"/>
    <w:rsid w:val="00FD13F1"/>
    <w:rsid w:val="00FD2589"/>
    <w:rsid w:val="00FD28C3"/>
    <w:rsid w:val="00FD2CCC"/>
    <w:rsid w:val="00FD3044"/>
    <w:rsid w:val="00FD3BEC"/>
    <w:rsid w:val="00FD3C6D"/>
    <w:rsid w:val="00FD3EAA"/>
    <w:rsid w:val="00FD44E6"/>
    <w:rsid w:val="00FD4BB3"/>
    <w:rsid w:val="00FD4F07"/>
    <w:rsid w:val="00FD5017"/>
    <w:rsid w:val="00FD5089"/>
    <w:rsid w:val="00FD5833"/>
    <w:rsid w:val="00FD6109"/>
    <w:rsid w:val="00FD6632"/>
    <w:rsid w:val="00FD668B"/>
    <w:rsid w:val="00FD69DE"/>
    <w:rsid w:val="00FD745C"/>
    <w:rsid w:val="00FD787D"/>
    <w:rsid w:val="00FE03EC"/>
    <w:rsid w:val="00FE06CF"/>
    <w:rsid w:val="00FE0EE5"/>
    <w:rsid w:val="00FE0F2C"/>
    <w:rsid w:val="00FE148C"/>
    <w:rsid w:val="00FE1618"/>
    <w:rsid w:val="00FE1719"/>
    <w:rsid w:val="00FE2049"/>
    <w:rsid w:val="00FE237D"/>
    <w:rsid w:val="00FE25EA"/>
    <w:rsid w:val="00FE2963"/>
    <w:rsid w:val="00FE29F4"/>
    <w:rsid w:val="00FE2D13"/>
    <w:rsid w:val="00FE2D5C"/>
    <w:rsid w:val="00FE3466"/>
    <w:rsid w:val="00FE3530"/>
    <w:rsid w:val="00FE40B0"/>
    <w:rsid w:val="00FE430F"/>
    <w:rsid w:val="00FE4CFE"/>
    <w:rsid w:val="00FE4DF7"/>
    <w:rsid w:val="00FE5031"/>
    <w:rsid w:val="00FE555A"/>
    <w:rsid w:val="00FE555F"/>
    <w:rsid w:val="00FE5AE5"/>
    <w:rsid w:val="00FE68FB"/>
    <w:rsid w:val="00FE6BF8"/>
    <w:rsid w:val="00FE6D20"/>
    <w:rsid w:val="00FE78C8"/>
    <w:rsid w:val="00FE7B81"/>
    <w:rsid w:val="00FE7C71"/>
    <w:rsid w:val="00FF0428"/>
    <w:rsid w:val="00FF05F1"/>
    <w:rsid w:val="00FF06CA"/>
    <w:rsid w:val="00FF0859"/>
    <w:rsid w:val="00FF0889"/>
    <w:rsid w:val="00FF2577"/>
    <w:rsid w:val="00FF299D"/>
    <w:rsid w:val="00FF3907"/>
    <w:rsid w:val="00FF3E85"/>
    <w:rsid w:val="00FF6117"/>
    <w:rsid w:val="00FF6AF8"/>
    <w:rsid w:val="00FF7171"/>
    <w:rsid w:val="00FF778E"/>
    <w:rsid w:val="010E05EA"/>
    <w:rsid w:val="012F274B"/>
    <w:rsid w:val="013C0323"/>
    <w:rsid w:val="013C3B92"/>
    <w:rsid w:val="013D6280"/>
    <w:rsid w:val="014A3644"/>
    <w:rsid w:val="014D174D"/>
    <w:rsid w:val="014E276D"/>
    <w:rsid w:val="014E2CDF"/>
    <w:rsid w:val="014F5C65"/>
    <w:rsid w:val="015A7BE2"/>
    <w:rsid w:val="015B3238"/>
    <w:rsid w:val="015D1599"/>
    <w:rsid w:val="01646913"/>
    <w:rsid w:val="017E638A"/>
    <w:rsid w:val="018E53BB"/>
    <w:rsid w:val="019A3EBD"/>
    <w:rsid w:val="019D2B0C"/>
    <w:rsid w:val="01A238B6"/>
    <w:rsid w:val="01CC0CC7"/>
    <w:rsid w:val="01D60B10"/>
    <w:rsid w:val="01E25A14"/>
    <w:rsid w:val="01FA61A0"/>
    <w:rsid w:val="020765EE"/>
    <w:rsid w:val="0213141D"/>
    <w:rsid w:val="02152C53"/>
    <w:rsid w:val="02181814"/>
    <w:rsid w:val="022D2FA6"/>
    <w:rsid w:val="023E45B4"/>
    <w:rsid w:val="02412C66"/>
    <w:rsid w:val="027D2D3A"/>
    <w:rsid w:val="02913461"/>
    <w:rsid w:val="02AC12E0"/>
    <w:rsid w:val="02AD361F"/>
    <w:rsid w:val="02E05722"/>
    <w:rsid w:val="02E16F7E"/>
    <w:rsid w:val="02E5725D"/>
    <w:rsid w:val="02E95947"/>
    <w:rsid w:val="02F7767E"/>
    <w:rsid w:val="02FD4058"/>
    <w:rsid w:val="03085E16"/>
    <w:rsid w:val="030D6D91"/>
    <w:rsid w:val="031B4AE9"/>
    <w:rsid w:val="03237F04"/>
    <w:rsid w:val="03297AD5"/>
    <w:rsid w:val="0333554D"/>
    <w:rsid w:val="03362040"/>
    <w:rsid w:val="0353364B"/>
    <w:rsid w:val="03670EFB"/>
    <w:rsid w:val="036721E1"/>
    <w:rsid w:val="036B0399"/>
    <w:rsid w:val="037153FA"/>
    <w:rsid w:val="038544B5"/>
    <w:rsid w:val="0398705E"/>
    <w:rsid w:val="03A82039"/>
    <w:rsid w:val="03AF786B"/>
    <w:rsid w:val="03B4688D"/>
    <w:rsid w:val="03C05A6E"/>
    <w:rsid w:val="03CE7CF1"/>
    <w:rsid w:val="03D27045"/>
    <w:rsid w:val="03D35307"/>
    <w:rsid w:val="03D80876"/>
    <w:rsid w:val="03D86BF2"/>
    <w:rsid w:val="04093611"/>
    <w:rsid w:val="041F67F3"/>
    <w:rsid w:val="042140C7"/>
    <w:rsid w:val="0427270B"/>
    <w:rsid w:val="043775F0"/>
    <w:rsid w:val="043B1650"/>
    <w:rsid w:val="045301F6"/>
    <w:rsid w:val="045802E6"/>
    <w:rsid w:val="046B78CB"/>
    <w:rsid w:val="0495080F"/>
    <w:rsid w:val="049D7357"/>
    <w:rsid w:val="04B33E7D"/>
    <w:rsid w:val="050E015C"/>
    <w:rsid w:val="05145BD8"/>
    <w:rsid w:val="051C704D"/>
    <w:rsid w:val="05226C2F"/>
    <w:rsid w:val="05233B6C"/>
    <w:rsid w:val="05381D48"/>
    <w:rsid w:val="05404E5D"/>
    <w:rsid w:val="05446D9B"/>
    <w:rsid w:val="055905E5"/>
    <w:rsid w:val="055A2534"/>
    <w:rsid w:val="05600E1D"/>
    <w:rsid w:val="05786D13"/>
    <w:rsid w:val="057944BD"/>
    <w:rsid w:val="05CD1E76"/>
    <w:rsid w:val="05CE125F"/>
    <w:rsid w:val="05D41936"/>
    <w:rsid w:val="05E47CE4"/>
    <w:rsid w:val="05E7509A"/>
    <w:rsid w:val="05EF3F4F"/>
    <w:rsid w:val="05F41562"/>
    <w:rsid w:val="05F94DCD"/>
    <w:rsid w:val="05FB28F4"/>
    <w:rsid w:val="05FB30FF"/>
    <w:rsid w:val="061C15D5"/>
    <w:rsid w:val="06367D9A"/>
    <w:rsid w:val="064F49ED"/>
    <w:rsid w:val="06542AF0"/>
    <w:rsid w:val="065D35AE"/>
    <w:rsid w:val="06654509"/>
    <w:rsid w:val="06691B30"/>
    <w:rsid w:val="066C1A43"/>
    <w:rsid w:val="06716004"/>
    <w:rsid w:val="067C2241"/>
    <w:rsid w:val="06803F3F"/>
    <w:rsid w:val="068C79F0"/>
    <w:rsid w:val="06936C0E"/>
    <w:rsid w:val="06AD2031"/>
    <w:rsid w:val="06B86FA0"/>
    <w:rsid w:val="06BA398F"/>
    <w:rsid w:val="06BD225B"/>
    <w:rsid w:val="06BD3726"/>
    <w:rsid w:val="06BE6445"/>
    <w:rsid w:val="06CC1FFF"/>
    <w:rsid w:val="06ED2799"/>
    <w:rsid w:val="06FE205F"/>
    <w:rsid w:val="072C54E4"/>
    <w:rsid w:val="073747A5"/>
    <w:rsid w:val="073A7166"/>
    <w:rsid w:val="073D2811"/>
    <w:rsid w:val="07417261"/>
    <w:rsid w:val="07436EF1"/>
    <w:rsid w:val="07444E4C"/>
    <w:rsid w:val="075077D4"/>
    <w:rsid w:val="07544BCC"/>
    <w:rsid w:val="07610E7C"/>
    <w:rsid w:val="077227F5"/>
    <w:rsid w:val="07753DD1"/>
    <w:rsid w:val="0791010C"/>
    <w:rsid w:val="07A33E7F"/>
    <w:rsid w:val="07A5520D"/>
    <w:rsid w:val="07B05960"/>
    <w:rsid w:val="07B94089"/>
    <w:rsid w:val="07CF45D8"/>
    <w:rsid w:val="07D5604C"/>
    <w:rsid w:val="07D63618"/>
    <w:rsid w:val="082A3C0F"/>
    <w:rsid w:val="08332927"/>
    <w:rsid w:val="084359DB"/>
    <w:rsid w:val="0845035A"/>
    <w:rsid w:val="08591F1F"/>
    <w:rsid w:val="085F360E"/>
    <w:rsid w:val="086664DC"/>
    <w:rsid w:val="086B1627"/>
    <w:rsid w:val="086E5B3C"/>
    <w:rsid w:val="087455F9"/>
    <w:rsid w:val="08930AD7"/>
    <w:rsid w:val="08956BB2"/>
    <w:rsid w:val="08B7606F"/>
    <w:rsid w:val="08B92A5B"/>
    <w:rsid w:val="08BD20E2"/>
    <w:rsid w:val="08BE6CDF"/>
    <w:rsid w:val="08C51031"/>
    <w:rsid w:val="08D315E7"/>
    <w:rsid w:val="08DD3626"/>
    <w:rsid w:val="08EA30D5"/>
    <w:rsid w:val="08EC057C"/>
    <w:rsid w:val="09173EE8"/>
    <w:rsid w:val="091A3246"/>
    <w:rsid w:val="09224C38"/>
    <w:rsid w:val="09693E66"/>
    <w:rsid w:val="096B7D90"/>
    <w:rsid w:val="097B4085"/>
    <w:rsid w:val="09896334"/>
    <w:rsid w:val="09995922"/>
    <w:rsid w:val="099D3017"/>
    <w:rsid w:val="09A3752A"/>
    <w:rsid w:val="09B50F35"/>
    <w:rsid w:val="09B63A79"/>
    <w:rsid w:val="09C77B09"/>
    <w:rsid w:val="09D31EB4"/>
    <w:rsid w:val="09D43B87"/>
    <w:rsid w:val="09D60529"/>
    <w:rsid w:val="09D861CB"/>
    <w:rsid w:val="09E71BFE"/>
    <w:rsid w:val="0A085372"/>
    <w:rsid w:val="0A0E3619"/>
    <w:rsid w:val="0A116B8A"/>
    <w:rsid w:val="0A154FF4"/>
    <w:rsid w:val="0A203FE8"/>
    <w:rsid w:val="0A206DCD"/>
    <w:rsid w:val="0A314E36"/>
    <w:rsid w:val="0A3D172D"/>
    <w:rsid w:val="0A7C6515"/>
    <w:rsid w:val="0A8251E5"/>
    <w:rsid w:val="0A894CCB"/>
    <w:rsid w:val="0A9C2897"/>
    <w:rsid w:val="0AD00A09"/>
    <w:rsid w:val="0ADB2CF4"/>
    <w:rsid w:val="0ADC6000"/>
    <w:rsid w:val="0AE20526"/>
    <w:rsid w:val="0AE61A95"/>
    <w:rsid w:val="0AEA4BAD"/>
    <w:rsid w:val="0AF52F50"/>
    <w:rsid w:val="0AF65BAA"/>
    <w:rsid w:val="0AFC379D"/>
    <w:rsid w:val="0B0A5387"/>
    <w:rsid w:val="0B114967"/>
    <w:rsid w:val="0B175884"/>
    <w:rsid w:val="0B1C7066"/>
    <w:rsid w:val="0B1E1C8B"/>
    <w:rsid w:val="0B2537D7"/>
    <w:rsid w:val="0B3568A8"/>
    <w:rsid w:val="0B3F7062"/>
    <w:rsid w:val="0B416FFB"/>
    <w:rsid w:val="0B582596"/>
    <w:rsid w:val="0B5E73B8"/>
    <w:rsid w:val="0B626F71"/>
    <w:rsid w:val="0B6273D4"/>
    <w:rsid w:val="0B713EAA"/>
    <w:rsid w:val="0B7F172C"/>
    <w:rsid w:val="0B922D24"/>
    <w:rsid w:val="0BA002DD"/>
    <w:rsid w:val="0BBA3B01"/>
    <w:rsid w:val="0BC814CA"/>
    <w:rsid w:val="0BD5665C"/>
    <w:rsid w:val="0BD7170D"/>
    <w:rsid w:val="0BEB51B8"/>
    <w:rsid w:val="0BF91683"/>
    <w:rsid w:val="0C01212F"/>
    <w:rsid w:val="0C05792E"/>
    <w:rsid w:val="0C08396D"/>
    <w:rsid w:val="0C0D3423"/>
    <w:rsid w:val="0C1323DD"/>
    <w:rsid w:val="0C164BC1"/>
    <w:rsid w:val="0C271241"/>
    <w:rsid w:val="0C2C0AC2"/>
    <w:rsid w:val="0C4B68F0"/>
    <w:rsid w:val="0C796C68"/>
    <w:rsid w:val="0C807E08"/>
    <w:rsid w:val="0C9320DF"/>
    <w:rsid w:val="0C9F0527"/>
    <w:rsid w:val="0CA025EA"/>
    <w:rsid w:val="0CA13D55"/>
    <w:rsid w:val="0CD6410B"/>
    <w:rsid w:val="0CE560AB"/>
    <w:rsid w:val="0CEE3AA4"/>
    <w:rsid w:val="0CFC2EDC"/>
    <w:rsid w:val="0D0521AE"/>
    <w:rsid w:val="0D242DDD"/>
    <w:rsid w:val="0D2E221B"/>
    <w:rsid w:val="0D2F3F94"/>
    <w:rsid w:val="0D3229EB"/>
    <w:rsid w:val="0D3B10D4"/>
    <w:rsid w:val="0D4252AC"/>
    <w:rsid w:val="0D4C603B"/>
    <w:rsid w:val="0D4F4AA7"/>
    <w:rsid w:val="0D51729D"/>
    <w:rsid w:val="0D58687D"/>
    <w:rsid w:val="0D586C22"/>
    <w:rsid w:val="0D5D3F0A"/>
    <w:rsid w:val="0D620389"/>
    <w:rsid w:val="0D6A3B25"/>
    <w:rsid w:val="0D6B1AFB"/>
    <w:rsid w:val="0D77341B"/>
    <w:rsid w:val="0D8171F7"/>
    <w:rsid w:val="0D892EDB"/>
    <w:rsid w:val="0D8A1A1C"/>
    <w:rsid w:val="0D8F4AAD"/>
    <w:rsid w:val="0D97448B"/>
    <w:rsid w:val="0D9C5B7C"/>
    <w:rsid w:val="0DA016A7"/>
    <w:rsid w:val="0DB066B9"/>
    <w:rsid w:val="0DBE533B"/>
    <w:rsid w:val="0DBF06AB"/>
    <w:rsid w:val="0DD34156"/>
    <w:rsid w:val="0DEB4016"/>
    <w:rsid w:val="0DEE2D3E"/>
    <w:rsid w:val="0DF75338"/>
    <w:rsid w:val="0E0A1EB0"/>
    <w:rsid w:val="0E0B11B7"/>
    <w:rsid w:val="0E1C42E9"/>
    <w:rsid w:val="0E1C4FE4"/>
    <w:rsid w:val="0E2179FD"/>
    <w:rsid w:val="0E2304B5"/>
    <w:rsid w:val="0E2350DD"/>
    <w:rsid w:val="0E4660B3"/>
    <w:rsid w:val="0E5E3832"/>
    <w:rsid w:val="0E777FD0"/>
    <w:rsid w:val="0E7C0017"/>
    <w:rsid w:val="0E88686F"/>
    <w:rsid w:val="0E891E00"/>
    <w:rsid w:val="0E8A0CB9"/>
    <w:rsid w:val="0E9B2EC6"/>
    <w:rsid w:val="0E9E7E22"/>
    <w:rsid w:val="0EA42D54"/>
    <w:rsid w:val="0EAF24CD"/>
    <w:rsid w:val="0EC45D11"/>
    <w:rsid w:val="0EC55F9B"/>
    <w:rsid w:val="0ECA67C3"/>
    <w:rsid w:val="0ED1123B"/>
    <w:rsid w:val="0EEE7408"/>
    <w:rsid w:val="0F0C3DC3"/>
    <w:rsid w:val="0F130337"/>
    <w:rsid w:val="0F1957F7"/>
    <w:rsid w:val="0F2C0FC4"/>
    <w:rsid w:val="0F2C15F1"/>
    <w:rsid w:val="0F303933"/>
    <w:rsid w:val="0F3045DC"/>
    <w:rsid w:val="0F363E0A"/>
    <w:rsid w:val="0F445971"/>
    <w:rsid w:val="0F4573F9"/>
    <w:rsid w:val="0F4735AA"/>
    <w:rsid w:val="0F4C2B38"/>
    <w:rsid w:val="0F4D1A8A"/>
    <w:rsid w:val="0F580937"/>
    <w:rsid w:val="0F601F8C"/>
    <w:rsid w:val="0F707EAE"/>
    <w:rsid w:val="0F841BAC"/>
    <w:rsid w:val="0FC13A9C"/>
    <w:rsid w:val="0FD7617F"/>
    <w:rsid w:val="0FE863E6"/>
    <w:rsid w:val="0FFA33A6"/>
    <w:rsid w:val="10142F30"/>
    <w:rsid w:val="10265D46"/>
    <w:rsid w:val="102B1235"/>
    <w:rsid w:val="10334D50"/>
    <w:rsid w:val="10407AD6"/>
    <w:rsid w:val="104D4B3A"/>
    <w:rsid w:val="105A46BB"/>
    <w:rsid w:val="10615FDC"/>
    <w:rsid w:val="1066635A"/>
    <w:rsid w:val="1067583F"/>
    <w:rsid w:val="107E6555"/>
    <w:rsid w:val="108856CC"/>
    <w:rsid w:val="108E5902"/>
    <w:rsid w:val="10961BDF"/>
    <w:rsid w:val="10E90E44"/>
    <w:rsid w:val="10F60887"/>
    <w:rsid w:val="10F80A04"/>
    <w:rsid w:val="10F845FF"/>
    <w:rsid w:val="11082369"/>
    <w:rsid w:val="110C1E59"/>
    <w:rsid w:val="11205904"/>
    <w:rsid w:val="11206911"/>
    <w:rsid w:val="112E3963"/>
    <w:rsid w:val="113B273E"/>
    <w:rsid w:val="113C0C99"/>
    <w:rsid w:val="114A2981"/>
    <w:rsid w:val="11507CD0"/>
    <w:rsid w:val="11620567"/>
    <w:rsid w:val="11781C2D"/>
    <w:rsid w:val="118B5473"/>
    <w:rsid w:val="118C35D8"/>
    <w:rsid w:val="119A56B6"/>
    <w:rsid w:val="11AB53A0"/>
    <w:rsid w:val="11AE4D38"/>
    <w:rsid w:val="11B10258"/>
    <w:rsid w:val="11B320C9"/>
    <w:rsid w:val="11B732CA"/>
    <w:rsid w:val="11BC5011"/>
    <w:rsid w:val="11C66BAC"/>
    <w:rsid w:val="11C86B1F"/>
    <w:rsid w:val="11D82E6A"/>
    <w:rsid w:val="11D90D99"/>
    <w:rsid w:val="11D9675D"/>
    <w:rsid w:val="11E30096"/>
    <w:rsid w:val="11E43A9B"/>
    <w:rsid w:val="12020BE3"/>
    <w:rsid w:val="12071360"/>
    <w:rsid w:val="12112765"/>
    <w:rsid w:val="121F3E0E"/>
    <w:rsid w:val="121F427F"/>
    <w:rsid w:val="122E4051"/>
    <w:rsid w:val="12361F74"/>
    <w:rsid w:val="1239559C"/>
    <w:rsid w:val="124C25A5"/>
    <w:rsid w:val="124D2298"/>
    <w:rsid w:val="125B0C23"/>
    <w:rsid w:val="12662A67"/>
    <w:rsid w:val="126642CA"/>
    <w:rsid w:val="126D6228"/>
    <w:rsid w:val="127C6B6A"/>
    <w:rsid w:val="12974ADF"/>
    <w:rsid w:val="12B15EBF"/>
    <w:rsid w:val="12C95FA3"/>
    <w:rsid w:val="12DA6EE0"/>
    <w:rsid w:val="12DB76D0"/>
    <w:rsid w:val="12ED1816"/>
    <w:rsid w:val="130A7A9E"/>
    <w:rsid w:val="130C4592"/>
    <w:rsid w:val="130D2091"/>
    <w:rsid w:val="131A6D6F"/>
    <w:rsid w:val="131A718D"/>
    <w:rsid w:val="1336140F"/>
    <w:rsid w:val="13433B2C"/>
    <w:rsid w:val="13497394"/>
    <w:rsid w:val="13525B1D"/>
    <w:rsid w:val="13700A52"/>
    <w:rsid w:val="138D1B23"/>
    <w:rsid w:val="13916527"/>
    <w:rsid w:val="13961EAE"/>
    <w:rsid w:val="13AD5B4D"/>
    <w:rsid w:val="13CD6F90"/>
    <w:rsid w:val="13D47F82"/>
    <w:rsid w:val="13DD08BF"/>
    <w:rsid w:val="13DD5D2E"/>
    <w:rsid w:val="13E44200"/>
    <w:rsid w:val="13F720FF"/>
    <w:rsid w:val="13F90E9B"/>
    <w:rsid w:val="13FE6BA7"/>
    <w:rsid w:val="140D3C48"/>
    <w:rsid w:val="140E5EE8"/>
    <w:rsid w:val="14293706"/>
    <w:rsid w:val="143E6144"/>
    <w:rsid w:val="145F7553"/>
    <w:rsid w:val="146A329F"/>
    <w:rsid w:val="14786FCF"/>
    <w:rsid w:val="14836216"/>
    <w:rsid w:val="14854BE4"/>
    <w:rsid w:val="1491406D"/>
    <w:rsid w:val="14975EDD"/>
    <w:rsid w:val="149F36D9"/>
    <w:rsid w:val="149F381E"/>
    <w:rsid w:val="14A54703"/>
    <w:rsid w:val="14AD4E8A"/>
    <w:rsid w:val="14B60DBE"/>
    <w:rsid w:val="14B92A8C"/>
    <w:rsid w:val="14C97398"/>
    <w:rsid w:val="14CB3DD9"/>
    <w:rsid w:val="14E46C49"/>
    <w:rsid w:val="14EA2306"/>
    <w:rsid w:val="15194B44"/>
    <w:rsid w:val="151C4E0A"/>
    <w:rsid w:val="152E1326"/>
    <w:rsid w:val="15323E58"/>
    <w:rsid w:val="153D4D5A"/>
    <w:rsid w:val="15622032"/>
    <w:rsid w:val="15647F05"/>
    <w:rsid w:val="15762B4F"/>
    <w:rsid w:val="15813164"/>
    <w:rsid w:val="159F5385"/>
    <w:rsid w:val="15A51762"/>
    <w:rsid w:val="15B83995"/>
    <w:rsid w:val="15C30C05"/>
    <w:rsid w:val="15CD3384"/>
    <w:rsid w:val="15EA26F3"/>
    <w:rsid w:val="15F07DFD"/>
    <w:rsid w:val="15FA64BF"/>
    <w:rsid w:val="16080D68"/>
    <w:rsid w:val="16085713"/>
    <w:rsid w:val="16133C89"/>
    <w:rsid w:val="161377E5"/>
    <w:rsid w:val="161F5938"/>
    <w:rsid w:val="16240DBD"/>
    <w:rsid w:val="16273291"/>
    <w:rsid w:val="1632666B"/>
    <w:rsid w:val="1636150A"/>
    <w:rsid w:val="16490014"/>
    <w:rsid w:val="164B0D04"/>
    <w:rsid w:val="166242C9"/>
    <w:rsid w:val="166D3ECB"/>
    <w:rsid w:val="166D7DB8"/>
    <w:rsid w:val="167F30CD"/>
    <w:rsid w:val="16816E45"/>
    <w:rsid w:val="16834791"/>
    <w:rsid w:val="16976668"/>
    <w:rsid w:val="16A44BEC"/>
    <w:rsid w:val="16A95608"/>
    <w:rsid w:val="16AA639C"/>
    <w:rsid w:val="16B971D4"/>
    <w:rsid w:val="16D01B7A"/>
    <w:rsid w:val="16D33783"/>
    <w:rsid w:val="16ED56EE"/>
    <w:rsid w:val="17066C93"/>
    <w:rsid w:val="171952CF"/>
    <w:rsid w:val="17206600"/>
    <w:rsid w:val="1723372C"/>
    <w:rsid w:val="17391E88"/>
    <w:rsid w:val="175956CC"/>
    <w:rsid w:val="175C1663"/>
    <w:rsid w:val="1764273F"/>
    <w:rsid w:val="176C72CF"/>
    <w:rsid w:val="1777558F"/>
    <w:rsid w:val="177E7B01"/>
    <w:rsid w:val="179E3A27"/>
    <w:rsid w:val="17BE7BB1"/>
    <w:rsid w:val="17CA46DA"/>
    <w:rsid w:val="17D0777F"/>
    <w:rsid w:val="17DB07D7"/>
    <w:rsid w:val="17EA7770"/>
    <w:rsid w:val="17F3511B"/>
    <w:rsid w:val="17F751E7"/>
    <w:rsid w:val="17F77636"/>
    <w:rsid w:val="17FB62A4"/>
    <w:rsid w:val="180D6A87"/>
    <w:rsid w:val="181666B6"/>
    <w:rsid w:val="181C70E7"/>
    <w:rsid w:val="182300F4"/>
    <w:rsid w:val="18365A0D"/>
    <w:rsid w:val="183879D7"/>
    <w:rsid w:val="18441C29"/>
    <w:rsid w:val="184F7FA0"/>
    <w:rsid w:val="18620800"/>
    <w:rsid w:val="18621E33"/>
    <w:rsid w:val="186D647C"/>
    <w:rsid w:val="187A32D6"/>
    <w:rsid w:val="187F1D4D"/>
    <w:rsid w:val="188622FA"/>
    <w:rsid w:val="18875CE0"/>
    <w:rsid w:val="18980476"/>
    <w:rsid w:val="189D4B87"/>
    <w:rsid w:val="18B57F4F"/>
    <w:rsid w:val="18C47FCD"/>
    <w:rsid w:val="18CF6D1D"/>
    <w:rsid w:val="18E62EA4"/>
    <w:rsid w:val="18EB7234"/>
    <w:rsid w:val="18F463C2"/>
    <w:rsid w:val="18F54534"/>
    <w:rsid w:val="1908598A"/>
    <w:rsid w:val="191E6733"/>
    <w:rsid w:val="192E3DCE"/>
    <w:rsid w:val="1942287E"/>
    <w:rsid w:val="195530C5"/>
    <w:rsid w:val="195726C4"/>
    <w:rsid w:val="19575F5C"/>
    <w:rsid w:val="197734BB"/>
    <w:rsid w:val="19796915"/>
    <w:rsid w:val="197A7DA1"/>
    <w:rsid w:val="198976DB"/>
    <w:rsid w:val="198A7DBF"/>
    <w:rsid w:val="19A55291"/>
    <w:rsid w:val="19BA177B"/>
    <w:rsid w:val="19D96138"/>
    <w:rsid w:val="19EF2318"/>
    <w:rsid w:val="19F858D4"/>
    <w:rsid w:val="19FB3C03"/>
    <w:rsid w:val="19FE4B54"/>
    <w:rsid w:val="1A137751"/>
    <w:rsid w:val="1A200723"/>
    <w:rsid w:val="1A307C74"/>
    <w:rsid w:val="1A421FB9"/>
    <w:rsid w:val="1A475CB0"/>
    <w:rsid w:val="1A4B13C0"/>
    <w:rsid w:val="1A572B81"/>
    <w:rsid w:val="1A5E126D"/>
    <w:rsid w:val="1A691CF7"/>
    <w:rsid w:val="1A6B76FA"/>
    <w:rsid w:val="1A8375BC"/>
    <w:rsid w:val="1A842754"/>
    <w:rsid w:val="1A8C6AE4"/>
    <w:rsid w:val="1A94182A"/>
    <w:rsid w:val="1A9A2376"/>
    <w:rsid w:val="1AC65A77"/>
    <w:rsid w:val="1ACC2467"/>
    <w:rsid w:val="1AD27F8C"/>
    <w:rsid w:val="1AD67034"/>
    <w:rsid w:val="1AD81D14"/>
    <w:rsid w:val="1AF340A9"/>
    <w:rsid w:val="1AF937C5"/>
    <w:rsid w:val="1AFE061E"/>
    <w:rsid w:val="1B0E4A1F"/>
    <w:rsid w:val="1B0F32F9"/>
    <w:rsid w:val="1B1E2EB4"/>
    <w:rsid w:val="1B3A3308"/>
    <w:rsid w:val="1B3E075A"/>
    <w:rsid w:val="1B4659B0"/>
    <w:rsid w:val="1B486183"/>
    <w:rsid w:val="1B6E5FB3"/>
    <w:rsid w:val="1B6E6F53"/>
    <w:rsid w:val="1B6F25FF"/>
    <w:rsid w:val="1B856B54"/>
    <w:rsid w:val="1B866ED8"/>
    <w:rsid w:val="1B93595C"/>
    <w:rsid w:val="1BA01B1B"/>
    <w:rsid w:val="1BC26719"/>
    <w:rsid w:val="1BC801A6"/>
    <w:rsid w:val="1BCD48DA"/>
    <w:rsid w:val="1BCF7074"/>
    <w:rsid w:val="1BD77543"/>
    <w:rsid w:val="1BD97892"/>
    <w:rsid w:val="1BF061A7"/>
    <w:rsid w:val="1BF80778"/>
    <w:rsid w:val="1C0227D6"/>
    <w:rsid w:val="1C1A53DB"/>
    <w:rsid w:val="1C1C59E7"/>
    <w:rsid w:val="1C2453B2"/>
    <w:rsid w:val="1C406E5A"/>
    <w:rsid w:val="1C4A0E21"/>
    <w:rsid w:val="1C4E1577"/>
    <w:rsid w:val="1C4E7F9D"/>
    <w:rsid w:val="1C6224C4"/>
    <w:rsid w:val="1C6A6DBB"/>
    <w:rsid w:val="1C72744B"/>
    <w:rsid w:val="1C731508"/>
    <w:rsid w:val="1C7E50EB"/>
    <w:rsid w:val="1C7F0E52"/>
    <w:rsid w:val="1C8651B5"/>
    <w:rsid w:val="1C874A89"/>
    <w:rsid w:val="1C8E5E18"/>
    <w:rsid w:val="1C8E6509"/>
    <w:rsid w:val="1C9A7EFC"/>
    <w:rsid w:val="1CB56E00"/>
    <w:rsid w:val="1CCC6940"/>
    <w:rsid w:val="1CCE1300"/>
    <w:rsid w:val="1CD301D7"/>
    <w:rsid w:val="1CD35F20"/>
    <w:rsid w:val="1CD361D0"/>
    <w:rsid w:val="1CE123EB"/>
    <w:rsid w:val="1CF73B37"/>
    <w:rsid w:val="1CFB1C06"/>
    <w:rsid w:val="1D04432C"/>
    <w:rsid w:val="1D066C66"/>
    <w:rsid w:val="1D085A58"/>
    <w:rsid w:val="1D0C6F11"/>
    <w:rsid w:val="1D3224A8"/>
    <w:rsid w:val="1D357240"/>
    <w:rsid w:val="1D3B38AD"/>
    <w:rsid w:val="1D552AEE"/>
    <w:rsid w:val="1D562E7B"/>
    <w:rsid w:val="1D717A0C"/>
    <w:rsid w:val="1D756FD8"/>
    <w:rsid w:val="1D7C2114"/>
    <w:rsid w:val="1D9D01F9"/>
    <w:rsid w:val="1DA50210"/>
    <w:rsid w:val="1DA87390"/>
    <w:rsid w:val="1DAB74C4"/>
    <w:rsid w:val="1DC31AF1"/>
    <w:rsid w:val="1DCE3B9A"/>
    <w:rsid w:val="1DD924B2"/>
    <w:rsid w:val="1DEA7DBD"/>
    <w:rsid w:val="1DEF4D77"/>
    <w:rsid w:val="1DF379B8"/>
    <w:rsid w:val="1E114F52"/>
    <w:rsid w:val="1E2B65AD"/>
    <w:rsid w:val="1E306203"/>
    <w:rsid w:val="1E3B5E8F"/>
    <w:rsid w:val="1E452E36"/>
    <w:rsid w:val="1E470974"/>
    <w:rsid w:val="1E5D3CF4"/>
    <w:rsid w:val="1E8212A6"/>
    <w:rsid w:val="1EAD298C"/>
    <w:rsid w:val="1EB54ED5"/>
    <w:rsid w:val="1ECD165F"/>
    <w:rsid w:val="1ED422BB"/>
    <w:rsid w:val="1EE00481"/>
    <w:rsid w:val="1EE06B46"/>
    <w:rsid w:val="1F0776F5"/>
    <w:rsid w:val="1F08677A"/>
    <w:rsid w:val="1F1D180A"/>
    <w:rsid w:val="1F351DC9"/>
    <w:rsid w:val="1F461728"/>
    <w:rsid w:val="1F473B74"/>
    <w:rsid w:val="1F5211D5"/>
    <w:rsid w:val="1F5C6639"/>
    <w:rsid w:val="1F680BA2"/>
    <w:rsid w:val="1F6D6DA1"/>
    <w:rsid w:val="1F727A96"/>
    <w:rsid w:val="1F8C3CEE"/>
    <w:rsid w:val="1F8C723F"/>
    <w:rsid w:val="1F8F5F24"/>
    <w:rsid w:val="1F900A1F"/>
    <w:rsid w:val="1F906F24"/>
    <w:rsid w:val="1F9244CC"/>
    <w:rsid w:val="1F925C1F"/>
    <w:rsid w:val="1F97273B"/>
    <w:rsid w:val="1F9B2DAC"/>
    <w:rsid w:val="1FB0056F"/>
    <w:rsid w:val="1FC55BA1"/>
    <w:rsid w:val="1FD30AE6"/>
    <w:rsid w:val="1FD40B49"/>
    <w:rsid w:val="1FE339E1"/>
    <w:rsid w:val="1FEB19C9"/>
    <w:rsid w:val="1FF26C41"/>
    <w:rsid w:val="20031B14"/>
    <w:rsid w:val="20057BA4"/>
    <w:rsid w:val="200B777F"/>
    <w:rsid w:val="201E5705"/>
    <w:rsid w:val="20307817"/>
    <w:rsid w:val="20325359"/>
    <w:rsid w:val="203B74FB"/>
    <w:rsid w:val="20475047"/>
    <w:rsid w:val="204D1B46"/>
    <w:rsid w:val="20504099"/>
    <w:rsid w:val="20541126"/>
    <w:rsid w:val="20554263"/>
    <w:rsid w:val="20560357"/>
    <w:rsid w:val="205B3F14"/>
    <w:rsid w:val="205D59B9"/>
    <w:rsid w:val="206802DA"/>
    <w:rsid w:val="20821974"/>
    <w:rsid w:val="208714A2"/>
    <w:rsid w:val="20873971"/>
    <w:rsid w:val="20A16929"/>
    <w:rsid w:val="20AD2C5F"/>
    <w:rsid w:val="20B62010"/>
    <w:rsid w:val="20BE2F91"/>
    <w:rsid w:val="20DB0208"/>
    <w:rsid w:val="20DF4287"/>
    <w:rsid w:val="20EE157B"/>
    <w:rsid w:val="20F83789"/>
    <w:rsid w:val="20FF0003"/>
    <w:rsid w:val="21020B82"/>
    <w:rsid w:val="210B265C"/>
    <w:rsid w:val="211014F1"/>
    <w:rsid w:val="21225EC5"/>
    <w:rsid w:val="213C3352"/>
    <w:rsid w:val="21407152"/>
    <w:rsid w:val="214A39AA"/>
    <w:rsid w:val="214B42D7"/>
    <w:rsid w:val="21505D92"/>
    <w:rsid w:val="21513D9B"/>
    <w:rsid w:val="215F4041"/>
    <w:rsid w:val="216D2782"/>
    <w:rsid w:val="2177410E"/>
    <w:rsid w:val="217A4BBD"/>
    <w:rsid w:val="218861EE"/>
    <w:rsid w:val="21934648"/>
    <w:rsid w:val="21B856E5"/>
    <w:rsid w:val="21D33271"/>
    <w:rsid w:val="21DC7625"/>
    <w:rsid w:val="21FD6217"/>
    <w:rsid w:val="21FF4036"/>
    <w:rsid w:val="22032E04"/>
    <w:rsid w:val="220A457C"/>
    <w:rsid w:val="221B2DD2"/>
    <w:rsid w:val="221E32EA"/>
    <w:rsid w:val="223707BB"/>
    <w:rsid w:val="22376C15"/>
    <w:rsid w:val="22427D06"/>
    <w:rsid w:val="22450DA6"/>
    <w:rsid w:val="22464F27"/>
    <w:rsid w:val="225B2C40"/>
    <w:rsid w:val="227A159E"/>
    <w:rsid w:val="229C0B63"/>
    <w:rsid w:val="22AC2486"/>
    <w:rsid w:val="22AF2E1B"/>
    <w:rsid w:val="22B95D7B"/>
    <w:rsid w:val="22BE39B7"/>
    <w:rsid w:val="22CA3922"/>
    <w:rsid w:val="22D138CC"/>
    <w:rsid w:val="22D30B2E"/>
    <w:rsid w:val="22D90991"/>
    <w:rsid w:val="22DF73CD"/>
    <w:rsid w:val="22E64245"/>
    <w:rsid w:val="22F22A0F"/>
    <w:rsid w:val="2300644B"/>
    <w:rsid w:val="230E5F36"/>
    <w:rsid w:val="231D61E8"/>
    <w:rsid w:val="232E7D9F"/>
    <w:rsid w:val="234611FA"/>
    <w:rsid w:val="2351472E"/>
    <w:rsid w:val="235651B5"/>
    <w:rsid w:val="235E107F"/>
    <w:rsid w:val="23627B51"/>
    <w:rsid w:val="238C5A4D"/>
    <w:rsid w:val="239C0D61"/>
    <w:rsid w:val="239D3FCE"/>
    <w:rsid w:val="23A06A7E"/>
    <w:rsid w:val="23B627A7"/>
    <w:rsid w:val="23D7698A"/>
    <w:rsid w:val="23D9206E"/>
    <w:rsid w:val="23E10F23"/>
    <w:rsid w:val="23E30CF5"/>
    <w:rsid w:val="23EB5808"/>
    <w:rsid w:val="23F24EDE"/>
    <w:rsid w:val="24174945"/>
    <w:rsid w:val="241D3E65"/>
    <w:rsid w:val="243221D6"/>
    <w:rsid w:val="24367C48"/>
    <w:rsid w:val="243F3E9B"/>
    <w:rsid w:val="24871002"/>
    <w:rsid w:val="24983F59"/>
    <w:rsid w:val="249D450B"/>
    <w:rsid w:val="24CA3342"/>
    <w:rsid w:val="24D16063"/>
    <w:rsid w:val="24D16B39"/>
    <w:rsid w:val="24D42DE8"/>
    <w:rsid w:val="24DA3D3E"/>
    <w:rsid w:val="24F42615"/>
    <w:rsid w:val="24F733C4"/>
    <w:rsid w:val="24F74FEE"/>
    <w:rsid w:val="24FC3F2A"/>
    <w:rsid w:val="25096A53"/>
    <w:rsid w:val="250A2A1D"/>
    <w:rsid w:val="251016EF"/>
    <w:rsid w:val="251D3300"/>
    <w:rsid w:val="251E1D03"/>
    <w:rsid w:val="252208AB"/>
    <w:rsid w:val="25284504"/>
    <w:rsid w:val="252B0BD1"/>
    <w:rsid w:val="2536673D"/>
    <w:rsid w:val="254148C2"/>
    <w:rsid w:val="254C044B"/>
    <w:rsid w:val="255F65A3"/>
    <w:rsid w:val="256E7B04"/>
    <w:rsid w:val="257008AD"/>
    <w:rsid w:val="25713AFD"/>
    <w:rsid w:val="258D6706"/>
    <w:rsid w:val="258E0028"/>
    <w:rsid w:val="259049AF"/>
    <w:rsid w:val="259A75DB"/>
    <w:rsid w:val="25A61150"/>
    <w:rsid w:val="25A67592"/>
    <w:rsid w:val="25AA557D"/>
    <w:rsid w:val="25B05051"/>
    <w:rsid w:val="25B4082E"/>
    <w:rsid w:val="25BD776E"/>
    <w:rsid w:val="25C252FD"/>
    <w:rsid w:val="25C51470"/>
    <w:rsid w:val="25C97EC1"/>
    <w:rsid w:val="25DD44DF"/>
    <w:rsid w:val="25E15B9E"/>
    <w:rsid w:val="25E750F6"/>
    <w:rsid w:val="25F85EC8"/>
    <w:rsid w:val="25F8665C"/>
    <w:rsid w:val="25F969F8"/>
    <w:rsid w:val="25FE4476"/>
    <w:rsid w:val="260770CA"/>
    <w:rsid w:val="261F1754"/>
    <w:rsid w:val="262C3AAA"/>
    <w:rsid w:val="262C3D05"/>
    <w:rsid w:val="262E41C8"/>
    <w:rsid w:val="263C4DB6"/>
    <w:rsid w:val="264E7968"/>
    <w:rsid w:val="265477F3"/>
    <w:rsid w:val="26590AC8"/>
    <w:rsid w:val="265A082C"/>
    <w:rsid w:val="265D1725"/>
    <w:rsid w:val="268C00B4"/>
    <w:rsid w:val="268D1E72"/>
    <w:rsid w:val="26A31BB3"/>
    <w:rsid w:val="26A37F8D"/>
    <w:rsid w:val="26C4374B"/>
    <w:rsid w:val="26C8685B"/>
    <w:rsid w:val="26CD46B8"/>
    <w:rsid w:val="26D23490"/>
    <w:rsid w:val="26D25B56"/>
    <w:rsid w:val="26D57A8E"/>
    <w:rsid w:val="26D81809"/>
    <w:rsid w:val="26ED25CF"/>
    <w:rsid w:val="26EF5379"/>
    <w:rsid w:val="270218C6"/>
    <w:rsid w:val="27057C11"/>
    <w:rsid w:val="270B4022"/>
    <w:rsid w:val="27194037"/>
    <w:rsid w:val="271E3CF7"/>
    <w:rsid w:val="27262B22"/>
    <w:rsid w:val="272A4CB7"/>
    <w:rsid w:val="27561F87"/>
    <w:rsid w:val="275C2B1C"/>
    <w:rsid w:val="27604855"/>
    <w:rsid w:val="276D07E5"/>
    <w:rsid w:val="2772524E"/>
    <w:rsid w:val="278337C6"/>
    <w:rsid w:val="27915129"/>
    <w:rsid w:val="279B61FF"/>
    <w:rsid w:val="27CC5901"/>
    <w:rsid w:val="27CD76A8"/>
    <w:rsid w:val="27D50D9F"/>
    <w:rsid w:val="27DD7C53"/>
    <w:rsid w:val="27E45486"/>
    <w:rsid w:val="27ED73CF"/>
    <w:rsid w:val="28046B4F"/>
    <w:rsid w:val="281776DB"/>
    <w:rsid w:val="282C061A"/>
    <w:rsid w:val="283C4C20"/>
    <w:rsid w:val="284101E2"/>
    <w:rsid w:val="28414686"/>
    <w:rsid w:val="284B2E0F"/>
    <w:rsid w:val="28520641"/>
    <w:rsid w:val="28563EC4"/>
    <w:rsid w:val="28650375"/>
    <w:rsid w:val="28861B45"/>
    <w:rsid w:val="2890116A"/>
    <w:rsid w:val="28915EC8"/>
    <w:rsid w:val="28963A55"/>
    <w:rsid w:val="28AD6812"/>
    <w:rsid w:val="28B20F3D"/>
    <w:rsid w:val="28CF5334"/>
    <w:rsid w:val="28CF57EE"/>
    <w:rsid w:val="28D0133A"/>
    <w:rsid w:val="28F434A6"/>
    <w:rsid w:val="28FB06AD"/>
    <w:rsid w:val="29045E04"/>
    <w:rsid w:val="2907142C"/>
    <w:rsid w:val="290731DA"/>
    <w:rsid w:val="291259B4"/>
    <w:rsid w:val="2920429C"/>
    <w:rsid w:val="29232B27"/>
    <w:rsid w:val="29233875"/>
    <w:rsid w:val="29317765"/>
    <w:rsid w:val="293E0BC6"/>
    <w:rsid w:val="29471828"/>
    <w:rsid w:val="295D7A22"/>
    <w:rsid w:val="29626662"/>
    <w:rsid w:val="29652998"/>
    <w:rsid w:val="296A7A82"/>
    <w:rsid w:val="296D64B1"/>
    <w:rsid w:val="297768B8"/>
    <w:rsid w:val="29780E35"/>
    <w:rsid w:val="29891E41"/>
    <w:rsid w:val="298C0274"/>
    <w:rsid w:val="298F4F7D"/>
    <w:rsid w:val="29982F58"/>
    <w:rsid w:val="299856D0"/>
    <w:rsid w:val="29A924E3"/>
    <w:rsid w:val="29AB34FA"/>
    <w:rsid w:val="29BC7E55"/>
    <w:rsid w:val="29C63095"/>
    <w:rsid w:val="29C80553"/>
    <w:rsid w:val="29F00C75"/>
    <w:rsid w:val="29F23C53"/>
    <w:rsid w:val="29F67A82"/>
    <w:rsid w:val="2A0C7F6A"/>
    <w:rsid w:val="2A10384B"/>
    <w:rsid w:val="2A1D2A87"/>
    <w:rsid w:val="2A27165A"/>
    <w:rsid w:val="2A3103EC"/>
    <w:rsid w:val="2A337FFE"/>
    <w:rsid w:val="2A4F067C"/>
    <w:rsid w:val="2A800B95"/>
    <w:rsid w:val="2A8D1468"/>
    <w:rsid w:val="2A907E15"/>
    <w:rsid w:val="2AA07CCA"/>
    <w:rsid w:val="2AA12E26"/>
    <w:rsid w:val="2AAB4039"/>
    <w:rsid w:val="2AB84257"/>
    <w:rsid w:val="2AC218E3"/>
    <w:rsid w:val="2AD25A69"/>
    <w:rsid w:val="2AD967B9"/>
    <w:rsid w:val="2AED30A8"/>
    <w:rsid w:val="2AF5247E"/>
    <w:rsid w:val="2AF6688D"/>
    <w:rsid w:val="2AF72068"/>
    <w:rsid w:val="2AFE5475"/>
    <w:rsid w:val="2B0F3F1D"/>
    <w:rsid w:val="2B1020EE"/>
    <w:rsid w:val="2B194B22"/>
    <w:rsid w:val="2B23656D"/>
    <w:rsid w:val="2B2F07C6"/>
    <w:rsid w:val="2B355F72"/>
    <w:rsid w:val="2B371B8A"/>
    <w:rsid w:val="2B626DED"/>
    <w:rsid w:val="2B6E7750"/>
    <w:rsid w:val="2B807273"/>
    <w:rsid w:val="2B8D7802"/>
    <w:rsid w:val="2B8F74B6"/>
    <w:rsid w:val="2B961D53"/>
    <w:rsid w:val="2B973C8B"/>
    <w:rsid w:val="2BA07916"/>
    <w:rsid w:val="2BA32F62"/>
    <w:rsid w:val="2BA65384"/>
    <w:rsid w:val="2BA65F3B"/>
    <w:rsid w:val="2BE23739"/>
    <w:rsid w:val="2BF37956"/>
    <w:rsid w:val="2C065880"/>
    <w:rsid w:val="2C084D2F"/>
    <w:rsid w:val="2C1503F3"/>
    <w:rsid w:val="2C1B1D16"/>
    <w:rsid w:val="2C2220D9"/>
    <w:rsid w:val="2C280726"/>
    <w:rsid w:val="2C343987"/>
    <w:rsid w:val="2C483770"/>
    <w:rsid w:val="2C4A1610"/>
    <w:rsid w:val="2C4D4283"/>
    <w:rsid w:val="2C555588"/>
    <w:rsid w:val="2C620465"/>
    <w:rsid w:val="2C6238C6"/>
    <w:rsid w:val="2C787CD7"/>
    <w:rsid w:val="2C7A18AE"/>
    <w:rsid w:val="2C935B77"/>
    <w:rsid w:val="2CA94947"/>
    <w:rsid w:val="2CAE1DFF"/>
    <w:rsid w:val="2CC6515A"/>
    <w:rsid w:val="2CC869E8"/>
    <w:rsid w:val="2CC96913"/>
    <w:rsid w:val="2CD05AAE"/>
    <w:rsid w:val="2CDB4B07"/>
    <w:rsid w:val="2CE03BB2"/>
    <w:rsid w:val="2CF03F45"/>
    <w:rsid w:val="2CFC1818"/>
    <w:rsid w:val="2D12039F"/>
    <w:rsid w:val="2D254C63"/>
    <w:rsid w:val="2D26209C"/>
    <w:rsid w:val="2D485B6F"/>
    <w:rsid w:val="2D68750B"/>
    <w:rsid w:val="2D6F7FC8"/>
    <w:rsid w:val="2D710239"/>
    <w:rsid w:val="2D713633"/>
    <w:rsid w:val="2D745436"/>
    <w:rsid w:val="2D8D66FD"/>
    <w:rsid w:val="2D9C6D7B"/>
    <w:rsid w:val="2D9F0870"/>
    <w:rsid w:val="2DA61086"/>
    <w:rsid w:val="2DB2087E"/>
    <w:rsid w:val="2DB24D4A"/>
    <w:rsid w:val="2DBC1EC3"/>
    <w:rsid w:val="2DC024C0"/>
    <w:rsid w:val="2DC41CF0"/>
    <w:rsid w:val="2DCD6BF4"/>
    <w:rsid w:val="2DD53150"/>
    <w:rsid w:val="2DDE38EA"/>
    <w:rsid w:val="2DE03841"/>
    <w:rsid w:val="2DE906F4"/>
    <w:rsid w:val="2E187C37"/>
    <w:rsid w:val="2E1A4147"/>
    <w:rsid w:val="2E1A4440"/>
    <w:rsid w:val="2E244CA3"/>
    <w:rsid w:val="2E255A7A"/>
    <w:rsid w:val="2E285807"/>
    <w:rsid w:val="2E3014D6"/>
    <w:rsid w:val="2E5D6E41"/>
    <w:rsid w:val="2E600702"/>
    <w:rsid w:val="2E6E5B19"/>
    <w:rsid w:val="2E8B06D6"/>
    <w:rsid w:val="2E910782"/>
    <w:rsid w:val="2E923FD3"/>
    <w:rsid w:val="2E9D5B3A"/>
    <w:rsid w:val="2EB54F34"/>
    <w:rsid w:val="2EBA2A9C"/>
    <w:rsid w:val="2EBD6A9C"/>
    <w:rsid w:val="2ED334A6"/>
    <w:rsid w:val="2EE3584F"/>
    <w:rsid w:val="2EE8585B"/>
    <w:rsid w:val="2EEA3D36"/>
    <w:rsid w:val="2EF75DDF"/>
    <w:rsid w:val="2EFA11C1"/>
    <w:rsid w:val="2F046C9B"/>
    <w:rsid w:val="2F07230D"/>
    <w:rsid w:val="2F176141"/>
    <w:rsid w:val="2F1D6628"/>
    <w:rsid w:val="2F3A317A"/>
    <w:rsid w:val="2F4201A7"/>
    <w:rsid w:val="2F4D460B"/>
    <w:rsid w:val="2F633CB9"/>
    <w:rsid w:val="2F685FFD"/>
    <w:rsid w:val="2F6C1D89"/>
    <w:rsid w:val="2F70551E"/>
    <w:rsid w:val="2F7E1D1C"/>
    <w:rsid w:val="2F846934"/>
    <w:rsid w:val="2F977F57"/>
    <w:rsid w:val="2F9B0B20"/>
    <w:rsid w:val="2F9D39A3"/>
    <w:rsid w:val="2FA313E6"/>
    <w:rsid w:val="2FB33B8C"/>
    <w:rsid w:val="2FC751AB"/>
    <w:rsid w:val="2FC902A5"/>
    <w:rsid w:val="2FCB0DFB"/>
    <w:rsid w:val="2FE46DA6"/>
    <w:rsid w:val="300541EB"/>
    <w:rsid w:val="300A20B7"/>
    <w:rsid w:val="301B4B85"/>
    <w:rsid w:val="3026447A"/>
    <w:rsid w:val="302B3513"/>
    <w:rsid w:val="303040BA"/>
    <w:rsid w:val="30322C37"/>
    <w:rsid w:val="3033008E"/>
    <w:rsid w:val="3040220C"/>
    <w:rsid w:val="30405AEB"/>
    <w:rsid w:val="30454BCD"/>
    <w:rsid w:val="304608E5"/>
    <w:rsid w:val="306B53EE"/>
    <w:rsid w:val="3081342E"/>
    <w:rsid w:val="30816A20"/>
    <w:rsid w:val="308E27D1"/>
    <w:rsid w:val="30953F12"/>
    <w:rsid w:val="30A80C51"/>
    <w:rsid w:val="30AC6161"/>
    <w:rsid w:val="30B67293"/>
    <w:rsid w:val="30C45E54"/>
    <w:rsid w:val="30C65728"/>
    <w:rsid w:val="30CE6CD3"/>
    <w:rsid w:val="30CE6F3A"/>
    <w:rsid w:val="30EE6DDA"/>
    <w:rsid w:val="30EF1DD1"/>
    <w:rsid w:val="30F445E1"/>
    <w:rsid w:val="30F524B2"/>
    <w:rsid w:val="30FC3D72"/>
    <w:rsid w:val="311A098E"/>
    <w:rsid w:val="313844C5"/>
    <w:rsid w:val="31387790"/>
    <w:rsid w:val="31395AC0"/>
    <w:rsid w:val="313A7B76"/>
    <w:rsid w:val="314F3FE9"/>
    <w:rsid w:val="315C0108"/>
    <w:rsid w:val="31795FAA"/>
    <w:rsid w:val="3181434A"/>
    <w:rsid w:val="318A2097"/>
    <w:rsid w:val="318B2BC8"/>
    <w:rsid w:val="3192385D"/>
    <w:rsid w:val="31945827"/>
    <w:rsid w:val="319F47EF"/>
    <w:rsid w:val="31A365C8"/>
    <w:rsid w:val="31A510E7"/>
    <w:rsid w:val="31C05179"/>
    <w:rsid w:val="31D5040B"/>
    <w:rsid w:val="31D509A5"/>
    <w:rsid w:val="31D9148B"/>
    <w:rsid w:val="31DB3279"/>
    <w:rsid w:val="31E61055"/>
    <w:rsid w:val="31E7004C"/>
    <w:rsid w:val="31F8082D"/>
    <w:rsid w:val="32096215"/>
    <w:rsid w:val="32193F7E"/>
    <w:rsid w:val="322546D1"/>
    <w:rsid w:val="32270449"/>
    <w:rsid w:val="32286D85"/>
    <w:rsid w:val="32517EAB"/>
    <w:rsid w:val="325A374F"/>
    <w:rsid w:val="325D20BC"/>
    <w:rsid w:val="32621481"/>
    <w:rsid w:val="3264770D"/>
    <w:rsid w:val="32650577"/>
    <w:rsid w:val="32750B9B"/>
    <w:rsid w:val="3291620A"/>
    <w:rsid w:val="32A10BAA"/>
    <w:rsid w:val="32A937FB"/>
    <w:rsid w:val="32AC094E"/>
    <w:rsid w:val="32C47E15"/>
    <w:rsid w:val="32C63C90"/>
    <w:rsid w:val="32CC61F2"/>
    <w:rsid w:val="32D6588B"/>
    <w:rsid w:val="32DB1E15"/>
    <w:rsid w:val="32E42463"/>
    <w:rsid w:val="32EA39FB"/>
    <w:rsid w:val="32FA7ACB"/>
    <w:rsid w:val="330438DB"/>
    <w:rsid w:val="33177DA4"/>
    <w:rsid w:val="33182487"/>
    <w:rsid w:val="332B13F5"/>
    <w:rsid w:val="33355C55"/>
    <w:rsid w:val="333E5CD8"/>
    <w:rsid w:val="333F7A14"/>
    <w:rsid w:val="33423060"/>
    <w:rsid w:val="33430023"/>
    <w:rsid w:val="334D0383"/>
    <w:rsid w:val="335F33B8"/>
    <w:rsid w:val="3362313B"/>
    <w:rsid w:val="336D27D3"/>
    <w:rsid w:val="337C3E29"/>
    <w:rsid w:val="33AA703A"/>
    <w:rsid w:val="33AD0E22"/>
    <w:rsid w:val="33B75A32"/>
    <w:rsid w:val="33B828D3"/>
    <w:rsid w:val="33BE4DDD"/>
    <w:rsid w:val="33C022CD"/>
    <w:rsid w:val="33C311F5"/>
    <w:rsid w:val="33CD3982"/>
    <w:rsid w:val="33EB75A2"/>
    <w:rsid w:val="33F325DD"/>
    <w:rsid w:val="33FA3E2F"/>
    <w:rsid w:val="34133946"/>
    <w:rsid w:val="34272982"/>
    <w:rsid w:val="342913A5"/>
    <w:rsid w:val="34373402"/>
    <w:rsid w:val="343D7A47"/>
    <w:rsid w:val="34464303"/>
    <w:rsid w:val="344B5F20"/>
    <w:rsid w:val="344F440C"/>
    <w:rsid w:val="34627E5E"/>
    <w:rsid w:val="34680799"/>
    <w:rsid w:val="3469049A"/>
    <w:rsid w:val="347B2BB9"/>
    <w:rsid w:val="347D25A2"/>
    <w:rsid w:val="3483314F"/>
    <w:rsid w:val="34855778"/>
    <w:rsid w:val="34906F65"/>
    <w:rsid w:val="349F2923"/>
    <w:rsid w:val="34A165CC"/>
    <w:rsid w:val="34A8670B"/>
    <w:rsid w:val="34C90A4E"/>
    <w:rsid w:val="34CC588F"/>
    <w:rsid w:val="34E1357C"/>
    <w:rsid w:val="34F565DC"/>
    <w:rsid w:val="351E1ABC"/>
    <w:rsid w:val="352C057C"/>
    <w:rsid w:val="352E40C6"/>
    <w:rsid w:val="354B553E"/>
    <w:rsid w:val="354B7C26"/>
    <w:rsid w:val="355359F9"/>
    <w:rsid w:val="355B34E6"/>
    <w:rsid w:val="355C0AD5"/>
    <w:rsid w:val="355D5414"/>
    <w:rsid w:val="355E55DD"/>
    <w:rsid w:val="355E6864"/>
    <w:rsid w:val="355E6E68"/>
    <w:rsid w:val="356074EE"/>
    <w:rsid w:val="35735E7E"/>
    <w:rsid w:val="359857FF"/>
    <w:rsid w:val="359F29EC"/>
    <w:rsid w:val="35B66829"/>
    <w:rsid w:val="35B87BED"/>
    <w:rsid w:val="35C50717"/>
    <w:rsid w:val="35CB1A33"/>
    <w:rsid w:val="35D501BC"/>
    <w:rsid w:val="35F7165A"/>
    <w:rsid w:val="35F965A0"/>
    <w:rsid w:val="35FC6F34"/>
    <w:rsid w:val="363E5DC7"/>
    <w:rsid w:val="364530C9"/>
    <w:rsid w:val="36674E48"/>
    <w:rsid w:val="367D069A"/>
    <w:rsid w:val="368B70C5"/>
    <w:rsid w:val="368C0C31"/>
    <w:rsid w:val="36A112DD"/>
    <w:rsid w:val="36A84DB7"/>
    <w:rsid w:val="36C16E2A"/>
    <w:rsid w:val="36C71D39"/>
    <w:rsid w:val="36C739BA"/>
    <w:rsid w:val="36D8249B"/>
    <w:rsid w:val="36FB1DD0"/>
    <w:rsid w:val="3706312F"/>
    <w:rsid w:val="370B37C7"/>
    <w:rsid w:val="370F10D1"/>
    <w:rsid w:val="371135FE"/>
    <w:rsid w:val="37173A76"/>
    <w:rsid w:val="371A2661"/>
    <w:rsid w:val="37457069"/>
    <w:rsid w:val="37591238"/>
    <w:rsid w:val="37623CD1"/>
    <w:rsid w:val="37712ED6"/>
    <w:rsid w:val="377F6C02"/>
    <w:rsid w:val="3797463F"/>
    <w:rsid w:val="379E03F1"/>
    <w:rsid w:val="37AB5678"/>
    <w:rsid w:val="37BB241A"/>
    <w:rsid w:val="37C4498C"/>
    <w:rsid w:val="37C700E5"/>
    <w:rsid w:val="37C906B2"/>
    <w:rsid w:val="37D32A74"/>
    <w:rsid w:val="37D72911"/>
    <w:rsid w:val="37D77909"/>
    <w:rsid w:val="37DA5F5D"/>
    <w:rsid w:val="37E00D32"/>
    <w:rsid w:val="37E40B8A"/>
    <w:rsid w:val="38007B94"/>
    <w:rsid w:val="380551D6"/>
    <w:rsid w:val="380D3A6D"/>
    <w:rsid w:val="380F260F"/>
    <w:rsid w:val="381677D9"/>
    <w:rsid w:val="381E03A7"/>
    <w:rsid w:val="381E4558"/>
    <w:rsid w:val="38217669"/>
    <w:rsid w:val="38246F0E"/>
    <w:rsid w:val="38294525"/>
    <w:rsid w:val="3833384F"/>
    <w:rsid w:val="384C0243"/>
    <w:rsid w:val="38585E2E"/>
    <w:rsid w:val="38592A3A"/>
    <w:rsid w:val="386012D7"/>
    <w:rsid w:val="38637D01"/>
    <w:rsid w:val="3877646C"/>
    <w:rsid w:val="38937054"/>
    <w:rsid w:val="389C4278"/>
    <w:rsid w:val="389D6890"/>
    <w:rsid w:val="38AF1CDC"/>
    <w:rsid w:val="38B57E8B"/>
    <w:rsid w:val="38C70290"/>
    <w:rsid w:val="38C7224F"/>
    <w:rsid w:val="38CC1383"/>
    <w:rsid w:val="38CC1D4A"/>
    <w:rsid w:val="38D806EF"/>
    <w:rsid w:val="38DE64BB"/>
    <w:rsid w:val="38E45070"/>
    <w:rsid w:val="390A63CE"/>
    <w:rsid w:val="390B563E"/>
    <w:rsid w:val="3926239F"/>
    <w:rsid w:val="39262BB4"/>
    <w:rsid w:val="3953395C"/>
    <w:rsid w:val="39534219"/>
    <w:rsid w:val="3963021A"/>
    <w:rsid w:val="39767769"/>
    <w:rsid w:val="39837BF0"/>
    <w:rsid w:val="399E319B"/>
    <w:rsid w:val="39A95BE7"/>
    <w:rsid w:val="39B63432"/>
    <w:rsid w:val="39C649EB"/>
    <w:rsid w:val="39CB4271"/>
    <w:rsid w:val="39E135D3"/>
    <w:rsid w:val="39E902C9"/>
    <w:rsid w:val="39EA7CC2"/>
    <w:rsid w:val="39F52A1B"/>
    <w:rsid w:val="3A2A0CA5"/>
    <w:rsid w:val="3A39340F"/>
    <w:rsid w:val="3A404981"/>
    <w:rsid w:val="3A4E18D2"/>
    <w:rsid w:val="3A541ADA"/>
    <w:rsid w:val="3A555D6F"/>
    <w:rsid w:val="3A556FA7"/>
    <w:rsid w:val="3A7A7584"/>
    <w:rsid w:val="3A7C46B2"/>
    <w:rsid w:val="3A7E7E4B"/>
    <w:rsid w:val="3A7F6446"/>
    <w:rsid w:val="3A8874F8"/>
    <w:rsid w:val="3A8B06D0"/>
    <w:rsid w:val="3A8E6BC8"/>
    <w:rsid w:val="3A994AB7"/>
    <w:rsid w:val="3AA178C1"/>
    <w:rsid w:val="3AAD14C4"/>
    <w:rsid w:val="3AC21656"/>
    <w:rsid w:val="3AC5653B"/>
    <w:rsid w:val="3AD112E2"/>
    <w:rsid w:val="3AD2116E"/>
    <w:rsid w:val="3AD4138A"/>
    <w:rsid w:val="3AE25855"/>
    <w:rsid w:val="3AEC222F"/>
    <w:rsid w:val="3AF46516"/>
    <w:rsid w:val="3B0F4170"/>
    <w:rsid w:val="3B2C1D62"/>
    <w:rsid w:val="3B2F5139"/>
    <w:rsid w:val="3B343BD6"/>
    <w:rsid w:val="3B4630F0"/>
    <w:rsid w:val="3B533C15"/>
    <w:rsid w:val="3B62691D"/>
    <w:rsid w:val="3B732AB9"/>
    <w:rsid w:val="3B8B1A48"/>
    <w:rsid w:val="3B8D5297"/>
    <w:rsid w:val="3B9B7ED2"/>
    <w:rsid w:val="3BAE224C"/>
    <w:rsid w:val="3BB4003F"/>
    <w:rsid w:val="3BBB7290"/>
    <w:rsid w:val="3BC85286"/>
    <w:rsid w:val="3BE3584C"/>
    <w:rsid w:val="3BE42ACC"/>
    <w:rsid w:val="3BE45A1E"/>
    <w:rsid w:val="3BE52240"/>
    <w:rsid w:val="3BE82435"/>
    <w:rsid w:val="3BFD485D"/>
    <w:rsid w:val="3C047A4D"/>
    <w:rsid w:val="3C056C74"/>
    <w:rsid w:val="3C115F47"/>
    <w:rsid w:val="3C1761A4"/>
    <w:rsid w:val="3C1B196D"/>
    <w:rsid w:val="3C394A07"/>
    <w:rsid w:val="3C415AD8"/>
    <w:rsid w:val="3C4B1D68"/>
    <w:rsid w:val="3C4F765A"/>
    <w:rsid w:val="3C512D93"/>
    <w:rsid w:val="3C6204AF"/>
    <w:rsid w:val="3C636D99"/>
    <w:rsid w:val="3C6E4C26"/>
    <w:rsid w:val="3C7918F5"/>
    <w:rsid w:val="3C7A1ABD"/>
    <w:rsid w:val="3C812E4B"/>
    <w:rsid w:val="3C8D3BE5"/>
    <w:rsid w:val="3C9D0D30"/>
    <w:rsid w:val="3CA77CC7"/>
    <w:rsid w:val="3CB424E1"/>
    <w:rsid w:val="3CB7061B"/>
    <w:rsid w:val="3CD81175"/>
    <w:rsid w:val="3CDF19B6"/>
    <w:rsid w:val="3CEF0B55"/>
    <w:rsid w:val="3CFD4BC8"/>
    <w:rsid w:val="3D001FC2"/>
    <w:rsid w:val="3D043B5C"/>
    <w:rsid w:val="3D053A7C"/>
    <w:rsid w:val="3D0C0065"/>
    <w:rsid w:val="3D234F01"/>
    <w:rsid w:val="3D3B749E"/>
    <w:rsid w:val="3D606A60"/>
    <w:rsid w:val="3D652EE5"/>
    <w:rsid w:val="3D6764E5"/>
    <w:rsid w:val="3D8440A0"/>
    <w:rsid w:val="3D891FB8"/>
    <w:rsid w:val="3D9170BE"/>
    <w:rsid w:val="3DA86F76"/>
    <w:rsid w:val="3DB63CA8"/>
    <w:rsid w:val="3DBB413B"/>
    <w:rsid w:val="3DE23256"/>
    <w:rsid w:val="3DF157D3"/>
    <w:rsid w:val="3DFA2EB5"/>
    <w:rsid w:val="3E1C2553"/>
    <w:rsid w:val="3E3E1C9C"/>
    <w:rsid w:val="3E492211"/>
    <w:rsid w:val="3E4C70B8"/>
    <w:rsid w:val="3E504B0F"/>
    <w:rsid w:val="3E594080"/>
    <w:rsid w:val="3E6548E5"/>
    <w:rsid w:val="3E66783D"/>
    <w:rsid w:val="3E6B5B61"/>
    <w:rsid w:val="3E720C9E"/>
    <w:rsid w:val="3E7A2248"/>
    <w:rsid w:val="3E807C26"/>
    <w:rsid w:val="3E8A65B9"/>
    <w:rsid w:val="3E946D6E"/>
    <w:rsid w:val="3E962575"/>
    <w:rsid w:val="3E9A6E1D"/>
    <w:rsid w:val="3E9B4987"/>
    <w:rsid w:val="3EB70DA6"/>
    <w:rsid w:val="3EBB757C"/>
    <w:rsid w:val="3EC173C0"/>
    <w:rsid w:val="3EC276F0"/>
    <w:rsid w:val="3EC72738"/>
    <w:rsid w:val="3ED17FF0"/>
    <w:rsid w:val="3EE46581"/>
    <w:rsid w:val="3EE91717"/>
    <w:rsid w:val="3F014834"/>
    <w:rsid w:val="3F0B25BB"/>
    <w:rsid w:val="3F136336"/>
    <w:rsid w:val="3F1E2BD3"/>
    <w:rsid w:val="3F3E318F"/>
    <w:rsid w:val="3F593C0C"/>
    <w:rsid w:val="3F5E56C6"/>
    <w:rsid w:val="3F6371E4"/>
    <w:rsid w:val="3F6A2A61"/>
    <w:rsid w:val="3F6B2A27"/>
    <w:rsid w:val="3F6F5934"/>
    <w:rsid w:val="3F7352A7"/>
    <w:rsid w:val="3F7A197B"/>
    <w:rsid w:val="3F852C53"/>
    <w:rsid w:val="3F894384"/>
    <w:rsid w:val="3F8A2017"/>
    <w:rsid w:val="3F9F7FC9"/>
    <w:rsid w:val="3FAC4683"/>
    <w:rsid w:val="3FB05F21"/>
    <w:rsid w:val="3FB26507"/>
    <w:rsid w:val="3FC27A03"/>
    <w:rsid w:val="3FD720CE"/>
    <w:rsid w:val="3FD76FCB"/>
    <w:rsid w:val="3FD90710"/>
    <w:rsid w:val="3FF016A6"/>
    <w:rsid w:val="3FF835A8"/>
    <w:rsid w:val="3FFB6826"/>
    <w:rsid w:val="400242A3"/>
    <w:rsid w:val="4004001B"/>
    <w:rsid w:val="40066BE8"/>
    <w:rsid w:val="40167D4F"/>
    <w:rsid w:val="402B222C"/>
    <w:rsid w:val="40307062"/>
    <w:rsid w:val="40324B88"/>
    <w:rsid w:val="403F5BDA"/>
    <w:rsid w:val="40491F46"/>
    <w:rsid w:val="404A56AE"/>
    <w:rsid w:val="40597B6F"/>
    <w:rsid w:val="407331DF"/>
    <w:rsid w:val="407E7DCE"/>
    <w:rsid w:val="408D1353"/>
    <w:rsid w:val="40911B0A"/>
    <w:rsid w:val="40A47108"/>
    <w:rsid w:val="40AE4181"/>
    <w:rsid w:val="40B73DBA"/>
    <w:rsid w:val="40C84574"/>
    <w:rsid w:val="40CB2789"/>
    <w:rsid w:val="40E02836"/>
    <w:rsid w:val="40F54806"/>
    <w:rsid w:val="411433C2"/>
    <w:rsid w:val="4115144B"/>
    <w:rsid w:val="41166258"/>
    <w:rsid w:val="412073E8"/>
    <w:rsid w:val="41285739"/>
    <w:rsid w:val="412A1D04"/>
    <w:rsid w:val="412A5860"/>
    <w:rsid w:val="412F7A54"/>
    <w:rsid w:val="41395AA3"/>
    <w:rsid w:val="41512DA1"/>
    <w:rsid w:val="415820B8"/>
    <w:rsid w:val="415C49B5"/>
    <w:rsid w:val="41606DE8"/>
    <w:rsid w:val="4168377D"/>
    <w:rsid w:val="417336EE"/>
    <w:rsid w:val="41774FF8"/>
    <w:rsid w:val="417F5417"/>
    <w:rsid w:val="41803257"/>
    <w:rsid w:val="41884FF2"/>
    <w:rsid w:val="418D39BB"/>
    <w:rsid w:val="419502FB"/>
    <w:rsid w:val="419B33D0"/>
    <w:rsid w:val="419D4283"/>
    <w:rsid w:val="41E668F5"/>
    <w:rsid w:val="41E91E53"/>
    <w:rsid w:val="41F30347"/>
    <w:rsid w:val="41F32A72"/>
    <w:rsid w:val="41FA1643"/>
    <w:rsid w:val="42070318"/>
    <w:rsid w:val="420F08E9"/>
    <w:rsid w:val="424B6D9A"/>
    <w:rsid w:val="424D1239"/>
    <w:rsid w:val="427C3412"/>
    <w:rsid w:val="42A63910"/>
    <w:rsid w:val="42B37C6F"/>
    <w:rsid w:val="42D71A17"/>
    <w:rsid w:val="42DC0504"/>
    <w:rsid w:val="42DD31AB"/>
    <w:rsid w:val="42E11043"/>
    <w:rsid w:val="42EC0FD6"/>
    <w:rsid w:val="43003C7E"/>
    <w:rsid w:val="43021569"/>
    <w:rsid w:val="430A1E0F"/>
    <w:rsid w:val="430B73A6"/>
    <w:rsid w:val="43283DF5"/>
    <w:rsid w:val="43370708"/>
    <w:rsid w:val="433E2276"/>
    <w:rsid w:val="43421755"/>
    <w:rsid w:val="434635A8"/>
    <w:rsid w:val="43655275"/>
    <w:rsid w:val="43941A1A"/>
    <w:rsid w:val="43A20F99"/>
    <w:rsid w:val="43A544CE"/>
    <w:rsid w:val="43A946CB"/>
    <w:rsid w:val="43B96436"/>
    <w:rsid w:val="43CF3CAB"/>
    <w:rsid w:val="43D30430"/>
    <w:rsid w:val="43D9531B"/>
    <w:rsid w:val="43EB6997"/>
    <w:rsid w:val="43ED416E"/>
    <w:rsid w:val="43FA3C0F"/>
    <w:rsid w:val="43FD54AD"/>
    <w:rsid w:val="440F51E1"/>
    <w:rsid w:val="44213022"/>
    <w:rsid w:val="44390021"/>
    <w:rsid w:val="443A563E"/>
    <w:rsid w:val="44436036"/>
    <w:rsid w:val="44563A92"/>
    <w:rsid w:val="445B0426"/>
    <w:rsid w:val="44610F8B"/>
    <w:rsid w:val="44903312"/>
    <w:rsid w:val="44932709"/>
    <w:rsid w:val="44A122DD"/>
    <w:rsid w:val="44AA3F46"/>
    <w:rsid w:val="44AE4839"/>
    <w:rsid w:val="44B029B1"/>
    <w:rsid w:val="44B2279C"/>
    <w:rsid w:val="44BD1518"/>
    <w:rsid w:val="44C16738"/>
    <w:rsid w:val="44D27671"/>
    <w:rsid w:val="44D3620E"/>
    <w:rsid w:val="44DA57EF"/>
    <w:rsid w:val="44DE1833"/>
    <w:rsid w:val="44EC107E"/>
    <w:rsid w:val="44EE38F2"/>
    <w:rsid w:val="44F56773"/>
    <w:rsid w:val="45117DD5"/>
    <w:rsid w:val="45126C7B"/>
    <w:rsid w:val="451550E7"/>
    <w:rsid w:val="45156827"/>
    <w:rsid w:val="451900C5"/>
    <w:rsid w:val="4522011C"/>
    <w:rsid w:val="45230F44"/>
    <w:rsid w:val="453216B7"/>
    <w:rsid w:val="45325A2E"/>
    <w:rsid w:val="45366AB4"/>
    <w:rsid w:val="454D5FC1"/>
    <w:rsid w:val="455B433F"/>
    <w:rsid w:val="457D4B55"/>
    <w:rsid w:val="457E2949"/>
    <w:rsid w:val="458643BE"/>
    <w:rsid w:val="458938B6"/>
    <w:rsid w:val="459C7D63"/>
    <w:rsid w:val="45A82722"/>
    <w:rsid w:val="45B7168C"/>
    <w:rsid w:val="45B93616"/>
    <w:rsid w:val="45BD3018"/>
    <w:rsid w:val="45CD3D23"/>
    <w:rsid w:val="45D823C5"/>
    <w:rsid w:val="461065BA"/>
    <w:rsid w:val="461A4D06"/>
    <w:rsid w:val="461E7104"/>
    <w:rsid w:val="46207231"/>
    <w:rsid w:val="4622744D"/>
    <w:rsid w:val="462C207A"/>
    <w:rsid w:val="46364724"/>
    <w:rsid w:val="46401DDD"/>
    <w:rsid w:val="46407F04"/>
    <w:rsid w:val="464B69A4"/>
    <w:rsid w:val="464E4544"/>
    <w:rsid w:val="465E38E0"/>
    <w:rsid w:val="466B2948"/>
    <w:rsid w:val="4675324C"/>
    <w:rsid w:val="46AF05B5"/>
    <w:rsid w:val="46B0393D"/>
    <w:rsid w:val="46BC75AF"/>
    <w:rsid w:val="46C2653A"/>
    <w:rsid w:val="46C620B0"/>
    <w:rsid w:val="46CE54FE"/>
    <w:rsid w:val="46E47C14"/>
    <w:rsid w:val="46E9464B"/>
    <w:rsid w:val="46EA1544"/>
    <w:rsid w:val="46EE5581"/>
    <w:rsid w:val="46F506BE"/>
    <w:rsid w:val="47013507"/>
    <w:rsid w:val="47331014"/>
    <w:rsid w:val="4741459A"/>
    <w:rsid w:val="474651A4"/>
    <w:rsid w:val="47486A40"/>
    <w:rsid w:val="47503B46"/>
    <w:rsid w:val="475348DF"/>
    <w:rsid w:val="475754FA"/>
    <w:rsid w:val="47655DB8"/>
    <w:rsid w:val="4769611A"/>
    <w:rsid w:val="477916A5"/>
    <w:rsid w:val="4799005C"/>
    <w:rsid w:val="47A6578C"/>
    <w:rsid w:val="47A75FAA"/>
    <w:rsid w:val="47C11AAB"/>
    <w:rsid w:val="47C87B80"/>
    <w:rsid w:val="47CD33E9"/>
    <w:rsid w:val="47D33642"/>
    <w:rsid w:val="47D429C9"/>
    <w:rsid w:val="47F704B0"/>
    <w:rsid w:val="480A72A8"/>
    <w:rsid w:val="480F68F0"/>
    <w:rsid w:val="48234B72"/>
    <w:rsid w:val="48302C80"/>
    <w:rsid w:val="4837145D"/>
    <w:rsid w:val="483758F1"/>
    <w:rsid w:val="483D231C"/>
    <w:rsid w:val="483F43A2"/>
    <w:rsid w:val="484A400D"/>
    <w:rsid w:val="484A6EF4"/>
    <w:rsid w:val="48515DC8"/>
    <w:rsid w:val="48670AA8"/>
    <w:rsid w:val="486D3EFD"/>
    <w:rsid w:val="487446A9"/>
    <w:rsid w:val="487552F3"/>
    <w:rsid w:val="487B3778"/>
    <w:rsid w:val="48932C5B"/>
    <w:rsid w:val="489F2FD7"/>
    <w:rsid w:val="48A2348A"/>
    <w:rsid w:val="48A76E83"/>
    <w:rsid w:val="48A82A35"/>
    <w:rsid w:val="48AB372A"/>
    <w:rsid w:val="48B87D15"/>
    <w:rsid w:val="48B90820"/>
    <w:rsid w:val="48C8247E"/>
    <w:rsid w:val="48D0716F"/>
    <w:rsid w:val="48DE33BE"/>
    <w:rsid w:val="48F4498A"/>
    <w:rsid w:val="48F476CE"/>
    <w:rsid w:val="48F86873"/>
    <w:rsid w:val="48FB6487"/>
    <w:rsid w:val="49105300"/>
    <w:rsid w:val="49165F80"/>
    <w:rsid w:val="494D52B4"/>
    <w:rsid w:val="495067BC"/>
    <w:rsid w:val="49541DB6"/>
    <w:rsid w:val="49551680"/>
    <w:rsid w:val="49586626"/>
    <w:rsid w:val="49654EDF"/>
    <w:rsid w:val="4972249A"/>
    <w:rsid w:val="49725EE7"/>
    <w:rsid w:val="49897C85"/>
    <w:rsid w:val="49920446"/>
    <w:rsid w:val="49A773FE"/>
    <w:rsid w:val="49AB0F34"/>
    <w:rsid w:val="49B05421"/>
    <w:rsid w:val="49B91E77"/>
    <w:rsid w:val="49C600F0"/>
    <w:rsid w:val="49C83E68"/>
    <w:rsid w:val="49CE6620"/>
    <w:rsid w:val="49F27137"/>
    <w:rsid w:val="49F81962"/>
    <w:rsid w:val="49F83454"/>
    <w:rsid w:val="49F93E00"/>
    <w:rsid w:val="49F95E20"/>
    <w:rsid w:val="4A126315"/>
    <w:rsid w:val="4A1778CA"/>
    <w:rsid w:val="4A184ED3"/>
    <w:rsid w:val="4A2F0833"/>
    <w:rsid w:val="4A422995"/>
    <w:rsid w:val="4A5B2032"/>
    <w:rsid w:val="4A682263"/>
    <w:rsid w:val="4A730D99"/>
    <w:rsid w:val="4A89343A"/>
    <w:rsid w:val="4A8D4611"/>
    <w:rsid w:val="4A966AFB"/>
    <w:rsid w:val="4A9A5C89"/>
    <w:rsid w:val="4A9F29B9"/>
    <w:rsid w:val="4AAC06EE"/>
    <w:rsid w:val="4AB32D6A"/>
    <w:rsid w:val="4AC60AD6"/>
    <w:rsid w:val="4ACE0368"/>
    <w:rsid w:val="4AD64A28"/>
    <w:rsid w:val="4AD676AD"/>
    <w:rsid w:val="4AD7381F"/>
    <w:rsid w:val="4AD8457E"/>
    <w:rsid w:val="4AE76589"/>
    <w:rsid w:val="4B143F99"/>
    <w:rsid w:val="4B340E10"/>
    <w:rsid w:val="4B3A2B43"/>
    <w:rsid w:val="4B547259"/>
    <w:rsid w:val="4B645E12"/>
    <w:rsid w:val="4B676ACF"/>
    <w:rsid w:val="4B6776B0"/>
    <w:rsid w:val="4B693428"/>
    <w:rsid w:val="4B955F8C"/>
    <w:rsid w:val="4BCD39B7"/>
    <w:rsid w:val="4BDB5047"/>
    <w:rsid w:val="4BE64A79"/>
    <w:rsid w:val="4BEB16F7"/>
    <w:rsid w:val="4BEF0834"/>
    <w:rsid w:val="4BF42883"/>
    <w:rsid w:val="4C0D0258"/>
    <w:rsid w:val="4C242BBD"/>
    <w:rsid w:val="4C2D05C5"/>
    <w:rsid w:val="4C2F2A40"/>
    <w:rsid w:val="4C345938"/>
    <w:rsid w:val="4C3B7DE7"/>
    <w:rsid w:val="4C5560BE"/>
    <w:rsid w:val="4C5A43B4"/>
    <w:rsid w:val="4C621D89"/>
    <w:rsid w:val="4C62215D"/>
    <w:rsid w:val="4C6D648D"/>
    <w:rsid w:val="4C6E1A4D"/>
    <w:rsid w:val="4C7C02FE"/>
    <w:rsid w:val="4C98557D"/>
    <w:rsid w:val="4CA566E2"/>
    <w:rsid w:val="4CC561E3"/>
    <w:rsid w:val="4CCD0192"/>
    <w:rsid w:val="4CD075CA"/>
    <w:rsid w:val="4CDA19A5"/>
    <w:rsid w:val="4D03307E"/>
    <w:rsid w:val="4D0624DE"/>
    <w:rsid w:val="4D0A4FBB"/>
    <w:rsid w:val="4D1676B2"/>
    <w:rsid w:val="4D202919"/>
    <w:rsid w:val="4D204991"/>
    <w:rsid w:val="4D286DB9"/>
    <w:rsid w:val="4D41311B"/>
    <w:rsid w:val="4D4275E6"/>
    <w:rsid w:val="4D5117AD"/>
    <w:rsid w:val="4D603D38"/>
    <w:rsid w:val="4D6D065E"/>
    <w:rsid w:val="4D7E765F"/>
    <w:rsid w:val="4D827749"/>
    <w:rsid w:val="4D8808F7"/>
    <w:rsid w:val="4DA8684F"/>
    <w:rsid w:val="4DAB6BB5"/>
    <w:rsid w:val="4DCC72EB"/>
    <w:rsid w:val="4DCF1539"/>
    <w:rsid w:val="4DD01143"/>
    <w:rsid w:val="4DD804BA"/>
    <w:rsid w:val="4DDE00FE"/>
    <w:rsid w:val="4DE74243"/>
    <w:rsid w:val="4DEB6353"/>
    <w:rsid w:val="4E0871ED"/>
    <w:rsid w:val="4E094A4F"/>
    <w:rsid w:val="4E160642"/>
    <w:rsid w:val="4E213F3E"/>
    <w:rsid w:val="4E223191"/>
    <w:rsid w:val="4E33790B"/>
    <w:rsid w:val="4E352C75"/>
    <w:rsid w:val="4E36404E"/>
    <w:rsid w:val="4E404914"/>
    <w:rsid w:val="4E471936"/>
    <w:rsid w:val="4E4F2DA9"/>
    <w:rsid w:val="4E526C20"/>
    <w:rsid w:val="4E535F68"/>
    <w:rsid w:val="4E5B3D96"/>
    <w:rsid w:val="4E5C4599"/>
    <w:rsid w:val="4E5E4D9B"/>
    <w:rsid w:val="4E757CEC"/>
    <w:rsid w:val="4E7732F8"/>
    <w:rsid w:val="4E883785"/>
    <w:rsid w:val="4E974E4A"/>
    <w:rsid w:val="4EB046C9"/>
    <w:rsid w:val="4EBB6D1F"/>
    <w:rsid w:val="4ECF03F7"/>
    <w:rsid w:val="4ED137BE"/>
    <w:rsid w:val="4ED3768F"/>
    <w:rsid w:val="4EDA42F4"/>
    <w:rsid w:val="4EDA6D2D"/>
    <w:rsid w:val="4EE91A2D"/>
    <w:rsid w:val="4F08419D"/>
    <w:rsid w:val="4F096657"/>
    <w:rsid w:val="4F16390F"/>
    <w:rsid w:val="4F1B2C8C"/>
    <w:rsid w:val="4F1E452A"/>
    <w:rsid w:val="4F2D2F1E"/>
    <w:rsid w:val="4F310AE9"/>
    <w:rsid w:val="4F3E697A"/>
    <w:rsid w:val="4F427EB6"/>
    <w:rsid w:val="4F493271"/>
    <w:rsid w:val="4F590B1F"/>
    <w:rsid w:val="4F781924"/>
    <w:rsid w:val="4F7E1940"/>
    <w:rsid w:val="4F860A4D"/>
    <w:rsid w:val="4F8A3D9F"/>
    <w:rsid w:val="4F9842DC"/>
    <w:rsid w:val="4FAC106B"/>
    <w:rsid w:val="4FB10D39"/>
    <w:rsid w:val="4FC07A9D"/>
    <w:rsid w:val="4FC746DE"/>
    <w:rsid w:val="4FCD5051"/>
    <w:rsid w:val="4FDC2460"/>
    <w:rsid w:val="4FF9623B"/>
    <w:rsid w:val="50113E8E"/>
    <w:rsid w:val="50187F40"/>
    <w:rsid w:val="50246D22"/>
    <w:rsid w:val="50363C91"/>
    <w:rsid w:val="507B7E86"/>
    <w:rsid w:val="508278E3"/>
    <w:rsid w:val="508476E3"/>
    <w:rsid w:val="50981B09"/>
    <w:rsid w:val="50BC017B"/>
    <w:rsid w:val="50D35F69"/>
    <w:rsid w:val="50DA55E5"/>
    <w:rsid w:val="50DF4F44"/>
    <w:rsid w:val="50F047C8"/>
    <w:rsid w:val="50F54053"/>
    <w:rsid w:val="511432A7"/>
    <w:rsid w:val="511A48D1"/>
    <w:rsid w:val="51241B8B"/>
    <w:rsid w:val="512C7869"/>
    <w:rsid w:val="51343C8C"/>
    <w:rsid w:val="51531578"/>
    <w:rsid w:val="515470F5"/>
    <w:rsid w:val="51582F07"/>
    <w:rsid w:val="517E55B3"/>
    <w:rsid w:val="517F1E0C"/>
    <w:rsid w:val="51821315"/>
    <w:rsid w:val="51850890"/>
    <w:rsid w:val="518A569B"/>
    <w:rsid w:val="51A47B2C"/>
    <w:rsid w:val="51B60050"/>
    <w:rsid w:val="51BA7DEF"/>
    <w:rsid w:val="51CA5957"/>
    <w:rsid w:val="51CE7D17"/>
    <w:rsid w:val="51D42C95"/>
    <w:rsid w:val="5233149D"/>
    <w:rsid w:val="524C72A3"/>
    <w:rsid w:val="52537233"/>
    <w:rsid w:val="526C3509"/>
    <w:rsid w:val="529010A5"/>
    <w:rsid w:val="52933410"/>
    <w:rsid w:val="529C67E6"/>
    <w:rsid w:val="52A511EA"/>
    <w:rsid w:val="52A80646"/>
    <w:rsid w:val="52A92354"/>
    <w:rsid w:val="52B56F5F"/>
    <w:rsid w:val="52BC6534"/>
    <w:rsid w:val="52BD60EB"/>
    <w:rsid w:val="52BE30EA"/>
    <w:rsid w:val="52C8137C"/>
    <w:rsid w:val="52DA317E"/>
    <w:rsid w:val="52FC2DD4"/>
    <w:rsid w:val="52FD01D8"/>
    <w:rsid w:val="52FE0DB0"/>
    <w:rsid w:val="53074FEA"/>
    <w:rsid w:val="53095141"/>
    <w:rsid w:val="530E2837"/>
    <w:rsid w:val="530F10A1"/>
    <w:rsid w:val="531F081F"/>
    <w:rsid w:val="53303165"/>
    <w:rsid w:val="533308FD"/>
    <w:rsid w:val="53436CB1"/>
    <w:rsid w:val="5346615D"/>
    <w:rsid w:val="534C7424"/>
    <w:rsid w:val="535601F3"/>
    <w:rsid w:val="535765B6"/>
    <w:rsid w:val="535B176B"/>
    <w:rsid w:val="536E3BC8"/>
    <w:rsid w:val="5383420C"/>
    <w:rsid w:val="5385101B"/>
    <w:rsid w:val="538C33C0"/>
    <w:rsid w:val="53963229"/>
    <w:rsid w:val="53976E07"/>
    <w:rsid w:val="53986FA1"/>
    <w:rsid w:val="53986FBE"/>
    <w:rsid w:val="539B1B22"/>
    <w:rsid w:val="539B46A4"/>
    <w:rsid w:val="53A63AD7"/>
    <w:rsid w:val="53AA709C"/>
    <w:rsid w:val="53AD11EB"/>
    <w:rsid w:val="53C02053"/>
    <w:rsid w:val="53C2100B"/>
    <w:rsid w:val="53C658BC"/>
    <w:rsid w:val="53DB6E8D"/>
    <w:rsid w:val="53EC720D"/>
    <w:rsid w:val="53F474BB"/>
    <w:rsid w:val="5419426E"/>
    <w:rsid w:val="541D6E69"/>
    <w:rsid w:val="54203316"/>
    <w:rsid w:val="54276F28"/>
    <w:rsid w:val="542D338C"/>
    <w:rsid w:val="542E0C7C"/>
    <w:rsid w:val="54481CD5"/>
    <w:rsid w:val="544A44E6"/>
    <w:rsid w:val="545033D7"/>
    <w:rsid w:val="545F21A9"/>
    <w:rsid w:val="54693280"/>
    <w:rsid w:val="548412D3"/>
    <w:rsid w:val="549244A2"/>
    <w:rsid w:val="549261B8"/>
    <w:rsid w:val="549D2057"/>
    <w:rsid w:val="54B55782"/>
    <w:rsid w:val="54C53DC5"/>
    <w:rsid w:val="54E86597"/>
    <w:rsid w:val="54F03E7B"/>
    <w:rsid w:val="54F75F49"/>
    <w:rsid w:val="551B429B"/>
    <w:rsid w:val="55202DAA"/>
    <w:rsid w:val="552115FB"/>
    <w:rsid w:val="552D5B32"/>
    <w:rsid w:val="55371D28"/>
    <w:rsid w:val="55435EE8"/>
    <w:rsid w:val="55487740"/>
    <w:rsid w:val="554F79DD"/>
    <w:rsid w:val="55512E78"/>
    <w:rsid w:val="555F750B"/>
    <w:rsid w:val="557213E2"/>
    <w:rsid w:val="557E5000"/>
    <w:rsid w:val="558824A7"/>
    <w:rsid w:val="559A7E58"/>
    <w:rsid w:val="55AA6B17"/>
    <w:rsid w:val="55AD18DE"/>
    <w:rsid w:val="55D90097"/>
    <w:rsid w:val="55D95F14"/>
    <w:rsid w:val="55DE2FB4"/>
    <w:rsid w:val="55F00662"/>
    <w:rsid w:val="55F51D46"/>
    <w:rsid w:val="56024BA5"/>
    <w:rsid w:val="560B1CAC"/>
    <w:rsid w:val="561548D9"/>
    <w:rsid w:val="561C144B"/>
    <w:rsid w:val="562E2423"/>
    <w:rsid w:val="56353EC9"/>
    <w:rsid w:val="5638246A"/>
    <w:rsid w:val="563F3703"/>
    <w:rsid w:val="564106E3"/>
    <w:rsid w:val="56584EEF"/>
    <w:rsid w:val="56677FEB"/>
    <w:rsid w:val="5674771E"/>
    <w:rsid w:val="56773D0D"/>
    <w:rsid w:val="56982E14"/>
    <w:rsid w:val="56A364EF"/>
    <w:rsid w:val="56AA4339"/>
    <w:rsid w:val="56AE0008"/>
    <w:rsid w:val="56AE2294"/>
    <w:rsid w:val="56B33555"/>
    <w:rsid w:val="56B9231B"/>
    <w:rsid w:val="56D17C53"/>
    <w:rsid w:val="56DB734A"/>
    <w:rsid w:val="56E836F5"/>
    <w:rsid w:val="56EB4B6A"/>
    <w:rsid w:val="56F21030"/>
    <w:rsid w:val="56F2105C"/>
    <w:rsid w:val="57042A37"/>
    <w:rsid w:val="57095157"/>
    <w:rsid w:val="570D3DD5"/>
    <w:rsid w:val="57135E8E"/>
    <w:rsid w:val="57154464"/>
    <w:rsid w:val="573B6F89"/>
    <w:rsid w:val="5748483A"/>
    <w:rsid w:val="574B5C8C"/>
    <w:rsid w:val="57507D21"/>
    <w:rsid w:val="57566F57"/>
    <w:rsid w:val="575B7127"/>
    <w:rsid w:val="577713A1"/>
    <w:rsid w:val="57791FE6"/>
    <w:rsid w:val="57855A1A"/>
    <w:rsid w:val="578E558A"/>
    <w:rsid w:val="57AB392B"/>
    <w:rsid w:val="57B179A7"/>
    <w:rsid w:val="57BD6FD6"/>
    <w:rsid w:val="57C865C8"/>
    <w:rsid w:val="57E816F4"/>
    <w:rsid w:val="57F82978"/>
    <w:rsid w:val="580755AB"/>
    <w:rsid w:val="582708F3"/>
    <w:rsid w:val="582C27CC"/>
    <w:rsid w:val="582F759C"/>
    <w:rsid w:val="58320F31"/>
    <w:rsid w:val="583237EA"/>
    <w:rsid w:val="583D5BE0"/>
    <w:rsid w:val="583F3276"/>
    <w:rsid w:val="58966292"/>
    <w:rsid w:val="589A7317"/>
    <w:rsid w:val="58D07A89"/>
    <w:rsid w:val="58D46A28"/>
    <w:rsid w:val="58D567DA"/>
    <w:rsid w:val="58D77C23"/>
    <w:rsid w:val="58ED6699"/>
    <w:rsid w:val="58F102EE"/>
    <w:rsid w:val="58F20F63"/>
    <w:rsid w:val="58FD49E5"/>
    <w:rsid w:val="590C7B12"/>
    <w:rsid w:val="59125592"/>
    <w:rsid w:val="59220949"/>
    <w:rsid w:val="592406A2"/>
    <w:rsid w:val="592F1BE7"/>
    <w:rsid w:val="59402575"/>
    <w:rsid w:val="594043C9"/>
    <w:rsid w:val="59501291"/>
    <w:rsid w:val="595E373A"/>
    <w:rsid w:val="59605E6B"/>
    <w:rsid w:val="59722990"/>
    <w:rsid w:val="597C681D"/>
    <w:rsid w:val="59893D04"/>
    <w:rsid w:val="59914276"/>
    <w:rsid w:val="599677FB"/>
    <w:rsid w:val="599721B2"/>
    <w:rsid w:val="599C6D5A"/>
    <w:rsid w:val="599D2BDB"/>
    <w:rsid w:val="59A653B9"/>
    <w:rsid w:val="59A65B29"/>
    <w:rsid w:val="59AA358A"/>
    <w:rsid w:val="59C42BCC"/>
    <w:rsid w:val="59C703D2"/>
    <w:rsid w:val="59CD6788"/>
    <w:rsid w:val="59D86349"/>
    <w:rsid w:val="59EA0B48"/>
    <w:rsid w:val="59EA0F5C"/>
    <w:rsid w:val="59EA118C"/>
    <w:rsid w:val="59F20A8D"/>
    <w:rsid w:val="59FF63EB"/>
    <w:rsid w:val="5A05395E"/>
    <w:rsid w:val="5A09562C"/>
    <w:rsid w:val="5A0F31E9"/>
    <w:rsid w:val="5A160C1F"/>
    <w:rsid w:val="5A3115B5"/>
    <w:rsid w:val="5A35778A"/>
    <w:rsid w:val="5A4C76FB"/>
    <w:rsid w:val="5A4E660B"/>
    <w:rsid w:val="5A514E19"/>
    <w:rsid w:val="5A5D25B0"/>
    <w:rsid w:val="5A6C0A72"/>
    <w:rsid w:val="5A714412"/>
    <w:rsid w:val="5A734735"/>
    <w:rsid w:val="5A77291D"/>
    <w:rsid w:val="5A920D5A"/>
    <w:rsid w:val="5A9C7376"/>
    <w:rsid w:val="5AA14BF5"/>
    <w:rsid w:val="5AAC3332"/>
    <w:rsid w:val="5AB82097"/>
    <w:rsid w:val="5AB956CA"/>
    <w:rsid w:val="5ABA3CA0"/>
    <w:rsid w:val="5ACD3F0D"/>
    <w:rsid w:val="5AD569D7"/>
    <w:rsid w:val="5AFC6067"/>
    <w:rsid w:val="5AFC78DC"/>
    <w:rsid w:val="5B182775"/>
    <w:rsid w:val="5B1F41B3"/>
    <w:rsid w:val="5B2A19CC"/>
    <w:rsid w:val="5B38295C"/>
    <w:rsid w:val="5B422E2E"/>
    <w:rsid w:val="5B4D68C3"/>
    <w:rsid w:val="5B6D0E90"/>
    <w:rsid w:val="5B716482"/>
    <w:rsid w:val="5B744A36"/>
    <w:rsid w:val="5B81031A"/>
    <w:rsid w:val="5B8161A0"/>
    <w:rsid w:val="5B86769A"/>
    <w:rsid w:val="5B99417E"/>
    <w:rsid w:val="5BB97B9F"/>
    <w:rsid w:val="5BD718A6"/>
    <w:rsid w:val="5BF24D5F"/>
    <w:rsid w:val="5C0B7B8B"/>
    <w:rsid w:val="5C1B2B99"/>
    <w:rsid w:val="5C606821"/>
    <w:rsid w:val="5C701A68"/>
    <w:rsid w:val="5C7875CC"/>
    <w:rsid w:val="5C9570AD"/>
    <w:rsid w:val="5C9B6706"/>
    <w:rsid w:val="5C9E45E6"/>
    <w:rsid w:val="5CB10BC8"/>
    <w:rsid w:val="5CB246A3"/>
    <w:rsid w:val="5CDB1EED"/>
    <w:rsid w:val="5D034B40"/>
    <w:rsid w:val="5D153410"/>
    <w:rsid w:val="5D201868"/>
    <w:rsid w:val="5D3C3724"/>
    <w:rsid w:val="5D537A94"/>
    <w:rsid w:val="5D6D3CE2"/>
    <w:rsid w:val="5D747FFF"/>
    <w:rsid w:val="5D810AA5"/>
    <w:rsid w:val="5D834E78"/>
    <w:rsid w:val="5D913920"/>
    <w:rsid w:val="5D9A6FA2"/>
    <w:rsid w:val="5DA54B3B"/>
    <w:rsid w:val="5DA96CA3"/>
    <w:rsid w:val="5DBE2BE0"/>
    <w:rsid w:val="5DC314AD"/>
    <w:rsid w:val="5DC9483E"/>
    <w:rsid w:val="5DDA3E2A"/>
    <w:rsid w:val="5DDC5CDC"/>
    <w:rsid w:val="5DDD6934"/>
    <w:rsid w:val="5DE80ECD"/>
    <w:rsid w:val="5DEF5A0F"/>
    <w:rsid w:val="5DF67822"/>
    <w:rsid w:val="5E0C4354"/>
    <w:rsid w:val="5E145319"/>
    <w:rsid w:val="5E1B6E61"/>
    <w:rsid w:val="5E257683"/>
    <w:rsid w:val="5E27223B"/>
    <w:rsid w:val="5E2A4F28"/>
    <w:rsid w:val="5E2B00B3"/>
    <w:rsid w:val="5E2F3B16"/>
    <w:rsid w:val="5E3F7B90"/>
    <w:rsid w:val="5E432F68"/>
    <w:rsid w:val="5E4915C3"/>
    <w:rsid w:val="5E59211C"/>
    <w:rsid w:val="5E5B30A5"/>
    <w:rsid w:val="5E5B4E53"/>
    <w:rsid w:val="5E7D74BF"/>
    <w:rsid w:val="5E863619"/>
    <w:rsid w:val="5E8C5954"/>
    <w:rsid w:val="5E974B4A"/>
    <w:rsid w:val="5E9D3A08"/>
    <w:rsid w:val="5EA812C7"/>
    <w:rsid w:val="5EBA0139"/>
    <w:rsid w:val="5EBA7118"/>
    <w:rsid w:val="5EC7073A"/>
    <w:rsid w:val="5EC73D4D"/>
    <w:rsid w:val="5ECB2DDB"/>
    <w:rsid w:val="5ED67896"/>
    <w:rsid w:val="5EE04C4B"/>
    <w:rsid w:val="5EE272AA"/>
    <w:rsid w:val="5EE412EC"/>
    <w:rsid w:val="5EF701BD"/>
    <w:rsid w:val="5EF76471"/>
    <w:rsid w:val="5F033A5E"/>
    <w:rsid w:val="5F033FFC"/>
    <w:rsid w:val="5F037816"/>
    <w:rsid w:val="5F1204DA"/>
    <w:rsid w:val="5F1E59E5"/>
    <w:rsid w:val="5F261904"/>
    <w:rsid w:val="5F266948"/>
    <w:rsid w:val="5F337B7D"/>
    <w:rsid w:val="5F357D99"/>
    <w:rsid w:val="5F3B723E"/>
    <w:rsid w:val="5F3FA72C"/>
    <w:rsid w:val="5F4B022D"/>
    <w:rsid w:val="5F523413"/>
    <w:rsid w:val="5F5260E7"/>
    <w:rsid w:val="5F5B2511"/>
    <w:rsid w:val="5F5C6431"/>
    <w:rsid w:val="5F5F37A8"/>
    <w:rsid w:val="5F600754"/>
    <w:rsid w:val="5F614678"/>
    <w:rsid w:val="5F7C597C"/>
    <w:rsid w:val="5F890DDB"/>
    <w:rsid w:val="5F8A02B2"/>
    <w:rsid w:val="5F954394"/>
    <w:rsid w:val="5FA23A48"/>
    <w:rsid w:val="5FAA2AA3"/>
    <w:rsid w:val="5FB6649C"/>
    <w:rsid w:val="5FC02A17"/>
    <w:rsid w:val="5FDB63A9"/>
    <w:rsid w:val="5FE578EB"/>
    <w:rsid w:val="5FE9338C"/>
    <w:rsid w:val="5FF564B0"/>
    <w:rsid w:val="5FF815A4"/>
    <w:rsid w:val="60011BE0"/>
    <w:rsid w:val="60025ECE"/>
    <w:rsid w:val="600538CD"/>
    <w:rsid w:val="60063C9E"/>
    <w:rsid w:val="60067ABA"/>
    <w:rsid w:val="60075E80"/>
    <w:rsid w:val="60082011"/>
    <w:rsid w:val="601C4AB5"/>
    <w:rsid w:val="601C752F"/>
    <w:rsid w:val="601E0F1E"/>
    <w:rsid w:val="602447F5"/>
    <w:rsid w:val="602C3AFE"/>
    <w:rsid w:val="604C751B"/>
    <w:rsid w:val="60552964"/>
    <w:rsid w:val="605D5149"/>
    <w:rsid w:val="606359D1"/>
    <w:rsid w:val="608413BA"/>
    <w:rsid w:val="608E0755"/>
    <w:rsid w:val="60997EB4"/>
    <w:rsid w:val="60A23DFF"/>
    <w:rsid w:val="60A800F7"/>
    <w:rsid w:val="60A814A9"/>
    <w:rsid w:val="60C879E4"/>
    <w:rsid w:val="60CD523E"/>
    <w:rsid w:val="60D63805"/>
    <w:rsid w:val="60D94986"/>
    <w:rsid w:val="60E04D82"/>
    <w:rsid w:val="60E303F3"/>
    <w:rsid w:val="60E76E71"/>
    <w:rsid w:val="60ED1AAC"/>
    <w:rsid w:val="60F13BFD"/>
    <w:rsid w:val="60F14D74"/>
    <w:rsid w:val="60FF41BB"/>
    <w:rsid w:val="60FF6129"/>
    <w:rsid w:val="610149D4"/>
    <w:rsid w:val="61107DEC"/>
    <w:rsid w:val="61354081"/>
    <w:rsid w:val="61427FED"/>
    <w:rsid w:val="614815AD"/>
    <w:rsid w:val="615A782F"/>
    <w:rsid w:val="617A5D6B"/>
    <w:rsid w:val="619B6165"/>
    <w:rsid w:val="61B476EA"/>
    <w:rsid w:val="61BF0889"/>
    <w:rsid w:val="61C40F61"/>
    <w:rsid w:val="61D35AC2"/>
    <w:rsid w:val="61D635F0"/>
    <w:rsid w:val="61D64503"/>
    <w:rsid w:val="61E73CCB"/>
    <w:rsid w:val="61EF78B0"/>
    <w:rsid w:val="61FB0E26"/>
    <w:rsid w:val="61FC0AE8"/>
    <w:rsid w:val="62002FCE"/>
    <w:rsid w:val="62033DEE"/>
    <w:rsid w:val="62143C96"/>
    <w:rsid w:val="623933A0"/>
    <w:rsid w:val="623E6F65"/>
    <w:rsid w:val="624051A9"/>
    <w:rsid w:val="624148F4"/>
    <w:rsid w:val="62432C80"/>
    <w:rsid w:val="62484416"/>
    <w:rsid w:val="624C1682"/>
    <w:rsid w:val="6253630E"/>
    <w:rsid w:val="62550F71"/>
    <w:rsid w:val="625E3163"/>
    <w:rsid w:val="627110E9"/>
    <w:rsid w:val="628C5F22"/>
    <w:rsid w:val="62922349"/>
    <w:rsid w:val="629506A5"/>
    <w:rsid w:val="62A3501A"/>
    <w:rsid w:val="62A561BD"/>
    <w:rsid w:val="62A83543"/>
    <w:rsid w:val="62AA5D73"/>
    <w:rsid w:val="62B66926"/>
    <w:rsid w:val="62B814EF"/>
    <w:rsid w:val="62B97655"/>
    <w:rsid w:val="62C31218"/>
    <w:rsid w:val="62C746D1"/>
    <w:rsid w:val="62ED5559"/>
    <w:rsid w:val="62ED5736"/>
    <w:rsid w:val="62F53AC8"/>
    <w:rsid w:val="631313CD"/>
    <w:rsid w:val="631D301E"/>
    <w:rsid w:val="63276720"/>
    <w:rsid w:val="63406D3E"/>
    <w:rsid w:val="63493E13"/>
    <w:rsid w:val="635051A2"/>
    <w:rsid w:val="636B3D8A"/>
    <w:rsid w:val="637F5A87"/>
    <w:rsid w:val="63A35DFC"/>
    <w:rsid w:val="63BC6393"/>
    <w:rsid w:val="63C557C9"/>
    <w:rsid w:val="63EF45EC"/>
    <w:rsid w:val="64007E18"/>
    <w:rsid w:val="64033B91"/>
    <w:rsid w:val="641D2725"/>
    <w:rsid w:val="642B417B"/>
    <w:rsid w:val="64330A3E"/>
    <w:rsid w:val="64444FF8"/>
    <w:rsid w:val="644B74FA"/>
    <w:rsid w:val="644D3EFB"/>
    <w:rsid w:val="645539FC"/>
    <w:rsid w:val="645702E2"/>
    <w:rsid w:val="645B0956"/>
    <w:rsid w:val="645B52BB"/>
    <w:rsid w:val="64696FD7"/>
    <w:rsid w:val="64824059"/>
    <w:rsid w:val="648A0240"/>
    <w:rsid w:val="64913BD8"/>
    <w:rsid w:val="649853BD"/>
    <w:rsid w:val="64990B67"/>
    <w:rsid w:val="649B6FC5"/>
    <w:rsid w:val="649E0BD2"/>
    <w:rsid w:val="64A01811"/>
    <w:rsid w:val="64A64B94"/>
    <w:rsid w:val="64BF6A6C"/>
    <w:rsid w:val="64C01EB3"/>
    <w:rsid w:val="64C57D39"/>
    <w:rsid w:val="64DA53CA"/>
    <w:rsid w:val="64EF1A71"/>
    <w:rsid w:val="64F01AA4"/>
    <w:rsid w:val="64F60586"/>
    <w:rsid w:val="64F90F01"/>
    <w:rsid w:val="65012B74"/>
    <w:rsid w:val="65051FBC"/>
    <w:rsid w:val="65091D3A"/>
    <w:rsid w:val="654059BD"/>
    <w:rsid w:val="65411BE9"/>
    <w:rsid w:val="65470905"/>
    <w:rsid w:val="6549634D"/>
    <w:rsid w:val="65644F35"/>
    <w:rsid w:val="65771ED9"/>
    <w:rsid w:val="65793844"/>
    <w:rsid w:val="658F6180"/>
    <w:rsid w:val="65901116"/>
    <w:rsid w:val="659301E3"/>
    <w:rsid w:val="65976BE5"/>
    <w:rsid w:val="65A60A1F"/>
    <w:rsid w:val="65AA2625"/>
    <w:rsid w:val="65BE5407"/>
    <w:rsid w:val="65E37E50"/>
    <w:rsid w:val="65F15AA7"/>
    <w:rsid w:val="65FD2C93"/>
    <w:rsid w:val="661F0E5C"/>
    <w:rsid w:val="66346468"/>
    <w:rsid w:val="664C7081"/>
    <w:rsid w:val="66586D28"/>
    <w:rsid w:val="66592E80"/>
    <w:rsid w:val="665D71EC"/>
    <w:rsid w:val="66612EDD"/>
    <w:rsid w:val="66694910"/>
    <w:rsid w:val="666A0329"/>
    <w:rsid w:val="666B22F3"/>
    <w:rsid w:val="66743166"/>
    <w:rsid w:val="667E25EE"/>
    <w:rsid w:val="66A82BFF"/>
    <w:rsid w:val="66A852F5"/>
    <w:rsid w:val="66BB1E88"/>
    <w:rsid w:val="66DE06C4"/>
    <w:rsid w:val="66E321C6"/>
    <w:rsid w:val="67083CF1"/>
    <w:rsid w:val="670B7518"/>
    <w:rsid w:val="670E6C75"/>
    <w:rsid w:val="672E2040"/>
    <w:rsid w:val="673A60F8"/>
    <w:rsid w:val="673F4E79"/>
    <w:rsid w:val="6745231B"/>
    <w:rsid w:val="677D333A"/>
    <w:rsid w:val="67943C86"/>
    <w:rsid w:val="67A64876"/>
    <w:rsid w:val="67AA2A2A"/>
    <w:rsid w:val="67B27318"/>
    <w:rsid w:val="67B46F6B"/>
    <w:rsid w:val="67B8771A"/>
    <w:rsid w:val="67BB4BB4"/>
    <w:rsid w:val="67DD0E39"/>
    <w:rsid w:val="67E4235D"/>
    <w:rsid w:val="67ED1BBE"/>
    <w:rsid w:val="67EF3AFA"/>
    <w:rsid w:val="67F10AC5"/>
    <w:rsid w:val="67FE2B6C"/>
    <w:rsid w:val="680256B8"/>
    <w:rsid w:val="6807524B"/>
    <w:rsid w:val="68150768"/>
    <w:rsid w:val="682B43A2"/>
    <w:rsid w:val="683B4FAF"/>
    <w:rsid w:val="684E0A0B"/>
    <w:rsid w:val="684E2429"/>
    <w:rsid w:val="686F7842"/>
    <w:rsid w:val="6881634E"/>
    <w:rsid w:val="68847762"/>
    <w:rsid w:val="68883DA1"/>
    <w:rsid w:val="688931C6"/>
    <w:rsid w:val="689232B8"/>
    <w:rsid w:val="689C62B4"/>
    <w:rsid w:val="689E250C"/>
    <w:rsid w:val="68AA0ED1"/>
    <w:rsid w:val="68AB32C1"/>
    <w:rsid w:val="68AE6630"/>
    <w:rsid w:val="68B72881"/>
    <w:rsid w:val="68BF2482"/>
    <w:rsid w:val="68E84535"/>
    <w:rsid w:val="68EF0003"/>
    <w:rsid w:val="68F246A3"/>
    <w:rsid w:val="68F41FE0"/>
    <w:rsid w:val="68FC4524"/>
    <w:rsid w:val="690600B1"/>
    <w:rsid w:val="690770A9"/>
    <w:rsid w:val="69083AB0"/>
    <w:rsid w:val="690E7EBB"/>
    <w:rsid w:val="691C6622"/>
    <w:rsid w:val="69263789"/>
    <w:rsid w:val="692904C3"/>
    <w:rsid w:val="693E682F"/>
    <w:rsid w:val="6942558D"/>
    <w:rsid w:val="6944465B"/>
    <w:rsid w:val="6973347C"/>
    <w:rsid w:val="6973755D"/>
    <w:rsid w:val="697B26A8"/>
    <w:rsid w:val="699B2742"/>
    <w:rsid w:val="69AF2B24"/>
    <w:rsid w:val="69BD2CD5"/>
    <w:rsid w:val="69BF7024"/>
    <w:rsid w:val="69C15A70"/>
    <w:rsid w:val="69D501AF"/>
    <w:rsid w:val="69E72CD3"/>
    <w:rsid w:val="69EF7EC9"/>
    <w:rsid w:val="69F40DAA"/>
    <w:rsid w:val="6A037436"/>
    <w:rsid w:val="6A056F30"/>
    <w:rsid w:val="6A06480C"/>
    <w:rsid w:val="6A170931"/>
    <w:rsid w:val="6A244C92"/>
    <w:rsid w:val="6A247F9D"/>
    <w:rsid w:val="6A2E5C82"/>
    <w:rsid w:val="6A3A2708"/>
    <w:rsid w:val="6A3B4DA0"/>
    <w:rsid w:val="6A3D1B5C"/>
    <w:rsid w:val="6A3F1ACC"/>
    <w:rsid w:val="6A42119D"/>
    <w:rsid w:val="6A457966"/>
    <w:rsid w:val="6A503851"/>
    <w:rsid w:val="6A9733BC"/>
    <w:rsid w:val="6AA034A5"/>
    <w:rsid w:val="6AA3252B"/>
    <w:rsid w:val="6AB95743"/>
    <w:rsid w:val="6AB96500"/>
    <w:rsid w:val="6ABC136F"/>
    <w:rsid w:val="6AC10822"/>
    <w:rsid w:val="6AD22940"/>
    <w:rsid w:val="6AEB3A02"/>
    <w:rsid w:val="6AEE5359"/>
    <w:rsid w:val="6AF361EF"/>
    <w:rsid w:val="6AF82869"/>
    <w:rsid w:val="6B0426EC"/>
    <w:rsid w:val="6B0627A2"/>
    <w:rsid w:val="6B19470B"/>
    <w:rsid w:val="6B2313EE"/>
    <w:rsid w:val="6B25460D"/>
    <w:rsid w:val="6B270F71"/>
    <w:rsid w:val="6B43383E"/>
    <w:rsid w:val="6B49062F"/>
    <w:rsid w:val="6B547A8A"/>
    <w:rsid w:val="6B596F74"/>
    <w:rsid w:val="6B5C197A"/>
    <w:rsid w:val="6B5E3271"/>
    <w:rsid w:val="6B741C4A"/>
    <w:rsid w:val="6B820737"/>
    <w:rsid w:val="6B99345E"/>
    <w:rsid w:val="6B9B6990"/>
    <w:rsid w:val="6BA77929"/>
    <w:rsid w:val="6BC56001"/>
    <w:rsid w:val="6BD8317C"/>
    <w:rsid w:val="6BDA0D35"/>
    <w:rsid w:val="6BFA3412"/>
    <w:rsid w:val="6C0D6B20"/>
    <w:rsid w:val="6C122020"/>
    <w:rsid w:val="6C167172"/>
    <w:rsid w:val="6C1B577E"/>
    <w:rsid w:val="6C2C75B3"/>
    <w:rsid w:val="6C50671B"/>
    <w:rsid w:val="6C564753"/>
    <w:rsid w:val="6C5A548D"/>
    <w:rsid w:val="6C5C35CA"/>
    <w:rsid w:val="6C5D448C"/>
    <w:rsid w:val="6C657D25"/>
    <w:rsid w:val="6C680EFE"/>
    <w:rsid w:val="6C7E071F"/>
    <w:rsid w:val="6C9F6852"/>
    <w:rsid w:val="6CA07041"/>
    <w:rsid w:val="6CB33B41"/>
    <w:rsid w:val="6CBC6B37"/>
    <w:rsid w:val="6CC36BA1"/>
    <w:rsid w:val="6CCD7863"/>
    <w:rsid w:val="6CD55E38"/>
    <w:rsid w:val="6CE626D3"/>
    <w:rsid w:val="6D107530"/>
    <w:rsid w:val="6D196605"/>
    <w:rsid w:val="6D264C17"/>
    <w:rsid w:val="6D2D0302"/>
    <w:rsid w:val="6D5910F7"/>
    <w:rsid w:val="6D595A34"/>
    <w:rsid w:val="6D5C2995"/>
    <w:rsid w:val="6D627806"/>
    <w:rsid w:val="6D6A3304"/>
    <w:rsid w:val="6D6C022C"/>
    <w:rsid w:val="6D7E0B5E"/>
    <w:rsid w:val="6D7E3736"/>
    <w:rsid w:val="6D8C45FD"/>
    <w:rsid w:val="6D960043"/>
    <w:rsid w:val="6D9B0DB5"/>
    <w:rsid w:val="6D9B170F"/>
    <w:rsid w:val="6DA560EA"/>
    <w:rsid w:val="6DAB2C8A"/>
    <w:rsid w:val="6DAD4F9F"/>
    <w:rsid w:val="6DB66371"/>
    <w:rsid w:val="6DB875FB"/>
    <w:rsid w:val="6DD72B83"/>
    <w:rsid w:val="6DD8584F"/>
    <w:rsid w:val="6DD95C8D"/>
    <w:rsid w:val="6DE07298"/>
    <w:rsid w:val="6DE11A7D"/>
    <w:rsid w:val="6DF57072"/>
    <w:rsid w:val="6E1D6D57"/>
    <w:rsid w:val="6E3E1D88"/>
    <w:rsid w:val="6E3F7356"/>
    <w:rsid w:val="6E70494A"/>
    <w:rsid w:val="6E852E2D"/>
    <w:rsid w:val="6E881C94"/>
    <w:rsid w:val="6E8F4EF9"/>
    <w:rsid w:val="6E9032FE"/>
    <w:rsid w:val="6E960770"/>
    <w:rsid w:val="6EA748A8"/>
    <w:rsid w:val="6EBE6F28"/>
    <w:rsid w:val="6EC02C1A"/>
    <w:rsid w:val="6EC425A0"/>
    <w:rsid w:val="6F0F60B4"/>
    <w:rsid w:val="6F225677"/>
    <w:rsid w:val="6F235519"/>
    <w:rsid w:val="6F285225"/>
    <w:rsid w:val="6F2A3240"/>
    <w:rsid w:val="6F2F0C16"/>
    <w:rsid w:val="6F3B57CF"/>
    <w:rsid w:val="6F5726F4"/>
    <w:rsid w:val="6F5D3122"/>
    <w:rsid w:val="6F7623A1"/>
    <w:rsid w:val="6F7D65AF"/>
    <w:rsid w:val="6F7E3EAB"/>
    <w:rsid w:val="6F80296B"/>
    <w:rsid w:val="6F874A2C"/>
    <w:rsid w:val="6F9403E1"/>
    <w:rsid w:val="6F950E74"/>
    <w:rsid w:val="6F9920B7"/>
    <w:rsid w:val="6FA348AB"/>
    <w:rsid w:val="6FA54FEF"/>
    <w:rsid w:val="6FA6799E"/>
    <w:rsid w:val="6FC3279B"/>
    <w:rsid w:val="6FDE1E67"/>
    <w:rsid w:val="6FE9572B"/>
    <w:rsid w:val="6FF71F7E"/>
    <w:rsid w:val="701C764E"/>
    <w:rsid w:val="702205AA"/>
    <w:rsid w:val="70505DA3"/>
    <w:rsid w:val="70730722"/>
    <w:rsid w:val="70781894"/>
    <w:rsid w:val="70867717"/>
    <w:rsid w:val="70900C1C"/>
    <w:rsid w:val="70950790"/>
    <w:rsid w:val="709E31F4"/>
    <w:rsid w:val="70AD0CDD"/>
    <w:rsid w:val="70AE00A1"/>
    <w:rsid w:val="70CA3BF3"/>
    <w:rsid w:val="70CE6BA0"/>
    <w:rsid w:val="70E260C0"/>
    <w:rsid w:val="70ED4030"/>
    <w:rsid w:val="70EF6296"/>
    <w:rsid w:val="70F73101"/>
    <w:rsid w:val="7107189F"/>
    <w:rsid w:val="711177DF"/>
    <w:rsid w:val="714A4BCF"/>
    <w:rsid w:val="714B49E5"/>
    <w:rsid w:val="715045BF"/>
    <w:rsid w:val="71717F87"/>
    <w:rsid w:val="71871A0A"/>
    <w:rsid w:val="718D7F48"/>
    <w:rsid w:val="718F7C77"/>
    <w:rsid w:val="7197343A"/>
    <w:rsid w:val="719941B8"/>
    <w:rsid w:val="71BB412E"/>
    <w:rsid w:val="71DF2B4B"/>
    <w:rsid w:val="71E2790D"/>
    <w:rsid w:val="71EC42E8"/>
    <w:rsid w:val="71F6229B"/>
    <w:rsid w:val="71FB277D"/>
    <w:rsid w:val="72003B1F"/>
    <w:rsid w:val="723D24A6"/>
    <w:rsid w:val="72452D89"/>
    <w:rsid w:val="72477710"/>
    <w:rsid w:val="72575AC4"/>
    <w:rsid w:val="72655BDE"/>
    <w:rsid w:val="72676064"/>
    <w:rsid w:val="726C367A"/>
    <w:rsid w:val="727216DB"/>
    <w:rsid w:val="727367B7"/>
    <w:rsid w:val="72736DFA"/>
    <w:rsid w:val="727F059A"/>
    <w:rsid w:val="72803C19"/>
    <w:rsid w:val="729329B5"/>
    <w:rsid w:val="729333B1"/>
    <w:rsid w:val="729F135A"/>
    <w:rsid w:val="72B26405"/>
    <w:rsid w:val="72B8241C"/>
    <w:rsid w:val="72C65C4D"/>
    <w:rsid w:val="72C974F9"/>
    <w:rsid w:val="72D32EBD"/>
    <w:rsid w:val="72E17E55"/>
    <w:rsid w:val="72E41463"/>
    <w:rsid w:val="72E818FC"/>
    <w:rsid w:val="72EF1539"/>
    <w:rsid w:val="7304755E"/>
    <w:rsid w:val="73364100"/>
    <w:rsid w:val="734B7734"/>
    <w:rsid w:val="7355410F"/>
    <w:rsid w:val="73605905"/>
    <w:rsid w:val="73756DEC"/>
    <w:rsid w:val="738C32BA"/>
    <w:rsid w:val="739117C0"/>
    <w:rsid w:val="73A002B9"/>
    <w:rsid w:val="73A520DE"/>
    <w:rsid w:val="73A65055"/>
    <w:rsid w:val="73AA28BD"/>
    <w:rsid w:val="73AA7760"/>
    <w:rsid w:val="73B6372B"/>
    <w:rsid w:val="73B6668D"/>
    <w:rsid w:val="73B9644B"/>
    <w:rsid w:val="73C13D48"/>
    <w:rsid w:val="73CD6843"/>
    <w:rsid w:val="73CF66F2"/>
    <w:rsid w:val="73D97031"/>
    <w:rsid w:val="73E45432"/>
    <w:rsid w:val="73EB179F"/>
    <w:rsid w:val="73ED2599"/>
    <w:rsid w:val="73FF6B12"/>
    <w:rsid w:val="73FF7A91"/>
    <w:rsid w:val="740F152B"/>
    <w:rsid w:val="741F659F"/>
    <w:rsid w:val="7438799F"/>
    <w:rsid w:val="745D2636"/>
    <w:rsid w:val="74626AE3"/>
    <w:rsid w:val="746D05CC"/>
    <w:rsid w:val="7483384A"/>
    <w:rsid w:val="748A1028"/>
    <w:rsid w:val="748C3B60"/>
    <w:rsid w:val="749134A8"/>
    <w:rsid w:val="74933140"/>
    <w:rsid w:val="74B51B46"/>
    <w:rsid w:val="74B979D2"/>
    <w:rsid w:val="74BB4445"/>
    <w:rsid w:val="74C92ADB"/>
    <w:rsid w:val="74CB0B2C"/>
    <w:rsid w:val="74ED32E9"/>
    <w:rsid w:val="750A0F44"/>
    <w:rsid w:val="750B5D70"/>
    <w:rsid w:val="751654F7"/>
    <w:rsid w:val="753C10B1"/>
    <w:rsid w:val="75403924"/>
    <w:rsid w:val="75497CA3"/>
    <w:rsid w:val="75675DB8"/>
    <w:rsid w:val="756D0FDC"/>
    <w:rsid w:val="756E03B6"/>
    <w:rsid w:val="758257AB"/>
    <w:rsid w:val="759A405B"/>
    <w:rsid w:val="759E10C5"/>
    <w:rsid w:val="759F78C3"/>
    <w:rsid w:val="75B07D22"/>
    <w:rsid w:val="75C45F13"/>
    <w:rsid w:val="75CD4E1B"/>
    <w:rsid w:val="75D550F9"/>
    <w:rsid w:val="75DE0B57"/>
    <w:rsid w:val="75E938D4"/>
    <w:rsid w:val="75EC1B8C"/>
    <w:rsid w:val="75F22F20"/>
    <w:rsid w:val="75F6327C"/>
    <w:rsid w:val="75FA0295"/>
    <w:rsid w:val="75FA4BEB"/>
    <w:rsid w:val="76136B14"/>
    <w:rsid w:val="761A519B"/>
    <w:rsid w:val="762326B4"/>
    <w:rsid w:val="76262EEE"/>
    <w:rsid w:val="76264F35"/>
    <w:rsid w:val="763F1E3E"/>
    <w:rsid w:val="764C63FC"/>
    <w:rsid w:val="765F3BE0"/>
    <w:rsid w:val="7662195D"/>
    <w:rsid w:val="76644FAA"/>
    <w:rsid w:val="76672570"/>
    <w:rsid w:val="767C19B2"/>
    <w:rsid w:val="767D522A"/>
    <w:rsid w:val="767D7C04"/>
    <w:rsid w:val="76960CC6"/>
    <w:rsid w:val="76963F30"/>
    <w:rsid w:val="769D3E02"/>
    <w:rsid w:val="76B911FF"/>
    <w:rsid w:val="76BD1FB6"/>
    <w:rsid w:val="76CC7B07"/>
    <w:rsid w:val="76FA1BEC"/>
    <w:rsid w:val="770F2826"/>
    <w:rsid w:val="771F6F0D"/>
    <w:rsid w:val="772E1D38"/>
    <w:rsid w:val="773A1B42"/>
    <w:rsid w:val="773A3CF8"/>
    <w:rsid w:val="773E5557"/>
    <w:rsid w:val="77594AD0"/>
    <w:rsid w:val="775B5A6C"/>
    <w:rsid w:val="77621F28"/>
    <w:rsid w:val="7783749C"/>
    <w:rsid w:val="77844AEF"/>
    <w:rsid w:val="779376C6"/>
    <w:rsid w:val="779A0163"/>
    <w:rsid w:val="77A1491E"/>
    <w:rsid w:val="77C71F35"/>
    <w:rsid w:val="77CC5DE1"/>
    <w:rsid w:val="77E05809"/>
    <w:rsid w:val="77E96352"/>
    <w:rsid w:val="77EB52B0"/>
    <w:rsid w:val="77F34496"/>
    <w:rsid w:val="77F730CE"/>
    <w:rsid w:val="77F9775E"/>
    <w:rsid w:val="77FE051D"/>
    <w:rsid w:val="78054355"/>
    <w:rsid w:val="780B5F67"/>
    <w:rsid w:val="782475A9"/>
    <w:rsid w:val="782A3DB7"/>
    <w:rsid w:val="7831016B"/>
    <w:rsid w:val="7834742A"/>
    <w:rsid w:val="783C630E"/>
    <w:rsid w:val="7847745E"/>
    <w:rsid w:val="787635F8"/>
    <w:rsid w:val="787C61F1"/>
    <w:rsid w:val="789C65F7"/>
    <w:rsid w:val="78C43715"/>
    <w:rsid w:val="78D75BA3"/>
    <w:rsid w:val="78DB1E06"/>
    <w:rsid w:val="78DB7AD6"/>
    <w:rsid w:val="78DF304B"/>
    <w:rsid w:val="78E21FA1"/>
    <w:rsid w:val="78F44C22"/>
    <w:rsid w:val="78F543CA"/>
    <w:rsid w:val="79063035"/>
    <w:rsid w:val="791C1E80"/>
    <w:rsid w:val="79322152"/>
    <w:rsid w:val="79382508"/>
    <w:rsid w:val="79815C5D"/>
    <w:rsid w:val="798818F8"/>
    <w:rsid w:val="798B449D"/>
    <w:rsid w:val="7994255E"/>
    <w:rsid w:val="79997ED9"/>
    <w:rsid w:val="799E7BC4"/>
    <w:rsid w:val="79A454A8"/>
    <w:rsid w:val="79C0444E"/>
    <w:rsid w:val="79CE2B5A"/>
    <w:rsid w:val="79D2573A"/>
    <w:rsid w:val="79D258F0"/>
    <w:rsid w:val="79D537AF"/>
    <w:rsid w:val="79DA6FB2"/>
    <w:rsid w:val="79E81839"/>
    <w:rsid w:val="79EF604B"/>
    <w:rsid w:val="79FC665E"/>
    <w:rsid w:val="79FD73B6"/>
    <w:rsid w:val="7A0840A0"/>
    <w:rsid w:val="7A1852D7"/>
    <w:rsid w:val="7A1B2A61"/>
    <w:rsid w:val="7A347C1F"/>
    <w:rsid w:val="7A42371A"/>
    <w:rsid w:val="7A5214BF"/>
    <w:rsid w:val="7A521C2D"/>
    <w:rsid w:val="7A540C7C"/>
    <w:rsid w:val="7A543AE9"/>
    <w:rsid w:val="7A545774"/>
    <w:rsid w:val="7A612A5E"/>
    <w:rsid w:val="7A6F3D08"/>
    <w:rsid w:val="7A733303"/>
    <w:rsid w:val="7A7430CC"/>
    <w:rsid w:val="7A743EB8"/>
    <w:rsid w:val="7A7775A1"/>
    <w:rsid w:val="7A824ED6"/>
    <w:rsid w:val="7A8907F3"/>
    <w:rsid w:val="7A8D418E"/>
    <w:rsid w:val="7A957C11"/>
    <w:rsid w:val="7A961C3A"/>
    <w:rsid w:val="7A964F20"/>
    <w:rsid w:val="7AA82EB6"/>
    <w:rsid w:val="7AB756AF"/>
    <w:rsid w:val="7AB83901"/>
    <w:rsid w:val="7AB83E4B"/>
    <w:rsid w:val="7ABF531E"/>
    <w:rsid w:val="7B067527"/>
    <w:rsid w:val="7B0C6CB3"/>
    <w:rsid w:val="7B193C74"/>
    <w:rsid w:val="7B1C70B8"/>
    <w:rsid w:val="7B2F54B5"/>
    <w:rsid w:val="7B3940F2"/>
    <w:rsid w:val="7B3F5C18"/>
    <w:rsid w:val="7B4038F6"/>
    <w:rsid w:val="7B440FC7"/>
    <w:rsid w:val="7B4428FF"/>
    <w:rsid w:val="7B4E19A5"/>
    <w:rsid w:val="7B5911D5"/>
    <w:rsid w:val="7B5D3A8D"/>
    <w:rsid w:val="7B607414"/>
    <w:rsid w:val="7B6441D4"/>
    <w:rsid w:val="7B6B4EC6"/>
    <w:rsid w:val="7B70506D"/>
    <w:rsid w:val="7B7237B7"/>
    <w:rsid w:val="7B786BEC"/>
    <w:rsid w:val="7B7A6705"/>
    <w:rsid w:val="7B7E515A"/>
    <w:rsid w:val="7B9D668C"/>
    <w:rsid w:val="7BA17DCE"/>
    <w:rsid w:val="7BBB4D2B"/>
    <w:rsid w:val="7BBB740B"/>
    <w:rsid w:val="7BBE3B1C"/>
    <w:rsid w:val="7BC10593"/>
    <w:rsid w:val="7BD2003D"/>
    <w:rsid w:val="7BD71391"/>
    <w:rsid w:val="7BDC53CD"/>
    <w:rsid w:val="7BDD06F5"/>
    <w:rsid w:val="7BE14690"/>
    <w:rsid w:val="7BE17726"/>
    <w:rsid w:val="7BFA1A1C"/>
    <w:rsid w:val="7C0327F6"/>
    <w:rsid w:val="7C322188"/>
    <w:rsid w:val="7C352BBA"/>
    <w:rsid w:val="7C3945CD"/>
    <w:rsid w:val="7C3A0ECC"/>
    <w:rsid w:val="7C3D022D"/>
    <w:rsid w:val="7C4F41E7"/>
    <w:rsid w:val="7C596A1E"/>
    <w:rsid w:val="7C6B0598"/>
    <w:rsid w:val="7C7554E9"/>
    <w:rsid w:val="7C802211"/>
    <w:rsid w:val="7C857813"/>
    <w:rsid w:val="7C9652D3"/>
    <w:rsid w:val="7CA0668A"/>
    <w:rsid w:val="7CA81753"/>
    <w:rsid w:val="7CAB4D9F"/>
    <w:rsid w:val="7CBF3A92"/>
    <w:rsid w:val="7CBF6DA5"/>
    <w:rsid w:val="7CC540B3"/>
    <w:rsid w:val="7CCC02EB"/>
    <w:rsid w:val="7CD457BE"/>
    <w:rsid w:val="7CE86B63"/>
    <w:rsid w:val="7CEC50AB"/>
    <w:rsid w:val="7CFE1553"/>
    <w:rsid w:val="7CFE4D0B"/>
    <w:rsid w:val="7CFE75C5"/>
    <w:rsid w:val="7D145C78"/>
    <w:rsid w:val="7D1A3F17"/>
    <w:rsid w:val="7D214B29"/>
    <w:rsid w:val="7D5471E5"/>
    <w:rsid w:val="7D6A673F"/>
    <w:rsid w:val="7D7D6EFD"/>
    <w:rsid w:val="7D840B80"/>
    <w:rsid w:val="7D8B70AB"/>
    <w:rsid w:val="7D9147E6"/>
    <w:rsid w:val="7D996008"/>
    <w:rsid w:val="7DA32247"/>
    <w:rsid w:val="7DAF5D69"/>
    <w:rsid w:val="7DC46119"/>
    <w:rsid w:val="7DC5544B"/>
    <w:rsid w:val="7DCA614A"/>
    <w:rsid w:val="7DDD54EB"/>
    <w:rsid w:val="7DF52339"/>
    <w:rsid w:val="7DF81A9B"/>
    <w:rsid w:val="7DFE0D56"/>
    <w:rsid w:val="7E0224E7"/>
    <w:rsid w:val="7E074257"/>
    <w:rsid w:val="7E0866C8"/>
    <w:rsid w:val="7E09784C"/>
    <w:rsid w:val="7E194B59"/>
    <w:rsid w:val="7E217CBC"/>
    <w:rsid w:val="7E235535"/>
    <w:rsid w:val="7E2939A2"/>
    <w:rsid w:val="7E346304"/>
    <w:rsid w:val="7E385EB3"/>
    <w:rsid w:val="7E461224"/>
    <w:rsid w:val="7E48543B"/>
    <w:rsid w:val="7E532EA4"/>
    <w:rsid w:val="7E583B6E"/>
    <w:rsid w:val="7E5C0B3A"/>
    <w:rsid w:val="7E6D67B0"/>
    <w:rsid w:val="7E7044F2"/>
    <w:rsid w:val="7E7A42F4"/>
    <w:rsid w:val="7E83478B"/>
    <w:rsid w:val="7E8A163E"/>
    <w:rsid w:val="7EA36676"/>
    <w:rsid w:val="7EC46DFF"/>
    <w:rsid w:val="7ED25BF2"/>
    <w:rsid w:val="7EDB5E10"/>
    <w:rsid w:val="7EDF2281"/>
    <w:rsid w:val="7EE04E09"/>
    <w:rsid w:val="7EE54876"/>
    <w:rsid w:val="7EF12A1C"/>
    <w:rsid w:val="7F075E6C"/>
    <w:rsid w:val="7F08297D"/>
    <w:rsid w:val="7F0A62E0"/>
    <w:rsid w:val="7F0F1200"/>
    <w:rsid w:val="7F1255AA"/>
    <w:rsid w:val="7F13584F"/>
    <w:rsid w:val="7F1615DE"/>
    <w:rsid w:val="7F196938"/>
    <w:rsid w:val="7F1A3C59"/>
    <w:rsid w:val="7F290442"/>
    <w:rsid w:val="7F3073BA"/>
    <w:rsid w:val="7F41320C"/>
    <w:rsid w:val="7F517E80"/>
    <w:rsid w:val="7F540657"/>
    <w:rsid w:val="7F556756"/>
    <w:rsid w:val="7F6C64F7"/>
    <w:rsid w:val="7F817360"/>
    <w:rsid w:val="7F827C56"/>
    <w:rsid w:val="7F912972"/>
    <w:rsid w:val="7F92624E"/>
    <w:rsid w:val="7F9C1890"/>
    <w:rsid w:val="7FCD0A49"/>
    <w:rsid w:val="7FD350D8"/>
    <w:rsid w:val="7FE13A85"/>
    <w:rsid w:val="7FEC5D8E"/>
    <w:rsid w:val="BEBF2F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3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Lines="10" w:afterLines="10" w:line="400" w:lineRule="exact"/>
      <w:jc w:val="both"/>
    </w:pPr>
    <w:rPr>
      <w:rFonts w:ascii="Times New Roman" w:hAnsi="Times New Roman" w:eastAsia="宋体" w:cs="Times New Roman"/>
      <w:kern w:val="2"/>
      <w:sz w:val="21"/>
      <w:lang w:val="en-US" w:eastAsia="zh-CN" w:bidi="ar-SA"/>
    </w:rPr>
  </w:style>
  <w:style w:type="paragraph" w:styleId="2">
    <w:name w:val="heading 1"/>
    <w:basedOn w:val="1"/>
    <w:next w:val="1"/>
    <w:link w:val="44"/>
    <w:qFormat/>
    <w:uiPriority w:val="0"/>
    <w:pPr>
      <w:keepNext/>
      <w:keepLines/>
      <w:spacing w:before="240" w:after="120"/>
      <w:jc w:val="left"/>
      <w:outlineLvl w:val="0"/>
    </w:pPr>
    <w:rPr>
      <w:b/>
      <w:bCs/>
      <w:kern w:val="44"/>
      <w:szCs w:val="44"/>
    </w:rPr>
  </w:style>
  <w:style w:type="paragraph" w:styleId="3">
    <w:name w:val="heading 2"/>
    <w:basedOn w:val="1"/>
    <w:next w:val="1"/>
    <w:link w:val="45"/>
    <w:qFormat/>
    <w:uiPriority w:val="0"/>
    <w:pPr>
      <w:tabs>
        <w:tab w:val="left" w:pos="567"/>
      </w:tabs>
      <w:adjustRightInd w:val="0"/>
      <w:snapToGrid w:val="0"/>
      <w:spacing w:before="120"/>
      <w:jc w:val="left"/>
      <w:outlineLvl w:val="1"/>
    </w:pPr>
    <w:rPr>
      <w:rFonts w:ascii="Arial" w:hAnsi="Arial"/>
    </w:rPr>
  </w:style>
  <w:style w:type="paragraph" w:styleId="4">
    <w:name w:val="heading 3"/>
    <w:basedOn w:val="1"/>
    <w:next w:val="1"/>
    <w:link w:val="46"/>
    <w:qFormat/>
    <w:uiPriority w:val="0"/>
    <w:pPr>
      <w:outlineLvl w:val="2"/>
    </w:pPr>
  </w:style>
  <w:style w:type="paragraph" w:styleId="5">
    <w:name w:val="heading 4"/>
    <w:basedOn w:val="1"/>
    <w:next w:val="1"/>
    <w:link w:val="47"/>
    <w:qFormat/>
    <w:uiPriority w:val="0"/>
    <w:pPr>
      <w:keepNext/>
      <w:keepLines/>
      <w:tabs>
        <w:tab w:val="left" w:pos="1148"/>
      </w:tabs>
      <w:snapToGrid w:val="0"/>
      <w:ind w:left="1148" w:hanging="864"/>
      <w:outlineLvl w:val="3"/>
    </w:pPr>
    <w:rPr>
      <w:rFonts w:ascii="Arial" w:hAnsi="Arial"/>
      <w:bCs/>
      <w:szCs w:val="28"/>
    </w:rPr>
  </w:style>
  <w:style w:type="paragraph" w:styleId="6">
    <w:name w:val="heading 5"/>
    <w:basedOn w:val="1"/>
    <w:next w:val="1"/>
    <w:link w:val="48"/>
    <w:qFormat/>
    <w:uiPriority w:val="0"/>
    <w:pPr>
      <w:keepNext/>
      <w:keepLines/>
      <w:tabs>
        <w:tab w:val="left" w:pos="1292"/>
      </w:tabs>
      <w:spacing w:before="280" w:after="290" w:line="376" w:lineRule="auto"/>
      <w:ind w:left="1292" w:hanging="1008"/>
      <w:outlineLvl w:val="4"/>
    </w:pPr>
    <w:rPr>
      <w:b/>
      <w:bCs/>
      <w:sz w:val="28"/>
      <w:szCs w:val="28"/>
    </w:rPr>
  </w:style>
  <w:style w:type="paragraph" w:styleId="7">
    <w:name w:val="heading 6"/>
    <w:basedOn w:val="1"/>
    <w:next w:val="1"/>
    <w:link w:val="49"/>
    <w:qFormat/>
    <w:uiPriority w:val="0"/>
    <w:pPr>
      <w:keepNext/>
      <w:keepLines/>
      <w:numPr>
        <w:ilvl w:val="5"/>
        <w:numId w:val="1"/>
      </w:numPr>
      <w:spacing w:before="240" w:after="64" w:line="320" w:lineRule="auto"/>
      <w:outlineLvl w:val="5"/>
    </w:pPr>
    <w:rPr>
      <w:rFonts w:ascii="Arial" w:hAnsi="Arial" w:eastAsia="黑体"/>
      <w:b/>
      <w:bCs/>
      <w:szCs w:val="24"/>
    </w:rPr>
  </w:style>
  <w:style w:type="paragraph" w:styleId="8">
    <w:name w:val="heading 7"/>
    <w:basedOn w:val="1"/>
    <w:next w:val="1"/>
    <w:link w:val="50"/>
    <w:qFormat/>
    <w:uiPriority w:val="0"/>
    <w:pPr>
      <w:keepNext/>
      <w:keepLines/>
      <w:numPr>
        <w:ilvl w:val="6"/>
        <w:numId w:val="1"/>
      </w:numPr>
      <w:spacing w:before="240" w:after="64" w:line="320" w:lineRule="auto"/>
      <w:outlineLvl w:val="6"/>
    </w:pPr>
    <w:rPr>
      <w:b/>
      <w:bCs/>
      <w:szCs w:val="24"/>
    </w:rPr>
  </w:style>
  <w:style w:type="paragraph" w:styleId="9">
    <w:name w:val="heading 8"/>
    <w:basedOn w:val="1"/>
    <w:next w:val="1"/>
    <w:link w:val="51"/>
    <w:qFormat/>
    <w:uiPriority w:val="0"/>
    <w:pPr>
      <w:keepNext/>
      <w:keepLines/>
      <w:numPr>
        <w:ilvl w:val="7"/>
        <w:numId w:val="1"/>
      </w:numPr>
      <w:spacing w:before="240" w:after="64" w:line="320" w:lineRule="auto"/>
      <w:outlineLvl w:val="7"/>
    </w:pPr>
    <w:rPr>
      <w:rFonts w:ascii="Arial" w:hAnsi="Arial" w:eastAsia="黑体"/>
      <w:szCs w:val="24"/>
    </w:rPr>
  </w:style>
  <w:style w:type="paragraph" w:styleId="10">
    <w:name w:val="heading 9"/>
    <w:basedOn w:val="1"/>
    <w:next w:val="1"/>
    <w:link w:val="52"/>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37">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2520"/>
    </w:pPr>
  </w:style>
  <w:style w:type="paragraph" w:styleId="12">
    <w:name w:val="caption"/>
    <w:basedOn w:val="1"/>
    <w:next w:val="1"/>
    <w:link w:val="53"/>
    <w:qFormat/>
    <w:uiPriority w:val="0"/>
    <w:pPr>
      <w:widowControl/>
      <w:autoSpaceDE w:val="0"/>
      <w:autoSpaceDN w:val="0"/>
      <w:adjustRightInd w:val="0"/>
      <w:snapToGrid w:val="0"/>
      <w:spacing w:beforeLines="0" w:afterLines="0" w:line="360" w:lineRule="auto"/>
      <w:jc w:val="center"/>
      <w:textAlignment w:val="baseline"/>
    </w:pPr>
    <w:rPr>
      <w:b/>
      <w:snapToGrid w:val="0"/>
      <w:color w:val="000000"/>
    </w:rPr>
  </w:style>
  <w:style w:type="paragraph" w:styleId="13">
    <w:name w:val="Document Map"/>
    <w:basedOn w:val="1"/>
    <w:link w:val="54"/>
    <w:semiHidden/>
    <w:qFormat/>
    <w:uiPriority w:val="0"/>
    <w:pPr>
      <w:shd w:val="clear" w:color="auto" w:fill="000080"/>
    </w:pPr>
  </w:style>
  <w:style w:type="paragraph" w:styleId="14">
    <w:name w:val="annotation text"/>
    <w:basedOn w:val="1"/>
    <w:link w:val="55"/>
    <w:qFormat/>
    <w:uiPriority w:val="0"/>
    <w:pPr>
      <w:spacing w:line="320" w:lineRule="exact"/>
      <w:ind w:left="454" w:hanging="454"/>
      <w:jc w:val="left"/>
    </w:pPr>
  </w:style>
  <w:style w:type="paragraph" w:styleId="15">
    <w:name w:val="Body Text"/>
    <w:basedOn w:val="1"/>
    <w:link w:val="56"/>
    <w:qFormat/>
    <w:uiPriority w:val="99"/>
    <w:rPr>
      <w:b/>
      <w:sz w:val="24"/>
    </w:rPr>
  </w:style>
  <w:style w:type="paragraph" w:styleId="16">
    <w:name w:val="Body Text Indent"/>
    <w:basedOn w:val="1"/>
    <w:link w:val="57"/>
    <w:unhideWhenUsed/>
    <w:qFormat/>
    <w:uiPriority w:val="99"/>
    <w:pPr>
      <w:spacing w:after="120"/>
      <w:ind w:left="420" w:leftChars="200" w:firstLine="200" w:firstLineChars="200"/>
    </w:pPr>
    <w:rPr>
      <w:rFonts w:ascii="宋体" w:hAnsi="宋体"/>
      <w:szCs w:val="21"/>
    </w:rPr>
  </w:style>
  <w:style w:type="paragraph" w:styleId="17">
    <w:name w:val="toc 5"/>
    <w:basedOn w:val="1"/>
    <w:next w:val="1"/>
    <w:qFormat/>
    <w:uiPriority w:val="39"/>
    <w:pPr>
      <w:ind w:left="1680"/>
    </w:pPr>
  </w:style>
  <w:style w:type="paragraph" w:styleId="18">
    <w:name w:val="toc 3"/>
    <w:basedOn w:val="1"/>
    <w:next w:val="1"/>
    <w:qFormat/>
    <w:uiPriority w:val="39"/>
    <w:pPr>
      <w:ind w:left="840"/>
    </w:pPr>
  </w:style>
  <w:style w:type="paragraph" w:styleId="19">
    <w:name w:val="toc 8"/>
    <w:basedOn w:val="1"/>
    <w:next w:val="1"/>
    <w:qFormat/>
    <w:uiPriority w:val="39"/>
    <w:pPr>
      <w:ind w:left="2940"/>
    </w:pPr>
  </w:style>
  <w:style w:type="paragraph" w:styleId="20">
    <w:name w:val="Date"/>
    <w:basedOn w:val="1"/>
    <w:next w:val="1"/>
    <w:link w:val="58"/>
    <w:qFormat/>
    <w:uiPriority w:val="0"/>
    <w:pPr>
      <w:ind w:left="100" w:leftChars="2500"/>
    </w:pPr>
  </w:style>
  <w:style w:type="paragraph" w:styleId="21">
    <w:name w:val="Balloon Text"/>
    <w:basedOn w:val="1"/>
    <w:link w:val="59"/>
    <w:qFormat/>
    <w:uiPriority w:val="99"/>
    <w:rPr>
      <w:sz w:val="18"/>
      <w:szCs w:val="18"/>
    </w:rPr>
  </w:style>
  <w:style w:type="paragraph" w:styleId="22">
    <w:name w:val="footer"/>
    <w:basedOn w:val="1"/>
    <w:link w:val="60"/>
    <w:qFormat/>
    <w:uiPriority w:val="99"/>
    <w:pPr>
      <w:tabs>
        <w:tab w:val="center" w:pos="4153"/>
        <w:tab w:val="right" w:pos="8306"/>
      </w:tabs>
      <w:snapToGrid w:val="0"/>
      <w:jc w:val="left"/>
    </w:pPr>
    <w:rPr>
      <w:sz w:val="18"/>
      <w:szCs w:val="18"/>
    </w:rPr>
  </w:style>
  <w:style w:type="paragraph" w:styleId="23">
    <w:name w:val="header"/>
    <w:basedOn w:val="1"/>
    <w:link w:val="61"/>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24">
    <w:name w:val="toc 1"/>
    <w:basedOn w:val="1"/>
    <w:next w:val="1"/>
    <w:qFormat/>
    <w:uiPriority w:val="39"/>
    <w:pPr>
      <w:tabs>
        <w:tab w:val="left" w:pos="420"/>
        <w:tab w:val="left" w:pos="567"/>
        <w:tab w:val="right" w:leader="middleDot" w:pos="8495"/>
      </w:tabs>
      <w:spacing w:before="31" w:after="31"/>
    </w:pPr>
  </w:style>
  <w:style w:type="paragraph" w:styleId="25">
    <w:name w:val="toc 4"/>
    <w:basedOn w:val="1"/>
    <w:next w:val="1"/>
    <w:qFormat/>
    <w:uiPriority w:val="39"/>
    <w:pPr>
      <w:ind w:left="1260"/>
    </w:pPr>
  </w:style>
  <w:style w:type="paragraph" w:styleId="26">
    <w:name w:val="Subtitle"/>
    <w:basedOn w:val="27"/>
    <w:next w:val="1"/>
    <w:link w:val="63"/>
    <w:qFormat/>
    <w:uiPriority w:val="11"/>
    <w:pPr>
      <w:widowControl w:val="0"/>
      <w:tabs>
        <w:tab w:val="left" w:pos="142"/>
      </w:tabs>
      <w:autoSpaceDE w:val="0"/>
      <w:autoSpaceDN w:val="0"/>
      <w:adjustRightInd/>
      <w:snapToGrid/>
      <w:ind w:firstLine="0" w:firstLineChars="0"/>
      <w:textAlignment w:val="auto"/>
      <w:outlineLvl w:val="9"/>
    </w:pPr>
    <w:rPr>
      <w:rFonts w:ascii="Times New Roman" w:hAnsi="Times New Roman" w:eastAsia="黑体"/>
      <w:b w:val="0"/>
      <w:snapToGrid/>
      <w:color w:val="auto"/>
      <w:spacing w:val="-1"/>
    </w:rPr>
  </w:style>
  <w:style w:type="paragraph" w:styleId="27">
    <w:name w:val="Title"/>
    <w:basedOn w:val="1"/>
    <w:next w:val="1"/>
    <w:link w:val="62"/>
    <w:qFormat/>
    <w:uiPriority w:val="10"/>
    <w:pPr>
      <w:widowControl/>
      <w:adjustRightInd w:val="0"/>
      <w:snapToGrid w:val="0"/>
      <w:spacing w:beforeLines="0" w:afterLines="0" w:line="360" w:lineRule="auto"/>
      <w:ind w:firstLine="200" w:firstLineChars="200"/>
      <w:jc w:val="center"/>
      <w:textAlignment w:val="baseline"/>
      <w:outlineLvl w:val="0"/>
    </w:pPr>
    <w:rPr>
      <w:rFonts w:ascii="Cambria" w:hAnsi="Cambria"/>
      <w:b/>
      <w:bCs/>
      <w:snapToGrid w:val="0"/>
      <w:color w:val="000000"/>
      <w:kern w:val="0"/>
      <w:sz w:val="32"/>
      <w:szCs w:val="32"/>
      <w:lang w:eastAsia="en-US"/>
    </w:rPr>
  </w:style>
  <w:style w:type="paragraph" w:styleId="28">
    <w:name w:val="List"/>
    <w:basedOn w:val="1"/>
    <w:link w:val="64"/>
    <w:unhideWhenUsed/>
    <w:qFormat/>
    <w:uiPriority w:val="99"/>
    <w:pPr>
      <w:spacing w:beforeLines="0" w:afterLines="0" w:line="240" w:lineRule="auto"/>
      <w:contextualSpacing/>
      <w:jc w:val="center"/>
    </w:pPr>
    <w:rPr>
      <w:szCs w:val="24"/>
    </w:rPr>
  </w:style>
  <w:style w:type="paragraph" w:styleId="29">
    <w:name w:val="toc 6"/>
    <w:basedOn w:val="1"/>
    <w:next w:val="1"/>
    <w:qFormat/>
    <w:uiPriority w:val="39"/>
    <w:pPr>
      <w:ind w:left="2100"/>
    </w:pPr>
  </w:style>
  <w:style w:type="paragraph" w:styleId="30">
    <w:name w:val="toc 2"/>
    <w:basedOn w:val="1"/>
    <w:next w:val="1"/>
    <w:qFormat/>
    <w:uiPriority w:val="39"/>
    <w:pPr>
      <w:tabs>
        <w:tab w:val="left" w:pos="1050"/>
        <w:tab w:val="right" w:leader="middleDot" w:pos="8494"/>
      </w:tabs>
      <w:spacing w:before="31" w:after="31"/>
      <w:ind w:left="420"/>
    </w:pPr>
  </w:style>
  <w:style w:type="paragraph" w:styleId="31">
    <w:name w:val="toc 9"/>
    <w:basedOn w:val="1"/>
    <w:next w:val="1"/>
    <w:qFormat/>
    <w:uiPriority w:val="39"/>
    <w:pPr>
      <w:ind w:left="3360"/>
    </w:pPr>
  </w:style>
  <w:style w:type="paragraph" w:styleId="32">
    <w:name w:val="Normal (Web)"/>
    <w:basedOn w:val="1"/>
    <w:unhideWhenUsed/>
    <w:qFormat/>
    <w:uiPriority w:val="0"/>
    <w:pPr>
      <w:widowControl/>
      <w:autoSpaceDE w:val="0"/>
      <w:autoSpaceDN w:val="0"/>
      <w:adjustRightInd w:val="0"/>
      <w:snapToGrid w:val="0"/>
      <w:spacing w:beforeLines="0" w:afterLines="0" w:line="360" w:lineRule="auto"/>
      <w:ind w:firstLine="480" w:firstLineChars="200"/>
      <w:jc w:val="left"/>
    </w:pPr>
    <w:rPr>
      <w:color w:val="000000"/>
      <w:spacing w:val="-1"/>
      <w:kern w:val="0"/>
      <w:sz w:val="24"/>
      <w:szCs w:val="24"/>
    </w:rPr>
  </w:style>
  <w:style w:type="paragraph" w:styleId="33">
    <w:name w:val="annotation subject"/>
    <w:basedOn w:val="14"/>
    <w:next w:val="14"/>
    <w:link w:val="65"/>
    <w:qFormat/>
    <w:uiPriority w:val="99"/>
    <w:pPr>
      <w:spacing w:line="400" w:lineRule="exact"/>
      <w:ind w:left="0" w:firstLine="0"/>
    </w:pPr>
    <w:rPr>
      <w:b/>
      <w:bCs/>
    </w:rPr>
  </w:style>
  <w:style w:type="paragraph" w:styleId="34">
    <w:name w:val="Body Text First Indent 2"/>
    <w:basedOn w:val="1"/>
    <w:next w:val="1"/>
    <w:link w:val="66"/>
    <w:qFormat/>
    <w:uiPriority w:val="0"/>
    <w:pPr>
      <w:widowControl/>
      <w:adjustRightInd w:val="0"/>
      <w:snapToGrid w:val="0"/>
      <w:spacing w:beforeLines="0" w:afterLines="0" w:line="360" w:lineRule="auto"/>
      <w:ind w:left="420" w:leftChars="200" w:firstLine="420" w:firstLineChars="200"/>
      <w:textAlignment w:val="baseline"/>
    </w:pPr>
    <w:rPr>
      <w:rFonts w:ascii="宋体" w:hAnsi="宋体"/>
      <w:snapToGrid w:val="0"/>
      <w:color w:val="000000"/>
      <w:szCs w:val="21"/>
      <w:lang w:eastAsia="en-US"/>
    </w:rPr>
  </w:style>
  <w:style w:type="table" w:styleId="36">
    <w:name w:val="Table Grid"/>
    <w:basedOn w:val="3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8">
    <w:name w:val="Strong"/>
    <w:qFormat/>
    <w:uiPriority w:val="0"/>
    <w:rPr>
      <w:b/>
      <w:bCs/>
    </w:rPr>
  </w:style>
  <w:style w:type="character" w:styleId="39">
    <w:name w:val="page number"/>
    <w:qFormat/>
    <w:uiPriority w:val="0"/>
  </w:style>
  <w:style w:type="character" w:styleId="40">
    <w:name w:val="FollowedHyperlink"/>
    <w:qFormat/>
    <w:uiPriority w:val="99"/>
    <w:rPr>
      <w:color w:val="800080"/>
      <w:u w:val="single"/>
    </w:rPr>
  </w:style>
  <w:style w:type="character" w:styleId="41">
    <w:name w:val="Emphasis"/>
    <w:qFormat/>
    <w:uiPriority w:val="20"/>
    <w:rPr>
      <w:i/>
      <w:iCs/>
    </w:rPr>
  </w:style>
  <w:style w:type="character" w:styleId="42">
    <w:name w:val="Hyperlink"/>
    <w:qFormat/>
    <w:uiPriority w:val="99"/>
    <w:rPr>
      <w:color w:val="0000FF"/>
      <w:u w:val="single"/>
    </w:rPr>
  </w:style>
  <w:style w:type="character" w:styleId="43">
    <w:name w:val="annotation reference"/>
    <w:qFormat/>
    <w:uiPriority w:val="0"/>
    <w:rPr>
      <w:sz w:val="21"/>
      <w:szCs w:val="21"/>
    </w:rPr>
  </w:style>
  <w:style w:type="character" w:customStyle="1" w:styleId="44">
    <w:name w:val="标题 1 Char"/>
    <w:link w:val="2"/>
    <w:qFormat/>
    <w:uiPriority w:val="0"/>
    <w:rPr>
      <w:b/>
      <w:bCs/>
      <w:kern w:val="44"/>
      <w:sz w:val="21"/>
      <w:szCs w:val="44"/>
    </w:rPr>
  </w:style>
  <w:style w:type="character" w:customStyle="1" w:styleId="45">
    <w:name w:val="标题 2 Char"/>
    <w:link w:val="3"/>
    <w:qFormat/>
    <w:uiPriority w:val="0"/>
    <w:rPr>
      <w:rFonts w:ascii="Arial" w:hAnsi="Arial"/>
      <w:kern w:val="2"/>
      <w:sz w:val="21"/>
    </w:rPr>
  </w:style>
  <w:style w:type="character" w:customStyle="1" w:styleId="46">
    <w:name w:val="标题 3 Char2"/>
    <w:link w:val="4"/>
    <w:qFormat/>
    <w:uiPriority w:val="0"/>
    <w:rPr>
      <w:kern w:val="2"/>
      <w:sz w:val="21"/>
    </w:rPr>
  </w:style>
  <w:style w:type="character" w:customStyle="1" w:styleId="47">
    <w:name w:val="标题 4 Char"/>
    <w:link w:val="5"/>
    <w:qFormat/>
    <w:uiPriority w:val="0"/>
    <w:rPr>
      <w:rFonts w:ascii="Arial" w:hAnsi="Arial"/>
      <w:bCs/>
      <w:kern w:val="2"/>
      <w:sz w:val="21"/>
      <w:szCs w:val="28"/>
    </w:rPr>
  </w:style>
  <w:style w:type="character" w:customStyle="1" w:styleId="48">
    <w:name w:val="标题 5 Char"/>
    <w:link w:val="6"/>
    <w:qFormat/>
    <w:uiPriority w:val="0"/>
    <w:rPr>
      <w:b/>
      <w:bCs/>
      <w:kern w:val="2"/>
      <w:sz w:val="28"/>
      <w:szCs w:val="28"/>
    </w:rPr>
  </w:style>
  <w:style w:type="character" w:customStyle="1" w:styleId="49">
    <w:name w:val="标题 6 Char"/>
    <w:link w:val="7"/>
    <w:qFormat/>
    <w:uiPriority w:val="0"/>
    <w:rPr>
      <w:rFonts w:ascii="Arial" w:hAnsi="Arial" w:eastAsia="黑体"/>
      <w:b/>
      <w:bCs/>
      <w:kern w:val="2"/>
      <w:sz w:val="21"/>
      <w:szCs w:val="24"/>
    </w:rPr>
  </w:style>
  <w:style w:type="character" w:customStyle="1" w:styleId="50">
    <w:name w:val="标题 7 Char"/>
    <w:link w:val="8"/>
    <w:qFormat/>
    <w:uiPriority w:val="0"/>
    <w:rPr>
      <w:b/>
      <w:bCs/>
      <w:kern w:val="2"/>
      <w:sz w:val="21"/>
      <w:szCs w:val="24"/>
    </w:rPr>
  </w:style>
  <w:style w:type="character" w:customStyle="1" w:styleId="51">
    <w:name w:val="标题 8 Char"/>
    <w:link w:val="9"/>
    <w:qFormat/>
    <w:uiPriority w:val="0"/>
    <w:rPr>
      <w:rFonts w:ascii="Arial" w:hAnsi="Arial" w:eastAsia="黑体"/>
      <w:kern w:val="2"/>
      <w:sz w:val="21"/>
      <w:szCs w:val="24"/>
    </w:rPr>
  </w:style>
  <w:style w:type="character" w:customStyle="1" w:styleId="52">
    <w:name w:val="标题 9 Char"/>
    <w:link w:val="10"/>
    <w:qFormat/>
    <w:uiPriority w:val="0"/>
    <w:rPr>
      <w:rFonts w:ascii="Arial" w:hAnsi="Arial" w:eastAsia="黑体"/>
      <w:kern w:val="2"/>
      <w:sz w:val="21"/>
      <w:szCs w:val="21"/>
    </w:rPr>
  </w:style>
  <w:style w:type="character" w:customStyle="1" w:styleId="53">
    <w:name w:val="题注 Char"/>
    <w:link w:val="12"/>
    <w:qFormat/>
    <w:uiPriority w:val="0"/>
    <w:rPr>
      <w:b/>
      <w:snapToGrid w:val="0"/>
      <w:color w:val="000000"/>
      <w:kern w:val="2"/>
      <w:sz w:val="21"/>
    </w:rPr>
  </w:style>
  <w:style w:type="character" w:customStyle="1" w:styleId="54">
    <w:name w:val="文档结构图 Char"/>
    <w:link w:val="13"/>
    <w:semiHidden/>
    <w:qFormat/>
    <w:uiPriority w:val="0"/>
    <w:rPr>
      <w:kern w:val="2"/>
      <w:sz w:val="21"/>
      <w:shd w:val="clear" w:color="auto" w:fill="000080"/>
    </w:rPr>
  </w:style>
  <w:style w:type="character" w:customStyle="1" w:styleId="55">
    <w:name w:val="批注文字 Char2"/>
    <w:link w:val="14"/>
    <w:qFormat/>
    <w:uiPriority w:val="0"/>
    <w:rPr>
      <w:kern w:val="2"/>
      <w:sz w:val="21"/>
    </w:rPr>
  </w:style>
  <w:style w:type="character" w:customStyle="1" w:styleId="56">
    <w:name w:val="正文文本 Char"/>
    <w:link w:val="15"/>
    <w:qFormat/>
    <w:uiPriority w:val="99"/>
    <w:rPr>
      <w:b/>
      <w:kern w:val="2"/>
      <w:sz w:val="24"/>
    </w:rPr>
  </w:style>
  <w:style w:type="character" w:customStyle="1" w:styleId="57">
    <w:name w:val="正文文本缩进 Char"/>
    <w:link w:val="16"/>
    <w:qFormat/>
    <w:uiPriority w:val="99"/>
    <w:rPr>
      <w:rFonts w:ascii="宋体" w:hAnsi="宋体" w:cs="Times New Roman"/>
      <w:kern w:val="2"/>
      <w:sz w:val="21"/>
      <w:szCs w:val="21"/>
    </w:rPr>
  </w:style>
  <w:style w:type="character" w:customStyle="1" w:styleId="58">
    <w:name w:val="日期 Char2"/>
    <w:link w:val="20"/>
    <w:qFormat/>
    <w:uiPriority w:val="0"/>
    <w:rPr>
      <w:kern w:val="2"/>
      <w:sz w:val="21"/>
    </w:rPr>
  </w:style>
  <w:style w:type="character" w:customStyle="1" w:styleId="59">
    <w:name w:val="批注框文本 Char"/>
    <w:link w:val="21"/>
    <w:qFormat/>
    <w:uiPriority w:val="99"/>
    <w:rPr>
      <w:kern w:val="2"/>
      <w:sz w:val="18"/>
      <w:szCs w:val="18"/>
    </w:rPr>
  </w:style>
  <w:style w:type="character" w:customStyle="1" w:styleId="60">
    <w:name w:val="页脚 Char2"/>
    <w:link w:val="22"/>
    <w:qFormat/>
    <w:uiPriority w:val="99"/>
    <w:rPr>
      <w:kern w:val="2"/>
      <w:sz w:val="18"/>
      <w:szCs w:val="18"/>
    </w:rPr>
  </w:style>
  <w:style w:type="character" w:customStyle="1" w:styleId="61">
    <w:name w:val="页眉 Char"/>
    <w:link w:val="23"/>
    <w:qFormat/>
    <w:uiPriority w:val="99"/>
    <w:rPr>
      <w:kern w:val="2"/>
      <w:sz w:val="18"/>
      <w:szCs w:val="18"/>
    </w:rPr>
  </w:style>
  <w:style w:type="character" w:customStyle="1" w:styleId="62">
    <w:name w:val="标题 Char"/>
    <w:link w:val="27"/>
    <w:qFormat/>
    <w:uiPriority w:val="10"/>
    <w:rPr>
      <w:rFonts w:ascii="Cambria" w:hAnsi="Cambria" w:cs="Times New Roman"/>
      <w:b/>
      <w:bCs/>
      <w:snapToGrid w:val="0"/>
      <w:color w:val="000000"/>
      <w:sz w:val="32"/>
      <w:szCs w:val="32"/>
      <w:lang w:eastAsia="en-US"/>
    </w:rPr>
  </w:style>
  <w:style w:type="character" w:customStyle="1" w:styleId="63">
    <w:name w:val="副标题 Char1"/>
    <w:link w:val="26"/>
    <w:qFormat/>
    <w:locked/>
    <w:uiPriority w:val="11"/>
    <w:rPr>
      <w:rFonts w:eastAsia="黑体"/>
      <w:bCs/>
      <w:spacing w:val="-1"/>
      <w:sz w:val="32"/>
      <w:szCs w:val="32"/>
    </w:rPr>
  </w:style>
  <w:style w:type="character" w:customStyle="1" w:styleId="64">
    <w:name w:val="列表 Char"/>
    <w:link w:val="28"/>
    <w:qFormat/>
    <w:uiPriority w:val="99"/>
    <w:rPr>
      <w:kern w:val="2"/>
      <w:sz w:val="21"/>
      <w:szCs w:val="24"/>
    </w:rPr>
  </w:style>
  <w:style w:type="character" w:customStyle="1" w:styleId="65">
    <w:name w:val="批注主题 Char"/>
    <w:link w:val="33"/>
    <w:qFormat/>
    <w:uiPriority w:val="99"/>
    <w:rPr>
      <w:b/>
      <w:bCs/>
      <w:kern w:val="2"/>
      <w:sz w:val="21"/>
    </w:rPr>
  </w:style>
  <w:style w:type="character" w:customStyle="1" w:styleId="66">
    <w:name w:val="正文首行缩进 2 Char"/>
    <w:link w:val="34"/>
    <w:qFormat/>
    <w:uiPriority w:val="0"/>
    <w:rPr>
      <w:rFonts w:ascii="宋体" w:hAnsi="宋体" w:cs="Arial"/>
      <w:snapToGrid w:val="0"/>
      <w:color w:val="000000"/>
      <w:kern w:val="2"/>
      <w:sz w:val="21"/>
      <w:szCs w:val="21"/>
      <w:lang w:eastAsia="en-US"/>
    </w:rPr>
  </w:style>
  <w:style w:type="character" w:customStyle="1" w:styleId="67">
    <w:name w:val="批注文字 Char"/>
    <w:qFormat/>
    <w:uiPriority w:val="99"/>
    <w:rPr>
      <w:kern w:val="2"/>
      <w:sz w:val="21"/>
    </w:rPr>
  </w:style>
  <w:style w:type="paragraph" w:customStyle="1" w:styleId="68">
    <w:name w:val="序言"/>
    <w:basedOn w:val="2"/>
    <w:next w:val="1"/>
    <w:qFormat/>
    <w:uiPriority w:val="0"/>
    <w:pPr>
      <w:adjustRightInd w:val="0"/>
      <w:snapToGrid w:val="0"/>
      <w:spacing w:line="240" w:lineRule="auto"/>
    </w:pPr>
  </w:style>
  <w:style w:type="paragraph" w:customStyle="1" w:styleId="69">
    <w:name w:val="段落编号"/>
    <w:basedOn w:val="1"/>
    <w:qFormat/>
    <w:uiPriority w:val="0"/>
    <w:pPr>
      <w:numPr>
        <w:ilvl w:val="0"/>
        <w:numId w:val="2"/>
      </w:numPr>
      <w:tabs>
        <w:tab w:val="left" w:pos="851"/>
      </w:tabs>
      <w:spacing w:before="120"/>
    </w:pPr>
  </w:style>
  <w:style w:type="paragraph" w:customStyle="1" w:styleId="70">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71">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72">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3">
    <w:name w:val="标准书眉一"/>
    <w:qFormat/>
    <w:uiPriority w:val="0"/>
    <w:pPr>
      <w:jc w:val="both"/>
    </w:pPr>
    <w:rPr>
      <w:rFonts w:ascii="Times New Roman" w:hAnsi="Times New Roman" w:eastAsia="宋体" w:cs="Times New Roman"/>
      <w:lang w:val="en-US" w:eastAsia="zh-CN" w:bidi="ar-SA"/>
    </w:rPr>
  </w:style>
  <w:style w:type="paragraph" w:customStyle="1" w:styleId="74">
    <w:name w:val="前言、引言标题"/>
    <w:next w:val="1"/>
    <w:qFormat/>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75">
    <w:name w:val="一级条标题"/>
    <w:next w:val="1"/>
    <w:qFormat/>
    <w:uiPriority w:val="0"/>
    <w:pPr>
      <w:numPr>
        <w:ilvl w:val="2"/>
        <w:numId w:val="1"/>
      </w:numPr>
      <w:outlineLvl w:val="2"/>
    </w:pPr>
    <w:rPr>
      <w:rFonts w:ascii="Times New Roman" w:hAnsi="Times New Roman" w:eastAsia="黑体" w:cs="Times New Roman"/>
      <w:sz w:val="21"/>
      <w:lang w:val="en-US" w:eastAsia="zh-CN" w:bidi="ar-SA"/>
    </w:rPr>
  </w:style>
  <w:style w:type="paragraph" w:customStyle="1" w:styleId="76">
    <w:name w:val="二级条标题"/>
    <w:basedOn w:val="75"/>
    <w:next w:val="1"/>
    <w:qFormat/>
    <w:uiPriority w:val="0"/>
    <w:pPr>
      <w:numPr>
        <w:ilvl w:val="3"/>
      </w:numPr>
      <w:outlineLvl w:val="3"/>
    </w:pPr>
  </w:style>
  <w:style w:type="character" w:customStyle="1" w:styleId="77">
    <w:name w:val="发布"/>
    <w:qFormat/>
    <w:uiPriority w:val="0"/>
    <w:rPr>
      <w:rFonts w:ascii="黑体" w:eastAsia="黑体"/>
      <w:spacing w:val="22"/>
      <w:w w:val="100"/>
      <w:position w:val="3"/>
      <w:sz w:val="28"/>
    </w:rPr>
  </w:style>
  <w:style w:type="paragraph" w:customStyle="1" w:styleId="78">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79">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80">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1">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82">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83">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84">
    <w:name w:val="封面正文"/>
    <w:qFormat/>
    <w:uiPriority w:val="0"/>
    <w:pPr>
      <w:jc w:val="both"/>
    </w:pPr>
    <w:rPr>
      <w:rFonts w:ascii="Times New Roman" w:hAnsi="Times New Roman" w:eastAsia="宋体" w:cs="Times New Roman"/>
      <w:lang w:val="en-US" w:eastAsia="zh-CN" w:bidi="ar-SA"/>
    </w:rPr>
  </w:style>
  <w:style w:type="paragraph" w:customStyle="1" w:styleId="85">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86">
    <w:name w:val="其他发布部门"/>
    <w:basedOn w:val="1"/>
    <w:qFormat/>
    <w:uiPriority w:val="0"/>
    <w:pPr>
      <w:framePr w:w="7433" w:h="585" w:hRule="exact" w:hSpace="180" w:vSpace="180" w:wrap="around" w:vAnchor="margin" w:hAnchor="margin" w:xAlign="center" w:y="14401" w:anchorLock="1"/>
      <w:widowControl/>
      <w:spacing w:line="0" w:lineRule="atLeast"/>
      <w:jc w:val="center"/>
    </w:pPr>
    <w:rPr>
      <w:rFonts w:ascii="黑体" w:eastAsia="黑体"/>
      <w:spacing w:val="20"/>
      <w:w w:val="135"/>
      <w:kern w:val="0"/>
      <w:sz w:val="36"/>
    </w:rPr>
  </w:style>
  <w:style w:type="paragraph" w:customStyle="1" w:styleId="87">
    <w:name w:val="实施日期"/>
    <w:basedOn w:val="78"/>
    <w:qFormat/>
    <w:uiPriority w:val="0"/>
    <w:pPr>
      <w:framePr w:hSpace="0" w:xAlign="right"/>
      <w:numPr>
        <w:ilvl w:val="4"/>
        <w:numId w:val="1"/>
      </w:numPr>
      <w:jc w:val="right"/>
    </w:pPr>
  </w:style>
  <w:style w:type="paragraph" w:customStyle="1" w:styleId="88">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89">
    <w:name w:val="样式 章标题 + 段前: 0.5 行 段后: 0.5 行"/>
    <w:basedOn w:val="1"/>
    <w:qFormat/>
    <w:uiPriority w:val="0"/>
    <w:pPr>
      <w:widowControl/>
      <w:numPr>
        <w:ilvl w:val="1"/>
        <w:numId w:val="1"/>
      </w:numPr>
      <w:spacing w:beforeLines="50" w:afterLines="50" w:line="240" w:lineRule="auto"/>
      <w:jc w:val="center"/>
      <w:outlineLvl w:val="1"/>
    </w:pPr>
    <w:rPr>
      <w:rFonts w:ascii="黑体" w:eastAsia="黑体" w:cs="宋体"/>
      <w:kern w:val="0"/>
      <w:sz w:val="28"/>
    </w:rPr>
  </w:style>
  <w:style w:type="paragraph" w:customStyle="1" w:styleId="90">
    <w:name w:val="正文1"/>
    <w:next w:val="1"/>
    <w:qFormat/>
    <w:uiPriority w:val="0"/>
    <w:pPr>
      <w:widowControl w:val="0"/>
      <w:spacing w:line="400" w:lineRule="exact"/>
      <w:ind w:firstLine="454"/>
      <w:jc w:val="both"/>
    </w:pPr>
    <w:rPr>
      <w:rFonts w:ascii="Times New Roman" w:hAnsi="Times New Roman" w:eastAsia="宋体" w:cs="Times New Roman"/>
      <w:kern w:val="2"/>
      <w:sz w:val="21"/>
      <w:lang w:val="en-US" w:eastAsia="zh-CN" w:bidi="ar-SA"/>
    </w:rPr>
  </w:style>
  <w:style w:type="paragraph" w:customStyle="1" w:styleId="91">
    <w:name w:val="正文2"/>
    <w:next w:val="1"/>
    <w:qFormat/>
    <w:uiPriority w:val="0"/>
    <w:pPr>
      <w:widowControl w:val="0"/>
      <w:spacing w:line="400" w:lineRule="exact"/>
      <w:ind w:firstLine="454"/>
      <w:jc w:val="both"/>
    </w:pPr>
    <w:rPr>
      <w:rFonts w:ascii="Times New Roman" w:hAnsi="Times New Roman" w:eastAsia="宋体" w:cs="Times New Roman"/>
      <w:kern w:val="2"/>
      <w:sz w:val="21"/>
      <w:lang w:val="en-US" w:eastAsia="zh-CN" w:bidi="ar-SA"/>
    </w:rPr>
  </w:style>
  <w:style w:type="paragraph" w:customStyle="1" w:styleId="92">
    <w:name w:val="样式 段前: 0.1 行 段后: 0.1 行"/>
    <w:basedOn w:val="1"/>
    <w:qFormat/>
    <w:uiPriority w:val="0"/>
    <w:pPr>
      <w:ind w:firstLine="200" w:firstLineChars="200"/>
    </w:pPr>
    <w:rPr>
      <w:rFonts w:cs="宋体"/>
    </w:rPr>
  </w:style>
  <w:style w:type="paragraph" w:customStyle="1" w:styleId="93">
    <w:name w:val="样式 标题 1 + 段前: 0.1 行 段后: 0.1 行"/>
    <w:basedOn w:val="2"/>
    <w:qFormat/>
    <w:uiPriority w:val="0"/>
    <w:pPr>
      <w:spacing w:before="10" w:afterLines="100"/>
      <w:jc w:val="center"/>
    </w:pPr>
    <w:rPr>
      <w:rFonts w:cs="宋体"/>
      <w:b w:val="0"/>
      <w:sz w:val="28"/>
      <w:szCs w:val="28"/>
    </w:rPr>
  </w:style>
  <w:style w:type="paragraph" w:customStyle="1" w:styleId="94">
    <w:name w:val="样式 标题 3 + 段前: 0.1 行 段后: 0.1 行"/>
    <w:basedOn w:val="4"/>
    <w:qFormat/>
    <w:uiPriority w:val="0"/>
    <w:rPr>
      <w:rFonts w:cs="宋体"/>
    </w:rPr>
  </w:style>
  <w:style w:type="paragraph" w:customStyle="1" w:styleId="95">
    <w:name w:val="样式 样式 标题 3 + 段前: 0.1 行 段后: 0.1 行 + 段前: 0.1 行 段后: 0.1 行"/>
    <w:basedOn w:val="94"/>
    <w:qFormat/>
    <w:uiPriority w:val="0"/>
    <w:pPr>
      <w:tabs>
        <w:tab w:val="left" w:pos="630"/>
      </w:tabs>
      <w:ind w:left="284"/>
    </w:pPr>
  </w:style>
  <w:style w:type="paragraph" w:customStyle="1" w:styleId="96">
    <w:name w:val="样式 样式 样式 标题 3 + 段前: 0.1 行 段后: 0.1 行 + 段前: 0.1 行 段后: 0.1 行 + 段前: ..."/>
    <w:basedOn w:val="95"/>
    <w:qFormat/>
    <w:uiPriority w:val="0"/>
  </w:style>
  <w:style w:type="paragraph" w:customStyle="1" w:styleId="97">
    <w:name w:val="样式 样式 标题 1 + 段前: 0.1 行 段后: 0.1 行 + 段前: 0.1 行 段后: 1 行"/>
    <w:basedOn w:val="93"/>
    <w:qFormat/>
    <w:uiPriority w:val="0"/>
    <w:pPr>
      <w:pageBreakBefore/>
    </w:pPr>
    <w:rPr>
      <w:bCs w:val="0"/>
      <w:szCs w:val="20"/>
    </w:rPr>
  </w:style>
  <w:style w:type="paragraph" w:customStyle="1" w:styleId="98">
    <w:name w:val="样式 样式 段前: 0.1 行 段后: 0.1 行 + 红色 首行缩进:  2 字符 段前: 0.1 行 段后: 0.1 行"/>
    <w:basedOn w:val="92"/>
    <w:qFormat/>
    <w:uiPriority w:val="0"/>
    <w:pPr>
      <w:ind w:firstLine="0" w:firstLineChars="0"/>
    </w:pPr>
    <w:rPr>
      <w:color w:val="FF0000"/>
    </w:rPr>
  </w:style>
  <w:style w:type="paragraph" w:customStyle="1" w:styleId="99">
    <w:name w:val="样式 标题 2 + 段前: 0.1 行 段后: 0.1 行"/>
    <w:basedOn w:val="3"/>
    <w:qFormat/>
    <w:uiPriority w:val="0"/>
    <w:pPr>
      <w:spacing w:before="10"/>
    </w:pPr>
    <w:rPr>
      <w:rFonts w:eastAsia="黑体" w:cs="宋体"/>
    </w:rPr>
  </w:style>
  <w:style w:type="paragraph" w:customStyle="1" w:styleId="100">
    <w:name w:val="样式 目录 1 + 段前: 0.1 行 段后: 0.1 行"/>
    <w:basedOn w:val="24"/>
    <w:qFormat/>
    <w:uiPriority w:val="0"/>
    <w:pPr>
      <w:tabs>
        <w:tab w:val="right" w:pos="8505"/>
        <w:tab w:val="clear" w:pos="8495"/>
      </w:tabs>
    </w:pPr>
    <w:rPr>
      <w:rFonts w:cs="宋体"/>
    </w:rPr>
  </w:style>
  <w:style w:type="paragraph" w:customStyle="1" w:styleId="101">
    <w:name w:val="样式 目录 1 + 段前: 0.1 行 段后: 0.1 行1"/>
    <w:basedOn w:val="24"/>
    <w:qFormat/>
    <w:uiPriority w:val="0"/>
    <w:pPr>
      <w:tabs>
        <w:tab w:val="right" w:leader="middleDot" w:pos="8505"/>
        <w:tab w:val="clear" w:pos="8495"/>
      </w:tabs>
    </w:pPr>
    <w:rPr>
      <w:rFonts w:cs="宋体"/>
    </w:rPr>
  </w:style>
  <w:style w:type="paragraph" w:customStyle="1" w:styleId="102">
    <w:name w:val="样式 目录 2 + 段前: 0.1 行 段后: 0.1 行"/>
    <w:basedOn w:val="30"/>
    <w:qFormat/>
    <w:uiPriority w:val="0"/>
    <w:pPr>
      <w:tabs>
        <w:tab w:val="right" w:leader="middleDot" w:pos="8222"/>
        <w:tab w:val="clear" w:pos="8494"/>
      </w:tabs>
    </w:pPr>
    <w:rPr>
      <w:rFonts w:cs="宋体"/>
    </w:rPr>
  </w:style>
  <w:style w:type="paragraph" w:customStyle="1" w:styleId="103">
    <w:name w:val="样式 样式 标题 2 + 段前: 0.1 行 段后: 0.1 行 + 段前: 0.1 行 段后: 0.1 行"/>
    <w:basedOn w:val="99"/>
    <w:qFormat/>
    <w:uiPriority w:val="0"/>
    <w:pPr>
      <w:jc w:val="center"/>
    </w:pPr>
  </w:style>
  <w:style w:type="paragraph" w:customStyle="1" w:styleId="104">
    <w:name w:val="样式 样式 标题 2 + 段前: 0.1 行 段后: 0.1 行 + 段前: 0.1 行 段后: 0.1 行1"/>
    <w:basedOn w:val="99"/>
    <w:qFormat/>
    <w:uiPriority w:val="0"/>
    <w:pPr>
      <w:jc w:val="center"/>
    </w:pPr>
  </w:style>
  <w:style w:type="paragraph" w:customStyle="1" w:styleId="105">
    <w:name w:val="样式 样式 样式 样式 标题 3 + 段前: 0.1 行 段后: 0.1 行 + 段前: 0.1 行 段后: 0.1 行 + 段..."/>
    <w:basedOn w:val="96"/>
    <w:qFormat/>
    <w:uiPriority w:val="0"/>
    <w:pPr>
      <w:spacing w:before="31" w:after="31"/>
    </w:pPr>
    <w:rPr>
      <w:rFonts w:ascii="宋体"/>
      <w:szCs w:val="21"/>
    </w:rPr>
  </w:style>
  <w:style w:type="paragraph" w:customStyle="1" w:styleId="106">
    <w:name w:val="样式 目录 2 + 段前: 0.1 行 段后: 0.1 行1"/>
    <w:basedOn w:val="30"/>
    <w:qFormat/>
    <w:uiPriority w:val="0"/>
    <w:pPr>
      <w:tabs>
        <w:tab w:val="right" w:leader="middleDot" w:pos="8222"/>
        <w:tab w:val="clear" w:pos="8494"/>
      </w:tabs>
    </w:pPr>
    <w:rPr>
      <w:rFonts w:cs="宋体"/>
    </w:rPr>
  </w:style>
  <w:style w:type="paragraph" w:customStyle="1" w:styleId="107">
    <w:name w:val="样式 样式 样式 标题 1 + 段前: 0.1 行 段后: 0.1 行 + 段前: 0.1 行 段后: 1 行 + 段前: 0...."/>
    <w:basedOn w:val="97"/>
    <w:qFormat/>
    <w:uiPriority w:val="0"/>
    <w:pPr>
      <w:tabs>
        <w:tab w:val="left" w:pos="454"/>
      </w:tabs>
      <w:ind w:left="454" w:hanging="454"/>
      <w:jc w:val="left"/>
    </w:pPr>
  </w:style>
  <w:style w:type="paragraph" w:customStyle="1" w:styleId="108">
    <w:name w:val="样式 样式 样式 标题 2 + 段前: 0.1 行 段后: 0.1 行 + 段前: 0.1 行 段后: 0.1 行1 + 段前:..."/>
    <w:basedOn w:val="104"/>
    <w:qFormat/>
    <w:uiPriority w:val="0"/>
    <w:pPr>
      <w:tabs>
        <w:tab w:val="left" w:pos="360"/>
      </w:tabs>
      <w:jc w:val="left"/>
    </w:pPr>
  </w:style>
  <w:style w:type="paragraph" w:customStyle="1" w:styleId="109">
    <w:name w:val="样式 样式 样式 样式 标题 3 + 段前: 0.1 行 段后: 0.1 行 + 段前: 0.1 行 段后: 0.1 行 + 段...1"/>
    <w:basedOn w:val="96"/>
    <w:qFormat/>
    <w:uiPriority w:val="0"/>
    <w:pPr>
      <w:tabs>
        <w:tab w:val="left" w:pos="1004"/>
      </w:tabs>
      <w:ind w:left="0"/>
      <w:jc w:val="left"/>
    </w:pPr>
    <w:rPr>
      <w:rFonts w:ascii="宋体"/>
    </w:rPr>
  </w:style>
  <w:style w:type="paragraph" w:customStyle="1" w:styleId="110">
    <w:name w:val="样式 目录 2 + 段前: 0.1 行 段后: 0.1 行2"/>
    <w:basedOn w:val="30"/>
    <w:qFormat/>
    <w:uiPriority w:val="0"/>
    <w:pPr>
      <w:tabs>
        <w:tab w:val="right" w:leader="middleDot" w:pos="8222"/>
        <w:tab w:val="clear" w:pos="8494"/>
      </w:tabs>
    </w:pPr>
    <w:rPr>
      <w:rFonts w:cs="宋体"/>
    </w:rPr>
  </w:style>
  <w:style w:type="paragraph" w:customStyle="1" w:styleId="111">
    <w:name w:val="样式 样式 样式 样式 标题 1 + 段前: 0.1 行 段后: 0.1 行 + 段前: 0.1 行 段后: 1 行 + 段前:..."/>
    <w:basedOn w:val="107"/>
    <w:qFormat/>
    <w:uiPriority w:val="0"/>
    <w:pPr>
      <w:spacing w:beforeLines="50" w:afterLines="50"/>
    </w:pPr>
    <w:rPr>
      <w:rFonts w:eastAsia="黑体"/>
      <w:sz w:val="24"/>
    </w:rPr>
  </w:style>
  <w:style w:type="paragraph" w:customStyle="1" w:styleId="112">
    <w:name w:val="样式 样式 样式 样式 样式 标题 1 + 段前: 0.1 行 段后: 0.1 行 + 段前: 0.1 行 段后: 1 行 + ..."/>
    <w:basedOn w:val="111"/>
    <w:qFormat/>
    <w:uiPriority w:val="0"/>
    <w:pPr>
      <w:pageBreakBefore w:val="0"/>
      <w:spacing w:after="100"/>
    </w:pPr>
    <w:rPr>
      <w:rFonts w:ascii="宋体" w:hAnsi="宋体"/>
      <w:color w:val="000000"/>
    </w:rPr>
  </w:style>
  <w:style w:type="paragraph" w:customStyle="1" w:styleId="113">
    <w:name w:val="样式 目录 2 + 段前: 0.1 行 段后: 0.1 行3"/>
    <w:basedOn w:val="30"/>
    <w:qFormat/>
    <w:uiPriority w:val="0"/>
    <w:rPr>
      <w:rFonts w:cs="宋体"/>
    </w:rPr>
  </w:style>
  <w:style w:type="paragraph" w:customStyle="1" w:styleId="114">
    <w:name w:val="样式 目录 2 + 段前: 0.1 行 段后: 0.1 行4"/>
    <w:basedOn w:val="30"/>
    <w:qFormat/>
    <w:uiPriority w:val="0"/>
    <w:pPr>
      <w:tabs>
        <w:tab w:val="right" w:leader="middleDot" w:pos="8222"/>
        <w:tab w:val="clear" w:pos="8494"/>
      </w:tabs>
    </w:pPr>
    <w:rPr>
      <w:rFonts w:cs="宋体"/>
    </w:rPr>
  </w:style>
  <w:style w:type="paragraph" w:customStyle="1" w:styleId="115">
    <w:name w:val="_Style 114"/>
    <w:qFormat/>
    <w:uiPriority w:val="99"/>
    <w:rPr>
      <w:rFonts w:ascii="Times New Roman" w:hAnsi="Times New Roman" w:eastAsia="宋体" w:cs="Times New Roman"/>
      <w:kern w:val="2"/>
      <w:sz w:val="21"/>
      <w:lang w:val="en-US" w:eastAsia="zh-CN" w:bidi="ar-SA"/>
    </w:rPr>
  </w:style>
  <w:style w:type="paragraph" w:customStyle="1" w:styleId="116">
    <w:name w:val="段"/>
    <w:link w:val="117"/>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117">
    <w:name w:val="段 Char"/>
    <w:link w:val="116"/>
    <w:qFormat/>
    <w:uiPriority w:val="0"/>
    <w:rPr>
      <w:rFonts w:ascii="宋体"/>
      <w:sz w:val="21"/>
      <w:lang w:bidi="ar-SA"/>
    </w:rPr>
  </w:style>
  <w:style w:type="paragraph" w:customStyle="1" w:styleId="118">
    <w:name w:val="标准文件_文件名称"/>
    <w:basedOn w:val="1"/>
    <w:next w:val="1"/>
    <w:qFormat/>
    <w:uiPriority w:val="0"/>
    <w:pPr>
      <w:framePr w:w="9639" w:h="6976" w:hRule="exact" w:wrap="auto" w:vAnchor="page" w:hAnchor="page" w:y="6408"/>
      <w:widowControl/>
      <w:spacing w:beforeLines="0" w:afterLines="0" w:line="700" w:lineRule="exact"/>
      <w:jc w:val="center"/>
    </w:pPr>
    <w:rPr>
      <w:rFonts w:ascii="黑体" w:hAnsi="黑体" w:eastAsia="黑体"/>
      <w:bCs/>
      <w:kern w:val="0"/>
      <w:sz w:val="52"/>
    </w:rPr>
  </w:style>
  <w:style w:type="paragraph" w:customStyle="1" w:styleId="119">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0">
    <w:name w:val="标准文件_目录标题"/>
    <w:basedOn w:val="1"/>
    <w:qFormat/>
    <w:uiPriority w:val="0"/>
    <w:pPr>
      <w:adjustRightInd w:val="0"/>
      <w:spacing w:beforeLines="0" w:afterLines="150" w:line="240" w:lineRule="auto"/>
      <w:jc w:val="center"/>
    </w:pPr>
    <w:rPr>
      <w:rFonts w:ascii="黑体" w:hAnsi="Calibri" w:eastAsia="黑体"/>
      <w:sz w:val="32"/>
      <w:szCs w:val="21"/>
    </w:rPr>
  </w:style>
  <w:style w:type="character" w:customStyle="1" w:styleId="121">
    <w:name w:val="批注文字 字符"/>
    <w:qFormat/>
    <w:uiPriority w:val="99"/>
    <w:rPr>
      <w:kern w:val="2"/>
      <w:sz w:val="21"/>
    </w:rPr>
  </w:style>
  <w:style w:type="paragraph" w:customStyle="1" w:styleId="122">
    <w:name w:val="标准文件_段"/>
    <w:link w:val="123"/>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23">
    <w:name w:val="标准文件_段 Char"/>
    <w:link w:val="122"/>
    <w:qFormat/>
    <w:uiPriority w:val="0"/>
    <w:rPr>
      <w:rFonts w:ascii="宋体"/>
      <w:sz w:val="21"/>
      <w:lang w:bidi="ar-SA"/>
    </w:rPr>
  </w:style>
  <w:style w:type="paragraph" w:customStyle="1" w:styleId="124">
    <w:name w:val="标准文件_附录标识"/>
    <w:next w:val="122"/>
    <w:qFormat/>
    <w:uiPriority w:val="0"/>
    <w:pPr>
      <w:numPr>
        <w:ilvl w:val="0"/>
        <w:numId w:val="3"/>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125">
    <w:name w:val="标准文件_附录表标题"/>
    <w:next w:val="122"/>
    <w:qFormat/>
    <w:uiPriority w:val="0"/>
    <w:pPr>
      <w:numPr>
        <w:ilvl w:val="1"/>
        <w:numId w:val="4"/>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126">
    <w:name w:val="标准文件_附录一级条标题"/>
    <w:next w:val="122"/>
    <w:qFormat/>
    <w:uiPriority w:val="0"/>
    <w:pPr>
      <w:widowControl w:val="0"/>
      <w:numPr>
        <w:ilvl w:val="1"/>
        <w:numId w:val="3"/>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127">
    <w:name w:val="标准文件_附录二级条标题"/>
    <w:basedOn w:val="126"/>
    <w:next w:val="122"/>
    <w:qFormat/>
    <w:uiPriority w:val="0"/>
    <w:pPr>
      <w:widowControl/>
      <w:numPr>
        <w:ilvl w:val="2"/>
      </w:numPr>
      <w:wordWrap w:val="0"/>
      <w:overflowPunct w:val="0"/>
      <w:autoSpaceDE w:val="0"/>
      <w:autoSpaceDN w:val="0"/>
      <w:textAlignment w:val="baseline"/>
      <w:outlineLvl w:val="3"/>
    </w:pPr>
  </w:style>
  <w:style w:type="paragraph" w:customStyle="1" w:styleId="128">
    <w:name w:val="标准文件_附录三级条标题"/>
    <w:next w:val="122"/>
    <w:qFormat/>
    <w:uiPriority w:val="0"/>
    <w:pPr>
      <w:widowControl w:val="0"/>
      <w:numPr>
        <w:ilvl w:val="3"/>
        <w:numId w:val="3"/>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129">
    <w:name w:val="标准文件_附录四级条标题"/>
    <w:next w:val="122"/>
    <w:qFormat/>
    <w:uiPriority w:val="0"/>
    <w:pPr>
      <w:widowControl w:val="0"/>
      <w:numPr>
        <w:ilvl w:val="4"/>
        <w:numId w:val="3"/>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130">
    <w:name w:val="标准文件_附录五级条标题"/>
    <w:next w:val="122"/>
    <w:qFormat/>
    <w:uiPriority w:val="0"/>
    <w:pPr>
      <w:widowControl w:val="0"/>
      <w:numPr>
        <w:ilvl w:val="5"/>
        <w:numId w:val="3"/>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131">
    <w:name w:val="标准文件_附录表标号"/>
    <w:basedOn w:val="122"/>
    <w:next w:val="122"/>
    <w:qFormat/>
    <w:uiPriority w:val="0"/>
    <w:pPr>
      <w:numPr>
        <w:ilvl w:val="0"/>
        <w:numId w:val="4"/>
      </w:numPr>
      <w:tabs>
        <w:tab w:val="left" w:pos="360"/>
        <w:tab w:val="left" w:pos="1211"/>
      </w:tabs>
      <w:spacing w:line="14" w:lineRule="exact"/>
      <w:ind w:left="0" w:firstLine="0" w:firstLineChars="0"/>
      <w:jc w:val="center"/>
    </w:pPr>
    <w:rPr>
      <w:rFonts w:eastAsia="黑体"/>
      <w:vanish/>
      <w:sz w:val="2"/>
    </w:rPr>
  </w:style>
  <w:style w:type="table" w:customStyle="1" w:styleId="132">
    <w:name w:val="Table Normal11"/>
    <w:basedOn w:val="35"/>
    <w:qFormat/>
    <w:uiPriority w:val="0"/>
    <w:rPr>
      <w:rFonts w:eastAsia="Times New Roman"/>
    </w:rPr>
    <w:tblPr>
      <w:tblCellMar>
        <w:top w:w="0" w:type="dxa"/>
        <w:left w:w="0" w:type="dxa"/>
        <w:bottom w:w="0" w:type="dxa"/>
        <w:right w:w="0" w:type="dxa"/>
      </w:tblCellMar>
    </w:tblPr>
  </w:style>
  <w:style w:type="character" w:customStyle="1" w:styleId="133">
    <w:name w:val="text_x0tgx"/>
    <w:qFormat/>
    <w:uiPriority w:val="0"/>
  </w:style>
  <w:style w:type="paragraph" w:customStyle="1" w:styleId="134">
    <w:name w:val="样式 样式 首行缩进:  0 厘米 + 首行缩进:  2 字符"/>
    <w:basedOn w:val="1"/>
    <w:qFormat/>
    <w:uiPriority w:val="0"/>
    <w:pPr>
      <w:adjustRightInd w:val="0"/>
      <w:spacing w:beforeLines="0" w:afterLines="0" w:line="460" w:lineRule="exact"/>
      <w:ind w:firstLine="200" w:firstLineChars="200"/>
      <w:textAlignment w:val="baseline"/>
    </w:pPr>
    <w:rPr>
      <w:rFonts w:cs="宋体"/>
      <w:spacing w:val="10"/>
      <w:kern w:val="0"/>
      <w:sz w:val="24"/>
    </w:rPr>
  </w:style>
  <w:style w:type="paragraph" w:styleId="135">
    <w:name w:val="List Paragraph"/>
    <w:basedOn w:val="1"/>
    <w:qFormat/>
    <w:uiPriority w:val="34"/>
    <w:pPr>
      <w:ind w:firstLine="420" w:firstLineChars="200"/>
    </w:pPr>
  </w:style>
  <w:style w:type="character" w:customStyle="1" w:styleId="136">
    <w:name w:val="font31"/>
    <w:qFormat/>
    <w:uiPriority w:val="0"/>
    <w:rPr>
      <w:rFonts w:hint="eastAsia" w:ascii="黑体" w:hAnsi="黑体" w:eastAsia="黑体"/>
      <w:b/>
      <w:bCs/>
      <w:color w:val="000000"/>
      <w:sz w:val="28"/>
      <w:szCs w:val="28"/>
      <w:u w:val="none"/>
    </w:rPr>
  </w:style>
  <w:style w:type="character" w:customStyle="1" w:styleId="137">
    <w:name w:val="font41"/>
    <w:qFormat/>
    <w:uiPriority w:val="0"/>
    <w:rPr>
      <w:rFonts w:hint="default" w:ascii="Times New Roman" w:hAnsi="Times New Roman" w:cs="Times New Roman"/>
      <w:b/>
      <w:bCs/>
      <w:color w:val="000000"/>
      <w:sz w:val="28"/>
      <w:szCs w:val="28"/>
      <w:u w:val="none"/>
    </w:rPr>
  </w:style>
  <w:style w:type="character" w:customStyle="1" w:styleId="138">
    <w:name w:val="font51"/>
    <w:qFormat/>
    <w:uiPriority w:val="0"/>
    <w:rPr>
      <w:rFonts w:hint="eastAsia" w:ascii="黑体" w:hAnsi="黑体" w:eastAsia="黑体"/>
      <w:color w:val="000000"/>
      <w:sz w:val="28"/>
      <w:szCs w:val="28"/>
      <w:u w:val="none"/>
    </w:rPr>
  </w:style>
  <w:style w:type="character" w:customStyle="1" w:styleId="139">
    <w:name w:val="font61"/>
    <w:qFormat/>
    <w:uiPriority w:val="0"/>
    <w:rPr>
      <w:rFonts w:hint="eastAsia" w:ascii="宋体" w:hAnsi="宋体" w:eastAsia="宋体"/>
      <w:color w:val="000000"/>
      <w:sz w:val="24"/>
      <w:szCs w:val="24"/>
      <w:u w:val="none"/>
    </w:rPr>
  </w:style>
  <w:style w:type="character" w:customStyle="1" w:styleId="140">
    <w:name w:val="font11"/>
    <w:qFormat/>
    <w:uiPriority w:val="0"/>
    <w:rPr>
      <w:rFonts w:hint="eastAsia" w:ascii="宋体" w:hAnsi="宋体" w:eastAsia="宋体" w:cs="宋体"/>
      <w:color w:val="000000"/>
      <w:sz w:val="18"/>
      <w:szCs w:val="18"/>
      <w:u w:val="none"/>
    </w:rPr>
  </w:style>
  <w:style w:type="paragraph" w:customStyle="1" w:styleId="141">
    <w:name w:val="图表"/>
    <w:basedOn w:val="12"/>
    <w:next w:val="142"/>
    <w:link w:val="143"/>
    <w:qFormat/>
    <w:uiPriority w:val="0"/>
    <w:pPr>
      <w:widowControl w:val="0"/>
      <w:autoSpaceDE/>
      <w:autoSpaceDN/>
      <w:adjustRightInd/>
      <w:snapToGrid/>
      <w:textAlignment w:val="auto"/>
    </w:pPr>
    <w:rPr>
      <w:rFonts w:ascii="宋体" w:hAnsi="宋体" w:eastAsia="黑体"/>
      <w:bCs/>
      <w:spacing w:val="-9"/>
      <w:szCs w:val="21"/>
      <w:lang w:eastAsia="en-US"/>
    </w:rPr>
  </w:style>
  <w:style w:type="paragraph" w:styleId="142">
    <w:name w:val="No Spacing"/>
    <w:qFormat/>
    <w:uiPriority w:val="1"/>
    <w:pPr>
      <w:widowControl w:val="0"/>
      <w:spacing w:beforeLines="10" w:afterLines="10"/>
      <w:jc w:val="both"/>
    </w:pPr>
    <w:rPr>
      <w:rFonts w:ascii="Times New Roman" w:hAnsi="Times New Roman" w:eastAsia="宋体" w:cs="Times New Roman"/>
      <w:kern w:val="2"/>
      <w:sz w:val="21"/>
      <w:lang w:val="en-US" w:eastAsia="zh-CN" w:bidi="ar-SA"/>
    </w:rPr>
  </w:style>
  <w:style w:type="character" w:customStyle="1" w:styleId="143">
    <w:name w:val="图表 字符"/>
    <w:link w:val="141"/>
    <w:qFormat/>
    <w:uiPriority w:val="0"/>
    <w:rPr>
      <w:rFonts w:ascii="宋体" w:hAnsi="宋体" w:eastAsia="黑体" w:cs="宋体"/>
      <w:b/>
      <w:bCs/>
      <w:snapToGrid w:val="0"/>
      <w:color w:val="000000"/>
      <w:spacing w:val="-9"/>
      <w:kern w:val="2"/>
      <w:sz w:val="21"/>
      <w:szCs w:val="21"/>
      <w:lang w:eastAsia="en-US"/>
    </w:rPr>
  </w:style>
  <w:style w:type="character" w:customStyle="1" w:styleId="144">
    <w:name w:val="图名 Char"/>
    <w:link w:val="145"/>
    <w:qFormat/>
    <w:uiPriority w:val="0"/>
    <w:rPr>
      <w:rFonts w:ascii="宋体" w:hAnsi="宋体" w:eastAsia="黑体" w:cs="宋体"/>
      <w:b/>
      <w:bCs/>
      <w:snapToGrid w:val="0"/>
      <w:color w:val="000000"/>
      <w:spacing w:val="-9"/>
      <w:sz w:val="21"/>
      <w:szCs w:val="21"/>
      <w:lang w:eastAsia="en-US"/>
    </w:rPr>
  </w:style>
  <w:style w:type="paragraph" w:customStyle="1" w:styleId="145">
    <w:name w:val="图名"/>
    <w:basedOn w:val="1"/>
    <w:link w:val="144"/>
    <w:qFormat/>
    <w:uiPriority w:val="0"/>
    <w:pPr>
      <w:widowControl/>
      <w:adjustRightInd w:val="0"/>
      <w:snapToGrid w:val="0"/>
      <w:spacing w:beforeLines="0" w:afterLines="0" w:line="360" w:lineRule="auto"/>
      <w:jc w:val="center"/>
      <w:textAlignment w:val="baseline"/>
    </w:pPr>
    <w:rPr>
      <w:rFonts w:ascii="宋体" w:hAnsi="宋体" w:eastAsia="黑体"/>
      <w:b/>
      <w:bCs/>
      <w:snapToGrid w:val="0"/>
      <w:color w:val="000000"/>
      <w:spacing w:val="-9"/>
      <w:kern w:val="0"/>
      <w:szCs w:val="21"/>
      <w:lang w:eastAsia="en-US"/>
    </w:rPr>
  </w:style>
  <w:style w:type="paragraph" w:customStyle="1" w:styleId="146">
    <w:name w:val="表格内文字"/>
    <w:qFormat/>
    <w:uiPriority w:val="0"/>
    <w:pPr>
      <w:adjustRightInd w:val="0"/>
      <w:snapToGrid w:val="0"/>
      <w:jc w:val="center"/>
    </w:pPr>
    <w:rPr>
      <w:rFonts w:ascii="Times New Roman" w:hAnsi="Times New Roman" w:eastAsia="宋体" w:cs="Times New Roman"/>
      <w:kern w:val="2"/>
      <w:sz w:val="21"/>
      <w:szCs w:val="21"/>
      <w:lang w:val="en-US" w:eastAsia="zh-CN" w:bidi="ar-SA"/>
    </w:rPr>
  </w:style>
  <w:style w:type="table" w:customStyle="1" w:styleId="147">
    <w:name w:val="网格型3"/>
    <w:basedOn w:val="35"/>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48">
    <w:name w:val="Table - Text"/>
    <w:basedOn w:val="1"/>
    <w:qFormat/>
    <w:uiPriority w:val="0"/>
    <w:pPr>
      <w:widowControl/>
      <w:spacing w:before="60" w:after="60"/>
      <w:jc w:val="left"/>
    </w:pPr>
    <w:rPr>
      <w:rFonts w:ascii="楷体_GB2312" w:eastAsia="楷体_GB2312"/>
      <w:lang w:eastAsia="en-US"/>
    </w:rPr>
  </w:style>
  <w:style w:type="paragraph" w:customStyle="1" w:styleId="149">
    <w:name w:val="居中"/>
    <w:basedOn w:val="1"/>
    <w:qFormat/>
    <w:uiPriority w:val="0"/>
    <w:pPr>
      <w:spacing w:beforeLines="0" w:afterLines="0" w:line="240" w:lineRule="auto"/>
      <w:jc w:val="center"/>
    </w:pPr>
    <w:rPr>
      <w:rFonts w:ascii="宋体" w:hAnsi="宋体"/>
      <w:sz w:val="18"/>
      <w:szCs w:val="21"/>
    </w:rPr>
  </w:style>
  <w:style w:type="character" w:customStyle="1" w:styleId="150">
    <w:name w:val="标题 3 Char"/>
    <w:qFormat/>
    <w:uiPriority w:val="0"/>
    <w:rPr>
      <w:rFonts w:ascii="宋体" w:hAnsi="宋体" w:eastAsia="宋体"/>
      <w:bCs/>
      <w:kern w:val="2"/>
      <w:sz w:val="21"/>
      <w:szCs w:val="32"/>
    </w:rPr>
  </w:style>
  <w:style w:type="paragraph" w:customStyle="1" w:styleId="151">
    <w:name w:val="Table Paragraph"/>
    <w:basedOn w:val="15"/>
    <w:next w:val="15"/>
    <w:qFormat/>
    <w:uiPriority w:val="1"/>
    <w:pPr>
      <w:autoSpaceDE w:val="0"/>
      <w:autoSpaceDN w:val="0"/>
      <w:spacing w:beforeLines="50" w:afterLines="0" w:line="360" w:lineRule="auto"/>
      <w:jc w:val="center"/>
    </w:pPr>
    <w:rPr>
      <w:rFonts w:cs="微软雅黑"/>
      <w:b w:val="0"/>
      <w:kern w:val="0"/>
      <w:sz w:val="18"/>
      <w:szCs w:val="32"/>
    </w:rPr>
  </w:style>
  <w:style w:type="table" w:customStyle="1" w:styleId="152">
    <w:name w:val="网格型10"/>
    <w:basedOn w:val="35"/>
    <w:qFormat/>
    <w:uiPriority w:val="39"/>
    <w:rPr>
      <w:rFonts w:ascii="Arial" w:hAnsi="Arial" w:cs="Arial"/>
      <w:snapToGrid w:val="0"/>
      <w:color w:val="00000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3">
    <w:name w:val="Table Normal"/>
    <w:unhideWhenUsed/>
    <w:qFormat/>
    <w:uiPriority w:val="0"/>
    <w:rPr>
      <w:rFonts w:ascii="Arial" w:hAnsi="Arial" w:cs="Arial"/>
    </w:rPr>
    <w:tblPr>
      <w:tblCellMar>
        <w:top w:w="0" w:type="dxa"/>
        <w:left w:w="0" w:type="dxa"/>
        <w:bottom w:w="0" w:type="dxa"/>
        <w:right w:w="0" w:type="dxa"/>
      </w:tblCellMar>
    </w:tblPr>
  </w:style>
  <w:style w:type="paragraph" w:customStyle="1" w:styleId="154">
    <w:name w:val="Table Text"/>
    <w:basedOn w:val="1"/>
    <w:link w:val="155"/>
    <w:semiHidden/>
    <w:qFormat/>
    <w:uiPriority w:val="0"/>
    <w:pPr>
      <w:widowControl/>
      <w:adjustRightInd w:val="0"/>
      <w:snapToGrid w:val="0"/>
      <w:spacing w:beforeLines="0" w:afterLines="0" w:line="240" w:lineRule="auto"/>
      <w:jc w:val="center"/>
      <w:textAlignment w:val="baseline"/>
    </w:pPr>
    <w:rPr>
      <w:rFonts w:ascii="宋体" w:hAnsi="宋体"/>
      <w:snapToGrid w:val="0"/>
      <w:color w:val="000000"/>
      <w:kern w:val="0"/>
      <w:szCs w:val="21"/>
      <w:lang w:eastAsia="en-US"/>
    </w:rPr>
  </w:style>
  <w:style w:type="character" w:customStyle="1" w:styleId="155">
    <w:name w:val="Table Text 字符"/>
    <w:link w:val="154"/>
    <w:semiHidden/>
    <w:qFormat/>
    <w:uiPriority w:val="0"/>
    <w:rPr>
      <w:rFonts w:ascii="宋体" w:hAnsi="宋体" w:cs="宋体"/>
      <w:snapToGrid w:val="0"/>
      <w:color w:val="000000"/>
      <w:sz w:val="21"/>
      <w:szCs w:val="21"/>
      <w:lang w:eastAsia="en-US"/>
    </w:rPr>
  </w:style>
  <w:style w:type="paragraph" w:customStyle="1" w:styleId="156">
    <w:name w:val="图表标题"/>
    <w:basedOn w:val="145"/>
    <w:link w:val="157"/>
    <w:qFormat/>
    <w:uiPriority w:val="0"/>
    <w:pPr>
      <w:spacing w:before="100" w:after="100" w:line="240" w:lineRule="auto"/>
    </w:pPr>
  </w:style>
  <w:style w:type="character" w:customStyle="1" w:styleId="157">
    <w:name w:val="图表标题 字符"/>
    <w:link w:val="156"/>
    <w:qFormat/>
    <w:uiPriority w:val="0"/>
    <w:rPr>
      <w:lang w:eastAsia="en-US"/>
    </w:rPr>
  </w:style>
  <w:style w:type="table" w:customStyle="1" w:styleId="158">
    <w:name w:val="Table Normal1"/>
    <w:unhideWhenUsed/>
    <w:qFormat/>
    <w:uiPriority w:val="0"/>
    <w:tblPr>
      <w:tblCellMar>
        <w:top w:w="0" w:type="dxa"/>
        <w:left w:w="0" w:type="dxa"/>
        <w:bottom w:w="0" w:type="dxa"/>
        <w:right w:w="0" w:type="dxa"/>
      </w:tblCellMar>
    </w:tblPr>
  </w:style>
  <w:style w:type="paragraph" w:customStyle="1" w:styleId="159">
    <w:name w:val="修订1"/>
    <w:unhideWhenUsed/>
    <w:qFormat/>
    <w:uiPriority w:val="99"/>
    <w:rPr>
      <w:rFonts w:ascii="Times New Roman" w:hAnsi="Times New Roman" w:eastAsia="宋体" w:cs="Arial"/>
      <w:snapToGrid w:val="0"/>
      <w:color w:val="000000"/>
      <w:sz w:val="24"/>
      <w:szCs w:val="21"/>
      <w:lang w:val="en-US" w:eastAsia="en-US" w:bidi="ar-SA"/>
    </w:rPr>
  </w:style>
  <w:style w:type="paragraph" w:customStyle="1" w:styleId="160">
    <w:name w:val="MTDisplayEquation"/>
    <w:basedOn w:val="1"/>
    <w:next w:val="1"/>
    <w:link w:val="161"/>
    <w:qFormat/>
    <w:uiPriority w:val="0"/>
    <w:pPr>
      <w:widowControl/>
      <w:tabs>
        <w:tab w:val="center" w:pos="4820"/>
        <w:tab w:val="right" w:pos="9640"/>
      </w:tabs>
      <w:adjustRightInd w:val="0"/>
      <w:snapToGrid w:val="0"/>
      <w:spacing w:beforeLines="0" w:afterLines="0" w:line="360" w:lineRule="auto"/>
      <w:ind w:firstLine="480" w:firstLineChars="200"/>
      <w:textAlignment w:val="baseline"/>
    </w:pPr>
    <w:rPr>
      <w:snapToGrid w:val="0"/>
      <w:color w:val="000000"/>
      <w:kern w:val="0"/>
      <w:sz w:val="28"/>
      <w:szCs w:val="21"/>
    </w:rPr>
  </w:style>
  <w:style w:type="character" w:customStyle="1" w:styleId="161">
    <w:name w:val="MTDisplayEquation 字符"/>
    <w:link w:val="160"/>
    <w:qFormat/>
    <w:uiPriority w:val="0"/>
    <w:rPr>
      <w:rFonts w:cs="Arial"/>
      <w:snapToGrid w:val="0"/>
      <w:color w:val="000000"/>
      <w:sz w:val="28"/>
      <w:szCs w:val="21"/>
    </w:rPr>
  </w:style>
  <w:style w:type="paragraph" w:customStyle="1" w:styleId="162">
    <w:name w:val="公式"/>
    <w:basedOn w:val="160"/>
    <w:link w:val="163"/>
    <w:qFormat/>
    <w:uiPriority w:val="0"/>
    <w:pPr>
      <w:snapToGrid/>
      <w:spacing w:line="240" w:lineRule="auto"/>
      <w:ind w:firstLine="0" w:firstLineChars="0"/>
      <w:textAlignment w:val="center"/>
    </w:pPr>
  </w:style>
  <w:style w:type="character" w:customStyle="1" w:styleId="163">
    <w:name w:val="公式 字符"/>
    <w:link w:val="162"/>
    <w:qFormat/>
    <w:uiPriority w:val="0"/>
  </w:style>
  <w:style w:type="paragraph" w:customStyle="1" w:styleId="164">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customStyle="1" w:styleId="165">
    <w:name w:val="正文-1"/>
    <w:basedOn w:val="1"/>
    <w:link w:val="166"/>
    <w:qFormat/>
    <w:uiPriority w:val="0"/>
    <w:pPr>
      <w:spacing w:beforeLines="0" w:afterLines="0" w:line="360" w:lineRule="auto"/>
      <w:ind w:firstLine="480" w:firstLineChars="200"/>
      <w:contextualSpacing/>
    </w:pPr>
    <w:rPr>
      <w:rFonts w:ascii="仿宋" w:hAnsi="仿宋" w:eastAsia="仿宋_GB2312"/>
      <w:kern w:val="24"/>
      <w:sz w:val="28"/>
      <w:szCs w:val="18"/>
    </w:rPr>
  </w:style>
  <w:style w:type="character" w:customStyle="1" w:styleId="166">
    <w:name w:val="正文-1 字符"/>
    <w:link w:val="165"/>
    <w:qFormat/>
    <w:uiPriority w:val="0"/>
    <w:rPr>
      <w:rFonts w:ascii="仿宋" w:hAnsi="仿宋" w:eastAsia="仿宋_GB2312"/>
      <w:kern w:val="24"/>
      <w:sz w:val="28"/>
      <w:szCs w:val="18"/>
    </w:rPr>
  </w:style>
  <w:style w:type="paragraph" w:customStyle="1" w:styleId="167">
    <w:name w:val="表文"/>
    <w:qFormat/>
    <w:uiPriority w:val="0"/>
    <w:pPr>
      <w:adjustRightInd w:val="0"/>
      <w:snapToGrid w:val="0"/>
      <w:jc w:val="center"/>
      <w:textAlignment w:val="baseline"/>
    </w:pPr>
    <w:rPr>
      <w:rFonts w:ascii="Times New Roman" w:hAnsi="Times New Roman" w:eastAsia="宋体" w:cs="Times New Roman"/>
      <w:snapToGrid w:val="0"/>
      <w:kern w:val="10"/>
      <w:sz w:val="21"/>
      <w:szCs w:val="24"/>
      <w:lang w:val="en-US" w:eastAsia="zh-CN" w:bidi="ar-SA"/>
    </w:rPr>
  </w:style>
  <w:style w:type="paragraph" w:customStyle="1" w:styleId="168">
    <w:name w:val="CD-表格编号"/>
    <w:next w:val="1"/>
    <w:qFormat/>
    <w:uiPriority w:val="0"/>
    <w:pPr>
      <w:tabs>
        <w:tab w:val="left" w:pos="420"/>
      </w:tabs>
      <w:spacing w:line="360" w:lineRule="auto"/>
      <w:ind w:left="1296" w:hanging="1296"/>
      <w:jc w:val="center"/>
    </w:pPr>
    <w:rPr>
      <w:rFonts w:ascii="Times New Roman" w:hAnsi="Times New Roman" w:eastAsia="宋体" w:cs="Times New Roman"/>
      <w:sz w:val="24"/>
      <w:lang w:val="en-US" w:eastAsia="zh-CN" w:bidi="ar-SA"/>
    </w:rPr>
  </w:style>
  <w:style w:type="paragraph" w:customStyle="1" w:styleId="169">
    <w:name w:val="CD-封面"/>
    <w:basedOn w:val="1"/>
    <w:link w:val="170"/>
    <w:qFormat/>
    <w:uiPriority w:val="0"/>
    <w:pPr>
      <w:wordWrap w:val="0"/>
      <w:snapToGrid w:val="0"/>
      <w:spacing w:beforeLines="150" w:afterLines="0" w:line="240" w:lineRule="atLeast"/>
      <w:jc w:val="center"/>
    </w:pPr>
    <w:rPr>
      <w:rFonts w:ascii="宋体" w:hAnsi="宋体"/>
      <w:b/>
      <w:bCs/>
      <w:spacing w:val="2"/>
      <w:sz w:val="44"/>
      <w:szCs w:val="44"/>
    </w:rPr>
  </w:style>
  <w:style w:type="character" w:customStyle="1" w:styleId="170">
    <w:name w:val="CD-封面 字符"/>
    <w:link w:val="169"/>
    <w:qFormat/>
    <w:uiPriority w:val="0"/>
    <w:rPr>
      <w:rFonts w:ascii="宋体" w:hAnsi="宋体" w:cs="宋体"/>
      <w:b/>
      <w:bCs/>
      <w:spacing w:val="2"/>
      <w:kern w:val="2"/>
      <w:sz w:val="44"/>
      <w:szCs w:val="44"/>
    </w:rPr>
  </w:style>
  <w:style w:type="paragraph" w:customStyle="1" w:styleId="171">
    <w:name w:val="封面及其它"/>
    <w:basedOn w:val="1"/>
    <w:link w:val="172"/>
    <w:qFormat/>
    <w:uiPriority w:val="0"/>
    <w:pPr>
      <w:spacing w:beforeLines="0" w:afterLines="0" w:line="240" w:lineRule="auto"/>
      <w:jc w:val="center"/>
    </w:pPr>
    <w:rPr>
      <w:sz w:val="24"/>
      <w:szCs w:val="21"/>
    </w:rPr>
  </w:style>
  <w:style w:type="character" w:customStyle="1" w:styleId="172">
    <w:name w:val="封面及其它 字符"/>
    <w:link w:val="171"/>
    <w:qFormat/>
    <w:uiPriority w:val="0"/>
    <w:rPr>
      <w:rFonts w:cs="Times New Roman"/>
      <w:kern w:val="2"/>
      <w:sz w:val="24"/>
      <w:szCs w:val="21"/>
    </w:rPr>
  </w:style>
  <w:style w:type="table" w:customStyle="1" w:styleId="173">
    <w:name w:val="Table Normal2"/>
    <w:basedOn w:val="35"/>
    <w:qFormat/>
    <w:uiPriority w:val="0"/>
    <w:rPr>
      <w:rFonts w:eastAsia="Times New Roman"/>
    </w:rPr>
    <w:tblPr>
      <w:tblCellMar>
        <w:top w:w="0" w:type="dxa"/>
        <w:left w:w="0" w:type="dxa"/>
        <w:bottom w:w="0" w:type="dxa"/>
        <w:right w:w="0" w:type="dxa"/>
      </w:tblCellMar>
    </w:tblPr>
  </w:style>
  <w:style w:type="character" w:customStyle="1" w:styleId="174">
    <w:name w:val="font21"/>
    <w:qFormat/>
    <w:uiPriority w:val="0"/>
    <w:rPr>
      <w:rFonts w:hint="default" w:ascii="Times New Roman" w:hAnsi="Times New Roman" w:cs="Times New Roman"/>
      <w:color w:val="000000"/>
      <w:sz w:val="21"/>
      <w:szCs w:val="21"/>
      <w:u w:val="none"/>
    </w:rPr>
  </w:style>
  <w:style w:type="character" w:customStyle="1" w:styleId="175">
    <w:name w:val="fontstyle01"/>
    <w:qFormat/>
    <w:uiPriority w:val="0"/>
    <w:rPr>
      <w:rFonts w:ascii="FZSSK--GBK1-0" w:hAnsi="FZSSK--GBK1-0" w:eastAsia="FZSSK--GBK1-0" w:cs="FZSSK--GBK1-0"/>
      <w:color w:val="000000"/>
      <w:sz w:val="20"/>
      <w:szCs w:val="20"/>
    </w:rPr>
  </w:style>
  <w:style w:type="character" w:customStyle="1" w:styleId="176">
    <w:name w:val="fontstyle11"/>
    <w:qFormat/>
    <w:uiPriority w:val="0"/>
    <w:rPr>
      <w:rFonts w:ascii="E-BZ" w:hAnsi="E-BZ" w:eastAsia="E-BZ" w:cs="E-BZ"/>
      <w:color w:val="000000"/>
      <w:sz w:val="20"/>
      <w:szCs w:val="20"/>
    </w:rPr>
  </w:style>
  <w:style w:type="character" w:customStyle="1" w:styleId="177">
    <w:name w:val="页脚 Char"/>
    <w:qFormat/>
    <w:uiPriority w:val="99"/>
    <w:rPr>
      <w:kern w:val="2"/>
      <w:sz w:val="18"/>
      <w:szCs w:val="18"/>
    </w:rPr>
  </w:style>
  <w:style w:type="character" w:customStyle="1" w:styleId="178">
    <w:name w:val="副标题 Char"/>
    <w:qFormat/>
    <w:uiPriority w:val="11"/>
    <w:rPr>
      <w:rFonts w:ascii="Cambria" w:hAnsi="Cambria" w:cs="Times New Roman"/>
      <w:b/>
      <w:bCs/>
      <w:kern w:val="28"/>
      <w:sz w:val="32"/>
      <w:szCs w:val="32"/>
    </w:rPr>
  </w:style>
  <w:style w:type="character" w:customStyle="1" w:styleId="179">
    <w:name w:val="日期 Char"/>
    <w:semiHidden/>
    <w:qFormat/>
    <w:uiPriority w:val="99"/>
    <w:rPr>
      <w:kern w:val="2"/>
      <w:sz w:val="21"/>
    </w:rPr>
  </w:style>
  <w:style w:type="paragraph" w:customStyle="1" w:styleId="180">
    <w:name w:val="表格"/>
    <w:basedOn w:val="1"/>
    <w:qFormat/>
    <w:uiPriority w:val="0"/>
    <w:pPr>
      <w:widowControl/>
      <w:overflowPunct w:val="0"/>
      <w:autoSpaceDN w:val="0"/>
      <w:adjustRightInd w:val="0"/>
      <w:spacing w:beforeLines="0" w:afterLines="0" w:line="240" w:lineRule="auto"/>
      <w:jc w:val="left"/>
    </w:pPr>
    <w:rPr>
      <w:rFonts w:cs="宋体"/>
      <w:spacing w:val="-1"/>
      <w:kern w:val="0"/>
      <w:szCs w:val="24"/>
    </w:rPr>
  </w:style>
  <w:style w:type="paragraph" w:customStyle="1" w:styleId="181">
    <w:name w:val="附件"/>
    <w:basedOn w:val="1"/>
    <w:next w:val="1"/>
    <w:qFormat/>
    <w:uiPriority w:val="0"/>
    <w:pPr>
      <w:keepNext/>
      <w:keepLines/>
      <w:widowControl/>
      <w:autoSpaceDE w:val="0"/>
      <w:autoSpaceDN w:val="0"/>
      <w:adjustRightInd w:val="0"/>
      <w:snapToGrid w:val="0"/>
      <w:spacing w:beforeLines="0" w:afterLines="0" w:line="360" w:lineRule="auto"/>
      <w:jc w:val="left"/>
      <w:outlineLvl w:val="0"/>
    </w:pPr>
    <w:rPr>
      <w:rFonts w:cs="宋体"/>
      <w:b/>
      <w:bCs/>
      <w:color w:val="000000"/>
      <w:spacing w:val="-1"/>
      <w:kern w:val="44"/>
      <w:sz w:val="28"/>
      <w:szCs w:val="28"/>
    </w:rPr>
  </w:style>
  <w:style w:type="paragraph" w:customStyle="1" w:styleId="182">
    <w:name w:val="图"/>
    <w:basedOn w:val="1"/>
    <w:qFormat/>
    <w:uiPriority w:val="0"/>
    <w:pPr>
      <w:widowControl/>
      <w:autoSpaceDE w:val="0"/>
      <w:autoSpaceDN w:val="0"/>
      <w:adjustRightInd w:val="0"/>
      <w:snapToGrid w:val="0"/>
      <w:spacing w:beforeLines="0" w:afterLines="0" w:line="360" w:lineRule="auto"/>
      <w:jc w:val="center"/>
    </w:pPr>
    <w:rPr>
      <w:rFonts w:cs="宋体"/>
      <w:b/>
      <w:color w:val="000000"/>
      <w:spacing w:val="-1"/>
      <w:kern w:val="0"/>
      <w:sz w:val="24"/>
      <w:szCs w:val="24"/>
    </w:rPr>
  </w:style>
  <w:style w:type="paragraph" w:customStyle="1" w:styleId="183">
    <w:name w:val="标准称谓"/>
    <w:next w:val="1"/>
    <w:qFormat/>
    <w:uiPriority w:val="0"/>
    <w:pPr>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184">
    <w:name w:val="标准书眉_偶数页"/>
    <w:basedOn w:val="72"/>
    <w:next w:val="1"/>
    <w:qFormat/>
    <w:uiPriority w:val="0"/>
    <w:pPr>
      <w:autoSpaceDN w:val="0"/>
      <w:jc w:val="left"/>
    </w:pPr>
  </w:style>
  <w:style w:type="paragraph" w:customStyle="1" w:styleId="185">
    <w:name w:val="标准书脚_偶数页"/>
    <w:qFormat/>
    <w:uiPriority w:val="0"/>
    <w:pPr>
      <w:autoSpaceDN w:val="0"/>
      <w:spacing w:before="120"/>
    </w:pPr>
    <w:rPr>
      <w:rFonts w:ascii="Times New Roman" w:hAnsi="Times New Roman" w:eastAsia="宋体" w:cs="Times New Roman"/>
      <w:sz w:val="18"/>
      <w:lang w:val="en-US" w:eastAsia="zh-CN" w:bidi="ar-SA"/>
    </w:rPr>
  </w:style>
  <w:style w:type="character" w:customStyle="1" w:styleId="186">
    <w:name w:val="资料性 字符"/>
    <w:link w:val="187"/>
    <w:qFormat/>
    <w:locked/>
    <w:uiPriority w:val="0"/>
    <w:rPr>
      <w:rFonts w:ascii="宋体" w:hAnsi="宋体" w:cs="宋体"/>
      <w:b/>
      <w:bCs/>
      <w:snapToGrid w:val="0"/>
      <w:color w:val="000000"/>
      <w:spacing w:val="-1"/>
      <w:kern w:val="44"/>
      <w:sz w:val="28"/>
      <w:szCs w:val="44"/>
    </w:rPr>
  </w:style>
  <w:style w:type="paragraph" w:customStyle="1" w:styleId="187">
    <w:name w:val="资料性"/>
    <w:basedOn w:val="2"/>
    <w:link w:val="186"/>
    <w:qFormat/>
    <w:uiPriority w:val="0"/>
    <w:pPr>
      <w:keepLines w:val="0"/>
      <w:widowControl/>
      <w:autoSpaceDE w:val="0"/>
      <w:autoSpaceDN w:val="0"/>
      <w:adjustRightInd w:val="0"/>
      <w:snapToGrid w:val="0"/>
      <w:spacing w:beforeLines="0" w:afterLines="0" w:line="360" w:lineRule="auto"/>
      <w:jc w:val="center"/>
    </w:pPr>
    <w:rPr>
      <w:rFonts w:ascii="宋体" w:hAnsi="宋体"/>
      <w:snapToGrid w:val="0"/>
      <w:color w:val="000000"/>
      <w:spacing w:val="-1"/>
      <w:sz w:val="28"/>
    </w:rPr>
  </w:style>
  <w:style w:type="character" w:customStyle="1" w:styleId="188">
    <w:name w:val="标题 1 Char1"/>
    <w:qFormat/>
    <w:locked/>
    <w:uiPriority w:val="0"/>
    <w:rPr>
      <w:b/>
      <w:bCs/>
      <w:kern w:val="44"/>
      <w:sz w:val="21"/>
      <w:szCs w:val="44"/>
    </w:rPr>
  </w:style>
  <w:style w:type="character" w:customStyle="1" w:styleId="189">
    <w:name w:val="标题 2 Char1"/>
    <w:semiHidden/>
    <w:qFormat/>
    <w:locked/>
    <w:uiPriority w:val="0"/>
    <w:rPr>
      <w:rFonts w:ascii="Arial" w:hAnsi="Arial"/>
      <w:kern w:val="2"/>
      <w:sz w:val="21"/>
    </w:rPr>
  </w:style>
  <w:style w:type="character" w:customStyle="1" w:styleId="190">
    <w:name w:val="标题 3 Char1"/>
    <w:semiHidden/>
    <w:qFormat/>
    <w:locked/>
    <w:uiPriority w:val="0"/>
    <w:rPr>
      <w:kern w:val="2"/>
      <w:sz w:val="21"/>
    </w:rPr>
  </w:style>
  <w:style w:type="character" w:customStyle="1" w:styleId="191">
    <w:name w:val="标题 4 Char1"/>
    <w:semiHidden/>
    <w:qFormat/>
    <w:locked/>
    <w:uiPriority w:val="0"/>
    <w:rPr>
      <w:rFonts w:ascii="Arial" w:hAnsi="Arial"/>
      <w:bCs/>
      <w:kern w:val="2"/>
      <w:sz w:val="21"/>
      <w:szCs w:val="28"/>
    </w:rPr>
  </w:style>
  <w:style w:type="character" w:customStyle="1" w:styleId="192">
    <w:name w:val="标题 5 Char1"/>
    <w:semiHidden/>
    <w:qFormat/>
    <w:locked/>
    <w:uiPriority w:val="0"/>
    <w:rPr>
      <w:b/>
      <w:bCs/>
      <w:kern w:val="2"/>
      <w:sz w:val="28"/>
      <w:szCs w:val="28"/>
    </w:rPr>
  </w:style>
  <w:style w:type="character" w:customStyle="1" w:styleId="193">
    <w:name w:val="标题 6 Char1"/>
    <w:semiHidden/>
    <w:qFormat/>
    <w:locked/>
    <w:uiPriority w:val="0"/>
    <w:rPr>
      <w:rFonts w:ascii="Arial" w:hAnsi="Arial" w:eastAsia="黑体"/>
      <w:b/>
      <w:bCs/>
      <w:kern w:val="2"/>
      <w:sz w:val="21"/>
      <w:szCs w:val="24"/>
    </w:rPr>
  </w:style>
  <w:style w:type="character" w:customStyle="1" w:styleId="194">
    <w:name w:val="标题 7 Char1"/>
    <w:semiHidden/>
    <w:qFormat/>
    <w:locked/>
    <w:uiPriority w:val="0"/>
    <w:rPr>
      <w:b/>
      <w:bCs/>
      <w:kern w:val="2"/>
      <w:sz w:val="21"/>
      <w:szCs w:val="24"/>
    </w:rPr>
  </w:style>
  <w:style w:type="character" w:customStyle="1" w:styleId="195">
    <w:name w:val="标题 8 Char1"/>
    <w:semiHidden/>
    <w:qFormat/>
    <w:locked/>
    <w:uiPriority w:val="0"/>
    <w:rPr>
      <w:rFonts w:ascii="Arial" w:hAnsi="Arial" w:eastAsia="黑体"/>
      <w:kern w:val="2"/>
      <w:sz w:val="21"/>
      <w:szCs w:val="24"/>
    </w:rPr>
  </w:style>
  <w:style w:type="character" w:customStyle="1" w:styleId="196">
    <w:name w:val="批注文字 Char1"/>
    <w:semiHidden/>
    <w:qFormat/>
    <w:locked/>
    <w:uiPriority w:val="99"/>
    <w:rPr>
      <w:kern w:val="2"/>
      <w:sz w:val="21"/>
    </w:rPr>
  </w:style>
  <w:style w:type="character" w:customStyle="1" w:styleId="197">
    <w:name w:val="正文文本 Char1"/>
    <w:semiHidden/>
    <w:qFormat/>
    <w:locked/>
    <w:uiPriority w:val="1"/>
    <w:rPr>
      <w:b/>
      <w:kern w:val="2"/>
      <w:sz w:val="24"/>
    </w:rPr>
  </w:style>
  <w:style w:type="character" w:customStyle="1" w:styleId="198">
    <w:name w:val="日期 Char1"/>
    <w:semiHidden/>
    <w:qFormat/>
    <w:locked/>
    <w:uiPriority w:val="0"/>
    <w:rPr>
      <w:kern w:val="2"/>
      <w:sz w:val="21"/>
    </w:rPr>
  </w:style>
  <w:style w:type="character" w:customStyle="1" w:styleId="199">
    <w:name w:val="批注框文本 Char1"/>
    <w:semiHidden/>
    <w:qFormat/>
    <w:locked/>
    <w:uiPriority w:val="0"/>
    <w:rPr>
      <w:kern w:val="2"/>
      <w:sz w:val="18"/>
      <w:szCs w:val="18"/>
    </w:rPr>
  </w:style>
  <w:style w:type="character" w:customStyle="1" w:styleId="200">
    <w:name w:val="页脚 Char1"/>
    <w:semiHidden/>
    <w:qFormat/>
    <w:locked/>
    <w:uiPriority w:val="99"/>
    <w:rPr>
      <w:kern w:val="2"/>
      <w:sz w:val="18"/>
      <w:szCs w:val="18"/>
    </w:rPr>
  </w:style>
  <w:style w:type="character" w:customStyle="1" w:styleId="201">
    <w:name w:val="页眉 Char1"/>
    <w:semiHidden/>
    <w:qFormat/>
    <w:locked/>
    <w:uiPriority w:val="0"/>
    <w:rPr>
      <w:kern w:val="2"/>
      <w:sz w:val="18"/>
      <w:szCs w:val="18"/>
    </w:rPr>
  </w:style>
  <w:style w:type="character" w:customStyle="1" w:styleId="202">
    <w:name w:val="标题 Char1"/>
    <w:qFormat/>
    <w:locked/>
    <w:uiPriority w:val="0"/>
    <w:rPr>
      <w:rFonts w:ascii="Cambria" w:hAnsi="Cambria"/>
      <w:b/>
      <w:bCs/>
      <w:color w:val="000000"/>
      <w:spacing w:val="-1"/>
      <w:sz w:val="32"/>
      <w:szCs w:val="32"/>
    </w:rPr>
  </w:style>
  <w:style w:type="character" w:customStyle="1" w:styleId="203">
    <w:name w:val="批注主题 Char1"/>
    <w:semiHidden/>
    <w:qFormat/>
    <w:locked/>
    <w:uiPriority w:val="0"/>
    <w:rPr>
      <w:b/>
      <w:bCs/>
      <w:kern w:val="2"/>
      <w:sz w:val="21"/>
    </w:rPr>
  </w:style>
  <w:style w:type="character" w:customStyle="1" w:styleId="204">
    <w:name w:val="标题 1 字符"/>
    <w:qFormat/>
    <w:uiPriority w:val="0"/>
    <w:rPr>
      <w:rFonts w:hint="eastAsia" w:ascii="宋体" w:hAnsi="宋体" w:eastAsia="宋体" w:cs="宋体"/>
      <w:b/>
      <w:bCs/>
      <w:snapToGrid/>
      <w:color w:val="000000"/>
      <w:spacing w:val="-1"/>
      <w:kern w:val="44"/>
      <w:sz w:val="44"/>
      <w:szCs w:val="44"/>
    </w:rPr>
  </w:style>
  <w:style w:type="table" w:customStyle="1" w:styleId="205">
    <w:name w:val="网格型2"/>
    <w:basedOn w:val="3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6">
    <w:name w:val="网格型4"/>
    <w:basedOn w:val="3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7">
    <w:name w:val="网格型1"/>
    <w:basedOn w:val="3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8">
    <w:name w:val="网格型5"/>
    <w:basedOn w:val="3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9">
    <w:name w:val="网格型6"/>
    <w:basedOn w:val="3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0">
    <w:name w:val="网格型7"/>
    <w:basedOn w:val="3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1">
    <w:name w:val="网格型8"/>
    <w:basedOn w:val="3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2">
    <w:name w:val="网格型9"/>
    <w:basedOn w:val="3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13">
    <w:name w:val="标题 3 字符"/>
    <w:qFormat/>
    <w:uiPriority w:val="0"/>
    <w:rPr>
      <w:kern w:val="2"/>
      <w:sz w:val="21"/>
    </w:rPr>
  </w:style>
  <w:style w:type="character" w:customStyle="1" w:styleId="214">
    <w:name w:val="批注文字 字符1"/>
    <w:qFormat/>
    <w:uiPriority w:val="0"/>
    <w:rPr>
      <w:kern w:val="2"/>
      <w:sz w:val="21"/>
    </w:rPr>
  </w:style>
  <w:style w:type="character" w:customStyle="1" w:styleId="215">
    <w:name w:val="页脚 字符"/>
    <w:qFormat/>
    <w:uiPriority w:val="99"/>
    <w:rPr>
      <w:kern w:val="2"/>
      <w:sz w:val="18"/>
      <w:szCs w:val="18"/>
    </w:rPr>
  </w:style>
  <w:style w:type="character" w:customStyle="1" w:styleId="216">
    <w:name w:val="标题 1 字符1"/>
    <w:qFormat/>
    <w:uiPriority w:val="0"/>
    <w:rPr>
      <w:b/>
      <w:bCs/>
      <w:kern w:val="44"/>
      <w:sz w:val="21"/>
      <w:szCs w:val="44"/>
    </w:rPr>
  </w:style>
  <w:style w:type="character" w:customStyle="1" w:styleId="217">
    <w:name w:val="页脚 字符1"/>
    <w:qFormat/>
    <w:uiPriority w:val="99"/>
    <w:rPr>
      <w:kern w:val="2"/>
      <w:sz w:val="18"/>
      <w:szCs w:val="18"/>
    </w:rPr>
  </w:style>
  <w:style w:type="character" w:customStyle="1" w:styleId="218">
    <w:name w:val="页眉 字符"/>
    <w:qFormat/>
    <w:uiPriority w:val="99"/>
    <w:rPr>
      <w:kern w:val="2"/>
      <w:sz w:val="18"/>
      <w:szCs w:val="18"/>
    </w:rPr>
  </w:style>
  <w:style w:type="paragraph" w:customStyle="1" w:styleId="219">
    <w:name w:val="修订2"/>
    <w:hidden/>
    <w:unhideWhenUsed/>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1" Type="http://schemas.openxmlformats.org/officeDocument/2006/relationships/fontTable" Target="fontTable.xml"/><Relationship Id="rId40" Type="http://schemas.openxmlformats.org/officeDocument/2006/relationships/numbering" Target="numbering.xml"/><Relationship Id="rId4" Type="http://schemas.openxmlformats.org/officeDocument/2006/relationships/endnotes" Target="endnotes.xml"/><Relationship Id="rId39" Type="http://schemas.openxmlformats.org/officeDocument/2006/relationships/customXml" Target="../customXml/item1.xml"/><Relationship Id="rId38" Type="http://schemas.openxmlformats.org/officeDocument/2006/relationships/image" Target="media/image7.png"/><Relationship Id="rId37" Type="http://schemas.openxmlformats.org/officeDocument/2006/relationships/image" Target="media/image6.png"/><Relationship Id="rId36" Type="http://schemas.openxmlformats.org/officeDocument/2006/relationships/image" Target="media/image5.png"/><Relationship Id="rId35" Type="http://schemas.openxmlformats.org/officeDocument/2006/relationships/image" Target="media/image4.png"/><Relationship Id="rId34" Type="http://schemas.openxmlformats.org/officeDocument/2006/relationships/image" Target="media/image3.png"/><Relationship Id="rId33" Type="http://schemas.openxmlformats.org/officeDocument/2006/relationships/image" Target="media/image2.png"/><Relationship Id="rId32" Type="http://schemas.openxmlformats.org/officeDocument/2006/relationships/image" Target="media/image1.emf"/><Relationship Id="rId31" Type="http://schemas.openxmlformats.org/officeDocument/2006/relationships/oleObject" Target="embeddings/oleObject1.bin"/><Relationship Id="rId30" Type="http://schemas.openxmlformats.org/officeDocument/2006/relationships/theme" Target="theme/theme1.xml"/><Relationship Id="rId3" Type="http://schemas.openxmlformats.org/officeDocument/2006/relationships/footnotes" Target="footnotes.xml"/><Relationship Id="rId29" Type="http://schemas.openxmlformats.org/officeDocument/2006/relationships/footer" Target="footer13.xml"/><Relationship Id="rId28" Type="http://schemas.openxmlformats.org/officeDocument/2006/relationships/header" Target="header12.xml"/><Relationship Id="rId27" Type="http://schemas.openxmlformats.org/officeDocument/2006/relationships/footer" Target="footer12.xml"/><Relationship Id="rId26" Type="http://schemas.openxmlformats.org/officeDocument/2006/relationships/header" Target="header11.xml"/><Relationship Id="rId25" Type="http://schemas.openxmlformats.org/officeDocument/2006/relationships/footer" Target="footer11.xml"/><Relationship Id="rId24" Type="http://schemas.openxmlformats.org/officeDocument/2006/relationships/footer" Target="footer10.xml"/><Relationship Id="rId23" Type="http://schemas.openxmlformats.org/officeDocument/2006/relationships/header" Target="header10.xml"/><Relationship Id="rId22" Type="http://schemas.openxmlformats.org/officeDocument/2006/relationships/header" Target="header9.xml"/><Relationship Id="rId21" Type="http://schemas.openxmlformats.org/officeDocument/2006/relationships/footer" Target="foot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home\user\D:\jxl\&#26434;&#21153;\&#22478;&#24066;&#29123;&#27668;&#19987;&#19994;&#22996;&#21592;&#20250;\&#24314;&#31569;&#29123;&#27668;&#23433;&#20840;&#25216;&#26415;&#35268;&#31243;\&#24314;&#31569;&#29123;&#27668;&#35774;&#26045;&#23433;&#20840;&#25216;&#26415;&#35201;&#27714;050806doc.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建筑燃气设施安全技术要求050806doc</Template>
  <Company>Microsoft</Company>
  <Pages>88</Pages>
  <Words>5810</Words>
  <Characters>6652</Characters>
  <Lines>542</Lines>
  <Paragraphs>152</Paragraphs>
  <TotalTime>2</TotalTime>
  <ScaleCrop>false</ScaleCrop>
  <LinksUpToDate>false</LinksUpToDate>
  <CharactersWithSpaces>6924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2026-06-25T15:56:00Z</dcterms:created>
  <dc:creator>jxlong</dc:creator>
  <cp:lastModifiedBy>Kathy 敏</cp:lastModifiedBy>
  <cp:lastPrinted>2025-05-29T17:59:00Z</cp:lastPrinted>
  <dcterms:modified xsi:type="dcterms:W3CDTF">2026-08-21T06:20:03Z</dcterms:modified>
  <dc:title>天然气购销合同</dc:title>
  <cp:revision>213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eyJoZGlkIjoiMjk2ZGZmMzI3ZDEyZTNmYTRlYzFlYmMwODMzNWEyNjciLCJ1c2VySWQiOiI3MTQ3Nzc1MjIifQ==</vt:lpwstr>
  </property>
  <property fmtid="{D5CDD505-2E9C-101B-9397-08002B2CF9AE}" pid="4" name="ICV">
    <vt:lpwstr>E96DD08909404C1F8B060AA9E84D146A_13</vt:lpwstr>
  </property>
</Properties>
</file>