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bookmarkStart w:id="613" w:name="_GoBack"/>
            <w:bookmarkEnd w:id="613"/>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07.040</w:t>
            </w:r>
            <w:r>
              <w:rPr>
                <w:rFonts w:ascii="黑体" w:hAnsi="黑体" w:eastAsia="黑体"/>
                <w:sz w:val="21"/>
                <w:szCs w:val="21"/>
              </w:rPr>
              <w:t xml:space="preserve">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P 11</w:t>
            </w:r>
            <w:r>
              <w:rPr>
                <w:rFonts w:ascii="黑体" w:hAnsi="黑体" w:eastAsia="黑体"/>
                <w:sz w:val="21"/>
                <w:szCs w:val="21"/>
              </w:rPr>
              <w:fldChar w:fldCharType="end"/>
            </w:r>
            <w:bookmarkEnd w:id="1"/>
          </w:p>
        </w:tc>
      </w:tr>
    </w:tbl>
    <w:tbl>
      <w:tblPr>
        <w:tblStyle w:val="29"/>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51"/>
              <w:framePr w:w="0" w:hRule="auto" w:wrap="auto" w:vAnchor="margin" w:hAnchor="text" w:xAlign="left" w:yAlign="inline"/>
              <w:rPr>
                <w:rFonts w:hint="eastAsia" w:ascii="宋体" w:hAnsi="宋体"/>
                <w:sz w:val="28"/>
                <w:szCs w:val="28"/>
              </w:rPr>
            </w:pPr>
            <w:bookmarkStart w:id="2" w:name="_Hlk26473981"/>
            <w:r>
              <w:rPr>
                <w:rFonts w:hint="eastAsia"/>
              </w:rPr>
              <w:t>DB</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42</w:t>
            </w:r>
            <w:r>
              <w:fldChar w:fldCharType="end"/>
            </w:r>
            <w:bookmarkEnd w:id="3"/>
          </w:p>
        </w:tc>
      </w:tr>
    </w:tbl>
    <w:p>
      <w:pPr>
        <w:pStyle w:val="52"/>
        <w:framePr w:w="9639" w:h="624" w:hRule="exact" w:hSpace="181" w:vSpace="181"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湖北省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7"/>
        <w:framePr/>
        <w:rPr>
          <w:lang w:val="fr-FR"/>
        </w:rPr>
      </w:pPr>
      <w:r>
        <w:rPr>
          <w:rFonts w:ascii="Times New Roman"/>
          <w:lang w:val="fr-FR"/>
        </w:rPr>
        <w:t>DB</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42</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pPr>
        <w:pStyle w:val="198"/>
        <w:framePr/>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int="eastAsia" w:hAnsi="黑体"/>
        </w:rPr>
        <w:t>（代替</w:t>
      </w:r>
      <w:r>
        <w:rPr>
          <w:rFonts w:hAnsi="黑体"/>
        </w:rPr>
        <w:t xml:space="preserve"> DB42/T 1049-2015</w:t>
      </w:r>
      <w:r>
        <w:rPr>
          <w:rFonts w:hint="eastAsia" w:hAnsi="黑体"/>
        </w:rPr>
        <w:t>）</w:t>
      </w:r>
      <w:r>
        <w:rPr>
          <w:rFonts w:hAnsi="黑体"/>
        </w:rPr>
        <w:fldChar w:fldCharType="end"/>
      </w:r>
      <w:bookmarkEnd w:id="8"/>
    </w:p>
    <w:p>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En04FrMAQAAYQ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Ev5GpqXjUlRbB0Xnr&#10;4Q02VAabiFm2sfUmoZIgbMzu7E7uyDEyQZvnUzK8JBPFMVdAdWx0PsTXEg1LPzXXyibhoILtdYhp&#10;EKiOJWnb4pXSOpuvLRtq/upsdpYbAmrVpGQqC75bL7VnW0jXJ3+ZFWUelnnc2GZ/iLYH0onnXrQ1&#10;NruVP4pBPuZpDncuXZSH69x9/zI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ng0mW2AAAAAwB&#10;AAAPAAAAAAAAAAEAIAAAADgAAABkcnMvZG93bnJldi54bWxQSwECFAAUAAAACACHTuJASfTgWswB&#10;AABhAwAADgAAAAAAAAABACAAAAA9AQAAZHJzL2Uyb0RvYy54bWxQSwUGAAAAAAYABgBZAQAAewUA&#10;AAAA&#10;">
                <v:fill on="f" focussize="0,0"/>
                <v:stroke color="#000000" joinstyle="round"/>
                <v:imagedata o:title=""/>
                <o:lock v:ext="edit" aspectratio="f"/>
              </v:line>
            </w:pict>
          </mc:Fallback>
        </mc:AlternateContent>
      </w:r>
    </w:p>
    <w:p>
      <w:pPr>
        <w:pStyle w:val="52"/>
        <w:framePr w:w="9639" w:h="6976" w:hRule="exact" w:hSpace="0" w:vSpace="0" w:hAnchor="page" w:y="6408"/>
        <w:jc w:val="center"/>
        <w:rPr>
          <w:rFonts w:hint="eastAsia" w:ascii="黑体" w:hAnsi="黑体" w:eastAsia="黑体"/>
          <w:b w:val="0"/>
          <w:bCs w:val="0"/>
          <w:w w:val="100"/>
        </w:rPr>
      </w:pPr>
    </w:p>
    <w:p>
      <w:pPr>
        <w:pStyle w:val="199"/>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房产面积测绘技术规程</w:t>
      </w:r>
      <w:r>
        <w:fldChar w:fldCharType="end"/>
      </w:r>
      <w:bookmarkEnd w:id="9"/>
    </w:p>
    <w:p>
      <w:pPr>
        <w:framePr w:w="9639" w:h="6974" w:hRule="exact" w:wrap="around" w:vAnchor="page" w:hAnchor="page" w:x="1419" w:y="6408" w:anchorLock="1"/>
        <w:ind w:left="-1418"/>
      </w:pPr>
    </w:p>
    <w:p>
      <w:pPr>
        <w:pStyle w:val="127"/>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Technical specifications of housing area surveying and mapping</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27"/>
        <w:framePr w:w="9639" w:h="6974" w:hRule="exact" w:wrap="around" w:vAnchor="page" w:hAnchor="page" w:x="1419" w:y="6408" w:anchorLock="1"/>
        <w:textAlignment w:val="bottom"/>
        <w:rPr>
          <w:rFonts w:eastAsia="黑体"/>
          <w:szCs w:val="28"/>
        </w:rPr>
      </w:pPr>
    </w:p>
    <w:p>
      <w:pPr>
        <w:pStyle w:val="127"/>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27"/>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pPr>
        <w:pStyle w:val="127"/>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95"/>
        <w:framePr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96"/>
        <w:framePr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tbl>
      <w:tblPr>
        <w:tblStyle w:val="2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7"/>
        <w:gridCol w:w="24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57" w:type="dxa"/>
          </w:tcPr>
          <w:p>
            <w:pPr>
              <w:pStyle w:val="153"/>
              <w:framePr w:h="778" w:hRule="exact" w:hSpace="181" w:vSpace="181" w:vAnchor="page" w:y="15152"/>
              <w:jc w:val="distribute"/>
              <w:rPr>
                <w:rFonts w:hint="eastAsia" w:hAnsi="黑体"/>
                <w:sz w:val="28"/>
                <w:szCs w:val="28"/>
              </w:rPr>
            </w:pPr>
            <w:r>
              <w:rPr>
                <w:rFonts w:hint="eastAsia" w:hAnsi="黑体"/>
                <w:sz w:val="28"/>
                <w:szCs w:val="28"/>
              </w:rPr>
              <w:t>湖北省住房和城乡建设厅</w:t>
            </w:r>
          </w:p>
        </w:tc>
        <w:tc>
          <w:tcPr>
            <w:tcW w:w="2466" w:type="dxa"/>
            <w:vMerge w:val="restart"/>
            <w:vAlign w:val="center"/>
          </w:tcPr>
          <w:p>
            <w:pPr>
              <w:pStyle w:val="153"/>
              <w:framePr w:h="778" w:hRule="exact" w:hSpace="181" w:vSpace="181" w:vAnchor="page" w:y="15152"/>
              <w:jc w:val="both"/>
              <w:rPr>
                <w:rFonts w:hint="eastAsia" w:hAnsi="黑体"/>
                <w:sz w:val="28"/>
                <w:szCs w:val="28"/>
              </w:rPr>
            </w:pPr>
            <w:r>
              <w:rPr>
                <w:rFonts w:hint="eastAsia" w:hAnsi="黑体"/>
                <w:sz w:val="28"/>
                <w:szCs w:val="28"/>
              </w:rPr>
              <w:t>联合发布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57" w:type="dxa"/>
          </w:tcPr>
          <w:p>
            <w:pPr>
              <w:pStyle w:val="153"/>
              <w:framePr w:h="778" w:hRule="exact" w:hSpace="181" w:vSpace="181" w:vAnchor="page" w:y="15152"/>
              <w:jc w:val="distribute"/>
              <w:rPr>
                <w:rFonts w:hint="eastAsia" w:hAnsi="黑体"/>
                <w:sz w:val="28"/>
                <w:szCs w:val="28"/>
              </w:rPr>
            </w:pPr>
            <w:r>
              <w:rPr>
                <w:rFonts w:hint="eastAsia" w:hAnsi="黑体"/>
                <w:sz w:val="28"/>
                <w:szCs w:val="28"/>
              </w:rPr>
              <w:t>湖北省市场监督管理局</w:t>
            </w:r>
          </w:p>
        </w:tc>
        <w:tc>
          <w:tcPr>
            <w:tcW w:w="2466" w:type="dxa"/>
            <w:vMerge w:val="continue"/>
          </w:tcPr>
          <w:p>
            <w:pPr>
              <w:pStyle w:val="153"/>
              <w:framePr w:h="778" w:hRule="exact" w:hSpace="181" w:vSpace="181" w:vAnchor="page" w:y="15152"/>
              <w:jc w:val="both"/>
              <w:rPr>
                <w:rFonts w:hint="eastAsia" w:hAnsi="黑体"/>
                <w:sz w:val="28"/>
                <w:szCs w:val="28"/>
              </w:rPr>
            </w:pPr>
          </w:p>
        </w:tc>
      </w:tr>
    </w:tbl>
    <w:p>
      <w:pPr>
        <w:pStyle w:val="153"/>
        <w:framePr w:h="778" w:hRule="exact" w:hSpace="181" w:vSpace="181" w:vAnchor="page" w:y="15152"/>
        <w:jc w:val="both"/>
        <w:rPr>
          <w:rFonts w:hint="eastAsia" w:hAnsi="黑体"/>
          <w:w w:val="100"/>
          <w:sz w:val="28"/>
          <w:szCs w:val="28"/>
        </w:rPr>
      </w:pPr>
    </w:p>
    <w:p>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3360"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3360;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rMxz71wAAAA4BAAAP&#10;AAAAAAAAAAEAIAAAADgAAABkcnMvZG93bnJldi54bWxQSwECFAAUAAAACACHTuJAEc9x0soBAABf&#10;AwAADgAAAAAAAAABACAAAAA8AQAAZHJzL2Uyb0RvYy54bWxQSwUGAAAAAAYABgBZAQAAeAUAAAAA&#10;">
                <v:fill on="f" focussize="0,0"/>
                <v:stroke color="#000000" joinstyle="round"/>
                <v:imagedata o:title=""/>
                <o:lock v:ext="edit" aspectratio="f"/>
                <w10:anchorlock/>
              </v:line>
            </w:pict>
          </mc:Fallback>
        </mc:AlternateContent>
      </w:r>
    </w:p>
    <w:p>
      <w:pPr>
        <w:pStyle w:val="93"/>
        <w:spacing w:after="468"/>
      </w:pPr>
      <w:bookmarkStart w:id="20" w:name="BookMark1"/>
      <w:r>
        <w:rPr>
          <w:spacing w:val="320"/>
        </w:rPr>
        <w:t>目</w:t>
      </w:r>
      <w:r>
        <w:t>次</w:t>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"_Toc237470873" </w:instrText>
      </w:r>
      <w:r>
        <w:fldChar w:fldCharType="separate"/>
      </w:r>
      <w:r>
        <w:rPr>
          <w:rStyle w:val="34"/>
        </w:rPr>
        <w:t>前言</w:t>
      </w:r>
      <w:r>
        <w:rPr>
          <w:rFonts w:hint="eastAsia"/>
        </w:rPr>
        <w:tab/>
      </w:r>
      <w:r>
        <w:rPr>
          <w:rFonts w:hint="eastAsia"/>
        </w:rPr>
        <w:fldChar w:fldCharType="begin"/>
      </w:r>
      <w:r>
        <w:rPr>
          <w:rFonts w:hint="eastAsia"/>
        </w:rPr>
        <w:instrText xml:space="preserve"> </w:instrText>
      </w:r>
      <w:r>
        <w:instrText xml:space="preserve">PAGEREF _Toc237470873 \h</w:instrText>
      </w:r>
      <w:r>
        <w:rPr>
          <w:rFonts w:hint="eastAsia"/>
        </w:rPr>
        <w:instrText xml:space="preserve"> </w:instrText>
      </w:r>
      <w:r>
        <w:rPr>
          <w:rFonts w:hint="eastAsia"/>
        </w:rPr>
        <w:fldChar w:fldCharType="separate"/>
      </w:r>
      <w:r>
        <w:t>IV</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"_Toc237470874" </w:instrText>
      </w:r>
      <w:r>
        <w:fldChar w:fldCharType="separate"/>
      </w:r>
      <w:r>
        <w:rPr>
          <w:rStyle w:val="34"/>
        </w:rPr>
        <w:t>1 范围</w:t>
      </w:r>
      <w:r>
        <w:rPr>
          <w:rFonts w:hint="eastAsia"/>
        </w:rPr>
        <w:tab/>
      </w:r>
      <w:r>
        <w:rPr>
          <w:rFonts w:hint="eastAsia"/>
        </w:rPr>
        <w:fldChar w:fldCharType="begin"/>
      </w:r>
      <w:r>
        <w:rPr>
          <w:rFonts w:hint="eastAsia"/>
        </w:rPr>
        <w:instrText xml:space="preserve"> </w:instrText>
      </w:r>
      <w:r>
        <w:instrText xml:space="preserve">PAGEREF _Toc237470874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"_Toc237470875" </w:instrText>
      </w:r>
      <w:r>
        <w:fldChar w:fldCharType="separate"/>
      </w:r>
      <w:r>
        <w:rPr>
          <w:rStyle w:val="34"/>
        </w:rPr>
        <w:t>2 规范性引用文件</w:t>
      </w:r>
      <w:r>
        <w:rPr>
          <w:rFonts w:hint="eastAsia"/>
        </w:rPr>
        <w:tab/>
      </w:r>
      <w:r>
        <w:rPr>
          <w:rFonts w:hint="eastAsia"/>
        </w:rPr>
        <w:fldChar w:fldCharType="begin"/>
      </w:r>
      <w:r>
        <w:rPr>
          <w:rFonts w:hint="eastAsia"/>
        </w:rPr>
        <w:instrText xml:space="preserve"> </w:instrText>
      </w:r>
      <w:r>
        <w:instrText xml:space="preserve">PAGEREF _Toc237470875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"_Toc237470876" </w:instrText>
      </w:r>
      <w:r>
        <w:fldChar w:fldCharType="separate"/>
      </w:r>
      <w:r>
        <w:rPr>
          <w:rStyle w:val="34"/>
        </w:rPr>
        <w:t>3 术语和定义</w:t>
      </w:r>
      <w:r>
        <w:rPr>
          <w:rFonts w:hint="eastAsia"/>
        </w:rPr>
        <w:tab/>
      </w:r>
      <w:r>
        <w:rPr>
          <w:rFonts w:hint="eastAsia"/>
        </w:rPr>
        <w:fldChar w:fldCharType="begin"/>
      </w:r>
      <w:r>
        <w:rPr>
          <w:rFonts w:hint="eastAsia"/>
        </w:rPr>
        <w:instrText xml:space="preserve"> </w:instrText>
      </w:r>
      <w:r>
        <w:instrText xml:space="preserve">PAGEREF _Toc237470876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"_Toc237470877" </w:instrText>
      </w:r>
      <w:r>
        <w:fldChar w:fldCharType="separate"/>
      </w:r>
      <w:r>
        <w:rPr>
          <w:rStyle w:val="34"/>
        </w:rPr>
        <w:t>4 基本要求</w:t>
      </w:r>
      <w:r>
        <w:rPr>
          <w:rFonts w:hint="eastAsia"/>
        </w:rPr>
        <w:tab/>
      </w:r>
      <w:r>
        <w:rPr>
          <w:rFonts w:hint="eastAsia"/>
        </w:rPr>
        <w:fldChar w:fldCharType="begin"/>
      </w:r>
      <w:r>
        <w:rPr>
          <w:rFonts w:hint="eastAsia"/>
        </w:rPr>
        <w:instrText xml:space="preserve"> </w:instrText>
      </w:r>
      <w:r>
        <w:instrText xml:space="preserve">PAGEREF _Toc237470877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"_Toc237470878" </w:instrText>
      </w:r>
      <w:r>
        <w:fldChar w:fldCharType="separate"/>
      </w:r>
      <w:r>
        <w:rPr>
          <w:rStyle w:val="34"/>
          <w14:scene3d w14:prst="orthographicFront">
            <w14:lightRig w14:rig="threePt" w14:dir="t">
              <w14:rot w14:lat="0" w14:lon="0" w14:rev="0"/>
            </w14:lightRig>
          </w14:scene3d>
        </w:rPr>
        <w:t>4.1</w:t>
      </w:r>
      <w:r>
        <w:rPr>
          <w:rStyle w:val="34"/>
        </w:rPr>
        <w:t xml:space="preserve"> 房产测绘的目的</w:t>
      </w:r>
      <w:r>
        <w:rPr>
          <w:rFonts w:hint="eastAsia"/>
        </w:rPr>
        <w:tab/>
      </w:r>
      <w:r>
        <w:rPr>
          <w:rFonts w:hint="eastAsia"/>
        </w:rPr>
        <w:fldChar w:fldCharType="begin"/>
      </w:r>
      <w:r>
        <w:rPr>
          <w:rFonts w:hint="eastAsia"/>
        </w:rPr>
        <w:instrText xml:space="preserve"> </w:instrText>
      </w:r>
      <w:r>
        <w:instrText xml:space="preserve">PAGEREF _Toc237470878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"_Toc237470879" </w:instrText>
      </w:r>
      <w:r>
        <w:fldChar w:fldCharType="separate"/>
      </w:r>
      <w:r>
        <w:rPr>
          <w:rStyle w:val="34"/>
          <w14:scene3d w14:prst="orthographicFront">
            <w14:lightRig w14:rig="threePt" w14:dir="t">
              <w14:rot w14:lat="0" w14:lon="0" w14:rev="0"/>
            </w14:lightRig>
          </w14:scene3d>
        </w:rPr>
        <w:t>4.2</w:t>
      </w:r>
      <w:r>
        <w:rPr>
          <w:rStyle w:val="34"/>
        </w:rPr>
        <w:t xml:space="preserve"> 房产测绘基本内容</w:t>
      </w:r>
      <w:r>
        <w:rPr>
          <w:rFonts w:hint="eastAsia"/>
        </w:rPr>
        <w:tab/>
      </w:r>
      <w:r>
        <w:rPr>
          <w:rFonts w:hint="eastAsia"/>
        </w:rPr>
        <w:fldChar w:fldCharType="begin"/>
      </w:r>
      <w:r>
        <w:rPr>
          <w:rFonts w:hint="eastAsia"/>
        </w:rPr>
        <w:instrText xml:space="preserve"> </w:instrText>
      </w:r>
      <w:r>
        <w:instrText xml:space="preserve">PAGEREF _Toc237470879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"_Toc237470880" </w:instrText>
      </w:r>
      <w:r>
        <w:fldChar w:fldCharType="separate"/>
      </w:r>
      <w:r>
        <w:rPr>
          <w:rStyle w:val="34"/>
          <w14:scene3d w14:prst="orthographicFront">
            <w14:lightRig w14:rig="threePt" w14:dir="t">
              <w14:rot w14:lat="0" w14:lon="0" w14:rev="0"/>
            </w14:lightRig>
          </w14:scene3d>
        </w:rPr>
        <w:t>4.3</w:t>
      </w:r>
      <w:r>
        <w:rPr>
          <w:rStyle w:val="34"/>
        </w:rPr>
        <w:t xml:space="preserve"> 房产测绘基本流程</w:t>
      </w:r>
      <w:r>
        <w:rPr>
          <w:rFonts w:hint="eastAsia"/>
        </w:rPr>
        <w:tab/>
      </w:r>
      <w:r>
        <w:rPr>
          <w:rFonts w:hint="eastAsia"/>
        </w:rPr>
        <w:fldChar w:fldCharType="begin"/>
      </w:r>
      <w:r>
        <w:rPr>
          <w:rFonts w:hint="eastAsia"/>
        </w:rPr>
        <w:instrText xml:space="preserve"> </w:instrText>
      </w:r>
      <w:r>
        <w:instrText xml:space="preserve">PAGEREF _Toc237470880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"_Toc237470881" </w:instrText>
      </w:r>
      <w:r>
        <w:fldChar w:fldCharType="separate"/>
      </w:r>
      <w:r>
        <w:rPr>
          <w:rStyle w:val="34"/>
          <w14:scene3d w14:prst="orthographicFront">
            <w14:lightRig w14:rig="threePt" w14:dir="t">
              <w14:rot w14:lat="0" w14:lon="0" w14:rev="0"/>
            </w14:lightRig>
          </w14:scene3d>
        </w:rPr>
        <w:t>4.4</w:t>
      </w:r>
      <w:r>
        <w:rPr>
          <w:rStyle w:val="34"/>
        </w:rPr>
        <w:t xml:space="preserve"> 房产测绘的基本精度要求</w:t>
      </w:r>
      <w:r>
        <w:rPr>
          <w:rFonts w:hint="eastAsia"/>
        </w:rPr>
        <w:tab/>
      </w:r>
      <w:r>
        <w:rPr>
          <w:rFonts w:hint="eastAsia"/>
        </w:rPr>
        <w:fldChar w:fldCharType="begin"/>
      </w:r>
      <w:r>
        <w:rPr>
          <w:rFonts w:hint="eastAsia"/>
        </w:rPr>
        <w:instrText xml:space="preserve"> </w:instrText>
      </w:r>
      <w:r>
        <w:instrText xml:space="preserve">PAGEREF _Toc237470881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"_Toc237470882" </w:instrText>
      </w:r>
      <w:r>
        <w:fldChar w:fldCharType="separate"/>
      </w:r>
      <w:r>
        <w:rPr>
          <w:rStyle w:val="34"/>
          <w14:scene3d w14:prst="orthographicFront">
            <w14:lightRig w14:rig="threePt" w14:dir="t">
              <w14:rot w14:lat="0" w14:lon="0" w14:rev="0"/>
            </w14:lightRig>
          </w14:scene3d>
        </w:rPr>
        <w:t>4.5</w:t>
      </w:r>
      <w:r>
        <w:rPr>
          <w:rStyle w:val="34"/>
        </w:rPr>
        <w:t xml:space="preserve"> 测绘基准</w:t>
      </w:r>
      <w:r>
        <w:rPr>
          <w:rFonts w:hint="eastAsia"/>
        </w:rPr>
        <w:tab/>
      </w:r>
      <w:r>
        <w:rPr>
          <w:rFonts w:hint="eastAsia"/>
        </w:rPr>
        <w:fldChar w:fldCharType="begin"/>
      </w:r>
      <w:r>
        <w:rPr>
          <w:rFonts w:hint="eastAsia"/>
        </w:rPr>
        <w:instrText xml:space="preserve"> </w:instrText>
      </w:r>
      <w:r>
        <w:instrText xml:space="preserve">PAGEREF _Toc237470882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"_Toc237470883" </w:instrText>
      </w:r>
      <w:r>
        <w:fldChar w:fldCharType="separate"/>
      </w:r>
      <w:r>
        <w:rPr>
          <w:rStyle w:val="34"/>
        </w:rPr>
        <w:t>5 房产平面控制测量</w:t>
      </w:r>
      <w:r>
        <w:rPr>
          <w:rFonts w:hint="eastAsia"/>
        </w:rPr>
        <w:tab/>
      </w:r>
      <w:r>
        <w:rPr>
          <w:rFonts w:hint="eastAsia"/>
        </w:rPr>
        <w:fldChar w:fldCharType="begin"/>
      </w:r>
      <w:r>
        <w:rPr>
          <w:rFonts w:hint="eastAsia"/>
        </w:rPr>
        <w:instrText xml:space="preserve"> </w:instrText>
      </w:r>
      <w:r>
        <w:instrText xml:space="preserve">PAGEREF _Toc237470883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"_Toc237470884" </w:instrText>
      </w:r>
      <w:r>
        <w:fldChar w:fldCharType="separate"/>
      </w:r>
      <w:r>
        <w:rPr>
          <w:rStyle w:val="34"/>
          <w14:scene3d w14:prst="orthographicFront">
            <w14:lightRig w14:rig="threePt" w14:dir="t">
              <w14:rot w14:lat="0" w14:lon="0" w14:rev="0"/>
            </w14:lightRig>
          </w14:scene3d>
        </w:rPr>
        <w:t>5.1</w:t>
      </w:r>
      <w:r>
        <w:rPr>
          <w:rStyle w:val="34"/>
        </w:rPr>
        <w:t xml:space="preserve"> 一般规定</w:t>
      </w:r>
      <w:r>
        <w:rPr>
          <w:rFonts w:hint="eastAsia"/>
        </w:rPr>
        <w:tab/>
      </w:r>
      <w:r>
        <w:rPr>
          <w:rFonts w:hint="eastAsia"/>
        </w:rPr>
        <w:fldChar w:fldCharType="begin"/>
      </w:r>
      <w:r>
        <w:rPr>
          <w:rFonts w:hint="eastAsia"/>
        </w:rPr>
        <w:instrText xml:space="preserve"> </w:instrText>
      </w:r>
      <w:r>
        <w:instrText xml:space="preserve">PAGEREF _Toc237470884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"_Toc237470885" </w:instrText>
      </w:r>
      <w:r>
        <w:fldChar w:fldCharType="separate"/>
      </w:r>
      <w:r>
        <w:rPr>
          <w:rStyle w:val="34"/>
          <w14:scene3d w14:prst="orthographicFront">
            <w14:lightRig w14:rig="threePt" w14:dir="t">
              <w14:rot w14:lat="0" w14:lon="0" w14:rev="0"/>
            </w14:lightRig>
          </w14:scene3d>
        </w:rPr>
        <w:t>5.2</w:t>
      </w:r>
      <w:r>
        <w:rPr>
          <w:rStyle w:val="34"/>
        </w:rPr>
        <w:t xml:space="preserve"> 已有平面控制网的利用</w:t>
      </w:r>
      <w:r>
        <w:rPr>
          <w:rFonts w:hint="eastAsia"/>
        </w:rPr>
        <w:tab/>
      </w:r>
      <w:r>
        <w:rPr>
          <w:rFonts w:hint="eastAsia"/>
        </w:rPr>
        <w:fldChar w:fldCharType="begin"/>
      </w:r>
      <w:r>
        <w:rPr>
          <w:rFonts w:hint="eastAsia"/>
        </w:rPr>
        <w:instrText xml:space="preserve"> </w:instrText>
      </w:r>
      <w:r>
        <w:instrText xml:space="preserve">PAGEREF _Toc237470885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"_Toc237470886" </w:instrText>
      </w:r>
      <w:r>
        <w:fldChar w:fldCharType="separate"/>
      </w:r>
      <w:r>
        <w:rPr>
          <w:rStyle w:val="34"/>
          <w14:scene3d w14:prst="orthographicFront">
            <w14:lightRig w14:rig="threePt" w14:dir="t">
              <w14:rot w14:lat="0" w14:lon="0" w14:rev="0"/>
            </w14:lightRig>
          </w14:scene3d>
        </w:rPr>
        <w:t>5.3</w:t>
      </w:r>
      <w:r>
        <w:rPr>
          <w:rStyle w:val="34"/>
        </w:rPr>
        <w:t xml:space="preserve"> 房产平面控制测量的方法</w:t>
      </w:r>
      <w:r>
        <w:rPr>
          <w:rFonts w:hint="eastAsia"/>
        </w:rPr>
        <w:tab/>
      </w:r>
      <w:r>
        <w:rPr>
          <w:rFonts w:hint="eastAsia"/>
        </w:rPr>
        <w:fldChar w:fldCharType="begin"/>
      </w:r>
      <w:r>
        <w:rPr>
          <w:rFonts w:hint="eastAsia"/>
        </w:rPr>
        <w:instrText xml:space="preserve"> </w:instrText>
      </w:r>
      <w:r>
        <w:instrText xml:space="preserve">PAGEREF _Toc237470886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"_Toc237470887" </w:instrText>
      </w:r>
      <w:r>
        <w:fldChar w:fldCharType="separate"/>
      </w:r>
      <w:r>
        <w:rPr>
          <w:rStyle w:val="34"/>
          <w14:scene3d w14:prst="orthographicFront">
            <w14:lightRig w14:rig="threePt" w14:dir="t">
              <w14:rot w14:lat="0" w14:lon="0" w14:rev="0"/>
            </w14:lightRig>
          </w14:scene3d>
        </w:rPr>
        <w:t>5.4</w:t>
      </w:r>
      <w:r>
        <w:rPr>
          <w:rStyle w:val="34"/>
        </w:rPr>
        <w:t xml:space="preserve"> 网络RTK测量</w:t>
      </w:r>
      <w:r>
        <w:rPr>
          <w:rFonts w:hint="eastAsia"/>
        </w:rPr>
        <w:tab/>
      </w:r>
      <w:r>
        <w:rPr>
          <w:rFonts w:hint="eastAsia"/>
        </w:rPr>
        <w:fldChar w:fldCharType="begin"/>
      </w:r>
      <w:r>
        <w:rPr>
          <w:rFonts w:hint="eastAsia"/>
        </w:rPr>
        <w:instrText xml:space="preserve"> </w:instrText>
      </w:r>
      <w:r>
        <w:instrText xml:space="preserve">PAGEREF _Toc237470887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"_Toc237470888" </w:instrText>
      </w:r>
      <w:r>
        <w:fldChar w:fldCharType="separate"/>
      </w:r>
      <w:r>
        <w:rPr>
          <w:rStyle w:val="34"/>
        </w:rPr>
        <w:t>6 分幅与分丘测绘</w:t>
      </w:r>
      <w:r>
        <w:rPr>
          <w:rFonts w:hint="eastAsia"/>
        </w:rPr>
        <w:tab/>
      </w:r>
      <w:r>
        <w:rPr>
          <w:rFonts w:hint="eastAsia"/>
        </w:rPr>
        <w:fldChar w:fldCharType="begin"/>
      </w:r>
      <w:r>
        <w:rPr>
          <w:rFonts w:hint="eastAsia"/>
        </w:rPr>
        <w:instrText xml:space="preserve"> </w:instrText>
      </w:r>
      <w:r>
        <w:instrText xml:space="preserve">PAGEREF _Toc237470888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"_Toc237470889" </w:instrText>
      </w:r>
      <w:r>
        <w:fldChar w:fldCharType="separate"/>
      </w:r>
      <w:r>
        <w:rPr>
          <w:rStyle w:val="34"/>
          <w14:scene3d w14:prst="orthographicFront">
            <w14:lightRig w14:rig="threePt" w14:dir="t">
              <w14:rot w14:lat="0" w14:lon="0" w14:rev="0"/>
            </w14:lightRig>
          </w14:scene3d>
        </w:rPr>
        <w:t>6.1</w:t>
      </w:r>
      <w:r>
        <w:rPr>
          <w:rStyle w:val="34"/>
        </w:rPr>
        <w:t xml:space="preserve"> 一般规定</w:t>
      </w:r>
      <w:r>
        <w:rPr>
          <w:rFonts w:hint="eastAsia"/>
        </w:rPr>
        <w:tab/>
      </w:r>
      <w:r>
        <w:rPr>
          <w:rFonts w:hint="eastAsia"/>
        </w:rPr>
        <w:fldChar w:fldCharType="begin"/>
      </w:r>
      <w:r>
        <w:rPr>
          <w:rFonts w:hint="eastAsia"/>
        </w:rPr>
        <w:instrText xml:space="preserve"> </w:instrText>
      </w:r>
      <w:r>
        <w:instrText xml:space="preserve">PAGEREF _Toc237470889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"_Toc237470890" </w:instrText>
      </w:r>
      <w:r>
        <w:fldChar w:fldCharType="separate"/>
      </w:r>
      <w:r>
        <w:rPr>
          <w:rStyle w:val="34"/>
          <w14:scene3d w14:prst="orthographicFront">
            <w14:lightRig w14:rig="threePt" w14:dir="t">
              <w14:rot w14:lat="0" w14:lon="0" w14:rev="0"/>
            </w14:lightRig>
          </w14:scene3d>
        </w:rPr>
        <w:t>6.2</w:t>
      </w:r>
      <w:r>
        <w:rPr>
          <w:rStyle w:val="34"/>
        </w:rPr>
        <w:t xml:space="preserve"> 房产调查</w:t>
      </w:r>
      <w:r>
        <w:rPr>
          <w:rFonts w:hint="eastAsia"/>
        </w:rPr>
        <w:tab/>
      </w:r>
      <w:r>
        <w:rPr>
          <w:rFonts w:hint="eastAsia"/>
        </w:rPr>
        <w:fldChar w:fldCharType="begin"/>
      </w:r>
      <w:r>
        <w:rPr>
          <w:rFonts w:hint="eastAsia"/>
        </w:rPr>
        <w:instrText xml:space="preserve"> </w:instrText>
      </w:r>
      <w:r>
        <w:instrText xml:space="preserve">PAGEREF _Toc237470890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"_Toc237470891" </w:instrText>
      </w:r>
      <w:r>
        <w:fldChar w:fldCharType="separate"/>
      </w:r>
      <w:r>
        <w:rPr>
          <w:rStyle w:val="34"/>
          <w14:scene3d w14:prst="orthographicFront">
            <w14:lightRig w14:rig="threePt" w14:dir="t">
              <w14:rot w14:lat="0" w14:lon="0" w14:rev="0"/>
            </w14:lightRig>
          </w14:scene3d>
        </w:rPr>
        <w:t>6.3</w:t>
      </w:r>
      <w:r>
        <w:rPr>
          <w:rStyle w:val="34"/>
        </w:rPr>
        <w:t xml:space="preserve"> 分幅图测绘</w:t>
      </w:r>
      <w:r>
        <w:rPr>
          <w:rFonts w:hint="eastAsia"/>
        </w:rPr>
        <w:tab/>
      </w:r>
      <w:r>
        <w:rPr>
          <w:rFonts w:hint="eastAsia"/>
        </w:rPr>
        <w:fldChar w:fldCharType="begin"/>
      </w:r>
      <w:r>
        <w:rPr>
          <w:rFonts w:hint="eastAsia"/>
        </w:rPr>
        <w:instrText xml:space="preserve"> </w:instrText>
      </w:r>
      <w:r>
        <w:instrText xml:space="preserve">PAGEREF _Toc237470891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"_Toc237470892" </w:instrText>
      </w:r>
      <w:r>
        <w:fldChar w:fldCharType="separate"/>
      </w:r>
      <w:r>
        <w:rPr>
          <w:rStyle w:val="34"/>
          <w14:scene3d w14:prst="orthographicFront">
            <w14:lightRig w14:rig="threePt" w14:dir="t">
              <w14:rot w14:lat="0" w14:lon="0" w14:rev="0"/>
            </w14:lightRig>
          </w14:scene3d>
        </w:rPr>
        <w:t>6.4</w:t>
      </w:r>
      <w:r>
        <w:rPr>
          <w:rStyle w:val="34"/>
        </w:rPr>
        <w:t xml:space="preserve"> 分丘图测绘</w:t>
      </w:r>
      <w:r>
        <w:rPr>
          <w:rFonts w:hint="eastAsia"/>
        </w:rPr>
        <w:tab/>
      </w:r>
      <w:r>
        <w:rPr>
          <w:rFonts w:hint="eastAsia"/>
        </w:rPr>
        <w:fldChar w:fldCharType="begin"/>
      </w:r>
      <w:r>
        <w:rPr>
          <w:rFonts w:hint="eastAsia"/>
        </w:rPr>
        <w:instrText xml:space="preserve"> </w:instrText>
      </w:r>
      <w:r>
        <w:instrText xml:space="preserve">PAGEREF _Toc237470892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"_Toc237470893" </w:instrText>
      </w:r>
      <w:r>
        <w:fldChar w:fldCharType="separate"/>
      </w:r>
      <w:r>
        <w:rPr>
          <w:rStyle w:val="34"/>
        </w:rPr>
        <w:t>7 分层分户测绘</w:t>
      </w:r>
      <w:r>
        <w:rPr>
          <w:rFonts w:hint="eastAsia"/>
        </w:rPr>
        <w:tab/>
      </w:r>
      <w:r>
        <w:rPr>
          <w:rFonts w:hint="eastAsia"/>
        </w:rPr>
        <w:fldChar w:fldCharType="begin"/>
      </w:r>
      <w:r>
        <w:rPr>
          <w:rFonts w:hint="eastAsia"/>
        </w:rPr>
        <w:instrText xml:space="preserve"> </w:instrText>
      </w:r>
      <w:r>
        <w:instrText xml:space="preserve">PAGEREF _Toc237470893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"_Toc237470894" </w:instrText>
      </w:r>
      <w:r>
        <w:fldChar w:fldCharType="separate"/>
      </w:r>
      <w:r>
        <w:rPr>
          <w:rStyle w:val="34"/>
          <w14:scene3d w14:prst="orthographicFront">
            <w14:lightRig w14:rig="threePt" w14:dir="t">
              <w14:rot w14:lat="0" w14:lon="0" w14:rev="0"/>
            </w14:lightRig>
          </w14:scene3d>
        </w:rPr>
        <w:t>7.1</w:t>
      </w:r>
      <w:r>
        <w:rPr>
          <w:rStyle w:val="34"/>
        </w:rPr>
        <w:t xml:space="preserve"> 一般规定</w:t>
      </w:r>
      <w:r>
        <w:rPr>
          <w:rFonts w:hint="eastAsia"/>
        </w:rPr>
        <w:tab/>
      </w:r>
      <w:r>
        <w:rPr>
          <w:rFonts w:hint="eastAsia"/>
        </w:rPr>
        <w:fldChar w:fldCharType="begin"/>
      </w:r>
      <w:r>
        <w:rPr>
          <w:rFonts w:hint="eastAsia"/>
        </w:rPr>
        <w:instrText xml:space="preserve"> </w:instrText>
      </w:r>
      <w:r>
        <w:instrText xml:space="preserve">PAGEREF _Toc237470894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"_Toc237470895" </w:instrText>
      </w:r>
      <w:r>
        <w:fldChar w:fldCharType="separate"/>
      </w:r>
      <w:r>
        <w:rPr>
          <w:rStyle w:val="34"/>
          <w14:scene3d w14:prst="orthographicFront">
            <w14:lightRig w14:rig="threePt" w14:dir="t">
              <w14:rot w14:lat="0" w14:lon="0" w14:rev="0"/>
            </w14:lightRig>
          </w14:scene3d>
        </w:rPr>
        <w:t>7.2</w:t>
      </w:r>
      <w:r>
        <w:rPr>
          <w:rStyle w:val="34"/>
        </w:rPr>
        <w:t xml:space="preserve"> 房屋幢的划分</w:t>
      </w:r>
      <w:r>
        <w:rPr>
          <w:rFonts w:hint="eastAsia"/>
        </w:rPr>
        <w:tab/>
      </w:r>
      <w:r>
        <w:rPr>
          <w:rFonts w:hint="eastAsia"/>
        </w:rPr>
        <w:fldChar w:fldCharType="begin"/>
      </w:r>
      <w:r>
        <w:rPr>
          <w:rFonts w:hint="eastAsia"/>
        </w:rPr>
        <w:instrText xml:space="preserve"> </w:instrText>
      </w:r>
      <w:r>
        <w:instrText xml:space="preserve">PAGEREF _Toc237470895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"_Toc237470896" </w:instrText>
      </w:r>
      <w:r>
        <w:fldChar w:fldCharType="separate"/>
      </w:r>
      <w:r>
        <w:rPr>
          <w:rStyle w:val="34"/>
          <w14:scene3d w14:prst="orthographicFront">
            <w14:lightRig w14:rig="threePt" w14:dir="t">
              <w14:rot w14:lat="0" w14:lon="0" w14:rev="0"/>
            </w14:lightRig>
          </w14:scene3d>
        </w:rPr>
        <w:t>7.3</w:t>
      </w:r>
      <w:r>
        <w:rPr>
          <w:rStyle w:val="34"/>
        </w:rPr>
        <w:t xml:space="preserve"> 房屋层数和层次的编立</w:t>
      </w:r>
      <w:r>
        <w:rPr>
          <w:rFonts w:hint="eastAsia"/>
        </w:rPr>
        <w:tab/>
      </w:r>
      <w:r>
        <w:rPr>
          <w:rFonts w:hint="eastAsia"/>
        </w:rPr>
        <w:fldChar w:fldCharType="begin"/>
      </w:r>
      <w:r>
        <w:rPr>
          <w:rFonts w:hint="eastAsia"/>
        </w:rPr>
        <w:instrText xml:space="preserve"> </w:instrText>
      </w:r>
      <w:r>
        <w:instrText xml:space="preserve">PAGEREF _Toc237470896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"_Toc237470897" </w:instrText>
      </w:r>
      <w:r>
        <w:fldChar w:fldCharType="separate"/>
      </w:r>
      <w:r>
        <w:rPr>
          <w:rStyle w:val="34"/>
          <w14:scene3d w14:prst="orthographicFront">
            <w14:lightRig w14:rig="threePt" w14:dir="t">
              <w14:rot w14:lat="0" w14:lon="0" w14:rev="0"/>
            </w14:lightRig>
          </w14:scene3d>
        </w:rPr>
        <w:t>7.4</w:t>
      </w:r>
      <w:r>
        <w:rPr>
          <w:rStyle w:val="34"/>
        </w:rPr>
        <w:t xml:space="preserve"> 户的划分、房屋分户界址线的确定</w:t>
      </w:r>
      <w:r>
        <w:rPr>
          <w:rFonts w:hint="eastAsia"/>
        </w:rPr>
        <w:tab/>
      </w:r>
      <w:r>
        <w:rPr>
          <w:rFonts w:hint="eastAsia"/>
        </w:rPr>
        <w:fldChar w:fldCharType="begin"/>
      </w:r>
      <w:r>
        <w:rPr>
          <w:rFonts w:hint="eastAsia"/>
        </w:rPr>
        <w:instrText xml:space="preserve"> </w:instrText>
      </w:r>
      <w:r>
        <w:instrText xml:space="preserve">PAGEREF _Toc237470897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"_Toc237470898" </w:instrText>
      </w:r>
      <w:r>
        <w:fldChar w:fldCharType="separate"/>
      </w:r>
      <w:r>
        <w:rPr>
          <w:rStyle w:val="34"/>
          <w14:scene3d w14:prst="orthographicFront">
            <w14:lightRig w14:rig="threePt" w14:dir="t">
              <w14:rot w14:lat="0" w14:lon="0" w14:rev="0"/>
            </w14:lightRig>
          </w14:scene3d>
        </w:rPr>
        <w:t>7.5</w:t>
      </w:r>
      <w:r>
        <w:rPr>
          <w:rStyle w:val="34"/>
        </w:rPr>
        <w:t xml:space="preserve"> 房屋面积测绘调查</w:t>
      </w:r>
      <w:r>
        <w:rPr>
          <w:rFonts w:hint="eastAsia"/>
        </w:rPr>
        <w:tab/>
      </w:r>
      <w:r>
        <w:rPr>
          <w:rFonts w:hint="eastAsia"/>
        </w:rPr>
        <w:fldChar w:fldCharType="begin"/>
      </w:r>
      <w:r>
        <w:rPr>
          <w:rFonts w:hint="eastAsia"/>
        </w:rPr>
        <w:instrText xml:space="preserve"> </w:instrText>
      </w:r>
      <w:r>
        <w:instrText xml:space="preserve">PAGEREF _Toc237470898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"_Toc237470899" </w:instrText>
      </w:r>
      <w:r>
        <w:fldChar w:fldCharType="separate"/>
      </w:r>
      <w:r>
        <w:rPr>
          <w:rStyle w:val="34"/>
          <w14:scene3d w14:prst="orthographicFront">
            <w14:lightRig w14:rig="threePt" w14:dir="t">
              <w14:rot w14:lat="0" w14:lon="0" w14:rev="0"/>
            </w14:lightRig>
          </w14:scene3d>
        </w:rPr>
        <w:t>7.6</w:t>
      </w:r>
      <w:r>
        <w:rPr>
          <w:rStyle w:val="34"/>
        </w:rPr>
        <w:t xml:space="preserve"> 房屋面积测绘数据采集</w:t>
      </w:r>
      <w:r>
        <w:rPr>
          <w:rFonts w:hint="eastAsia"/>
        </w:rPr>
        <w:tab/>
      </w:r>
      <w:r>
        <w:rPr>
          <w:rFonts w:hint="eastAsia"/>
        </w:rPr>
        <w:fldChar w:fldCharType="begin"/>
      </w:r>
      <w:r>
        <w:rPr>
          <w:rFonts w:hint="eastAsia"/>
        </w:rPr>
        <w:instrText xml:space="preserve"> </w:instrText>
      </w:r>
      <w:r>
        <w:instrText xml:space="preserve">PAGEREF _Toc237470899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"_Toc237470900" </w:instrText>
      </w:r>
      <w:r>
        <w:fldChar w:fldCharType="separate"/>
      </w:r>
      <w:r>
        <w:rPr>
          <w:rStyle w:val="34"/>
          <w14:scene3d w14:prst="orthographicFront">
            <w14:lightRig w14:rig="threePt" w14:dir="t">
              <w14:rot w14:lat="0" w14:lon="0" w14:rev="0"/>
            </w14:lightRig>
          </w14:scene3d>
        </w:rPr>
        <w:t>7.7</w:t>
      </w:r>
      <w:r>
        <w:rPr>
          <w:rStyle w:val="34"/>
        </w:rPr>
        <w:t xml:space="preserve"> 房屋面积测算的方法和要求</w:t>
      </w:r>
      <w:r>
        <w:rPr>
          <w:rFonts w:hint="eastAsia"/>
        </w:rPr>
        <w:tab/>
      </w:r>
      <w:r>
        <w:rPr>
          <w:rFonts w:hint="eastAsia"/>
        </w:rPr>
        <w:fldChar w:fldCharType="begin"/>
      </w:r>
      <w:r>
        <w:rPr>
          <w:rFonts w:hint="eastAsia"/>
        </w:rPr>
        <w:instrText xml:space="preserve"> </w:instrText>
      </w:r>
      <w:r>
        <w:instrText xml:space="preserve">PAGEREF _Toc237470900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"_Toc237470901" </w:instrText>
      </w:r>
      <w:r>
        <w:fldChar w:fldCharType="separate"/>
      </w:r>
      <w:r>
        <w:rPr>
          <w:rStyle w:val="34"/>
        </w:rPr>
        <w:t>8 建筑面积计算规定</w:t>
      </w:r>
      <w:r>
        <w:rPr>
          <w:rFonts w:hint="eastAsia"/>
        </w:rPr>
        <w:tab/>
      </w:r>
      <w:r>
        <w:rPr>
          <w:rFonts w:hint="eastAsia"/>
        </w:rPr>
        <w:fldChar w:fldCharType="begin"/>
      </w:r>
      <w:r>
        <w:rPr>
          <w:rFonts w:hint="eastAsia"/>
        </w:rPr>
        <w:instrText xml:space="preserve"> </w:instrText>
      </w:r>
      <w:r>
        <w:instrText xml:space="preserve">PAGEREF _Toc237470901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"_Toc237470902" </w:instrText>
      </w:r>
      <w:r>
        <w:fldChar w:fldCharType="separate"/>
      </w:r>
      <w:r>
        <w:rPr>
          <w:rStyle w:val="34"/>
          <w14:scene3d w14:prst="orthographicFront">
            <w14:lightRig w14:rig="threePt" w14:dir="t">
              <w14:rot w14:lat="0" w14:lon="0" w14:rev="0"/>
            </w14:lightRig>
          </w14:scene3d>
        </w:rPr>
        <w:t>8.1</w:t>
      </w:r>
      <w:r>
        <w:rPr>
          <w:rStyle w:val="34"/>
        </w:rPr>
        <w:t xml:space="preserve"> 房屋建筑面积的计算</w:t>
      </w:r>
      <w:r>
        <w:rPr>
          <w:rFonts w:hint="eastAsia"/>
        </w:rPr>
        <w:tab/>
      </w:r>
      <w:r>
        <w:rPr>
          <w:rFonts w:hint="eastAsia"/>
        </w:rPr>
        <w:fldChar w:fldCharType="begin"/>
      </w:r>
      <w:r>
        <w:rPr>
          <w:rFonts w:hint="eastAsia"/>
        </w:rPr>
        <w:instrText xml:space="preserve"> </w:instrText>
      </w:r>
      <w:r>
        <w:instrText xml:space="preserve">PAGEREF _Toc237470902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"_Toc237470903" </w:instrText>
      </w:r>
      <w:r>
        <w:fldChar w:fldCharType="separate"/>
      </w:r>
      <w:r>
        <w:rPr>
          <w:rStyle w:val="34"/>
          <w14:scene3d w14:prst="orthographicFront">
            <w14:lightRig w14:rig="threePt" w14:dir="t">
              <w14:rot w14:lat="0" w14:lon="0" w14:rev="0"/>
            </w14:lightRig>
          </w14:scene3d>
        </w:rPr>
        <w:t>8.2</w:t>
      </w:r>
      <w:r>
        <w:rPr>
          <w:rStyle w:val="34"/>
        </w:rPr>
        <w:t xml:space="preserve"> 房屋建筑面积计算一般规定</w:t>
      </w:r>
      <w:r>
        <w:rPr>
          <w:rFonts w:hint="eastAsia"/>
        </w:rPr>
        <w:tab/>
      </w:r>
      <w:r>
        <w:rPr>
          <w:rFonts w:hint="eastAsia"/>
        </w:rPr>
        <w:fldChar w:fldCharType="begin"/>
      </w:r>
      <w:r>
        <w:rPr>
          <w:rFonts w:hint="eastAsia"/>
        </w:rPr>
        <w:instrText xml:space="preserve"> </w:instrText>
      </w:r>
      <w:r>
        <w:instrText xml:space="preserve">PAGEREF _Toc237470903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"_Toc237470904" </w:instrText>
      </w:r>
      <w:r>
        <w:fldChar w:fldCharType="separate"/>
      </w:r>
      <w:r>
        <w:rPr>
          <w:rStyle w:val="34"/>
          <w14:scene3d w14:prst="orthographicFront">
            <w14:lightRig w14:rig="threePt" w14:dir="t">
              <w14:rot w14:lat="0" w14:lon="0" w14:rev="0"/>
            </w14:lightRig>
          </w14:scene3d>
        </w:rPr>
        <w:t>8.3</w:t>
      </w:r>
      <w:r>
        <w:rPr>
          <w:rStyle w:val="34"/>
        </w:rPr>
        <w:t xml:space="preserve"> 建筑面积计算细则</w:t>
      </w:r>
      <w:r>
        <w:rPr>
          <w:rFonts w:hint="eastAsia"/>
        </w:rPr>
        <w:tab/>
      </w:r>
      <w:r>
        <w:rPr>
          <w:rFonts w:hint="eastAsia"/>
        </w:rPr>
        <w:fldChar w:fldCharType="begin"/>
      </w:r>
      <w:r>
        <w:rPr>
          <w:rFonts w:hint="eastAsia"/>
        </w:rPr>
        <w:instrText xml:space="preserve"> </w:instrText>
      </w:r>
      <w:r>
        <w:instrText xml:space="preserve">PAGEREF _Toc237470904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"_Toc237470905" </w:instrText>
      </w:r>
      <w:r>
        <w:fldChar w:fldCharType="separate"/>
      </w:r>
      <w:r>
        <w:rPr>
          <w:rStyle w:val="34"/>
        </w:rPr>
        <w:t>9 共有建筑面积分摊规则</w:t>
      </w:r>
      <w:r>
        <w:rPr>
          <w:rFonts w:hint="eastAsia"/>
        </w:rPr>
        <w:tab/>
      </w:r>
      <w:r>
        <w:rPr>
          <w:rFonts w:hint="eastAsia"/>
        </w:rPr>
        <w:fldChar w:fldCharType="begin"/>
      </w:r>
      <w:r>
        <w:rPr>
          <w:rFonts w:hint="eastAsia"/>
        </w:rPr>
        <w:instrText xml:space="preserve"> </w:instrText>
      </w:r>
      <w:r>
        <w:instrText xml:space="preserve">PAGEREF _Toc237470905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"_Toc237470906" </w:instrText>
      </w:r>
      <w:r>
        <w:fldChar w:fldCharType="separate"/>
      </w:r>
      <w:r>
        <w:rPr>
          <w:rStyle w:val="34"/>
          <w14:scene3d w14:prst="orthographicFront">
            <w14:lightRig w14:rig="threePt" w14:dir="t">
              <w14:rot w14:lat="0" w14:lon="0" w14:rev="0"/>
            </w14:lightRig>
          </w14:scene3d>
        </w:rPr>
        <w:t>9.1</w:t>
      </w:r>
      <w:r>
        <w:rPr>
          <w:rStyle w:val="34"/>
        </w:rPr>
        <w:t xml:space="preserve"> 共有建筑面积的内容</w:t>
      </w:r>
      <w:r>
        <w:rPr>
          <w:rFonts w:hint="eastAsia"/>
        </w:rPr>
        <w:tab/>
      </w:r>
      <w:r>
        <w:rPr>
          <w:rFonts w:hint="eastAsia"/>
        </w:rPr>
        <w:fldChar w:fldCharType="begin"/>
      </w:r>
      <w:r>
        <w:rPr>
          <w:rFonts w:hint="eastAsia"/>
        </w:rPr>
        <w:instrText xml:space="preserve"> </w:instrText>
      </w:r>
      <w:r>
        <w:instrText xml:space="preserve">PAGEREF _Toc237470906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"_Toc237470907" </w:instrText>
      </w:r>
      <w:r>
        <w:fldChar w:fldCharType="separate"/>
      </w:r>
      <w:r>
        <w:rPr>
          <w:rStyle w:val="34"/>
          <w14:scene3d w14:prst="orthographicFront">
            <w14:lightRig w14:rig="threePt" w14:dir="t">
              <w14:rot w14:lat="0" w14:lon="0" w14:rev="0"/>
            </w14:lightRig>
          </w14:scene3d>
        </w:rPr>
        <w:t>9.2</w:t>
      </w:r>
      <w:r>
        <w:rPr>
          <w:rStyle w:val="34"/>
        </w:rPr>
        <w:t xml:space="preserve"> 共有建筑面积的分摊原则</w:t>
      </w:r>
      <w:r>
        <w:rPr>
          <w:rFonts w:hint="eastAsia"/>
        </w:rPr>
        <w:tab/>
      </w:r>
      <w:r>
        <w:rPr>
          <w:rFonts w:hint="eastAsia"/>
        </w:rPr>
        <w:fldChar w:fldCharType="begin"/>
      </w:r>
      <w:r>
        <w:rPr>
          <w:rFonts w:hint="eastAsia"/>
        </w:rPr>
        <w:instrText xml:space="preserve"> </w:instrText>
      </w:r>
      <w:r>
        <w:instrText xml:space="preserve">PAGEREF _Toc237470907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"_Toc237470908" </w:instrText>
      </w:r>
      <w:r>
        <w:fldChar w:fldCharType="separate"/>
      </w:r>
      <w:r>
        <w:rPr>
          <w:rStyle w:val="34"/>
          <w14:scene3d w14:prst="orthographicFront">
            <w14:lightRig w14:rig="threePt" w14:dir="t">
              <w14:rot w14:lat="0" w14:lon="0" w14:rev="0"/>
            </w14:lightRig>
          </w14:scene3d>
        </w:rPr>
        <w:t>9.3</w:t>
      </w:r>
      <w:r>
        <w:rPr>
          <w:rStyle w:val="34"/>
        </w:rPr>
        <w:t xml:space="preserve"> 共有建筑面积按比例分摊的计算公式</w:t>
      </w:r>
      <w:r>
        <w:rPr>
          <w:rFonts w:hint="eastAsia"/>
        </w:rPr>
        <w:tab/>
      </w:r>
      <w:r>
        <w:rPr>
          <w:rFonts w:hint="eastAsia"/>
        </w:rPr>
        <w:fldChar w:fldCharType="begin"/>
      </w:r>
      <w:r>
        <w:rPr>
          <w:rFonts w:hint="eastAsia"/>
        </w:rPr>
        <w:instrText xml:space="preserve"> </w:instrText>
      </w:r>
      <w:r>
        <w:instrText xml:space="preserve">PAGEREF _Toc237470908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"_Toc237470909" </w:instrText>
      </w:r>
      <w:r>
        <w:fldChar w:fldCharType="separate"/>
      </w:r>
      <w:r>
        <w:rPr>
          <w:rStyle w:val="34"/>
          <w14:scene3d w14:prst="orthographicFront">
            <w14:lightRig w14:rig="threePt" w14:dir="t">
              <w14:rot w14:lat="0" w14:lon="0" w14:rev="0"/>
            </w14:lightRig>
          </w14:scene3d>
        </w:rPr>
        <w:t>9.4</w:t>
      </w:r>
      <w:r>
        <w:rPr>
          <w:rStyle w:val="34"/>
        </w:rPr>
        <w:t xml:space="preserve"> 共有部位的确认</w:t>
      </w:r>
      <w:r>
        <w:rPr>
          <w:rFonts w:hint="eastAsia"/>
        </w:rPr>
        <w:tab/>
      </w:r>
      <w:r>
        <w:rPr>
          <w:rFonts w:hint="eastAsia"/>
        </w:rPr>
        <w:fldChar w:fldCharType="begin"/>
      </w:r>
      <w:r>
        <w:rPr>
          <w:rFonts w:hint="eastAsia"/>
        </w:rPr>
        <w:instrText xml:space="preserve"> </w:instrText>
      </w:r>
      <w:r>
        <w:instrText xml:space="preserve">PAGEREF _Toc237470909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"_Toc237470910" </w:instrText>
      </w:r>
      <w:r>
        <w:fldChar w:fldCharType="separate"/>
      </w:r>
      <w:r>
        <w:rPr>
          <w:rStyle w:val="34"/>
          <w14:scene3d w14:prst="orthographicFront">
            <w14:lightRig w14:rig="threePt" w14:dir="t">
              <w14:rot w14:lat="0" w14:lon="0" w14:rev="0"/>
            </w14:lightRig>
          </w14:scene3d>
        </w:rPr>
        <w:t>9.5</w:t>
      </w:r>
      <w:r>
        <w:rPr>
          <w:rStyle w:val="34"/>
        </w:rPr>
        <w:t xml:space="preserve"> 分摊方法的确定</w:t>
      </w:r>
      <w:r>
        <w:rPr>
          <w:rFonts w:hint="eastAsia"/>
        </w:rPr>
        <w:tab/>
      </w:r>
      <w:r>
        <w:rPr>
          <w:rFonts w:hint="eastAsia"/>
        </w:rPr>
        <w:fldChar w:fldCharType="begin"/>
      </w:r>
      <w:r>
        <w:rPr>
          <w:rFonts w:hint="eastAsia"/>
        </w:rPr>
        <w:instrText xml:space="preserve"> </w:instrText>
      </w:r>
      <w:r>
        <w:instrText xml:space="preserve">PAGEREF _Toc237470910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"_Toc237470911" </w:instrText>
      </w:r>
      <w:r>
        <w:fldChar w:fldCharType="separate"/>
      </w:r>
      <w:r>
        <w:rPr>
          <w:rStyle w:val="34"/>
          <w14:scene3d w14:prst="orthographicFront">
            <w14:lightRig w14:rig="threePt" w14:dir="t">
              <w14:rot w14:lat="0" w14:lon="0" w14:rev="0"/>
            </w14:lightRig>
          </w14:scene3d>
        </w:rPr>
        <w:t>9.6</w:t>
      </w:r>
      <w:r>
        <w:rPr>
          <w:rStyle w:val="34"/>
        </w:rPr>
        <w:t xml:space="preserve"> 参与分摊区域的划分</w:t>
      </w:r>
      <w:r>
        <w:rPr>
          <w:rFonts w:hint="eastAsia"/>
        </w:rPr>
        <w:tab/>
      </w:r>
      <w:r>
        <w:rPr>
          <w:rFonts w:hint="eastAsia"/>
        </w:rPr>
        <w:fldChar w:fldCharType="begin"/>
      </w:r>
      <w:r>
        <w:rPr>
          <w:rFonts w:hint="eastAsia"/>
        </w:rPr>
        <w:instrText xml:space="preserve"> </w:instrText>
      </w:r>
      <w:r>
        <w:instrText xml:space="preserve">PAGEREF _Toc237470911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"_Toc237470912" </w:instrText>
      </w:r>
      <w:r>
        <w:fldChar w:fldCharType="separate"/>
      </w:r>
      <w:r>
        <w:rPr>
          <w:rStyle w:val="34"/>
          <w14:scene3d w14:prst="orthographicFront">
            <w14:lightRig w14:rig="threePt" w14:dir="t">
              <w14:rot w14:lat="0" w14:lon="0" w14:rev="0"/>
            </w14:lightRig>
          </w14:scene3d>
        </w:rPr>
        <w:t>9.7</w:t>
      </w:r>
      <w:r>
        <w:rPr>
          <w:rStyle w:val="34"/>
        </w:rPr>
        <w:t xml:space="preserve"> 共有建筑面积分摊方法</w:t>
      </w:r>
      <w:r>
        <w:rPr>
          <w:rFonts w:hint="eastAsia"/>
        </w:rPr>
        <w:tab/>
      </w:r>
      <w:r>
        <w:rPr>
          <w:rFonts w:hint="eastAsia"/>
        </w:rPr>
        <w:fldChar w:fldCharType="begin"/>
      </w:r>
      <w:r>
        <w:rPr>
          <w:rFonts w:hint="eastAsia"/>
        </w:rPr>
        <w:instrText xml:space="preserve"> </w:instrText>
      </w:r>
      <w:r>
        <w:instrText xml:space="preserve">PAGEREF _Toc237470912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"_Toc237470913" </w:instrText>
      </w:r>
      <w:r>
        <w:fldChar w:fldCharType="separate"/>
      </w:r>
      <w:r>
        <w:rPr>
          <w:rStyle w:val="34"/>
          <w14:scene3d w14:prst="orthographicFront">
            <w14:lightRig w14:rig="threePt" w14:dir="t">
              <w14:rot w14:lat="0" w14:lon="0" w14:rev="0"/>
            </w14:lightRig>
          </w14:scene3d>
        </w:rPr>
        <w:t>9.8</w:t>
      </w:r>
      <w:r>
        <w:rPr>
          <w:rStyle w:val="34"/>
        </w:rPr>
        <w:t xml:space="preserve"> 共有建筑面积的处理细则</w:t>
      </w:r>
      <w:r>
        <w:rPr>
          <w:rFonts w:hint="eastAsia"/>
        </w:rPr>
        <w:tab/>
      </w:r>
      <w:r>
        <w:rPr>
          <w:rFonts w:hint="eastAsia"/>
        </w:rPr>
        <w:fldChar w:fldCharType="begin"/>
      </w:r>
      <w:r>
        <w:rPr>
          <w:rFonts w:hint="eastAsia"/>
        </w:rPr>
        <w:instrText xml:space="preserve"> </w:instrText>
      </w:r>
      <w:r>
        <w:instrText xml:space="preserve">PAGEREF _Toc237470913 \h</w:instrText>
      </w:r>
      <w:r>
        <w:rPr>
          <w:rFonts w:hint="eastAsia"/>
        </w:rPr>
        <w:instrText xml:space="preserve"> </w:instrText>
      </w:r>
      <w:r>
        <w:rPr>
          <w:rFonts w:hint="eastAsia"/>
        </w:rPr>
        <w:fldChar w:fldCharType="separate"/>
      </w:r>
      <w:r>
        <w:t>36</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"_Toc237470914" </w:instrText>
      </w:r>
      <w:r>
        <w:fldChar w:fldCharType="separate"/>
      </w:r>
      <w:r>
        <w:rPr>
          <w:rStyle w:val="34"/>
        </w:rPr>
        <w:t>10 房产变更测绘</w:t>
      </w:r>
      <w:r>
        <w:rPr>
          <w:rFonts w:hint="eastAsia"/>
        </w:rPr>
        <w:tab/>
      </w:r>
      <w:r>
        <w:rPr>
          <w:rFonts w:hint="eastAsia"/>
        </w:rPr>
        <w:fldChar w:fldCharType="begin"/>
      </w:r>
      <w:r>
        <w:rPr>
          <w:rFonts w:hint="eastAsia"/>
        </w:rPr>
        <w:instrText xml:space="preserve"> </w:instrText>
      </w:r>
      <w:r>
        <w:instrText xml:space="preserve">PAGEREF _Toc237470914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"_Toc237470915" </w:instrText>
      </w:r>
      <w:r>
        <w:fldChar w:fldCharType="separate"/>
      </w:r>
      <w:r>
        <w:rPr>
          <w:rStyle w:val="34"/>
          <w14:scene3d w14:prst="orthographicFront">
            <w14:lightRig w14:rig="threePt" w14:dir="t">
              <w14:rot w14:lat="0" w14:lon="0" w14:rev="0"/>
            </w14:lightRig>
          </w14:scene3d>
        </w:rPr>
        <w:t>10.1</w:t>
      </w:r>
      <w:r>
        <w:rPr>
          <w:rStyle w:val="34"/>
        </w:rPr>
        <w:t xml:space="preserve"> 变更测绘的内容</w:t>
      </w:r>
      <w:r>
        <w:rPr>
          <w:rFonts w:hint="eastAsia"/>
        </w:rPr>
        <w:tab/>
      </w:r>
      <w:r>
        <w:rPr>
          <w:rFonts w:hint="eastAsia"/>
        </w:rPr>
        <w:fldChar w:fldCharType="begin"/>
      </w:r>
      <w:r>
        <w:rPr>
          <w:rFonts w:hint="eastAsia"/>
        </w:rPr>
        <w:instrText xml:space="preserve"> </w:instrText>
      </w:r>
      <w:r>
        <w:instrText xml:space="preserve">PAGEREF _Toc237470915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"_Toc237470916" </w:instrText>
      </w:r>
      <w:r>
        <w:fldChar w:fldCharType="separate"/>
      </w:r>
      <w:r>
        <w:rPr>
          <w:rStyle w:val="34"/>
          <w14:scene3d w14:prst="orthographicFront">
            <w14:lightRig w14:rig="threePt" w14:dir="t">
              <w14:rot w14:lat="0" w14:lon="0" w14:rev="0"/>
            </w14:lightRig>
          </w14:scene3d>
        </w:rPr>
        <w:t>10.2</w:t>
      </w:r>
      <w:r>
        <w:rPr>
          <w:rStyle w:val="34"/>
        </w:rPr>
        <w:t xml:space="preserve"> 变更测绘的程序</w:t>
      </w:r>
      <w:r>
        <w:rPr>
          <w:rFonts w:hint="eastAsia"/>
        </w:rPr>
        <w:tab/>
      </w:r>
      <w:r>
        <w:rPr>
          <w:rFonts w:hint="eastAsia"/>
        </w:rPr>
        <w:fldChar w:fldCharType="begin"/>
      </w:r>
      <w:r>
        <w:rPr>
          <w:rFonts w:hint="eastAsia"/>
        </w:rPr>
        <w:instrText xml:space="preserve"> </w:instrText>
      </w:r>
      <w:r>
        <w:instrText xml:space="preserve">PAGEREF _Toc237470916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"_Toc237470917" </w:instrText>
      </w:r>
      <w:r>
        <w:fldChar w:fldCharType="separate"/>
      </w:r>
      <w:r>
        <w:rPr>
          <w:rStyle w:val="34"/>
          <w14:scene3d w14:prst="orthographicFront">
            <w14:lightRig w14:rig="threePt" w14:dir="t">
              <w14:rot w14:lat="0" w14:lon="0" w14:rev="0"/>
            </w14:lightRig>
          </w14:scene3d>
        </w:rPr>
        <w:t>10.3</w:t>
      </w:r>
      <w:r>
        <w:rPr>
          <w:rStyle w:val="34"/>
        </w:rPr>
        <w:t xml:space="preserve"> 变更测绘的方法</w:t>
      </w:r>
      <w:r>
        <w:rPr>
          <w:rFonts w:hint="eastAsia"/>
        </w:rPr>
        <w:tab/>
      </w:r>
      <w:r>
        <w:rPr>
          <w:rFonts w:hint="eastAsia"/>
        </w:rPr>
        <w:fldChar w:fldCharType="begin"/>
      </w:r>
      <w:r>
        <w:rPr>
          <w:rFonts w:hint="eastAsia"/>
        </w:rPr>
        <w:instrText xml:space="preserve"> </w:instrText>
      </w:r>
      <w:r>
        <w:instrText xml:space="preserve">PAGEREF _Toc237470917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"_Toc237470918" </w:instrText>
      </w:r>
      <w:r>
        <w:fldChar w:fldCharType="separate"/>
      </w:r>
      <w:r>
        <w:rPr>
          <w:rStyle w:val="34"/>
          <w14:scene3d w14:prst="orthographicFront">
            <w14:lightRig w14:rig="threePt" w14:dir="t">
              <w14:rot w14:lat="0" w14:lon="0" w14:rev="0"/>
            </w14:lightRig>
          </w14:scene3d>
        </w:rPr>
        <w:t>10.4</w:t>
      </w:r>
      <w:r>
        <w:rPr>
          <w:rStyle w:val="34"/>
        </w:rPr>
        <w:t xml:space="preserve"> 变更测绘的要求</w:t>
      </w:r>
      <w:r>
        <w:rPr>
          <w:rFonts w:hint="eastAsia"/>
        </w:rPr>
        <w:tab/>
      </w:r>
      <w:r>
        <w:rPr>
          <w:rFonts w:hint="eastAsia"/>
        </w:rPr>
        <w:fldChar w:fldCharType="begin"/>
      </w:r>
      <w:r>
        <w:rPr>
          <w:rFonts w:hint="eastAsia"/>
        </w:rPr>
        <w:instrText xml:space="preserve"> </w:instrText>
      </w:r>
      <w:r>
        <w:instrText xml:space="preserve">PAGEREF _Toc237470918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"_Toc237470919" </w:instrText>
      </w:r>
      <w:r>
        <w:fldChar w:fldCharType="separate"/>
      </w:r>
      <w:r>
        <w:rPr>
          <w:rStyle w:val="34"/>
        </w:rPr>
        <w:t>11 成果资料的检查、验收和归档</w:t>
      </w:r>
      <w:r>
        <w:rPr>
          <w:rFonts w:hint="eastAsia"/>
        </w:rPr>
        <w:tab/>
      </w:r>
      <w:r>
        <w:rPr>
          <w:rFonts w:hint="eastAsia"/>
        </w:rPr>
        <w:fldChar w:fldCharType="begin"/>
      </w:r>
      <w:r>
        <w:rPr>
          <w:rFonts w:hint="eastAsia"/>
        </w:rPr>
        <w:instrText xml:space="preserve"> </w:instrText>
      </w:r>
      <w:r>
        <w:instrText xml:space="preserve">PAGEREF _Toc237470919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"_Toc237470920" </w:instrText>
      </w:r>
      <w:r>
        <w:fldChar w:fldCharType="separate"/>
      </w:r>
      <w:r>
        <w:rPr>
          <w:rStyle w:val="34"/>
          <w14:scene3d w14:prst="orthographicFront">
            <w14:lightRig w14:rig="threePt" w14:dir="t">
              <w14:rot w14:lat="0" w14:lon="0" w14:rev="0"/>
            </w14:lightRig>
          </w14:scene3d>
        </w:rPr>
        <w:t>11.1</w:t>
      </w:r>
      <w:r>
        <w:rPr>
          <w:rStyle w:val="34"/>
        </w:rPr>
        <w:t xml:space="preserve"> 检查验收一般规定</w:t>
      </w:r>
      <w:r>
        <w:rPr>
          <w:rFonts w:hint="eastAsia"/>
        </w:rPr>
        <w:tab/>
      </w:r>
      <w:r>
        <w:rPr>
          <w:rFonts w:hint="eastAsia"/>
        </w:rPr>
        <w:fldChar w:fldCharType="begin"/>
      </w:r>
      <w:r>
        <w:rPr>
          <w:rFonts w:hint="eastAsia"/>
        </w:rPr>
        <w:instrText xml:space="preserve"> </w:instrText>
      </w:r>
      <w:r>
        <w:instrText xml:space="preserve">PAGEREF _Toc237470920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"_Toc237470921" </w:instrText>
      </w:r>
      <w:r>
        <w:fldChar w:fldCharType="separate"/>
      </w:r>
      <w:r>
        <w:rPr>
          <w:rStyle w:val="34"/>
          <w14:scene3d w14:prst="orthographicFront">
            <w14:lightRig w14:rig="threePt" w14:dir="t">
              <w14:rot w14:lat="0" w14:lon="0" w14:rev="0"/>
            </w14:lightRig>
          </w14:scene3d>
        </w:rPr>
        <w:t>11.2</w:t>
      </w:r>
      <w:r>
        <w:rPr>
          <w:rStyle w:val="34"/>
        </w:rPr>
        <w:t xml:space="preserve"> 平面控制测量检查验收</w:t>
      </w:r>
      <w:r>
        <w:rPr>
          <w:rFonts w:hint="eastAsia"/>
        </w:rPr>
        <w:tab/>
      </w:r>
      <w:r>
        <w:rPr>
          <w:rFonts w:hint="eastAsia"/>
        </w:rPr>
        <w:fldChar w:fldCharType="begin"/>
      </w:r>
      <w:r>
        <w:rPr>
          <w:rFonts w:hint="eastAsia"/>
        </w:rPr>
        <w:instrText xml:space="preserve"> </w:instrText>
      </w:r>
      <w:r>
        <w:instrText xml:space="preserve">PAGEREF _Toc237470921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"_Toc237470922" </w:instrText>
      </w:r>
      <w:r>
        <w:fldChar w:fldCharType="separate"/>
      </w:r>
      <w:r>
        <w:rPr>
          <w:rStyle w:val="34"/>
          <w14:scene3d w14:prst="orthographicFront">
            <w14:lightRig w14:rig="threePt" w14:dir="t">
              <w14:rot w14:lat="0" w14:lon="0" w14:rev="0"/>
            </w14:lightRig>
          </w14:scene3d>
        </w:rPr>
        <w:t>11.3</w:t>
      </w:r>
      <w:r>
        <w:rPr>
          <w:rStyle w:val="34"/>
        </w:rPr>
        <w:t xml:space="preserve"> 房产要素测量检查验收</w:t>
      </w:r>
      <w:r>
        <w:rPr>
          <w:rFonts w:hint="eastAsia"/>
        </w:rPr>
        <w:tab/>
      </w:r>
      <w:r>
        <w:rPr>
          <w:rFonts w:hint="eastAsia"/>
        </w:rPr>
        <w:fldChar w:fldCharType="begin"/>
      </w:r>
      <w:r>
        <w:rPr>
          <w:rFonts w:hint="eastAsia"/>
        </w:rPr>
        <w:instrText xml:space="preserve"> </w:instrText>
      </w:r>
      <w:r>
        <w:instrText xml:space="preserve">PAGEREF _Toc237470922 \h</w:instrText>
      </w:r>
      <w:r>
        <w:rPr>
          <w:rFonts w:hint="eastAsia"/>
        </w:rPr>
        <w:instrText xml:space="preserve"> </w:instrText>
      </w:r>
      <w:r>
        <w:rPr>
          <w:rFonts w:hint="eastAsia"/>
        </w:rPr>
        <w:fldChar w:fldCharType="separate"/>
      </w:r>
      <w:r>
        <w:t>40</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"_Toc237470923" </w:instrText>
      </w:r>
      <w:r>
        <w:fldChar w:fldCharType="separate"/>
      </w:r>
      <w:r>
        <w:rPr>
          <w:rStyle w:val="34"/>
          <w14:scene3d w14:prst="orthographicFront">
            <w14:lightRig w14:rig="threePt" w14:dir="t">
              <w14:rot w14:lat="0" w14:lon="0" w14:rev="0"/>
            </w14:lightRig>
          </w14:scene3d>
        </w:rPr>
        <w:t>11.4</w:t>
      </w:r>
      <w:r>
        <w:rPr>
          <w:rStyle w:val="34"/>
        </w:rPr>
        <w:t xml:space="preserve"> 房产分幅图检查验收</w:t>
      </w:r>
      <w:r>
        <w:rPr>
          <w:rFonts w:hint="eastAsia"/>
        </w:rPr>
        <w:tab/>
      </w:r>
      <w:r>
        <w:rPr>
          <w:rFonts w:hint="eastAsia"/>
        </w:rPr>
        <w:fldChar w:fldCharType="begin"/>
      </w:r>
      <w:r>
        <w:rPr>
          <w:rFonts w:hint="eastAsia"/>
        </w:rPr>
        <w:instrText xml:space="preserve"> </w:instrText>
      </w:r>
      <w:r>
        <w:instrText xml:space="preserve">PAGEREF _Toc237470923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"_Toc237470924" </w:instrText>
      </w:r>
      <w:r>
        <w:fldChar w:fldCharType="separate"/>
      </w:r>
      <w:r>
        <w:rPr>
          <w:rStyle w:val="34"/>
          <w14:scene3d w14:prst="orthographicFront">
            <w14:lightRig w14:rig="threePt" w14:dir="t">
              <w14:rot w14:lat="0" w14:lon="0" w14:rev="0"/>
            </w14:lightRig>
          </w14:scene3d>
        </w:rPr>
        <w:t>11.5</w:t>
      </w:r>
      <w:r>
        <w:rPr>
          <w:rStyle w:val="34"/>
        </w:rPr>
        <w:t xml:space="preserve"> 房产分丘图检查验收</w:t>
      </w:r>
      <w:r>
        <w:rPr>
          <w:rFonts w:hint="eastAsia"/>
        </w:rPr>
        <w:tab/>
      </w:r>
      <w:r>
        <w:rPr>
          <w:rFonts w:hint="eastAsia"/>
        </w:rPr>
        <w:fldChar w:fldCharType="begin"/>
      </w:r>
      <w:r>
        <w:rPr>
          <w:rFonts w:hint="eastAsia"/>
        </w:rPr>
        <w:instrText xml:space="preserve"> </w:instrText>
      </w:r>
      <w:r>
        <w:instrText xml:space="preserve">PAGEREF _Toc237470924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"_Toc237470925" </w:instrText>
      </w:r>
      <w:r>
        <w:fldChar w:fldCharType="separate"/>
      </w:r>
      <w:r>
        <w:rPr>
          <w:rStyle w:val="34"/>
          <w14:scene3d w14:prst="orthographicFront">
            <w14:lightRig w14:rig="threePt" w14:dir="t">
              <w14:rot w14:lat="0" w14:lon="0" w14:rev="0"/>
            </w14:lightRig>
          </w14:scene3d>
        </w:rPr>
        <w:t>11.6</w:t>
      </w:r>
      <w:r>
        <w:rPr>
          <w:rStyle w:val="34"/>
        </w:rPr>
        <w:t xml:space="preserve"> 房产分层、分户图及房屋面积测算检查验收</w:t>
      </w:r>
      <w:r>
        <w:rPr>
          <w:rFonts w:hint="eastAsia"/>
        </w:rPr>
        <w:tab/>
      </w:r>
      <w:r>
        <w:rPr>
          <w:rFonts w:hint="eastAsia"/>
        </w:rPr>
        <w:fldChar w:fldCharType="begin"/>
      </w:r>
      <w:r>
        <w:rPr>
          <w:rFonts w:hint="eastAsia"/>
        </w:rPr>
        <w:instrText xml:space="preserve"> </w:instrText>
      </w:r>
      <w:r>
        <w:instrText xml:space="preserve">PAGEREF _Toc237470925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"_Toc237470926" </w:instrText>
      </w:r>
      <w:r>
        <w:fldChar w:fldCharType="separate"/>
      </w:r>
      <w:r>
        <w:rPr>
          <w:rStyle w:val="34"/>
          <w14:scene3d w14:prst="orthographicFront">
            <w14:lightRig w14:rig="threePt" w14:dir="t">
              <w14:rot w14:lat="0" w14:lon="0" w14:rev="0"/>
            </w14:lightRig>
          </w14:scene3d>
        </w:rPr>
        <w:t>11.7</w:t>
      </w:r>
      <w:r>
        <w:rPr>
          <w:rStyle w:val="34"/>
        </w:rPr>
        <w:t xml:space="preserve"> 房产簿册检查验收</w:t>
      </w:r>
      <w:r>
        <w:rPr>
          <w:rFonts w:hint="eastAsia"/>
        </w:rPr>
        <w:tab/>
      </w:r>
      <w:r>
        <w:rPr>
          <w:rFonts w:hint="eastAsia"/>
        </w:rPr>
        <w:fldChar w:fldCharType="begin"/>
      </w:r>
      <w:r>
        <w:rPr>
          <w:rFonts w:hint="eastAsia"/>
        </w:rPr>
        <w:instrText xml:space="preserve"> </w:instrText>
      </w:r>
      <w:r>
        <w:instrText xml:space="preserve">PAGEREF _Toc237470926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"_Toc237470927" </w:instrText>
      </w:r>
      <w:r>
        <w:fldChar w:fldCharType="separate"/>
      </w:r>
      <w:r>
        <w:rPr>
          <w:rStyle w:val="34"/>
          <w14:scene3d w14:prst="orthographicFront">
            <w14:lightRig w14:rig="threePt" w14:dir="t">
              <w14:rot w14:lat="0" w14:lon="0" w14:rev="0"/>
            </w14:lightRig>
          </w14:scene3d>
        </w:rPr>
        <w:t>11.8</w:t>
      </w:r>
      <w:r>
        <w:rPr>
          <w:rStyle w:val="34"/>
        </w:rPr>
        <w:t xml:space="preserve"> 入库数据质量检查验收</w:t>
      </w:r>
      <w:r>
        <w:rPr>
          <w:rFonts w:hint="eastAsia"/>
        </w:rPr>
        <w:tab/>
      </w:r>
      <w:r>
        <w:rPr>
          <w:rFonts w:hint="eastAsia"/>
        </w:rPr>
        <w:fldChar w:fldCharType="begin"/>
      </w:r>
      <w:r>
        <w:rPr>
          <w:rFonts w:hint="eastAsia"/>
        </w:rPr>
        <w:instrText xml:space="preserve"> </w:instrText>
      </w:r>
      <w:r>
        <w:instrText xml:space="preserve">PAGEREF _Toc237470927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"_Toc237470928" </w:instrText>
      </w:r>
      <w:r>
        <w:fldChar w:fldCharType="separate"/>
      </w:r>
      <w:r>
        <w:rPr>
          <w:rStyle w:val="34"/>
          <w14:scene3d w14:prst="orthographicFront">
            <w14:lightRig w14:rig="threePt" w14:dir="t">
              <w14:rot w14:lat="0" w14:lon="0" w14:rev="0"/>
            </w14:lightRig>
          </w14:scene3d>
        </w:rPr>
        <w:t>11.9</w:t>
      </w:r>
      <w:r>
        <w:rPr>
          <w:rStyle w:val="34"/>
        </w:rPr>
        <w:t xml:space="preserve"> 资料质量检查验收</w:t>
      </w:r>
      <w:r>
        <w:rPr>
          <w:rFonts w:hint="eastAsia"/>
        </w:rPr>
        <w:tab/>
      </w:r>
      <w:r>
        <w:rPr>
          <w:rFonts w:hint="eastAsia"/>
        </w:rPr>
        <w:fldChar w:fldCharType="begin"/>
      </w:r>
      <w:r>
        <w:rPr>
          <w:rFonts w:hint="eastAsia"/>
        </w:rPr>
        <w:instrText xml:space="preserve"> </w:instrText>
      </w:r>
      <w:r>
        <w:instrText xml:space="preserve">PAGEREF _Toc237470928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"_Toc237470929" </w:instrText>
      </w:r>
      <w:r>
        <w:fldChar w:fldCharType="separate"/>
      </w:r>
      <w:r>
        <w:rPr>
          <w:rStyle w:val="34"/>
          <w14:scene3d w14:prst="orthographicFront">
            <w14:lightRig w14:rig="threePt" w14:dir="t">
              <w14:rot w14:lat="0" w14:lon="0" w14:rev="0"/>
            </w14:lightRig>
          </w14:scene3d>
        </w:rPr>
        <w:t>11.10</w:t>
      </w:r>
      <w:r>
        <w:rPr>
          <w:rStyle w:val="34"/>
        </w:rPr>
        <w:t xml:space="preserve"> 成果质量评定</w:t>
      </w:r>
      <w:r>
        <w:rPr>
          <w:rFonts w:hint="eastAsia"/>
        </w:rPr>
        <w:tab/>
      </w:r>
      <w:r>
        <w:rPr>
          <w:rFonts w:hint="eastAsia"/>
        </w:rPr>
        <w:fldChar w:fldCharType="begin"/>
      </w:r>
      <w:r>
        <w:rPr>
          <w:rFonts w:hint="eastAsia"/>
        </w:rPr>
        <w:instrText xml:space="preserve"> </w:instrText>
      </w:r>
      <w:r>
        <w:instrText xml:space="preserve">PAGEREF _Toc237470929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"_Toc237470930" </w:instrText>
      </w:r>
      <w:r>
        <w:fldChar w:fldCharType="separate"/>
      </w:r>
      <w:r>
        <w:rPr>
          <w:rStyle w:val="34"/>
          <w14:scene3d w14:prst="orthographicFront">
            <w14:lightRig w14:rig="threePt" w14:dir="t">
              <w14:rot w14:lat="0" w14:lon="0" w14:rev="0"/>
            </w14:lightRig>
          </w14:scene3d>
        </w:rPr>
        <w:t>11.11</w:t>
      </w:r>
      <w:r>
        <w:rPr>
          <w:rStyle w:val="34"/>
        </w:rPr>
        <w:t xml:space="preserve"> 提交成果资料内容</w:t>
      </w:r>
      <w:r>
        <w:rPr>
          <w:rFonts w:hint="eastAsia"/>
        </w:rPr>
        <w:tab/>
      </w:r>
      <w:r>
        <w:rPr>
          <w:rFonts w:hint="eastAsia"/>
        </w:rPr>
        <w:fldChar w:fldCharType="begin"/>
      </w:r>
      <w:r>
        <w:rPr>
          <w:rFonts w:hint="eastAsia"/>
        </w:rPr>
        <w:instrText xml:space="preserve"> </w:instrText>
      </w:r>
      <w:r>
        <w:instrText xml:space="preserve">PAGEREF _Toc237470930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"_Toc237470931" </w:instrText>
      </w:r>
      <w:r>
        <w:fldChar w:fldCharType="separate"/>
      </w:r>
      <w:r>
        <w:rPr>
          <w:rStyle w:val="34"/>
          <w14:scene3d w14:prst="orthographicFront">
            <w14:lightRig w14:rig="threePt" w14:dir="t">
              <w14:rot w14:lat="0" w14:lon="0" w14:rev="0"/>
            </w14:lightRig>
          </w14:scene3d>
        </w:rPr>
        <w:t>11.12</w:t>
      </w:r>
      <w:r>
        <w:rPr>
          <w:rStyle w:val="34"/>
        </w:rPr>
        <w:t xml:space="preserve"> 归档资料内容</w:t>
      </w:r>
      <w:r>
        <w:rPr>
          <w:rFonts w:hint="eastAsia"/>
        </w:rPr>
        <w:tab/>
      </w:r>
      <w:r>
        <w:rPr>
          <w:rFonts w:hint="eastAsia"/>
        </w:rPr>
        <w:fldChar w:fldCharType="begin"/>
      </w:r>
      <w:r>
        <w:rPr>
          <w:rFonts w:hint="eastAsia"/>
        </w:rPr>
        <w:instrText xml:space="preserve"> </w:instrText>
      </w:r>
      <w:r>
        <w:instrText xml:space="preserve">PAGEREF _Toc237470931 \h</w:instrText>
      </w:r>
      <w:r>
        <w:rPr>
          <w:rFonts w:hint="eastAsia"/>
        </w:rPr>
        <w:instrText xml:space="preserve"> </w:instrText>
      </w:r>
      <w:r>
        <w:rPr>
          <w:rFonts w:hint="eastAsia"/>
        </w:rPr>
        <w:fldChar w:fldCharType="separate"/>
      </w:r>
      <w:r>
        <w:t>41</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"_Toc237470932" </w:instrText>
      </w:r>
      <w:r>
        <w:fldChar w:fldCharType="separate"/>
      </w:r>
      <w:r>
        <w:rPr>
          <w:rStyle w:val="34"/>
        </w:rPr>
        <w:t>12 数字房产图和房产测绘信息化</w:t>
      </w:r>
      <w:r>
        <w:rPr>
          <w:rFonts w:hint="eastAsia"/>
        </w:rPr>
        <w:tab/>
      </w:r>
      <w:r>
        <w:rPr>
          <w:rFonts w:hint="eastAsia"/>
        </w:rPr>
        <w:fldChar w:fldCharType="begin"/>
      </w:r>
      <w:r>
        <w:rPr>
          <w:rFonts w:hint="eastAsia"/>
        </w:rPr>
        <w:instrText xml:space="preserve"> </w:instrText>
      </w:r>
      <w:r>
        <w:instrText xml:space="preserve">PAGEREF _Toc237470932 \h</w:instrText>
      </w:r>
      <w:r>
        <w:rPr>
          <w:rFonts w:hint="eastAsia"/>
        </w:rPr>
        <w:instrText xml:space="preserve"> </w:instrText>
      </w:r>
      <w:r>
        <w:rPr>
          <w:rFonts w:hint="eastAsia"/>
        </w:rPr>
        <w:fldChar w:fldCharType="separate"/>
      </w:r>
      <w:r>
        <w:t>42</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"_Toc237470933" </w:instrText>
      </w:r>
      <w:r>
        <w:fldChar w:fldCharType="separate"/>
      </w:r>
      <w:r>
        <w:rPr>
          <w:rStyle w:val="34"/>
          <w14:scene3d w14:prst="orthographicFront">
            <w14:lightRig w14:rig="threePt" w14:dir="t">
              <w14:rot w14:lat="0" w14:lon="0" w14:rev="0"/>
            </w14:lightRig>
          </w14:scene3d>
        </w:rPr>
        <w:t>12.1</w:t>
      </w:r>
      <w:r>
        <w:rPr>
          <w:rStyle w:val="34"/>
        </w:rPr>
        <w:t xml:space="preserve"> 数字房产图基本要求</w:t>
      </w:r>
      <w:r>
        <w:rPr>
          <w:rFonts w:hint="eastAsia"/>
        </w:rPr>
        <w:tab/>
      </w:r>
      <w:r>
        <w:rPr>
          <w:rFonts w:hint="eastAsia"/>
        </w:rPr>
        <w:fldChar w:fldCharType="begin"/>
      </w:r>
      <w:r>
        <w:rPr>
          <w:rFonts w:hint="eastAsia"/>
        </w:rPr>
        <w:instrText xml:space="preserve"> </w:instrText>
      </w:r>
      <w:r>
        <w:instrText xml:space="preserve">PAGEREF _Toc237470933 \h</w:instrText>
      </w:r>
      <w:r>
        <w:rPr>
          <w:rFonts w:hint="eastAsia"/>
        </w:rPr>
        <w:instrText xml:space="preserve"> </w:instrText>
      </w:r>
      <w:r>
        <w:rPr>
          <w:rFonts w:hint="eastAsia"/>
        </w:rPr>
        <w:fldChar w:fldCharType="separate"/>
      </w:r>
      <w:r>
        <w:t>42</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"_Toc237470934" </w:instrText>
      </w:r>
      <w:r>
        <w:fldChar w:fldCharType="separate"/>
      </w:r>
      <w:r>
        <w:rPr>
          <w:rStyle w:val="34"/>
          <w14:scene3d w14:prst="orthographicFront">
            <w14:lightRig w14:rig="threePt" w14:dir="t">
              <w14:rot w14:lat="0" w14:lon="0" w14:rev="0"/>
            </w14:lightRig>
          </w14:scene3d>
        </w:rPr>
        <w:t>12.2</w:t>
      </w:r>
      <w:r>
        <w:rPr>
          <w:rStyle w:val="34"/>
        </w:rPr>
        <w:t xml:space="preserve"> 房产测绘信息化建设</w:t>
      </w:r>
      <w:r>
        <w:rPr>
          <w:rFonts w:hint="eastAsia"/>
        </w:rPr>
        <w:tab/>
      </w:r>
      <w:r>
        <w:rPr>
          <w:rFonts w:hint="eastAsia"/>
        </w:rPr>
        <w:fldChar w:fldCharType="begin"/>
      </w:r>
      <w:r>
        <w:rPr>
          <w:rFonts w:hint="eastAsia"/>
        </w:rPr>
        <w:instrText xml:space="preserve"> </w:instrText>
      </w:r>
      <w:r>
        <w:instrText xml:space="preserve">PAGEREF _Toc237470934 \h</w:instrText>
      </w:r>
      <w:r>
        <w:rPr>
          <w:rFonts w:hint="eastAsia"/>
        </w:rPr>
        <w:instrText xml:space="preserve"> </w:instrText>
      </w:r>
      <w:r>
        <w:rPr>
          <w:rFonts w:hint="eastAsia"/>
        </w:rPr>
        <w:fldChar w:fldCharType="separate"/>
      </w:r>
      <w:r>
        <w:t>43</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"_Toc237470935" </w:instrText>
      </w:r>
      <w:r>
        <w:fldChar w:fldCharType="separate"/>
      </w:r>
      <w:r>
        <w:rPr>
          <w:rStyle w:val="34"/>
        </w:rPr>
        <w:t>13 标准实施与评价</w:t>
      </w:r>
      <w:r>
        <w:rPr>
          <w:rFonts w:hint="eastAsia"/>
        </w:rPr>
        <w:tab/>
      </w:r>
      <w:r>
        <w:rPr>
          <w:rFonts w:hint="eastAsia"/>
        </w:rPr>
        <w:fldChar w:fldCharType="begin"/>
      </w:r>
      <w:r>
        <w:rPr>
          <w:rFonts w:hint="eastAsia"/>
        </w:rPr>
        <w:instrText xml:space="preserve"> </w:instrText>
      </w:r>
      <w:r>
        <w:instrText xml:space="preserve">PAGEREF _Toc237470935 \h</w:instrText>
      </w:r>
      <w:r>
        <w:rPr>
          <w:rFonts w:hint="eastAsia"/>
        </w:rPr>
        <w:instrText xml:space="preserve"> </w:instrText>
      </w:r>
      <w:r>
        <w:rPr>
          <w:rFonts w:hint="eastAsia"/>
        </w:rPr>
        <w:fldChar w:fldCharType="separate"/>
      </w:r>
      <w:r>
        <w:t>48</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"_Toc237470936" </w:instrText>
      </w:r>
      <w:r>
        <w:fldChar w:fldCharType="separate"/>
      </w:r>
      <w:r>
        <w:rPr>
          <w:rStyle w:val="34"/>
          <w14:scene3d w14:prst="orthographicFront">
            <w14:lightRig w14:rig="threePt" w14:dir="t">
              <w14:rot w14:lat="0" w14:lon="0" w14:rev="0"/>
            </w14:lightRig>
          </w14:scene3d>
        </w:rPr>
        <w:t>13.2</w:t>
      </w:r>
      <w:r>
        <w:rPr>
          <w:rStyle w:val="34"/>
        </w:rPr>
        <w:t xml:space="preserve"> 制定标准实施方案</w:t>
      </w:r>
      <w:r>
        <w:rPr>
          <w:rFonts w:hint="eastAsia"/>
        </w:rPr>
        <w:tab/>
      </w:r>
      <w:r>
        <w:rPr>
          <w:rFonts w:hint="eastAsia"/>
        </w:rPr>
        <w:fldChar w:fldCharType="begin"/>
      </w:r>
      <w:r>
        <w:rPr>
          <w:rFonts w:hint="eastAsia"/>
        </w:rPr>
        <w:instrText xml:space="preserve"> </w:instrText>
      </w:r>
      <w:r>
        <w:instrText xml:space="preserve">PAGEREF _Toc237470936 \h</w:instrText>
      </w:r>
      <w:r>
        <w:rPr>
          <w:rFonts w:hint="eastAsia"/>
        </w:rPr>
        <w:instrText xml:space="preserve"> </w:instrText>
      </w:r>
      <w:r>
        <w:rPr>
          <w:rFonts w:hint="eastAsia"/>
        </w:rPr>
        <w:fldChar w:fldCharType="separate"/>
      </w:r>
      <w:r>
        <w:t>48</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"_Toc237470937" </w:instrText>
      </w:r>
      <w:r>
        <w:fldChar w:fldCharType="separate"/>
      </w:r>
      <w:r>
        <w:rPr>
          <w:rStyle w:val="34"/>
          <w14:scene3d w14:prst="orthographicFront">
            <w14:lightRig w14:rig="threePt" w14:dir="t">
              <w14:rot w14:lat="0" w14:lon="0" w14:rev="0"/>
            </w14:lightRig>
          </w14:scene3d>
        </w:rPr>
        <w:t>13.3</w:t>
      </w:r>
      <w:r>
        <w:rPr>
          <w:rStyle w:val="34"/>
        </w:rPr>
        <w:t xml:space="preserve"> 标准实施</w:t>
      </w:r>
      <w:r>
        <w:rPr>
          <w:rFonts w:hint="eastAsia"/>
        </w:rPr>
        <w:tab/>
      </w:r>
      <w:r>
        <w:rPr>
          <w:rFonts w:hint="eastAsia"/>
        </w:rPr>
        <w:fldChar w:fldCharType="begin"/>
      </w:r>
      <w:r>
        <w:rPr>
          <w:rFonts w:hint="eastAsia"/>
        </w:rPr>
        <w:instrText xml:space="preserve"> </w:instrText>
      </w:r>
      <w:r>
        <w:instrText xml:space="preserve">PAGEREF _Toc237470937 \h</w:instrText>
      </w:r>
      <w:r>
        <w:rPr>
          <w:rFonts w:hint="eastAsia"/>
        </w:rPr>
        <w:instrText xml:space="preserve"> </w:instrText>
      </w:r>
      <w:r>
        <w:rPr>
          <w:rFonts w:hint="eastAsia"/>
        </w:rPr>
        <w:fldChar w:fldCharType="separate"/>
      </w:r>
      <w:r>
        <w:t>48</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"_Toc237470938" </w:instrText>
      </w:r>
      <w:r>
        <w:fldChar w:fldCharType="separate"/>
      </w:r>
      <w:r>
        <w:rPr>
          <w:rStyle w:val="34"/>
          <w14:scene3d w14:prst="orthographicFront">
            <w14:lightRig w14:rig="threePt" w14:dir="t">
              <w14:rot w14:lat="0" w14:lon="0" w14:rev="0"/>
            </w14:lightRig>
          </w14:scene3d>
        </w:rPr>
        <w:t>13.4</w:t>
      </w:r>
      <w:r>
        <w:rPr>
          <w:rStyle w:val="34"/>
        </w:rPr>
        <w:t xml:space="preserve"> 实施跟踪与反馈</w:t>
      </w:r>
      <w:r>
        <w:rPr>
          <w:rFonts w:hint="eastAsia"/>
        </w:rPr>
        <w:tab/>
      </w:r>
      <w:r>
        <w:rPr>
          <w:rFonts w:hint="eastAsia"/>
        </w:rPr>
        <w:fldChar w:fldCharType="begin"/>
      </w:r>
      <w:r>
        <w:rPr>
          <w:rFonts w:hint="eastAsia"/>
        </w:rPr>
        <w:instrText xml:space="preserve"> </w:instrText>
      </w:r>
      <w:r>
        <w:instrText xml:space="preserve">PAGEREF _Toc237470938 \h</w:instrText>
      </w:r>
      <w:r>
        <w:rPr>
          <w:rFonts w:hint="eastAsia"/>
        </w:rPr>
        <w:instrText xml:space="preserve"> </w:instrText>
      </w:r>
      <w:r>
        <w:rPr>
          <w:rFonts w:hint="eastAsia"/>
        </w:rPr>
        <w:fldChar w:fldCharType="separate"/>
      </w:r>
      <w:r>
        <w:t>48</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"_Toc237470939" </w:instrText>
      </w:r>
      <w:r>
        <w:fldChar w:fldCharType="separate"/>
      </w:r>
      <w:r>
        <w:rPr>
          <w:rStyle w:val="34"/>
          <w14:scene3d w14:prst="orthographicFront">
            <w14:lightRig w14:rig="threePt" w14:dir="t">
              <w14:rot w14:lat="0" w14:lon="0" w14:rev="0"/>
            </w14:lightRig>
          </w14:scene3d>
        </w:rPr>
        <w:t>13.5</w:t>
      </w:r>
      <w:r>
        <w:rPr>
          <w:rStyle w:val="34"/>
        </w:rPr>
        <w:t xml:space="preserve"> 效果评估与总结</w:t>
      </w:r>
      <w:r>
        <w:rPr>
          <w:rFonts w:hint="eastAsia"/>
        </w:rPr>
        <w:tab/>
      </w:r>
      <w:r>
        <w:rPr>
          <w:rFonts w:hint="eastAsia"/>
        </w:rPr>
        <w:fldChar w:fldCharType="begin"/>
      </w:r>
      <w:r>
        <w:rPr>
          <w:rFonts w:hint="eastAsia"/>
        </w:rPr>
        <w:instrText xml:space="preserve"> </w:instrText>
      </w:r>
      <w:r>
        <w:instrText xml:space="preserve">PAGEREF _Toc237470939 \h</w:instrText>
      </w:r>
      <w:r>
        <w:rPr>
          <w:rFonts w:hint="eastAsia"/>
        </w:rPr>
        <w:instrText xml:space="preserve"> </w:instrText>
      </w:r>
      <w:r>
        <w:rPr>
          <w:rFonts w:hint="eastAsia"/>
        </w:rPr>
        <w:fldChar w:fldCharType="separate"/>
      </w:r>
      <w:r>
        <w:t>48</w:t>
      </w:r>
      <w:r>
        <w:rPr>
          <w:rFonts w:hint="eastAsia"/>
        </w:rPr>
        <w:fldChar w:fldCharType="end"/>
      </w:r>
      <w:r>
        <w:rPr>
          <w:rFonts w:hint="eastAsia"/>
        </w:rPr>
        <w:fldChar w:fldCharType="end"/>
      </w:r>
    </w:p>
    <w:p>
      <w:pPr>
        <w:pStyle w:val="25"/>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"_Toc237470940" </w:instrText>
      </w:r>
      <w:r>
        <w:fldChar w:fldCharType="separate"/>
      </w:r>
      <w:r>
        <w:rPr>
          <w:rStyle w:val="34"/>
          <w14:scene3d w14:prst="orthographicFront">
            <w14:lightRig w14:rig="threePt" w14:dir="t">
              <w14:rot w14:lat="0" w14:lon="0" w14:rev="0"/>
            </w14:lightRig>
          </w14:scene3d>
        </w:rPr>
        <w:t>13.6</w:t>
      </w:r>
      <w:r>
        <w:rPr>
          <w:rStyle w:val="34"/>
        </w:rPr>
        <w:t xml:space="preserve"> 反馈与持续优化</w:t>
      </w:r>
      <w:r>
        <w:rPr>
          <w:rFonts w:hint="eastAsia"/>
        </w:rPr>
        <w:tab/>
      </w:r>
      <w:r>
        <w:rPr>
          <w:rFonts w:hint="eastAsia"/>
        </w:rPr>
        <w:fldChar w:fldCharType="begin"/>
      </w:r>
      <w:r>
        <w:rPr>
          <w:rFonts w:hint="eastAsia"/>
        </w:rPr>
        <w:instrText xml:space="preserve"> </w:instrText>
      </w:r>
      <w:r>
        <w:instrText xml:space="preserve">PAGEREF _Toc237470940 \h</w:instrText>
      </w:r>
      <w:r>
        <w:rPr>
          <w:rFonts w:hint="eastAsia"/>
        </w:rPr>
        <w:instrText xml:space="preserve"> </w:instrText>
      </w:r>
      <w:r>
        <w:rPr>
          <w:rFonts w:hint="eastAsia"/>
        </w:rPr>
        <w:fldChar w:fldCharType="separate"/>
      </w:r>
      <w:r>
        <w:t>48</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"_Toc237470941" </w:instrText>
      </w:r>
      <w:r>
        <w:fldChar w:fldCharType="separate"/>
      </w:r>
      <w:r>
        <w:rPr>
          <w:rStyle w:val="34"/>
        </w:rPr>
        <w:t>附录A （资料性） 房产测绘草图图框和房产调查表表样</w:t>
      </w:r>
      <w:r>
        <w:rPr>
          <w:rFonts w:hint="eastAsia"/>
        </w:rPr>
        <w:tab/>
      </w:r>
      <w:r>
        <w:rPr>
          <w:rFonts w:hint="eastAsia"/>
        </w:rPr>
        <w:fldChar w:fldCharType="begin"/>
      </w:r>
      <w:r>
        <w:rPr>
          <w:rFonts w:hint="eastAsia"/>
        </w:rPr>
        <w:instrText xml:space="preserve"> </w:instrText>
      </w:r>
      <w:r>
        <w:instrText xml:space="preserve">PAGEREF _Toc237470941 \h</w:instrText>
      </w:r>
      <w:r>
        <w:rPr>
          <w:rFonts w:hint="eastAsia"/>
        </w:rPr>
        <w:instrText xml:space="preserve"> </w:instrText>
      </w:r>
      <w:r>
        <w:rPr>
          <w:rFonts w:hint="eastAsia"/>
        </w:rPr>
        <w:fldChar w:fldCharType="separate"/>
      </w:r>
      <w:r>
        <w:t>49</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"_Toc237470944" </w:instrText>
      </w:r>
      <w:r>
        <w:fldChar w:fldCharType="separate"/>
      </w:r>
      <w:r>
        <w:rPr>
          <w:rStyle w:val="34"/>
        </w:rPr>
        <w:t>附录B （资料性） 分幅图图廓的整饰样式与示例</w:t>
      </w:r>
      <w:r>
        <w:rPr>
          <w:rFonts w:hint="eastAsia"/>
        </w:rPr>
        <w:tab/>
      </w:r>
      <w:r>
        <w:rPr>
          <w:rFonts w:hint="eastAsia"/>
        </w:rPr>
        <w:fldChar w:fldCharType="begin"/>
      </w:r>
      <w:r>
        <w:rPr>
          <w:rFonts w:hint="eastAsia"/>
        </w:rPr>
        <w:instrText xml:space="preserve"> </w:instrText>
      </w:r>
      <w:r>
        <w:instrText xml:space="preserve">PAGEREF _Toc237470944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"_Toc237470947" </w:instrText>
      </w:r>
      <w:r>
        <w:fldChar w:fldCharType="separate"/>
      </w:r>
      <w:r>
        <w:rPr>
          <w:rStyle w:val="34"/>
        </w:rPr>
        <w:t>附录C （资料性） 分丘图图廓整饰样式与示例</w:t>
      </w:r>
      <w:r>
        <w:rPr>
          <w:rFonts w:hint="eastAsia"/>
        </w:rPr>
        <w:tab/>
      </w:r>
      <w:r>
        <w:rPr>
          <w:rFonts w:hint="eastAsia"/>
        </w:rPr>
        <w:fldChar w:fldCharType="begin"/>
      </w:r>
      <w:r>
        <w:rPr>
          <w:rFonts w:hint="eastAsia"/>
        </w:rPr>
        <w:instrText xml:space="preserve"> </w:instrText>
      </w:r>
      <w:r>
        <w:instrText xml:space="preserve">PAGEREF _Toc237470947 \h</w:instrText>
      </w:r>
      <w:r>
        <w:rPr>
          <w:rFonts w:hint="eastAsia"/>
        </w:rPr>
        <w:instrText xml:space="preserve"> </w:instrText>
      </w:r>
      <w:r>
        <w:rPr>
          <w:rFonts w:hint="eastAsia"/>
        </w:rPr>
        <w:fldChar w:fldCharType="separate"/>
      </w:r>
      <w:r>
        <w:t>57</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"_Toc237470949" </w:instrText>
      </w:r>
      <w:r>
        <w:fldChar w:fldCharType="separate"/>
      </w:r>
      <w:r>
        <w:rPr>
          <w:rStyle w:val="34"/>
        </w:rPr>
        <w:t>附录D （资料性） 房产分层图、分户图图廊与示例</w:t>
      </w:r>
      <w:r>
        <w:rPr>
          <w:rFonts w:hint="eastAsia"/>
        </w:rPr>
        <w:tab/>
      </w:r>
      <w:r>
        <w:rPr>
          <w:rFonts w:hint="eastAsia"/>
        </w:rPr>
        <w:fldChar w:fldCharType="begin"/>
      </w:r>
      <w:r>
        <w:rPr>
          <w:rFonts w:hint="eastAsia"/>
        </w:rPr>
        <w:instrText xml:space="preserve"> </w:instrText>
      </w:r>
      <w:r>
        <w:instrText xml:space="preserve">PAGEREF _Toc237470949 \h</w:instrText>
      </w:r>
      <w:r>
        <w:rPr>
          <w:rFonts w:hint="eastAsia"/>
        </w:rPr>
        <w:instrText xml:space="preserve"> </w:instrText>
      </w:r>
      <w:r>
        <w:rPr>
          <w:rFonts w:hint="eastAsia"/>
        </w:rPr>
        <w:fldChar w:fldCharType="separate"/>
      </w:r>
      <w:r>
        <w:t>59</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"_Toc237470954" </w:instrText>
      </w:r>
      <w:r>
        <w:fldChar w:fldCharType="separate"/>
      </w:r>
      <w:r>
        <w:rPr>
          <w:rStyle w:val="34"/>
        </w:rPr>
        <w:t>附录E （资料性） 权证附图</w:t>
      </w:r>
      <w:r>
        <w:rPr>
          <w:rFonts w:hint="eastAsia"/>
        </w:rPr>
        <w:tab/>
      </w:r>
      <w:r>
        <w:rPr>
          <w:rFonts w:hint="eastAsia"/>
        </w:rPr>
        <w:fldChar w:fldCharType="begin"/>
      </w:r>
      <w:r>
        <w:rPr>
          <w:rFonts w:hint="eastAsia"/>
        </w:rPr>
        <w:instrText xml:space="preserve"> </w:instrText>
      </w:r>
      <w:r>
        <w:instrText xml:space="preserve">PAGEREF _Toc237470954 \h</w:instrText>
      </w:r>
      <w:r>
        <w:rPr>
          <w:rFonts w:hint="eastAsia"/>
        </w:rPr>
        <w:instrText xml:space="preserve"> </w:instrText>
      </w:r>
      <w:r>
        <w:rPr>
          <w:rFonts w:hint="eastAsia"/>
        </w:rPr>
        <w:fldChar w:fldCharType="separate"/>
      </w:r>
      <w:r>
        <w:t>69</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"_Toc237470957" </w:instrText>
      </w:r>
      <w:r>
        <w:fldChar w:fldCharType="separate"/>
      </w:r>
      <w:r>
        <w:rPr>
          <w:rStyle w:val="34"/>
        </w:rPr>
        <w:t>附录F （资料性） 房产面积测量技术报告书的编制</w:t>
      </w:r>
      <w:r>
        <w:rPr>
          <w:rFonts w:hint="eastAsia"/>
        </w:rPr>
        <w:tab/>
      </w:r>
      <w:r>
        <w:rPr>
          <w:rFonts w:hint="eastAsia"/>
        </w:rPr>
        <w:fldChar w:fldCharType="begin"/>
      </w:r>
      <w:r>
        <w:rPr>
          <w:rFonts w:hint="eastAsia"/>
        </w:rPr>
        <w:instrText xml:space="preserve"> </w:instrText>
      </w:r>
      <w:r>
        <w:instrText xml:space="preserve">PAGEREF _Toc237470957 \h</w:instrText>
      </w:r>
      <w:r>
        <w:rPr>
          <w:rFonts w:hint="eastAsia"/>
        </w:rPr>
        <w:instrText xml:space="preserve"> </w:instrText>
      </w:r>
      <w:r>
        <w:rPr>
          <w:rFonts w:hint="eastAsia"/>
        </w:rPr>
        <w:fldChar w:fldCharType="separate"/>
      </w:r>
      <w:r>
        <w:t>76</w:t>
      </w:r>
      <w:r>
        <w:rPr>
          <w:rFonts w:hint="eastAsia"/>
        </w:rPr>
        <w:fldChar w:fldCharType="end"/>
      </w:r>
      <w:r>
        <w:rPr>
          <w:rFonts w:hint="eastAsia"/>
        </w:rPr>
        <w:fldChar w:fldCharType="end"/>
      </w:r>
    </w:p>
    <w:p>
      <w:pPr>
        <w:pStyle w:val="20"/>
        <w:tabs>
          <w:tab w:val="right" w:leader="dot" w:pos="9344"/>
        </w:tabs>
        <w:spacing w:line="390" w:lineRule="exact"/>
        <w:rPr>
          <w:rStyle w:val="34"/>
        </w:rPr>
      </w:pPr>
      <w:r>
        <w:fldChar w:fldCharType="begin"/>
      </w:r>
      <w:r>
        <w:instrText xml:space="preserve"> HYPERLINK \l "_Toc237470961" </w:instrText>
      </w:r>
      <w:r>
        <w:fldChar w:fldCharType="separate"/>
      </w:r>
      <w:r>
        <w:rPr>
          <w:rStyle w:val="34"/>
        </w:rPr>
        <w:t>附录G （资料性） 湖北省地方标准实施信息及意见反馈表</w:t>
      </w:r>
      <w:r>
        <w:rPr>
          <w:rFonts w:hint="eastAsia"/>
        </w:rPr>
        <w:tab/>
      </w:r>
      <w:r>
        <w:rPr>
          <w:rFonts w:hint="eastAsia"/>
        </w:rPr>
        <w:fldChar w:fldCharType="begin"/>
      </w:r>
      <w:r>
        <w:rPr>
          <w:rFonts w:hint="eastAsia"/>
        </w:rPr>
        <w:instrText xml:space="preserve"> </w:instrText>
      </w:r>
      <w:r>
        <w:instrText xml:space="preserve">PAGEREF _Toc237470961 \h</w:instrText>
      </w:r>
      <w:r>
        <w:rPr>
          <w:rFonts w:hint="eastAsia"/>
        </w:rPr>
        <w:instrText xml:space="preserve"> </w:instrText>
      </w:r>
      <w:r>
        <w:rPr>
          <w:rFonts w:hint="eastAsia"/>
        </w:rPr>
        <w:fldChar w:fldCharType="separate"/>
      </w:r>
      <w:r>
        <w:t>79</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"_Toc237470962" </w:instrText>
      </w:r>
      <w:r>
        <w:fldChar w:fldCharType="separate"/>
      </w:r>
      <w:r>
        <w:rPr>
          <w:rStyle w:val="34"/>
          <w:rFonts w:hint="eastAsia"/>
        </w:rPr>
        <w:t>本文件用词说明</w:t>
      </w:r>
      <w:r>
        <w:rPr>
          <w:rFonts w:hint="eastAsia"/>
        </w:rPr>
        <w:tab/>
      </w:r>
      <w:r>
        <w:rPr>
          <w:rFonts w:hint="eastAsia"/>
        </w:rPr>
        <w:fldChar w:fldCharType="begin"/>
      </w:r>
      <w:r>
        <w:rPr>
          <w:rFonts w:hint="eastAsia"/>
        </w:rPr>
        <w:instrText xml:space="preserve"> </w:instrText>
      </w:r>
      <w:r>
        <w:instrText xml:space="preserve">PAGEREF _Toc237470962 \h</w:instrText>
      </w:r>
      <w:r>
        <w:rPr>
          <w:rFonts w:hint="eastAsia"/>
        </w:rPr>
        <w:instrText xml:space="preserve"> </w:instrText>
      </w:r>
      <w:r>
        <w:rPr>
          <w:rFonts w:hint="eastAsia"/>
        </w:rPr>
        <w:fldChar w:fldCharType="separate"/>
      </w:r>
      <w:r>
        <w:t>8</w:t>
      </w:r>
      <w:r>
        <w:rPr>
          <w:rFonts w:hint="eastAsia"/>
        </w:rPr>
        <w:t>0</w:t>
      </w:r>
      <w:r>
        <w:rPr>
          <w:rFonts w:hint="eastAsia"/>
        </w:rPr>
        <w:fldChar w:fldCharType="end"/>
      </w:r>
      <w:r>
        <w:rPr>
          <w:rFonts w:hint="eastAsia"/>
        </w:rPr>
        <w:fldChar w:fldCharType="end"/>
      </w:r>
    </w:p>
    <w:p>
      <w:pPr>
        <w:pStyle w:val="20"/>
        <w:tabs>
          <w:tab w:val="right" w:leader="dot" w:pos="9344"/>
        </w:tabs>
        <w:spacing w:line="390" w:lineRule="exact"/>
        <w:rPr>
          <w:rFonts w:hint="eastAsia" w:asciiTheme="minorHAnsi" w:hAnsiTheme="minorHAnsi" w:eastAsiaTheme="minorEastAsia" w:cstheme="minorBidi"/>
          <w:sz w:val="22"/>
          <w:szCs w:val="24"/>
          <w14:ligatures w14:val="standardContextual"/>
        </w:rPr>
      </w:pPr>
      <w:r>
        <w:fldChar w:fldCharType="begin"/>
      </w:r>
      <w:r>
        <w:instrText xml:space="preserve"> HYPERLINK \l "_Toc237470962" </w:instrText>
      </w:r>
      <w:r>
        <w:fldChar w:fldCharType="separate"/>
      </w:r>
      <w:r>
        <w:rPr>
          <w:rStyle w:val="34"/>
        </w:rPr>
        <w:t>参考文献</w:t>
      </w:r>
      <w:r>
        <w:rPr>
          <w:rFonts w:hint="eastAsia"/>
        </w:rPr>
        <w:tab/>
      </w:r>
      <w:r>
        <w:rPr>
          <w:rFonts w:hint="eastAsia"/>
        </w:rPr>
        <w:fldChar w:fldCharType="begin"/>
      </w:r>
      <w:r>
        <w:rPr>
          <w:rFonts w:hint="eastAsia"/>
        </w:rPr>
        <w:instrText xml:space="preserve"> </w:instrText>
      </w:r>
      <w:r>
        <w:instrText xml:space="preserve">PAGEREF _Toc237470962 \h</w:instrText>
      </w:r>
      <w:r>
        <w:rPr>
          <w:rFonts w:hint="eastAsia"/>
        </w:rPr>
        <w:instrText xml:space="preserve"> </w:instrText>
      </w:r>
      <w:r>
        <w:rPr>
          <w:rFonts w:hint="eastAsia"/>
        </w:rPr>
        <w:fldChar w:fldCharType="separate"/>
      </w:r>
      <w:r>
        <w:t>81</w:t>
      </w:r>
      <w:r>
        <w:rPr>
          <w:rFonts w:hint="eastAsia"/>
        </w:rPr>
        <w:fldChar w:fldCharType="end"/>
      </w:r>
      <w:r>
        <w:rPr>
          <w:rFonts w:hint="eastAsia"/>
        </w:rPr>
        <w:fldChar w:fldCharType="end"/>
      </w:r>
    </w:p>
    <w:p>
      <w:pPr>
        <w:pStyle w:val="93"/>
        <w:spacing w:after="468"/>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0"/>
    <w:p>
      <w:pPr>
        <w:pStyle w:val="91"/>
        <w:spacing w:before="560" w:after="468"/>
      </w:pPr>
      <w:bookmarkStart w:id="21" w:name="_Toc237470873"/>
      <w:bookmarkStart w:id="22" w:name="BookMark2"/>
      <w:r>
        <w:rPr>
          <w:spacing w:val="320"/>
        </w:rPr>
        <w:t>前</w:t>
      </w:r>
      <w:r>
        <w:t>言</w:t>
      </w:r>
      <w:bookmarkEnd w:id="21"/>
    </w:p>
    <w:p>
      <w:pPr>
        <w:pStyle w:val="58"/>
        <w:ind w:firstLine="420"/>
      </w:pPr>
      <w:r>
        <w:rPr>
          <w:rFonts w:hint="eastAsia"/>
        </w:rPr>
        <w:t>本文件按照GB/T 1.1—2020《标准化工作导则  第1部分：标准化文件的结构和起草规则》的规定起草。</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本文件代替DB42/T 1049-2015《房产</w:t>
      </w:r>
      <w:r>
        <w:rPr>
          <w:rFonts w:ascii="宋体" w:hAnsi="Times New Roman"/>
          <w:kern w:val="0"/>
          <w:szCs w:val="20"/>
        </w:rPr>
        <w:t>测绘技术规程</w:t>
      </w:r>
      <w:r>
        <w:rPr>
          <w:rFonts w:hint="eastAsia" w:ascii="宋体" w:hAnsi="Times New Roman"/>
          <w:kern w:val="0"/>
          <w:szCs w:val="20"/>
        </w:rPr>
        <w:t>》，</w:t>
      </w:r>
      <w:r>
        <w:rPr>
          <w:rFonts w:ascii="宋体" w:hAnsi="Times New Roman"/>
          <w:kern w:val="0"/>
          <w:szCs w:val="20"/>
        </w:rPr>
        <w:t>与</w:t>
      </w:r>
      <w:r>
        <w:rPr>
          <w:rFonts w:hint="eastAsia" w:ascii="宋体" w:hAnsi="Times New Roman"/>
          <w:kern w:val="0"/>
          <w:szCs w:val="20"/>
        </w:rPr>
        <w:t>DB42/T 1049-2015相比</w:t>
      </w:r>
      <w:r>
        <w:rPr>
          <w:rFonts w:ascii="宋体" w:hAnsi="Times New Roman"/>
          <w:kern w:val="0"/>
          <w:szCs w:val="20"/>
        </w:rPr>
        <w:t>，</w:t>
      </w:r>
      <w:r>
        <w:rPr>
          <w:rFonts w:hint="eastAsia" w:ascii="宋体" w:hAnsi="Times New Roman"/>
          <w:kern w:val="0"/>
          <w:szCs w:val="20"/>
        </w:rPr>
        <w:t>除</w:t>
      </w:r>
      <w:r>
        <w:rPr>
          <w:rFonts w:ascii="宋体" w:hAnsi="Times New Roman"/>
          <w:kern w:val="0"/>
          <w:szCs w:val="20"/>
        </w:rPr>
        <w:t>结构</w:t>
      </w:r>
      <w:r>
        <w:rPr>
          <w:rFonts w:hint="eastAsia" w:ascii="宋体" w:hAnsi="Times New Roman"/>
          <w:kern w:val="0"/>
          <w:szCs w:val="20"/>
        </w:rPr>
        <w:t>调整</w:t>
      </w:r>
      <w:r>
        <w:rPr>
          <w:rFonts w:ascii="宋体" w:hAnsi="Times New Roman"/>
          <w:kern w:val="0"/>
          <w:szCs w:val="20"/>
        </w:rPr>
        <w:t>和</w:t>
      </w:r>
      <w:r>
        <w:rPr>
          <w:rFonts w:hint="eastAsia" w:ascii="宋体" w:hAnsi="Times New Roman"/>
          <w:kern w:val="0"/>
          <w:szCs w:val="20"/>
        </w:rPr>
        <w:t>编辑性</w:t>
      </w:r>
      <w:r>
        <w:rPr>
          <w:rFonts w:ascii="宋体" w:hAnsi="Times New Roman"/>
          <w:kern w:val="0"/>
          <w:szCs w:val="20"/>
        </w:rPr>
        <w:t>改动外，</w:t>
      </w:r>
      <w:r>
        <w:rPr>
          <w:rFonts w:hint="eastAsia" w:ascii="宋体" w:hAnsi="Times New Roman"/>
          <w:kern w:val="0"/>
          <w:szCs w:val="20"/>
        </w:rPr>
        <w:t>主要技术变化如下</w:t>
      </w:r>
      <w:r>
        <w:rPr>
          <w:rFonts w:ascii="宋体" w:hAnsi="Times New Roman"/>
          <w:kern w:val="0"/>
          <w:szCs w:val="20"/>
        </w:rPr>
        <w:t>：</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更改</w:t>
      </w:r>
      <w:r>
        <w:rPr>
          <w:rFonts w:ascii="Times New Roman" w:hAnsi="Times New Roman"/>
          <w:kern w:val="0"/>
          <w:szCs w:val="20"/>
        </w:rPr>
        <w:t>了</w:t>
      </w:r>
      <w:r>
        <w:rPr>
          <w:rFonts w:hint="eastAsia" w:ascii="Times New Roman" w:hAnsi="Times New Roman"/>
          <w:kern w:val="0"/>
          <w:szCs w:val="20"/>
        </w:rPr>
        <w:t>本规程引用国家标准的版本、增加了部分新发布的常用规范；</w:t>
      </w:r>
      <w:r>
        <w:rPr>
          <w:rFonts w:ascii="Times New Roman" w:hAnsi="Times New Roman"/>
          <w:kern w:val="0"/>
          <w:szCs w:val="20"/>
        </w:rPr>
        <w:t>（</w:t>
      </w:r>
      <w:r>
        <w:rPr>
          <w:rFonts w:hint="eastAsia" w:ascii="Times New Roman" w:hAnsi="Times New Roman"/>
          <w:kern w:val="0"/>
          <w:szCs w:val="20"/>
        </w:rPr>
        <w:t>见</w:t>
      </w:r>
      <w:r>
        <w:rPr>
          <w:rFonts w:ascii="Times New Roman" w:hAnsi="Times New Roman"/>
          <w:kern w:val="0"/>
          <w:szCs w:val="20"/>
        </w:rPr>
        <w:t>第</w:t>
      </w:r>
      <w:r>
        <w:rPr>
          <w:rFonts w:hint="eastAsia" w:ascii="Times New Roman" w:hAnsi="Times New Roman"/>
          <w:kern w:val="0"/>
          <w:szCs w:val="20"/>
        </w:rPr>
        <w:t>2章</w:t>
      </w:r>
      <w:r>
        <w:rPr>
          <w:rFonts w:ascii="Times New Roman" w:hAnsi="Times New Roman"/>
          <w:kern w:val="0"/>
          <w:szCs w:val="20"/>
        </w:rPr>
        <w:t>）</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增加</w:t>
      </w:r>
      <w:r>
        <w:rPr>
          <w:rFonts w:ascii="Times New Roman" w:hAnsi="Times New Roman"/>
          <w:kern w:val="0"/>
          <w:szCs w:val="20"/>
        </w:rPr>
        <w:t>了</w:t>
      </w:r>
      <w:r>
        <w:rPr>
          <w:rFonts w:hint="eastAsia" w:ascii="Times New Roman" w:hAnsi="Times New Roman"/>
          <w:kern w:val="0"/>
          <w:szCs w:val="20"/>
        </w:rPr>
        <w:t>避难层、围护结构、围护设施、门廊、门斗等一些常用名词的定义；（见第3章）</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修改</w:t>
      </w:r>
      <w:r>
        <w:rPr>
          <w:rFonts w:ascii="Times New Roman" w:hAnsi="Times New Roman"/>
          <w:kern w:val="0"/>
          <w:szCs w:val="20"/>
        </w:rPr>
        <w:t>了</w:t>
      </w:r>
      <w:r>
        <w:rPr>
          <w:rFonts w:hint="eastAsia" w:ascii="Times New Roman" w:hAnsi="Times New Roman"/>
          <w:kern w:val="0"/>
          <w:szCs w:val="20"/>
        </w:rPr>
        <w:t>房产测绘坐标系统的采用要求（见第4章第5节）</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调整了第5章的章节结构，更新了对房产平面控制测量的描述；（见第5章）</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更新了第6章引用规范的版本，调整了第6章中部分内容的表述；（见第6章）</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新增了幢的划分、户的划分的相关条款，细化了幢编号的相关规定；（见第7章）</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增加了建筑面积地上与地下的划分规定，新增了房屋走廊（挑廊）顶盖的计算规定，修改了阳台顶盖的计算规定，调整了架空层、非垂直墙体、楼梯的部分细部条款，增加有柱雨蓬、设备平台、落地橱窗、立体车库等的面积计算规则，调整了第8章中部分内容的表述；（见第8章）</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修改</w:t>
      </w:r>
      <w:r>
        <w:rPr>
          <w:rFonts w:ascii="Times New Roman" w:hAnsi="Times New Roman"/>
          <w:kern w:val="0"/>
          <w:szCs w:val="20"/>
        </w:rPr>
        <w:t>了</w:t>
      </w:r>
      <w:r>
        <w:rPr>
          <w:rFonts w:hint="eastAsia" w:ascii="Times New Roman" w:hAnsi="Times New Roman"/>
          <w:kern w:val="0"/>
          <w:szCs w:val="20"/>
        </w:rPr>
        <w:t>第9章中应分摊的共有建筑面积的相关内容，新增了共有建筑面积的分摊原则的相关条款，细化了部分分摊细则；（见第9章）</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细化了变更测绘的要求的相关条款；（见第10章）</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更新</w:t>
      </w:r>
      <w:r>
        <w:rPr>
          <w:rFonts w:ascii="Times New Roman" w:hAnsi="Times New Roman"/>
          <w:kern w:val="0"/>
          <w:szCs w:val="20"/>
        </w:rPr>
        <w:t>了</w:t>
      </w:r>
      <w:r>
        <w:rPr>
          <w:rFonts w:hint="eastAsia" w:ascii="Times New Roman" w:hAnsi="Times New Roman"/>
          <w:kern w:val="0"/>
          <w:szCs w:val="20"/>
        </w:rPr>
        <w:t>第11章的条文引用依据，增加了入库数据质量、资料质量的检查验收内容；（见第11章）</w:t>
      </w:r>
    </w:p>
    <w:p>
      <w:pPr>
        <w:widowControl/>
        <w:autoSpaceDE w:val="0"/>
        <w:autoSpaceDN w:val="0"/>
        <w:adjustRightInd/>
        <w:spacing w:line="240" w:lineRule="auto"/>
        <w:ind w:firstLine="420" w:firstLineChars="200"/>
        <w:rPr>
          <w:rFonts w:ascii="Times New Roman" w:hAnsi="Times New Roman"/>
          <w:kern w:val="0"/>
          <w:szCs w:val="20"/>
        </w:rPr>
      </w:pPr>
      <w:r>
        <w:rPr>
          <w:rFonts w:ascii="Times New Roman" w:hAnsi="Times New Roman"/>
          <w:kern w:val="0"/>
          <w:szCs w:val="20"/>
        </w:rPr>
        <w:t>——</w:t>
      </w:r>
      <w:r>
        <w:rPr>
          <w:rFonts w:hint="eastAsia" w:ascii="Times New Roman" w:hAnsi="Times New Roman"/>
          <w:kern w:val="0"/>
          <w:szCs w:val="20"/>
        </w:rPr>
        <w:t>修改了第12章引用的国家标准、增加了基于数字房产图的三维建筑模型生产的相关规定、修改了“建设原则”引用的标准和规范、增加了“建设原则”引入技术的范围、修改了模块构成的范围、增加了“项目测绘管理模块”的功能要求、修改了“基础测绘管理模块”的功能要求；（见第12章）</w:t>
      </w:r>
    </w:p>
    <w:p>
      <w:pPr>
        <w:widowControl/>
        <w:autoSpaceDE w:val="0"/>
        <w:autoSpaceDN w:val="0"/>
        <w:adjustRightInd/>
        <w:spacing w:line="240" w:lineRule="auto"/>
        <w:ind w:firstLine="420" w:firstLineChars="200"/>
        <w:rPr>
          <w:rFonts w:ascii="Times New Roman" w:hAnsi="Times New Roman"/>
          <w:kern w:val="0"/>
          <w:szCs w:val="20"/>
        </w:rPr>
      </w:pPr>
      <w:r>
        <w:rPr>
          <w:rFonts w:hint="eastAsia" w:ascii="Times New Roman" w:hAnsi="Times New Roman"/>
          <w:kern w:val="0"/>
          <w:szCs w:val="20"/>
        </w:rPr>
        <w:t>请注意</w:t>
      </w:r>
      <w:r>
        <w:rPr>
          <w:rFonts w:ascii="Times New Roman" w:hAnsi="Times New Roman"/>
          <w:kern w:val="0"/>
          <w:szCs w:val="20"/>
        </w:rPr>
        <w:t>本文件的某些内容可能涉及专利</w:t>
      </w:r>
      <w:r>
        <w:rPr>
          <w:rFonts w:hint="eastAsia" w:ascii="Times New Roman" w:hAnsi="Times New Roman"/>
          <w:kern w:val="0"/>
          <w:szCs w:val="20"/>
        </w:rPr>
        <w:t>。本文件</w:t>
      </w:r>
      <w:r>
        <w:rPr>
          <w:rFonts w:ascii="Times New Roman" w:hAnsi="Times New Roman"/>
          <w:kern w:val="0"/>
          <w:szCs w:val="20"/>
        </w:rPr>
        <w:t>的发布机构</w:t>
      </w:r>
      <w:r>
        <w:rPr>
          <w:rFonts w:hint="eastAsia" w:ascii="Times New Roman" w:hAnsi="Times New Roman"/>
          <w:kern w:val="0"/>
          <w:szCs w:val="20"/>
        </w:rPr>
        <w:t>不承担识别专利的</w:t>
      </w:r>
      <w:r>
        <w:rPr>
          <w:rFonts w:ascii="Times New Roman" w:hAnsi="Times New Roman"/>
          <w:kern w:val="0"/>
          <w:szCs w:val="20"/>
        </w:rPr>
        <w:t>责任。</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本文件由湖北省</w:t>
      </w:r>
      <w:r>
        <w:rPr>
          <w:rFonts w:ascii="宋体" w:hAnsi="Times New Roman"/>
          <w:kern w:val="0"/>
          <w:szCs w:val="20"/>
        </w:rPr>
        <w:t>住房和城乡建设厅</w:t>
      </w:r>
      <w:r>
        <w:rPr>
          <w:rFonts w:hint="eastAsia" w:ascii="宋体" w:hAnsi="Times New Roman"/>
          <w:kern w:val="0"/>
          <w:szCs w:val="20"/>
        </w:rPr>
        <w:t>提出并</w:t>
      </w:r>
      <w:r>
        <w:rPr>
          <w:rFonts w:ascii="宋体" w:hAnsi="Times New Roman"/>
          <w:kern w:val="0"/>
          <w:szCs w:val="20"/>
        </w:rPr>
        <w:t>归口</w:t>
      </w:r>
      <w:r>
        <w:rPr>
          <w:rFonts w:hint="eastAsia" w:ascii="宋体" w:hAnsi="Times New Roman"/>
          <w:kern w:val="0"/>
          <w:szCs w:val="20"/>
        </w:rPr>
        <w:t>。</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本文件起草单位：武汉市房产测绘中心、宜昌市不动产交易和登记中心、襄阳市房屋产权与市场发展中心、武汉市武昌区房产测绘中心、武汉市洪山区住房和城市更新局测绘队、湖北省地理国情监测中心(湖北省自然资源厅不动产登记中心)、武汉市不动产登记中心、湖北省标准化与质量研究院。</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本文件主要起草人：沈大江、陈镇、胡刚、杨鸣新、陈久锐、乔淼、黄真、齐伟虎、张世彪、许泳、梁鹏、张哲、姜楠、李婳婧、丁凡、杨磊、尹磊、陈泉、郭阿兰、田伟、熊俊、邓子恒、马巾惠、杨梦等。</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本文件实施应用中的疑问，可咨询湖北省住房和城乡建设厅，联系电话：027-68873088，邮箱：bkc@hbszjt.net.cn。在执行过程中如有意见和建议请邮寄武汉市房产测绘中心，联系电话：027-85777429，地址：武汉市高雄路166号武汉市房地产交易大厦，邮编：430000,邮箱：</w:t>
      </w:r>
      <w:r>
        <w:rPr>
          <w:rFonts w:ascii="宋体" w:hAnsi="Times New Roman"/>
          <w:kern w:val="0"/>
          <w:szCs w:val="20"/>
        </w:rPr>
        <w:t>43466593@qq.com</w:t>
      </w:r>
      <w:r>
        <w:rPr>
          <w:rFonts w:hint="eastAsia" w:ascii="宋体" w:hAnsi="Times New Roman"/>
          <w:kern w:val="0"/>
          <w:szCs w:val="20"/>
        </w:rPr>
        <w:t>。</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本文件及其所代替文件的历次版本发布情况为:</w:t>
      </w:r>
    </w:p>
    <w:p>
      <w:pPr>
        <w:widowControl/>
        <w:autoSpaceDE w:val="0"/>
        <w:autoSpaceDN w:val="0"/>
        <w:adjustRightInd/>
        <w:spacing w:line="240" w:lineRule="auto"/>
        <w:ind w:firstLine="420" w:firstLineChars="200"/>
        <w:rPr>
          <w:rFonts w:ascii="宋体" w:hAnsi="Times New Roman"/>
          <w:kern w:val="0"/>
          <w:szCs w:val="20"/>
        </w:rPr>
      </w:pPr>
      <w:r>
        <w:rPr>
          <w:rFonts w:ascii="Times New Roman" w:hAnsi="Times New Roman"/>
          <w:kern w:val="0"/>
          <w:szCs w:val="20"/>
        </w:rPr>
        <w:t>——</w:t>
      </w:r>
      <w:r>
        <w:rPr>
          <w:rFonts w:hint="eastAsia" w:ascii="宋体" w:hAnsi="Times New Roman"/>
          <w:kern w:val="0"/>
          <w:szCs w:val="20"/>
        </w:rPr>
        <w:t>2015年首次发布为DB42/T 1049-2015；</w:t>
      </w:r>
    </w:p>
    <w:p>
      <w:pPr>
        <w:widowControl/>
        <w:autoSpaceDE w:val="0"/>
        <w:autoSpaceDN w:val="0"/>
        <w:adjustRightInd/>
        <w:spacing w:line="240" w:lineRule="auto"/>
        <w:ind w:firstLine="420" w:firstLineChars="200"/>
        <w:rPr>
          <w:rFonts w:ascii="宋体" w:hAnsi="Times New Roman"/>
          <w:kern w:val="0"/>
          <w:szCs w:val="20"/>
        </w:rPr>
      </w:pPr>
      <w:r>
        <w:rPr>
          <w:rFonts w:ascii="Times New Roman" w:hAnsi="Times New Roman"/>
          <w:kern w:val="0"/>
          <w:szCs w:val="20"/>
        </w:rPr>
        <w:t>——</w:t>
      </w:r>
      <w:r>
        <w:rPr>
          <w:rFonts w:hint="eastAsia" w:ascii="宋体" w:hAnsi="Times New Roman"/>
          <w:kern w:val="0"/>
          <w:szCs w:val="20"/>
        </w:rPr>
        <w:t>本次为第一次修订,修订为推荐性地方标准。</w:t>
      </w:r>
    </w:p>
    <w:p>
      <w:pPr>
        <w:pStyle w:val="58"/>
        <w:ind w:firstLine="0" w:firstLineChars="0"/>
      </w:pPr>
    </w:p>
    <w:p>
      <w:pPr>
        <w:pStyle w:val="58"/>
        <w:ind w:firstLine="420"/>
      </w:pPr>
    </w:p>
    <w:p>
      <w:pPr>
        <w:pStyle w:val="58"/>
        <w:ind w:firstLine="420"/>
        <w:sectPr>
          <w:headerReference r:id="rId15" w:type="default"/>
          <w:footerReference r:id="rId17" w:type="default"/>
          <w:headerReference r:id="rId16" w:type="even"/>
          <w:footerReference r:id="rId18" w:type="even"/>
          <w:pgSz w:w="11906" w:h="16838"/>
          <w:pgMar w:top="1928" w:right="1134" w:bottom="1134" w:left="1134" w:header="1418" w:footer="1134" w:gutter="284"/>
          <w:pgNumType w:fmt="upperRoman"/>
          <w:cols w:space="425" w:num="1"/>
          <w:formProt w:val="0"/>
          <w:docGrid w:type="lines" w:linePitch="312" w:charSpace="0"/>
        </w:sectPr>
      </w:pPr>
    </w:p>
    <w:bookmarkEnd w:id="22"/>
    <w:p>
      <w:pPr>
        <w:spacing w:line="20" w:lineRule="exact"/>
        <w:jc w:val="center"/>
        <w:rPr>
          <w:rFonts w:hint="eastAsia" w:ascii="黑体" w:hAnsi="黑体" w:eastAsia="黑体"/>
          <w:sz w:val="32"/>
          <w:szCs w:val="32"/>
        </w:rPr>
      </w:pPr>
      <w:bookmarkStart w:id="23" w:name="BookMark4"/>
    </w:p>
    <w:p>
      <w:pPr>
        <w:spacing w:line="20" w:lineRule="exact"/>
        <w:jc w:val="center"/>
        <w:rPr>
          <w:rFonts w:hint="eastAsia" w:ascii="黑体" w:hAnsi="黑体" w:eastAsia="黑体"/>
          <w:sz w:val="32"/>
          <w:szCs w:val="32"/>
        </w:rPr>
      </w:pPr>
    </w:p>
    <w:sdt>
      <w:sdtPr>
        <w:tag w:val="NEW_STAND_NAME"/>
        <w:id w:val="595910757"/>
        <w:lock w:val="sdtLocked"/>
        <w:placeholder>
          <w:docPart w:val="B71952DD4DBD48A1B2B2C5D4FEA55BA1"/>
        </w:placeholder>
      </w:sdtPr>
      <w:sdtContent>
        <w:p>
          <w:pPr>
            <w:pStyle w:val="179"/>
            <w:spacing w:before="3" w:beforeLines="1" w:after="686" w:afterLines="220"/>
            <w:rPr>
              <w:rFonts w:hint="eastAsia"/>
            </w:rPr>
          </w:pPr>
          <w:bookmarkStart w:id="24" w:name="NEW_STAND_NAME"/>
          <w:r>
            <w:rPr>
              <w:rFonts w:hint="eastAsia"/>
            </w:rPr>
            <w:t>房产面积测绘技术规程</w:t>
          </w:r>
        </w:p>
      </w:sdtContent>
    </w:sdt>
    <w:bookmarkEnd w:id="24"/>
    <w:p>
      <w:pPr>
        <w:pStyle w:val="106"/>
        <w:spacing w:before="312" w:after="312"/>
      </w:pPr>
      <w:bookmarkStart w:id="25" w:name="_Toc17233325"/>
      <w:bookmarkStart w:id="26" w:name="_Toc24884218"/>
      <w:bookmarkStart w:id="27" w:name="_Toc26986771"/>
      <w:bookmarkStart w:id="28" w:name="_Toc26718930"/>
      <w:bookmarkStart w:id="29" w:name="_Toc26986530"/>
      <w:bookmarkStart w:id="30" w:name="_Toc237470874"/>
      <w:bookmarkStart w:id="31" w:name="_Toc26648465"/>
      <w:bookmarkStart w:id="32" w:name="_Toc97191423"/>
      <w:bookmarkStart w:id="33" w:name="_Toc17233333"/>
      <w:bookmarkStart w:id="34" w:name="_Toc24884211"/>
      <w:r>
        <w:rPr>
          <w:rFonts w:hint="eastAsia"/>
        </w:rPr>
        <w:t>范围</w:t>
      </w:r>
      <w:bookmarkEnd w:id="25"/>
      <w:bookmarkEnd w:id="26"/>
      <w:bookmarkEnd w:id="27"/>
      <w:bookmarkEnd w:id="28"/>
      <w:bookmarkEnd w:id="29"/>
      <w:bookmarkEnd w:id="30"/>
      <w:bookmarkEnd w:id="31"/>
      <w:bookmarkEnd w:id="32"/>
      <w:bookmarkEnd w:id="33"/>
      <w:bookmarkEnd w:id="34"/>
    </w:p>
    <w:p>
      <w:pPr>
        <w:pStyle w:val="58"/>
        <w:ind w:firstLine="420"/>
      </w:pPr>
      <w:bookmarkStart w:id="35" w:name="_Toc17233334"/>
      <w:bookmarkStart w:id="36" w:name="_Toc26648466"/>
      <w:bookmarkStart w:id="37" w:name="_Toc17233326"/>
      <w:bookmarkStart w:id="38" w:name="_Toc24884219"/>
      <w:bookmarkStart w:id="39" w:name="_Toc24884212"/>
      <w:r>
        <w:rPr>
          <w:rFonts w:hint="eastAsia"/>
        </w:rPr>
        <w:t>本文件规定了房产测绘的总则、房产平面控制测量、分幅与分丘测绘、分层分户测绘、建筑面积计算规定、共有建筑面积分摊规则、房产变更测绘、成果资料检查、验收和归档以及数字房产图和房产测绘信息化等内容。</w:t>
      </w:r>
    </w:p>
    <w:p>
      <w:pPr>
        <w:pStyle w:val="58"/>
        <w:ind w:firstLine="420"/>
      </w:pPr>
      <w:r>
        <w:rPr>
          <w:rFonts w:hint="eastAsia"/>
        </w:rPr>
        <w:t>本文件适用于湖北省行政区域内城市、建制镇的建成区和建成区以外的工矿企事业单位及其毗连居民点的房产测绘。其它地区的房产测绘亦可参照执行。</w:t>
      </w:r>
    </w:p>
    <w:p>
      <w:pPr>
        <w:pStyle w:val="106"/>
        <w:spacing w:before="312" w:after="312"/>
      </w:pPr>
      <w:bookmarkStart w:id="40" w:name="_Toc26986772"/>
      <w:bookmarkStart w:id="41" w:name="_Toc26718931"/>
      <w:bookmarkStart w:id="42" w:name="_Toc97191424"/>
      <w:bookmarkStart w:id="43" w:name="_Toc237470875"/>
      <w:bookmarkStart w:id="44" w:name="_Toc26986531"/>
      <w:r>
        <w:rPr>
          <w:rFonts w:hint="eastAsia"/>
        </w:rPr>
        <w:t>规范性引用文件</w:t>
      </w:r>
      <w:bookmarkEnd w:id="35"/>
      <w:bookmarkEnd w:id="36"/>
      <w:bookmarkEnd w:id="37"/>
      <w:bookmarkEnd w:id="38"/>
      <w:bookmarkEnd w:id="39"/>
      <w:bookmarkEnd w:id="40"/>
      <w:bookmarkEnd w:id="41"/>
      <w:bookmarkEnd w:id="42"/>
      <w:bookmarkEnd w:id="43"/>
      <w:bookmarkEnd w:id="44"/>
    </w:p>
    <w:sdt>
      <w:sdtPr>
        <w:rPr>
          <w:rFonts w:hint="eastAsia"/>
        </w:rPr>
        <w:id w:val="715848253"/>
        <w:placeholder>
          <w:docPart w:val="5C730D42F06C44D0B470F77A66C34A3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8"/>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GB/T 13923  基础地理信息要素分类与代码</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GB/T 17160  1：500 1：1 000 1：2 000地形图数字化规范</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GB/T 17986.1-2000  房产测量规范 第1单元：房产测量规定</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GB/T 17986.2-2000  房产测量规范 第2单元:房产图图式</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GB/T 20257.1  国家基本比例尺地图图式 第1部分1：500 1：1000 1：2000地形图图式</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GB/T 24356-2023  测绘成果质量检查与验收</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GB/T 39612  低空数字航摄与数据处理规范</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CH/T 1001-2005  测绘技术总结编写规定</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CH/T 2009  全球定位系统实时动态测量（RTK）技术规范</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CH/T 9015  三维地理信息模型数据产品规范</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CH/T 9016  三维地理信息模型生产规范</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CJJ/T 8  城市测量规范</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CJJ/T 73  卫星定位城市测量技术标准</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CJJ/T 115  房地产市场信息系统技术规范</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CJJ/T 157  城市三维建模技术规范</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 xml:space="preserve">CJJ/T 319  城市信息模型数据加工技术标准  </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JGJ/T 252  房地产市场基础信息数据标准</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JGJ/T 496  房屋建筑统一编码与基本属性数据标准</w:t>
      </w:r>
    </w:p>
    <w:p>
      <w:pPr>
        <w:pStyle w:val="106"/>
        <w:spacing w:before="312" w:after="312"/>
      </w:pPr>
      <w:bookmarkStart w:id="45" w:name="_Toc237470876"/>
      <w:bookmarkStart w:id="46" w:name="_Toc97191425"/>
      <w:r>
        <w:rPr>
          <w:rFonts w:hint="eastAsia"/>
          <w:szCs w:val="21"/>
        </w:rPr>
        <w:t>术语和定义</w:t>
      </w:r>
      <w:bookmarkEnd w:id="45"/>
      <w:bookmarkEnd w:id="46"/>
    </w:p>
    <w:sdt>
      <w:sdtPr>
        <w:id w:val="-1909835108"/>
        <w:placeholder>
          <w:docPart w:val="AF31CF3D47E4460CB079FDC4E876051E"/>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8"/>
            <w:ind w:firstLine="420"/>
          </w:pPr>
          <w:bookmarkStart w:id="47" w:name="_Toc26986532"/>
          <w:bookmarkEnd w:id="47"/>
          <w:r>
            <w:t>下列术语和定义适用于本文件。</w:t>
          </w:r>
        </w:p>
      </w:sdtContent>
    </w:sdt>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房产测绘  </w:t>
      </w:r>
      <w:r>
        <w:rPr>
          <w:rFonts w:ascii="黑体" w:hAnsi="黑体" w:eastAsia="黑体"/>
        </w:rPr>
        <w:t>house property surveying and mapping</w:t>
      </w:r>
    </w:p>
    <w:p>
      <w:pPr>
        <w:pStyle w:val="58"/>
        <w:ind w:firstLine="420"/>
      </w:pPr>
      <w:r>
        <w:rPr>
          <w:rFonts w:hint="eastAsia"/>
        </w:rPr>
        <w:t>是指运用测绘仪器、测绘技术、测绘手段，采集和表述房屋和房屋用地的有关信息，形成房屋基础数据和资料的专业活动。</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丘  </w:t>
      </w:r>
      <w:r>
        <w:rPr>
          <w:rFonts w:ascii="黑体" w:hAnsi="黑体" w:eastAsia="黑体"/>
        </w:rPr>
        <w:t>parcel</w:t>
      </w:r>
    </w:p>
    <w:p>
      <w:pPr>
        <w:spacing w:line="240" w:lineRule="auto"/>
        <w:ind w:firstLine="420" w:firstLineChars="200"/>
        <w:rPr>
          <w:rFonts w:ascii="宋体" w:hAnsi="Times New Roman"/>
          <w:kern w:val="0"/>
          <w:szCs w:val="20"/>
        </w:rPr>
      </w:pPr>
      <w:r>
        <w:rPr>
          <w:rFonts w:hint="eastAsia" w:ascii="宋体" w:hAnsi="Times New Roman"/>
          <w:kern w:val="0"/>
          <w:szCs w:val="20"/>
        </w:rPr>
        <w:t>是指地表上一块有界空间的地块。一个地块只属于一个产权单元时称独立丘，一个地块属于几个产权单元时称组合丘。</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  house</w:t>
      </w:r>
    </w:p>
    <w:p>
      <w:pPr>
        <w:spacing w:line="240" w:lineRule="auto"/>
        <w:ind w:firstLine="420" w:firstLineChars="200"/>
        <w:rPr>
          <w:rFonts w:ascii="宋体" w:hAnsi="Times New Roman"/>
          <w:kern w:val="0"/>
          <w:szCs w:val="20"/>
        </w:rPr>
      </w:pPr>
      <w:r>
        <w:rPr>
          <w:rFonts w:hint="eastAsia" w:ascii="宋体" w:hAnsi="Times New Roman"/>
          <w:kern w:val="0"/>
          <w:szCs w:val="20"/>
        </w:rPr>
        <w:t>是指包括独立成幢、权属界线封闭的空间，以及区分套、层、间等可以独立使用、权属界线封闭的空间。</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房屋基本单元  a basic unit of housing</w:t>
      </w:r>
    </w:p>
    <w:p>
      <w:pPr>
        <w:spacing w:line="240" w:lineRule="auto"/>
        <w:ind w:firstLine="420" w:firstLineChars="200"/>
        <w:rPr>
          <w:rFonts w:ascii="宋体" w:hAnsi="Times New Roman"/>
          <w:kern w:val="0"/>
          <w:szCs w:val="20"/>
        </w:rPr>
      </w:pPr>
      <w:r>
        <w:rPr>
          <w:rFonts w:hint="eastAsia" w:ascii="宋体" w:hAnsi="Times New Roman"/>
          <w:kern w:val="0"/>
          <w:szCs w:val="20"/>
        </w:rPr>
        <w:t>是指有固定界限、可以独立使用并有明确、唯一编号（幢号、户号等）的房屋或者特定空间。</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房屋面积测算  housing area calculation</w:t>
      </w:r>
    </w:p>
    <w:p>
      <w:pPr>
        <w:pStyle w:val="225"/>
        <w:numPr>
          <w:ilvl w:val="0"/>
          <w:numId w:val="0"/>
        </w:numPr>
        <w:ind w:firstLine="420" w:firstLineChars="200"/>
      </w:pPr>
      <w:r>
        <w:rPr>
          <w:rFonts w:hint="eastAsia"/>
        </w:rPr>
        <w:t>是指房屋水平投影面积的测算，包括房屋建筑面积、套内建筑面积、共有建筑面积、产权面积、使用面积等测算。根据数据采集方式不同分为房屋面积预测和房屋面积实测。</w:t>
      </w:r>
    </w:p>
    <w:p>
      <w:pPr>
        <w:pStyle w:val="225"/>
        <w:ind w:left="420" w:hanging="420" w:hangingChars="200"/>
        <w:rPr>
          <w:rFonts w:hint="eastAsia" w:ascii="黑体" w:hAnsi="黑体" w:eastAsia="黑体"/>
        </w:rPr>
      </w:pPr>
    </w:p>
    <w:p>
      <w:pPr>
        <w:pStyle w:val="225"/>
        <w:numPr>
          <w:ilvl w:val="0"/>
          <w:numId w:val="0"/>
        </w:numPr>
        <w:ind w:left="420"/>
        <w:rPr>
          <w:rFonts w:hint="eastAsia" w:ascii="黑体" w:hAnsi="黑体" w:eastAsia="黑体"/>
          <w:szCs w:val="21"/>
        </w:rPr>
      </w:pPr>
      <w:r>
        <w:rPr>
          <w:rFonts w:hint="eastAsia" w:ascii="黑体" w:hAnsi="黑体" w:eastAsia="黑体"/>
        </w:rPr>
        <w:t>房屋面积预测  prediction of housing area</w:t>
      </w:r>
    </w:p>
    <w:p>
      <w:pPr>
        <w:widowControl/>
        <w:adjustRightInd/>
        <w:spacing w:line="240" w:lineRule="auto"/>
        <w:ind w:firstLine="420"/>
        <w:rPr>
          <w:rFonts w:hint="eastAsia" w:ascii="宋体" w:hAnsi="宋体" w:cs="宋体"/>
          <w:kern w:val="0"/>
        </w:rPr>
      </w:pPr>
      <w:r>
        <w:rPr>
          <w:rFonts w:hint="eastAsia" w:ascii="宋体" w:hAnsi="宋体" w:cs="宋体"/>
          <w:kern w:val="0"/>
        </w:rPr>
        <w:t>是指在房屋竣工前，房产测绘单位根据符合要求的建筑施工图或其它资料采集房屋边长尺寸及房屋有关信息，对房屋面积进行测算的行为。</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房屋面积实测  actual measurement of housing area</w:t>
      </w:r>
    </w:p>
    <w:p>
      <w:pPr>
        <w:widowControl/>
        <w:adjustRightInd/>
        <w:spacing w:line="240" w:lineRule="auto"/>
        <w:ind w:firstLine="420"/>
        <w:rPr>
          <w:rFonts w:hint="eastAsia" w:ascii="宋体" w:hAnsi="宋体" w:cs="宋体"/>
          <w:kern w:val="0"/>
        </w:rPr>
      </w:pPr>
      <w:r>
        <w:rPr>
          <w:rFonts w:hint="eastAsia" w:ascii="宋体" w:hAnsi="宋体" w:cs="宋体"/>
          <w:kern w:val="0"/>
        </w:rPr>
        <w:t>是指房屋竣工后，房产测绘单位实地采集房屋边长尺寸及房屋有关信息，对房屋面积进行测算的行为。</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房屋建筑面积  housing construction area</w:t>
      </w:r>
    </w:p>
    <w:p>
      <w:pPr>
        <w:widowControl/>
        <w:adjustRightInd/>
        <w:spacing w:line="240" w:lineRule="auto"/>
        <w:ind w:firstLine="420"/>
        <w:rPr>
          <w:rFonts w:hint="eastAsia" w:ascii="宋体" w:hAnsi="宋体" w:cs="宋体"/>
          <w:kern w:val="0"/>
        </w:rPr>
      </w:pPr>
      <w:r>
        <w:rPr>
          <w:rFonts w:hint="eastAsia" w:ascii="宋体" w:hAnsi="宋体" w:cs="宋体"/>
          <w:kern w:val="0"/>
        </w:rPr>
        <w:t>是指房屋外墙（柱）勒脚以上各层的外围水平投影面积，包括阳台、挑廊、地下室、室外楼梯等，且具备有上盖、结构牢固、有围护物、有实际使用功能、层高2.20m以上（含2.20m）的永久性建筑。</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房屋产权面积  areas of owner</w:t>
      </w:r>
      <w:r>
        <w:rPr>
          <w:rFonts w:ascii="黑体" w:hAnsi="黑体" w:eastAsia="黑体"/>
        </w:rPr>
        <w:t xml:space="preserve">’s </w:t>
      </w:r>
      <w:r>
        <w:rPr>
          <w:rFonts w:hint="eastAsia" w:ascii="黑体" w:hAnsi="黑体" w:eastAsia="黑体"/>
        </w:rPr>
        <w:t>house</w:t>
      </w:r>
    </w:p>
    <w:p>
      <w:pPr>
        <w:widowControl/>
        <w:adjustRightInd/>
        <w:spacing w:line="240" w:lineRule="auto"/>
        <w:ind w:firstLine="420"/>
        <w:rPr>
          <w:rFonts w:hint="eastAsia" w:ascii="宋体" w:hAnsi="宋体" w:cs="宋体"/>
          <w:kern w:val="0"/>
        </w:rPr>
      </w:pPr>
      <w:r>
        <w:rPr>
          <w:rFonts w:hint="eastAsia" w:ascii="宋体" w:hAnsi="宋体" w:cs="宋体"/>
          <w:kern w:val="0"/>
        </w:rPr>
        <w:t>是指权利人依法拥有房屋所有权的房屋建筑面积，由房屋的套内建筑面积和分摊的共有建筑面积两部分组成。房屋产权面积由市、县人民政府不动产登记机构审核、确认。</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房屋套内建筑面积  housing set inside area</w:t>
      </w:r>
    </w:p>
    <w:p>
      <w:pPr>
        <w:widowControl/>
        <w:adjustRightInd/>
        <w:spacing w:line="240" w:lineRule="auto"/>
        <w:ind w:firstLine="420"/>
        <w:rPr>
          <w:rFonts w:hint="eastAsia" w:ascii="宋体" w:hAnsi="宋体" w:cs="宋体"/>
          <w:kern w:val="0"/>
        </w:rPr>
      </w:pPr>
      <w:r>
        <w:rPr>
          <w:rFonts w:hint="eastAsia" w:ascii="宋体" w:hAnsi="宋体" w:cs="宋体"/>
          <w:kern w:val="0"/>
        </w:rPr>
        <w:t>是指房屋基本单元固定界限范围内水平投影面积，包括房屋套内使用面积、套内墙体面积和套内阳台建筑面积。</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共有建筑面积  share property areas</w:t>
      </w:r>
    </w:p>
    <w:p>
      <w:pPr>
        <w:widowControl/>
        <w:adjustRightInd/>
        <w:spacing w:line="240" w:lineRule="auto"/>
        <w:ind w:firstLine="420"/>
        <w:rPr>
          <w:rFonts w:hint="eastAsia" w:ascii="宋体" w:hAnsi="宋体" w:cs="宋体"/>
          <w:kern w:val="0"/>
        </w:rPr>
      </w:pPr>
      <w:r>
        <w:rPr>
          <w:rFonts w:hint="eastAsia" w:ascii="宋体" w:hAnsi="宋体" w:cs="宋体"/>
          <w:kern w:val="0"/>
        </w:rPr>
        <w:t>是指建筑物内多个权利人共同占有或共同使用的建筑面积。共有建筑面积分为应分摊的共有建筑面积和不应分摊的共有建筑面积。</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房屋用地面积  land area of housing</w:t>
      </w:r>
    </w:p>
    <w:p>
      <w:pPr>
        <w:widowControl/>
        <w:adjustRightInd/>
        <w:spacing w:line="240" w:lineRule="auto"/>
        <w:ind w:firstLine="420"/>
        <w:rPr>
          <w:rFonts w:hint="eastAsia" w:ascii="宋体" w:hAnsi="宋体" w:cs="宋体"/>
          <w:kern w:val="0"/>
        </w:rPr>
      </w:pPr>
      <w:r>
        <w:rPr>
          <w:rFonts w:hint="eastAsia" w:ascii="宋体" w:hAnsi="宋体" w:cs="宋体"/>
          <w:kern w:val="0"/>
        </w:rPr>
        <w:t>是指房屋占用和使用的全部土地面积，包括房屋及其附属设施所占用的土地面积、院落用地面积和其它用途的土地面积。用地面积以丘为单位进行测算。</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房屋占地面积  housing area covered</w:t>
      </w:r>
    </w:p>
    <w:p>
      <w:pPr>
        <w:widowControl/>
        <w:adjustRightInd/>
        <w:spacing w:line="240" w:lineRule="auto"/>
        <w:ind w:firstLine="420"/>
        <w:rPr>
          <w:rFonts w:hint="eastAsia" w:ascii="宋体" w:hAnsi="宋体" w:cs="宋体"/>
          <w:kern w:val="0"/>
        </w:rPr>
      </w:pPr>
      <w:r>
        <w:rPr>
          <w:rFonts w:hint="eastAsia" w:ascii="宋体" w:hAnsi="宋体" w:cs="宋体"/>
          <w:kern w:val="0"/>
        </w:rPr>
        <w:t>是指房屋底层外围水平投影面积，包括底层的阳台、柱廊、门廊、室外楼梯等水平投影面积。</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幢  a unit of housing</w:t>
      </w:r>
    </w:p>
    <w:p>
      <w:pPr>
        <w:widowControl/>
        <w:adjustRightInd/>
        <w:spacing w:line="240" w:lineRule="auto"/>
        <w:ind w:firstLine="420"/>
        <w:rPr>
          <w:rFonts w:hint="eastAsia" w:ascii="宋体" w:hAnsi="宋体" w:cs="宋体"/>
          <w:kern w:val="0"/>
        </w:rPr>
      </w:pPr>
      <w:r>
        <w:rPr>
          <w:rFonts w:hint="eastAsia" w:ascii="宋体" w:hAnsi="宋体" w:cs="宋体"/>
          <w:kern w:val="0"/>
        </w:rPr>
        <w:t xml:space="preserve">是指一座独立的，包括不同结构和不同层次的房屋，亦称为“栋”。 </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自然层  floor</w:t>
      </w:r>
    </w:p>
    <w:p>
      <w:pPr>
        <w:widowControl/>
        <w:adjustRightInd/>
        <w:spacing w:line="240" w:lineRule="auto"/>
        <w:ind w:firstLine="420"/>
        <w:rPr>
          <w:rFonts w:hint="eastAsia" w:ascii="宋体" w:hAnsi="宋体" w:cs="宋体"/>
          <w:kern w:val="0"/>
        </w:rPr>
      </w:pPr>
      <w:r>
        <w:rPr>
          <w:rFonts w:hint="eastAsia" w:ascii="宋体" w:hAnsi="宋体" w:cs="宋体"/>
          <w:kern w:val="0"/>
        </w:rPr>
        <w:t>是指地面以上按楼板、地板结构分层的层高大于或等于2.20m的楼层。</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夹层  Interlayer</w:t>
      </w:r>
    </w:p>
    <w:p>
      <w:pPr>
        <w:widowControl/>
        <w:adjustRightInd/>
        <w:spacing w:line="240" w:lineRule="auto"/>
        <w:ind w:firstLine="420"/>
        <w:rPr>
          <w:rFonts w:hint="eastAsia" w:ascii="宋体" w:hAnsi="宋体" w:cs="宋体"/>
          <w:kern w:val="0"/>
        </w:rPr>
      </w:pPr>
      <w:r>
        <w:rPr>
          <w:rFonts w:hint="eastAsia" w:ascii="宋体" w:hAnsi="宋体" w:cs="宋体"/>
          <w:kern w:val="0"/>
        </w:rPr>
        <w:t>是指建筑物自然层内未形成完整楼层结构但属于建筑物整体结构的局部楼层。</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技术层  the technology layer</w:t>
      </w:r>
    </w:p>
    <w:p>
      <w:pPr>
        <w:widowControl/>
        <w:adjustRightInd/>
        <w:spacing w:line="240" w:lineRule="auto"/>
        <w:ind w:firstLine="420"/>
        <w:rPr>
          <w:rFonts w:hint="eastAsia" w:ascii="宋体" w:hAnsi="宋体" w:cs="宋体"/>
          <w:kern w:val="0"/>
        </w:rPr>
      </w:pPr>
      <w:r>
        <w:rPr>
          <w:rFonts w:hint="eastAsia" w:ascii="宋体" w:hAnsi="宋体" w:cs="宋体"/>
          <w:kern w:val="0"/>
        </w:rPr>
        <w:t>是指建筑物内用作水、电、暖、卫生等设备安装或结构转换的楼层。</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房屋层数、总层数  the number of layers、the total number of layers</w:t>
      </w:r>
    </w:p>
    <w:p>
      <w:pPr>
        <w:widowControl/>
        <w:adjustRightInd/>
        <w:spacing w:line="240" w:lineRule="auto"/>
        <w:ind w:firstLine="420"/>
        <w:rPr>
          <w:rFonts w:hint="eastAsia" w:ascii="宋体" w:hAnsi="宋体" w:cs="宋体"/>
          <w:kern w:val="0"/>
        </w:rPr>
      </w:pPr>
      <w:r>
        <w:rPr>
          <w:rFonts w:hint="eastAsia" w:ascii="宋体" w:hAnsi="宋体" w:cs="宋体"/>
          <w:kern w:val="0"/>
        </w:rPr>
        <w:t>房屋层数是指房屋的自然层数；房屋总层数是指房屋的地上自然层数与地下层数之和；假层、夹层、插层、阁楼、装饰性塔楼，以及突出屋面的楼梯间、杂物间、水箱间等不计自然层数。</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层高  height between floors </w:t>
      </w:r>
    </w:p>
    <w:p>
      <w:pPr>
        <w:widowControl/>
        <w:adjustRightInd/>
        <w:spacing w:line="240" w:lineRule="auto"/>
        <w:ind w:firstLine="420"/>
        <w:rPr>
          <w:rFonts w:hint="eastAsia" w:ascii="宋体" w:hAnsi="宋体" w:cs="宋体"/>
          <w:kern w:val="0"/>
        </w:rPr>
      </w:pPr>
      <w:r>
        <w:rPr>
          <w:rFonts w:hint="eastAsia" w:ascii="宋体" w:hAnsi="宋体" w:cs="宋体"/>
          <w:kern w:val="0"/>
        </w:rPr>
        <w:t>是指房屋上下两层楼面或地面与楼面之间的垂直距离。</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复式住宅、跃层住宅  duplex apartment</w:t>
      </w:r>
    </w:p>
    <w:p>
      <w:pPr>
        <w:widowControl/>
        <w:adjustRightInd/>
        <w:spacing w:line="240" w:lineRule="auto"/>
        <w:ind w:firstLine="420"/>
        <w:rPr>
          <w:rFonts w:hint="eastAsia" w:ascii="宋体" w:hAnsi="宋体" w:cs="宋体"/>
          <w:kern w:val="0"/>
        </w:rPr>
      </w:pPr>
      <w:r>
        <w:rPr>
          <w:rFonts w:hint="eastAsia" w:ascii="宋体" w:hAnsi="宋体" w:cs="宋体"/>
          <w:kern w:val="0"/>
        </w:rPr>
        <w:t>是指套内空间跨越两个楼层或两个楼层以上的住宅房屋。房屋顶层为复式住宅时，也称跃层住宅。</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架空层  stilt floor</w:t>
      </w:r>
    </w:p>
    <w:p>
      <w:pPr>
        <w:widowControl/>
        <w:adjustRightInd/>
        <w:spacing w:line="240" w:lineRule="auto"/>
        <w:ind w:firstLine="420"/>
        <w:rPr>
          <w:rFonts w:hint="eastAsia" w:ascii="宋体" w:hAnsi="宋体" w:cs="宋体"/>
          <w:kern w:val="0"/>
        </w:rPr>
      </w:pPr>
      <w:r>
        <w:rPr>
          <w:rFonts w:hint="eastAsia" w:ascii="宋体" w:hAnsi="宋体" w:cs="宋体"/>
          <w:kern w:val="0"/>
        </w:rPr>
        <w:t>是指用结构支撑且无外围护结构的开敞空间。</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骑楼  overhang</w:t>
      </w:r>
    </w:p>
    <w:p>
      <w:pPr>
        <w:widowControl/>
        <w:adjustRightInd/>
        <w:spacing w:line="240" w:lineRule="auto"/>
        <w:ind w:firstLine="420"/>
        <w:rPr>
          <w:rFonts w:hint="eastAsia" w:ascii="宋体" w:hAnsi="宋体" w:cs="宋体"/>
          <w:kern w:val="0"/>
        </w:rPr>
      </w:pPr>
      <w:r>
        <w:rPr>
          <w:rFonts w:hint="eastAsia" w:ascii="宋体" w:hAnsi="宋体" w:cs="宋体"/>
          <w:kern w:val="0"/>
        </w:rPr>
        <w:t>是指沿道路（街、巷）建设，底层部分建筑作为社会性公用通道或街巷的房屋。</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过街楼  overhead building</w:t>
      </w:r>
    </w:p>
    <w:p>
      <w:pPr>
        <w:widowControl/>
        <w:adjustRightInd/>
        <w:spacing w:line="240" w:lineRule="auto"/>
        <w:ind w:firstLine="420"/>
        <w:rPr>
          <w:rFonts w:hint="eastAsia" w:ascii="宋体" w:hAnsi="宋体" w:cs="宋体"/>
          <w:kern w:val="0"/>
        </w:rPr>
      </w:pPr>
      <w:r>
        <w:rPr>
          <w:rFonts w:hint="eastAsia" w:ascii="宋体" w:hAnsi="宋体" w:cs="宋体"/>
          <w:kern w:val="0"/>
        </w:rPr>
        <w:t>是指建在道路（街、巷）上方，底层（或底层部分建筑）用作公用通道或街巷的房屋。</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地下室、半地下室  basement、semi-basement</w:t>
      </w:r>
    </w:p>
    <w:p>
      <w:pPr>
        <w:widowControl/>
        <w:adjustRightInd/>
        <w:spacing w:line="240" w:lineRule="auto"/>
        <w:ind w:firstLine="420"/>
        <w:rPr>
          <w:rFonts w:hint="eastAsia" w:ascii="宋体" w:hAnsi="宋体" w:cs="宋体"/>
          <w:kern w:val="0"/>
        </w:rPr>
      </w:pPr>
      <w:r>
        <w:rPr>
          <w:rFonts w:hint="eastAsia" w:ascii="宋体" w:hAnsi="宋体" w:cs="宋体"/>
          <w:kern w:val="0"/>
        </w:rPr>
        <w:t>是指房间室内地面低于室外地平面的高度超过该房间室内净高的1</w:t>
      </w:r>
      <w:r>
        <w:rPr>
          <w:rFonts w:ascii="宋体" w:hAnsi="宋体" w:cs="宋体"/>
          <w:kern w:val="0"/>
        </w:rPr>
        <w:t>/2</w:t>
      </w:r>
      <w:r>
        <w:rPr>
          <w:rFonts w:hint="eastAsia" w:ascii="宋体" w:hAnsi="宋体" w:cs="宋体"/>
          <w:kern w:val="0"/>
        </w:rPr>
        <w:t>者为地下室；房间室内地面低于室外地平面的高度超过该房间室内净高的1/</w:t>
      </w:r>
      <w:r>
        <w:rPr>
          <w:rFonts w:ascii="宋体" w:hAnsi="宋体" w:cs="宋体"/>
          <w:kern w:val="0"/>
        </w:rPr>
        <w:t>3</w:t>
      </w:r>
      <w:r>
        <w:rPr>
          <w:rFonts w:hint="eastAsia" w:ascii="宋体" w:hAnsi="宋体" w:cs="宋体"/>
          <w:kern w:val="0"/>
        </w:rPr>
        <w:t>且不超过1</w:t>
      </w:r>
      <w:r>
        <w:rPr>
          <w:rFonts w:ascii="宋体" w:hAnsi="宋体" w:cs="宋体"/>
          <w:kern w:val="0"/>
        </w:rPr>
        <w:t>/2</w:t>
      </w:r>
      <w:r>
        <w:rPr>
          <w:rFonts w:hint="eastAsia" w:ascii="宋体" w:hAnsi="宋体" w:cs="宋体"/>
          <w:kern w:val="0"/>
        </w:rPr>
        <w:t>者为半地下室。</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变形缝  deformation joint</w:t>
      </w:r>
    </w:p>
    <w:p>
      <w:pPr>
        <w:widowControl/>
        <w:adjustRightInd/>
        <w:spacing w:line="240" w:lineRule="auto"/>
        <w:ind w:firstLine="420"/>
        <w:rPr>
          <w:rFonts w:hint="eastAsia" w:ascii="宋体" w:hAnsi="宋体" w:cs="宋体"/>
          <w:kern w:val="0"/>
        </w:rPr>
      </w:pPr>
      <w:r>
        <w:rPr>
          <w:rFonts w:hint="eastAsia" w:ascii="宋体" w:hAnsi="宋体" w:cs="宋体"/>
          <w:kern w:val="0"/>
        </w:rPr>
        <w:t>是指为了防止因气温变化、地基不均匀沉降以及地震等因素使建筑物发生裂缝或导致破坏，设计时预先在变形敏感部位将建筑物断开，以保证建筑物有足够的变形空间而预留的构造缝。变形缝包括伸缩缝（温度缝）、沉降缝和抗震缝。</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阳台  balcony </w:t>
      </w:r>
    </w:p>
    <w:p>
      <w:pPr>
        <w:widowControl/>
        <w:adjustRightInd/>
        <w:spacing w:line="240" w:lineRule="auto"/>
        <w:ind w:firstLine="420"/>
        <w:rPr>
          <w:rFonts w:hint="eastAsia" w:ascii="宋体" w:hAnsi="宋体" w:cs="宋体"/>
          <w:kern w:val="0"/>
        </w:rPr>
      </w:pPr>
      <w:r>
        <w:rPr>
          <w:rFonts w:hint="eastAsia" w:ascii="宋体" w:hAnsi="宋体" w:cs="宋体"/>
          <w:kern w:val="0"/>
        </w:rPr>
        <w:t>是指与房屋相连相通，有底板、永久性上盖、围护结构，供人们活动、休息及晾晒衣物或其它用途的房屋附属设施。根据其围护结构情况可分为封闭阳台和未封闭阳台。</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室外楼梯  outdoor stairs</w:t>
      </w:r>
    </w:p>
    <w:p>
      <w:pPr>
        <w:widowControl/>
        <w:adjustRightInd/>
        <w:spacing w:line="240" w:lineRule="auto"/>
        <w:ind w:firstLine="420"/>
        <w:rPr>
          <w:rFonts w:hint="eastAsia" w:ascii="宋体" w:hAnsi="宋体" w:cs="宋体"/>
          <w:kern w:val="0"/>
        </w:rPr>
      </w:pPr>
      <w:r>
        <w:rPr>
          <w:rFonts w:hint="eastAsia" w:ascii="宋体" w:hAnsi="宋体" w:cs="宋体"/>
          <w:kern w:val="0"/>
        </w:rPr>
        <w:t>是指房屋的附属建筑，位于房屋外墙外侧，依靠房屋外墙体（或外走廊）搭建的、连接房屋各层之间的垂直通道。</w:t>
      </w:r>
    </w:p>
    <w:p>
      <w:pPr>
        <w:pStyle w:val="225"/>
        <w:ind w:left="420" w:hanging="420" w:hangingChars="200"/>
        <w:rPr>
          <w:rFonts w:hint="eastAsia" w:ascii="黑体" w:hAnsi="黑体" w:eastAsia="黑体"/>
        </w:rPr>
      </w:pPr>
      <w:r>
        <w:rPr>
          <w:rFonts w:ascii="黑体" w:hAnsi="黑体" w:eastAsia="黑体"/>
          <w:color w:val="4472C4"/>
        </w:rPr>
        <w:br w:type="textWrapping"/>
      </w:r>
      <w:r>
        <w:rPr>
          <w:rFonts w:hint="eastAsia" w:ascii="黑体" w:hAnsi="黑体" w:eastAsia="黑体"/>
        </w:rPr>
        <w:t>设备层  mechanical floor</w:t>
      </w:r>
    </w:p>
    <w:p>
      <w:pPr>
        <w:widowControl/>
        <w:adjustRightInd/>
        <w:spacing w:line="240" w:lineRule="auto"/>
        <w:ind w:firstLine="420"/>
        <w:rPr>
          <w:rFonts w:hint="eastAsia" w:ascii="宋体" w:hAnsi="宋体" w:cs="宋体"/>
          <w:kern w:val="0"/>
        </w:rPr>
      </w:pPr>
      <w:r>
        <w:rPr>
          <w:rFonts w:hint="eastAsia" w:ascii="宋体" w:hAnsi="宋体" w:cs="宋体"/>
          <w:kern w:val="0"/>
        </w:rPr>
        <w:t>是指建筑物中专为设置暖通、空调、给水排水和电气等的设备和管道且供人员进入操作的空间层。</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避难层（间）  refuge floor（room）</w:t>
      </w:r>
    </w:p>
    <w:p>
      <w:pPr>
        <w:widowControl/>
        <w:adjustRightInd/>
        <w:spacing w:line="240" w:lineRule="auto"/>
        <w:ind w:firstLine="420"/>
        <w:rPr>
          <w:rFonts w:hint="eastAsia" w:ascii="宋体" w:hAnsi="宋体" w:cs="宋体"/>
          <w:kern w:val="0"/>
        </w:rPr>
      </w:pPr>
      <w:r>
        <w:rPr>
          <w:rFonts w:hint="eastAsia" w:ascii="宋体" w:hAnsi="宋体" w:cs="宋体"/>
          <w:kern w:val="0"/>
        </w:rPr>
        <w:t>是指高层建筑内用于人员暂时躲避火灾及其烟火危害的楼层（房间）。</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设备平台  equipment platform</w:t>
      </w:r>
    </w:p>
    <w:p>
      <w:pPr>
        <w:widowControl/>
        <w:adjustRightInd/>
        <w:spacing w:line="240" w:lineRule="auto"/>
        <w:ind w:firstLine="420"/>
        <w:rPr>
          <w:rFonts w:hint="eastAsia" w:ascii="宋体" w:hAnsi="宋体" w:cs="宋体"/>
          <w:kern w:val="0"/>
        </w:rPr>
      </w:pPr>
      <w:r>
        <w:rPr>
          <w:rFonts w:hint="eastAsia" w:ascii="宋体" w:hAnsi="宋体" w:cs="宋体"/>
          <w:kern w:val="0"/>
        </w:rPr>
        <w:t>是指供空调外机、热水器组等设备搁置和检修空间。</w:t>
      </w:r>
    </w:p>
    <w:p>
      <w:pPr>
        <w:pStyle w:val="225"/>
        <w:ind w:left="420" w:hanging="420" w:hangingChars="200"/>
        <w:rPr>
          <w:rFonts w:hint="eastAsia" w:ascii="黑体" w:hAnsi="黑体" w:eastAsia="黑体"/>
        </w:rPr>
      </w:pPr>
      <w:r>
        <w:rPr>
          <w:rFonts w:ascii="黑体" w:hAnsi="黑体" w:eastAsia="黑体"/>
          <w:color w:val="0070C0"/>
        </w:rPr>
        <w:br w:type="textWrapping"/>
      </w:r>
      <w:r>
        <w:rPr>
          <w:rFonts w:hint="eastAsia" w:ascii="黑体" w:hAnsi="黑体" w:eastAsia="黑体"/>
        </w:rPr>
        <w:t>飘窗（凸窗）  oriel window</w:t>
      </w:r>
    </w:p>
    <w:p>
      <w:pPr>
        <w:widowControl/>
        <w:adjustRightInd/>
        <w:spacing w:line="240" w:lineRule="auto"/>
        <w:ind w:firstLine="420"/>
        <w:rPr>
          <w:rFonts w:hint="eastAsia" w:ascii="宋体" w:hAnsi="宋体" w:cs="宋体"/>
          <w:kern w:val="0"/>
        </w:rPr>
      </w:pPr>
      <w:r>
        <w:rPr>
          <w:rFonts w:hint="eastAsia" w:ascii="宋体" w:hAnsi="宋体" w:cs="宋体"/>
          <w:kern w:val="0"/>
        </w:rPr>
        <w:t>是指凸出建筑物外墙面的窗户。</w:t>
      </w:r>
    </w:p>
    <w:p>
      <w:pPr>
        <w:pStyle w:val="225"/>
        <w:ind w:left="420" w:hanging="420" w:hangingChars="200"/>
        <w:rPr>
          <w:rFonts w:hint="eastAsia" w:ascii="黑体" w:hAnsi="黑体" w:eastAsia="黑体"/>
        </w:rPr>
      </w:pPr>
      <w:r>
        <w:rPr>
          <w:rFonts w:ascii="黑体" w:hAnsi="黑体" w:eastAsia="黑体"/>
          <w:color w:val="0070C0"/>
        </w:rPr>
        <w:br w:type="textWrapping"/>
      </w:r>
      <w:r>
        <w:rPr>
          <w:rFonts w:hint="eastAsia" w:ascii="黑体" w:hAnsi="黑体" w:eastAsia="黑体"/>
        </w:rPr>
        <w:t>雨篷  canopy</w:t>
      </w:r>
    </w:p>
    <w:p>
      <w:pPr>
        <w:widowControl/>
        <w:adjustRightInd/>
        <w:spacing w:line="240" w:lineRule="auto"/>
        <w:ind w:firstLine="420"/>
        <w:rPr>
          <w:rFonts w:hint="eastAsia" w:ascii="宋体" w:hAnsi="宋体" w:cs="宋体"/>
          <w:kern w:val="0"/>
        </w:rPr>
      </w:pPr>
      <w:r>
        <w:rPr>
          <w:rFonts w:hint="eastAsia" w:ascii="宋体" w:hAnsi="宋体" w:cs="宋体"/>
          <w:kern w:val="0"/>
        </w:rPr>
        <w:t>是指建筑物出入口上方为遮挡雨水而设置的建筑部件。</w:t>
      </w:r>
    </w:p>
    <w:p>
      <w:pPr>
        <w:pStyle w:val="225"/>
        <w:ind w:left="420" w:hanging="420" w:hangingChars="200"/>
        <w:rPr>
          <w:rFonts w:hint="eastAsia" w:ascii="黑体" w:hAnsi="黑体" w:eastAsia="黑体"/>
        </w:rPr>
      </w:pPr>
      <w:r>
        <w:rPr>
          <w:rFonts w:ascii="黑体" w:hAnsi="黑体" w:eastAsia="黑体"/>
          <w:color w:val="4472C4"/>
        </w:rPr>
        <w:br w:type="textWrapping"/>
      </w:r>
      <w:r>
        <w:rPr>
          <w:rFonts w:hint="eastAsia" w:ascii="黑体" w:hAnsi="黑体" w:eastAsia="黑体"/>
        </w:rPr>
        <w:t>围护结构  enclosure structure</w:t>
      </w:r>
    </w:p>
    <w:p>
      <w:pPr>
        <w:widowControl/>
        <w:adjustRightInd/>
        <w:spacing w:line="240" w:lineRule="auto"/>
        <w:ind w:firstLine="420"/>
        <w:rPr>
          <w:rFonts w:hint="eastAsia" w:ascii="黑体" w:hAnsi="黑体" w:eastAsia="黑体" w:cs="黑体"/>
          <w:kern w:val="0"/>
        </w:rPr>
      </w:pPr>
      <w:r>
        <w:rPr>
          <w:rFonts w:hint="eastAsia" w:ascii="宋体" w:hAnsi="宋体" w:cs="宋体"/>
          <w:kern w:val="0"/>
        </w:rPr>
        <w:t>是指围合建筑空间的墙体、门、窗等。</w:t>
      </w:r>
    </w:p>
    <w:p>
      <w:pPr>
        <w:pStyle w:val="225"/>
        <w:ind w:left="420" w:hanging="420" w:hangingChars="200"/>
        <w:rPr>
          <w:rFonts w:hint="eastAsia" w:ascii="黑体" w:hAnsi="黑体" w:eastAsia="黑体"/>
        </w:rPr>
      </w:pPr>
      <w:r>
        <w:rPr>
          <w:rFonts w:ascii="黑体" w:hAnsi="黑体" w:eastAsia="黑体"/>
          <w:color w:val="0070C0"/>
        </w:rPr>
        <w:br w:type="textWrapping"/>
      </w:r>
      <w:r>
        <w:rPr>
          <w:rFonts w:hint="eastAsia" w:ascii="黑体" w:hAnsi="黑体" w:eastAsia="黑体"/>
        </w:rPr>
        <w:t>围护设施  enclosure facilities</w:t>
      </w:r>
    </w:p>
    <w:p>
      <w:pPr>
        <w:widowControl/>
        <w:adjustRightInd/>
        <w:spacing w:line="240" w:lineRule="auto"/>
        <w:ind w:firstLine="420"/>
        <w:rPr>
          <w:rFonts w:hint="eastAsia" w:ascii="宋体" w:hAnsi="宋体" w:cs="宋体"/>
          <w:kern w:val="0"/>
        </w:rPr>
      </w:pPr>
      <w:r>
        <w:rPr>
          <w:rFonts w:hint="eastAsia" w:ascii="宋体" w:hAnsi="宋体" w:cs="宋体"/>
          <w:kern w:val="0"/>
        </w:rPr>
        <w:t>是指建筑物中为保障安全而设置的栏杆、栏板等围挡。</w:t>
      </w:r>
    </w:p>
    <w:p>
      <w:pPr>
        <w:pStyle w:val="225"/>
        <w:ind w:left="420" w:hanging="420" w:hangingChars="200"/>
        <w:rPr>
          <w:rFonts w:hint="eastAsia" w:ascii="黑体" w:hAnsi="黑体" w:eastAsia="黑体"/>
        </w:rPr>
      </w:pPr>
      <w:r>
        <w:rPr>
          <w:rFonts w:ascii="黑体" w:hAnsi="黑体" w:eastAsia="黑体"/>
          <w:color w:val="0070C0"/>
        </w:rPr>
        <w:br w:type="textWrapping"/>
      </w:r>
      <w:r>
        <w:rPr>
          <w:rFonts w:hint="eastAsia" w:ascii="黑体" w:hAnsi="黑体" w:eastAsia="黑体"/>
        </w:rPr>
        <w:t xml:space="preserve">室外设计地坪 </w:t>
      </w:r>
      <w:r>
        <w:rPr>
          <w:rFonts w:ascii="黑体" w:hAnsi="黑体" w:eastAsia="黑体"/>
        </w:rPr>
        <w:t xml:space="preserve"> o</w:t>
      </w:r>
      <w:r>
        <w:rPr>
          <w:rFonts w:hint="eastAsia" w:ascii="黑体" w:hAnsi="黑体" w:eastAsia="黑体"/>
        </w:rPr>
        <w:t>utdoor design flooring</w:t>
      </w:r>
    </w:p>
    <w:p>
      <w:pPr>
        <w:widowControl/>
        <w:adjustRightInd/>
        <w:spacing w:line="240" w:lineRule="auto"/>
        <w:ind w:firstLine="420"/>
        <w:rPr>
          <w:rFonts w:hint="eastAsia" w:ascii="宋体" w:hAnsi="宋体" w:cs="宋体"/>
          <w:kern w:val="0"/>
        </w:rPr>
      </w:pPr>
      <w:r>
        <w:rPr>
          <w:rFonts w:hint="eastAsia" w:ascii="宋体" w:hAnsi="宋体" w:cs="宋体"/>
          <w:kern w:val="0"/>
        </w:rPr>
        <w:t>是指设计时根据原始现状地形地貌标高和建筑的功能需要所制定的建筑物交付使用后的室外地坪标高。</w:t>
      </w:r>
    </w:p>
    <w:p>
      <w:pPr>
        <w:pStyle w:val="225"/>
        <w:ind w:left="420" w:hanging="420" w:hangingChars="200"/>
        <w:jc w:val="left"/>
        <w:rPr>
          <w:rFonts w:hint="eastAsia" w:ascii="黑体" w:hAnsi="黑体" w:eastAsia="黑体"/>
        </w:rPr>
      </w:pPr>
      <w:r>
        <w:rPr>
          <w:rFonts w:ascii="黑体" w:hAnsi="黑体" w:eastAsia="黑体"/>
        </w:rPr>
        <w:br w:type="textWrapping"/>
      </w:r>
      <w:r>
        <w:rPr>
          <w:rFonts w:hint="eastAsia" w:ascii="黑体" w:hAnsi="黑体" w:eastAsia="黑体"/>
        </w:rPr>
        <w:t xml:space="preserve">插层 </w:t>
      </w:r>
      <w:r>
        <w:rPr>
          <w:rFonts w:ascii="黑体" w:hAnsi="黑体" w:eastAsia="黑体"/>
        </w:rPr>
        <w:t xml:space="preserve"> </w:t>
      </w:r>
      <w:r>
        <w:rPr>
          <w:rFonts w:hint="eastAsia" w:ascii="黑体" w:hAnsi="黑体" w:eastAsia="黑体"/>
        </w:rPr>
        <w:t>inserted floor</w:t>
      </w:r>
    </w:p>
    <w:p>
      <w:pPr>
        <w:widowControl/>
        <w:adjustRightInd/>
        <w:spacing w:line="240" w:lineRule="auto"/>
        <w:ind w:firstLine="420"/>
        <w:rPr>
          <w:rFonts w:hint="eastAsia" w:ascii="宋体" w:hAnsi="宋体" w:cs="宋体"/>
          <w:kern w:val="0"/>
        </w:rPr>
      </w:pPr>
      <w:r>
        <w:rPr>
          <w:rFonts w:hint="eastAsia" w:ascii="宋体" w:hAnsi="宋体" w:cs="宋体"/>
          <w:kern w:val="0"/>
        </w:rPr>
        <w:t>位于房屋两自然层之间与房屋整体结构不相关联而加插进去的局部楼层。</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假层 </w:t>
      </w:r>
      <w:r>
        <w:rPr>
          <w:rFonts w:ascii="黑体" w:hAnsi="黑体" w:eastAsia="黑体"/>
        </w:rPr>
        <w:t xml:space="preserve"> </w:t>
      </w:r>
      <w:r>
        <w:rPr>
          <w:rFonts w:hint="eastAsia" w:ascii="黑体" w:hAnsi="黑体" w:eastAsia="黑体"/>
        </w:rPr>
        <w:t>informal floor</w:t>
      </w:r>
    </w:p>
    <w:p>
      <w:pPr>
        <w:widowControl/>
        <w:adjustRightInd/>
        <w:spacing w:line="240" w:lineRule="auto"/>
        <w:ind w:firstLine="420"/>
        <w:rPr>
          <w:rFonts w:hint="eastAsia" w:ascii="宋体" w:hAnsi="宋体" w:cs="宋体"/>
          <w:kern w:val="0"/>
        </w:rPr>
      </w:pPr>
      <w:r>
        <w:rPr>
          <w:rFonts w:hint="eastAsia" w:ascii="宋体" w:hAnsi="宋体" w:cs="宋体"/>
          <w:kern w:val="0"/>
        </w:rPr>
        <w:t>指位于自然层以上，层高不是全部为2.20m以上的非正式层。</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门斗 </w:t>
      </w:r>
      <w:r>
        <w:rPr>
          <w:rFonts w:ascii="黑体" w:hAnsi="黑体" w:eastAsia="黑体"/>
        </w:rPr>
        <w:t xml:space="preserve"> </w:t>
      </w:r>
      <w:r>
        <w:rPr>
          <w:rFonts w:hint="eastAsia" w:ascii="黑体" w:hAnsi="黑体" w:eastAsia="黑体"/>
        </w:rPr>
        <w:t>air lock</w:t>
      </w:r>
    </w:p>
    <w:p>
      <w:pPr>
        <w:widowControl/>
        <w:adjustRightInd/>
        <w:spacing w:line="240" w:lineRule="auto"/>
        <w:ind w:firstLine="420"/>
        <w:rPr>
          <w:rFonts w:hint="eastAsia" w:ascii="宋体" w:hAnsi="宋体" w:cs="宋体"/>
          <w:kern w:val="0"/>
        </w:rPr>
      </w:pPr>
      <w:r>
        <w:rPr>
          <w:rFonts w:hint="eastAsia" w:ascii="宋体" w:hAnsi="宋体" w:cs="宋体"/>
          <w:kern w:val="0"/>
        </w:rPr>
        <w:t>建筑物入口处两道门之间的空间。</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门廊 </w:t>
      </w:r>
      <w:r>
        <w:rPr>
          <w:rFonts w:ascii="黑体" w:hAnsi="黑体" w:eastAsia="黑体"/>
        </w:rPr>
        <w:t xml:space="preserve"> </w:t>
      </w:r>
      <w:r>
        <w:rPr>
          <w:rFonts w:hint="eastAsia" w:ascii="黑体" w:hAnsi="黑体" w:eastAsia="黑体"/>
        </w:rPr>
        <w:t>porch</w:t>
      </w:r>
    </w:p>
    <w:p>
      <w:pPr>
        <w:widowControl/>
        <w:adjustRightInd/>
        <w:spacing w:line="240" w:lineRule="auto"/>
        <w:ind w:firstLine="420"/>
        <w:rPr>
          <w:rFonts w:hint="eastAsia" w:ascii="宋体" w:hAnsi="宋体" w:cs="宋体"/>
          <w:kern w:val="0"/>
        </w:rPr>
      </w:pPr>
      <w:r>
        <w:rPr>
          <w:rFonts w:hint="eastAsia" w:ascii="宋体" w:hAnsi="宋体" w:cs="宋体"/>
          <w:kern w:val="0"/>
        </w:rPr>
        <w:t>建筑物入口前有顶盖的半围合空间。</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室内净高 </w:t>
      </w:r>
      <w:r>
        <w:rPr>
          <w:rFonts w:ascii="黑体" w:hAnsi="黑体" w:eastAsia="黑体"/>
        </w:rPr>
        <w:t xml:space="preserve"> </w:t>
      </w:r>
      <w:r>
        <w:rPr>
          <w:rFonts w:hint="eastAsia" w:ascii="黑体" w:hAnsi="黑体" w:eastAsia="黑体"/>
        </w:rPr>
        <w:t>interior clear height</w:t>
      </w:r>
    </w:p>
    <w:p>
      <w:pPr>
        <w:widowControl/>
        <w:adjustRightInd/>
        <w:spacing w:line="240" w:lineRule="auto"/>
        <w:ind w:firstLine="420"/>
        <w:rPr>
          <w:rFonts w:hint="eastAsia" w:ascii="宋体" w:hAnsi="宋体" w:cs="宋体"/>
          <w:kern w:val="0"/>
        </w:rPr>
      </w:pPr>
      <w:r>
        <w:rPr>
          <w:rFonts w:hint="eastAsia" w:ascii="宋体" w:hAnsi="宋体" w:cs="宋体"/>
          <w:kern w:val="0"/>
        </w:rPr>
        <w:t>从楼地面（完成面）至上部楼板结构地面之间的有效使用空间的垂直距离。</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管道井 </w:t>
      </w:r>
      <w:r>
        <w:rPr>
          <w:rFonts w:ascii="黑体" w:hAnsi="黑体" w:eastAsia="黑体"/>
        </w:rPr>
        <w:t xml:space="preserve"> </w:t>
      </w:r>
      <w:r>
        <w:rPr>
          <w:rFonts w:hint="eastAsia" w:ascii="黑体" w:hAnsi="黑体" w:eastAsia="黑体"/>
        </w:rPr>
        <w:t>pipe shaft</w:t>
      </w:r>
    </w:p>
    <w:p>
      <w:pPr>
        <w:widowControl/>
        <w:adjustRightInd/>
        <w:spacing w:line="240" w:lineRule="auto"/>
        <w:ind w:firstLine="420"/>
        <w:rPr>
          <w:rFonts w:hint="eastAsia" w:ascii="宋体" w:hAnsi="宋体" w:cs="宋体"/>
          <w:kern w:val="0"/>
        </w:rPr>
      </w:pPr>
      <w:r>
        <w:rPr>
          <w:rFonts w:hint="eastAsia" w:ascii="宋体" w:hAnsi="宋体" w:cs="宋体"/>
          <w:kern w:val="0"/>
        </w:rPr>
        <w:t>建筑物中用于布置设备管线及设备的竖向井道。</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烟道 </w:t>
      </w:r>
      <w:r>
        <w:rPr>
          <w:rFonts w:ascii="黑体" w:hAnsi="黑体" w:eastAsia="黑体"/>
        </w:rPr>
        <w:t xml:space="preserve"> </w:t>
      </w:r>
      <w:r>
        <w:rPr>
          <w:rFonts w:hint="eastAsia" w:ascii="黑体" w:hAnsi="黑体" w:eastAsia="黑体"/>
        </w:rPr>
        <w:t>smoke flue</w:t>
      </w:r>
    </w:p>
    <w:p>
      <w:pPr>
        <w:widowControl/>
        <w:adjustRightInd/>
        <w:spacing w:line="240" w:lineRule="auto"/>
        <w:ind w:firstLine="420"/>
        <w:rPr>
          <w:rFonts w:hint="eastAsia" w:ascii="宋体" w:hAnsi="宋体" w:cs="宋体"/>
          <w:kern w:val="0"/>
        </w:rPr>
      </w:pPr>
      <w:r>
        <w:rPr>
          <w:rFonts w:hint="eastAsia" w:ascii="宋体" w:hAnsi="宋体" w:cs="宋体"/>
          <w:kern w:val="0"/>
        </w:rPr>
        <w:t>排放各种烟气的管道、井道。</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通风道 </w:t>
      </w:r>
      <w:r>
        <w:rPr>
          <w:rFonts w:ascii="黑体" w:hAnsi="黑体" w:eastAsia="黑体"/>
        </w:rPr>
        <w:t xml:space="preserve"> </w:t>
      </w:r>
      <w:r>
        <w:rPr>
          <w:rFonts w:hint="eastAsia" w:ascii="黑体" w:hAnsi="黑体" w:eastAsia="黑体"/>
        </w:rPr>
        <w:t>air shaft</w:t>
      </w:r>
    </w:p>
    <w:p>
      <w:pPr>
        <w:widowControl/>
        <w:adjustRightInd/>
        <w:spacing w:line="240" w:lineRule="auto"/>
        <w:ind w:firstLine="420"/>
        <w:rPr>
          <w:rFonts w:hint="eastAsia" w:ascii="宋体" w:hAnsi="宋体" w:cs="宋体"/>
          <w:kern w:val="0"/>
        </w:rPr>
      </w:pPr>
      <w:r>
        <w:rPr>
          <w:rFonts w:hint="eastAsia" w:ascii="宋体" w:hAnsi="宋体" w:cs="宋体"/>
          <w:kern w:val="0"/>
        </w:rPr>
        <w:t>建筑物内用于组织进、排风的管道、井道。</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勒脚 </w:t>
      </w:r>
      <w:r>
        <w:rPr>
          <w:rFonts w:ascii="黑体" w:hAnsi="黑体" w:eastAsia="黑体"/>
        </w:rPr>
        <w:t xml:space="preserve"> </w:t>
      </w:r>
      <w:r>
        <w:rPr>
          <w:rFonts w:hint="eastAsia" w:ascii="黑体" w:hAnsi="黑体" w:eastAsia="黑体"/>
        </w:rPr>
        <w:t>plinth</w:t>
      </w:r>
    </w:p>
    <w:p>
      <w:pPr>
        <w:widowControl/>
        <w:adjustRightInd/>
        <w:spacing w:line="240" w:lineRule="auto"/>
        <w:ind w:firstLine="420"/>
        <w:rPr>
          <w:rFonts w:hint="eastAsia" w:ascii="宋体" w:hAnsi="宋体" w:cs="宋体"/>
          <w:kern w:val="0"/>
        </w:rPr>
      </w:pPr>
      <w:r>
        <w:rPr>
          <w:rFonts w:hint="eastAsia" w:ascii="宋体" w:hAnsi="宋体" w:cs="宋体"/>
          <w:kern w:val="0"/>
        </w:rPr>
        <w:t>在房屋外墙接近地面部位设置的饰面保护构造。</w:t>
      </w:r>
    </w:p>
    <w:p>
      <w:pPr>
        <w:pStyle w:val="225"/>
        <w:ind w:left="420" w:hanging="420" w:hangingChars="200"/>
        <w:rPr>
          <w:rFonts w:hint="eastAsia" w:ascii="黑体" w:hAnsi="黑体" w:eastAsia="黑体" w:cs="宋体"/>
        </w:rPr>
      </w:pPr>
      <w:r>
        <w:rPr>
          <w:rFonts w:ascii="黑体" w:hAnsi="黑体" w:eastAsia="黑体"/>
        </w:rPr>
        <w:br w:type="textWrapping"/>
      </w:r>
      <w:r>
        <w:rPr>
          <w:rFonts w:hint="eastAsia" w:ascii="黑体" w:hAnsi="黑体" w:eastAsia="黑体"/>
        </w:rPr>
        <w:t xml:space="preserve">三维建筑模型 </w:t>
      </w:r>
      <w:r>
        <w:rPr>
          <w:rFonts w:ascii="黑体" w:hAnsi="黑体" w:eastAsia="黑体"/>
        </w:rPr>
        <w:t xml:space="preserve"> </w:t>
      </w:r>
      <w:r>
        <w:rPr>
          <w:rFonts w:hint="eastAsia" w:ascii="黑体" w:hAnsi="黑体" w:eastAsia="黑体"/>
        </w:rPr>
        <w:t>three dimensional building model</w:t>
      </w:r>
    </w:p>
    <w:p>
      <w:pPr>
        <w:widowControl/>
        <w:adjustRightInd/>
        <w:spacing w:line="240" w:lineRule="auto"/>
        <w:ind w:firstLine="420"/>
        <w:rPr>
          <w:rFonts w:hint="eastAsia" w:ascii="宋体" w:hAnsi="宋体" w:cs="宋体"/>
          <w:kern w:val="0"/>
        </w:rPr>
      </w:pPr>
      <w:r>
        <w:rPr>
          <w:rFonts w:hint="eastAsia" w:ascii="宋体" w:hAnsi="宋体" w:cs="宋体"/>
          <w:kern w:val="0"/>
        </w:rPr>
        <w:t>地上地下人工建（构）筑物依据建筑测量数据或设计资料制作的三维模型，主要表达建（构）筑物的空间位置、内外几何形态、纹理及属性等信息。</w:t>
      </w:r>
    </w:p>
    <w:p>
      <w:pPr>
        <w:pStyle w:val="225"/>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房屋专有建筑面积  proprietary building area</w:t>
      </w:r>
    </w:p>
    <w:p>
      <w:pPr>
        <w:widowControl/>
        <w:adjustRightInd/>
        <w:spacing w:line="240" w:lineRule="auto"/>
        <w:ind w:firstLine="420"/>
        <w:rPr>
          <w:rFonts w:hint="eastAsia" w:ascii="宋体" w:hAnsi="宋体" w:cs="宋体"/>
          <w:kern w:val="0"/>
        </w:rPr>
      </w:pPr>
      <w:r>
        <w:rPr>
          <w:rFonts w:hint="eastAsia" w:ascii="宋体" w:hAnsi="宋体" w:cs="宋体"/>
          <w:kern w:val="0"/>
        </w:rPr>
        <w:t>建筑物内由特定产权人占有和使用的建筑面积，一般情况下，具有以下特征：</w:t>
      </w:r>
    </w:p>
    <w:p>
      <w:pPr>
        <w:widowControl/>
        <w:adjustRightInd/>
        <w:spacing w:line="240" w:lineRule="auto"/>
        <w:ind w:firstLine="420"/>
        <w:rPr>
          <w:rFonts w:hint="eastAsia" w:ascii="宋体" w:hAnsi="宋体" w:cs="宋体"/>
          <w:kern w:val="0"/>
        </w:rPr>
      </w:pPr>
      <w:r>
        <w:rPr>
          <w:rFonts w:hint="eastAsia" w:ascii="宋体" w:hAnsi="宋体" w:cs="宋体"/>
          <w:kern w:val="0"/>
        </w:rPr>
        <w:t>——具有构造上的独立性，能够明确区分；</w:t>
      </w:r>
    </w:p>
    <w:p>
      <w:pPr>
        <w:widowControl/>
        <w:adjustRightInd/>
        <w:spacing w:line="240" w:lineRule="auto"/>
        <w:ind w:firstLine="420"/>
        <w:rPr>
          <w:rFonts w:hint="eastAsia" w:ascii="宋体" w:hAnsi="宋体" w:cs="宋体"/>
          <w:kern w:val="0"/>
        </w:rPr>
      </w:pPr>
      <w:r>
        <w:rPr>
          <w:rFonts w:hint="eastAsia" w:ascii="宋体" w:hAnsi="宋体" w:cs="宋体"/>
          <w:kern w:val="0"/>
        </w:rPr>
        <w:t>——具有利用上的独立性，可以排他使用；</w:t>
      </w:r>
    </w:p>
    <w:p>
      <w:pPr>
        <w:widowControl/>
        <w:adjustRightInd/>
        <w:spacing w:line="240" w:lineRule="auto"/>
        <w:ind w:firstLine="420"/>
        <w:rPr>
          <w:rFonts w:hint="eastAsia" w:ascii="宋体" w:hAnsi="宋体" w:cs="宋体"/>
          <w:kern w:val="0"/>
        </w:rPr>
      </w:pPr>
      <w:r>
        <w:rPr>
          <w:rFonts w:hint="eastAsia" w:ascii="宋体" w:hAnsi="宋体" w:cs="宋体"/>
          <w:kern w:val="0"/>
        </w:rPr>
        <w:t>——能够登记成为特定产权人的所有权。</w:t>
      </w:r>
    </w:p>
    <w:p>
      <w:pPr>
        <w:pStyle w:val="106"/>
        <w:spacing w:before="312" w:after="312"/>
      </w:pPr>
      <w:bookmarkStart w:id="48" w:name="_Toc237470877"/>
      <w:r>
        <w:rPr>
          <w:rFonts w:hint="eastAsia"/>
        </w:rPr>
        <w:t>基本要求</w:t>
      </w:r>
      <w:bookmarkEnd w:id="48"/>
    </w:p>
    <w:p>
      <w:pPr>
        <w:pStyle w:val="107"/>
        <w:spacing w:before="156" w:after="156"/>
      </w:pPr>
      <w:bookmarkStart w:id="49" w:name="_Toc237470878"/>
      <w:bookmarkStart w:id="50" w:name="_Toc237015145"/>
      <w:r>
        <w:t>房产测绘的目的</w:t>
      </w:r>
      <w:bookmarkEnd w:id="49"/>
      <w:bookmarkEnd w:id="50"/>
    </w:p>
    <w:p>
      <w:pPr>
        <w:widowControl/>
        <w:adjustRightInd/>
        <w:spacing w:line="240" w:lineRule="auto"/>
        <w:ind w:firstLine="420"/>
        <w:rPr>
          <w:rFonts w:hint="eastAsia" w:ascii="宋体" w:hAnsi="宋体" w:cs="宋体"/>
          <w:kern w:val="0"/>
        </w:rPr>
      </w:pPr>
      <w:r>
        <w:rPr>
          <w:rFonts w:ascii="宋体" w:hAnsi="宋体" w:cs="宋体"/>
          <w:kern w:val="0"/>
        </w:rPr>
        <w:t>房产测绘主要是为房产产权、产籍管理、房地产开发利用、交易、征收税费、城镇规划建设等社会管理和社会服务提供数据和资料。</w:t>
      </w:r>
    </w:p>
    <w:p>
      <w:pPr>
        <w:pStyle w:val="107"/>
        <w:spacing w:before="156" w:after="156"/>
      </w:pPr>
      <w:bookmarkStart w:id="51" w:name="_Toc237015146"/>
      <w:bookmarkStart w:id="52" w:name="_Toc237470879"/>
      <w:r>
        <w:t>房产测绘基本内容</w:t>
      </w:r>
      <w:bookmarkEnd w:id="51"/>
      <w:bookmarkEnd w:id="52"/>
    </w:p>
    <w:p>
      <w:pPr>
        <w:widowControl/>
        <w:adjustRightInd/>
        <w:spacing w:line="240" w:lineRule="auto"/>
        <w:ind w:firstLine="420"/>
        <w:rPr>
          <w:rFonts w:hint="eastAsia" w:ascii="宋体" w:hAnsi="宋体" w:cs="宋体"/>
          <w:kern w:val="0"/>
        </w:rPr>
      </w:pPr>
      <w:r>
        <w:rPr>
          <w:rFonts w:ascii="宋体" w:hAnsi="宋体" w:cs="宋体"/>
          <w:kern w:val="0"/>
        </w:rPr>
        <w:t>房产测绘基本内容包括：房产控制测量、房产图测绘、房产面积测算、变更测绘、成果资料的检查与验收等。房产图包括分幅平面图、分丘平面图、分层平面图、分户平面图、权证附图等。</w:t>
      </w:r>
    </w:p>
    <w:p>
      <w:pPr>
        <w:pStyle w:val="107"/>
        <w:spacing w:before="156" w:after="156"/>
      </w:pPr>
      <w:bookmarkStart w:id="53" w:name="_Toc237470880"/>
      <w:bookmarkStart w:id="54" w:name="_Toc237015147"/>
      <w:r>
        <w:t>房产测绘基本流程</w:t>
      </w:r>
      <w:bookmarkEnd w:id="53"/>
      <w:bookmarkEnd w:id="54"/>
    </w:p>
    <w:p>
      <w:pPr>
        <w:widowControl/>
        <w:adjustRightInd/>
        <w:spacing w:line="240" w:lineRule="auto"/>
        <w:ind w:firstLine="420"/>
        <w:rPr>
          <w:rFonts w:hint="eastAsia" w:ascii="宋体" w:hAnsi="宋体" w:cs="宋体"/>
          <w:kern w:val="0"/>
        </w:rPr>
      </w:pPr>
      <w:r>
        <w:rPr>
          <w:rFonts w:ascii="宋体" w:hAnsi="宋体" w:cs="宋体"/>
          <w:kern w:val="0"/>
        </w:rPr>
        <w:t>房产测绘基本流程包括：委托与受理、资料收集、外业施测、房产图绘制、面积计算、资料整理、成果检查验收、资料提交与归档。</w:t>
      </w:r>
    </w:p>
    <w:p>
      <w:pPr>
        <w:pStyle w:val="107"/>
        <w:spacing w:before="156" w:after="156"/>
      </w:pPr>
      <w:bookmarkStart w:id="55" w:name="_Toc237015148"/>
      <w:bookmarkStart w:id="56" w:name="_Toc237470881"/>
      <w:r>
        <w:t>房产测绘的基本精度要求</w:t>
      </w:r>
      <w:bookmarkEnd w:id="55"/>
      <w:bookmarkEnd w:id="56"/>
    </w:p>
    <w:p>
      <w:pPr>
        <w:pStyle w:val="67"/>
        <w:spacing w:before="156" w:after="156"/>
      </w:pPr>
      <w:r>
        <w:t>房产测绘的精度指标与限差</w:t>
      </w:r>
    </w:p>
    <w:p>
      <w:pPr>
        <w:widowControl/>
        <w:adjustRightInd/>
        <w:spacing w:line="240" w:lineRule="auto"/>
        <w:ind w:firstLine="420"/>
        <w:rPr>
          <w:rFonts w:hint="eastAsia" w:ascii="宋体" w:hAnsi="宋体" w:cs="宋体"/>
          <w:kern w:val="0"/>
        </w:rPr>
      </w:pPr>
      <w:r>
        <w:rPr>
          <w:rFonts w:ascii="宋体" w:hAnsi="宋体" w:cs="宋体"/>
          <w:kern w:val="0"/>
        </w:rPr>
        <w:t>本规程以中误差作为评定精度的标准，以两倍中误差作为限差。</w:t>
      </w:r>
    </w:p>
    <w:p>
      <w:pPr>
        <w:pStyle w:val="67"/>
        <w:spacing w:before="156" w:after="156"/>
      </w:pPr>
      <w:r>
        <w:t>房产平面控制测量的基本精度要求</w:t>
      </w:r>
    </w:p>
    <w:p>
      <w:pPr>
        <w:widowControl/>
        <w:adjustRightInd/>
        <w:spacing w:line="240" w:lineRule="auto"/>
        <w:ind w:firstLine="420"/>
        <w:rPr>
          <w:rFonts w:hint="eastAsia" w:ascii="宋体" w:hAnsi="宋体" w:cs="宋体"/>
          <w:kern w:val="0"/>
        </w:rPr>
      </w:pPr>
      <w:r>
        <w:rPr>
          <w:rFonts w:ascii="宋体" w:hAnsi="宋体" w:cs="宋体"/>
          <w:kern w:val="0"/>
        </w:rPr>
        <w:t>末级相邻基本控制点的相对点位中误差不超过±0.025m。</w:t>
      </w:r>
    </w:p>
    <w:p>
      <w:pPr>
        <w:pStyle w:val="67"/>
        <w:spacing w:before="156" w:after="156"/>
      </w:pPr>
      <w:r>
        <w:t>房产分幅图与房产要素测绘精度</w:t>
      </w:r>
    </w:p>
    <w:p>
      <w:pPr>
        <w:widowControl/>
        <w:adjustRightInd/>
        <w:spacing w:line="240" w:lineRule="auto"/>
        <w:ind w:firstLine="420"/>
        <w:rPr>
          <w:rFonts w:hint="eastAsia" w:ascii="宋体" w:hAnsi="宋体" w:cs="宋体"/>
          <w:kern w:val="0"/>
        </w:rPr>
      </w:pPr>
      <w:r>
        <w:rPr>
          <w:rFonts w:ascii="宋体" w:hAnsi="宋体" w:cs="宋体"/>
          <w:kern w:val="0"/>
        </w:rPr>
        <w:t>房产分幅图与房产要素测绘精度按照下列规定执行。</w:t>
      </w:r>
    </w:p>
    <w:p>
      <w:pPr>
        <w:widowControl/>
        <w:numPr>
          <w:ilvl w:val="0"/>
          <w:numId w:val="32"/>
        </w:numPr>
        <w:adjustRightInd/>
        <w:spacing w:line="240" w:lineRule="auto"/>
        <w:rPr>
          <w:rFonts w:ascii="宋体" w:hAnsi="Times New Roman"/>
          <w:kern w:val="0"/>
          <w:szCs w:val="20"/>
        </w:rPr>
      </w:pPr>
      <w:r>
        <w:rPr>
          <w:rFonts w:ascii="宋体" w:hAnsi="Times New Roman"/>
          <w:kern w:val="0"/>
          <w:szCs w:val="20"/>
        </w:rPr>
        <w:t>利用已有的地籍图、地形图编绘房产分幅图时，地物点相对于邻近控制点的点位中误差不超过图上±0.6mm；</w:t>
      </w:r>
    </w:p>
    <w:p>
      <w:pPr>
        <w:widowControl/>
        <w:numPr>
          <w:ilvl w:val="0"/>
          <w:numId w:val="32"/>
        </w:numPr>
        <w:adjustRightInd/>
        <w:spacing w:line="240" w:lineRule="auto"/>
        <w:rPr>
          <w:rFonts w:ascii="宋体" w:hAnsi="Times New Roman"/>
          <w:kern w:val="0"/>
          <w:szCs w:val="20"/>
        </w:rPr>
      </w:pPr>
      <w:r>
        <w:rPr>
          <w:rFonts w:ascii="宋体" w:hAnsi="Times New Roman"/>
          <w:kern w:val="0"/>
          <w:szCs w:val="20"/>
        </w:rPr>
        <w:t>全野外采集数据或野外解析测量等方法所测的房地产要素和地物点，相对于邻近控制点的点位中误差不超过±0.05m；</w:t>
      </w:r>
    </w:p>
    <w:p>
      <w:pPr>
        <w:widowControl/>
        <w:numPr>
          <w:ilvl w:val="0"/>
          <w:numId w:val="32"/>
        </w:numPr>
        <w:adjustRightInd/>
        <w:spacing w:line="240" w:lineRule="auto"/>
        <w:rPr>
          <w:rFonts w:ascii="宋体" w:hAnsi="Times New Roman"/>
          <w:kern w:val="0"/>
          <w:szCs w:val="20"/>
        </w:rPr>
      </w:pPr>
      <w:r>
        <w:rPr>
          <w:rFonts w:ascii="宋体" w:hAnsi="Times New Roman"/>
          <w:kern w:val="0"/>
          <w:szCs w:val="20"/>
        </w:rPr>
        <w:t>采用已有坐标或已有图件，展绘成房产分幅图时，展绘中误差不超过图上±0.1mm。</w:t>
      </w:r>
    </w:p>
    <w:p>
      <w:pPr>
        <w:pStyle w:val="67"/>
        <w:spacing w:before="156" w:after="156"/>
      </w:pPr>
      <w:r>
        <w:t>房产界址点精度要求</w:t>
      </w:r>
    </w:p>
    <w:p>
      <w:pPr>
        <w:widowControl/>
        <w:adjustRightInd/>
        <w:spacing w:line="240" w:lineRule="auto"/>
        <w:ind w:firstLine="420"/>
        <w:rPr>
          <w:rFonts w:hint="eastAsia" w:ascii="宋体" w:hAnsi="宋体" w:cs="宋体"/>
          <w:kern w:val="0"/>
        </w:rPr>
      </w:pPr>
      <w:r>
        <w:rPr>
          <w:rFonts w:ascii="宋体" w:hAnsi="宋体" w:cs="宋体"/>
          <w:kern w:val="0"/>
        </w:rPr>
        <w:t>房产界址点（以下简称界址点）的精度分为三级，各级界址点相对于邻近控制点的点位误差和间距超过50m的相邻界址点的间距误差不超过表1的规定；间距未超过50m的界址点的间距误差限差不应超过公式（1）计算结果。</w:t>
      </w:r>
    </w:p>
    <w:p>
      <w:pPr>
        <w:pStyle w:val="115"/>
        <w:rPr>
          <w:rFonts w:hint="eastAsia"/>
        </w:rPr>
      </w:pPr>
      <w:r>
        <w:rPr>
          <w:rFonts w:hint="eastAsia"/>
        </w:rPr>
        <w:tab/>
      </w:r>
      <m:oMath>
        <m:r>
          <m:rPr>
            <m:sty m:val="p"/>
          </m:rPr>
          <w:rPr>
            <w:rFonts w:ascii="Cambria Math" w:hAnsi="Cambria Math"/>
          </w:rPr>
          <m:t>∆D=±</m:t>
        </m:r>
        <m:d>
          <m:dPr>
            <m:ctrlPr>
              <w:rPr>
                <w:rFonts w:ascii="Cambria Math" w:hAnsi="Cambria Math"/>
              </w:rPr>
            </m:ctrlPr>
          </m:dPr>
          <m:e>
            <m:sSub>
              <m:sSubPr>
                <m:ctrlPr>
                  <w:rPr>
                    <w:rFonts w:ascii="Cambria Math" w:hAnsi="Cambria Math"/>
                    <w:i/>
                  </w:rPr>
                </m:ctrlPr>
              </m:sSubPr>
              <m:e>
                <m:r>
                  <m:rPr/>
                  <w:rPr>
                    <w:rFonts w:ascii="Cambria Math" w:hAnsi="Cambria Math"/>
                  </w:rPr>
                  <m:t>m</m:t>
                </m:r>
                <m:ctrlPr>
                  <w:rPr>
                    <w:rFonts w:ascii="Cambria Math" w:hAnsi="Cambria Math"/>
                    <w:i/>
                  </w:rPr>
                </m:ctrlPr>
              </m:e>
              <m:sub>
                <m:r>
                  <m:rPr/>
                  <w:rPr>
                    <w:rFonts w:ascii="Cambria Math" w:hAnsi="Cambria Math"/>
                  </w:rPr>
                  <m:t>j</m:t>
                </m:r>
                <m:ctrlPr>
                  <w:rPr>
                    <w:rFonts w:ascii="Cambria Math" w:hAnsi="Cambria Math"/>
                    <w:i/>
                  </w:rPr>
                </m:ctrlPr>
              </m:sub>
            </m:sSub>
            <m:r>
              <m:rPr/>
              <w:rPr>
                <w:rFonts w:ascii="Cambria Math" w:hAnsi="Cambria Math"/>
              </w:rPr>
              <m:t>+0.02</m:t>
            </m:r>
            <m:sSub>
              <m:sSubPr>
                <m:ctrlPr>
                  <w:rPr>
                    <w:rFonts w:ascii="Cambria Math" w:hAnsi="Cambria Math"/>
                    <w:i/>
                  </w:rPr>
                </m:ctrlPr>
              </m:sSubPr>
              <m:e>
                <m:r>
                  <m:rPr/>
                  <w:rPr>
                    <w:rFonts w:ascii="Cambria Math" w:hAnsi="Cambria Math"/>
                  </w:rPr>
                  <m:t>m</m:t>
                </m:r>
                <m:ctrlPr>
                  <w:rPr>
                    <w:rFonts w:ascii="Cambria Math" w:hAnsi="Cambria Math"/>
                    <w:i/>
                  </w:rPr>
                </m:ctrlPr>
              </m:e>
              <m:sub>
                <m:r>
                  <m:rPr/>
                  <w:rPr>
                    <w:rFonts w:ascii="Cambria Math" w:hAnsi="Cambria Math"/>
                  </w:rPr>
                  <m:t>j</m:t>
                </m:r>
                <m:ctrlPr>
                  <w:rPr>
                    <w:rFonts w:ascii="Cambria Math" w:hAnsi="Cambria Math"/>
                    <w:i/>
                  </w:rPr>
                </m:ctrlPr>
              </m:sub>
            </m:sSub>
            <m:r>
              <m:rPr/>
              <w:rPr>
                <w:rFonts w:ascii="Cambria Math" w:hAnsi="Cambria Math"/>
              </w:rPr>
              <m:t>D</m:t>
            </m:r>
            <m:ctrlPr>
              <w:rPr>
                <w:rFonts w:ascii="Cambria Math" w:hAnsi="Cambria Math"/>
              </w:rPr>
            </m:ctrlPr>
          </m:e>
        </m:d>
      </m:oMath>
      <w:r>
        <w:rPr>
          <w:rFonts w:hint="eastAsia" w:ascii="微软雅黑" w:hAnsi="微软雅黑" w:eastAsia="微软雅黑"/>
        </w:rPr>
        <w:tab/>
      </w:r>
      <w:r>
        <w:rPr>
          <w:rFonts w:hint="eastAsia"/>
        </w:rPr>
        <w:t>(</w:t>
      </w:r>
      <w:r>
        <w:rPr>
          <w:rFonts w:hint="eastAsia"/>
        </w:rPr>
        <w:fldChar w:fldCharType="begin"/>
      </w:r>
      <w:r>
        <w:rPr>
          <w:rFonts w:hint="eastAsia"/>
        </w:rPr>
        <w:instrText xml:space="preserve"> AUTONUM </w:instrText>
      </w:r>
      <w:r>
        <w:rPr>
          <w:rFonts w:hint="eastAsia"/>
        </w:rPr>
        <w:fldChar w:fldCharType="end"/>
      </w:r>
      <w:r>
        <w:rPr>
          <w:rFonts w:hint="eastAsia"/>
        </w:rPr>
        <w:t>)</w:t>
      </w:r>
    </w:p>
    <w:p>
      <w:pPr>
        <w:pStyle w:val="57"/>
        <w:ind w:firstLine="420"/>
      </w:pPr>
      <w:r>
        <w:rPr>
          <w:rFonts w:hint="eastAsia"/>
        </w:rPr>
        <w:t>式中：</w:t>
      </w:r>
    </w:p>
    <w:p>
      <w:pPr>
        <w:widowControl/>
        <w:adjustRightInd/>
        <w:spacing w:line="240" w:lineRule="auto"/>
        <w:ind w:firstLine="420"/>
        <w:rPr>
          <w:rFonts w:hint="eastAsia" w:ascii="宋体" w:hAnsi="宋体" w:cs="宋体"/>
          <w:color w:val="000000"/>
          <w:kern w:val="0"/>
        </w:rPr>
      </w:pPr>
      <m:oMath>
        <m:sSub>
          <m:sSubPr>
            <m:ctrlPr>
              <w:rPr>
                <w:rFonts w:ascii="Cambria Math" w:hAnsi="Cambria Math"/>
                <w:i/>
              </w:rPr>
            </m:ctrlPr>
          </m:sSubPr>
          <m:e>
            <m:r>
              <m:rPr/>
              <w:rPr>
                <w:rFonts w:ascii="Cambria Math" w:hAnsi="Cambria Math" w:cs="宋体"/>
                <w:kern w:val="0"/>
              </w:rPr>
              <m:t>m</m:t>
            </m:r>
            <m:ctrlPr>
              <w:rPr>
                <w:rFonts w:ascii="Cambria Math" w:hAnsi="Cambria Math"/>
                <w:i/>
              </w:rPr>
            </m:ctrlPr>
          </m:e>
          <m:sub>
            <m:r>
              <m:rPr/>
              <w:rPr>
                <w:rFonts w:ascii="Cambria Math" w:hAnsi="Cambria Math" w:cs="宋体"/>
                <w:kern w:val="0"/>
              </w:rPr>
              <m:t>j</m:t>
            </m:r>
            <m:ctrlPr>
              <w:rPr>
                <w:rFonts w:ascii="Cambria Math" w:hAnsi="Cambria Math"/>
                <w:i/>
              </w:rPr>
            </m:ctrlPr>
          </m:sub>
        </m:sSub>
      </m:oMath>
      <w:r>
        <w:rPr>
          <w:rFonts w:ascii="Times New Roman" w:hAnsi="Times New Roman"/>
          <w:kern w:val="0"/>
        </w:rPr>
        <w:t>——</w:t>
      </w:r>
      <w:r>
        <w:rPr>
          <w:rFonts w:ascii="宋体" w:hAnsi="宋体" w:cs="宋体"/>
          <w:kern w:val="0"/>
        </w:rPr>
        <w:t>相应等级界址点的</w:t>
      </w:r>
      <w:r>
        <w:rPr>
          <w:rFonts w:ascii="宋体" w:hAnsi="宋体" w:cs="宋体"/>
          <w:color w:val="000000"/>
          <w:kern w:val="0"/>
        </w:rPr>
        <w:t>点位中误差，单位：米</w:t>
      </w:r>
      <w:bookmarkStart w:id="57" w:name="OLE_LINK4"/>
      <w:r>
        <w:rPr>
          <w:rFonts w:ascii="宋体" w:hAnsi="宋体" w:cs="宋体"/>
          <w:color w:val="000000"/>
          <w:kern w:val="0"/>
        </w:rPr>
        <w:t>（m）</w:t>
      </w:r>
      <w:bookmarkEnd w:id="57"/>
      <w:r>
        <w:rPr>
          <w:rFonts w:ascii="宋体" w:hAnsi="宋体" w:cs="宋体"/>
          <w:color w:val="000000"/>
          <w:kern w:val="0"/>
        </w:rPr>
        <w:t>；</w:t>
      </w:r>
    </w:p>
    <w:p>
      <w:pPr>
        <w:widowControl/>
        <w:adjustRightInd/>
        <w:spacing w:line="240" w:lineRule="auto"/>
        <w:ind w:firstLine="420"/>
        <w:rPr>
          <w:rFonts w:hint="eastAsia" w:ascii="宋体" w:hAnsi="宋体" w:cs="宋体"/>
          <w:color w:val="000000"/>
          <w:kern w:val="0"/>
        </w:rPr>
      </w:pPr>
      <m:oMath>
        <m:r>
          <m:rPr/>
          <w:rPr>
            <w:rFonts w:ascii="Cambria Math" w:hAnsi="Cambria Math" w:cs="宋体"/>
            <w:color w:val="000000"/>
            <w:kern w:val="0"/>
          </w:rPr>
          <m:t>D</m:t>
        </m:r>
      </m:oMath>
      <w:r>
        <w:rPr>
          <w:rFonts w:ascii="Times New Roman" w:hAnsi="Times New Roman"/>
          <w:color w:val="000000"/>
          <w:kern w:val="0"/>
        </w:rPr>
        <w:t>——</w:t>
      </w:r>
      <w:r>
        <w:rPr>
          <w:rFonts w:ascii="宋体" w:hAnsi="宋体" w:cs="宋体"/>
          <w:color w:val="000000"/>
          <w:kern w:val="0"/>
        </w:rPr>
        <w:t>相邻界址点的距离，单位：米（m）；</w:t>
      </w:r>
    </w:p>
    <w:p>
      <w:pPr>
        <w:widowControl/>
        <w:adjustRightInd/>
        <w:spacing w:line="240" w:lineRule="auto"/>
        <w:ind w:firstLine="420"/>
        <w:rPr>
          <w:rFonts w:hint="eastAsia" w:ascii="宋体" w:hAnsi="宋体" w:cs="宋体"/>
          <w:color w:val="000000"/>
          <w:kern w:val="0"/>
        </w:rPr>
      </w:pPr>
      <m:oMath>
        <m:r>
          <m:rPr>
            <m:sty m:val="p"/>
          </m:rPr>
          <w:rPr>
            <w:rFonts w:ascii="Cambria Math" w:hAnsi="Cambria Math" w:cs="宋体"/>
            <w:color w:val="000000"/>
            <w:kern w:val="0"/>
          </w:rPr>
          <m:t>∆D</m:t>
        </m:r>
      </m:oMath>
      <w:r>
        <w:rPr>
          <w:rFonts w:ascii="Times New Roman" w:hAnsi="Times New Roman"/>
          <w:color w:val="000000"/>
          <w:kern w:val="0"/>
        </w:rPr>
        <w:t>——</w:t>
      </w:r>
      <w:r>
        <w:rPr>
          <w:rFonts w:ascii="宋体" w:hAnsi="宋体" w:cs="宋体"/>
          <w:color w:val="000000"/>
          <w:kern w:val="0"/>
        </w:rPr>
        <w:t>界址点坐标计算的边长与实量边长较差的限差，单位：米（m）。</w:t>
      </w:r>
    </w:p>
    <w:p>
      <w:pPr>
        <w:pStyle w:val="114"/>
        <w:spacing w:before="156" w:after="156"/>
      </w:pPr>
      <w:r>
        <w:t>房产界址点的精度要求</w:t>
      </w:r>
    </w:p>
    <w:tbl>
      <w:tblPr>
        <w:tblStyle w:val="28"/>
        <w:tblW w:w="9570" w:type="dxa"/>
        <w:jc w:val="center"/>
        <w:tblLayout w:type="fixed"/>
        <w:tblCellMar>
          <w:top w:w="0" w:type="dxa"/>
          <w:left w:w="108" w:type="dxa"/>
          <w:bottom w:w="0" w:type="dxa"/>
          <w:right w:w="108" w:type="dxa"/>
        </w:tblCellMar>
      </w:tblPr>
      <w:tblGrid>
        <w:gridCol w:w="1734"/>
        <w:gridCol w:w="3861"/>
        <w:gridCol w:w="3975"/>
      </w:tblGrid>
      <w:tr>
        <w:tblPrEx>
          <w:tblCellMar>
            <w:top w:w="0" w:type="dxa"/>
            <w:left w:w="108" w:type="dxa"/>
            <w:bottom w:w="0" w:type="dxa"/>
            <w:right w:w="108" w:type="dxa"/>
          </w:tblCellMar>
        </w:tblPrEx>
        <w:trPr>
          <w:trHeight w:val="258" w:hRule="atLeast"/>
          <w:jc w:val="center"/>
        </w:trPr>
        <w:tc>
          <w:tcPr>
            <w:tcW w:w="1734"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界址点等级</w:t>
            </w:r>
          </w:p>
        </w:tc>
        <w:tc>
          <w:tcPr>
            <w:tcW w:w="7836" w:type="dxa"/>
            <w:gridSpan w:val="2"/>
            <w:tcBorders>
              <w:top w:val="single" w:color="000000" w:sz="4" w:space="0"/>
              <w:left w:val="nil"/>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界址点相对于邻近控制点的点位误差和相邻界址点间距误差</w:t>
            </w:r>
          </w:p>
        </w:tc>
      </w:tr>
      <w:tr>
        <w:tblPrEx>
          <w:tblCellMar>
            <w:top w:w="0" w:type="dxa"/>
            <w:left w:w="108" w:type="dxa"/>
            <w:bottom w:w="0" w:type="dxa"/>
            <w:right w:w="108" w:type="dxa"/>
          </w:tblCellMar>
        </w:tblPrEx>
        <w:trPr>
          <w:trHeight w:val="282" w:hRule="atLeast"/>
          <w:jc w:val="center"/>
        </w:trPr>
        <w:tc>
          <w:tcPr>
            <w:tcW w:w="17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宋体" w:hAnsi="宋体"/>
                <w:color w:val="000000"/>
                <w:kern w:val="0"/>
                <w:sz w:val="18"/>
                <w:szCs w:val="18"/>
              </w:rPr>
            </w:pPr>
          </w:p>
        </w:tc>
        <w:tc>
          <w:tcPr>
            <w:tcW w:w="3861" w:type="dxa"/>
            <w:tcBorders>
              <w:top w:val="single" w:color="000000" w:sz="4" w:space="0"/>
              <w:left w:val="nil"/>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限差（m）</w:t>
            </w:r>
          </w:p>
        </w:tc>
        <w:tc>
          <w:tcPr>
            <w:tcW w:w="3975" w:type="dxa"/>
            <w:tcBorders>
              <w:top w:val="single" w:color="000000" w:sz="4" w:space="0"/>
              <w:left w:val="nil"/>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中误差（m）</w:t>
            </w:r>
          </w:p>
        </w:tc>
      </w:tr>
      <w:tr>
        <w:tblPrEx>
          <w:tblCellMar>
            <w:top w:w="0" w:type="dxa"/>
            <w:left w:w="108" w:type="dxa"/>
            <w:bottom w:w="0" w:type="dxa"/>
            <w:right w:w="108" w:type="dxa"/>
          </w:tblCellMar>
        </w:tblPrEx>
        <w:trPr>
          <w:trHeight w:val="268" w:hRule="atLeast"/>
          <w:jc w:val="center"/>
        </w:trPr>
        <w:tc>
          <w:tcPr>
            <w:tcW w:w="1734" w:type="dxa"/>
            <w:tcBorders>
              <w:top w:val="single" w:color="000000" w:sz="4" w:space="0"/>
              <w:left w:val="single" w:color="000000" w:sz="4" w:space="0"/>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一</w:t>
            </w:r>
          </w:p>
        </w:tc>
        <w:tc>
          <w:tcPr>
            <w:tcW w:w="3861" w:type="dxa"/>
            <w:tcBorders>
              <w:top w:val="single" w:color="000000" w:sz="4" w:space="0"/>
              <w:left w:val="nil"/>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±0.04</w:t>
            </w:r>
          </w:p>
        </w:tc>
        <w:tc>
          <w:tcPr>
            <w:tcW w:w="3975" w:type="dxa"/>
            <w:tcBorders>
              <w:top w:val="single" w:color="000000" w:sz="4" w:space="0"/>
              <w:left w:val="nil"/>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±0.02</w:t>
            </w:r>
          </w:p>
        </w:tc>
      </w:tr>
      <w:tr>
        <w:tblPrEx>
          <w:tblCellMar>
            <w:top w:w="0" w:type="dxa"/>
            <w:left w:w="108" w:type="dxa"/>
            <w:bottom w:w="0" w:type="dxa"/>
            <w:right w:w="108" w:type="dxa"/>
          </w:tblCellMar>
        </w:tblPrEx>
        <w:trPr>
          <w:trHeight w:val="283" w:hRule="atLeast"/>
          <w:jc w:val="center"/>
        </w:trPr>
        <w:tc>
          <w:tcPr>
            <w:tcW w:w="1734" w:type="dxa"/>
            <w:tcBorders>
              <w:top w:val="single" w:color="000000" w:sz="4" w:space="0"/>
              <w:left w:val="single" w:color="000000" w:sz="4" w:space="0"/>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二</w:t>
            </w:r>
          </w:p>
        </w:tc>
        <w:tc>
          <w:tcPr>
            <w:tcW w:w="3861" w:type="dxa"/>
            <w:tcBorders>
              <w:top w:val="single" w:color="000000" w:sz="4" w:space="0"/>
              <w:left w:val="nil"/>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±0.10</w:t>
            </w:r>
          </w:p>
        </w:tc>
        <w:tc>
          <w:tcPr>
            <w:tcW w:w="3975" w:type="dxa"/>
            <w:tcBorders>
              <w:top w:val="single" w:color="000000" w:sz="4" w:space="0"/>
              <w:left w:val="nil"/>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±0.05</w:t>
            </w:r>
          </w:p>
        </w:tc>
      </w:tr>
      <w:tr>
        <w:tblPrEx>
          <w:tblCellMar>
            <w:top w:w="0" w:type="dxa"/>
            <w:left w:w="108" w:type="dxa"/>
            <w:bottom w:w="0" w:type="dxa"/>
            <w:right w:w="108" w:type="dxa"/>
          </w:tblCellMar>
        </w:tblPrEx>
        <w:trPr>
          <w:trHeight w:val="340" w:hRule="atLeast"/>
          <w:jc w:val="center"/>
        </w:trPr>
        <w:tc>
          <w:tcPr>
            <w:tcW w:w="1734" w:type="dxa"/>
            <w:tcBorders>
              <w:top w:val="single" w:color="000000" w:sz="4" w:space="0"/>
              <w:left w:val="single" w:color="000000" w:sz="4" w:space="0"/>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三</w:t>
            </w:r>
          </w:p>
        </w:tc>
        <w:tc>
          <w:tcPr>
            <w:tcW w:w="3861" w:type="dxa"/>
            <w:tcBorders>
              <w:top w:val="single" w:color="000000" w:sz="4" w:space="0"/>
              <w:left w:val="nil"/>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±0.20</w:t>
            </w:r>
          </w:p>
        </w:tc>
        <w:tc>
          <w:tcPr>
            <w:tcW w:w="3975" w:type="dxa"/>
            <w:tcBorders>
              <w:top w:val="single" w:color="000000" w:sz="4" w:space="0"/>
              <w:left w:val="nil"/>
              <w:bottom w:val="single" w:color="000000" w:sz="4" w:space="0"/>
              <w:right w:val="single" w:color="000000" w:sz="4"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±0.10</w:t>
            </w:r>
          </w:p>
        </w:tc>
      </w:tr>
    </w:tbl>
    <w:p>
      <w:pPr>
        <w:pStyle w:val="67"/>
        <w:spacing w:before="156" w:after="156"/>
      </w:pPr>
      <w:r>
        <w:t>房角点的精度要求</w:t>
      </w:r>
    </w:p>
    <w:p>
      <w:pPr>
        <w:widowControl/>
        <w:adjustRightInd/>
        <w:spacing w:line="240" w:lineRule="auto"/>
        <w:ind w:firstLine="420"/>
        <w:rPr>
          <w:rFonts w:hint="eastAsia" w:ascii="宋体" w:hAnsi="宋体" w:cs="宋体"/>
          <w:kern w:val="0"/>
        </w:rPr>
      </w:pPr>
      <w:r>
        <w:rPr>
          <w:rFonts w:ascii="宋体" w:hAnsi="宋体" w:cs="宋体"/>
          <w:kern w:val="0"/>
        </w:rPr>
        <w:t>需要测定房角点的坐标时，房角点坐标的精度等级和限差执行与界址点相同的标准。</w:t>
      </w:r>
      <w:bookmarkStart w:id="58" w:name="_Toc403730521"/>
      <w:bookmarkEnd w:id="58"/>
      <w:bookmarkStart w:id="59" w:name="_Toc404004774"/>
      <w:bookmarkEnd w:id="59"/>
      <w:bookmarkStart w:id="60" w:name="_Toc404085504"/>
      <w:r>
        <w:rPr>
          <w:rFonts w:ascii="宋体" w:hAnsi="宋体" w:cs="宋体"/>
          <w:kern w:val="0"/>
        </w:rPr>
        <w:t>房产面积的精度要求</w:t>
      </w:r>
      <w:bookmarkEnd w:id="60"/>
    </w:p>
    <w:p>
      <w:pPr>
        <w:widowControl/>
        <w:adjustRightInd/>
        <w:spacing w:line="240" w:lineRule="auto"/>
        <w:ind w:firstLine="420"/>
        <w:rPr>
          <w:rFonts w:ascii="宋体" w:hAnsi="宋体" w:cs="宋体"/>
          <w:kern w:val="0"/>
        </w:rPr>
      </w:pPr>
      <w:r>
        <w:rPr>
          <w:rFonts w:ascii="宋体" w:hAnsi="宋体" w:cs="宋体"/>
          <w:kern w:val="0"/>
        </w:rPr>
        <w:t>房产面积的精度分为三级，各级面积的限差和中误差不应超过表2计算结果。</w:t>
      </w:r>
    </w:p>
    <w:p>
      <w:pPr>
        <w:widowControl/>
        <w:adjustRightInd/>
        <w:spacing w:line="240" w:lineRule="auto"/>
        <w:ind w:firstLine="420"/>
        <w:rPr>
          <w:rFonts w:ascii="宋体" w:hAnsi="宋体" w:cs="宋体"/>
          <w:kern w:val="0"/>
        </w:rPr>
      </w:pPr>
    </w:p>
    <w:p>
      <w:pPr>
        <w:widowControl/>
        <w:adjustRightInd/>
        <w:spacing w:line="240" w:lineRule="auto"/>
        <w:ind w:firstLine="420"/>
        <w:rPr>
          <w:rFonts w:ascii="宋体" w:hAnsi="宋体" w:cs="宋体"/>
          <w:kern w:val="0"/>
        </w:rPr>
      </w:pPr>
    </w:p>
    <w:p>
      <w:pPr>
        <w:widowControl/>
        <w:adjustRightInd/>
        <w:spacing w:line="240" w:lineRule="auto"/>
        <w:ind w:firstLine="420"/>
        <w:rPr>
          <w:rFonts w:ascii="宋体" w:hAnsi="宋体" w:cs="宋体"/>
          <w:kern w:val="0"/>
        </w:rPr>
      </w:pPr>
    </w:p>
    <w:p>
      <w:pPr>
        <w:widowControl/>
        <w:adjustRightInd/>
        <w:spacing w:line="240" w:lineRule="auto"/>
        <w:ind w:firstLine="420"/>
        <w:rPr>
          <w:rFonts w:ascii="宋体" w:hAnsi="宋体" w:cs="宋体"/>
          <w:kern w:val="0"/>
        </w:rPr>
      </w:pPr>
    </w:p>
    <w:p>
      <w:pPr>
        <w:widowControl/>
        <w:adjustRightInd/>
        <w:spacing w:line="240" w:lineRule="auto"/>
        <w:ind w:firstLine="420"/>
        <w:rPr>
          <w:rFonts w:hint="eastAsia" w:ascii="宋体" w:hAnsi="宋体" w:cs="宋体"/>
          <w:kern w:val="0"/>
        </w:rPr>
      </w:pPr>
    </w:p>
    <w:p>
      <w:pPr>
        <w:pStyle w:val="114"/>
        <w:spacing w:before="156" w:after="156"/>
        <w:rPr>
          <w:sz w:val="28"/>
          <w:szCs w:val="28"/>
        </w:rPr>
      </w:pPr>
      <w:r>
        <w:t>房产面积的精度要求</w:t>
      </w:r>
    </w:p>
    <w:tbl>
      <w:tblPr>
        <w:tblStyle w:val="28"/>
        <w:tblW w:w="9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67"/>
        <w:gridCol w:w="3692"/>
        <w:gridCol w:w="3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667" w:type="dxa"/>
            <w:tcMar>
              <w:top w:w="15" w:type="dxa"/>
              <w:left w:w="15" w:type="dxa"/>
              <w:bottom w:w="0" w:type="dxa"/>
              <w:right w:w="15" w:type="dxa"/>
            </w:tcMar>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房产面积的精度等级</w:t>
            </w:r>
          </w:p>
        </w:tc>
        <w:tc>
          <w:tcPr>
            <w:tcW w:w="3692" w:type="dxa"/>
            <w:tcMar>
              <w:top w:w="15" w:type="dxa"/>
              <w:left w:w="15" w:type="dxa"/>
              <w:bottom w:w="0" w:type="dxa"/>
              <w:right w:w="15" w:type="dxa"/>
            </w:tcMar>
            <w:vAlign w:val="center"/>
          </w:tcPr>
          <w:p>
            <w:pPr>
              <w:widowControl/>
              <w:adjustRightInd/>
              <w:spacing w:line="360" w:lineRule="auto"/>
              <w:jc w:val="center"/>
              <w:rPr>
                <w:rFonts w:hint="eastAsia" w:ascii="宋体" w:hAnsi="宋体"/>
                <w:color w:val="000000"/>
                <w:kern w:val="0"/>
                <w:sz w:val="18"/>
                <w:szCs w:val="18"/>
              </w:rPr>
            </w:pPr>
            <w:r>
              <w:rPr>
                <w:rFonts w:ascii="宋体" w:hAnsi="宋体"/>
                <w:color w:val="000000"/>
                <w:kern w:val="0"/>
                <w:sz w:val="18"/>
                <w:szCs w:val="18"/>
              </w:rPr>
              <w:t>限差(ΔS)（</w:t>
            </w:r>
            <w:r>
              <w:rPr>
                <w:rFonts w:ascii="宋体" w:hAnsi="宋体"/>
                <w:kern w:val="0"/>
                <w:sz w:val="18"/>
                <w:szCs w:val="18"/>
              </w:rPr>
              <w:t>m</w:t>
            </w:r>
            <w:r>
              <w:rPr>
                <w:rFonts w:ascii="宋体" w:hAnsi="宋体"/>
                <w:kern w:val="0"/>
                <w:sz w:val="18"/>
                <w:szCs w:val="18"/>
                <w:vertAlign w:val="superscript"/>
              </w:rPr>
              <w:t>2</w:t>
            </w:r>
            <w:r>
              <w:rPr>
                <w:rFonts w:ascii="宋体" w:hAnsi="宋体"/>
                <w:color w:val="000000"/>
                <w:kern w:val="0"/>
                <w:sz w:val="18"/>
                <w:szCs w:val="18"/>
              </w:rPr>
              <w:t>）</w:t>
            </w:r>
          </w:p>
        </w:tc>
        <w:tc>
          <w:tcPr>
            <w:tcW w:w="3025" w:type="dxa"/>
            <w:tcMar>
              <w:top w:w="15" w:type="dxa"/>
              <w:left w:w="15" w:type="dxa"/>
              <w:bottom w:w="0" w:type="dxa"/>
              <w:right w:w="15" w:type="dxa"/>
            </w:tcMar>
            <w:vAlign w:val="center"/>
          </w:tcPr>
          <w:p>
            <w:pPr>
              <w:widowControl/>
              <w:adjustRightInd/>
              <w:spacing w:line="360" w:lineRule="auto"/>
              <w:jc w:val="center"/>
              <w:rPr>
                <w:rFonts w:hint="eastAsia" w:ascii="宋体" w:hAnsi="宋体"/>
                <w:color w:val="000000"/>
                <w:kern w:val="0"/>
                <w:sz w:val="18"/>
                <w:szCs w:val="18"/>
              </w:rPr>
            </w:pPr>
            <w:r>
              <w:rPr>
                <w:rFonts w:ascii="宋体" w:hAnsi="宋体"/>
                <w:color w:val="000000"/>
                <w:kern w:val="0"/>
                <w:sz w:val="18"/>
                <w:szCs w:val="18"/>
              </w:rPr>
              <w:t>中误差（</w:t>
            </w:r>
            <w:r>
              <w:rPr>
                <w:rFonts w:ascii="宋体" w:hAnsi="宋体"/>
                <w:kern w:val="0"/>
                <w:sz w:val="18"/>
                <w:szCs w:val="18"/>
              </w:rPr>
              <w:t>m</w:t>
            </w:r>
            <w:r>
              <w:rPr>
                <w:rFonts w:ascii="宋体" w:hAnsi="宋体"/>
                <w:kern w:val="0"/>
                <w:sz w:val="18"/>
                <w:szCs w:val="18"/>
                <w:vertAlign w:val="superscript"/>
              </w:rPr>
              <w:t>2</w:t>
            </w:r>
            <w:r>
              <w:rPr>
                <w:rFonts w:ascii="宋体" w:hAnsi="宋体"/>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667" w:type="dxa"/>
            <w:tcMar>
              <w:top w:w="15" w:type="dxa"/>
              <w:left w:w="15" w:type="dxa"/>
              <w:bottom w:w="0" w:type="dxa"/>
              <w:right w:w="15" w:type="dxa"/>
            </w:tcMar>
            <w:vAlign w:val="center"/>
          </w:tcPr>
          <w:p>
            <w:pPr>
              <w:widowControl/>
              <w:adjustRightInd/>
              <w:spacing w:after="31" w:afterLines="10" w:line="400" w:lineRule="atLeast"/>
              <w:jc w:val="center"/>
              <w:rPr>
                <w:rFonts w:hint="eastAsia" w:ascii="宋体" w:hAnsi="宋体"/>
                <w:color w:val="000000"/>
                <w:kern w:val="0"/>
                <w:sz w:val="18"/>
                <w:szCs w:val="18"/>
              </w:rPr>
            </w:pPr>
            <w:r>
              <w:rPr>
                <w:rFonts w:ascii="宋体" w:hAnsi="宋体"/>
                <w:color w:val="000000"/>
                <w:kern w:val="0"/>
                <w:sz w:val="18"/>
                <w:szCs w:val="18"/>
              </w:rPr>
              <w:t>一</w:t>
            </w:r>
          </w:p>
        </w:tc>
        <w:tc>
          <w:tcPr>
            <w:tcW w:w="3692" w:type="dxa"/>
            <w:tcMar>
              <w:top w:w="15" w:type="dxa"/>
              <w:left w:w="15" w:type="dxa"/>
              <w:bottom w:w="0" w:type="dxa"/>
              <w:right w:w="15" w:type="dxa"/>
            </w:tcMar>
            <w:vAlign w:val="center"/>
          </w:tcPr>
          <w:p>
            <w:pPr>
              <w:widowControl/>
              <w:adjustRightInd/>
              <w:spacing w:after="31" w:afterLines="10" w:line="400" w:lineRule="atLeast"/>
              <w:jc w:val="center"/>
              <w:rPr>
                <w:rFonts w:hint="eastAsia" w:ascii="宋体" w:hAnsi="宋体"/>
                <w:color w:val="000000"/>
                <w:kern w:val="0"/>
                <w:sz w:val="18"/>
                <w:szCs w:val="18"/>
              </w:rPr>
            </w:pPr>
            <w:r>
              <w:rPr>
                <w:rFonts w:ascii="宋体" w:hAnsi="宋体"/>
                <w:color w:val="000000"/>
                <w:kern w:val="0"/>
                <w:sz w:val="18"/>
                <w:szCs w:val="18"/>
              </w:rPr>
              <w:t>0.02</w:t>
            </w:r>
            <m:oMath>
              <m:rad>
                <m:radPr>
                  <m:degHide m:val="true"/>
                  <m:ctrlPr>
                    <w:rPr>
                      <w:rFonts w:ascii="Cambria Math" w:hAnsi="Cambria Math"/>
                      <w:i/>
                      <w:color w:val="000000"/>
                      <w:kern w:val="0"/>
                      <w:sz w:val="18"/>
                      <w:szCs w:val="18"/>
                    </w:rPr>
                  </m:ctrlPr>
                </m:radPr>
                <m:deg>
                  <m:ctrlPr>
                    <w:rPr>
                      <w:rFonts w:ascii="Cambria Math" w:hAnsi="Cambria Math"/>
                      <w:i/>
                      <w:color w:val="000000"/>
                      <w:kern w:val="0"/>
                      <w:sz w:val="18"/>
                      <w:szCs w:val="18"/>
                    </w:rPr>
                  </m:ctrlPr>
                </m:deg>
                <m:e>
                  <m:r>
                    <m:rPr/>
                    <w:rPr>
                      <w:rFonts w:ascii="Cambria Math" w:hAnsi="Cambria Math"/>
                      <w:color w:val="000000"/>
                      <w:kern w:val="0"/>
                      <w:sz w:val="18"/>
                      <w:szCs w:val="18"/>
                    </w:rPr>
                    <m:t>S</m:t>
                  </m:r>
                  <m:ctrlPr>
                    <w:rPr>
                      <w:rFonts w:ascii="Cambria Math" w:hAnsi="Cambria Math"/>
                      <w:i/>
                      <w:color w:val="000000"/>
                      <w:kern w:val="0"/>
                      <w:sz w:val="18"/>
                      <w:szCs w:val="18"/>
                    </w:rPr>
                  </m:ctrlPr>
                </m:e>
              </m:rad>
            </m:oMath>
            <w:r>
              <w:rPr>
                <w:rFonts w:ascii="宋体" w:hAnsi="宋体"/>
                <w:color w:val="000000"/>
                <w:kern w:val="0"/>
                <w:sz w:val="18"/>
                <w:szCs w:val="18"/>
              </w:rPr>
              <w:t>+0.0006S</w:t>
            </w:r>
          </w:p>
        </w:tc>
        <w:tc>
          <w:tcPr>
            <w:tcW w:w="3025" w:type="dxa"/>
            <w:tcMar>
              <w:top w:w="15" w:type="dxa"/>
              <w:left w:w="15" w:type="dxa"/>
              <w:bottom w:w="0" w:type="dxa"/>
              <w:right w:w="15" w:type="dxa"/>
            </w:tcMar>
            <w:vAlign w:val="center"/>
          </w:tcPr>
          <w:p>
            <w:pPr>
              <w:widowControl/>
              <w:adjustRightInd/>
              <w:spacing w:after="31" w:afterLines="10" w:line="400" w:lineRule="atLeast"/>
              <w:jc w:val="center"/>
              <w:rPr>
                <w:rFonts w:hint="eastAsia" w:ascii="宋体" w:hAnsi="宋体"/>
                <w:color w:val="000000"/>
                <w:kern w:val="0"/>
                <w:sz w:val="18"/>
                <w:szCs w:val="18"/>
              </w:rPr>
            </w:pPr>
            <w:r>
              <w:rPr>
                <w:rFonts w:ascii="宋体" w:hAnsi="宋体"/>
                <w:color w:val="000000"/>
                <w:kern w:val="0"/>
                <w:sz w:val="18"/>
                <w:szCs w:val="18"/>
              </w:rPr>
              <w:t>0.01</w:t>
            </w:r>
            <m:oMath>
              <m:rad>
                <m:radPr>
                  <m:degHide m:val="true"/>
                  <m:ctrlPr>
                    <w:rPr>
                      <w:rFonts w:ascii="Cambria Math" w:hAnsi="Cambria Math"/>
                      <w:i/>
                      <w:color w:val="000000"/>
                      <w:kern w:val="0"/>
                      <w:sz w:val="18"/>
                      <w:szCs w:val="18"/>
                    </w:rPr>
                  </m:ctrlPr>
                </m:radPr>
                <m:deg>
                  <m:ctrlPr>
                    <w:rPr>
                      <w:rFonts w:ascii="Cambria Math" w:hAnsi="Cambria Math"/>
                      <w:i/>
                      <w:color w:val="000000"/>
                      <w:kern w:val="0"/>
                      <w:sz w:val="18"/>
                      <w:szCs w:val="18"/>
                    </w:rPr>
                  </m:ctrlPr>
                </m:deg>
                <m:e>
                  <m:r>
                    <m:rPr/>
                    <w:rPr>
                      <w:rFonts w:ascii="Cambria Math" w:hAnsi="Cambria Math"/>
                      <w:color w:val="000000"/>
                      <w:kern w:val="0"/>
                      <w:sz w:val="18"/>
                      <w:szCs w:val="18"/>
                    </w:rPr>
                    <m:t>S</m:t>
                  </m:r>
                  <m:ctrlPr>
                    <w:rPr>
                      <w:rFonts w:ascii="Cambria Math" w:hAnsi="Cambria Math"/>
                      <w:i/>
                      <w:color w:val="000000"/>
                      <w:kern w:val="0"/>
                      <w:sz w:val="18"/>
                      <w:szCs w:val="18"/>
                    </w:rPr>
                  </m:ctrlPr>
                </m:e>
              </m:rad>
            </m:oMath>
            <w:r>
              <w:rPr>
                <w:rFonts w:ascii="宋体" w:hAnsi="宋体"/>
                <w:color w:val="000000"/>
                <w:kern w:val="0"/>
                <w:sz w:val="18"/>
                <w:szCs w:val="18"/>
              </w:rPr>
              <w:t>+0.0003S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667" w:type="dxa"/>
            <w:tcMar>
              <w:top w:w="15" w:type="dxa"/>
              <w:left w:w="15" w:type="dxa"/>
              <w:bottom w:w="0" w:type="dxa"/>
              <w:right w:w="15" w:type="dxa"/>
            </w:tcMar>
            <w:vAlign w:val="center"/>
          </w:tcPr>
          <w:p>
            <w:pPr>
              <w:widowControl/>
              <w:adjustRightInd/>
              <w:spacing w:after="31" w:afterLines="10" w:line="400" w:lineRule="atLeast"/>
              <w:jc w:val="center"/>
              <w:rPr>
                <w:rFonts w:hint="eastAsia" w:ascii="宋体" w:hAnsi="宋体"/>
                <w:color w:val="000000"/>
                <w:kern w:val="0"/>
                <w:sz w:val="18"/>
                <w:szCs w:val="18"/>
              </w:rPr>
            </w:pPr>
            <w:r>
              <w:rPr>
                <w:rFonts w:ascii="宋体" w:hAnsi="宋体"/>
                <w:color w:val="000000"/>
                <w:kern w:val="0"/>
                <w:sz w:val="18"/>
                <w:szCs w:val="18"/>
              </w:rPr>
              <w:t>二</w:t>
            </w:r>
          </w:p>
        </w:tc>
        <w:tc>
          <w:tcPr>
            <w:tcW w:w="3692" w:type="dxa"/>
            <w:tcMar>
              <w:top w:w="15" w:type="dxa"/>
              <w:left w:w="15" w:type="dxa"/>
              <w:bottom w:w="0" w:type="dxa"/>
              <w:right w:w="15" w:type="dxa"/>
            </w:tcMar>
            <w:vAlign w:val="center"/>
          </w:tcPr>
          <w:p>
            <w:pPr>
              <w:widowControl/>
              <w:adjustRightInd/>
              <w:spacing w:after="31" w:afterLines="10" w:line="400" w:lineRule="atLeast"/>
              <w:jc w:val="center"/>
              <w:rPr>
                <w:rFonts w:hint="eastAsia" w:ascii="宋体" w:hAnsi="宋体"/>
                <w:color w:val="000000"/>
                <w:kern w:val="0"/>
                <w:sz w:val="18"/>
                <w:szCs w:val="18"/>
              </w:rPr>
            </w:pPr>
            <w:r>
              <w:rPr>
                <w:rFonts w:ascii="宋体" w:hAnsi="宋体"/>
                <w:color w:val="000000"/>
                <w:kern w:val="0"/>
                <w:sz w:val="18"/>
                <w:szCs w:val="18"/>
              </w:rPr>
              <w:t>0.04</w:t>
            </w:r>
            <m:oMath>
              <m:rad>
                <m:radPr>
                  <m:degHide m:val="true"/>
                  <m:ctrlPr>
                    <w:rPr>
                      <w:rFonts w:ascii="Cambria Math" w:hAnsi="Cambria Math"/>
                      <w:i/>
                      <w:color w:val="000000"/>
                      <w:kern w:val="0"/>
                      <w:sz w:val="18"/>
                      <w:szCs w:val="18"/>
                    </w:rPr>
                  </m:ctrlPr>
                </m:radPr>
                <m:deg>
                  <m:ctrlPr>
                    <w:rPr>
                      <w:rFonts w:ascii="Cambria Math" w:hAnsi="Cambria Math"/>
                      <w:i/>
                      <w:color w:val="000000"/>
                      <w:kern w:val="0"/>
                      <w:sz w:val="18"/>
                      <w:szCs w:val="18"/>
                    </w:rPr>
                  </m:ctrlPr>
                </m:deg>
                <m:e>
                  <m:r>
                    <m:rPr/>
                    <w:rPr>
                      <w:rFonts w:ascii="Cambria Math" w:hAnsi="Cambria Math"/>
                      <w:color w:val="000000"/>
                      <w:kern w:val="0"/>
                      <w:sz w:val="18"/>
                      <w:szCs w:val="18"/>
                    </w:rPr>
                    <m:t>S</m:t>
                  </m:r>
                  <m:ctrlPr>
                    <w:rPr>
                      <w:rFonts w:ascii="Cambria Math" w:hAnsi="Cambria Math"/>
                      <w:i/>
                      <w:color w:val="000000"/>
                      <w:kern w:val="0"/>
                      <w:sz w:val="18"/>
                      <w:szCs w:val="18"/>
                    </w:rPr>
                  </m:ctrlPr>
                </m:e>
              </m:rad>
            </m:oMath>
            <w:r>
              <w:rPr>
                <w:rFonts w:ascii="宋体" w:hAnsi="宋体"/>
                <w:color w:val="000000"/>
                <w:kern w:val="0"/>
                <w:sz w:val="18"/>
                <w:szCs w:val="18"/>
              </w:rPr>
              <w:t>+0.002S</w:t>
            </w:r>
          </w:p>
        </w:tc>
        <w:tc>
          <w:tcPr>
            <w:tcW w:w="3025" w:type="dxa"/>
            <w:tcMar>
              <w:top w:w="15" w:type="dxa"/>
              <w:left w:w="15" w:type="dxa"/>
              <w:bottom w:w="0" w:type="dxa"/>
              <w:right w:w="15" w:type="dxa"/>
            </w:tcMar>
            <w:vAlign w:val="center"/>
          </w:tcPr>
          <w:p>
            <w:pPr>
              <w:widowControl/>
              <w:adjustRightInd/>
              <w:spacing w:after="31" w:afterLines="10" w:line="400" w:lineRule="atLeast"/>
              <w:jc w:val="center"/>
              <w:rPr>
                <w:rFonts w:hint="eastAsia" w:ascii="宋体" w:hAnsi="宋体"/>
                <w:color w:val="000000"/>
                <w:kern w:val="0"/>
                <w:sz w:val="18"/>
                <w:szCs w:val="18"/>
              </w:rPr>
            </w:pPr>
            <w:r>
              <w:rPr>
                <w:rFonts w:ascii="宋体" w:hAnsi="宋体"/>
                <w:color w:val="000000"/>
                <w:kern w:val="0"/>
                <w:sz w:val="18"/>
                <w:szCs w:val="18"/>
              </w:rPr>
              <w:t>0.02</w:t>
            </w:r>
            <m:oMath>
              <m:rad>
                <m:radPr>
                  <m:degHide m:val="true"/>
                  <m:ctrlPr>
                    <w:rPr>
                      <w:rFonts w:ascii="Cambria Math" w:hAnsi="Cambria Math"/>
                      <w:i/>
                      <w:color w:val="000000"/>
                      <w:kern w:val="0"/>
                      <w:sz w:val="18"/>
                      <w:szCs w:val="18"/>
                    </w:rPr>
                  </m:ctrlPr>
                </m:radPr>
                <m:deg>
                  <m:ctrlPr>
                    <w:rPr>
                      <w:rFonts w:ascii="Cambria Math" w:hAnsi="Cambria Math"/>
                      <w:i/>
                      <w:color w:val="000000"/>
                      <w:kern w:val="0"/>
                      <w:sz w:val="18"/>
                      <w:szCs w:val="18"/>
                    </w:rPr>
                  </m:ctrlPr>
                </m:deg>
                <m:e>
                  <m:r>
                    <m:rPr/>
                    <w:rPr>
                      <w:rFonts w:ascii="Cambria Math" w:hAnsi="Cambria Math"/>
                      <w:color w:val="000000"/>
                      <w:kern w:val="0"/>
                      <w:sz w:val="18"/>
                      <w:szCs w:val="18"/>
                    </w:rPr>
                    <m:t>S</m:t>
                  </m:r>
                  <m:ctrlPr>
                    <w:rPr>
                      <w:rFonts w:ascii="Cambria Math" w:hAnsi="Cambria Math"/>
                      <w:i/>
                      <w:color w:val="000000"/>
                      <w:kern w:val="0"/>
                      <w:sz w:val="18"/>
                      <w:szCs w:val="18"/>
                    </w:rPr>
                  </m:ctrlPr>
                </m:e>
              </m:rad>
            </m:oMath>
            <w:r>
              <w:rPr>
                <w:rFonts w:ascii="宋体" w:hAnsi="宋体"/>
                <w:color w:val="000000"/>
                <w:kern w:val="0"/>
                <w:sz w:val="18"/>
                <w:szCs w:val="18"/>
              </w:rPr>
              <w:t>+0.001S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2667" w:type="dxa"/>
            <w:tcMar>
              <w:top w:w="15" w:type="dxa"/>
              <w:left w:w="15" w:type="dxa"/>
              <w:bottom w:w="0" w:type="dxa"/>
              <w:right w:w="15" w:type="dxa"/>
            </w:tcMar>
            <w:vAlign w:val="center"/>
          </w:tcPr>
          <w:p>
            <w:pPr>
              <w:widowControl/>
              <w:adjustRightInd/>
              <w:spacing w:after="31" w:afterLines="10" w:line="400" w:lineRule="atLeast"/>
              <w:jc w:val="center"/>
              <w:rPr>
                <w:rFonts w:hint="eastAsia" w:ascii="宋体" w:hAnsi="宋体"/>
                <w:color w:val="000000"/>
                <w:kern w:val="0"/>
                <w:sz w:val="18"/>
                <w:szCs w:val="18"/>
              </w:rPr>
            </w:pPr>
            <w:r>
              <w:rPr>
                <w:rFonts w:ascii="宋体" w:hAnsi="宋体"/>
                <w:color w:val="000000"/>
                <w:kern w:val="0"/>
                <w:sz w:val="18"/>
                <w:szCs w:val="18"/>
              </w:rPr>
              <w:t>三</w:t>
            </w:r>
          </w:p>
        </w:tc>
        <w:tc>
          <w:tcPr>
            <w:tcW w:w="3692" w:type="dxa"/>
            <w:tcMar>
              <w:top w:w="15" w:type="dxa"/>
              <w:left w:w="15" w:type="dxa"/>
              <w:bottom w:w="0" w:type="dxa"/>
              <w:right w:w="15" w:type="dxa"/>
            </w:tcMar>
            <w:vAlign w:val="center"/>
          </w:tcPr>
          <w:p>
            <w:pPr>
              <w:widowControl/>
              <w:adjustRightInd/>
              <w:spacing w:after="31" w:afterLines="10" w:line="400" w:lineRule="atLeast"/>
              <w:jc w:val="center"/>
              <w:rPr>
                <w:rFonts w:hint="eastAsia" w:ascii="宋体" w:hAnsi="宋体"/>
                <w:color w:val="000000"/>
                <w:kern w:val="0"/>
                <w:sz w:val="18"/>
                <w:szCs w:val="18"/>
              </w:rPr>
            </w:pPr>
            <w:r>
              <w:rPr>
                <w:rFonts w:ascii="宋体" w:hAnsi="宋体"/>
                <w:color w:val="000000"/>
                <w:kern w:val="0"/>
                <w:sz w:val="18"/>
                <w:szCs w:val="18"/>
              </w:rPr>
              <w:t>0.08</w:t>
            </w:r>
            <m:oMath>
              <m:rad>
                <m:radPr>
                  <m:degHide m:val="true"/>
                  <m:ctrlPr>
                    <w:rPr>
                      <w:rFonts w:ascii="Cambria Math" w:hAnsi="Cambria Math"/>
                      <w:i/>
                      <w:color w:val="000000"/>
                      <w:kern w:val="0"/>
                      <w:sz w:val="18"/>
                      <w:szCs w:val="18"/>
                    </w:rPr>
                  </m:ctrlPr>
                </m:radPr>
                <m:deg>
                  <m:ctrlPr>
                    <w:rPr>
                      <w:rFonts w:ascii="Cambria Math" w:hAnsi="Cambria Math"/>
                      <w:i/>
                      <w:color w:val="000000"/>
                      <w:kern w:val="0"/>
                      <w:sz w:val="18"/>
                      <w:szCs w:val="18"/>
                    </w:rPr>
                  </m:ctrlPr>
                </m:deg>
                <m:e>
                  <m:r>
                    <m:rPr/>
                    <w:rPr>
                      <w:rFonts w:ascii="Cambria Math" w:hAnsi="Cambria Math"/>
                      <w:color w:val="000000"/>
                      <w:kern w:val="0"/>
                      <w:sz w:val="18"/>
                      <w:szCs w:val="18"/>
                    </w:rPr>
                    <m:t>S</m:t>
                  </m:r>
                  <m:ctrlPr>
                    <w:rPr>
                      <w:rFonts w:ascii="Cambria Math" w:hAnsi="Cambria Math"/>
                      <w:i/>
                      <w:color w:val="000000"/>
                      <w:kern w:val="0"/>
                      <w:sz w:val="18"/>
                      <w:szCs w:val="18"/>
                    </w:rPr>
                  </m:ctrlPr>
                </m:e>
              </m:rad>
            </m:oMath>
            <w:r>
              <w:rPr>
                <w:rFonts w:ascii="宋体" w:hAnsi="宋体"/>
                <w:color w:val="000000"/>
                <w:kern w:val="0"/>
                <w:sz w:val="18"/>
                <w:szCs w:val="18"/>
              </w:rPr>
              <w:t>+0.006S</w:t>
            </w:r>
          </w:p>
        </w:tc>
        <w:tc>
          <w:tcPr>
            <w:tcW w:w="3025" w:type="dxa"/>
            <w:tcMar>
              <w:top w:w="15" w:type="dxa"/>
              <w:left w:w="15" w:type="dxa"/>
              <w:bottom w:w="0" w:type="dxa"/>
              <w:right w:w="15" w:type="dxa"/>
            </w:tcMar>
            <w:vAlign w:val="center"/>
          </w:tcPr>
          <w:p>
            <w:pPr>
              <w:widowControl/>
              <w:adjustRightInd/>
              <w:spacing w:after="31" w:afterLines="10" w:line="400" w:lineRule="atLeast"/>
              <w:jc w:val="center"/>
              <w:rPr>
                <w:rFonts w:hint="eastAsia" w:ascii="宋体" w:hAnsi="宋体"/>
                <w:color w:val="000000"/>
                <w:kern w:val="0"/>
                <w:sz w:val="18"/>
                <w:szCs w:val="18"/>
              </w:rPr>
            </w:pPr>
            <w:r>
              <w:rPr>
                <w:rFonts w:ascii="宋体" w:hAnsi="宋体"/>
                <w:color w:val="000000"/>
                <w:kern w:val="0"/>
                <w:sz w:val="18"/>
                <w:szCs w:val="18"/>
              </w:rPr>
              <w:t>0.04</w:t>
            </w:r>
            <m:oMath>
              <m:rad>
                <m:radPr>
                  <m:degHide m:val="true"/>
                  <m:ctrlPr>
                    <w:rPr>
                      <w:rFonts w:ascii="Cambria Math" w:hAnsi="Cambria Math"/>
                      <w:i/>
                      <w:color w:val="000000"/>
                      <w:kern w:val="0"/>
                      <w:sz w:val="18"/>
                      <w:szCs w:val="18"/>
                    </w:rPr>
                  </m:ctrlPr>
                </m:radPr>
                <m:deg>
                  <m:ctrlPr>
                    <w:rPr>
                      <w:rFonts w:ascii="Cambria Math" w:hAnsi="Cambria Math"/>
                      <w:i/>
                      <w:color w:val="000000"/>
                      <w:kern w:val="0"/>
                      <w:sz w:val="18"/>
                      <w:szCs w:val="18"/>
                    </w:rPr>
                  </m:ctrlPr>
                </m:deg>
                <m:e>
                  <m:r>
                    <m:rPr/>
                    <w:rPr>
                      <w:rFonts w:ascii="Cambria Math" w:hAnsi="Cambria Math"/>
                      <w:color w:val="000000"/>
                      <w:kern w:val="0"/>
                      <w:sz w:val="18"/>
                      <w:szCs w:val="18"/>
                    </w:rPr>
                    <m:t>S</m:t>
                  </m:r>
                  <m:ctrlPr>
                    <w:rPr>
                      <w:rFonts w:ascii="Cambria Math" w:hAnsi="Cambria Math"/>
                      <w:i/>
                      <w:color w:val="000000"/>
                      <w:kern w:val="0"/>
                      <w:sz w:val="18"/>
                      <w:szCs w:val="18"/>
                    </w:rPr>
                  </m:ctrlPr>
                </m:e>
              </m:rad>
            </m:oMath>
            <w:r>
              <w:rPr>
                <w:rFonts w:ascii="宋体" w:hAnsi="宋体"/>
                <w:color w:val="000000"/>
                <w:kern w:val="0"/>
                <w:sz w:val="18"/>
                <w:szCs w:val="18"/>
              </w:rPr>
              <w:t>+0.003S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84" w:type="dxa"/>
            <w:gridSpan w:val="3"/>
            <w:tcMar>
              <w:top w:w="15" w:type="dxa"/>
              <w:left w:w="15" w:type="dxa"/>
              <w:bottom w:w="0" w:type="dxa"/>
              <w:right w:w="15" w:type="dxa"/>
            </w:tcMar>
            <w:vAlign w:val="center"/>
          </w:tcPr>
          <w:p>
            <w:pPr>
              <w:pStyle w:val="181"/>
              <w:rPr>
                <w:rFonts w:hint="eastAsia" w:hAnsi="宋体"/>
              </w:rPr>
            </w:pPr>
            <w:r>
              <w:t>ΔS是指两组独立测算面积的限差，单位：m</w:t>
            </w:r>
            <w:r>
              <w:rPr>
                <w:vertAlign w:val="superscript"/>
              </w:rPr>
              <w:t>2</w:t>
            </w:r>
            <w:r>
              <w:t>；S是指实测房屋面积，单位：m</w:t>
            </w:r>
            <w:r>
              <w:rPr>
                <w:vertAlign w:val="superscript"/>
              </w:rPr>
              <w:t>2</w:t>
            </w:r>
            <w:r>
              <w:t>。</w:t>
            </w:r>
          </w:p>
        </w:tc>
      </w:tr>
    </w:tbl>
    <w:p>
      <w:pPr>
        <w:pStyle w:val="107"/>
        <w:spacing w:before="156" w:after="156"/>
      </w:pPr>
      <w:bookmarkStart w:id="61" w:name="_Toc404004775"/>
      <w:bookmarkEnd w:id="61"/>
      <w:bookmarkStart w:id="62" w:name="_Toc405534858"/>
      <w:bookmarkEnd w:id="62"/>
      <w:bookmarkStart w:id="63" w:name="_Toc403730445"/>
      <w:bookmarkEnd w:id="63"/>
      <w:bookmarkStart w:id="64" w:name="_Toc392665306"/>
      <w:bookmarkEnd w:id="64"/>
      <w:bookmarkStart w:id="65" w:name="_Toc406061423"/>
      <w:bookmarkEnd w:id="65"/>
      <w:bookmarkStart w:id="66" w:name="_Toc403730522"/>
      <w:bookmarkEnd w:id="66"/>
      <w:bookmarkStart w:id="67" w:name="_Toc404085505"/>
      <w:bookmarkStart w:id="68" w:name="_Toc237015149"/>
      <w:bookmarkStart w:id="69" w:name="_Toc237470882"/>
      <w:r>
        <w:t>测绘基准</w:t>
      </w:r>
      <w:bookmarkEnd w:id="67"/>
      <w:bookmarkEnd w:id="68"/>
      <w:bookmarkEnd w:id="69"/>
    </w:p>
    <w:p>
      <w:pPr>
        <w:pStyle w:val="67"/>
        <w:spacing w:before="156" w:after="156"/>
      </w:pPr>
      <w:bookmarkStart w:id="70" w:name="_Toc404004776"/>
      <w:bookmarkEnd w:id="70"/>
      <w:bookmarkStart w:id="71" w:name="_Toc403730523"/>
      <w:bookmarkEnd w:id="71"/>
      <w:bookmarkStart w:id="72" w:name="_Toc404085506"/>
      <w:r>
        <w:t>房产测绘坐标系统</w:t>
      </w:r>
      <w:bookmarkEnd w:id="72"/>
    </w:p>
    <w:p>
      <w:pPr>
        <w:widowControl/>
        <w:adjustRightInd/>
        <w:spacing w:line="240" w:lineRule="auto"/>
        <w:ind w:firstLine="420"/>
        <w:rPr>
          <w:rFonts w:hint="eastAsia" w:ascii="宋体" w:hAnsi="宋体" w:cs="宋体"/>
          <w:kern w:val="0"/>
        </w:rPr>
      </w:pPr>
      <w:r>
        <w:rPr>
          <w:rFonts w:ascii="宋体" w:hAnsi="宋体" w:cs="宋体"/>
          <w:kern w:val="0"/>
        </w:rPr>
        <w:t>宜采用国家大地坐标系（简称CGCS2000），也可采用地方坐标系，采用地方坐标系时应和国家大地坐标系联测。</w:t>
      </w:r>
    </w:p>
    <w:p>
      <w:pPr>
        <w:pStyle w:val="67"/>
        <w:spacing w:before="156" w:after="156"/>
      </w:pPr>
      <w:bookmarkStart w:id="73" w:name="_Toc404004777"/>
      <w:bookmarkEnd w:id="73"/>
      <w:bookmarkStart w:id="74" w:name="_Toc403730524"/>
      <w:bookmarkEnd w:id="74"/>
      <w:bookmarkStart w:id="75" w:name="_Toc404085507"/>
      <w:r>
        <w:t>平面投影</w:t>
      </w:r>
      <w:bookmarkEnd w:id="75"/>
    </w:p>
    <w:p>
      <w:pPr>
        <w:widowControl/>
        <w:adjustRightInd/>
        <w:spacing w:line="240" w:lineRule="auto"/>
        <w:ind w:firstLine="420"/>
        <w:rPr>
          <w:rFonts w:hint="eastAsia" w:ascii="宋体" w:hAnsi="宋体" w:cs="宋体"/>
          <w:kern w:val="0"/>
        </w:rPr>
      </w:pPr>
      <w:r>
        <w:rPr>
          <w:rFonts w:ascii="宋体" w:hAnsi="宋体" w:cs="宋体"/>
          <w:kern w:val="0"/>
        </w:rPr>
        <w:t>房产测绘统一采用高斯—克吕格投影。</w:t>
      </w:r>
    </w:p>
    <w:p>
      <w:pPr>
        <w:pStyle w:val="67"/>
        <w:spacing w:before="156" w:after="156"/>
      </w:pPr>
      <w:bookmarkStart w:id="76" w:name="_Toc403730525"/>
      <w:bookmarkEnd w:id="76"/>
      <w:bookmarkStart w:id="77" w:name="_Toc404004778"/>
      <w:bookmarkEnd w:id="77"/>
      <w:bookmarkStart w:id="78" w:name="_Toc404085508"/>
      <w:r>
        <w:t>高程测量基准</w:t>
      </w:r>
      <w:bookmarkEnd w:id="78"/>
    </w:p>
    <w:p>
      <w:pPr>
        <w:widowControl/>
        <w:adjustRightInd/>
        <w:spacing w:line="240" w:lineRule="auto"/>
        <w:ind w:firstLine="420"/>
        <w:rPr>
          <w:rFonts w:hint="eastAsia" w:ascii="宋体" w:hAnsi="宋体" w:cs="宋体"/>
          <w:kern w:val="0"/>
        </w:rPr>
      </w:pPr>
      <w:r>
        <w:rPr>
          <w:rFonts w:ascii="宋体" w:hAnsi="宋体" w:cs="宋体"/>
          <w:kern w:val="0"/>
        </w:rPr>
        <w:t>房产测绘需要进行高程测量时，由技术设计书另行规定，高程测量采用1985国家高程基准。</w:t>
      </w:r>
    </w:p>
    <w:p>
      <w:pPr>
        <w:pStyle w:val="67"/>
        <w:spacing w:before="156" w:after="156"/>
      </w:pPr>
      <w:bookmarkStart w:id="79" w:name="_Toc404004779"/>
      <w:bookmarkEnd w:id="79"/>
      <w:bookmarkStart w:id="80" w:name="_Toc403730446"/>
      <w:bookmarkEnd w:id="80"/>
      <w:bookmarkStart w:id="81" w:name="_Toc404085509"/>
      <w:bookmarkEnd w:id="81"/>
      <w:bookmarkStart w:id="82" w:name="_Toc403730526"/>
      <w:bookmarkEnd w:id="82"/>
      <w:bookmarkStart w:id="83" w:name="_Toc405534859"/>
      <w:bookmarkEnd w:id="83"/>
      <w:bookmarkStart w:id="84" w:name="_Toc406061424"/>
      <w:bookmarkStart w:id="85" w:name="_Toc237015150"/>
      <w:r>
        <w:t>其他要求</w:t>
      </w:r>
      <w:bookmarkEnd w:id="84"/>
      <w:bookmarkEnd w:id="85"/>
    </w:p>
    <w:p>
      <w:pPr>
        <w:widowControl/>
        <w:numPr>
          <w:ilvl w:val="0"/>
          <w:numId w:val="33"/>
        </w:numPr>
        <w:tabs>
          <w:tab w:val="left" w:pos="851"/>
        </w:tabs>
        <w:adjustRightInd/>
        <w:spacing w:line="240" w:lineRule="auto"/>
        <w:rPr>
          <w:rFonts w:ascii="宋体" w:hAnsi="Times New Roman"/>
          <w:kern w:val="0"/>
          <w:szCs w:val="20"/>
        </w:rPr>
      </w:pPr>
      <w:r>
        <w:rPr>
          <w:rFonts w:ascii="宋体" w:hAnsi="Times New Roman"/>
          <w:kern w:val="0"/>
          <w:szCs w:val="20"/>
        </w:rPr>
        <w:t>房产测绘工作应积极采用高新技术和先进方法，但必须满足本规程规定的精度要求；</w:t>
      </w:r>
    </w:p>
    <w:p>
      <w:pPr>
        <w:widowControl/>
        <w:numPr>
          <w:ilvl w:val="0"/>
          <w:numId w:val="13"/>
        </w:numPr>
        <w:adjustRightInd/>
        <w:spacing w:line="240" w:lineRule="auto"/>
        <w:rPr>
          <w:rFonts w:ascii="宋体" w:hAnsi="Times New Roman"/>
          <w:kern w:val="0"/>
          <w:szCs w:val="20"/>
        </w:rPr>
      </w:pPr>
      <w:r>
        <w:rPr>
          <w:rFonts w:ascii="宋体" w:hAnsi="Times New Roman"/>
          <w:kern w:val="0"/>
          <w:szCs w:val="20"/>
        </w:rPr>
        <w:t>房产测绘除应符合本规程外，尚应符合国家现行有关强制性标准的规定。</w:t>
      </w:r>
    </w:p>
    <w:p>
      <w:pPr>
        <w:pStyle w:val="106"/>
        <w:spacing w:before="312" w:after="312"/>
      </w:pPr>
      <w:bookmarkStart w:id="86" w:name="_Toc403730447"/>
      <w:bookmarkEnd w:id="86"/>
      <w:bookmarkStart w:id="87" w:name="_Toc403730527"/>
      <w:bookmarkEnd w:id="87"/>
      <w:bookmarkStart w:id="88" w:name="_Toc406061425"/>
      <w:bookmarkEnd w:id="88"/>
      <w:bookmarkStart w:id="89" w:name="_Toc405534860"/>
      <w:bookmarkEnd w:id="89"/>
      <w:bookmarkStart w:id="90" w:name="_Toc392665334"/>
      <w:bookmarkEnd w:id="90"/>
      <w:bookmarkStart w:id="91" w:name="_Toc404004780"/>
      <w:bookmarkEnd w:id="91"/>
      <w:bookmarkStart w:id="92" w:name="_Toc404085510"/>
      <w:bookmarkStart w:id="93" w:name="_Toc237015151"/>
      <w:bookmarkStart w:id="94" w:name="_Toc237470883"/>
      <w:r>
        <w:t>房产平面控制测量</w:t>
      </w:r>
      <w:bookmarkEnd w:id="92"/>
      <w:bookmarkEnd w:id="93"/>
      <w:bookmarkEnd w:id="94"/>
    </w:p>
    <w:p>
      <w:pPr>
        <w:pStyle w:val="107"/>
        <w:spacing w:before="156" w:after="156"/>
      </w:pPr>
      <w:bookmarkStart w:id="95" w:name="_Toc406061426"/>
      <w:bookmarkEnd w:id="95"/>
      <w:bookmarkStart w:id="96" w:name="_Toc403730528"/>
      <w:bookmarkEnd w:id="96"/>
      <w:bookmarkStart w:id="97" w:name="_Toc403730448"/>
      <w:bookmarkEnd w:id="97"/>
      <w:bookmarkStart w:id="98" w:name="_Toc404004781"/>
      <w:bookmarkEnd w:id="98"/>
      <w:bookmarkStart w:id="99" w:name="_Toc405534861"/>
      <w:bookmarkEnd w:id="99"/>
      <w:bookmarkStart w:id="100" w:name="_Toc404085511"/>
      <w:bookmarkStart w:id="101" w:name="_Toc237015152"/>
      <w:bookmarkStart w:id="102" w:name="_Toc237470884"/>
      <w:r>
        <w:t>一般规定</w:t>
      </w:r>
      <w:bookmarkEnd w:id="100"/>
      <w:bookmarkEnd w:id="101"/>
      <w:bookmarkEnd w:id="102"/>
    </w:p>
    <w:p>
      <w:pPr>
        <w:widowControl/>
        <w:numPr>
          <w:ilvl w:val="0"/>
          <w:numId w:val="34"/>
        </w:numPr>
        <w:tabs>
          <w:tab w:val="left" w:pos="851"/>
        </w:tabs>
        <w:adjustRightInd/>
        <w:spacing w:line="240" w:lineRule="auto"/>
        <w:rPr>
          <w:rFonts w:ascii="宋体" w:hAnsi="Times New Roman"/>
          <w:kern w:val="0"/>
          <w:szCs w:val="20"/>
        </w:rPr>
      </w:pPr>
      <w:r>
        <w:rPr>
          <w:rFonts w:ascii="宋体" w:hAnsi="Times New Roman"/>
          <w:kern w:val="0"/>
          <w:szCs w:val="20"/>
        </w:rPr>
        <w:t>房产平面控制网的布设应遵循“从整体到局部、分级布网”的原则。首级网宜一次全面布设；加密网可分期、越级布设</w:t>
      </w:r>
      <w:r>
        <w:rPr>
          <w:rFonts w:hint="eastAsia" w:ascii="宋体" w:hAnsi="Times New Roman"/>
          <w:kern w:val="0"/>
          <w:szCs w:val="20"/>
        </w:rPr>
        <w:t>；</w:t>
      </w:r>
    </w:p>
    <w:p>
      <w:pPr>
        <w:widowControl/>
        <w:numPr>
          <w:ilvl w:val="0"/>
          <w:numId w:val="34"/>
        </w:numPr>
        <w:tabs>
          <w:tab w:val="left" w:pos="851"/>
        </w:tabs>
        <w:adjustRightInd/>
        <w:spacing w:line="240" w:lineRule="auto"/>
        <w:rPr>
          <w:rFonts w:ascii="宋体" w:hAnsi="Times New Roman"/>
          <w:kern w:val="0"/>
          <w:szCs w:val="20"/>
        </w:rPr>
      </w:pPr>
      <w:r>
        <w:rPr>
          <w:rFonts w:ascii="宋体" w:hAnsi="Times New Roman"/>
          <w:kern w:val="0"/>
          <w:szCs w:val="20"/>
        </w:rPr>
        <w:t>房产平面控制点包括二、三、四等平面控制点和一、二、三级平面控制点等。房产平面控制点均应埋设固定标志，应符合CJJ/T 8、CJJ/T 73中对相应等级控制点的要求</w:t>
      </w:r>
      <w:r>
        <w:rPr>
          <w:rFonts w:hint="eastAsia" w:ascii="宋体" w:hAnsi="Times New Roman"/>
          <w:kern w:val="0"/>
          <w:szCs w:val="20"/>
        </w:rPr>
        <w:t>；</w:t>
      </w:r>
    </w:p>
    <w:p>
      <w:pPr>
        <w:widowControl/>
        <w:numPr>
          <w:ilvl w:val="0"/>
          <w:numId w:val="34"/>
        </w:numPr>
        <w:tabs>
          <w:tab w:val="left" w:pos="851"/>
        </w:tabs>
        <w:adjustRightInd/>
        <w:spacing w:line="240" w:lineRule="auto"/>
        <w:rPr>
          <w:rFonts w:ascii="宋体" w:hAnsi="Times New Roman"/>
          <w:kern w:val="0"/>
          <w:szCs w:val="20"/>
        </w:rPr>
      </w:pPr>
      <w:r>
        <w:rPr>
          <w:rFonts w:ascii="宋体" w:hAnsi="Times New Roman"/>
          <w:kern w:val="0"/>
          <w:szCs w:val="20"/>
        </w:rPr>
        <w:t>建筑物密集区的控制点平均间距在100m左右，建筑物稀疏区的控制点平均间距在200m左右</w:t>
      </w:r>
      <w:r>
        <w:rPr>
          <w:rFonts w:hint="eastAsia" w:ascii="宋体" w:hAnsi="Times New Roman"/>
          <w:kern w:val="0"/>
          <w:szCs w:val="20"/>
        </w:rPr>
        <w:t>；</w:t>
      </w:r>
      <w:r>
        <w:rPr>
          <w:rFonts w:ascii="宋体" w:hAnsi="Times New Roman"/>
          <w:kern w:val="0"/>
          <w:szCs w:val="20"/>
        </w:rPr>
        <w:t>控制点应成组布设，一般不得少于3个</w:t>
      </w:r>
      <w:r>
        <w:rPr>
          <w:rFonts w:hint="eastAsia" w:ascii="宋体" w:hAnsi="Times New Roman"/>
          <w:kern w:val="0"/>
          <w:szCs w:val="20"/>
        </w:rPr>
        <w:t>；</w:t>
      </w:r>
    </w:p>
    <w:p>
      <w:pPr>
        <w:widowControl/>
        <w:numPr>
          <w:ilvl w:val="0"/>
          <w:numId w:val="34"/>
        </w:numPr>
        <w:tabs>
          <w:tab w:val="left" w:pos="851"/>
        </w:tabs>
        <w:adjustRightInd/>
        <w:spacing w:line="240" w:lineRule="auto"/>
        <w:rPr>
          <w:rFonts w:ascii="宋体" w:hAnsi="Times New Roman"/>
          <w:kern w:val="0"/>
          <w:szCs w:val="20"/>
        </w:rPr>
      </w:pPr>
      <w:r>
        <w:rPr>
          <w:rFonts w:ascii="宋体" w:hAnsi="Times New Roman"/>
          <w:kern w:val="0"/>
          <w:szCs w:val="20"/>
        </w:rPr>
        <w:t>根据测量项目和房产要素测量的需要，可加密布设图根控制点，因地形条件限制，图根导线无法附合时，可布设不超过四条边，总长度不大于450m且最大边长小于160m的支导线点。</w:t>
      </w:r>
    </w:p>
    <w:p>
      <w:pPr>
        <w:pStyle w:val="107"/>
        <w:spacing w:before="156" w:after="156"/>
      </w:pPr>
      <w:bookmarkStart w:id="103" w:name="_Toc403730529"/>
      <w:bookmarkEnd w:id="103"/>
      <w:bookmarkStart w:id="104" w:name="_Toc404004782"/>
      <w:bookmarkEnd w:id="104"/>
      <w:bookmarkStart w:id="105" w:name="_Toc237015153"/>
      <w:bookmarkStart w:id="106" w:name="_Toc237470885"/>
      <w:r>
        <w:t>已有平面控制网的利用</w:t>
      </w:r>
      <w:bookmarkEnd w:id="105"/>
      <w:bookmarkEnd w:id="106"/>
    </w:p>
    <w:p>
      <w:pPr>
        <w:widowControl/>
        <w:tabs>
          <w:tab w:val="center" w:pos="4201"/>
          <w:tab w:val="right" w:leader="dot" w:pos="9298"/>
        </w:tabs>
        <w:autoSpaceDE w:val="0"/>
        <w:autoSpaceDN w:val="0"/>
        <w:adjustRightInd/>
        <w:spacing w:line="240" w:lineRule="auto"/>
        <w:ind w:firstLine="420" w:firstLineChars="200"/>
        <w:rPr>
          <w:rFonts w:hint="eastAsia" w:ascii="宋体" w:hAnsi="宋体" w:cs="宋体"/>
          <w:kern w:val="0"/>
        </w:rPr>
      </w:pPr>
      <w:r>
        <w:rPr>
          <w:rFonts w:ascii="宋体" w:hAnsi="宋体" w:cs="宋体"/>
          <w:kern w:val="0"/>
        </w:rPr>
        <w:t>已有卫星导航定位基准站（CORS）网、国家和地方等级控制网成果，可作为相应等级平面控制的起算依据。利用已有控制点成果前，应采用全站仪测量、GNSS RTK测量或静态GNSS定位方法进行检测。二、三、四等平面控制点的检核应符合CJJ/T 8</w:t>
      </w:r>
      <w:r>
        <w:rPr>
          <w:rFonts w:ascii="宋体" w:hAnsi="宋体" w:cs="宋体"/>
          <w:color w:val="000000"/>
          <w:kern w:val="0"/>
        </w:rPr>
        <w:t>、</w:t>
      </w:r>
      <w:r>
        <w:rPr>
          <w:rFonts w:ascii="宋体" w:hAnsi="宋体" w:cs="宋体"/>
          <w:kern w:val="0"/>
        </w:rPr>
        <w:t>CJJ/T 73中相应等级控制点的要求。其它等级的RTK平面控制点检核应符合表3要求</w:t>
      </w:r>
      <w:r>
        <w:rPr>
          <w:rFonts w:hint="eastAsia" w:ascii="宋体" w:hAnsi="宋体" w:cs="宋体"/>
          <w:kern w:val="0"/>
        </w:rPr>
        <w:t>。</w:t>
      </w:r>
    </w:p>
    <w:p>
      <w:pPr>
        <w:pStyle w:val="114"/>
        <w:spacing w:before="156" w:after="156"/>
        <w:rPr>
          <w:sz w:val="28"/>
          <w:szCs w:val="28"/>
        </w:rPr>
      </w:pPr>
      <w:r>
        <w:t>RTK平面控制点检核测量技术要求</w:t>
      </w:r>
    </w:p>
    <w:tbl>
      <w:tblPr>
        <w:tblStyle w:val="28"/>
        <w:tblW w:w="9383" w:type="dxa"/>
        <w:jc w:val="center"/>
        <w:tblLayout w:type="fixed"/>
        <w:tblCellMar>
          <w:top w:w="0" w:type="dxa"/>
          <w:left w:w="108" w:type="dxa"/>
          <w:bottom w:w="0" w:type="dxa"/>
          <w:right w:w="108" w:type="dxa"/>
        </w:tblCellMar>
      </w:tblPr>
      <w:tblGrid>
        <w:gridCol w:w="950"/>
        <w:gridCol w:w="1165"/>
        <w:gridCol w:w="1515"/>
        <w:gridCol w:w="1329"/>
        <w:gridCol w:w="1044"/>
        <w:gridCol w:w="1512"/>
        <w:gridCol w:w="1091"/>
        <w:gridCol w:w="777"/>
      </w:tblGrid>
      <w:tr>
        <w:tblPrEx>
          <w:tblCellMar>
            <w:top w:w="0" w:type="dxa"/>
            <w:left w:w="108" w:type="dxa"/>
            <w:bottom w:w="0" w:type="dxa"/>
            <w:right w:w="108" w:type="dxa"/>
          </w:tblCellMar>
        </w:tblPrEx>
        <w:trPr>
          <w:trHeight w:val="454" w:hRule="atLeast"/>
          <w:jc w:val="center"/>
        </w:trPr>
        <w:tc>
          <w:tcPr>
            <w:tcW w:w="950"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等级</w:t>
            </w:r>
          </w:p>
        </w:tc>
        <w:tc>
          <w:tcPr>
            <w:tcW w:w="2680" w:type="dxa"/>
            <w:gridSpan w:val="2"/>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边长检核</w:t>
            </w:r>
          </w:p>
        </w:tc>
        <w:tc>
          <w:tcPr>
            <w:tcW w:w="2373" w:type="dxa"/>
            <w:gridSpan w:val="2"/>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角度检核</w:t>
            </w:r>
          </w:p>
        </w:tc>
        <w:tc>
          <w:tcPr>
            <w:tcW w:w="2603" w:type="dxa"/>
            <w:gridSpan w:val="2"/>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导线联测检查</w:t>
            </w:r>
          </w:p>
        </w:tc>
        <w:tc>
          <w:tcPr>
            <w:tcW w:w="777" w:type="dxa"/>
            <w:vMerge w:val="restart"/>
            <w:tcBorders>
              <w:top w:val="single" w:color="000000" w:sz="4" w:space="0"/>
              <w:left w:val="nil"/>
              <w:right w:val="single" w:color="000000" w:sz="4" w:space="0"/>
            </w:tcBorders>
            <w:vAlign w:val="center"/>
          </w:tcPr>
          <w:p>
            <w:pPr>
              <w:widowControl/>
              <w:adjustRightInd/>
              <w:spacing w:line="320" w:lineRule="atLeast"/>
              <w:jc w:val="center"/>
              <w:rPr>
                <w:rFonts w:hint="eastAsia" w:ascii="宋体" w:hAnsi="宋体"/>
                <w:kern w:val="0"/>
                <w:sz w:val="18"/>
                <w:szCs w:val="18"/>
              </w:rPr>
            </w:pPr>
            <w:r>
              <w:rPr>
                <w:rFonts w:ascii="宋体" w:hAnsi="宋体"/>
                <w:kern w:val="0"/>
                <w:sz w:val="18"/>
                <w:szCs w:val="18"/>
              </w:rPr>
              <w:t>坐标检核（mm）</w:t>
            </w:r>
          </w:p>
        </w:tc>
      </w:tr>
      <w:tr>
        <w:tblPrEx>
          <w:tblCellMar>
            <w:top w:w="0" w:type="dxa"/>
            <w:left w:w="108" w:type="dxa"/>
            <w:bottom w:w="0" w:type="dxa"/>
            <w:right w:w="108" w:type="dxa"/>
          </w:tblCellMar>
        </w:tblPrEx>
        <w:trPr>
          <w:trHeight w:val="454" w:hRule="atLeast"/>
          <w:jc w:val="center"/>
        </w:trPr>
        <w:tc>
          <w:tcPr>
            <w:tcW w:w="95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p>
        </w:tc>
        <w:tc>
          <w:tcPr>
            <w:tcW w:w="116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测距中误差（mm）</w:t>
            </w:r>
          </w:p>
        </w:tc>
        <w:tc>
          <w:tcPr>
            <w:tcW w:w="151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边长较差相对中误差</w:t>
            </w:r>
          </w:p>
        </w:tc>
        <w:tc>
          <w:tcPr>
            <w:tcW w:w="1329"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测角中误差（”）</w:t>
            </w:r>
          </w:p>
        </w:tc>
        <w:tc>
          <w:tcPr>
            <w:tcW w:w="1044"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角度较差限差（”）</w:t>
            </w:r>
          </w:p>
        </w:tc>
        <w:tc>
          <w:tcPr>
            <w:tcW w:w="1512"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角度闭合差（”）</w:t>
            </w:r>
          </w:p>
        </w:tc>
        <w:tc>
          <w:tcPr>
            <w:tcW w:w="1091"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边长相对闭合差</w:t>
            </w:r>
          </w:p>
        </w:tc>
        <w:tc>
          <w:tcPr>
            <w:tcW w:w="777" w:type="dxa"/>
            <w:vMerge w:val="continue"/>
            <w:tcBorders>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kern w:val="0"/>
                <w:sz w:val="18"/>
                <w:szCs w:val="18"/>
              </w:rPr>
            </w:pPr>
          </w:p>
        </w:tc>
      </w:tr>
      <w:tr>
        <w:tblPrEx>
          <w:tblCellMar>
            <w:top w:w="0" w:type="dxa"/>
            <w:left w:w="108" w:type="dxa"/>
            <w:bottom w:w="0" w:type="dxa"/>
            <w:right w:w="108" w:type="dxa"/>
          </w:tblCellMar>
        </w:tblPrEx>
        <w:trPr>
          <w:trHeight w:val="454" w:hRule="atLeast"/>
          <w:jc w:val="center"/>
        </w:trPr>
        <w:tc>
          <w:tcPr>
            <w:tcW w:w="950" w:type="dxa"/>
            <w:tcBorders>
              <w:top w:val="single" w:color="000000" w:sz="4" w:space="0"/>
              <w:left w:val="single" w:color="000000" w:sz="4" w:space="0"/>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一级</w:t>
            </w:r>
          </w:p>
        </w:tc>
        <w:tc>
          <w:tcPr>
            <w:tcW w:w="116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≤15</w:t>
            </w:r>
          </w:p>
        </w:tc>
        <w:tc>
          <w:tcPr>
            <w:tcW w:w="151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≤1/14000</w:t>
            </w:r>
          </w:p>
        </w:tc>
        <w:tc>
          <w:tcPr>
            <w:tcW w:w="1329"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≤5</w:t>
            </w:r>
          </w:p>
        </w:tc>
        <w:tc>
          <w:tcPr>
            <w:tcW w:w="1044"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≤14</w:t>
            </w:r>
          </w:p>
        </w:tc>
        <w:tc>
          <w:tcPr>
            <w:tcW w:w="1512"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≤16</w:t>
            </w:r>
            <w:r>
              <w:rPr>
                <w:rFonts w:ascii="宋体" w:hAnsi="宋体"/>
                <w:color w:val="000000"/>
                <w:kern w:val="0"/>
                <w:sz w:val="18"/>
                <w:szCs w:val="18"/>
              </w:rPr>
              <w:fldChar w:fldCharType="begin"/>
            </w:r>
            <w:r>
              <w:instrText xml:space="preserve"> INCLUDEPICTURE "../Downloads/" \* MERGEFORMAT </w:instrText>
            </w:r>
            <w:r>
              <w:rPr>
                <w:rFonts w:ascii="宋体" w:hAnsi="宋体"/>
                <w:color w:val="000000"/>
                <w:kern w:val="0"/>
                <w:sz w:val="18"/>
                <w:szCs w:val="18"/>
              </w:rPr>
              <w:fldChar w:fldCharType="separate"/>
            </w:r>
            <w:r>
              <w:rPr>
                <w:rFonts w:ascii="宋体" w:hAnsi="宋体"/>
                <w:color w:val="000000"/>
                <w:kern w:val="0"/>
                <w:sz w:val="18"/>
                <w:szCs w:val="18"/>
              </w:rPr>
              <w:fldChar w:fldCharType="begin"/>
            </w:r>
            <w:r>
              <w:instrText xml:space="preserve"> INCLUDEPICTURE "../Downloads/" \* MERGEFORMAT </w:instrText>
            </w:r>
            <w:r>
              <w:rPr>
                <w:rFonts w:ascii="宋体" w:hAnsi="宋体"/>
                <w:color w:val="000000"/>
                <w:kern w:val="0"/>
                <w:sz w:val="18"/>
                <w:szCs w:val="18"/>
              </w:rPr>
              <w:fldChar w:fldCharType="end"/>
            </w:r>
            <w:r>
              <w:rPr>
                <w:rFonts w:ascii="宋体" w:hAnsi="宋体"/>
                <w:color w:val="000000"/>
                <w:kern w:val="0"/>
                <w:sz w:val="18"/>
                <w:szCs w:val="18"/>
              </w:rPr>
              <w:fldChar w:fldCharType="end"/>
            </w:r>
            <m:oMath>
              <m:rad>
                <m:radPr>
                  <m:degHide m:val="true"/>
                  <m:ctrlPr>
                    <w:rPr>
                      <w:rFonts w:ascii="Cambria Math" w:hAnsi="Cambria Math"/>
                      <w:i/>
                      <w:color w:val="000000"/>
                      <w:kern w:val="0"/>
                      <w:sz w:val="18"/>
                      <w:szCs w:val="18"/>
                    </w:rPr>
                  </m:ctrlPr>
                </m:radPr>
                <m:deg>
                  <m:ctrlPr>
                    <w:rPr>
                      <w:rFonts w:ascii="Cambria Math" w:hAnsi="Cambria Math"/>
                      <w:i/>
                      <w:color w:val="000000"/>
                      <w:kern w:val="0"/>
                      <w:sz w:val="18"/>
                      <w:szCs w:val="18"/>
                    </w:rPr>
                  </m:ctrlPr>
                </m:deg>
                <m:e>
                  <m:r>
                    <m:rPr/>
                    <w:rPr>
                      <w:rFonts w:ascii="Cambria Math" w:hAnsi="Cambria Math"/>
                      <w:color w:val="000000"/>
                      <w:kern w:val="0"/>
                      <w:sz w:val="18"/>
                      <w:szCs w:val="18"/>
                    </w:rPr>
                    <m:t>n</m:t>
                  </m:r>
                  <m:ctrlPr>
                    <w:rPr>
                      <w:rFonts w:ascii="Cambria Math" w:hAnsi="Cambria Math"/>
                      <w:i/>
                      <w:color w:val="000000"/>
                      <w:kern w:val="0"/>
                      <w:sz w:val="18"/>
                      <w:szCs w:val="18"/>
                    </w:rPr>
                  </m:ctrlPr>
                </m:e>
              </m:rad>
            </m:oMath>
          </w:p>
        </w:tc>
        <w:tc>
          <w:tcPr>
            <w:tcW w:w="1091"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≤1/10000</w:t>
            </w:r>
          </w:p>
        </w:tc>
        <w:tc>
          <w:tcPr>
            <w:tcW w:w="777"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kern w:val="0"/>
                <w:sz w:val="18"/>
                <w:szCs w:val="18"/>
              </w:rPr>
            </w:pPr>
            <w:r>
              <w:rPr>
                <w:rFonts w:ascii="宋体" w:hAnsi="宋体"/>
                <w:kern w:val="0"/>
                <w:sz w:val="18"/>
                <w:szCs w:val="18"/>
              </w:rPr>
              <w:t>≤50</w:t>
            </w:r>
          </w:p>
        </w:tc>
      </w:tr>
      <w:tr>
        <w:tblPrEx>
          <w:tblCellMar>
            <w:top w:w="0" w:type="dxa"/>
            <w:left w:w="108" w:type="dxa"/>
            <w:bottom w:w="0" w:type="dxa"/>
            <w:right w:w="108" w:type="dxa"/>
          </w:tblCellMar>
        </w:tblPrEx>
        <w:trPr>
          <w:trHeight w:val="454" w:hRule="atLeast"/>
          <w:jc w:val="center"/>
        </w:trPr>
        <w:tc>
          <w:tcPr>
            <w:tcW w:w="950" w:type="dxa"/>
            <w:tcBorders>
              <w:top w:val="single" w:color="000000" w:sz="4" w:space="0"/>
              <w:left w:val="single" w:color="000000" w:sz="4" w:space="0"/>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二级</w:t>
            </w:r>
          </w:p>
        </w:tc>
        <w:tc>
          <w:tcPr>
            <w:tcW w:w="116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≤15</w:t>
            </w:r>
          </w:p>
        </w:tc>
        <w:tc>
          <w:tcPr>
            <w:tcW w:w="151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≤1/7000</w:t>
            </w:r>
          </w:p>
        </w:tc>
        <w:tc>
          <w:tcPr>
            <w:tcW w:w="1329"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≤8</w:t>
            </w:r>
          </w:p>
        </w:tc>
        <w:tc>
          <w:tcPr>
            <w:tcW w:w="1044"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≤20</w:t>
            </w:r>
          </w:p>
        </w:tc>
        <w:tc>
          <w:tcPr>
            <w:tcW w:w="1512"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≤24</w:t>
            </w:r>
            <m:oMath>
              <m:rad>
                <m:radPr>
                  <m:degHide m:val="true"/>
                  <m:ctrlPr>
                    <w:rPr>
                      <w:rFonts w:ascii="Cambria Math" w:hAnsi="Cambria Math"/>
                      <w:i/>
                      <w:color w:val="000000"/>
                      <w:kern w:val="0"/>
                      <w:sz w:val="18"/>
                      <w:szCs w:val="18"/>
                    </w:rPr>
                  </m:ctrlPr>
                </m:radPr>
                <m:deg>
                  <m:ctrlPr>
                    <w:rPr>
                      <w:rFonts w:ascii="Cambria Math" w:hAnsi="Cambria Math"/>
                      <w:i/>
                      <w:color w:val="000000"/>
                      <w:kern w:val="0"/>
                      <w:sz w:val="18"/>
                      <w:szCs w:val="18"/>
                    </w:rPr>
                  </m:ctrlPr>
                </m:deg>
                <m:e>
                  <m:r>
                    <m:rPr/>
                    <w:rPr>
                      <w:rFonts w:ascii="Cambria Math" w:hAnsi="Cambria Math"/>
                      <w:color w:val="000000"/>
                      <w:kern w:val="0"/>
                      <w:sz w:val="18"/>
                      <w:szCs w:val="18"/>
                    </w:rPr>
                    <m:t>n</m:t>
                  </m:r>
                  <m:ctrlPr>
                    <w:rPr>
                      <w:rFonts w:ascii="Cambria Math" w:hAnsi="Cambria Math"/>
                      <w:i/>
                      <w:color w:val="000000"/>
                      <w:kern w:val="0"/>
                      <w:sz w:val="18"/>
                      <w:szCs w:val="18"/>
                    </w:rPr>
                  </m:ctrlPr>
                </m:e>
              </m:rad>
            </m:oMath>
          </w:p>
        </w:tc>
        <w:tc>
          <w:tcPr>
            <w:tcW w:w="1091"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≤1/6000</w:t>
            </w:r>
          </w:p>
        </w:tc>
        <w:tc>
          <w:tcPr>
            <w:tcW w:w="777"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kern w:val="0"/>
                <w:sz w:val="18"/>
                <w:szCs w:val="18"/>
              </w:rPr>
            </w:pPr>
            <w:r>
              <w:rPr>
                <w:rFonts w:ascii="宋体" w:hAnsi="宋体"/>
                <w:kern w:val="0"/>
                <w:sz w:val="18"/>
                <w:szCs w:val="18"/>
              </w:rPr>
              <w:t>≤50</w:t>
            </w:r>
          </w:p>
        </w:tc>
      </w:tr>
      <w:tr>
        <w:tblPrEx>
          <w:tblCellMar>
            <w:top w:w="0" w:type="dxa"/>
            <w:left w:w="108" w:type="dxa"/>
            <w:bottom w:w="0" w:type="dxa"/>
            <w:right w:w="108" w:type="dxa"/>
          </w:tblCellMar>
        </w:tblPrEx>
        <w:trPr>
          <w:trHeight w:val="454" w:hRule="atLeast"/>
          <w:jc w:val="center"/>
        </w:trPr>
        <w:tc>
          <w:tcPr>
            <w:tcW w:w="950" w:type="dxa"/>
            <w:tcBorders>
              <w:top w:val="single" w:color="000000" w:sz="4" w:space="0"/>
              <w:left w:val="single" w:color="000000" w:sz="4" w:space="0"/>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三级</w:t>
            </w:r>
          </w:p>
        </w:tc>
        <w:tc>
          <w:tcPr>
            <w:tcW w:w="116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≤15</w:t>
            </w:r>
          </w:p>
        </w:tc>
        <w:tc>
          <w:tcPr>
            <w:tcW w:w="151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≤1/4000</w:t>
            </w:r>
          </w:p>
        </w:tc>
        <w:tc>
          <w:tcPr>
            <w:tcW w:w="1329"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≤12</w:t>
            </w:r>
          </w:p>
        </w:tc>
        <w:tc>
          <w:tcPr>
            <w:tcW w:w="1044"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≤30</w:t>
            </w:r>
          </w:p>
        </w:tc>
        <w:tc>
          <w:tcPr>
            <w:tcW w:w="1512"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≤40</w:t>
            </w:r>
            <m:oMath>
              <m:rad>
                <m:radPr>
                  <m:degHide m:val="true"/>
                  <m:ctrlPr>
                    <w:rPr>
                      <w:rFonts w:ascii="Cambria Math" w:hAnsi="Cambria Math"/>
                      <w:i/>
                      <w:color w:val="000000"/>
                      <w:kern w:val="0"/>
                      <w:sz w:val="18"/>
                      <w:szCs w:val="18"/>
                    </w:rPr>
                  </m:ctrlPr>
                </m:radPr>
                <m:deg>
                  <m:ctrlPr>
                    <w:rPr>
                      <w:rFonts w:ascii="Cambria Math" w:hAnsi="Cambria Math"/>
                      <w:i/>
                      <w:color w:val="000000"/>
                      <w:kern w:val="0"/>
                      <w:sz w:val="18"/>
                      <w:szCs w:val="18"/>
                    </w:rPr>
                  </m:ctrlPr>
                </m:deg>
                <m:e>
                  <m:r>
                    <m:rPr/>
                    <w:rPr>
                      <w:rFonts w:ascii="Cambria Math" w:hAnsi="Cambria Math"/>
                      <w:color w:val="000000"/>
                      <w:kern w:val="0"/>
                      <w:sz w:val="18"/>
                      <w:szCs w:val="18"/>
                    </w:rPr>
                    <m:t>n</m:t>
                  </m:r>
                  <m:ctrlPr>
                    <w:rPr>
                      <w:rFonts w:ascii="Cambria Math" w:hAnsi="Cambria Math"/>
                      <w:i/>
                      <w:color w:val="000000"/>
                      <w:kern w:val="0"/>
                      <w:sz w:val="18"/>
                      <w:szCs w:val="18"/>
                    </w:rPr>
                  </m:ctrlPr>
                </m:e>
              </m:rad>
            </m:oMath>
          </w:p>
        </w:tc>
        <w:tc>
          <w:tcPr>
            <w:tcW w:w="1091"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≤1/4000</w:t>
            </w:r>
          </w:p>
        </w:tc>
        <w:tc>
          <w:tcPr>
            <w:tcW w:w="777"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kern w:val="0"/>
                <w:sz w:val="18"/>
                <w:szCs w:val="18"/>
              </w:rPr>
            </w:pPr>
            <w:r>
              <w:rPr>
                <w:rFonts w:ascii="宋体" w:hAnsi="宋体"/>
                <w:kern w:val="0"/>
                <w:sz w:val="18"/>
                <w:szCs w:val="18"/>
              </w:rPr>
              <w:t>≤50</w:t>
            </w:r>
          </w:p>
        </w:tc>
      </w:tr>
      <w:tr>
        <w:tblPrEx>
          <w:tblCellMar>
            <w:top w:w="0" w:type="dxa"/>
            <w:left w:w="108" w:type="dxa"/>
            <w:bottom w:w="0" w:type="dxa"/>
            <w:right w:w="108" w:type="dxa"/>
          </w:tblCellMar>
        </w:tblPrEx>
        <w:trPr>
          <w:trHeight w:val="454" w:hRule="atLeast"/>
          <w:jc w:val="center"/>
        </w:trPr>
        <w:tc>
          <w:tcPr>
            <w:tcW w:w="950" w:type="dxa"/>
            <w:tcBorders>
              <w:top w:val="single" w:color="000000" w:sz="4" w:space="0"/>
              <w:left w:val="single" w:color="000000" w:sz="4" w:space="0"/>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图根级</w:t>
            </w:r>
          </w:p>
        </w:tc>
        <w:tc>
          <w:tcPr>
            <w:tcW w:w="116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≤20</w:t>
            </w:r>
          </w:p>
        </w:tc>
        <w:tc>
          <w:tcPr>
            <w:tcW w:w="151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≤1/2500</w:t>
            </w:r>
          </w:p>
        </w:tc>
        <w:tc>
          <w:tcPr>
            <w:tcW w:w="1329"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≤20</w:t>
            </w:r>
          </w:p>
        </w:tc>
        <w:tc>
          <w:tcPr>
            <w:tcW w:w="1044"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≤60</w:t>
            </w:r>
          </w:p>
        </w:tc>
        <w:tc>
          <w:tcPr>
            <w:tcW w:w="1512"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≤60</w:t>
            </w:r>
            <m:oMath>
              <m:rad>
                <m:radPr>
                  <m:degHide m:val="true"/>
                  <m:ctrlPr>
                    <w:rPr>
                      <w:rFonts w:ascii="Cambria Math" w:hAnsi="Cambria Math"/>
                      <w:i/>
                      <w:color w:val="000000"/>
                      <w:kern w:val="0"/>
                      <w:sz w:val="18"/>
                      <w:szCs w:val="18"/>
                    </w:rPr>
                  </m:ctrlPr>
                </m:radPr>
                <m:deg>
                  <m:ctrlPr>
                    <w:rPr>
                      <w:rFonts w:ascii="Cambria Math" w:hAnsi="Cambria Math"/>
                      <w:i/>
                      <w:color w:val="000000"/>
                      <w:kern w:val="0"/>
                      <w:sz w:val="18"/>
                      <w:szCs w:val="18"/>
                    </w:rPr>
                  </m:ctrlPr>
                </m:deg>
                <m:e>
                  <m:r>
                    <m:rPr/>
                    <w:rPr>
                      <w:rFonts w:ascii="Cambria Math" w:hAnsi="Cambria Math"/>
                      <w:color w:val="000000"/>
                      <w:kern w:val="0"/>
                      <w:sz w:val="18"/>
                      <w:szCs w:val="18"/>
                    </w:rPr>
                    <m:t>n</m:t>
                  </m:r>
                  <m:ctrlPr>
                    <w:rPr>
                      <w:rFonts w:ascii="Cambria Math" w:hAnsi="Cambria Math"/>
                      <w:i/>
                      <w:color w:val="000000"/>
                      <w:kern w:val="0"/>
                      <w:sz w:val="18"/>
                      <w:szCs w:val="18"/>
                    </w:rPr>
                  </m:ctrlPr>
                </m:e>
              </m:rad>
            </m:oMath>
          </w:p>
        </w:tc>
        <w:tc>
          <w:tcPr>
            <w:tcW w:w="1091"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≤1/2000</w:t>
            </w:r>
          </w:p>
        </w:tc>
        <w:tc>
          <w:tcPr>
            <w:tcW w:w="777"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kern w:val="0"/>
                <w:sz w:val="18"/>
                <w:szCs w:val="18"/>
              </w:rPr>
            </w:pPr>
            <w:r>
              <w:rPr>
                <w:rFonts w:ascii="宋体" w:hAnsi="宋体"/>
                <w:kern w:val="0"/>
                <w:sz w:val="18"/>
                <w:szCs w:val="18"/>
              </w:rPr>
              <w:t>≤50</w:t>
            </w:r>
          </w:p>
        </w:tc>
      </w:tr>
    </w:tbl>
    <w:p>
      <w:pPr>
        <w:pStyle w:val="107"/>
        <w:spacing w:before="156" w:after="156"/>
      </w:pPr>
      <w:bookmarkStart w:id="107" w:name="_Toc237015154"/>
      <w:bookmarkStart w:id="108" w:name="_Toc237470886"/>
      <w:r>
        <w:t>房产平面控制测量的方法</w:t>
      </w:r>
      <w:bookmarkEnd w:id="107"/>
      <w:bookmarkEnd w:id="108"/>
    </w:p>
    <w:p>
      <w:pPr>
        <w:widowControl/>
        <w:adjustRightInd/>
        <w:spacing w:line="240" w:lineRule="auto"/>
        <w:ind w:firstLine="420"/>
        <w:rPr>
          <w:rFonts w:hint="eastAsia" w:ascii="宋体" w:hAnsi="宋体" w:cs="宋体"/>
          <w:kern w:val="0"/>
        </w:rPr>
      </w:pPr>
      <w:r>
        <w:rPr>
          <w:rFonts w:ascii="宋体" w:hAnsi="宋体" w:cs="宋体"/>
          <w:kern w:val="0"/>
        </w:rPr>
        <w:t>房产平面控制测量一般采用GNSS静态测量、GNSS RTK测量和导线测量等方法，具体要求如下：</w:t>
      </w:r>
    </w:p>
    <w:p>
      <w:pPr>
        <w:widowControl/>
        <w:numPr>
          <w:ilvl w:val="0"/>
          <w:numId w:val="35"/>
        </w:numPr>
        <w:tabs>
          <w:tab w:val="left" w:pos="851"/>
        </w:tabs>
        <w:adjustRightInd/>
        <w:spacing w:line="240" w:lineRule="auto"/>
        <w:rPr>
          <w:rFonts w:ascii="宋体" w:hAnsi="Times New Roman"/>
          <w:kern w:val="0"/>
          <w:szCs w:val="20"/>
        </w:rPr>
      </w:pPr>
      <w:r>
        <w:rPr>
          <w:rFonts w:ascii="宋体" w:hAnsi="Times New Roman"/>
          <w:kern w:val="0"/>
          <w:szCs w:val="20"/>
        </w:rPr>
        <w:t>当需要建立三级及以上等级平面控制网点时，各项主要技术指标按GB/T 17986的规定执行；</w:t>
      </w:r>
    </w:p>
    <w:p>
      <w:pPr>
        <w:widowControl/>
        <w:numPr>
          <w:ilvl w:val="0"/>
          <w:numId w:val="35"/>
        </w:numPr>
        <w:tabs>
          <w:tab w:val="left" w:pos="851"/>
        </w:tabs>
        <w:adjustRightInd/>
        <w:spacing w:line="240" w:lineRule="auto"/>
        <w:rPr>
          <w:rFonts w:ascii="宋体" w:hAnsi="Times New Roman"/>
          <w:kern w:val="0"/>
          <w:szCs w:val="20"/>
        </w:rPr>
      </w:pPr>
      <w:r>
        <w:rPr>
          <w:rFonts w:ascii="宋体" w:hAnsi="Times New Roman"/>
          <w:kern w:val="0"/>
          <w:szCs w:val="20"/>
        </w:rPr>
        <w:t>建立二级及以上等级平面控制网点时，可优先采用GNSS静态卫星定位测量方法，各项主要技术指标按CJJ/T 73的规定执行；</w:t>
      </w:r>
    </w:p>
    <w:p>
      <w:pPr>
        <w:widowControl/>
        <w:numPr>
          <w:ilvl w:val="0"/>
          <w:numId w:val="35"/>
        </w:numPr>
        <w:tabs>
          <w:tab w:val="left" w:pos="851"/>
        </w:tabs>
        <w:adjustRightInd/>
        <w:spacing w:line="240" w:lineRule="auto"/>
        <w:rPr>
          <w:rFonts w:ascii="宋体" w:hAnsi="Times New Roman"/>
          <w:kern w:val="0"/>
          <w:szCs w:val="20"/>
        </w:rPr>
      </w:pPr>
      <w:r>
        <w:rPr>
          <w:rFonts w:ascii="宋体" w:hAnsi="Times New Roman"/>
          <w:kern w:val="0"/>
          <w:szCs w:val="20"/>
        </w:rPr>
        <w:t>建立三级或图根平面控制网点时，可优先采用GNSS RTK测量方法，各项主要技术指标按CH/T</w:t>
      </w:r>
      <w:r>
        <w:rPr>
          <w:rFonts w:ascii="宋体" w:hAnsi="Times New Roman"/>
          <w:color w:val="FFFFFF"/>
          <w:kern w:val="0"/>
          <w:szCs w:val="20"/>
        </w:rPr>
        <w:t>-</w:t>
      </w:r>
      <w:r>
        <w:rPr>
          <w:rFonts w:ascii="宋体" w:hAnsi="Times New Roman"/>
          <w:kern w:val="0"/>
          <w:szCs w:val="20"/>
        </w:rPr>
        <w:t>2009的规定执行；</w:t>
      </w:r>
    </w:p>
    <w:p>
      <w:pPr>
        <w:widowControl/>
        <w:numPr>
          <w:ilvl w:val="0"/>
          <w:numId w:val="35"/>
        </w:numPr>
        <w:tabs>
          <w:tab w:val="left" w:pos="851"/>
        </w:tabs>
        <w:adjustRightInd/>
        <w:spacing w:line="240" w:lineRule="auto"/>
        <w:rPr>
          <w:rFonts w:ascii="宋体" w:hAnsi="Times New Roman"/>
          <w:kern w:val="0"/>
          <w:szCs w:val="20"/>
        </w:rPr>
      </w:pPr>
      <w:r>
        <w:rPr>
          <w:rFonts w:ascii="宋体" w:hAnsi="Times New Roman"/>
          <w:kern w:val="0"/>
          <w:szCs w:val="20"/>
        </w:rPr>
        <w:t>支导线采用全站仪观测，测距可单程观测一个测回，水平角观测首站应连测两个已知方向，其固定角不符值与测站圆周角闭合差均不应超过±40〞，其它测站水平角可观测一个测回。</w:t>
      </w:r>
    </w:p>
    <w:p>
      <w:pPr>
        <w:pStyle w:val="107"/>
        <w:spacing w:before="156" w:after="156"/>
      </w:pPr>
      <w:bookmarkStart w:id="109" w:name="_Toc405534865"/>
      <w:bookmarkEnd w:id="109"/>
      <w:bookmarkStart w:id="110" w:name="_Toc403730537"/>
      <w:bookmarkEnd w:id="110"/>
      <w:bookmarkStart w:id="111" w:name="_Toc404085519"/>
      <w:bookmarkEnd w:id="111"/>
      <w:bookmarkStart w:id="112" w:name="_Toc406061431"/>
      <w:bookmarkEnd w:id="112"/>
      <w:bookmarkStart w:id="113" w:name="_Toc404085520"/>
      <w:bookmarkEnd w:id="113"/>
      <w:bookmarkStart w:id="114" w:name="_Toc404004790"/>
      <w:bookmarkEnd w:id="114"/>
      <w:bookmarkStart w:id="115" w:name="_Toc403730453"/>
      <w:bookmarkEnd w:id="115"/>
      <w:bookmarkStart w:id="116" w:name="_Toc237470887"/>
      <w:bookmarkStart w:id="117" w:name="_Toc405534866"/>
      <w:bookmarkStart w:id="118" w:name="_Toc237015155"/>
      <w:r>
        <w:t>网络RTK测量</w:t>
      </w:r>
      <w:bookmarkEnd w:id="116"/>
      <w:bookmarkEnd w:id="117"/>
      <w:bookmarkEnd w:id="118"/>
    </w:p>
    <w:p>
      <w:pPr>
        <w:pStyle w:val="67"/>
        <w:spacing w:before="156" w:after="156"/>
      </w:pPr>
      <w:bookmarkStart w:id="119" w:name="_Toc404004791"/>
      <w:bookmarkEnd w:id="119"/>
      <w:bookmarkStart w:id="120" w:name="_Toc403730538"/>
      <w:bookmarkEnd w:id="120"/>
      <w:bookmarkStart w:id="121" w:name="_Toc404085521"/>
      <w:r>
        <w:t>基本技术要求</w:t>
      </w:r>
      <w:bookmarkEnd w:id="121"/>
    </w:p>
    <w:p>
      <w:pPr>
        <w:widowControl/>
        <w:adjustRightInd/>
        <w:spacing w:line="240" w:lineRule="auto"/>
        <w:ind w:firstLine="420"/>
        <w:rPr>
          <w:rFonts w:hint="eastAsia" w:ascii="宋体" w:hAnsi="宋体" w:cs="宋体"/>
          <w:kern w:val="0"/>
        </w:rPr>
      </w:pPr>
      <w:r>
        <w:rPr>
          <w:rFonts w:ascii="宋体" w:hAnsi="宋体" w:cs="宋体"/>
          <w:kern w:val="0"/>
        </w:rPr>
        <w:t>根据测区的实际情况，网络RTK测量可选择HBCORS系统或区域CORS系统RTK测量方法，具体要求如下：</w:t>
      </w:r>
    </w:p>
    <w:p>
      <w:pPr>
        <w:pStyle w:val="176"/>
        <w:numPr>
          <w:ilvl w:val="0"/>
          <w:numId w:val="36"/>
        </w:numPr>
      </w:pPr>
      <w:r>
        <w:t>网络RTK平面控制点按精度等级划分为一级、二级、三级、图根级；</w:t>
      </w:r>
    </w:p>
    <w:p>
      <w:pPr>
        <w:pStyle w:val="176"/>
      </w:pPr>
      <w:r>
        <w:t>网络RTK测量平面控制点相邻点间基线长度精度按公式（2）计算</w:t>
      </w:r>
      <w:r>
        <w:rPr>
          <w:rFonts w:hint="eastAsia"/>
        </w:rPr>
        <w:t>；</w:t>
      </w:r>
    </w:p>
    <w:p>
      <w:pPr>
        <w:tabs>
          <w:tab w:val="center" w:pos="4678"/>
          <w:tab w:val="right" w:leader="middleDot" w:pos="9356"/>
        </w:tabs>
        <w:spacing w:line="240" w:lineRule="auto"/>
        <w:rPr>
          <w:rFonts w:hint="eastAsia" w:ascii="宋体" w:hAnsi="宋体"/>
        </w:rPr>
      </w:pPr>
      <w:r>
        <w:rPr>
          <w:rFonts w:ascii="宋体" w:hAnsi="宋体"/>
        </w:rPr>
        <w:tab/>
      </w:r>
      <m:oMath>
        <w:bookmarkStart w:id="122" w:name="OLE_LINK8"/>
        <w:bookmarkStart w:id="123" w:name="OLE_LINK7"/>
        <m:r>
          <m:rPr>
            <m:sty m:val="p"/>
          </m:rPr>
          <w:rPr>
            <w:rFonts w:ascii="Cambria Math" w:hAnsi="Cambria Math"/>
          </w:rPr>
          <m:t>σ</m:t>
        </m:r>
        <w:bookmarkEnd w:id="122"/>
        <w:bookmarkEnd w:id="123"/>
        <m:r>
          <m:rPr>
            <m:sty m:val="p"/>
          </m:rPr>
          <w:rPr>
            <w:rFonts w:ascii="Cambria Math" w:hAnsi="Cambria Math"/>
          </w:rPr>
          <m:t>=</m:t>
        </m:r>
        <m:rad>
          <m:radPr>
            <m:degHide m:val="true"/>
            <m:ctrlPr>
              <w:rPr>
                <w:rFonts w:ascii="Cambria Math" w:hAnsi="Cambria Math"/>
              </w:rPr>
            </m:ctrlPr>
          </m:radPr>
          <m:deg>
            <m:ctrlPr>
              <w:rPr>
                <w:rFonts w:ascii="Cambria Math" w:hAnsi="Cambria Math"/>
              </w:rPr>
            </m:ctrlPr>
          </m:deg>
          <m:e>
            <m:sSup>
              <m:sSupPr>
                <m:ctrlPr>
                  <w:rPr>
                    <w:rFonts w:ascii="Cambria Math" w:hAnsi="Cambria Math"/>
                    <w:i/>
                  </w:rPr>
                </m:ctrlPr>
              </m:sSupPr>
              <m:e>
                <m:r>
                  <m:rPr/>
                  <w:rPr>
                    <w:rFonts w:ascii="Cambria Math" w:hAnsi="Cambria Math"/>
                  </w:rPr>
                  <m:t>a</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sSup>
              <m:sSupPr>
                <m:ctrlPr>
                  <w:rPr>
                    <w:rFonts w:ascii="Cambria Math" w:hAnsi="Cambria Math"/>
                    <w:i/>
                  </w:rPr>
                </m:ctrlPr>
              </m:sSupPr>
              <m:e>
                <m:d>
                  <m:dPr>
                    <m:ctrlPr>
                      <w:rPr>
                        <w:rFonts w:ascii="Cambria Math" w:hAnsi="Cambria Math"/>
                        <w:i/>
                      </w:rPr>
                    </m:ctrlPr>
                  </m:dPr>
                  <m:e>
                    <m:r>
                      <m:rPr/>
                      <w:rPr>
                        <w:rFonts w:ascii="Cambria Math" w:hAnsi="Cambria Math"/>
                      </w:rPr>
                      <m:t>bd</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rPr>
            </m:ctrlPr>
          </m:e>
        </m:rad>
      </m:oMath>
      <w:r>
        <w:rPr>
          <w:rFonts w:ascii="微软雅黑" w:hAnsi="微软雅黑" w:eastAsia="微软雅黑"/>
        </w:rPr>
        <w:tab/>
      </w:r>
      <w:r>
        <w:rPr>
          <w:rFonts w:ascii="宋体" w:hAnsi="宋体"/>
        </w:rPr>
        <w:t>(</w:t>
      </w:r>
      <w:r>
        <w:rPr>
          <w:rFonts w:ascii="宋体" w:hAnsi="宋体"/>
        </w:rPr>
        <w:fldChar w:fldCharType="begin"/>
      </w:r>
      <w:r>
        <w:rPr>
          <w:rFonts w:ascii="宋体" w:hAnsi="宋体"/>
        </w:rPr>
        <w:instrText xml:space="preserve"> AUTONUM </w:instrText>
      </w:r>
      <w:r>
        <w:rPr>
          <w:rFonts w:ascii="宋体" w:hAnsi="宋体"/>
        </w:rPr>
        <w:fldChar w:fldCharType="end"/>
      </w:r>
      <w:r>
        <w:rPr>
          <w:rFonts w:ascii="宋体" w:hAnsi="宋体"/>
        </w:rPr>
        <w:t>)</w:t>
      </w:r>
    </w:p>
    <w:p>
      <w:pPr>
        <w:snapToGrid w:val="0"/>
        <w:ind w:firstLine="420" w:firstLineChars="200"/>
        <w:rPr>
          <w:kern w:val="0"/>
        </w:rPr>
      </w:pPr>
      <w:r>
        <w:rPr>
          <w:kern w:val="0"/>
        </w:rPr>
        <w:t>式中：</w:t>
      </w:r>
    </w:p>
    <w:p>
      <w:pPr>
        <w:widowControl/>
        <w:autoSpaceDE w:val="0"/>
        <w:autoSpaceDN w:val="0"/>
        <w:adjustRightInd/>
        <w:spacing w:line="240" w:lineRule="auto"/>
        <w:ind w:firstLine="420" w:firstLineChars="200"/>
        <w:rPr>
          <w:rFonts w:ascii="宋体" w:hAnsi="Times New Roman"/>
          <w:kern w:val="0"/>
          <w:szCs w:val="20"/>
        </w:rPr>
      </w:pPr>
      <m:oMath>
        <m:r>
          <m:rPr>
            <m:sty m:val="p"/>
          </m:rPr>
          <w:rPr>
            <w:rFonts w:ascii="Cambria Math" w:hAnsi="Cambria Math"/>
            <w:kern w:val="0"/>
            <w:szCs w:val="20"/>
          </w:rPr>
          <m:t>σ</m:t>
        </m:r>
      </m:oMath>
      <w:r>
        <w:rPr>
          <w:rFonts w:ascii="Times New Roman" w:hAnsi="Times New Roman"/>
          <w:kern w:val="0"/>
          <w:szCs w:val="20"/>
        </w:rPr>
        <w:t>——</w:t>
      </w:r>
      <w:r>
        <w:rPr>
          <w:rFonts w:ascii="宋体" w:hAnsi="Times New Roman"/>
          <w:kern w:val="0"/>
          <w:szCs w:val="20"/>
        </w:rPr>
        <w:t>基线长度中误差,单位：mm；</w:t>
      </w:r>
    </w:p>
    <w:p>
      <w:pPr>
        <w:widowControl/>
        <w:autoSpaceDE w:val="0"/>
        <w:autoSpaceDN w:val="0"/>
        <w:adjustRightInd/>
        <w:spacing w:line="240" w:lineRule="auto"/>
        <w:ind w:firstLine="420" w:firstLineChars="200"/>
        <w:rPr>
          <w:rFonts w:ascii="宋体" w:hAnsi="Times New Roman"/>
          <w:kern w:val="0"/>
          <w:szCs w:val="20"/>
        </w:rPr>
      </w:pPr>
      <m:oMath>
        <m:r>
          <m:rPr/>
          <w:rPr>
            <w:rFonts w:ascii="Cambria Math" w:hAnsi="Cambria Math"/>
            <w:kern w:val="0"/>
            <w:szCs w:val="20"/>
          </w:rPr>
          <m:t>a</m:t>
        </m:r>
      </m:oMath>
      <w:r>
        <w:rPr>
          <w:rFonts w:ascii="Times New Roman" w:hAnsi="Times New Roman"/>
          <w:kern w:val="0"/>
          <w:szCs w:val="20"/>
        </w:rPr>
        <w:t>——</w:t>
      </w:r>
      <w:r>
        <w:rPr>
          <w:rFonts w:ascii="宋体" w:hAnsi="Times New Roman"/>
          <w:kern w:val="0"/>
          <w:szCs w:val="20"/>
        </w:rPr>
        <w:t>固定误差，单位：mm；</w:t>
      </w:r>
    </w:p>
    <w:p>
      <w:pPr>
        <w:widowControl/>
        <w:autoSpaceDE w:val="0"/>
        <w:autoSpaceDN w:val="0"/>
        <w:adjustRightInd/>
        <w:spacing w:line="240" w:lineRule="auto"/>
        <w:ind w:firstLine="420" w:firstLineChars="200"/>
        <w:rPr>
          <w:rFonts w:ascii="宋体" w:hAnsi="Times New Roman"/>
          <w:kern w:val="0"/>
          <w:szCs w:val="20"/>
        </w:rPr>
      </w:pPr>
      <m:oMath>
        <m:r>
          <m:rPr/>
          <w:rPr>
            <w:rFonts w:ascii="Cambria Math" w:hAnsi="Cambria Math"/>
            <w:kern w:val="0"/>
            <w:szCs w:val="20"/>
          </w:rPr>
          <m:t>b</m:t>
        </m:r>
      </m:oMath>
      <w:r>
        <w:rPr>
          <w:rFonts w:ascii="Times New Roman" w:hAnsi="Times New Roman"/>
          <w:kern w:val="0"/>
          <w:szCs w:val="20"/>
        </w:rPr>
        <w:t>——</w:t>
      </w:r>
      <w:r>
        <w:rPr>
          <w:rFonts w:ascii="宋体" w:hAnsi="Times New Roman"/>
          <w:kern w:val="0"/>
          <w:szCs w:val="20"/>
        </w:rPr>
        <w:t>比例误差系数，单位：mm/km；</w:t>
      </w:r>
    </w:p>
    <w:p>
      <w:pPr>
        <w:widowControl/>
        <w:autoSpaceDE w:val="0"/>
        <w:autoSpaceDN w:val="0"/>
        <w:adjustRightInd/>
        <w:spacing w:line="240" w:lineRule="auto"/>
        <w:ind w:firstLine="420" w:firstLineChars="200"/>
        <w:rPr>
          <w:rFonts w:ascii="宋体" w:hAnsi="Times New Roman"/>
          <w:kern w:val="0"/>
          <w:szCs w:val="20"/>
        </w:rPr>
      </w:pPr>
      <m:oMath>
        <m:r>
          <m:rPr/>
          <w:rPr>
            <w:rFonts w:ascii="Cambria Math" w:hAnsi="Cambria Math"/>
            <w:kern w:val="0"/>
            <w:szCs w:val="20"/>
          </w:rPr>
          <m:t>d</m:t>
        </m:r>
      </m:oMath>
      <w:r>
        <w:rPr>
          <w:rFonts w:ascii="Times New Roman" w:hAnsi="Times New Roman"/>
          <w:kern w:val="0"/>
          <w:szCs w:val="20"/>
        </w:rPr>
        <w:t>——</w:t>
      </w:r>
      <w:r>
        <w:rPr>
          <w:rFonts w:ascii="宋体" w:hAnsi="Times New Roman"/>
          <w:kern w:val="0"/>
          <w:szCs w:val="20"/>
        </w:rPr>
        <w:t>相邻点间的距离，单位：km，应符合CJJ/T 73的规定。</w:t>
      </w:r>
    </w:p>
    <w:p>
      <w:pPr>
        <w:pStyle w:val="176"/>
      </w:pPr>
      <w:r>
        <w:t>网络RTK测量控制点应成组布设，一般不应少于3个，控制点间至少有1个以上相互通视方向。相邻点间最小距离一般应大于平均距离2/3，最大距离一般应小于平均距离的2倍。当小于2/3平均距离时，须进行实地测边检查。网络RTK点间距主要技术要求应符合表4规定；</w:t>
      </w:r>
    </w:p>
    <w:p>
      <w:pPr>
        <w:pStyle w:val="176"/>
        <w:numPr>
          <w:ilvl w:val="0"/>
          <w:numId w:val="0"/>
        </w:numPr>
        <w:ind w:left="851"/>
      </w:pPr>
    </w:p>
    <w:p>
      <w:pPr>
        <w:pStyle w:val="176"/>
        <w:numPr>
          <w:ilvl w:val="0"/>
          <w:numId w:val="0"/>
        </w:numPr>
        <w:ind w:left="851"/>
      </w:pPr>
    </w:p>
    <w:p>
      <w:pPr>
        <w:pStyle w:val="176"/>
        <w:numPr>
          <w:ilvl w:val="0"/>
          <w:numId w:val="0"/>
        </w:numPr>
        <w:ind w:left="851"/>
      </w:pPr>
    </w:p>
    <w:p>
      <w:pPr>
        <w:pStyle w:val="176"/>
        <w:numPr>
          <w:ilvl w:val="0"/>
          <w:numId w:val="0"/>
        </w:numPr>
        <w:ind w:left="851"/>
        <w:rPr>
          <w:rFonts w:hint="eastAsia"/>
        </w:rPr>
      </w:pPr>
    </w:p>
    <w:p>
      <w:pPr>
        <w:pStyle w:val="114"/>
        <w:spacing w:before="156" w:after="156"/>
      </w:pPr>
      <w:r>
        <w:t>网络RTK点间距主要技术指标</w:t>
      </w:r>
    </w:p>
    <w:tbl>
      <w:tblPr>
        <w:tblStyle w:val="28"/>
        <w:tblW w:w="9383"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983"/>
        <w:gridCol w:w="1737"/>
        <w:gridCol w:w="2220"/>
        <w:gridCol w:w="2220"/>
        <w:gridCol w:w="222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83" w:type="dxa"/>
            <w:tcBorders>
              <w:top w:val="single" w:color="000000" w:sz="8" w:space="0"/>
              <w:bottom w:val="single" w:color="000000" w:sz="8"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等级</w:t>
            </w:r>
          </w:p>
        </w:tc>
        <w:tc>
          <w:tcPr>
            <w:tcW w:w="1737" w:type="dxa"/>
            <w:tcBorders>
              <w:top w:val="single" w:color="000000" w:sz="8" w:space="0"/>
              <w:bottom w:val="single" w:color="000000" w:sz="8"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相邻点距离(单位：m)</w:t>
            </w:r>
          </w:p>
        </w:tc>
        <w:tc>
          <w:tcPr>
            <w:tcW w:w="2220" w:type="dxa"/>
            <w:tcBorders>
              <w:top w:val="single" w:color="000000" w:sz="8" w:space="0"/>
              <w:bottom w:val="single" w:color="000000" w:sz="8"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点位中误差（单位：mm）</w:t>
            </w:r>
          </w:p>
        </w:tc>
        <w:tc>
          <w:tcPr>
            <w:tcW w:w="2220" w:type="dxa"/>
            <w:tcBorders>
              <w:top w:val="single" w:color="000000" w:sz="8" w:space="0"/>
              <w:bottom w:val="single" w:color="000000" w:sz="8"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边长相对中误差</w:t>
            </w:r>
          </w:p>
        </w:tc>
        <w:tc>
          <w:tcPr>
            <w:tcW w:w="2223" w:type="dxa"/>
            <w:tcBorders>
              <w:top w:val="single" w:color="000000" w:sz="8" w:space="0"/>
              <w:bottom w:val="single" w:color="000000" w:sz="8"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测回数</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83" w:type="dxa"/>
            <w:tcBorders>
              <w:top w:val="single" w:color="000000" w:sz="8"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一级</w:t>
            </w:r>
          </w:p>
        </w:tc>
        <w:tc>
          <w:tcPr>
            <w:tcW w:w="1737" w:type="dxa"/>
            <w:tcBorders>
              <w:top w:val="single" w:color="000000" w:sz="8"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≥500</w:t>
            </w:r>
          </w:p>
        </w:tc>
        <w:tc>
          <w:tcPr>
            <w:tcW w:w="2220" w:type="dxa"/>
            <w:tcBorders>
              <w:top w:val="single" w:color="000000" w:sz="8"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≤50</w:t>
            </w:r>
          </w:p>
        </w:tc>
        <w:tc>
          <w:tcPr>
            <w:tcW w:w="2220" w:type="dxa"/>
            <w:tcBorders>
              <w:top w:val="single" w:color="000000" w:sz="8"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≤1/20000</w:t>
            </w:r>
          </w:p>
        </w:tc>
        <w:tc>
          <w:tcPr>
            <w:tcW w:w="2223" w:type="dxa"/>
            <w:tcBorders>
              <w:top w:val="single" w:color="000000" w:sz="8" w:space="0"/>
            </w:tcBorders>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4</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83"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二级</w:t>
            </w:r>
          </w:p>
        </w:tc>
        <w:tc>
          <w:tcPr>
            <w:tcW w:w="1737"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≥300</w:t>
            </w:r>
          </w:p>
        </w:tc>
        <w:tc>
          <w:tcPr>
            <w:tcW w:w="2220"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≤50</w:t>
            </w:r>
          </w:p>
        </w:tc>
        <w:tc>
          <w:tcPr>
            <w:tcW w:w="2220"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≤1/10000</w:t>
            </w:r>
          </w:p>
        </w:tc>
        <w:tc>
          <w:tcPr>
            <w:tcW w:w="2223"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83"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三级</w:t>
            </w:r>
          </w:p>
        </w:tc>
        <w:tc>
          <w:tcPr>
            <w:tcW w:w="1737"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≥200</w:t>
            </w:r>
          </w:p>
        </w:tc>
        <w:tc>
          <w:tcPr>
            <w:tcW w:w="2220"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≤50</w:t>
            </w:r>
          </w:p>
        </w:tc>
        <w:tc>
          <w:tcPr>
            <w:tcW w:w="2220"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≤1/6000</w:t>
            </w:r>
          </w:p>
        </w:tc>
        <w:tc>
          <w:tcPr>
            <w:tcW w:w="2223"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83"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图根</w:t>
            </w:r>
          </w:p>
        </w:tc>
        <w:tc>
          <w:tcPr>
            <w:tcW w:w="1737"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≥100</w:t>
            </w:r>
          </w:p>
        </w:tc>
        <w:tc>
          <w:tcPr>
            <w:tcW w:w="2220"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≤50</w:t>
            </w:r>
          </w:p>
        </w:tc>
        <w:tc>
          <w:tcPr>
            <w:tcW w:w="2220"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≤1/4000</w:t>
            </w:r>
          </w:p>
        </w:tc>
        <w:tc>
          <w:tcPr>
            <w:tcW w:w="2223" w:type="dxa"/>
            <w:vAlign w:val="center"/>
          </w:tcPr>
          <w:p>
            <w:pPr>
              <w:widowControl/>
              <w:adjustRightInd/>
              <w:spacing w:line="240" w:lineRule="auto"/>
              <w:jc w:val="center"/>
              <w:rPr>
                <w:rFonts w:hint="eastAsia" w:ascii="宋体" w:hAnsi="宋体"/>
                <w:color w:val="000000"/>
                <w:kern w:val="0"/>
                <w:sz w:val="18"/>
                <w:szCs w:val="18"/>
              </w:rPr>
            </w:pPr>
            <w:r>
              <w:rPr>
                <w:rFonts w:ascii="宋体" w:hAnsi="宋体"/>
                <w:color w:val="000000"/>
                <w:kern w:val="0"/>
                <w:sz w:val="18"/>
                <w:szCs w:val="18"/>
              </w:rPr>
              <w:t>2</w:t>
            </w:r>
          </w:p>
        </w:tc>
      </w:tr>
    </w:tbl>
    <w:p>
      <w:pPr>
        <w:pStyle w:val="176"/>
      </w:pPr>
      <w:r>
        <w:t>网络RTK测量应在得到固定解且收敛稳定后进行数据采集，外业观测基本技术应符合CJJ/T 73的规定；</w:t>
      </w:r>
    </w:p>
    <w:p>
      <w:pPr>
        <w:pStyle w:val="176"/>
      </w:pPr>
      <w:r>
        <w:t>有效观测卫星少于5颗或PDOP值大于6时不宜进行网络RTK测量作业。若确需强制作业应以其它作业手段（如测边、测角等方式）进行检查，或待星况较好时重测检查，并在工程技术总结中作出专项说明。</w:t>
      </w:r>
    </w:p>
    <w:p>
      <w:pPr>
        <w:pStyle w:val="67"/>
        <w:spacing w:before="156" w:after="156"/>
      </w:pPr>
      <w:r>
        <w:t>测前准备</w:t>
      </w:r>
    </w:p>
    <w:p>
      <w:pPr>
        <w:widowControl/>
        <w:adjustRightInd/>
        <w:spacing w:line="240" w:lineRule="auto"/>
        <w:ind w:firstLine="420"/>
        <w:rPr>
          <w:rFonts w:hint="eastAsia" w:ascii="宋体" w:hAnsi="宋体" w:cs="宋体"/>
          <w:kern w:val="0"/>
        </w:rPr>
      </w:pPr>
      <w:r>
        <w:rPr>
          <w:rFonts w:ascii="宋体" w:hAnsi="宋体" w:cs="宋体"/>
          <w:kern w:val="0"/>
        </w:rPr>
        <w:t>按照下列要求做好测前准备工作，包括仪器设备及其附件、观测参数设置等。</w:t>
      </w:r>
    </w:p>
    <w:p>
      <w:pPr>
        <w:widowControl/>
        <w:numPr>
          <w:ilvl w:val="0"/>
          <w:numId w:val="37"/>
        </w:numPr>
        <w:adjustRightInd/>
        <w:spacing w:line="240" w:lineRule="auto"/>
        <w:rPr>
          <w:rFonts w:ascii="宋体" w:hAnsi="Times New Roman"/>
          <w:kern w:val="0"/>
          <w:szCs w:val="20"/>
        </w:rPr>
      </w:pPr>
      <w:r>
        <w:rPr>
          <w:rFonts w:ascii="宋体" w:hAnsi="Times New Roman"/>
          <w:kern w:val="0"/>
          <w:szCs w:val="20"/>
        </w:rPr>
        <w:t>网络RTK测量设备选用应符合表5要求；</w:t>
      </w:r>
    </w:p>
    <w:p>
      <w:pPr>
        <w:pStyle w:val="114"/>
        <w:spacing w:before="156" w:after="156"/>
      </w:pPr>
      <w:r>
        <w:t>网络RTK测量设备要求</w:t>
      </w:r>
    </w:p>
    <w:tbl>
      <w:tblPr>
        <w:tblStyle w:val="28"/>
        <w:tblW w:w="9570"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390"/>
        <w:gridCol w:w="2605"/>
        <w:gridCol w:w="2306"/>
        <w:gridCol w:w="1468"/>
        <w:gridCol w:w="180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390" w:type="dxa"/>
            <w:tcBorders>
              <w:top w:val="single" w:color="000000" w:sz="8" w:space="0"/>
              <w:bottom w:val="single" w:color="000000" w:sz="8" w:space="0"/>
            </w:tcBorders>
            <w:vAlign w:val="center"/>
          </w:tcPr>
          <w:p>
            <w:pPr>
              <w:widowControl/>
              <w:spacing w:line="240" w:lineRule="auto"/>
              <w:jc w:val="center"/>
              <w:rPr>
                <w:rFonts w:hint="eastAsia" w:ascii="宋体" w:hAnsi="宋体"/>
                <w:color w:val="000000"/>
                <w:kern w:val="0"/>
                <w:sz w:val="18"/>
                <w:szCs w:val="18"/>
              </w:rPr>
            </w:pPr>
            <w:r>
              <w:rPr>
                <w:rFonts w:ascii="宋体" w:hAnsi="宋体"/>
                <w:color w:val="000000"/>
                <w:kern w:val="0"/>
                <w:sz w:val="18"/>
                <w:szCs w:val="18"/>
              </w:rPr>
              <w:t>项目</w:t>
            </w:r>
          </w:p>
        </w:tc>
        <w:tc>
          <w:tcPr>
            <w:tcW w:w="2605" w:type="dxa"/>
            <w:tcBorders>
              <w:top w:val="single" w:color="000000" w:sz="8" w:space="0"/>
              <w:bottom w:val="single" w:color="000000" w:sz="8" w:space="0"/>
            </w:tcBorders>
            <w:vAlign w:val="center"/>
          </w:tcPr>
          <w:p>
            <w:pPr>
              <w:widowControl/>
              <w:spacing w:line="240" w:lineRule="auto"/>
              <w:jc w:val="center"/>
              <w:rPr>
                <w:rFonts w:hint="eastAsia" w:ascii="宋体" w:hAnsi="宋体"/>
                <w:color w:val="000000"/>
                <w:kern w:val="0"/>
                <w:sz w:val="18"/>
                <w:szCs w:val="18"/>
              </w:rPr>
            </w:pPr>
            <w:r>
              <w:rPr>
                <w:rFonts w:ascii="宋体" w:hAnsi="宋体"/>
                <w:color w:val="000000"/>
                <w:kern w:val="0"/>
                <w:sz w:val="18"/>
                <w:szCs w:val="18"/>
              </w:rPr>
              <w:t>接收机类型</w:t>
            </w:r>
          </w:p>
        </w:tc>
        <w:tc>
          <w:tcPr>
            <w:tcW w:w="2306" w:type="dxa"/>
            <w:tcBorders>
              <w:top w:val="single" w:color="000000" w:sz="8" w:space="0"/>
              <w:bottom w:val="single" w:color="000000" w:sz="8" w:space="0"/>
            </w:tcBorders>
            <w:vAlign w:val="center"/>
          </w:tcPr>
          <w:p>
            <w:pPr>
              <w:widowControl/>
              <w:spacing w:line="240" w:lineRule="auto"/>
              <w:jc w:val="center"/>
              <w:rPr>
                <w:rFonts w:hint="eastAsia" w:ascii="宋体" w:hAnsi="宋体"/>
                <w:color w:val="000000"/>
                <w:kern w:val="0"/>
                <w:sz w:val="18"/>
                <w:szCs w:val="18"/>
              </w:rPr>
            </w:pPr>
            <w:r>
              <w:rPr>
                <w:rFonts w:ascii="宋体" w:hAnsi="宋体"/>
                <w:color w:val="000000"/>
                <w:kern w:val="0"/>
                <w:sz w:val="18"/>
                <w:szCs w:val="18"/>
              </w:rPr>
              <w:t>RTK标称精度</w:t>
            </w:r>
          </w:p>
        </w:tc>
        <w:tc>
          <w:tcPr>
            <w:tcW w:w="1468" w:type="dxa"/>
            <w:tcBorders>
              <w:top w:val="single" w:color="000000" w:sz="8" w:space="0"/>
              <w:bottom w:val="single" w:color="000000" w:sz="8" w:space="0"/>
            </w:tcBorders>
            <w:vAlign w:val="center"/>
          </w:tcPr>
          <w:p>
            <w:pPr>
              <w:widowControl/>
              <w:spacing w:line="240" w:lineRule="auto"/>
              <w:jc w:val="center"/>
              <w:rPr>
                <w:rFonts w:hint="eastAsia" w:ascii="宋体" w:hAnsi="宋体"/>
                <w:color w:val="000000"/>
                <w:kern w:val="0"/>
                <w:sz w:val="18"/>
                <w:szCs w:val="18"/>
              </w:rPr>
            </w:pPr>
            <w:r>
              <w:rPr>
                <w:rFonts w:ascii="宋体" w:hAnsi="宋体"/>
                <w:color w:val="000000"/>
                <w:kern w:val="0"/>
                <w:sz w:val="18"/>
                <w:szCs w:val="18"/>
              </w:rPr>
              <w:t>观测量</w:t>
            </w:r>
          </w:p>
        </w:tc>
        <w:tc>
          <w:tcPr>
            <w:tcW w:w="1801" w:type="dxa"/>
            <w:tcBorders>
              <w:top w:val="single" w:color="000000" w:sz="8" w:space="0"/>
              <w:bottom w:val="single" w:color="000000" w:sz="8" w:space="0"/>
            </w:tcBorders>
            <w:vAlign w:val="center"/>
          </w:tcPr>
          <w:p>
            <w:pPr>
              <w:widowControl/>
              <w:spacing w:line="240" w:lineRule="auto"/>
              <w:jc w:val="center"/>
              <w:rPr>
                <w:rFonts w:hint="eastAsia" w:ascii="宋体" w:hAnsi="宋体"/>
                <w:color w:val="000000"/>
                <w:kern w:val="0"/>
                <w:sz w:val="18"/>
                <w:szCs w:val="18"/>
              </w:rPr>
            </w:pPr>
            <w:r>
              <w:rPr>
                <w:rFonts w:ascii="宋体" w:hAnsi="宋体"/>
                <w:color w:val="000000"/>
                <w:kern w:val="0"/>
                <w:sz w:val="18"/>
                <w:szCs w:val="18"/>
              </w:rPr>
              <w:t>通讯方式</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390" w:type="dxa"/>
            <w:tcBorders>
              <w:top w:val="single" w:color="000000" w:sz="8" w:space="0"/>
            </w:tcBorders>
            <w:vAlign w:val="center"/>
          </w:tcPr>
          <w:p>
            <w:pPr>
              <w:widowControl/>
              <w:spacing w:line="240" w:lineRule="auto"/>
              <w:jc w:val="center"/>
              <w:rPr>
                <w:rFonts w:hint="eastAsia" w:ascii="宋体" w:hAnsi="宋体"/>
                <w:color w:val="000000"/>
                <w:kern w:val="0"/>
                <w:sz w:val="18"/>
                <w:szCs w:val="18"/>
              </w:rPr>
            </w:pPr>
            <w:r>
              <w:rPr>
                <w:rFonts w:ascii="宋体" w:hAnsi="宋体"/>
                <w:color w:val="000000"/>
                <w:kern w:val="0"/>
                <w:sz w:val="18"/>
                <w:szCs w:val="18"/>
              </w:rPr>
              <w:t>要求</w:t>
            </w:r>
          </w:p>
        </w:tc>
        <w:tc>
          <w:tcPr>
            <w:tcW w:w="2605" w:type="dxa"/>
            <w:tcBorders>
              <w:top w:val="single" w:color="000000" w:sz="8" w:space="0"/>
            </w:tcBorders>
            <w:vAlign w:val="center"/>
          </w:tcPr>
          <w:p>
            <w:pPr>
              <w:widowControl/>
              <w:spacing w:line="240" w:lineRule="auto"/>
              <w:jc w:val="center"/>
              <w:rPr>
                <w:rFonts w:hint="eastAsia" w:ascii="宋体" w:hAnsi="宋体"/>
                <w:color w:val="000000"/>
                <w:kern w:val="0"/>
                <w:sz w:val="18"/>
                <w:szCs w:val="18"/>
              </w:rPr>
            </w:pPr>
            <w:r>
              <w:rPr>
                <w:rFonts w:ascii="宋体" w:hAnsi="宋体"/>
                <w:color w:val="000000"/>
                <w:kern w:val="0"/>
                <w:sz w:val="18"/>
                <w:szCs w:val="18"/>
              </w:rPr>
              <w:t>双频RTK</w:t>
            </w:r>
          </w:p>
        </w:tc>
        <w:tc>
          <w:tcPr>
            <w:tcW w:w="2306" w:type="dxa"/>
            <w:tcBorders>
              <w:top w:val="single" w:color="000000" w:sz="8" w:space="0"/>
            </w:tcBorders>
            <w:vAlign w:val="center"/>
          </w:tcPr>
          <w:p>
            <w:pPr>
              <w:widowControl/>
              <w:spacing w:line="240" w:lineRule="auto"/>
              <w:jc w:val="center"/>
              <w:rPr>
                <w:rFonts w:hint="eastAsia" w:ascii="宋体" w:hAnsi="宋体"/>
                <w:color w:val="000000"/>
                <w:kern w:val="0"/>
                <w:sz w:val="18"/>
                <w:szCs w:val="18"/>
              </w:rPr>
            </w:pPr>
            <w:r>
              <w:rPr>
                <w:rFonts w:ascii="宋体" w:hAnsi="宋体"/>
                <w:kern w:val="0"/>
                <w:sz w:val="18"/>
                <w:szCs w:val="18"/>
              </w:rPr>
              <w:t>10mm+2ppm</w:t>
            </w:r>
          </w:p>
        </w:tc>
        <w:tc>
          <w:tcPr>
            <w:tcW w:w="1468" w:type="dxa"/>
            <w:tcBorders>
              <w:top w:val="single" w:color="000000" w:sz="8" w:space="0"/>
            </w:tcBorders>
            <w:vAlign w:val="center"/>
          </w:tcPr>
          <w:p>
            <w:pPr>
              <w:widowControl/>
              <w:spacing w:line="240" w:lineRule="auto"/>
              <w:jc w:val="center"/>
              <w:rPr>
                <w:rFonts w:hint="eastAsia" w:ascii="宋体" w:hAnsi="宋体"/>
                <w:color w:val="000000"/>
                <w:kern w:val="0"/>
                <w:sz w:val="18"/>
                <w:szCs w:val="18"/>
              </w:rPr>
            </w:pPr>
            <w:r>
              <w:rPr>
                <w:rFonts w:ascii="宋体" w:hAnsi="宋体"/>
                <w:color w:val="000000"/>
                <w:kern w:val="0"/>
                <w:sz w:val="18"/>
                <w:szCs w:val="18"/>
              </w:rPr>
              <w:t>载波相位</w:t>
            </w:r>
          </w:p>
        </w:tc>
        <w:tc>
          <w:tcPr>
            <w:tcW w:w="1801" w:type="dxa"/>
            <w:tcBorders>
              <w:top w:val="single" w:color="000000" w:sz="8" w:space="0"/>
            </w:tcBorders>
            <w:vAlign w:val="center"/>
          </w:tcPr>
          <w:p>
            <w:pPr>
              <w:widowControl/>
              <w:spacing w:line="240" w:lineRule="auto"/>
              <w:jc w:val="center"/>
              <w:rPr>
                <w:rFonts w:hint="eastAsia" w:ascii="宋体" w:hAnsi="宋体"/>
                <w:color w:val="000000"/>
                <w:kern w:val="0"/>
                <w:sz w:val="18"/>
                <w:szCs w:val="18"/>
              </w:rPr>
            </w:pPr>
            <w:r>
              <w:rPr>
                <w:rFonts w:ascii="宋体" w:hAnsi="宋体"/>
                <w:kern w:val="0"/>
                <w:sz w:val="18"/>
                <w:szCs w:val="18"/>
              </w:rPr>
              <w:t>移动通信</w:t>
            </w:r>
          </w:p>
        </w:tc>
      </w:tr>
    </w:tbl>
    <w:p>
      <w:pPr>
        <w:widowControl/>
        <w:numPr>
          <w:ilvl w:val="0"/>
          <w:numId w:val="37"/>
        </w:numPr>
        <w:adjustRightInd/>
        <w:spacing w:line="240" w:lineRule="auto"/>
        <w:rPr>
          <w:rFonts w:ascii="宋体" w:hAnsi="Times New Roman"/>
          <w:kern w:val="0"/>
          <w:szCs w:val="20"/>
        </w:rPr>
      </w:pPr>
      <w:r>
        <w:rPr>
          <w:rFonts w:ascii="宋体" w:hAnsi="Times New Roman"/>
          <w:kern w:val="0"/>
          <w:szCs w:val="20"/>
        </w:rPr>
        <w:t>外业观测作业人员应认真收集测区及周边控制资料；</w:t>
      </w:r>
    </w:p>
    <w:p>
      <w:pPr>
        <w:widowControl/>
        <w:numPr>
          <w:ilvl w:val="0"/>
          <w:numId w:val="37"/>
        </w:numPr>
        <w:adjustRightInd/>
        <w:spacing w:line="240" w:lineRule="auto"/>
        <w:rPr>
          <w:rFonts w:ascii="宋体" w:hAnsi="Times New Roman"/>
          <w:kern w:val="0"/>
          <w:szCs w:val="20"/>
        </w:rPr>
      </w:pPr>
      <w:r>
        <w:rPr>
          <w:rFonts w:ascii="宋体" w:hAnsi="Times New Roman"/>
          <w:kern w:val="0"/>
          <w:szCs w:val="20"/>
        </w:rPr>
        <w:t>出测前，应对接收机、测量控制手簿、通讯模块、连接线缆、电池电量等进行全面检视和加电检查；所用光学对中器、基座气泡应检校，并在使用前再检视；</w:t>
      </w:r>
    </w:p>
    <w:p>
      <w:pPr>
        <w:widowControl/>
        <w:numPr>
          <w:ilvl w:val="0"/>
          <w:numId w:val="37"/>
        </w:numPr>
        <w:adjustRightInd/>
        <w:spacing w:line="240" w:lineRule="auto"/>
        <w:rPr>
          <w:rFonts w:ascii="宋体" w:hAnsi="Times New Roman"/>
          <w:kern w:val="0"/>
          <w:szCs w:val="20"/>
        </w:rPr>
      </w:pPr>
      <w:r>
        <w:rPr>
          <w:rFonts w:ascii="宋体" w:hAnsi="Times New Roman"/>
          <w:kern w:val="0"/>
          <w:szCs w:val="20"/>
        </w:rPr>
        <w:t>出测前，应对接收机各项设置、测量控制手簿各项设置、通讯模块各项设置进行全面检查核对，确保设置无误；对测量控制手簿中所设置坐标转换参数应进行专门检查。</w:t>
      </w:r>
    </w:p>
    <w:p>
      <w:pPr>
        <w:pStyle w:val="67"/>
        <w:spacing w:before="156" w:after="156"/>
      </w:pPr>
      <w:r>
        <w:t>外业观测要求</w:t>
      </w:r>
    </w:p>
    <w:p>
      <w:pPr>
        <w:widowControl/>
        <w:adjustRightInd/>
        <w:spacing w:line="240" w:lineRule="auto"/>
        <w:ind w:firstLine="420"/>
        <w:rPr>
          <w:rFonts w:hint="eastAsia" w:ascii="宋体" w:hAnsi="宋体" w:cs="宋体"/>
          <w:kern w:val="0"/>
        </w:rPr>
      </w:pPr>
      <w:r>
        <w:rPr>
          <w:rFonts w:ascii="宋体" w:hAnsi="宋体" w:cs="宋体"/>
          <w:kern w:val="0"/>
        </w:rPr>
        <w:t>外业观测应符合下列要求：</w:t>
      </w:r>
    </w:p>
    <w:p>
      <w:pPr>
        <w:widowControl/>
        <w:numPr>
          <w:ilvl w:val="0"/>
          <w:numId w:val="38"/>
        </w:numPr>
        <w:tabs>
          <w:tab w:val="left" w:pos="851"/>
        </w:tabs>
        <w:adjustRightInd/>
        <w:spacing w:line="240" w:lineRule="auto"/>
        <w:rPr>
          <w:rFonts w:ascii="宋体" w:hAnsi="Times New Roman"/>
          <w:kern w:val="0"/>
          <w:szCs w:val="20"/>
        </w:rPr>
      </w:pPr>
      <w:r>
        <w:rPr>
          <w:rFonts w:ascii="宋体" w:hAnsi="Times New Roman"/>
          <w:kern w:val="0"/>
          <w:szCs w:val="20"/>
        </w:rPr>
        <w:t>天线高应量测至毫米,测前测后各量一次，两次较差不大于3mm时，取平均值作为最终结果，并在外业观测手簿中对量取方式做出准确描述和记录；较差超限时，应查明原因并记录在外业观测手簿备注栏中；</w:t>
      </w:r>
    </w:p>
    <w:p>
      <w:pPr>
        <w:widowControl/>
        <w:numPr>
          <w:ilvl w:val="0"/>
          <w:numId w:val="38"/>
        </w:numPr>
        <w:tabs>
          <w:tab w:val="left" w:pos="851"/>
        </w:tabs>
        <w:adjustRightInd/>
        <w:spacing w:line="240" w:lineRule="auto"/>
        <w:rPr>
          <w:rFonts w:ascii="宋体" w:hAnsi="Times New Roman"/>
          <w:kern w:val="0"/>
          <w:szCs w:val="20"/>
        </w:rPr>
      </w:pPr>
      <w:r>
        <w:rPr>
          <w:rFonts w:ascii="宋体" w:hAnsi="Times New Roman"/>
          <w:kern w:val="0"/>
          <w:szCs w:val="20"/>
        </w:rPr>
        <w:t>网络RTK测量施测控制点，每点至少应进行两次重复观测（即两测回），每次至少需观测20个有效历元,采样间隔2～5s。当测回间互差小于4cm时，结果取中数，超限时必须重测；</w:t>
      </w:r>
    </w:p>
    <w:p>
      <w:pPr>
        <w:widowControl/>
        <w:numPr>
          <w:ilvl w:val="0"/>
          <w:numId w:val="38"/>
        </w:numPr>
        <w:tabs>
          <w:tab w:val="left" w:pos="851"/>
        </w:tabs>
        <w:adjustRightInd/>
        <w:spacing w:line="240" w:lineRule="auto"/>
        <w:rPr>
          <w:rFonts w:ascii="宋体" w:hAnsi="Times New Roman"/>
          <w:kern w:val="0"/>
          <w:szCs w:val="20"/>
        </w:rPr>
      </w:pPr>
      <w:r>
        <w:rPr>
          <w:rFonts w:ascii="宋体" w:hAnsi="Times New Roman"/>
          <w:kern w:val="0"/>
          <w:szCs w:val="20"/>
        </w:rPr>
        <w:t>网络RTK施测地物点时，每点采集有效历元不得少于5个，并应随时核对天线高度的变化，保持记录；</w:t>
      </w:r>
    </w:p>
    <w:p>
      <w:pPr>
        <w:widowControl/>
        <w:numPr>
          <w:ilvl w:val="0"/>
          <w:numId w:val="38"/>
        </w:numPr>
        <w:tabs>
          <w:tab w:val="left" w:pos="851"/>
        </w:tabs>
        <w:adjustRightInd/>
        <w:spacing w:line="240" w:lineRule="auto"/>
        <w:rPr>
          <w:rFonts w:ascii="宋体" w:hAnsi="Times New Roman"/>
          <w:kern w:val="0"/>
          <w:szCs w:val="20"/>
        </w:rPr>
      </w:pPr>
      <w:r>
        <w:rPr>
          <w:rFonts w:ascii="宋体" w:hAnsi="Times New Roman"/>
          <w:kern w:val="0"/>
          <w:szCs w:val="20"/>
        </w:rPr>
        <w:t>在大面积强反射 (如大面积水域、玻璃幕墙等) 环境、电磁干扰严重区域中进行网络RTK测量时，必须采用测边、定角或实测高差等方式进行检测；</w:t>
      </w:r>
    </w:p>
    <w:p>
      <w:pPr>
        <w:widowControl/>
        <w:numPr>
          <w:ilvl w:val="0"/>
          <w:numId w:val="38"/>
        </w:numPr>
        <w:tabs>
          <w:tab w:val="left" w:pos="851"/>
        </w:tabs>
        <w:adjustRightInd/>
        <w:spacing w:line="240" w:lineRule="auto"/>
        <w:rPr>
          <w:rFonts w:ascii="宋体" w:hAnsi="Times New Roman"/>
          <w:kern w:val="0"/>
          <w:szCs w:val="20"/>
        </w:rPr>
      </w:pPr>
      <w:r>
        <w:rPr>
          <w:rFonts w:ascii="宋体" w:hAnsi="Times New Roman"/>
          <w:kern w:val="0"/>
          <w:szCs w:val="20"/>
        </w:rPr>
        <w:t>网络RTK测量时，初始化时间超过2分钟（一般是因点位卫星信号接收条件不好或多路径效应影响造成）的结果不得采用，此时，可通过提高卫星高度角或加高天线高度等手段重新进行初始化，符合要求后开始数据采集，也可采取更换点位的方法；</w:t>
      </w:r>
    </w:p>
    <w:p>
      <w:pPr>
        <w:widowControl/>
        <w:numPr>
          <w:ilvl w:val="0"/>
          <w:numId w:val="38"/>
        </w:numPr>
        <w:tabs>
          <w:tab w:val="left" w:pos="851"/>
        </w:tabs>
        <w:adjustRightInd/>
        <w:spacing w:line="240" w:lineRule="auto"/>
        <w:rPr>
          <w:rFonts w:ascii="宋体" w:hAnsi="Times New Roman"/>
          <w:kern w:val="0"/>
          <w:szCs w:val="20"/>
        </w:rPr>
      </w:pPr>
      <w:r>
        <w:rPr>
          <w:rFonts w:ascii="宋体" w:hAnsi="Times New Roman"/>
          <w:kern w:val="0"/>
          <w:szCs w:val="20"/>
        </w:rPr>
        <w:t>每天外业工作完成后，应及时下载观测数据；项目完成后，应进行完全备份并清理接收机、手簿内存，检测数据、文档应随工程资料上交存档</w:t>
      </w:r>
      <w:r>
        <w:rPr>
          <w:rFonts w:hint="eastAsia" w:ascii="宋体" w:hAnsi="Times New Roman"/>
          <w:kern w:val="0"/>
          <w:szCs w:val="20"/>
        </w:rPr>
        <w:t>。</w:t>
      </w:r>
    </w:p>
    <w:p>
      <w:pPr>
        <w:pStyle w:val="67"/>
        <w:spacing w:before="156" w:after="156"/>
      </w:pPr>
      <w:r>
        <w:rPr>
          <w:rFonts w:hint="eastAsia"/>
        </w:rPr>
        <w:t xml:space="preserve">数据处理要求 </w:t>
      </w:r>
    </w:p>
    <w:p>
      <w:pPr>
        <w:widowControl/>
        <w:tabs>
          <w:tab w:val="left" w:pos="851"/>
        </w:tabs>
        <w:adjustRightInd/>
        <w:spacing w:line="240" w:lineRule="auto"/>
        <w:ind w:firstLine="420" w:firstLineChars="200"/>
        <w:rPr>
          <w:rFonts w:hint="eastAsia" w:ascii="宋体" w:hAnsi="宋体"/>
          <w:color w:val="000000"/>
        </w:rPr>
      </w:pPr>
      <w:r>
        <w:rPr>
          <w:rFonts w:hint="eastAsia" w:ascii="宋体" w:hAnsi="宋体"/>
          <w:color w:val="000000"/>
        </w:rPr>
        <w:t>数据处理应符合下列要求：</w:t>
      </w:r>
    </w:p>
    <w:p>
      <w:pPr>
        <w:pStyle w:val="176"/>
        <w:numPr>
          <w:ilvl w:val="0"/>
          <w:numId w:val="39"/>
        </w:numPr>
      </w:pPr>
      <w:r>
        <w:rPr>
          <w:rFonts w:hint="eastAsia"/>
        </w:rPr>
        <w:t xml:space="preserve">静态卫星定位观测外业结束后，应使用配套的格式转换软件，将观测文件转换为 RINEX 格式， 转换过程中应录入点名、点号等信息； </w:t>
      </w:r>
    </w:p>
    <w:p>
      <w:pPr>
        <w:pStyle w:val="176"/>
      </w:pPr>
      <w:r>
        <w:rPr>
          <w:rFonts w:hint="eastAsia"/>
        </w:rPr>
        <w:t>静态卫星定位网的基线解算、检验及平差计算应符合 CJJ/T 73 的规定。</w:t>
      </w:r>
    </w:p>
    <w:p>
      <w:pPr>
        <w:pStyle w:val="106"/>
        <w:spacing w:before="312" w:after="312"/>
      </w:pPr>
      <w:bookmarkStart w:id="124" w:name="_Toc237470888"/>
      <w:bookmarkStart w:id="125" w:name="_Toc237015156"/>
      <w:r>
        <w:t>分幅与分丘测绘</w:t>
      </w:r>
      <w:bookmarkEnd w:id="124"/>
      <w:bookmarkEnd w:id="125"/>
    </w:p>
    <w:p>
      <w:pPr>
        <w:pStyle w:val="107"/>
        <w:spacing w:before="156" w:after="156"/>
      </w:pPr>
      <w:bookmarkStart w:id="126" w:name="_Toc237470889"/>
      <w:bookmarkStart w:id="127" w:name="_Toc237015157"/>
      <w:r>
        <w:t>一般规定</w:t>
      </w:r>
      <w:bookmarkEnd w:id="126"/>
      <w:bookmarkEnd w:id="127"/>
    </w:p>
    <w:p>
      <w:pPr>
        <w:widowControl/>
        <w:adjustRightInd/>
        <w:spacing w:line="240" w:lineRule="auto"/>
        <w:ind w:firstLine="420"/>
        <w:rPr>
          <w:rFonts w:hint="eastAsia" w:ascii="宋体" w:hAnsi="宋体" w:cs="宋体"/>
          <w:kern w:val="0"/>
        </w:rPr>
      </w:pPr>
      <w:r>
        <w:rPr>
          <w:rFonts w:ascii="宋体" w:hAnsi="宋体" w:cs="宋体"/>
          <w:kern w:val="0"/>
        </w:rPr>
        <w:t>分幅、分丘测绘的一般要求如下：</w:t>
      </w:r>
    </w:p>
    <w:p>
      <w:pPr>
        <w:pStyle w:val="176"/>
        <w:numPr>
          <w:ilvl w:val="0"/>
          <w:numId w:val="40"/>
        </w:numPr>
      </w:pPr>
      <w:r>
        <w:t>房产分幅平面图（以下简称分幅图）是全面反映房屋及其用地的位置</w:t>
      </w:r>
      <w:r>
        <w:rPr>
          <w:color w:val="000000"/>
        </w:rPr>
        <w:t>、</w:t>
      </w:r>
      <w:r>
        <w:t>范围和权属等状况的基本图，是测绘分丘图和分户图的基础资料；</w:t>
      </w:r>
    </w:p>
    <w:p>
      <w:pPr>
        <w:pStyle w:val="176"/>
      </w:pPr>
      <w:r>
        <w:t>房产分丘平面图（以下简称分丘图）是分幅图的局部图，是反映丘内房屋及其用地情况、权界位置、界址点、房角点、房屋建筑面积、用地面积、四至关系和权利状态等各项房地产要素的平面图，也是绘制房屋产权证附图的基本图；</w:t>
      </w:r>
    </w:p>
    <w:p>
      <w:pPr>
        <w:pStyle w:val="176"/>
      </w:pPr>
      <w:r>
        <w:t>进行分幅图、分丘图测量的同时，应调查测区范围内的房产状况；</w:t>
      </w:r>
    </w:p>
    <w:p>
      <w:pPr>
        <w:pStyle w:val="176"/>
      </w:pPr>
      <w:r>
        <w:t>分幅图、分丘图测量范围包括：城市、县城、建制镇建成区和建成区以外的工矿企事业单位及毗连居民点等；</w:t>
      </w:r>
    </w:p>
    <w:p>
      <w:pPr>
        <w:pStyle w:val="176"/>
      </w:pPr>
      <w:r>
        <w:t>分幅图、分丘图测绘的内容包括：房产调查、平面控制测量、房地产要素测量、分幅图和分丘图绘制、丘面积测算等工作；</w:t>
      </w:r>
    </w:p>
    <w:p>
      <w:pPr>
        <w:pStyle w:val="176"/>
      </w:pPr>
      <w:r>
        <w:t>分幅图、分丘图测绘成图方法。分幅图、分丘图测绘成图方法可分为低空数字航空摄影测量法、全野外数据采集法、编绘法等。具体要求如下：</w:t>
      </w:r>
    </w:p>
    <w:p>
      <w:pPr>
        <w:pStyle w:val="111"/>
        <w:numPr>
          <w:ilvl w:val="1"/>
          <w:numId w:val="41"/>
        </w:numPr>
      </w:pPr>
      <w:r>
        <w:t>对于大面积的分幅、分丘图测绘可采用低空数字航空摄影测量法，按GB/T 39612相关要求执行；</w:t>
      </w:r>
    </w:p>
    <w:p>
      <w:pPr>
        <w:pStyle w:val="111"/>
      </w:pPr>
      <w:r>
        <w:t>对于没有大比例尺地形图的地区，宜采用全站仪和电子记簿或便携式计算机结合进行内外业一体化数据采集，记录的数据可以直接传输至计算机，通过人机交互处理生成分幅分丘原图数据文件；也可采用低空数字航空摄影测量法生成分幅分丘原图数据文件；</w:t>
      </w:r>
    </w:p>
    <w:p>
      <w:pPr>
        <w:pStyle w:val="111"/>
      </w:pPr>
      <w:r>
        <w:t>对于已有大比例尺数字地形图（或地籍图、竣工图等）的地区，利用原图修补测房产要素，编绘成分幅分丘图；</w:t>
      </w:r>
    </w:p>
    <w:p>
      <w:pPr>
        <w:pStyle w:val="111"/>
      </w:pPr>
      <w:r>
        <w:t>全野外数据采集可采用极坐标法、正交会法和线交会法等方法，相关要求按照GB/T 17986-2000中6.4条执行。</w:t>
      </w:r>
    </w:p>
    <w:p>
      <w:pPr>
        <w:pStyle w:val="107"/>
        <w:spacing w:before="156" w:after="156"/>
      </w:pPr>
      <w:bookmarkStart w:id="128" w:name="_Toc237015158"/>
      <w:bookmarkStart w:id="129" w:name="_Toc237470890"/>
      <w:r>
        <w:t>房产调查</w:t>
      </w:r>
      <w:bookmarkEnd w:id="128"/>
      <w:bookmarkEnd w:id="129"/>
    </w:p>
    <w:p>
      <w:pPr>
        <w:pStyle w:val="67"/>
        <w:spacing w:before="156" w:after="156"/>
      </w:pPr>
      <w:r>
        <w:t>房产调查内容</w:t>
      </w:r>
    </w:p>
    <w:p>
      <w:pPr>
        <w:widowControl/>
        <w:adjustRightInd/>
        <w:spacing w:line="240" w:lineRule="auto"/>
        <w:ind w:firstLine="420"/>
        <w:rPr>
          <w:rFonts w:hint="eastAsia" w:ascii="宋体" w:hAnsi="宋体" w:cs="宋体"/>
          <w:kern w:val="0"/>
        </w:rPr>
      </w:pPr>
      <w:r>
        <w:rPr>
          <w:rFonts w:ascii="宋体" w:hAnsi="宋体" w:cs="宋体"/>
          <w:kern w:val="0"/>
        </w:rPr>
        <w:t>房产调查分为房屋用地调查和房屋调查，包括对每丘的位置、权界、数量和利用状况等基本情况，以及地理名称和行政境界的调查。房产编码（即不动产单元代码）的编制应符合GB/T 37346的规定。</w:t>
      </w:r>
    </w:p>
    <w:p>
      <w:pPr>
        <w:pStyle w:val="67"/>
        <w:spacing w:before="156" w:after="156"/>
      </w:pPr>
      <w:r>
        <w:t>房屋用地调查</w:t>
      </w:r>
    </w:p>
    <w:p>
      <w:pPr>
        <w:widowControl/>
        <w:adjustRightInd/>
        <w:spacing w:line="240" w:lineRule="auto"/>
        <w:ind w:firstLine="420"/>
        <w:rPr>
          <w:rFonts w:hint="eastAsia" w:ascii="宋体" w:hAnsi="宋体" w:cs="宋体"/>
          <w:kern w:val="0"/>
        </w:rPr>
      </w:pPr>
      <w:r>
        <w:rPr>
          <w:rFonts w:ascii="宋体" w:hAnsi="宋体" w:cs="宋体"/>
          <w:kern w:val="0"/>
        </w:rPr>
        <w:t>房屋用地调查的内容包括：用地座落、产权人、产权性质、权界、四至关系、界标、用途分类和面积等基本情况。</w:t>
      </w:r>
    </w:p>
    <w:p>
      <w:pPr>
        <w:pStyle w:val="67"/>
        <w:spacing w:before="156" w:after="156"/>
      </w:pPr>
      <w:r>
        <w:t>房屋调查</w:t>
      </w:r>
    </w:p>
    <w:p>
      <w:pPr>
        <w:widowControl/>
        <w:adjustRightInd/>
        <w:spacing w:line="240" w:lineRule="auto"/>
        <w:ind w:firstLine="420"/>
        <w:rPr>
          <w:rFonts w:hint="eastAsia" w:ascii="宋体" w:hAnsi="宋体" w:cs="宋体"/>
          <w:kern w:val="0"/>
        </w:rPr>
      </w:pPr>
      <w:r>
        <w:rPr>
          <w:rFonts w:ascii="宋体" w:hAnsi="宋体" w:cs="宋体"/>
          <w:kern w:val="0"/>
        </w:rPr>
        <w:t>分幅、分丘测绘的房屋调查与房屋面积测绘的房屋调查宜同时进行，调查成果应共享，具体内容见本规程7.5</w:t>
      </w:r>
      <w:r>
        <w:rPr>
          <w:rFonts w:ascii="宋体" w:hAnsi="宋体" w:cs="宋体"/>
          <w:color w:val="0000FF"/>
          <w:kern w:val="0"/>
        </w:rPr>
        <w:t>。</w:t>
      </w:r>
    </w:p>
    <w:p>
      <w:pPr>
        <w:pStyle w:val="67"/>
        <w:spacing w:before="156" w:after="156"/>
      </w:pPr>
      <w:r>
        <w:t>地理名称和行政境界调查</w:t>
      </w:r>
    </w:p>
    <w:p>
      <w:pPr>
        <w:widowControl/>
        <w:adjustRightInd/>
        <w:spacing w:line="240" w:lineRule="auto"/>
        <w:ind w:firstLine="420"/>
        <w:rPr>
          <w:rFonts w:hint="eastAsia" w:ascii="宋体" w:hAnsi="宋体" w:cs="宋体"/>
          <w:kern w:val="0"/>
        </w:rPr>
      </w:pPr>
      <w:r>
        <w:rPr>
          <w:rFonts w:ascii="宋体" w:hAnsi="宋体" w:cs="宋体"/>
          <w:kern w:val="0"/>
        </w:rPr>
        <w:t>地理名称调查包括居民点、道路、河流、广场等自然名称。行政境界一般不调查，特殊要求时，参照</w:t>
      </w:r>
      <w:r>
        <w:rPr>
          <w:rFonts w:ascii="宋体" w:hAnsi="宋体" w:cs="宋体"/>
          <w:spacing w:val="-20"/>
          <w:kern w:val="0"/>
        </w:rPr>
        <w:t>GB/T 17986-2000</w:t>
      </w:r>
      <w:r>
        <w:rPr>
          <w:rFonts w:ascii="宋体" w:hAnsi="宋体" w:cs="宋体"/>
          <w:kern w:val="0"/>
        </w:rPr>
        <w:t>中5.7条执行。</w:t>
      </w:r>
    </w:p>
    <w:p>
      <w:pPr>
        <w:pStyle w:val="67"/>
        <w:spacing w:before="156" w:after="156"/>
      </w:pPr>
      <w:r>
        <w:t>房产调查表</w:t>
      </w:r>
    </w:p>
    <w:p>
      <w:pPr>
        <w:widowControl/>
        <w:adjustRightInd/>
        <w:spacing w:line="240" w:lineRule="auto"/>
        <w:ind w:firstLine="420"/>
        <w:rPr>
          <w:rFonts w:hint="eastAsia" w:ascii="宋体" w:hAnsi="宋体" w:cs="宋体"/>
          <w:kern w:val="0"/>
        </w:rPr>
      </w:pPr>
      <w:r>
        <w:rPr>
          <w:rFonts w:ascii="宋体" w:hAnsi="宋体" w:cs="宋体"/>
          <w:kern w:val="0"/>
        </w:rPr>
        <w:t>房产调查应以实地为主，结合已有的房产管理图、地籍图、地形图、影像图等有关资料，以丘和幢为单位进行，并将调查结果记录在房产调查表上。房产调查表的表样见附录A。</w:t>
      </w:r>
    </w:p>
    <w:p>
      <w:pPr>
        <w:pStyle w:val="107"/>
        <w:spacing w:before="156" w:after="156"/>
      </w:pPr>
      <w:bookmarkStart w:id="130" w:name="_Toc237015159"/>
      <w:bookmarkStart w:id="131" w:name="_Toc237470891"/>
      <w:r>
        <w:t>分幅图测绘</w:t>
      </w:r>
      <w:bookmarkEnd w:id="130"/>
      <w:bookmarkEnd w:id="131"/>
    </w:p>
    <w:p>
      <w:pPr>
        <w:pStyle w:val="67"/>
        <w:spacing w:before="156" w:after="156"/>
      </w:pPr>
      <w:r>
        <w:t>分幅图应表示的基本内容</w:t>
      </w:r>
    </w:p>
    <w:p>
      <w:pPr>
        <w:widowControl/>
        <w:adjustRightInd/>
        <w:spacing w:line="240" w:lineRule="auto"/>
        <w:ind w:firstLine="420"/>
        <w:rPr>
          <w:rFonts w:hint="eastAsia" w:ascii="宋体" w:hAnsi="宋体" w:cs="宋体"/>
          <w:kern w:val="0"/>
        </w:rPr>
      </w:pPr>
      <w:r>
        <w:rPr>
          <w:rFonts w:ascii="宋体" w:hAnsi="宋体" w:cs="宋体"/>
          <w:kern w:val="0"/>
        </w:rPr>
        <w:t>分幅图应表示控制点、行政境界、丘界、房屋、房屋附属设施和房屋围护物，以及与房地产有关的地籍、地形要素和注记。</w:t>
      </w:r>
    </w:p>
    <w:p>
      <w:pPr>
        <w:pStyle w:val="67"/>
        <w:spacing w:before="156" w:after="156"/>
      </w:pPr>
      <w:r>
        <w:t>分幅图的成图规格</w:t>
      </w:r>
    </w:p>
    <w:p>
      <w:pPr>
        <w:widowControl/>
        <w:adjustRightInd/>
        <w:spacing w:line="240" w:lineRule="auto"/>
        <w:ind w:firstLine="420"/>
        <w:rPr>
          <w:rFonts w:hint="eastAsia" w:ascii="宋体" w:hAnsi="宋体" w:cs="宋体"/>
          <w:kern w:val="0"/>
        </w:rPr>
      </w:pPr>
      <w:r>
        <w:rPr>
          <w:rFonts w:ascii="宋体" w:hAnsi="宋体" w:cs="宋体"/>
          <w:kern w:val="0"/>
        </w:rPr>
        <w:t>分幅图采用50cm×50cm正方形分幅；一般采用1:500比例尺，根据房产管理的要求和实际情况，也可在1:500～1:2000之间选用。分幅图图廓整饰样式见附录B。</w:t>
      </w:r>
    </w:p>
    <w:p>
      <w:pPr>
        <w:pStyle w:val="67"/>
        <w:spacing w:before="156" w:after="156"/>
      </w:pPr>
      <w:r>
        <w:t>分幅图的编号</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分幅图编号应满足以下要求：</w:t>
      </w:r>
    </w:p>
    <w:p>
      <w:pPr>
        <w:pStyle w:val="176"/>
        <w:numPr>
          <w:ilvl w:val="0"/>
          <w:numId w:val="42"/>
        </w:numPr>
      </w:pPr>
      <w:r>
        <w:t>分幅图的编号按高斯--克吕格坐标的整公里格网为编号区；1:500图幅在1:2000图幅中划分，划分方法如图1所示；</w:t>
      </w:r>
    </w:p>
    <w:p>
      <w:pPr>
        <w:pStyle w:val="176"/>
      </w:pPr>
      <w:r>
        <w:t>分幅图的图号以该图幅西南角图廓点坐标的公里数编号，X坐标在前，Y坐标在后，中间以短横线相连，坐标取至小数点后两位，一般略去编号中的百公里和百公里以前的数值，必要时可加注百公里数。如图2所示，图中1：500图幅AIHJ的编号为25.00－34.00（对应流水编号为185-13）；</w:t>
      </w:r>
    </w:p>
    <w:p>
      <w:pPr>
        <w:pStyle w:val="176"/>
      </w:pPr>
      <w:r>
        <w:t>需要测绘1：1000和1：2000的分幅图时，其编号根据本地区的实际情况，另行设计规定。</w:t>
      </w:r>
    </w:p>
    <w:p>
      <w:pPr>
        <w:widowControl/>
        <w:adjustRightInd/>
        <w:spacing w:line="240" w:lineRule="auto"/>
        <w:ind w:left="851"/>
        <w:rPr>
          <w:rFonts w:ascii="宋体" w:hAnsi="Times New Roman"/>
          <w:kern w:val="0"/>
          <w:szCs w:val="20"/>
        </w:rPr>
      </w:pPr>
      <w:r>
        <w:rPr>
          <w:rFonts w:ascii="宋体" w:hAnsi="Times New Roman"/>
          <w:kern w:val="0"/>
          <w:szCs w:val="20"/>
        </w:rPr>
        <w:drawing>
          <wp:inline distT="0" distB="0" distL="0" distR="0">
            <wp:extent cx="5048250" cy="2200275"/>
            <wp:effectExtent l="0" t="0" r="0" b="9525"/>
            <wp:docPr id="10"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true"/>
                    </pic:cNvPicPr>
                  </pic:nvPicPr>
                  <pic:blipFill>
                    <a:blip r:embed="rId72"/>
                    <a:stretch>
                      <a:fillRect/>
                    </a:stretch>
                  </pic:blipFill>
                  <pic:spPr>
                    <a:xfrm>
                      <a:off x="0" y="0"/>
                      <a:ext cx="5048250" cy="2200275"/>
                    </a:xfrm>
                    <a:prstGeom prst="rect">
                      <a:avLst/>
                    </a:prstGeom>
                  </pic:spPr>
                </pic:pic>
              </a:graphicData>
            </a:graphic>
          </wp:inline>
        </w:drawing>
      </w:r>
    </w:p>
    <w:p>
      <w:pPr>
        <w:widowControl/>
        <w:adjustRightInd/>
        <w:spacing w:line="240" w:lineRule="atLeast"/>
        <w:ind w:left="1560" w:firstLine="210" w:firstLineChars="100"/>
        <w:rPr>
          <w:rFonts w:hint="eastAsia" w:ascii="宋体" w:hAnsi="宋体"/>
          <w:color w:val="000000"/>
          <w:kern w:val="0"/>
        </w:rPr>
      </w:pPr>
      <w:r>
        <w:rPr>
          <w:rFonts w:ascii="宋体" w:hAnsi="宋体"/>
          <w:color w:val="000000"/>
          <w:kern w:val="0"/>
        </w:rPr>
        <w:t>（a）1km</w:t>
      </w:r>
      <w:r>
        <w:rPr>
          <w:rFonts w:ascii="宋体" w:hAnsi="宋体"/>
          <w:color w:val="000000"/>
          <w:kern w:val="0"/>
          <w:vertAlign w:val="superscript"/>
        </w:rPr>
        <w:t>2</w:t>
      </w:r>
      <w:r>
        <w:rPr>
          <w:rFonts w:ascii="宋体" w:hAnsi="宋体"/>
          <w:color w:val="000000"/>
          <w:kern w:val="0"/>
        </w:rPr>
        <w:t>为1幅                         (b) 1km</w:t>
      </w:r>
      <w:r>
        <w:rPr>
          <w:rFonts w:ascii="宋体" w:hAnsi="宋体"/>
          <w:color w:val="000000"/>
          <w:kern w:val="0"/>
          <w:vertAlign w:val="superscript"/>
        </w:rPr>
        <w:t>2</w:t>
      </w:r>
      <w:r>
        <w:rPr>
          <w:rFonts w:ascii="宋体" w:hAnsi="宋体"/>
          <w:color w:val="000000"/>
          <w:kern w:val="0"/>
        </w:rPr>
        <w:t>为16幅</w:t>
      </w:r>
    </w:p>
    <w:p>
      <w:pPr>
        <w:pStyle w:val="116"/>
        <w:spacing w:before="156" w:after="156"/>
        <w:rPr>
          <w:rFonts w:hint="eastAsia" w:hAnsi="黑体"/>
        </w:rPr>
      </w:pPr>
      <w:r>
        <w:t>分幅图图幅划分方法示意图</w:t>
      </w:r>
    </w:p>
    <w:p>
      <w:pPr>
        <w:adjustRightInd/>
        <w:spacing w:line="240" w:lineRule="auto"/>
        <w:jc w:val="center"/>
        <w:rPr>
          <w:rFonts w:ascii="Times New Roman" w:hAnsi="Times New Roman"/>
        </w:rPr>
      </w:pPr>
      <w:r>
        <w:rPr>
          <w:rFonts w:ascii="Times New Roman" w:hAnsi="Times New Roman"/>
        </w:rPr>
        <w:drawing>
          <wp:inline distT="0" distB="0" distL="0" distR="0">
            <wp:extent cx="4000500" cy="3086100"/>
            <wp:effectExtent l="0" t="0" r="0" b="0"/>
            <wp:docPr id="19" name="图片 19" descr="C:\Users\jn\AppData\Local\Temp\ksohtml4520\wps17.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9" descr="C:\Users\jn\AppData\Local\Temp\ksohtml4520\wps17.png"/>
                    <pic:cNvPicPr>
                      <a:picLocks noChangeAspect="true" noChangeArrowheads="true"/>
                    </pic:cNvPicPr>
                  </pic:nvPicPr>
                  <pic:blipFill>
                    <a:blip r:embed="rId73">
                      <a:extLst>
                        <a:ext uri="{28A0092B-C50C-407E-A947-70E740481C1C}">
                          <a14:useLocalDpi xmlns:a14="http://schemas.microsoft.com/office/drawing/2010/main" val="false"/>
                        </a:ext>
                      </a:extLst>
                    </a:blip>
                    <a:srcRect/>
                    <a:stretch>
                      <a:fillRect/>
                    </a:stretch>
                  </pic:blipFill>
                  <pic:spPr>
                    <a:xfrm>
                      <a:off x="0" y="0"/>
                      <a:ext cx="4000500" cy="3086100"/>
                    </a:xfrm>
                    <a:prstGeom prst="rect">
                      <a:avLst/>
                    </a:prstGeom>
                    <a:noFill/>
                    <a:ln>
                      <a:noFill/>
                    </a:ln>
                  </pic:spPr>
                </pic:pic>
              </a:graphicData>
            </a:graphic>
          </wp:inline>
        </w:drawing>
      </w:r>
    </w:p>
    <w:p>
      <w:pPr>
        <w:pStyle w:val="116"/>
        <w:spacing w:before="156" w:after="156"/>
      </w:pPr>
      <w:r>
        <w:t>分幅图编号方法示意图</w:t>
      </w:r>
    </w:p>
    <w:p>
      <w:pPr>
        <w:pStyle w:val="67"/>
        <w:spacing w:before="156" w:after="156"/>
      </w:pPr>
      <w:bookmarkStart w:id="132" w:name="_Toc404085533"/>
      <w:bookmarkEnd w:id="132"/>
      <w:r>
        <w:t>分幅图绘制的要素取舍与表示方法</w:t>
      </w:r>
    </w:p>
    <w:p>
      <w:pPr>
        <w:spacing w:line="240" w:lineRule="auto"/>
        <w:ind w:firstLine="420" w:firstLineChars="200"/>
      </w:pPr>
      <w:r>
        <w:t>分幅图的要素取舍和表示按照下列规定执行，具体参见附录B分幅图示例。</w:t>
      </w:r>
    </w:p>
    <w:p>
      <w:pPr>
        <w:pStyle w:val="176"/>
        <w:numPr>
          <w:ilvl w:val="0"/>
          <w:numId w:val="43"/>
        </w:numPr>
      </w:pPr>
      <w:r>
        <w:t>丘界线与房屋轮廓线或单线地物线重合时表示丘界线；明确无争议丘界线用固定丘界线表示，有争议或无明显界线又提不出凭证的丘界线用未定丘界线表示；</w:t>
      </w:r>
    </w:p>
    <w:p>
      <w:pPr>
        <w:pStyle w:val="176"/>
      </w:pPr>
      <w:r>
        <w:t>房屋应分幢表示，以外墙勒脚以上外围轮廓的水平投影为准，突出墙面的柱、垛和加固墙等一般不表示，临时性的过渡房屋及活动房屋不表示，同幢房屋层数不同的应绘制分层线；架空房屋以房屋外围轮廓投影为准，用虚线表示；虚线内四角加绘小圆圈表示支柱；</w:t>
      </w:r>
    </w:p>
    <w:p>
      <w:pPr>
        <w:pStyle w:val="176"/>
      </w:pPr>
      <w:r>
        <w:t>房屋附属设施，包括柱廊、檐廊、架空通廊、底层阳台、门廊、门楼、门顶、门墩和室外楼梯，以及和房屋相连的台阶（五级以上）等应表示；</w:t>
      </w:r>
    </w:p>
    <w:p>
      <w:pPr>
        <w:pStyle w:val="176"/>
      </w:pPr>
      <w:r>
        <w:t>围墙、栅栏、栏杆、篱笆和铁丝网等界标围护物均应表示，其他围护物根据需要测量。临时性、残缺不全及内部的围护物可不表示；</w:t>
      </w:r>
    </w:p>
    <w:p>
      <w:pPr>
        <w:pStyle w:val="176"/>
      </w:pPr>
      <w:r>
        <w:t>房产要素和房产编号，包括房产区号、房产分区号、丘号、幢号、门牌号、房屋产别、结构、层数、房屋用途和用地分类等，根据调查资料以相应的数字、文字和符号表示。当注记过密图面容纳不下时，丘号和幢号必须注记，门牌号可首末两端注记或中间跳号注记，其他注记可按上述顺序从后往前省略；</w:t>
      </w:r>
    </w:p>
    <w:p>
      <w:pPr>
        <w:pStyle w:val="176"/>
      </w:pPr>
      <w:r>
        <w:t>与房产管理有关的地形、地物包括铁路、道路、桥梁、水系和城墙等均应表示。亭、塔、烟囱以及水井、停车场、球场、花圃、草地等可根据需要表示；</w:t>
      </w:r>
    </w:p>
    <w:p>
      <w:pPr>
        <w:pStyle w:val="176"/>
      </w:pPr>
      <w:r>
        <w:t>单位名称只注记区、县级以上和使用面积大于100cm</w:t>
      </w:r>
      <w:r>
        <w:rPr>
          <w:vertAlign w:val="superscript"/>
        </w:rPr>
        <w:t>2</w:t>
      </w:r>
      <w:r>
        <w:t>的单位；</w:t>
      </w:r>
    </w:p>
    <w:p>
      <w:pPr>
        <w:pStyle w:val="176"/>
      </w:pPr>
      <w:r>
        <w:t>地名的总名与分名应用不同的字号分别注记；同一地名的地域、地物，若被线状地物和图廓分割或者不能概括其面积和延伸线范围，应分别标注；</w:t>
      </w:r>
    </w:p>
    <w:p>
      <w:pPr>
        <w:pStyle w:val="176"/>
      </w:pPr>
      <w:r>
        <w:t>图幅的接边误差不超过地物点点位中误差的2√2倍，并应保证相关位置的正确和避免局部位置的变形；</w:t>
      </w:r>
    </w:p>
    <w:p>
      <w:pPr>
        <w:pStyle w:val="176"/>
      </w:pPr>
      <w:r>
        <w:t>分幅图上一般不注图名，如注图名时图廓左上角应加绘图名结合表；</w:t>
      </w:r>
    </w:p>
    <w:p>
      <w:pPr>
        <w:pStyle w:val="176"/>
      </w:pPr>
      <w:r>
        <w:rPr>
          <w:rFonts w:ascii="Calibri" w:hAnsi="Calibri"/>
          <w:kern w:val="2"/>
          <w:szCs w:val="21"/>
        </w:rPr>
        <w:t>分幅图、分丘图上每隔10cm展绘坐标网点，图廓线上坐标网线向内侧绘5.0mm短线，图内绘10.0mm的十字坐标线。</w:t>
      </w:r>
    </w:p>
    <w:p>
      <w:pPr>
        <w:pStyle w:val="107"/>
        <w:spacing w:before="156" w:after="156"/>
      </w:pPr>
      <w:bookmarkStart w:id="133" w:name="_Toc237015160"/>
      <w:bookmarkStart w:id="134" w:name="_Toc405534871"/>
      <w:bookmarkStart w:id="135" w:name="_Toc237470892"/>
      <w:r>
        <w:t>分丘图测绘</w:t>
      </w:r>
      <w:bookmarkEnd w:id="133"/>
      <w:bookmarkEnd w:id="134"/>
      <w:bookmarkEnd w:id="135"/>
    </w:p>
    <w:p>
      <w:pPr>
        <w:pStyle w:val="67"/>
        <w:spacing w:before="156" w:after="156"/>
      </w:pPr>
      <w:bookmarkStart w:id="136" w:name="_Toc404004805"/>
      <w:bookmarkEnd w:id="136"/>
      <w:bookmarkStart w:id="137" w:name="_Toc404085535"/>
      <w:r>
        <w:t>分丘图表示的基本内容</w:t>
      </w:r>
      <w:bookmarkEnd w:id="137"/>
    </w:p>
    <w:p>
      <w:pPr>
        <w:widowControl/>
        <w:adjustRightInd/>
        <w:spacing w:line="240" w:lineRule="auto"/>
        <w:ind w:firstLine="420"/>
        <w:rPr>
          <w:rFonts w:hint="eastAsia" w:ascii="宋体" w:hAnsi="宋体" w:cs="宋体"/>
          <w:kern w:val="0"/>
        </w:rPr>
      </w:pPr>
      <w:r>
        <w:rPr>
          <w:rFonts w:ascii="宋体" w:hAnsi="宋体" w:cs="宋体"/>
          <w:kern w:val="0"/>
        </w:rPr>
        <w:t>分丘图上除表示分幅图的内容外，还应表示房屋权界线、界址点点号、挑廊、阳台、建成年份、用地面积、建筑面积和四至关系等各项房地产要素。参见附录C分丘图示例。</w:t>
      </w:r>
    </w:p>
    <w:p>
      <w:pPr>
        <w:pStyle w:val="67"/>
        <w:spacing w:before="156" w:after="156"/>
      </w:pPr>
      <w:bookmarkStart w:id="138" w:name="_Toc404004806"/>
      <w:bookmarkEnd w:id="138"/>
      <w:bookmarkStart w:id="139" w:name="_Toc404085536"/>
      <w:r>
        <w:t>丘的划分</w:t>
      </w:r>
      <w:bookmarkEnd w:id="139"/>
    </w:p>
    <w:p>
      <w:pPr>
        <w:widowControl/>
        <w:adjustRightInd/>
        <w:spacing w:line="240" w:lineRule="auto"/>
        <w:ind w:firstLine="420"/>
        <w:rPr>
          <w:rFonts w:hint="eastAsia" w:ascii="宋体" w:hAnsi="宋体" w:cs="宋体"/>
          <w:kern w:val="0"/>
        </w:rPr>
      </w:pPr>
      <w:r>
        <w:rPr>
          <w:rFonts w:ascii="宋体" w:hAnsi="宋体" w:cs="宋体"/>
          <w:kern w:val="0"/>
        </w:rPr>
        <w:t>划分丘的基本方法如下：</w:t>
      </w:r>
    </w:p>
    <w:p>
      <w:pPr>
        <w:pStyle w:val="176"/>
        <w:numPr>
          <w:ilvl w:val="0"/>
          <w:numId w:val="44"/>
        </w:numPr>
      </w:pPr>
      <w:r>
        <w:t>房屋用地调查与测绘以丘为单元进行，有固定界标的按固定界标划分，无固定界标的可按自然界线划分；</w:t>
      </w:r>
    </w:p>
    <w:p>
      <w:pPr>
        <w:pStyle w:val="176"/>
      </w:pPr>
      <w:r>
        <w:t>能收集到宗地权属界址点的，以宗地的权属界线划分为独立丘，若宗地范围较大并且分期开发，也可以按各期的范围划分支丘；</w:t>
      </w:r>
    </w:p>
    <w:p>
      <w:pPr>
        <w:pStyle w:val="176"/>
      </w:pPr>
      <w:r>
        <w:t>不能收集到宗地权属界址点的，可按固定界标或自然界线划分丘。自然界线包括：围墙、栅栏、篱笆、铁丝网、河、渠、沟、道路、铁路、公路、街道、城墙、堤坝等。</w:t>
      </w:r>
    </w:p>
    <w:p>
      <w:pPr>
        <w:pStyle w:val="67"/>
        <w:spacing w:before="156" w:after="156"/>
      </w:pPr>
      <w:bookmarkStart w:id="140" w:name="_Toc404004807"/>
      <w:bookmarkEnd w:id="140"/>
      <w:bookmarkStart w:id="141" w:name="_Toc404085537"/>
      <w:r>
        <w:t>丘的编号</w:t>
      </w:r>
      <w:bookmarkEnd w:id="141"/>
    </w:p>
    <w:p>
      <w:pPr>
        <w:pStyle w:val="96"/>
        <w:spacing w:before="156" w:after="156"/>
      </w:pPr>
      <w:r>
        <w:t>编号方法</w:t>
      </w:r>
    </w:p>
    <w:p>
      <w:pPr>
        <w:widowControl/>
        <w:adjustRightInd/>
        <w:spacing w:line="240" w:lineRule="auto"/>
        <w:ind w:firstLine="420"/>
        <w:rPr>
          <w:rFonts w:hint="eastAsia" w:ascii="宋体" w:hAnsi="宋体" w:cs="宋体"/>
          <w:kern w:val="0"/>
        </w:rPr>
      </w:pPr>
      <w:r>
        <w:rPr>
          <w:rFonts w:ascii="宋体" w:hAnsi="宋体" w:cs="宋体"/>
          <w:kern w:val="0"/>
        </w:rPr>
        <w:t>丘的编号按市、市辖区（县）、房产区、房产分区、丘五级编号。其编号方法如下：</w:t>
      </w:r>
    </w:p>
    <w:p>
      <w:pPr>
        <w:pStyle w:val="176"/>
        <w:numPr>
          <w:ilvl w:val="0"/>
          <w:numId w:val="45"/>
        </w:numPr>
      </w:pPr>
      <w:r>
        <w:t>市、市辖区（县）根据JGJ/T 496的规定，以6位自然数字编立；</w:t>
      </w:r>
    </w:p>
    <w:p>
      <w:pPr>
        <w:pStyle w:val="176"/>
      </w:pPr>
      <w:r>
        <w:t>房产区以市行政建制区的街道办事处或镇（乡）的行政辖区，或房地产管理划分的区域为基础划定；</w:t>
      </w:r>
    </w:p>
    <w:p>
      <w:pPr>
        <w:pStyle w:val="176"/>
      </w:pPr>
      <w:r>
        <w:t>房产分区以房产区为单位划分，一般以街坊（由道路、河流等自然界线包围的建筑用地基本结构单元）管理范围划分，以3位自然数字依序编立；</w:t>
      </w:r>
    </w:p>
    <w:p>
      <w:pPr>
        <w:pStyle w:val="176"/>
      </w:pPr>
      <w:r>
        <w:t>丘的编号以房产分区为编号区，从北到南，从西到东采用4位自然数字以反“S”编列，也可结合本地实际情况和需要编列；</w:t>
      </w:r>
    </w:p>
    <w:p>
      <w:pPr>
        <w:widowControl/>
        <w:numPr>
          <w:ilvl w:val="0"/>
          <w:numId w:val="33"/>
        </w:numPr>
        <w:tabs>
          <w:tab w:val="left" w:pos="851"/>
        </w:tabs>
        <w:adjustRightInd/>
        <w:spacing w:line="240" w:lineRule="auto"/>
        <w:rPr>
          <w:rFonts w:ascii="宋体" w:hAnsi="Times New Roman"/>
          <w:kern w:val="0"/>
          <w:szCs w:val="20"/>
        </w:rPr>
      </w:pPr>
      <w:r>
        <w:rPr>
          <w:rFonts w:ascii="宋体" w:hAnsi="Times New Roman"/>
          <w:kern w:val="0"/>
          <w:szCs w:val="20"/>
        </w:rPr>
        <w:t>丘内各用地单元需要再划分时，可以以丘号加支号编立，丘号在前，支号在后，中间用短直线连接。</w:t>
      </w:r>
    </w:p>
    <w:p>
      <w:pPr>
        <w:pStyle w:val="96"/>
        <w:spacing w:before="156" w:after="156"/>
      </w:pPr>
      <w:r>
        <w:t>编号格式</w:t>
      </w:r>
    </w:p>
    <w:p>
      <w:pPr>
        <w:pStyle w:val="58"/>
        <w:ind w:firstLine="420"/>
      </w:pPr>
      <w:r>
        <w:rPr>
          <w:rFonts w:ascii="Calibri" w:hAnsi="Calibri"/>
          <w:kern w:val="2"/>
          <w:szCs w:val="21"/>
        </w:rPr>
        <w:t>编号格式见图3。</w:t>
      </w:r>
    </w:p>
    <w:p>
      <w:pPr>
        <w:pStyle w:val="58"/>
        <w:ind w:firstLine="420"/>
        <w:jc w:val="center"/>
      </w:pPr>
      <w:r>
        <w:drawing>
          <wp:inline distT="0" distB="0" distL="0" distR="0">
            <wp:extent cx="4461510" cy="521335"/>
            <wp:effectExtent l="0" t="0" r="0" b="0"/>
            <wp:docPr id="187410565"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7410565" name="图片 1"/>
                    <pic:cNvPicPr>
                      <a:picLocks noChangeAspect="true"/>
                    </pic:cNvPicPr>
                  </pic:nvPicPr>
                  <pic:blipFill>
                    <a:blip r:embed="rId74"/>
                    <a:stretch>
                      <a:fillRect/>
                    </a:stretch>
                  </pic:blipFill>
                  <pic:spPr>
                    <a:xfrm>
                      <a:off x="0" y="0"/>
                      <a:ext cx="4679830" cy="547331"/>
                    </a:xfrm>
                    <a:prstGeom prst="rect">
                      <a:avLst/>
                    </a:prstGeom>
                  </pic:spPr>
                </pic:pic>
              </a:graphicData>
            </a:graphic>
          </wp:inline>
        </w:drawing>
      </w:r>
    </w:p>
    <w:p>
      <w:pPr>
        <w:pStyle w:val="116"/>
        <w:spacing w:before="156" w:after="156"/>
      </w:pPr>
      <w:r>
        <w:t>编号格式</w:t>
      </w:r>
    </w:p>
    <w:p>
      <w:pPr>
        <w:pStyle w:val="67"/>
        <w:spacing w:before="156" w:after="156"/>
      </w:pPr>
      <w:r>
        <w:t>分丘图的成图规格</w:t>
      </w:r>
    </w:p>
    <w:p>
      <w:pPr>
        <w:pStyle w:val="58"/>
        <w:ind w:firstLine="420"/>
      </w:pPr>
      <w:r>
        <w:t>分丘图的幅面可在 787mm×1092mm 的 1/32～1/4 之间选用；一般采用 1:500 比例尺，根据丘面积的 大小，也可在 1:100～1:2000 之间选用。</w:t>
      </w:r>
    </w:p>
    <w:p>
      <w:pPr>
        <w:pStyle w:val="67"/>
        <w:spacing w:before="156" w:after="156"/>
      </w:pPr>
      <w:bookmarkStart w:id="142" w:name="_Toc404085539"/>
      <w:r>
        <w:t>分丘图的图廓整饰</w:t>
      </w:r>
      <w:bookmarkEnd w:id="142"/>
    </w:p>
    <w:p>
      <w:pPr>
        <w:widowControl/>
        <w:adjustRightInd/>
        <w:spacing w:line="240" w:lineRule="auto"/>
        <w:ind w:firstLine="420"/>
        <w:rPr>
          <w:rFonts w:hint="eastAsia" w:ascii="宋体" w:hAnsi="宋体" w:cs="宋体"/>
          <w:kern w:val="0"/>
        </w:rPr>
      </w:pPr>
      <w:r>
        <w:rPr>
          <w:rFonts w:ascii="宋体" w:hAnsi="宋体" w:cs="宋体"/>
          <w:kern w:val="0"/>
        </w:rPr>
        <w:t>分丘图的图廓位置，根据该丘所在位置确定。图上须标注图廓西南角的坐标值，坐标值以公里数为单位注记至小数后三位。分丘图图廓整饰样式见附录C。</w:t>
      </w:r>
    </w:p>
    <w:p>
      <w:pPr>
        <w:pStyle w:val="67"/>
        <w:spacing w:before="156" w:after="156"/>
      </w:pPr>
      <w:bookmarkStart w:id="143" w:name="_Toc404004810"/>
      <w:bookmarkEnd w:id="143"/>
      <w:bookmarkStart w:id="144" w:name="_Toc404085540"/>
      <w:r>
        <w:t>分丘图的坐标系统</w:t>
      </w:r>
      <w:bookmarkEnd w:id="144"/>
    </w:p>
    <w:p>
      <w:pPr>
        <w:widowControl/>
        <w:adjustRightInd/>
        <w:spacing w:line="240" w:lineRule="auto"/>
        <w:ind w:firstLine="420"/>
        <w:rPr>
          <w:rFonts w:hint="eastAsia" w:ascii="宋体" w:hAnsi="宋体" w:cs="宋体"/>
          <w:kern w:val="0"/>
        </w:rPr>
      </w:pPr>
      <w:r>
        <w:rPr>
          <w:rFonts w:ascii="宋体" w:hAnsi="宋体" w:cs="宋体"/>
          <w:kern w:val="0"/>
        </w:rPr>
        <w:t>应与分幅图的坐标系统一致。</w:t>
      </w:r>
    </w:p>
    <w:p>
      <w:pPr>
        <w:pStyle w:val="67"/>
        <w:spacing w:before="156" w:after="156"/>
      </w:pPr>
      <w:bookmarkStart w:id="145" w:name="_Toc404004811"/>
      <w:bookmarkEnd w:id="145"/>
      <w:bookmarkStart w:id="146" w:name="_Toc404085541"/>
      <w:r>
        <w:t>界址点测量</w:t>
      </w:r>
      <w:bookmarkEnd w:id="146"/>
    </w:p>
    <w:p>
      <w:pPr>
        <w:widowControl/>
        <w:adjustRightInd/>
        <w:spacing w:line="240" w:lineRule="auto"/>
        <w:ind w:firstLine="420"/>
        <w:rPr>
          <w:rFonts w:ascii="宋体" w:hAnsi="Times New Roman"/>
          <w:kern w:val="0"/>
        </w:rPr>
      </w:pPr>
      <w:r>
        <w:rPr>
          <w:rFonts w:ascii="宋体" w:hAnsi="宋体"/>
          <w:kern w:val="0"/>
        </w:rPr>
        <w:t>界址点测量的基本方法如下：</w:t>
      </w:r>
    </w:p>
    <w:p>
      <w:pPr>
        <w:pStyle w:val="176"/>
        <w:numPr>
          <w:ilvl w:val="0"/>
          <w:numId w:val="46"/>
        </w:numPr>
      </w:pPr>
      <w:r>
        <w:t>界址点编号以丘为单位，从西北角开始以“J”开头按自然序号顺时针编排，如J1、J2、…；</w:t>
      </w:r>
    </w:p>
    <w:p>
      <w:pPr>
        <w:pStyle w:val="176"/>
      </w:pPr>
      <w:r>
        <w:t>界址点测量可采用RTK或全站仪测量方法；</w:t>
      </w:r>
    </w:p>
    <w:p>
      <w:pPr>
        <w:pStyle w:val="176"/>
      </w:pPr>
      <w:r>
        <w:t>丘界线可由相邻界址点的解析坐标计算，也可采用钢尺丈量；弧形丘界线，可按折线分段测量、标示；</w:t>
      </w:r>
    </w:p>
    <w:p>
      <w:pPr>
        <w:pStyle w:val="176"/>
      </w:pPr>
      <w:r>
        <w:t>界标地物宜与邻近永久性地物联测。</w:t>
      </w:r>
    </w:p>
    <w:p>
      <w:pPr>
        <w:pStyle w:val="67"/>
        <w:spacing w:before="156" w:after="156"/>
      </w:pPr>
      <w:bookmarkStart w:id="147" w:name="_Toc404004812"/>
      <w:bookmarkEnd w:id="147"/>
      <w:bookmarkStart w:id="148" w:name="_Toc404085542"/>
      <w:r>
        <w:t>丘面积测算</w:t>
      </w:r>
      <w:bookmarkEnd w:id="148"/>
    </w:p>
    <w:p>
      <w:pPr>
        <w:pStyle w:val="96"/>
        <w:spacing w:before="156" w:after="156"/>
      </w:pPr>
      <w:r>
        <w:t>一般要求</w:t>
      </w:r>
    </w:p>
    <w:p>
      <w:pPr>
        <w:widowControl/>
        <w:adjustRightInd/>
        <w:spacing w:line="240" w:lineRule="auto"/>
        <w:ind w:firstLine="420"/>
        <w:rPr>
          <w:rFonts w:hint="eastAsia" w:ascii="宋体" w:hAnsi="宋体" w:cs="宋体"/>
          <w:kern w:val="0"/>
        </w:rPr>
      </w:pPr>
      <w:r>
        <w:rPr>
          <w:rFonts w:ascii="宋体" w:hAnsi="宋体" w:cs="宋体"/>
          <w:kern w:val="0"/>
        </w:rPr>
        <w:t>丘面积测算主要指丘地块面积的测算，面积以平方米为单位，小数保留至0.01m²；丘内房屋占地面积和建筑面积可直接采用房产分层、分户图的数据。</w:t>
      </w:r>
    </w:p>
    <w:p>
      <w:pPr>
        <w:pStyle w:val="96"/>
        <w:spacing w:before="156" w:after="156"/>
      </w:pPr>
      <w:r>
        <w:t>丘面积测算方法</w:t>
      </w:r>
    </w:p>
    <w:p>
      <w:pPr>
        <w:widowControl/>
        <w:adjustRightInd/>
        <w:spacing w:line="240" w:lineRule="auto"/>
        <w:ind w:firstLine="420"/>
        <w:rPr>
          <w:rFonts w:hint="eastAsia" w:ascii="宋体" w:hAnsi="宋体" w:cs="宋体"/>
          <w:kern w:val="0"/>
        </w:rPr>
      </w:pPr>
      <w:r>
        <w:rPr>
          <w:rFonts w:ascii="宋体" w:hAnsi="宋体" w:cs="宋体"/>
          <w:kern w:val="0"/>
        </w:rPr>
        <w:t>丘地块面积测算一般采用坐标解析法，按公式（3）计算：</w:t>
      </w:r>
    </w:p>
    <w:p>
      <w:pPr>
        <w:pStyle w:val="115"/>
        <w:rPr>
          <w:rFonts w:hint="eastAsia"/>
        </w:rPr>
      </w:pPr>
      <w:r>
        <w:rPr>
          <w:rFonts w:hint="eastAsia"/>
        </w:rPr>
        <w:tab/>
      </w:r>
      <m:oMath>
        <m:r>
          <m:rPr>
            <m:sty m:val="p"/>
          </m:rPr>
          <w:rPr>
            <w:rFonts w:ascii="Cambria Math" w:hAnsi="Cambria Math"/>
          </w:rPr>
          <w:drawing>
            <wp:inline distT="0" distB="0" distL="0" distR="0">
              <wp:extent cx="3257550" cy="447675"/>
              <wp:effectExtent l="0" t="0" r="0" b="9525"/>
              <wp:docPr id="11" name="图片 11" descr="C:\Users\jn\AppData\Local\Temp\ksohtml4520\wps19.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C:\Users\jn\AppData\Local\Temp\ksohtml4520\wps19.jpg"/>
                      <pic:cNvPicPr>
                        <a:picLocks noChangeAspect="true" noChangeArrowheads="true"/>
                      </pic:cNvPicPr>
                    </pic:nvPicPr>
                    <pic:blipFill>
                      <a:blip r:embed="rId75">
                        <a:extLst>
                          <a:ext uri="{28A0092B-C50C-407E-A947-70E740481C1C}">
                            <a14:useLocalDpi xmlns:a14="http://schemas.microsoft.com/office/drawing/2010/main" val="false"/>
                          </a:ext>
                        </a:extLst>
                      </a:blip>
                      <a:srcRect/>
                      <a:stretch>
                        <a:fillRect/>
                      </a:stretch>
                    </pic:blipFill>
                    <pic:spPr>
                      <a:xfrm>
                        <a:off x="0" y="0"/>
                        <a:ext cx="3257550" cy="447675"/>
                      </a:xfrm>
                      <a:prstGeom prst="rect">
                        <a:avLst/>
                      </a:prstGeom>
                      <a:noFill/>
                      <a:ln>
                        <a:noFill/>
                      </a:ln>
                    </pic:spPr>
                  </pic:pic>
                </a:graphicData>
              </a:graphic>
            </wp:inline>
          </w:drawing>
        </m:r>
      </m:oMath>
      <w:r>
        <w:rPr>
          <w:rFonts w:hint="eastAsia" w:ascii="微软雅黑" w:hAnsi="微软雅黑" w:eastAsia="微软雅黑"/>
        </w:rPr>
        <w:tab/>
      </w:r>
      <w:r>
        <w:rPr>
          <w:rFonts w:hint="eastAsia"/>
        </w:rPr>
        <w:t>(</w:t>
      </w:r>
      <w:r>
        <w:rPr>
          <w:rFonts w:hint="eastAsia"/>
        </w:rPr>
        <w:fldChar w:fldCharType="begin"/>
      </w:r>
      <w:r>
        <w:rPr>
          <w:rFonts w:hint="eastAsia"/>
        </w:rPr>
        <w:instrText xml:space="preserve"> AUTONUM </w:instrText>
      </w:r>
      <w:r>
        <w:rPr>
          <w:rFonts w:hint="eastAsia"/>
        </w:rPr>
        <w:fldChar w:fldCharType="end"/>
      </w:r>
      <w:r>
        <w:rPr>
          <w:rFonts w:hint="eastAsia"/>
        </w:rPr>
        <w:t>)</w:t>
      </w:r>
    </w:p>
    <w:p>
      <w:pPr>
        <w:pStyle w:val="57"/>
        <w:ind w:firstLine="420"/>
      </w:pPr>
      <w:r>
        <w:rPr>
          <w:rFonts w:hint="eastAsia"/>
        </w:rPr>
        <w:t>式中：</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P</w:t>
      </w:r>
      <w:r>
        <w:rPr>
          <w:rFonts w:ascii="Times New Roman" w:hAnsi="Times New Roman"/>
          <w:kern w:val="0"/>
          <w:szCs w:val="20"/>
        </w:rPr>
        <w:t>——</w:t>
      </w:r>
      <w:r>
        <w:rPr>
          <w:rFonts w:ascii="宋体" w:hAnsi="Times New Roman"/>
          <w:kern w:val="0"/>
          <w:szCs w:val="20"/>
        </w:rPr>
        <w:t>表示丘面积，单位为m²；</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Xi，Yi</w:t>
      </w:r>
      <w:r>
        <w:rPr>
          <w:rFonts w:ascii="Times New Roman" w:hAnsi="Times New Roman"/>
          <w:kern w:val="0"/>
          <w:szCs w:val="20"/>
        </w:rPr>
        <w:t>——</w:t>
      </w:r>
      <w:r>
        <w:rPr>
          <w:rFonts w:ascii="宋体" w:hAnsi="Times New Roman"/>
          <w:kern w:val="0"/>
          <w:szCs w:val="20"/>
        </w:rPr>
        <w:t>表示丘地块第i个界址点纵、横坐标；界址点按顺时针编号，当i＝n时，令i＋1＝1；i＝1时，令i－l＝n；n表示丘地块界址点个数。</w:t>
      </w:r>
    </w:p>
    <w:p>
      <w:pPr>
        <w:pStyle w:val="96"/>
        <w:spacing w:before="156" w:after="156"/>
      </w:pPr>
      <w:r>
        <w:t>丘面积精度</w:t>
      </w:r>
    </w:p>
    <w:p>
      <w:pPr>
        <w:widowControl/>
        <w:adjustRightInd/>
        <w:spacing w:line="240" w:lineRule="auto"/>
        <w:ind w:firstLine="420"/>
        <w:rPr>
          <w:rFonts w:hint="eastAsia" w:ascii="宋体" w:hAnsi="宋体" w:cs="宋体"/>
          <w:kern w:val="0"/>
        </w:rPr>
      </w:pPr>
      <w:r>
        <w:rPr>
          <w:rFonts w:ascii="宋体" w:hAnsi="宋体" w:cs="宋体"/>
          <w:kern w:val="0"/>
        </w:rPr>
        <w:t>丘面积中误差按公式（4）计算：</w:t>
      </w:r>
    </w:p>
    <w:p>
      <w:pPr>
        <w:pStyle w:val="115"/>
        <w:rPr>
          <w:rFonts w:hint="eastAsia"/>
        </w:rPr>
      </w:pPr>
      <w:r>
        <w:rPr>
          <w:rFonts w:hint="eastAsia"/>
        </w:rPr>
        <w:tab/>
      </w:r>
      <m:oMath>
        <m:r>
          <w:rPr>
            <w:rFonts w:ascii="Cambria Math" w:hAnsi="Cambria Math"/>
          </w:rPr>
          <w:drawing>
            <wp:inline distT="0" distB="0" distL="0" distR="0">
              <wp:extent cx="1466850" cy="390525"/>
              <wp:effectExtent l="0" t="0" r="0" b="9525"/>
              <wp:docPr id="18" name="图片 18" descr="C:\Users\jn\AppData\Local\Temp\ksohtml4520\wps20.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descr="C:\Users\jn\AppData\Local\Temp\ksohtml4520\wps20.jpg"/>
                      <pic:cNvPicPr>
                        <a:picLocks noChangeAspect="true" noChangeArrowheads="true"/>
                      </pic:cNvPicPr>
                    </pic:nvPicPr>
                    <pic:blipFill>
                      <a:blip r:embed="rId76">
                        <a:extLst>
                          <a:ext uri="{28A0092B-C50C-407E-A947-70E740481C1C}">
                            <a14:useLocalDpi xmlns:a14="http://schemas.microsoft.com/office/drawing/2010/main" val="false"/>
                          </a:ext>
                        </a:extLst>
                      </a:blip>
                      <a:srcRect/>
                      <a:stretch>
                        <a:fillRect/>
                      </a:stretch>
                    </pic:blipFill>
                    <pic:spPr>
                      <a:xfrm>
                        <a:off x="0" y="0"/>
                        <a:ext cx="1466850" cy="390525"/>
                      </a:xfrm>
                      <a:prstGeom prst="rect">
                        <a:avLst/>
                      </a:prstGeom>
                      <a:noFill/>
                      <a:ln>
                        <a:noFill/>
                      </a:ln>
                    </pic:spPr>
                  </pic:pic>
                </a:graphicData>
              </a:graphic>
            </wp:inline>
          </w:drawing>
        </m:r>
      </m:oMath>
      <w:r>
        <w:rPr>
          <w:rFonts w:hint="eastAsia" w:ascii="微软雅黑" w:hAnsi="微软雅黑" w:eastAsia="微软雅黑"/>
        </w:rPr>
        <w:tab/>
      </w:r>
      <w:r>
        <w:t>(</w:t>
      </w:r>
      <w:r>
        <w:fldChar w:fldCharType="begin"/>
      </w:r>
      <w:r>
        <w:instrText xml:space="preserve"> AUTONUM </w:instrText>
      </w:r>
      <w:r>
        <w:fldChar w:fldCharType="end"/>
      </w:r>
      <w:r>
        <w:t>)</w:t>
      </w:r>
    </w:p>
    <w:p>
      <w:pPr>
        <w:pStyle w:val="57"/>
        <w:ind w:firstLine="420"/>
      </w:pPr>
      <w:r>
        <w:rPr>
          <w:rFonts w:hint="eastAsia"/>
        </w:rPr>
        <w:t>式中：</w:t>
      </w:r>
    </w:p>
    <w:p>
      <w:pPr>
        <w:widowControl/>
        <w:autoSpaceDE w:val="0"/>
        <w:autoSpaceDN w:val="0"/>
        <w:adjustRightInd/>
        <w:spacing w:line="240" w:lineRule="auto"/>
        <w:ind w:firstLine="480" w:firstLineChars="200"/>
        <w:rPr>
          <w:rFonts w:ascii="宋体" w:hAnsi="Times New Roman"/>
          <w:kern w:val="0"/>
          <w:szCs w:val="20"/>
        </w:rPr>
      </w:pPr>
      <w:r>
        <w:rPr>
          <w:rFonts w:ascii="宋体" w:hAnsi="Times New Roman"/>
          <w:kern w:val="0"/>
          <w:sz w:val="24"/>
          <w:szCs w:val="24"/>
        </w:rPr>
        <w:t>m</w:t>
      </w:r>
      <w:r>
        <w:rPr>
          <w:rFonts w:ascii="宋体" w:hAnsi="Times New Roman"/>
          <w:kern w:val="0"/>
          <w:sz w:val="24"/>
          <w:szCs w:val="24"/>
          <w:vertAlign w:val="subscript"/>
        </w:rPr>
        <w:t xml:space="preserve">s </w:t>
      </w:r>
      <w:r>
        <w:rPr>
          <w:rFonts w:ascii="Times New Roman" w:hAnsi="Times New Roman"/>
          <w:kern w:val="0"/>
          <w:szCs w:val="20"/>
        </w:rPr>
        <w:t>——</w:t>
      </w:r>
      <w:r>
        <w:rPr>
          <w:rFonts w:ascii="宋体" w:hAnsi="Times New Roman"/>
          <w:kern w:val="0"/>
          <w:szCs w:val="20"/>
        </w:rPr>
        <w:t>表示面积中误差，单位为m²；</w:t>
      </w:r>
    </w:p>
    <w:p>
      <w:pPr>
        <w:widowControl/>
        <w:autoSpaceDE w:val="0"/>
        <w:autoSpaceDN w:val="0"/>
        <w:adjustRightInd/>
        <w:spacing w:line="240" w:lineRule="auto"/>
        <w:ind w:firstLine="480" w:firstLineChars="200"/>
        <w:rPr>
          <w:rFonts w:ascii="宋体" w:hAnsi="Times New Roman"/>
          <w:kern w:val="0"/>
          <w:szCs w:val="20"/>
        </w:rPr>
      </w:pPr>
      <w:r>
        <w:rPr>
          <w:rFonts w:ascii="宋体" w:hAnsi="Times New Roman"/>
          <w:kern w:val="0"/>
          <w:sz w:val="24"/>
          <w:szCs w:val="24"/>
        </w:rPr>
        <w:t>m</w:t>
      </w:r>
      <w:r>
        <w:rPr>
          <w:rFonts w:ascii="宋体" w:hAnsi="Times New Roman"/>
          <w:kern w:val="0"/>
          <w:sz w:val="24"/>
          <w:szCs w:val="24"/>
          <w:vertAlign w:val="subscript"/>
        </w:rPr>
        <w:t xml:space="preserve">j </w:t>
      </w:r>
      <w:r>
        <w:rPr>
          <w:rFonts w:ascii="Times New Roman" w:hAnsi="Times New Roman"/>
          <w:kern w:val="0"/>
          <w:szCs w:val="20"/>
        </w:rPr>
        <w:t>——</w:t>
      </w:r>
      <w:r>
        <w:rPr>
          <w:rFonts w:ascii="宋体" w:hAnsi="Times New Roman"/>
          <w:kern w:val="0"/>
          <w:szCs w:val="20"/>
        </w:rPr>
        <w:t>表示相应等级界址点点位中误差，单位为m；</w:t>
      </w:r>
    </w:p>
    <w:p>
      <w:pPr>
        <w:widowControl/>
        <w:autoSpaceDE w:val="0"/>
        <w:autoSpaceDN w:val="0"/>
        <w:adjustRightInd/>
        <w:spacing w:line="240" w:lineRule="auto"/>
        <w:ind w:firstLine="480" w:firstLineChars="200"/>
        <w:rPr>
          <w:rFonts w:ascii="宋体" w:hAnsi="Times New Roman"/>
          <w:kern w:val="0"/>
          <w:szCs w:val="20"/>
        </w:rPr>
      </w:pPr>
      <w:r>
        <w:rPr>
          <w:rFonts w:ascii="宋体" w:hAnsi="Times New Roman"/>
          <w:kern w:val="0"/>
          <w:sz w:val="24"/>
          <w:szCs w:val="24"/>
        </w:rPr>
        <w:t>D</w:t>
      </w:r>
      <w:r>
        <w:rPr>
          <w:rFonts w:ascii="宋体" w:hAnsi="Times New Roman"/>
          <w:kern w:val="0"/>
          <w:sz w:val="24"/>
          <w:szCs w:val="24"/>
          <w:vertAlign w:val="subscript"/>
        </w:rPr>
        <w:t xml:space="preserve">i-1，i+1 </w:t>
      </w:r>
      <w:r>
        <w:rPr>
          <w:rFonts w:ascii="Times New Roman" w:hAnsi="Times New Roman"/>
          <w:kern w:val="0"/>
          <w:szCs w:val="20"/>
        </w:rPr>
        <w:t>——</w:t>
      </w:r>
      <w:r>
        <w:rPr>
          <w:rFonts w:ascii="宋体" w:hAnsi="Times New Roman"/>
          <w:kern w:val="0"/>
          <w:szCs w:val="20"/>
        </w:rPr>
        <w:t>表示多边形中对角线长度，单位为m。</w:t>
      </w:r>
    </w:p>
    <w:p>
      <w:pPr>
        <w:pStyle w:val="67"/>
        <w:spacing w:before="156" w:after="156"/>
      </w:pPr>
      <w:bookmarkStart w:id="149" w:name="_Toc404085543"/>
      <w:r>
        <w:t>分丘图绘制的要素取舍与表示方法</w:t>
      </w:r>
      <w:bookmarkEnd w:id="149"/>
    </w:p>
    <w:p>
      <w:pPr>
        <w:widowControl/>
        <w:adjustRightInd/>
        <w:spacing w:line="240" w:lineRule="auto"/>
        <w:ind w:firstLine="420"/>
        <w:rPr>
          <w:rFonts w:hint="eastAsia" w:ascii="宋体" w:hAnsi="宋体" w:cs="宋体"/>
          <w:kern w:val="0"/>
        </w:rPr>
      </w:pPr>
      <w:r>
        <w:rPr>
          <w:rFonts w:ascii="宋体" w:hAnsi="宋体" w:cs="宋体"/>
          <w:kern w:val="0"/>
        </w:rPr>
        <w:t>分丘图内要素取舍与表示除了与分幅图的规定一致外，还应增加如下内容：</w:t>
      </w:r>
    </w:p>
    <w:p>
      <w:pPr>
        <w:pStyle w:val="176"/>
        <w:numPr>
          <w:ilvl w:val="0"/>
          <w:numId w:val="47"/>
        </w:numPr>
      </w:pPr>
      <w:r>
        <w:t>界址点点间的边长；</w:t>
      </w:r>
    </w:p>
    <w:p>
      <w:pPr>
        <w:pStyle w:val="176"/>
      </w:pPr>
      <w:r>
        <w:t>丘内房屋占地面积和建筑面积；</w:t>
      </w:r>
    </w:p>
    <w:p>
      <w:pPr>
        <w:pStyle w:val="176"/>
      </w:pPr>
      <w:r>
        <w:t>房屋的建筑年份、房屋西南角（点）坐标、房屋边长尺寸以及阳台、廊等房屋附属建筑尺寸。房屋西南角（点）坐标标注采用分数形式，X坐标为分子，Y坐标为分母，坐标均取至小数点后两位；</w:t>
      </w:r>
    </w:p>
    <w:p>
      <w:pPr>
        <w:pStyle w:val="176"/>
      </w:pPr>
      <w:r>
        <w:t>地下室。地下室的范围采用0.1mm的粗虚线表示，当其图示范围与建筑物重叠时，将地下室范围线向内平移0.2mm进行表示。地下室房屋层数参照地上自然层表示方法，用01、02、……等表示地下总层数，同时在地下室范围内标注“地下室”；</w:t>
      </w:r>
    </w:p>
    <w:p>
      <w:pPr>
        <w:pStyle w:val="176"/>
      </w:pPr>
      <w:r>
        <w:t>分丘图相邻关系的表示。分丘图上，应分别注明周邻所有产权单位（法人）或街道的名称，各种注记的字头应朝北或朝西。</w:t>
      </w:r>
    </w:p>
    <w:p>
      <w:pPr>
        <w:pStyle w:val="106"/>
        <w:spacing w:before="312" w:after="312"/>
      </w:pPr>
      <w:bookmarkStart w:id="150" w:name="_Toc406061437"/>
      <w:bookmarkEnd w:id="150"/>
      <w:bookmarkStart w:id="151" w:name="_Toc404004814"/>
      <w:bookmarkEnd w:id="151"/>
      <w:bookmarkStart w:id="152" w:name="_Toc405534872"/>
      <w:bookmarkEnd w:id="152"/>
      <w:bookmarkStart w:id="153" w:name="_Toc404085544"/>
      <w:bookmarkStart w:id="154" w:name="_Toc237015161"/>
      <w:bookmarkStart w:id="155" w:name="_Toc237470893"/>
      <w:r>
        <w:t>分层分户测绘</w:t>
      </w:r>
      <w:bookmarkEnd w:id="153"/>
      <w:bookmarkEnd w:id="154"/>
      <w:bookmarkEnd w:id="155"/>
    </w:p>
    <w:p>
      <w:pPr>
        <w:pStyle w:val="107"/>
        <w:spacing w:before="156" w:after="156"/>
      </w:pPr>
      <w:bookmarkStart w:id="156" w:name="_Toc404004815"/>
      <w:bookmarkEnd w:id="156"/>
      <w:bookmarkStart w:id="157" w:name="_Toc404085545"/>
      <w:bookmarkEnd w:id="157"/>
      <w:bookmarkStart w:id="158" w:name="_Toc405534873"/>
      <w:bookmarkEnd w:id="158"/>
      <w:bookmarkStart w:id="159" w:name="_Toc406061438"/>
      <w:bookmarkStart w:id="160" w:name="_Toc237015162"/>
      <w:bookmarkStart w:id="161" w:name="_Toc237470894"/>
      <w:r>
        <w:t>一般规定</w:t>
      </w:r>
      <w:bookmarkEnd w:id="159"/>
      <w:bookmarkEnd w:id="160"/>
      <w:bookmarkEnd w:id="161"/>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分层分户测绘应满足以下要求：</w:t>
      </w:r>
    </w:p>
    <w:p>
      <w:pPr>
        <w:pStyle w:val="176"/>
        <w:numPr>
          <w:ilvl w:val="0"/>
          <w:numId w:val="48"/>
        </w:numPr>
      </w:pPr>
      <w:r>
        <w:t>分层测绘应对一幢房屋及其各层的边长、面积等基础数据进行采集、计算，应全面反映一幢房屋及其各层的位置、范围等基本状况；</w:t>
      </w:r>
    </w:p>
    <w:p>
      <w:pPr>
        <w:pStyle w:val="176"/>
      </w:pPr>
      <w:r>
        <w:t>分户测绘应以幢为单位，对各基本单元的边长、面积、共有情况等基础数据采集、测绘以及分摊计算，应反映各基本单元的位置、范围、面积等状况；</w:t>
      </w:r>
    </w:p>
    <w:p>
      <w:pPr>
        <w:pStyle w:val="176"/>
      </w:pPr>
      <w:r>
        <w:t>整幢为一个基本单元的房屋，只进行分层测绘；整幢为多个基本单元的房屋，应进行分层和分户测绘；</w:t>
      </w:r>
    </w:p>
    <w:p>
      <w:pPr>
        <w:pStyle w:val="176"/>
      </w:pPr>
      <w:r>
        <w:t>分层、分户测绘边长精度参照本规程4.4.4房产界址点精度要求执行。</w:t>
      </w:r>
    </w:p>
    <w:p>
      <w:pPr>
        <w:pStyle w:val="107"/>
        <w:spacing w:before="156" w:after="156"/>
      </w:pPr>
      <w:bookmarkStart w:id="162" w:name="_Toc405534874"/>
      <w:bookmarkEnd w:id="162"/>
      <w:bookmarkStart w:id="163" w:name="_Toc404004816"/>
      <w:bookmarkEnd w:id="163"/>
      <w:bookmarkStart w:id="164" w:name="_Toc406061439"/>
      <w:bookmarkEnd w:id="164"/>
      <w:bookmarkStart w:id="165" w:name="_Toc404085546"/>
      <w:bookmarkStart w:id="166" w:name="_Toc237015163"/>
      <w:bookmarkStart w:id="167" w:name="_Toc237470895"/>
      <w:r>
        <w:t>房屋幢的划分</w:t>
      </w:r>
      <w:bookmarkEnd w:id="165"/>
      <w:bookmarkEnd w:id="166"/>
      <w:bookmarkEnd w:id="167"/>
    </w:p>
    <w:p>
      <w:pPr>
        <w:widowControl/>
        <w:adjustRightInd/>
        <w:spacing w:line="240" w:lineRule="auto"/>
        <w:ind w:firstLine="420"/>
        <w:rPr>
          <w:rFonts w:hint="eastAsia" w:ascii="宋体" w:hAnsi="宋体" w:cs="宋体"/>
          <w:kern w:val="0"/>
        </w:rPr>
      </w:pPr>
      <w:r>
        <w:rPr>
          <w:rFonts w:ascii="宋体" w:hAnsi="宋体" w:cs="宋体"/>
          <w:kern w:val="0"/>
        </w:rPr>
        <w:t>幢是房屋调查、测绘、面积计算的基本单元。根据房屋现状，结合设计平面图的设计情况，独立结构、独立建筑且独立使用的房屋可划为一幢，包括地上和地下部分不同结构、不同层次的房屋。一般按下面几种情况划分：</w:t>
      </w:r>
    </w:p>
    <w:p>
      <w:pPr>
        <w:pStyle w:val="176"/>
        <w:numPr>
          <w:ilvl w:val="0"/>
          <w:numId w:val="49"/>
        </w:numPr>
      </w:pPr>
      <w:r>
        <w:t>建筑主体毗连的居民自建房屋，各自独立使用，且内部无公共用房，结构上能够区分的，可以分幢；</w:t>
      </w:r>
    </w:p>
    <w:p>
      <w:pPr>
        <w:pStyle w:val="176"/>
      </w:pPr>
      <w:r>
        <w:t>底层（或多层）为一整体，底层（或多层）上有1个或多个塔楼式的房屋，整体划为一幢。如</w:t>
      </w:r>
      <w:r>
        <w:rPr>
          <w:color w:val="000000"/>
        </w:rPr>
        <w:t>图4所</w:t>
      </w:r>
      <w:r>
        <w:t>示；</w:t>
      </w:r>
    </w:p>
    <w:p>
      <w:pPr>
        <w:widowControl/>
        <w:adjustRightInd/>
        <w:spacing w:line="240" w:lineRule="auto"/>
        <w:ind w:left="851"/>
        <w:jc w:val="center"/>
        <w:rPr>
          <w:rFonts w:ascii="宋体" w:hAnsi="Times New Roman"/>
        </w:rPr>
      </w:pPr>
      <w:r>
        <w:rPr>
          <w:rFonts w:ascii="宋体" w:hAnsi="Times New Roman"/>
          <w:kern w:val="0"/>
          <w:szCs w:val="20"/>
        </w:rPr>
        <w:drawing>
          <wp:inline distT="0" distB="0" distL="0" distR="0">
            <wp:extent cx="2286000" cy="1866900"/>
            <wp:effectExtent l="0" t="0" r="0" b="0"/>
            <wp:docPr id="23" name="图片 23" descr="C:\Users\jn\AppData\Local\Temp\ksohtml4520\wps21.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3" descr="C:\Users\jn\AppData\Local\Temp\ksohtml4520\wps21.jpg"/>
                    <pic:cNvPicPr>
                      <a:picLocks noChangeAspect="true" noChangeArrowheads="true"/>
                    </pic:cNvPicPr>
                  </pic:nvPicPr>
                  <pic:blipFill>
                    <a:blip r:embed="rId77">
                      <a:extLst>
                        <a:ext uri="{28A0092B-C50C-407E-A947-70E740481C1C}">
                          <a14:useLocalDpi xmlns:a14="http://schemas.microsoft.com/office/drawing/2010/main" val="false"/>
                        </a:ext>
                      </a:extLst>
                    </a:blip>
                    <a:srcRect/>
                    <a:stretch>
                      <a:fillRect/>
                    </a:stretch>
                  </pic:blipFill>
                  <pic:spPr>
                    <a:xfrm>
                      <a:off x="0" y="0"/>
                      <a:ext cx="2286000" cy="1866900"/>
                    </a:xfrm>
                    <a:prstGeom prst="rect">
                      <a:avLst/>
                    </a:prstGeom>
                    <a:noFill/>
                    <a:ln>
                      <a:noFill/>
                    </a:ln>
                  </pic:spPr>
                </pic:pic>
              </a:graphicData>
            </a:graphic>
          </wp:inline>
        </w:drawing>
      </w:r>
    </w:p>
    <w:p>
      <w:pPr>
        <w:pStyle w:val="116"/>
        <w:spacing w:before="156" w:after="156"/>
      </w:pPr>
      <w:r>
        <w:t>幢划分示例1</w:t>
      </w:r>
    </w:p>
    <w:p>
      <w:pPr>
        <w:pStyle w:val="176"/>
      </w:pPr>
      <w:r>
        <w:t>多个独立的楼房，与利用楼房间的隙地建造的房屋以伸缩缝形式连在一起，且相互贯通，其独立的楼房和隙地上建造的房屋划为一幢；若相互不贯通，其独立的楼房和隙地上建造的房屋应分别分幢。如图5所示；</w:t>
      </w:r>
    </w:p>
    <w:p>
      <w:pPr>
        <w:widowControl/>
        <w:adjustRightInd/>
        <w:spacing w:line="240" w:lineRule="auto"/>
        <w:jc w:val="center"/>
        <w:rPr>
          <w:rFonts w:hint="eastAsia" w:ascii="宋体" w:hAnsi="宋体"/>
          <w:kern w:val="0"/>
          <w:sz w:val="24"/>
          <w:szCs w:val="24"/>
        </w:rPr>
      </w:pPr>
      <w:r>
        <w:rPr>
          <w:rFonts w:ascii="Times New Roman" w:hAnsi="Times New Roman"/>
          <w:kern w:val="0"/>
        </w:rPr>
        <w:drawing>
          <wp:inline distT="0" distB="0" distL="0" distR="0">
            <wp:extent cx="4572000" cy="1676400"/>
            <wp:effectExtent l="0" t="0" r="0" b="0"/>
            <wp:docPr id="24" name="图片 24" descr="C:\Users\jn\AppData\Local\Temp\ksohtml4520\wps22.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24" descr="C:\Users\jn\AppData\Local\Temp\ksohtml4520\wps22.jpg"/>
                    <pic:cNvPicPr>
                      <a:picLocks noChangeAspect="true" noChangeArrowheads="true"/>
                    </pic:cNvPicPr>
                  </pic:nvPicPr>
                  <pic:blipFill>
                    <a:blip r:embed="rId78">
                      <a:extLst>
                        <a:ext uri="{28A0092B-C50C-407E-A947-70E740481C1C}">
                          <a14:useLocalDpi xmlns:a14="http://schemas.microsoft.com/office/drawing/2010/main" val="false"/>
                        </a:ext>
                      </a:extLst>
                    </a:blip>
                    <a:srcRect/>
                    <a:stretch>
                      <a:fillRect/>
                    </a:stretch>
                  </pic:blipFill>
                  <pic:spPr>
                    <a:xfrm>
                      <a:off x="0" y="0"/>
                      <a:ext cx="4572000" cy="1676400"/>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rPr>
          <w:rFonts w:hint="eastAsia" w:hAnsi="黑体"/>
        </w:rPr>
      </w:pPr>
      <w:r>
        <w:t>幢划分示例2</w:t>
      </w:r>
    </w:p>
    <w:p>
      <w:pPr>
        <w:pStyle w:val="176"/>
        <w:rPr>
          <w:color w:val="000000"/>
        </w:rPr>
      </w:pPr>
      <w:r>
        <w:t>地上各幢彼此独立，地下部分相互贯通的房屋，地下部分视为独立一幢，地面上独立的房屋划分为多幢</w:t>
      </w:r>
      <w:r>
        <w:rPr>
          <w:color w:val="000000"/>
        </w:rPr>
        <w:t>。如图6所示；</w:t>
      </w:r>
    </w:p>
    <w:p>
      <w:pPr>
        <w:pStyle w:val="176"/>
        <w:rPr>
          <w:color w:val="000000"/>
        </w:rPr>
      </w:pPr>
      <w:r>
        <w:rPr>
          <w:color w:val="000000"/>
        </w:rPr>
        <w:t>独立使用的房屋以连廊或架空通廊相连，其独立房屋可分别分幢，连廊（或架空通廊）视为一幢，面积独立计算。如图7、图8所示；</w:t>
      </w:r>
    </w:p>
    <w:p>
      <w:pPr>
        <w:widowControl/>
        <w:adjustRightInd/>
        <w:spacing w:line="240" w:lineRule="auto"/>
        <w:jc w:val="center"/>
        <w:rPr>
          <w:rFonts w:hint="eastAsia" w:ascii="宋体" w:hAnsi="宋体"/>
          <w:color w:val="000000"/>
          <w:kern w:val="0"/>
        </w:rPr>
      </w:pPr>
      <w:r>
        <w:rPr>
          <w:rFonts w:ascii="Times New Roman" w:hAnsi="Times New Roman"/>
          <w:kern w:val="0"/>
        </w:rPr>
        <w:drawing>
          <wp:inline distT="0" distB="0" distL="0" distR="0">
            <wp:extent cx="2971800" cy="1924050"/>
            <wp:effectExtent l="0" t="0" r="0" b="0"/>
            <wp:docPr id="25" name="图片 25" descr="C:\Users\jn\AppData\Local\Temp\ksohtml4520\wps23.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25" descr="C:\Users\jn\AppData\Local\Temp\ksohtml4520\wps23.jpg"/>
                    <pic:cNvPicPr>
                      <a:picLocks noChangeAspect="true" noChangeArrowheads="true"/>
                    </pic:cNvPicPr>
                  </pic:nvPicPr>
                  <pic:blipFill>
                    <a:blip r:embed="rId79">
                      <a:extLst>
                        <a:ext uri="{28A0092B-C50C-407E-A947-70E740481C1C}">
                          <a14:useLocalDpi xmlns:a14="http://schemas.microsoft.com/office/drawing/2010/main" val="false"/>
                        </a:ext>
                      </a:extLst>
                    </a:blip>
                    <a:srcRect/>
                    <a:stretch>
                      <a:fillRect/>
                    </a:stretch>
                  </pic:blipFill>
                  <pic:spPr>
                    <a:xfrm>
                      <a:off x="0" y="0"/>
                      <a:ext cx="2971800" cy="1924050"/>
                    </a:xfrm>
                    <a:prstGeom prst="rect">
                      <a:avLst/>
                    </a:prstGeom>
                    <a:noFill/>
                    <a:ln>
                      <a:noFill/>
                    </a:ln>
                  </pic:spPr>
                </pic:pic>
              </a:graphicData>
            </a:graphic>
          </wp:inline>
        </w:drawing>
      </w:r>
      <w:r>
        <w:rPr>
          <w:rFonts w:ascii="宋体" w:hAnsi="宋体"/>
          <w:color w:val="000000"/>
          <w:kern w:val="0"/>
        </w:rPr>
        <w:t xml:space="preserve"> </w:t>
      </w:r>
    </w:p>
    <w:p>
      <w:pPr>
        <w:pStyle w:val="116"/>
        <w:spacing w:before="156" w:after="156"/>
        <w:rPr>
          <w:rFonts w:hint="eastAsia" w:hAnsi="黑体"/>
        </w:rPr>
      </w:pPr>
      <w:r>
        <w:t>幢划分示例3</w:t>
      </w:r>
    </w:p>
    <w:p>
      <w:pPr>
        <w:widowControl/>
        <w:adjustRightInd/>
        <w:spacing w:line="240" w:lineRule="auto"/>
        <w:jc w:val="center"/>
        <w:rPr>
          <w:rFonts w:hint="eastAsia" w:ascii="宋体" w:hAnsi="宋体"/>
          <w:color w:val="000000"/>
          <w:kern w:val="0"/>
          <w:sz w:val="24"/>
          <w:szCs w:val="24"/>
        </w:rPr>
      </w:pPr>
      <w:r>
        <w:rPr>
          <w:rFonts w:ascii="Times New Roman" w:hAnsi="Times New Roman"/>
          <w:kern w:val="0"/>
        </w:rPr>
        <w:drawing>
          <wp:inline distT="0" distB="0" distL="0" distR="0">
            <wp:extent cx="2438400" cy="2124075"/>
            <wp:effectExtent l="0" t="0" r="0" b="9525"/>
            <wp:docPr id="26" name="图片 26" descr="C:\Users\jn\AppData\Local\Temp\ksohtml4520\wps24.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descr="C:\Users\jn\AppData\Local\Temp\ksohtml4520\wps24.jpg"/>
                    <pic:cNvPicPr>
                      <a:picLocks noChangeAspect="true" noChangeArrowheads="true"/>
                    </pic:cNvPicPr>
                  </pic:nvPicPr>
                  <pic:blipFill>
                    <a:blip r:embed="rId80">
                      <a:extLst>
                        <a:ext uri="{28A0092B-C50C-407E-A947-70E740481C1C}">
                          <a14:useLocalDpi xmlns:a14="http://schemas.microsoft.com/office/drawing/2010/main" val="false"/>
                        </a:ext>
                      </a:extLst>
                    </a:blip>
                    <a:srcRect/>
                    <a:stretch>
                      <a:fillRect/>
                    </a:stretch>
                  </pic:blipFill>
                  <pic:spPr>
                    <a:xfrm>
                      <a:off x="0" y="0"/>
                      <a:ext cx="2438400" cy="2124075"/>
                    </a:xfrm>
                    <a:prstGeom prst="rect">
                      <a:avLst/>
                    </a:prstGeom>
                    <a:noFill/>
                    <a:ln>
                      <a:noFill/>
                    </a:ln>
                  </pic:spPr>
                </pic:pic>
              </a:graphicData>
            </a:graphic>
          </wp:inline>
        </w:drawing>
      </w:r>
      <w:r>
        <w:rPr>
          <w:rFonts w:ascii="宋体" w:hAnsi="宋体"/>
          <w:color w:val="000000"/>
          <w:kern w:val="0"/>
          <w:sz w:val="24"/>
          <w:szCs w:val="24"/>
        </w:rPr>
        <w:t xml:space="preserve"> </w:t>
      </w:r>
    </w:p>
    <w:p>
      <w:pPr>
        <w:pStyle w:val="116"/>
        <w:spacing w:before="156" w:after="156"/>
        <w:rPr>
          <w:rFonts w:hint="eastAsia" w:hAnsi="黑体"/>
        </w:rPr>
      </w:pPr>
      <w:r>
        <w:t>幢划分示例4</w:t>
      </w:r>
    </w:p>
    <w:p>
      <w:pPr>
        <w:widowControl/>
        <w:autoSpaceDE w:val="0"/>
        <w:autoSpaceDN w:val="0"/>
        <w:adjustRightInd/>
        <w:spacing w:line="240" w:lineRule="auto"/>
        <w:ind w:firstLine="560" w:firstLineChars="200"/>
        <w:jc w:val="center"/>
        <w:rPr>
          <w:rFonts w:hint="eastAsia" w:ascii="宋体" w:hAnsi="宋体" w:cs="宋体"/>
          <w:kern w:val="0"/>
          <w:sz w:val="28"/>
          <w:szCs w:val="28"/>
          <w:lang w:eastAsia="en-US" w:bidi="en-US"/>
        </w:rPr>
      </w:pPr>
      <w:r>
        <w:rPr>
          <w:rFonts w:ascii="宋体" w:hAnsi="宋体" w:cs="宋体"/>
          <w:kern w:val="0"/>
          <w:sz w:val="28"/>
          <w:szCs w:val="28"/>
          <w:lang w:eastAsia="en-US" w:bidi="en-US"/>
        </w:rPr>
        <w:fldChar w:fldCharType="begin"/>
      </w:r>
      <w:r>
        <w:instrText xml:space="preserve"> INCLUDEPICTURE "../Downloads/" \* MERGEFORMAT </w:instrText>
      </w:r>
      <w:r>
        <w:rPr>
          <w:rFonts w:ascii="宋体" w:hAnsi="宋体" w:cs="宋体"/>
          <w:kern w:val="0"/>
          <w:sz w:val="28"/>
          <w:szCs w:val="28"/>
          <w:lang w:eastAsia="en-US" w:bidi="en-US"/>
        </w:rPr>
        <w:fldChar w:fldCharType="separate"/>
      </w:r>
      <w:r>
        <w:rPr>
          <w:rFonts w:ascii="宋体" w:hAnsi="宋体" w:cs="宋体"/>
          <w:kern w:val="0"/>
          <w:sz w:val="28"/>
          <w:szCs w:val="28"/>
        </w:rPr>
        <w:drawing>
          <wp:inline distT="0" distB="0" distL="114300" distR="114300">
            <wp:extent cx="3295650" cy="1780540"/>
            <wp:effectExtent l="0" t="0" r="0" b="10160"/>
            <wp:docPr id="40"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true"/>
                    </pic:cNvPicPr>
                  </pic:nvPicPr>
                  <pic:blipFill>
                    <a:blip r:embed="rId81" r:link="rId82"/>
                    <a:srcRect b="16888"/>
                    <a:stretch>
                      <a:fillRect/>
                    </a:stretch>
                  </pic:blipFill>
                  <pic:spPr>
                    <a:xfrm>
                      <a:off x="0" y="0"/>
                      <a:ext cx="3295650" cy="1780540"/>
                    </a:xfrm>
                    <a:prstGeom prst="rect">
                      <a:avLst/>
                    </a:prstGeom>
                    <a:noFill/>
                    <a:ln>
                      <a:noFill/>
                    </a:ln>
                  </pic:spPr>
                </pic:pic>
              </a:graphicData>
            </a:graphic>
          </wp:inline>
        </w:drawing>
      </w:r>
      <w:r>
        <w:rPr>
          <w:rFonts w:ascii="宋体" w:hAnsi="宋体" w:cs="宋体"/>
          <w:kern w:val="0"/>
          <w:sz w:val="28"/>
          <w:szCs w:val="28"/>
          <w:lang w:eastAsia="en-US" w:bidi="en-US"/>
        </w:rPr>
        <w:fldChar w:fldCharType="end"/>
      </w:r>
    </w:p>
    <w:p>
      <w:pPr>
        <w:pStyle w:val="116"/>
        <w:spacing w:before="156" w:after="156"/>
        <w:rPr>
          <w:rFonts w:hint="eastAsia" w:hAnsi="黑体"/>
        </w:rPr>
      </w:pPr>
      <w:r>
        <w:t>幢划分示例5</w:t>
      </w:r>
    </w:p>
    <w:p>
      <w:pPr>
        <w:pStyle w:val="176"/>
      </w:pPr>
      <w:r>
        <w:t>房屋建成后进行改建、扩建的，应按照改建、扩建后形成的建筑形式进行分幢；</w:t>
      </w:r>
    </w:p>
    <w:p>
      <w:pPr>
        <w:pStyle w:val="176"/>
      </w:pPr>
      <w:r>
        <w:t>针对多期建设的相互贯通的地下室，原则上待全部竣工后按一栋房屋的面积计算；若确需分期测量和面积计算的，各期建设开发的地下室在有对应的规划许可证，且有单独进出口的条下，则可按分期分幢；</w:t>
      </w:r>
    </w:p>
    <w:p>
      <w:pPr>
        <w:pStyle w:val="176"/>
      </w:pPr>
      <w:r>
        <w:t>针对建筑场地整体抬高项目，可参照规划管理环节设计建筑单体分幢方法分幢。例如：</w:t>
      </w:r>
      <w:r>
        <w:rPr>
          <w:rFonts w:ascii="Cambria Math" w:hAnsi="Cambria Math" w:cs="Cambria Math"/>
        </w:rPr>
        <w:t>①</w:t>
      </w:r>
      <w:r>
        <w:t>建筑场地整体抬高面层以上的建筑按多幢划分，整体抬高面层以下的建筑整体作为一幢；</w:t>
      </w:r>
      <w:r>
        <w:rPr>
          <w:rFonts w:ascii="Cambria Math" w:hAnsi="Cambria Math" w:cs="Cambria Math"/>
        </w:rPr>
        <w:t>②</w:t>
      </w:r>
      <w:r>
        <w:t>车库部分（地下/地上车库或地下+地上车库）可单独作为一幢，临街的商业或配套用房与其上方建筑可作为一幢；</w:t>
      </w:r>
    </w:p>
    <w:p>
      <w:pPr>
        <w:pStyle w:val="176"/>
      </w:pPr>
      <w:r>
        <w:t>特殊情形的房屋，由本地区县级以上房产管理部门确定。</w:t>
      </w:r>
    </w:p>
    <w:p>
      <w:pPr>
        <w:pStyle w:val="107"/>
        <w:spacing w:before="156" w:after="156"/>
      </w:pPr>
      <w:bookmarkStart w:id="168" w:name="_Toc406061440"/>
      <w:bookmarkEnd w:id="168"/>
      <w:bookmarkStart w:id="169" w:name="_Toc404085547"/>
      <w:bookmarkEnd w:id="169"/>
      <w:bookmarkStart w:id="170" w:name="_Toc405534875"/>
      <w:bookmarkStart w:id="171" w:name="_Toc237015164"/>
      <w:bookmarkStart w:id="172" w:name="_Toc237470896"/>
      <w:r>
        <w:t>房屋层</w:t>
      </w:r>
      <w:bookmarkEnd w:id="170"/>
      <w:r>
        <w:t>数和层次的编立</w:t>
      </w:r>
      <w:bookmarkEnd w:id="171"/>
      <w:bookmarkEnd w:id="172"/>
    </w:p>
    <w:p>
      <w:pPr>
        <w:pStyle w:val="67"/>
        <w:spacing w:before="156" w:after="156"/>
      </w:pPr>
      <w:bookmarkStart w:id="173" w:name="_Toc404004818"/>
      <w:bookmarkEnd w:id="173"/>
      <w:bookmarkStart w:id="174" w:name="_Toc404085548"/>
      <w:r>
        <w:t>房屋层</w:t>
      </w:r>
      <w:bookmarkEnd w:id="174"/>
      <w:r>
        <w:t>数</w:t>
      </w:r>
    </w:p>
    <w:p>
      <w:pPr>
        <w:widowControl/>
        <w:adjustRightInd/>
        <w:spacing w:line="240" w:lineRule="auto"/>
        <w:ind w:firstLine="420"/>
        <w:rPr>
          <w:rFonts w:hint="eastAsia" w:ascii="宋体" w:hAnsi="宋体" w:cs="宋体"/>
          <w:kern w:val="0"/>
        </w:rPr>
      </w:pPr>
      <w:r>
        <w:rPr>
          <w:rFonts w:ascii="宋体" w:hAnsi="宋体" w:cs="宋体"/>
          <w:kern w:val="0"/>
        </w:rPr>
        <w:t>房屋层数按如下方法确定</w:t>
      </w:r>
      <w:r>
        <w:rPr>
          <w:rFonts w:hint="eastAsia" w:ascii="宋体" w:hAnsi="宋体" w:cs="宋体"/>
          <w:kern w:val="0"/>
        </w:rPr>
        <w:t>：</w:t>
      </w:r>
    </w:p>
    <w:p>
      <w:pPr>
        <w:pStyle w:val="176"/>
        <w:numPr>
          <w:ilvl w:val="0"/>
          <w:numId w:val="50"/>
        </w:numPr>
      </w:pPr>
      <w:r>
        <w:t>房屋层数是指房屋的自然层数，一般按室内地坪±0.00以上计算；</w:t>
      </w:r>
    </w:p>
    <w:p>
      <w:pPr>
        <w:pStyle w:val="176"/>
      </w:pPr>
      <w:r>
        <w:t>房屋的假层、夹层（附层）、插层、阁楼（暗楼）、装饰性塔楼，以及突出屋面的楼梯间、水箱间、电梯机房等不计层数；</w:t>
      </w:r>
    </w:p>
    <w:p>
      <w:pPr>
        <w:pStyle w:val="176"/>
      </w:pPr>
      <w:r>
        <w:t>规划部门确定的自然层数与本规程相冲突时，由房屋所在地区的房产管理部门另行规定。</w:t>
      </w:r>
    </w:p>
    <w:p>
      <w:pPr>
        <w:pStyle w:val="67"/>
        <w:spacing w:before="156" w:after="156"/>
      </w:pPr>
      <w:bookmarkStart w:id="175" w:name="_Toc404004819"/>
      <w:bookmarkEnd w:id="175"/>
      <w:bookmarkStart w:id="176" w:name="_Toc404085549"/>
      <w:r>
        <w:t>房屋层次的编立</w:t>
      </w:r>
      <w:bookmarkEnd w:id="176"/>
    </w:p>
    <w:p>
      <w:pPr>
        <w:widowControl/>
        <w:adjustRightInd/>
        <w:spacing w:line="240" w:lineRule="auto"/>
        <w:ind w:firstLine="420"/>
        <w:rPr>
          <w:rFonts w:hint="eastAsia" w:ascii="宋体" w:hAnsi="宋体" w:cs="宋体"/>
          <w:kern w:val="0"/>
        </w:rPr>
      </w:pPr>
      <w:r>
        <w:rPr>
          <w:rFonts w:ascii="宋体" w:hAnsi="宋体" w:cs="宋体"/>
          <w:kern w:val="0"/>
        </w:rPr>
        <w:t>房屋层次指房屋层的序号，一般按以下方式编立：</w:t>
      </w:r>
    </w:p>
    <w:p>
      <w:pPr>
        <w:pStyle w:val="176"/>
        <w:numPr>
          <w:ilvl w:val="0"/>
          <w:numId w:val="51"/>
        </w:numPr>
        <w:rPr>
          <w:sz w:val="24"/>
          <w:szCs w:val="24"/>
        </w:rPr>
      </w:pPr>
      <w:r>
        <w:t>地上部分，从一层开始向上按自然序号1、2、3、……编号，不能跳层；同一幢楼房中，层高不一致的自然层，依据设计图设计的自然层表示；如图9所示；</w:t>
      </w:r>
    </w:p>
    <w:p>
      <w:pPr>
        <w:widowControl/>
        <w:adjustRightInd/>
        <w:spacing w:line="360" w:lineRule="auto"/>
        <w:jc w:val="center"/>
        <w:rPr>
          <w:rFonts w:hint="eastAsia" w:ascii="宋体" w:hAnsi="宋体"/>
          <w:color w:val="000000"/>
          <w:kern w:val="0"/>
          <w:sz w:val="24"/>
          <w:szCs w:val="24"/>
        </w:rPr>
      </w:pPr>
      <w:r>
        <w:rPr>
          <w:rFonts w:ascii="Times New Roman" w:hAnsi="Times New Roman"/>
          <w:kern w:val="0"/>
        </w:rPr>
        <w:drawing>
          <wp:inline distT="0" distB="0" distL="0" distR="0">
            <wp:extent cx="2590800" cy="1571625"/>
            <wp:effectExtent l="0" t="0" r="0" b="9525"/>
            <wp:docPr id="28" name="图片 28" descr="C:\Users\jn\AppData\Local\Temp\ksohtml4520\wps25.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8" descr="C:\Users\jn\AppData\Local\Temp\ksohtml4520\wps25.jpg"/>
                    <pic:cNvPicPr>
                      <a:picLocks noChangeAspect="true" noChangeArrowheads="true"/>
                    </pic:cNvPicPr>
                  </pic:nvPicPr>
                  <pic:blipFill>
                    <a:blip r:embed="rId83">
                      <a:extLst>
                        <a:ext uri="{28A0092B-C50C-407E-A947-70E740481C1C}">
                          <a14:useLocalDpi xmlns:a14="http://schemas.microsoft.com/office/drawing/2010/main" val="false"/>
                        </a:ext>
                      </a:extLst>
                    </a:blip>
                    <a:srcRect/>
                    <a:stretch>
                      <a:fillRect/>
                    </a:stretch>
                  </pic:blipFill>
                  <pic:spPr>
                    <a:xfrm>
                      <a:off x="0" y="0"/>
                      <a:ext cx="2590800" cy="1571625"/>
                    </a:xfrm>
                    <a:prstGeom prst="rect">
                      <a:avLst/>
                    </a:prstGeom>
                    <a:noFill/>
                    <a:ln>
                      <a:noFill/>
                    </a:ln>
                  </pic:spPr>
                </pic:pic>
              </a:graphicData>
            </a:graphic>
          </wp:inline>
        </w:drawing>
      </w:r>
    </w:p>
    <w:p>
      <w:pPr>
        <w:pStyle w:val="116"/>
        <w:spacing w:before="156" w:after="156"/>
        <w:rPr>
          <w:rFonts w:hint="eastAsia" w:hAnsi="黑体"/>
        </w:rPr>
      </w:pPr>
      <w:r>
        <w:t>房屋层表示示例</w:t>
      </w:r>
    </w:p>
    <w:p>
      <w:pPr>
        <w:pStyle w:val="176"/>
      </w:pPr>
      <w:r>
        <w:t>地下部分，从地下一层开始向下按自然序号-1、-2、-3、……编号；</w:t>
      </w:r>
    </w:p>
    <w:p>
      <w:pPr>
        <w:pStyle w:val="176"/>
      </w:pPr>
      <w:r>
        <w:t>夹层、插层、低于2.20m的技术层、装饰性塔楼、阁楼（暗楼）以及突出屋面的楼梯间、水箱间、杂物间、电梯机房等，其编号可按所在层次和特性来编立。如1层中的夹层，编号为“1层夹层”；屋面的楼梯间、电梯机房等，编号为“屋面1层”、“屋面2层”等；</w:t>
      </w:r>
    </w:p>
    <w:p>
      <w:pPr>
        <w:pStyle w:val="176"/>
      </w:pPr>
      <w:r>
        <w:t>螺旋上升式的房屋，按旋转一周的空间水平投影划分自然层数，然后再根据各自然层来编号；</w:t>
      </w:r>
    </w:p>
    <w:p>
      <w:pPr>
        <w:pStyle w:val="176"/>
      </w:pPr>
      <w:r>
        <w:t>错层房屋按一个自然层表示；</w:t>
      </w:r>
    </w:p>
    <w:p>
      <w:pPr>
        <w:pStyle w:val="176"/>
      </w:pPr>
      <w:r>
        <w:t>层高在2.20m及其以上的架空层按房屋自然层来编号。房屋底层为架空层，可编为“1层（架空层）”；房屋其他层为架空层，其编号可编为“X层（架空层）”；</w:t>
      </w:r>
    </w:p>
    <w:p>
      <w:pPr>
        <w:pStyle w:val="176"/>
      </w:pPr>
      <w:r>
        <w:t>设计为复式（跃式）住宅的房屋，依据设计图确定是否计算自然层数；</w:t>
      </w:r>
    </w:p>
    <w:p>
      <w:pPr>
        <w:pStyle w:val="176"/>
      </w:pPr>
      <w:r>
        <w:t>坡下层的房屋，室外设计地坪以上的按自然层来编号；室外设计地坪以下的依次编为-1、-2、-3、……”。</w:t>
      </w:r>
    </w:p>
    <w:p>
      <w:pPr>
        <w:pStyle w:val="107"/>
        <w:spacing w:before="156" w:after="156"/>
      </w:pPr>
      <w:bookmarkStart w:id="177" w:name="_Toc404085550"/>
      <w:bookmarkEnd w:id="177"/>
      <w:bookmarkStart w:id="178" w:name="_Toc404004820"/>
      <w:bookmarkEnd w:id="178"/>
      <w:bookmarkStart w:id="179" w:name="_Toc405534876"/>
      <w:bookmarkEnd w:id="179"/>
      <w:bookmarkStart w:id="180" w:name="_Toc406061441"/>
      <w:bookmarkStart w:id="181" w:name="_Toc237015165"/>
      <w:bookmarkStart w:id="182" w:name="_Toc237470897"/>
      <w:r>
        <w:t>户的划分、房屋分户界址线的确定</w:t>
      </w:r>
      <w:bookmarkEnd w:id="180"/>
      <w:bookmarkEnd w:id="181"/>
      <w:bookmarkEnd w:id="182"/>
    </w:p>
    <w:p>
      <w:pPr>
        <w:pStyle w:val="67"/>
        <w:spacing w:before="156" w:after="156"/>
      </w:pPr>
      <w:bookmarkStart w:id="183" w:name="_Toc404004821"/>
      <w:bookmarkEnd w:id="183"/>
      <w:bookmarkStart w:id="184" w:name="_Toc404085551"/>
      <w:r>
        <w:t>户的划分</w:t>
      </w:r>
      <w:bookmarkEnd w:id="184"/>
    </w:p>
    <w:p>
      <w:pPr>
        <w:widowControl/>
        <w:adjustRightInd/>
        <w:spacing w:line="240" w:lineRule="auto"/>
        <w:ind w:firstLine="420"/>
        <w:rPr>
          <w:rFonts w:hint="eastAsia" w:ascii="宋体" w:hAnsi="宋体" w:cs="宋体"/>
          <w:kern w:val="0"/>
        </w:rPr>
      </w:pPr>
      <w:r>
        <w:rPr>
          <w:rFonts w:ascii="宋体" w:hAnsi="宋体" w:cs="宋体"/>
          <w:kern w:val="0"/>
        </w:rPr>
        <w:t>房屋户指房屋的一个基本单元。其划分方法如下：</w:t>
      </w:r>
    </w:p>
    <w:p>
      <w:pPr>
        <w:pStyle w:val="176"/>
        <w:numPr>
          <w:ilvl w:val="0"/>
          <w:numId w:val="52"/>
        </w:numPr>
      </w:pPr>
      <w:r>
        <w:t>成套住宅，以一套划分为一户。紧密相连的两套或多套住宅为同一权利人的，也按两套或多套划分，不能合并；</w:t>
      </w:r>
    </w:p>
    <w:p>
      <w:pPr>
        <w:pStyle w:val="176"/>
      </w:pPr>
      <w:r>
        <w:t>独立使用或出售的商业用房、车位、办公用房等按其界址线分户。无分隔墙体的商铺、车位等，有明确的界址线，且实地埋设有界桩的，可按界址线分户；</w:t>
      </w:r>
    </w:p>
    <w:p>
      <w:pPr>
        <w:pStyle w:val="176"/>
      </w:pPr>
      <w:r>
        <w:t>为同一权利人所有的整幢房屋，可划分为一户；</w:t>
      </w:r>
    </w:p>
    <w:p>
      <w:pPr>
        <w:pStyle w:val="176"/>
      </w:pPr>
      <w:r>
        <w:t>专有用房及不被分摊的公共用房视为一户。</w:t>
      </w:r>
    </w:p>
    <w:p>
      <w:pPr>
        <w:pStyle w:val="67"/>
        <w:spacing w:before="156" w:after="156"/>
      </w:pPr>
      <w:bookmarkStart w:id="185" w:name="_Toc404004822"/>
      <w:bookmarkEnd w:id="185"/>
      <w:bookmarkStart w:id="186" w:name="_Toc404085552"/>
      <w:r>
        <w:t>房屋分户界址线的确定</w:t>
      </w:r>
      <w:bookmarkEnd w:id="186"/>
    </w:p>
    <w:p>
      <w:pPr>
        <w:widowControl/>
        <w:adjustRightInd/>
        <w:spacing w:line="240" w:lineRule="auto"/>
        <w:ind w:firstLine="420"/>
        <w:rPr>
          <w:rFonts w:hint="eastAsia" w:ascii="宋体" w:hAnsi="宋体" w:cs="宋体"/>
          <w:kern w:val="0"/>
        </w:rPr>
      </w:pPr>
      <w:r>
        <w:rPr>
          <w:rFonts w:ascii="宋体" w:hAnsi="宋体" w:cs="宋体"/>
          <w:kern w:val="0"/>
        </w:rPr>
        <w:t>房屋分户界址线应以产权来源为依据，有合法协议约定的，以约定为准；无约定的，按如下要求确定：</w:t>
      </w:r>
    </w:p>
    <w:p>
      <w:pPr>
        <w:pStyle w:val="176"/>
        <w:numPr>
          <w:ilvl w:val="0"/>
          <w:numId w:val="53"/>
        </w:numPr>
        <w:rPr>
          <w:sz w:val="24"/>
          <w:szCs w:val="24"/>
        </w:rPr>
      </w:pPr>
      <w:r>
        <w:t>成套房屋的分户界址线为户间分隔墙中线和外墙裸墙的中线；如图10所示</w:t>
      </w:r>
      <w:r>
        <w:rPr>
          <w:rFonts w:hint="eastAsia"/>
        </w:rPr>
        <w:t>；</w:t>
      </w:r>
    </w:p>
    <w:p>
      <w:pPr>
        <w:adjustRightInd/>
        <w:spacing w:line="240" w:lineRule="auto"/>
        <w:jc w:val="center"/>
        <w:rPr>
          <w:rFonts w:ascii="Times New Roman" w:hAnsi="Times New Roman"/>
        </w:rPr>
      </w:pPr>
      <w:r>
        <w:rPr>
          <w:rFonts w:ascii="Times New Roman" w:hAnsi="Times New Roman"/>
        </w:rPr>
        <w:drawing>
          <wp:inline distT="0" distB="0" distL="0" distR="0">
            <wp:extent cx="3028950" cy="1852930"/>
            <wp:effectExtent l="0" t="0" r="0" b="0"/>
            <wp:docPr id="29" name="图片 29" descr="C:\Users\jn\AppData\Local\Temp\ksohtml4520\wps27.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9" descr="C:\Users\jn\AppData\Local\Temp\ksohtml4520\wps27.jpg"/>
                    <pic:cNvPicPr>
                      <a:picLocks noChangeAspect="true" noChangeArrowheads="true"/>
                    </pic:cNvPicPr>
                  </pic:nvPicPr>
                  <pic:blipFill>
                    <a:blip r:embed="rId84">
                      <a:extLst>
                        <a:ext uri="{28A0092B-C50C-407E-A947-70E740481C1C}">
                          <a14:useLocalDpi xmlns:a14="http://schemas.microsoft.com/office/drawing/2010/main" val="false"/>
                        </a:ext>
                      </a:extLst>
                    </a:blip>
                    <a:srcRect/>
                    <a:stretch>
                      <a:fillRect/>
                    </a:stretch>
                  </pic:blipFill>
                  <pic:spPr>
                    <a:xfrm>
                      <a:off x="0" y="0"/>
                      <a:ext cx="3030191" cy="1853943"/>
                    </a:xfrm>
                    <a:prstGeom prst="rect">
                      <a:avLst/>
                    </a:prstGeom>
                    <a:noFill/>
                    <a:ln>
                      <a:noFill/>
                    </a:ln>
                  </pic:spPr>
                </pic:pic>
              </a:graphicData>
            </a:graphic>
          </wp:inline>
        </w:drawing>
      </w:r>
    </w:p>
    <w:p>
      <w:pPr>
        <w:pStyle w:val="116"/>
        <w:spacing w:before="156" w:after="156"/>
        <w:rPr>
          <w:rFonts w:hint="eastAsia" w:hAnsi="黑体"/>
        </w:rPr>
      </w:pPr>
      <w:r>
        <w:t xml:space="preserve">分户界址线示例 </w:t>
      </w:r>
    </w:p>
    <w:p>
      <w:pPr>
        <w:pStyle w:val="176"/>
      </w:pPr>
      <w:r>
        <w:t>当外墙或分户隔墙中含有柱或其它承重结构体时，取墙中心线向柱或承重结构体内延伸交汇，按划分后的柱体相应位置分别计入所属墙体面积；当墙中心线向柱或承重结构体内延伸不能交汇时，按柱或承重结构体的轴线与墙中心垂直相交后，划分的柱体相应位置分别计入所属墙体面积。如图11所示</w:t>
      </w:r>
      <w:r>
        <w:rPr>
          <w:rFonts w:hint="eastAsia"/>
        </w:rPr>
        <w:t>；</w:t>
      </w:r>
    </w:p>
    <w:p>
      <w:pPr>
        <w:widowControl/>
        <w:adjustRightInd/>
        <w:spacing w:line="240" w:lineRule="auto"/>
        <w:ind w:left="420"/>
        <w:jc w:val="center"/>
        <w:rPr>
          <w:rFonts w:hint="eastAsia" w:ascii="宋体" w:hAnsi="宋体" w:cs="宋体"/>
          <w:b/>
          <w:kern w:val="0"/>
          <w:sz w:val="28"/>
          <w:szCs w:val="28"/>
        </w:rPr>
      </w:pPr>
      <w:r>
        <w:rPr>
          <w:rFonts w:ascii="宋体" w:hAnsi="宋体" w:cs="宋体"/>
          <w:b/>
          <w:kern w:val="0"/>
          <w:sz w:val="28"/>
          <w:szCs w:val="28"/>
        </w:rPr>
        <w:object>
          <v:shape id="_x0000_i1025" o:spt="75" type="#_x0000_t75" style="height:215.15pt;width:257.55pt;" o:ole="t" filled="f" o:preferrelative="t" stroked="f" coordsize="21600,21600">
            <v:path/>
            <v:fill on="f" focussize="0,0"/>
            <v:stroke on="f" joinstyle="miter"/>
            <v:imagedata r:id="rId86" cropleft="14122f" croptop="8036f" cropright="17915f" cropbottom="7277f" o:title=""/>
            <o:lock v:ext="edit" aspectratio="t"/>
            <w10:wrap type="none"/>
            <w10:anchorlock/>
          </v:shape>
          <o:OLEObject Type="Embed" ProgID="AutoCAD.Drawing.17" ShapeID="_x0000_i1025" DrawAspect="Content" ObjectID="_1468075725" r:id="rId85">
            <o:LockedField>false</o:LockedField>
          </o:OLEObject>
        </w:object>
      </w:r>
    </w:p>
    <w:p>
      <w:pPr>
        <w:pStyle w:val="116"/>
        <w:spacing w:before="156" w:after="156"/>
        <w:rPr>
          <w:rFonts w:hint="eastAsia" w:hAnsi="黑体"/>
        </w:rPr>
      </w:pPr>
      <w:r>
        <w:t xml:space="preserve">墙、柱中心线示例 </w:t>
      </w:r>
    </w:p>
    <w:p>
      <w:pPr>
        <w:widowControl/>
        <w:numPr>
          <w:ilvl w:val="0"/>
          <w:numId w:val="33"/>
        </w:numPr>
        <w:tabs>
          <w:tab w:val="left" w:pos="851"/>
        </w:tabs>
        <w:adjustRightInd/>
        <w:spacing w:line="240" w:lineRule="auto"/>
        <w:rPr>
          <w:rFonts w:ascii="宋体" w:hAnsi="Times New Roman"/>
          <w:kern w:val="0"/>
          <w:szCs w:val="20"/>
        </w:rPr>
      </w:pPr>
      <w:r>
        <w:rPr>
          <w:rFonts w:ascii="宋体" w:hAnsi="Times New Roman"/>
          <w:kern w:val="0"/>
          <w:szCs w:val="20"/>
        </w:rPr>
        <w:t>户与公共部位之间的分隔墙以中心线为界；</w:t>
      </w:r>
    </w:p>
    <w:p>
      <w:pPr>
        <w:widowControl/>
        <w:numPr>
          <w:ilvl w:val="0"/>
          <w:numId w:val="33"/>
        </w:numPr>
        <w:tabs>
          <w:tab w:val="left" w:pos="851"/>
        </w:tabs>
        <w:adjustRightInd/>
        <w:spacing w:line="240" w:lineRule="auto"/>
        <w:ind w:left="850" w:hanging="425"/>
        <w:rPr>
          <w:rFonts w:ascii="宋体" w:hAnsi="Times New Roman"/>
          <w:kern w:val="0"/>
          <w:szCs w:val="20"/>
        </w:rPr>
      </w:pPr>
      <w:r>
        <w:rPr>
          <w:rFonts w:ascii="宋体" w:hAnsi="Times New Roman"/>
          <w:kern w:val="0"/>
          <w:szCs w:val="20"/>
        </w:rPr>
        <w:t>商业铺位、车位等分户界址线取分隔墙中线和外墙裸墙中线，无分隔墙时取界址点相邻点间连线；</w:t>
      </w:r>
    </w:p>
    <w:p>
      <w:pPr>
        <w:widowControl/>
        <w:numPr>
          <w:ilvl w:val="0"/>
          <w:numId w:val="33"/>
        </w:numPr>
        <w:tabs>
          <w:tab w:val="left" w:pos="851"/>
        </w:tabs>
        <w:adjustRightInd/>
        <w:spacing w:line="240" w:lineRule="auto"/>
        <w:ind w:left="850" w:hanging="425"/>
        <w:rPr>
          <w:rFonts w:ascii="宋体" w:hAnsi="Times New Roman"/>
          <w:kern w:val="0"/>
          <w:szCs w:val="20"/>
        </w:rPr>
      </w:pPr>
      <w:r>
        <w:rPr>
          <w:rFonts w:ascii="宋体" w:hAnsi="Times New Roman"/>
          <w:kern w:val="0"/>
          <w:szCs w:val="20"/>
        </w:rPr>
        <w:t>整层房屋为一户时，分户界址线为其专有部分与共有部分的墙中线以及外墙裸墙的中线；</w:t>
      </w:r>
    </w:p>
    <w:p>
      <w:pPr>
        <w:widowControl/>
        <w:numPr>
          <w:ilvl w:val="0"/>
          <w:numId w:val="33"/>
        </w:numPr>
        <w:tabs>
          <w:tab w:val="left" w:pos="851"/>
        </w:tabs>
        <w:adjustRightInd/>
        <w:spacing w:line="240" w:lineRule="auto"/>
        <w:ind w:left="850" w:hanging="425"/>
        <w:rPr>
          <w:rFonts w:ascii="宋体" w:hAnsi="Times New Roman"/>
          <w:kern w:val="0"/>
          <w:szCs w:val="20"/>
        </w:rPr>
      </w:pPr>
      <w:r>
        <w:rPr>
          <w:rFonts w:ascii="宋体" w:hAnsi="Times New Roman"/>
          <w:kern w:val="0"/>
          <w:szCs w:val="20"/>
        </w:rPr>
        <w:t>整单元房屋为一户时，分户界址线为单元间共墙的中线或单元外墙裸墙的中线；</w:t>
      </w:r>
    </w:p>
    <w:p>
      <w:pPr>
        <w:widowControl/>
        <w:numPr>
          <w:ilvl w:val="0"/>
          <w:numId w:val="33"/>
        </w:numPr>
        <w:tabs>
          <w:tab w:val="left" w:pos="851"/>
        </w:tabs>
        <w:adjustRightInd/>
        <w:spacing w:line="240" w:lineRule="auto"/>
        <w:ind w:left="850" w:hanging="425"/>
        <w:rPr>
          <w:rFonts w:ascii="宋体" w:hAnsi="Times New Roman"/>
          <w:kern w:val="0"/>
          <w:szCs w:val="20"/>
        </w:rPr>
      </w:pPr>
      <w:r>
        <w:rPr>
          <w:rFonts w:ascii="宋体" w:hAnsi="Times New Roman"/>
          <w:kern w:val="0"/>
          <w:szCs w:val="20"/>
        </w:rPr>
        <w:t>整幢房屋为一户时，分户界址线为外墙外围水平投影线。</w:t>
      </w:r>
    </w:p>
    <w:p>
      <w:pPr>
        <w:pStyle w:val="107"/>
        <w:spacing w:before="156" w:after="156"/>
      </w:pPr>
      <w:bookmarkStart w:id="187" w:name="_Toc404085554"/>
      <w:bookmarkEnd w:id="187"/>
      <w:bookmarkStart w:id="188" w:name="_Toc406061442"/>
      <w:bookmarkEnd w:id="188"/>
      <w:bookmarkStart w:id="189" w:name="_Toc405534877"/>
      <w:bookmarkStart w:id="190" w:name="_Toc237015166"/>
      <w:bookmarkStart w:id="191" w:name="_Toc237470898"/>
      <w:r>
        <w:t>房屋面积测绘调查</w:t>
      </w:r>
      <w:bookmarkEnd w:id="189"/>
      <w:bookmarkEnd w:id="190"/>
      <w:bookmarkEnd w:id="191"/>
    </w:p>
    <w:p>
      <w:pPr>
        <w:pStyle w:val="67"/>
        <w:spacing w:before="156" w:after="156"/>
      </w:pPr>
      <w:bookmarkStart w:id="192" w:name="_Toc404004825"/>
      <w:bookmarkEnd w:id="192"/>
      <w:bookmarkStart w:id="193" w:name="_Toc404085555"/>
      <w:r>
        <w:t>房屋面积测绘调查内容</w:t>
      </w:r>
      <w:bookmarkEnd w:id="193"/>
    </w:p>
    <w:p>
      <w:pPr>
        <w:widowControl/>
        <w:adjustRightInd/>
        <w:spacing w:line="240" w:lineRule="auto"/>
        <w:ind w:firstLine="420"/>
        <w:rPr>
          <w:rFonts w:hint="eastAsia" w:ascii="宋体" w:hAnsi="宋体" w:cs="宋体"/>
          <w:kern w:val="0"/>
        </w:rPr>
      </w:pPr>
      <w:r>
        <w:rPr>
          <w:rFonts w:ascii="宋体" w:hAnsi="宋体" w:cs="宋体"/>
          <w:kern w:val="0"/>
        </w:rPr>
        <w:t>房屋面积测绘调查内容主要包括：房屋所在行政区（县）、街（镇、乡）、社区（村）、建筑物名称、座落、幢编号、层数、层次、产别、建筑结构、建成年份、用途、墙体归属、权源、产权纠纷、他项权利、建设单位名称、房屋基本单元、各基本单元户（室）号等基本情况及绘制房屋界址线示意图。具体要求如下：</w:t>
      </w:r>
    </w:p>
    <w:p>
      <w:pPr>
        <w:pStyle w:val="176"/>
        <w:numPr>
          <w:ilvl w:val="0"/>
          <w:numId w:val="54"/>
        </w:numPr>
      </w:pPr>
      <w:r>
        <w:t>房屋所在行政区（县）、街（镇、乡）、社区（村）。根据当地行政区划查询确定；</w:t>
      </w:r>
    </w:p>
    <w:p>
      <w:pPr>
        <w:pStyle w:val="176"/>
      </w:pPr>
      <w:r>
        <w:t>建筑物名称。以相关部门批准的文件为准。进行房屋面积预测算时，以规划许可文件注明的为准；</w:t>
      </w:r>
    </w:p>
    <w:p>
      <w:pPr>
        <w:pStyle w:val="176"/>
      </w:pPr>
      <w:r>
        <w:t>房屋座落。房屋座落是指房屋用地所在的街（镇、乡）、社区（村）名称和门牌号。房屋座落在小巷、里弄、胡同时，应加注主要街道的名称；房屋座落有两个以上街道或门牌号时，应全部注明；进行房屋面积预测算时，以当地主管部门相关证明文件为准；</w:t>
      </w:r>
    </w:p>
    <w:p>
      <w:pPr>
        <w:pStyle w:val="176"/>
      </w:pPr>
      <w:r>
        <w:t>幢编号。房屋幢号的编制以当地主管部门的相关规定为准，若无相关规定，进行房屋面积预测时，房屋幢编号自进大门（需相关部门明确）起，从左到右，从前到后，用数字1、2......的顺序按S形编号，独幢功能性用房（如门房、配电房等）排在主要建筑之后依顺序编号；进行房屋面积实测时，应与面积预测的幢编号保持一致。实际幢编号发生改变时，需要提供相关部门的证明文件；</w:t>
      </w:r>
    </w:p>
    <w:p>
      <w:pPr>
        <w:pStyle w:val="176"/>
      </w:pPr>
      <w:r>
        <w:t>层次。指房屋基本单元在该幢楼房中的第几层。地下层次以负数表示；</w:t>
      </w:r>
    </w:p>
    <w:p>
      <w:pPr>
        <w:pStyle w:val="176"/>
      </w:pPr>
      <w:r>
        <w:t>产别。按GB/T 17986.1-2000附录A表A4中一级分类的类别表示；</w:t>
      </w:r>
    </w:p>
    <w:p>
      <w:pPr>
        <w:pStyle w:val="176"/>
      </w:pPr>
      <w:r>
        <w:t>建筑结构。根据建筑施工图相关内容进行认定，认定的标准以GB/T 17986.1-2000附录A表A5中的规定为准；</w:t>
      </w:r>
    </w:p>
    <w:p>
      <w:pPr>
        <w:pStyle w:val="176"/>
      </w:pPr>
      <w:r>
        <w:t>建成年份。指房屋实际竣工的年份。扩建、翻建房屋应加注扩建、翻建年份。一幢房屋有两个及以上建成年份的，应分别注记；</w:t>
      </w:r>
    </w:p>
    <w:p>
      <w:pPr>
        <w:pStyle w:val="176"/>
      </w:pPr>
      <w:r>
        <w:t>房屋用途。指房屋的实际用途和规划用途，具体分类标准按GB/T 17986.1-2000附录A中的A6执行。用于房屋登记的，只调查规划用途；</w:t>
      </w:r>
    </w:p>
    <w:p>
      <w:pPr>
        <w:pStyle w:val="176"/>
      </w:pPr>
      <w:r>
        <w:t>墙体归属。墙体归属是房屋四周墙体所有权的归属，分别注记自有墙、共有墙和借墙等三类；</w:t>
      </w:r>
    </w:p>
    <w:p>
      <w:pPr>
        <w:pStyle w:val="176"/>
      </w:pPr>
      <w:r>
        <w:t>权源。系指房屋产权来源，指产权人取得房屋产权的时间和方式，如继承、分析、买受、受赠、交换、自建、翻建、征用、收购、调拨、价拨、拨用等。产权来源有两种以上的，应全部注记；</w:t>
      </w:r>
    </w:p>
    <w:p>
      <w:pPr>
        <w:pStyle w:val="176"/>
      </w:pPr>
      <w:r>
        <w:t>他项权利。房屋他项权利是指由房屋的所有权衍生出来的典权、租赁权、抵押权、继承权等权利；</w:t>
      </w:r>
    </w:p>
    <w:p>
      <w:pPr>
        <w:pStyle w:val="176"/>
      </w:pPr>
      <w:r>
        <w:t>建设单位名称。以土地、规划许可文件上载明的名称为准；</w:t>
      </w:r>
    </w:p>
    <w:p>
      <w:pPr>
        <w:pStyle w:val="176"/>
      </w:pPr>
      <w:r>
        <w:t>房屋基本单元。主要包括以下内容：</w:t>
      </w:r>
    </w:p>
    <w:p>
      <w:pPr>
        <w:pStyle w:val="111"/>
        <w:numPr>
          <w:ilvl w:val="1"/>
          <w:numId w:val="55"/>
        </w:numPr>
      </w:pPr>
      <w:r>
        <w:t>国有土地范围内的成套住房，以套为基本单元。非成套住房，以房屋的幢、层、间等有固定界限的部分为基本单元；</w:t>
      </w:r>
    </w:p>
    <w:p>
      <w:pPr>
        <w:pStyle w:val="111"/>
      </w:pPr>
      <w:r>
        <w:t>集体土地范围内村民住房，以宅基地上独立建筑为基本单元。在共有宅基地上建造的村民住房，以套、间等有固定界限的部分为基本单元；</w:t>
      </w:r>
    </w:p>
    <w:p>
      <w:pPr>
        <w:pStyle w:val="111"/>
      </w:pPr>
      <w:r>
        <w:t>非住房以房屋的幢、层、套、间等有固定界限的部分为基本单元。</w:t>
      </w:r>
    </w:p>
    <w:p>
      <w:pPr>
        <w:pStyle w:val="176"/>
      </w:pPr>
      <w:r>
        <w:t>基本单元户（室）号。户（室）号按当地主管部门的相关规定编制，若无相关规定一般按下列方法编号：</w:t>
      </w:r>
    </w:p>
    <w:p>
      <w:pPr>
        <w:pStyle w:val="111"/>
        <w:numPr>
          <w:ilvl w:val="1"/>
          <w:numId w:val="56"/>
        </w:numPr>
      </w:pPr>
      <w:r>
        <w:t>成套住宅：单元号编立时，面向主出入口从左至右依次编为1单元、2单元、…n单元，如图12所示。在各单元各层内，面向单元入口，从左边靠近入口的一户（室）开始，按顺时针的方向依次编为(1)、(2) 、……、(n)；若第一层与标准层的主出入口方向不一致时，以成套住宅所在层的主出入口方向为准进行编号，如图13所示；</w:t>
      </w:r>
    </w:p>
    <w:p>
      <w:pPr>
        <w:widowControl/>
        <w:adjustRightInd/>
        <w:spacing w:line="240" w:lineRule="auto"/>
        <w:jc w:val="center"/>
        <w:rPr>
          <w:rFonts w:hint="eastAsia" w:ascii="宋体" w:hAnsi="宋体"/>
          <w:color w:val="FF0000"/>
          <w:kern w:val="0"/>
          <w:sz w:val="24"/>
          <w:szCs w:val="24"/>
        </w:rPr>
      </w:pPr>
      <w:r>
        <w:rPr>
          <w:rFonts w:ascii="Times New Roman" w:hAnsi="Times New Roman"/>
          <w:kern w:val="0"/>
        </w:rPr>
        <w:drawing>
          <wp:inline distT="0" distB="0" distL="0" distR="0">
            <wp:extent cx="3886200" cy="1428750"/>
            <wp:effectExtent l="0" t="0" r="0" b="0"/>
            <wp:docPr id="31" name="图片 31" descr="C:\Users\jn\AppData\Local\Temp\ksohtml4520\wps28.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31" descr="C:\Users\jn\AppData\Local\Temp\ksohtml4520\wps28.jpg"/>
                    <pic:cNvPicPr>
                      <a:picLocks noChangeAspect="true" noChangeArrowheads="true"/>
                    </pic:cNvPicPr>
                  </pic:nvPicPr>
                  <pic:blipFill>
                    <a:blip r:embed="rId87">
                      <a:extLst>
                        <a:ext uri="{28A0092B-C50C-407E-A947-70E740481C1C}">
                          <a14:useLocalDpi xmlns:a14="http://schemas.microsoft.com/office/drawing/2010/main" val="false"/>
                        </a:ext>
                      </a:extLst>
                    </a:blip>
                    <a:srcRect/>
                    <a:stretch>
                      <a:fillRect/>
                    </a:stretch>
                  </pic:blipFill>
                  <pic:spPr>
                    <a:xfrm>
                      <a:off x="0" y="0"/>
                      <a:ext cx="3886200" cy="1428750"/>
                    </a:xfrm>
                    <a:prstGeom prst="rect">
                      <a:avLst/>
                    </a:prstGeom>
                    <a:noFill/>
                    <a:ln>
                      <a:noFill/>
                    </a:ln>
                  </pic:spPr>
                </pic:pic>
              </a:graphicData>
            </a:graphic>
          </wp:inline>
        </w:drawing>
      </w:r>
      <w:r>
        <w:rPr>
          <w:rFonts w:ascii="宋体" w:hAnsi="宋体"/>
          <w:color w:val="FF0000"/>
          <w:kern w:val="0"/>
          <w:sz w:val="24"/>
          <w:szCs w:val="24"/>
        </w:rPr>
        <w:t xml:space="preserve"> </w:t>
      </w:r>
    </w:p>
    <w:p>
      <w:pPr>
        <w:pStyle w:val="116"/>
        <w:spacing w:before="156" w:after="156"/>
        <w:rPr>
          <w:rFonts w:hint="eastAsia" w:hAnsi="黑体"/>
        </w:rPr>
      </w:pPr>
      <w:r>
        <w:t xml:space="preserve"> 住宅房编号示例1</w:t>
      </w:r>
    </w:p>
    <w:p>
      <w:pPr>
        <w:widowControl/>
        <w:adjustRightInd/>
        <w:spacing w:line="240" w:lineRule="auto"/>
        <w:jc w:val="center"/>
        <w:rPr>
          <w:rFonts w:hint="eastAsia" w:ascii="宋体" w:hAnsi="宋体"/>
          <w:color w:val="000000"/>
          <w:kern w:val="0"/>
          <w:sz w:val="24"/>
          <w:szCs w:val="24"/>
        </w:rPr>
      </w:pPr>
      <w:r>
        <w:rPr>
          <w:rFonts w:ascii="Times New Roman" w:hAnsi="Times New Roman"/>
          <w:kern w:val="0"/>
        </w:rPr>
        <w:drawing>
          <wp:inline distT="0" distB="0" distL="0" distR="0">
            <wp:extent cx="3590925" cy="1571625"/>
            <wp:effectExtent l="0" t="0" r="9525" b="9525"/>
            <wp:docPr id="30" name="图片 30" descr="C:\Users\jn\AppData\Local\Temp\ksohtml4520\wps29.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30" descr="C:\Users\jn\AppData\Local\Temp\ksohtml4520\wps29.jpg"/>
                    <pic:cNvPicPr>
                      <a:picLocks noChangeAspect="true" noChangeArrowheads="true"/>
                    </pic:cNvPicPr>
                  </pic:nvPicPr>
                  <pic:blipFill>
                    <a:blip r:embed="rId88">
                      <a:extLst>
                        <a:ext uri="{28A0092B-C50C-407E-A947-70E740481C1C}">
                          <a14:useLocalDpi xmlns:a14="http://schemas.microsoft.com/office/drawing/2010/main" val="false"/>
                        </a:ext>
                      </a:extLst>
                    </a:blip>
                    <a:srcRect/>
                    <a:stretch>
                      <a:fillRect/>
                    </a:stretch>
                  </pic:blipFill>
                  <pic:spPr>
                    <a:xfrm>
                      <a:off x="0" y="0"/>
                      <a:ext cx="3590925" cy="1571625"/>
                    </a:xfrm>
                    <a:prstGeom prst="rect">
                      <a:avLst/>
                    </a:prstGeom>
                    <a:noFill/>
                    <a:ln>
                      <a:noFill/>
                    </a:ln>
                  </pic:spPr>
                </pic:pic>
              </a:graphicData>
            </a:graphic>
          </wp:inline>
        </w:drawing>
      </w:r>
      <w:r>
        <w:rPr>
          <w:rFonts w:ascii="宋体" w:hAnsi="宋体"/>
          <w:color w:val="000000"/>
          <w:kern w:val="0"/>
          <w:sz w:val="24"/>
          <w:szCs w:val="24"/>
        </w:rPr>
        <w:t xml:space="preserve"> </w:t>
      </w:r>
    </w:p>
    <w:p>
      <w:pPr>
        <w:pStyle w:val="116"/>
        <w:spacing w:before="156" w:after="156"/>
        <w:rPr>
          <w:rFonts w:hint="eastAsia" w:hAnsi="黑体"/>
        </w:rPr>
      </w:pPr>
      <w:r>
        <w:t>住宅房编号示例2</w:t>
      </w:r>
    </w:p>
    <w:p>
      <w:pPr>
        <w:pStyle w:val="111"/>
        <w:numPr>
          <w:ilvl w:val="1"/>
          <w:numId w:val="57"/>
        </w:numPr>
      </w:pPr>
      <w:r>
        <w:t>商业铺位、办公用房、车位:在房屋的所在层内，从进门起从左至右，从前到后按自然序号(1)、(2) 、……、(n)依次编号；</w:t>
      </w:r>
    </w:p>
    <w:p>
      <w:pPr>
        <w:pStyle w:val="111"/>
      </w:pPr>
      <w:r>
        <w:t>跨区域（层、单元等）的基本单元：以主入户门所在区域编号。</w:t>
      </w:r>
    </w:p>
    <w:p>
      <w:pPr>
        <w:pStyle w:val="67"/>
        <w:spacing w:before="156" w:after="156"/>
      </w:pPr>
      <w:bookmarkStart w:id="194" w:name="_Toc404085556"/>
      <w:r>
        <w:t>房屋面积测绘调查表</w:t>
      </w:r>
      <w:bookmarkEnd w:id="194"/>
    </w:p>
    <w:p>
      <w:pPr>
        <w:widowControl/>
        <w:adjustRightInd/>
        <w:spacing w:line="240" w:lineRule="auto"/>
        <w:ind w:firstLine="420"/>
        <w:rPr>
          <w:rFonts w:hint="eastAsia" w:ascii="宋体" w:hAnsi="宋体" w:cs="宋体"/>
          <w:kern w:val="0"/>
        </w:rPr>
      </w:pPr>
      <w:r>
        <w:rPr>
          <w:rFonts w:ascii="宋体" w:hAnsi="宋体" w:cs="宋体"/>
          <w:kern w:val="0"/>
        </w:rPr>
        <w:t>房屋面积测绘调查应利用已有的地形图、地籍图、航摄像片及有关的产籍资料，以幢为单位，逐项实施。调查表表样见附录A。</w:t>
      </w:r>
    </w:p>
    <w:p>
      <w:pPr>
        <w:pStyle w:val="107"/>
        <w:spacing w:before="156" w:after="156"/>
      </w:pPr>
      <w:bookmarkStart w:id="195" w:name="_Toc406061443"/>
      <w:bookmarkEnd w:id="195"/>
      <w:bookmarkStart w:id="196" w:name="_Toc405534878"/>
      <w:bookmarkEnd w:id="196"/>
      <w:bookmarkStart w:id="197" w:name="_Toc404004827"/>
      <w:bookmarkEnd w:id="197"/>
      <w:bookmarkStart w:id="198" w:name="_Toc392665352"/>
      <w:bookmarkEnd w:id="198"/>
      <w:bookmarkStart w:id="199" w:name="_Toc404085557"/>
      <w:bookmarkStart w:id="200" w:name="_Toc237015167"/>
      <w:bookmarkStart w:id="201" w:name="_Toc237470899"/>
      <w:r>
        <w:t>房屋面积测绘数据采集</w:t>
      </w:r>
      <w:bookmarkEnd w:id="199"/>
      <w:bookmarkEnd w:id="200"/>
      <w:bookmarkEnd w:id="201"/>
    </w:p>
    <w:p>
      <w:pPr>
        <w:pStyle w:val="67"/>
        <w:spacing w:before="156" w:after="156"/>
      </w:pPr>
      <w:bookmarkStart w:id="202" w:name="_Toc404004828"/>
      <w:bookmarkEnd w:id="202"/>
      <w:bookmarkStart w:id="203" w:name="_Toc404085558"/>
      <w:r>
        <w:t>房屋面积预测数据采集</w:t>
      </w:r>
      <w:bookmarkEnd w:id="203"/>
    </w:p>
    <w:p>
      <w:pPr>
        <w:pStyle w:val="96"/>
        <w:spacing w:before="156" w:after="156"/>
      </w:pPr>
      <w:r>
        <w:t>房屋面积预测算数据及相关信息要素采集的依据</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依据建设单位提供的符合房产管理要求的图件、说明等，采集面积计算数据及相关的信息要素。房屋面积测算的数据及信息要素依据主要包括以下内容：</w:t>
      </w:r>
    </w:p>
    <w:p>
      <w:pPr>
        <w:pStyle w:val="176"/>
        <w:numPr>
          <w:ilvl w:val="0"/>
          <w:numId w:val="58"/>
        </w:numPr>
      </w:pPr>
      <w:r>
        <w:t>土地使用权证明文件及附图（宗地图）；</w:t>
      </w:r>
    </w:p>
    <w:p>
      <w:pPr>
        <w:pStyle w:val="176"/>
      </w:pPr>
      <w:r>
        <w:t>建设工程规划许可证及其附件、附图（核位红线图、红线定位册）；</w:t>
      </w:r>
    </w:p>
    <w:p>
      <w:pPr>
        <w:pStyle w:val="176"/>
      </w:pPr>
      <w:r>
        <w:t>房屋建筑施工图（含总平面图、各层平面图、立面图、剖面图、局部大样图）及相应的电子文档；</w:t>
      </w:r>
    </w:p>
    <w:p>
      <w:pPr>
        <w:pStyle w:val="176"/>
      </w:pPr>
      <w:r>
        <w:t>人防管理部门批准或备案的人防设计图；</w:t>
      </w:r>
    </w:p>
    <w:p>
      <w:pPr>
        <w:pStyle w:val="176"/>
      </w:pPr>
      <w:r>
        <w:t>建设单位出具的销售（分割）方案及共有面积的使用说明；</w:t>
      </w:r>
    </w:p>
    <w:p>
      <w:pPr>
        <w:pStyle w:val="176"/>
      </w:pPr>
      <w:r>
        <w:t>预测工作中需要的其它资料。</w:t>
      </w:r>
    </w:p>
    <w:p>
      <w:pPr>
        <w:pStyle w:val="96"/>
        <w:spacing w:before="156" w:after="156"/>
      </w:pPr>
      <w:r>
        <w:t>房屋面积预测算边长数据采集的方法</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房屋面积预测算边长数据采集方法如下：</w:t>
      </w:r>
    </w:p>
    <w:p>
      <w:pPr>
        <w:pStyle w:val="176"/>
        <w:numPr>
          <w:ilvl w:val="0"/>
          <w:numId w:val="59"/>
        </w:numPr>
      </w:pPr>
      <w:r>
        <w:t>设计图纸上标注无误的尺寸，可以直接采集；</w:t>
      </w:r>
    </w:p>
    <w:p>
      <w:pPr>
        <w:pStyle w:val="176"/>
      </w:pPr>
      <w:r>
        <w:t>边长尺寸不能直接得到的，可通过其它相关数据换算得到；</w:t>
      </w:r>
    </w:p>
    <w:p>
      <w:pPr>
        <w:pStyle w:val="176"/>
      </w:pPr>
      <w:r>
        <w:t>设计图纸上，局部无标注尺寸，也无法通过其它相关数据换算得到，可通过图解法采集；</w:t>
      </w:r>
    </w:p>
    <w:p>
      <w:pPr>
        <w:pStyle w:val="176"/>
      </w:pPr>
      <w:r>
        <w:t>抹灰层、保温层、外墙贴面等计入外墙体的厚度。</w:t>
      </w:r>
    </w:p>
    <w:p>
      <w:pPr>
        <w:pStyle w:val="96"/>
        <w:spacing w:before="156" w:after="156"/>
      </w:pPr>
      <w:r>
        <w:t>特殊情况处理方式</w:t>
      </w:r>
    </w:p>
    <w:p>
      <w:pPr>
        <w:widowControl/>
        <w:adjustRightInd/>
        <w:spacing w:line="240" w:lineRule="auto"/>
        <w:ind w:firstLine="420"/>
        <w:rPr>
          <w:rFonts w:hint="eastAsia" w:ascii="宋体" w:hAnsi="宋体" w:cs="宋体"/>
          <w:kern w:val="0"/>
        </w:rPr>
      </w:pPr>
      <w:r>
        <w:rPr>
          <w:rFonts w:ascii="宋体" w:hAnsi="宋体" w:cs="宋体"/>
          <w:kern w:val="0"/>
        </w:rPr>
        <w:t>除按照一般规定进行房屋面积数据采集外，遇特殊情况，按下列规定处理。</w:t>
      </w:r>
    </w:p>
    <w:p>
      <w:pPr>
        <w:pStyle w:val="176"/>
        <w:numPr>
          <w:ilvl w:val="0"/>
          <w:numId w:val="60"/>
        </w:numPr>
      </w:pPr>
      <w:r>
        <w:t>房屋建施图与电子图不一致时，建设单位需重新提交图件；</w:t>
      </w:r>
    </w:p>
    <w:p>
      <w:pPr>
        <w:pStyle w:val="176"/>
      </w:pPr>
      <w:r>
        <w:t>设计图纸上标注的分段尺寸之和与总长度，经校核不符时，应返回建设单位重新修正设计图；</w:t>
      </w:r>
    </w:p>
    <w:p>
      <w:pPr>
        <w:pStyle w:val="176"/>
      </w:pPr>
      <w:r>
        <w:t>设计图纸上局部无标注尺寸，也无法通过其它相关数据换算得到，通过图解法采集的边长数目超过5%的，应返回建设单位重新修正；</w:t>
      </w:r>
    </w:p>
    <w:p>
      <w:pPr>
        <w:pStyle w:val="176"/>
      </w:pPr>
      <w:r>
        <w:t>设计图纸上，因设计单位明显失误造成的错误，可由建设单位出具相关说明后予以确认；</w:t>
      </w:r>
    </w:p>
    <w:p>
      <w:pPr>
        <w:pStyle w:val="176"/>
      </w:pPr>
      <w:r>
        <w:t>各层外墙相应的抹灰层、保温层、外墙贴面等面积，分别计算在外半墙面积内；</w:t>
      </w:r>
    </w:p>
    <w:p>
      <w:pPr>
        <w:pStyle w:val="176"/>
      </w:pPr>
      <w:r>
        <w:t>预测算完成后，房屋设计发生变更的，预测面积应作变更测算。</w:t>
      </w:r>
    </w:p>
    <w:p>
      <w:pPr>
        <w:pStyle w:val="67"/>
        <w:spacing w:before="156" w:after="156"/>
      </w:pPr>
      <w:bookmarkStart w:id="204" w:name="_Toc404004829"/>
      <w:bookmarkEnd w:id="204"/>
      <w:bookmarkStart w:id="205" w:name="_Toc404085559"/>
      <w:r>
        <w:t>房屋面积实测的数据采集</w:t>
      </w:r>
      <w:bookmarkEnd w:id="205"/>
    </w:p>
    <w:p>
      <w:pPr>
        <w:pStyle w:val="96"/>
        <w:spacing w:before="156" w:after="156"/>
      </w:pPr>
      <w:r>
        <w:t>房屋面积实测数据及相关信息要素采集的参考依据</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房屋面积实测数据及相关信息根据房屋的实际情况，结合建设单位提交的文件资料进行采集。房屋面积实测数据及相关信息要素采集的参考依据主要包括以下内容：</w:t>
      </w:r>
    </w:p>
    <w:p>
      <w:pPr>
        <w:pStyle w:val="176"/>
        <w:numPr>
          <w:ilvl w:val="0"/>
          <w:numId w:val="61"/>
        </w:numPr>
      </w:pPr>
      <w:r>
        <w:t>土地使用权证明文件及附图（宗地图）；</w:t>
      </w:r>
    </w:p>
    <w:p>
      <w:pPr>
        <w:pStyle w:val="176"/>
      </w:pPr>
      <w:r>
        <w:t>建设工程规划许可证及其附件、附图（核位红线图、红线定位册）；</w:t>
      </w:r>
    </w:p>
    <w:p>
      <w:pPr>
        <w:pStyle w:val="176"/>
      </w:pPr>
      <w:r>
        <w:t>项目总平面图及各栋全套建筑施工图；</w:t>
      </w:r>
    </w:p>
    <w:p>
      <w:pPr>
        <w:pStyle w:val="176"/>
      </w:pPr>
      <w:r>
        <w:t>人防管理部门批准的防空平面设计图或说明性文件；</w:t>
      </w:r>
    </w:p>
    <w:p>
      <w:pPr>
        <w:pStyle w:val="176"/>
      </w:pPr>
      <w:r>
        <w:t>建设工程规划验收证明文件及其附件、附图（竣工图）；</w:t>
      </w:r>
    </w:p>
    <w:p>
      <w:pPr>
        <w:pStyle w:val="176"/>
      </w:pPr>
      <w:r>
        <w:t>建筑工程竣工验收备案证；</w:t>
      </w:r>
    </w:p>
    <w:p>
      <w:pPr>
        <w:pStyle w:val="176"/>
      </w:pPr>
      <w:r>
        <w:t>人防竣工验收证明文件；</w:t>
      </w:r>
    </w:p>
    <w:p>
      <w:pPr>
        <w:pStyle w:val="176"/>
      </w:pPr>
      <w:r>
        <w:t>建设单位出具的销售（分割）方案及共有面积的使用说明；</w:t>
      </w:r>
    </w:p>
    <w:p>
      <w:pPr>
        <w:pStyle w:val="176"/>
      </w:pPr>
      <w:r>
        <w:t>预测技术报告和相关资料(指已完成面积预测的项目)；</w:t>
      </w:r>
    </w:p>
    <w:p>
      <w:pPr>
        <w:pStyle w:val="176"/>
      </w:pPr>
      <w:r>
        <w:t>其他相关材料。</w:t>
      </w:r>
    </w:p>
    <w:p>
      <w:pPr>
        <w:pStyle w:val="96"/>
        <w:spacing w:before="156" w:after="156"/>
      </w:pPr>
      <w:r>
        <w:t>测量工具选择</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房屋面积的测算</w:t>
      </w:r>
      <w:r>
        <w:rPr>
          <w:rFonts w:hint="eastAsia" w:ascii="宋体" w:hAnsi="Times New Roman"/>
          <w:kern w:val="0"/>
          <w:szCs w:val="20"/>
        </w:rPr>
        <w:t>应</w:t>
      </w:r>
      <w:r>
        <w:rPr>
          <w:rFonts w:ascii="宋体" w:hAnsi="Times New Roman"/>
          <w:kern w:val="0"/>
          <w:szCs w:val="20"/>
        </w:rPr>
        <w:t>满足房产面积相应等级精度的要求，依据不同的精度要求选择相应的测量工具（见表6）。房屋边长测量工具应按要求进行定期检定，并满足相应的等级精度。</w:t>
      </w:r>
    </w:p>
    <w:p>
      <w:pPr>
        <w:pStyle w:val="114"/>
        <w:spacing w:before="156" w:after="156"/>
      </w:pPr>
      <w:r>
        <w:t xml:space="preserve">各等级测量应选用的测量工具 </w:t>
      </w:r>
    </w:p>
    <w:tbl>
      <w:tblPr>
        <w:tblStyle w:val="28"/>
        <w:tblW w:w="9364" w:type="dxa"/>
        <w:jc w:val="center"/>
        <w:tblLayout w:type="fixed"/>
        <w:tblCellMar>
          <w:top w:w="0" w:type="dxa"/>
          <w:left w:w="0" w:type="dxa"/>
          <w:bottom w:w="0" w:type="dxa"/>
          <w:right w:w="0" w:type="dxa"/>
        </w:tblCellMar>
      </w:tblPr>
      <w:tblGrid>
        <w:gridCol w:w="2030"/>
        <w:gridCol w:w="4769"/>
        <w:gridCol w:w="2565"/>
      </w:tblGrid>
      <w:tr>
        <w:tblPrEx>
          <w:tblCellMar>
            <w:top w:w="0" w:type="dxa"/>
            <w:left w:w="0" w:type="dxa"/>
            <w:bottom w:w="0" w:type="dxa"/>
            <w:right w:w="0" w:type="dxa"/>
          </w:tblCellMar>
        </w:tblPrEx>
        <w:trPr>
          <w:trHeight w:val="454" w:hRule="atLeast"/>
          <w:jc w:val="center"/>
        </w:trPr>
        <w:tc>
          <w:tcPr>
            <w:tcW w:w="2030" w:type="dxa"/>
            <w:tcBorders>
              <w:top w:val="single" w:color="000000" w:sz="4" w:space="0"/>
              <w:left w:val="single" w:color="000000" w:sz="4" w:space="0"/>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面积测算等级</w:t>
            </w:r>
          </w:p>
        </w:tc>
        <w:tc>
          <w:tcPr>
            <w:tcW w:w="4769"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选用的测量工具</w:t>
            </w:r>
          </w:p>
        </w:tc>
        <w:tc>
          <w:tcPr>
            <w:tcW w:w="2565" w:type="dxa"/>
            <w:tcBorders>
              <w:top w:val="single" w:color="000000" w:sz="4" w:space="0"/>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外业测量读取小数点后位数</w:t>
            </w:r>
          </w:p>
        </w:tc>
      </w:tr>
      <w:tr>
        <w:tblPrEx>
          <w:tblCellMar>
            <w:top w:w="0" w:type="dxa"/>
            <w:left w:w="0" w:type="dxa"/>
            <w:bottom w:w="0" w:type="dxa"/>
            <w:right w:w="0" w:type="dxa"/>
          </w:tblCellMar>
        </w:tblPrEx>
        <w:trPr>
          <w:trHeight w:val="454" w:hRule="atLeast"/>
          <w:jc w:val="center"/>
        </w:trPr>
        <w:tc>
          <w:tcPr>
            <w:tcW w:w="2030" w:type="dxa"/>
            <w:tcBorders>
              <w:top w:val="nil"/>
              <w:left w:val="single" w:color="000000" w:sz="4" w:space="0"/>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一</w:t>
            </w:r>
          </w:p>
        </w:tc>
        <w:tc>
          <w:tcPr>
            <w:tcW w:w="4769" w:type="dxa"/>
            <w:tcBorders>
              <w:top w:val="nil"/>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全站仪或测距仪</w:t>
            </w:r>
          </w:p>
        </w:tc>
        <w:tc>
          <w:tcPr>
            <w:tcW w:w="2565" w:type="dxa"/>
            <w:tcBorders>
              <w:top w:val="nil"/>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3</w:t>
            </w:r>
          </w:p>
        </w:tc>
      </w:tr>
      <w:tr>
        <w:tblPrEx>
          <w:tblCellMar>
            <w:top w:w="0" w:type="dxa"/>
            <w:left w:w="0" w:type="dxa"/>
            <w:bottom w:w="0" w:type="dxa"/>
            <w:right w:w="0" w:type="dxa"/>
          </w:tblCellMar>
        </w:tblPrEx>
        <w:trPr>
          <w:trHeight w:val="454" w:hRule="atLeast"/>
          <w:jc w:val="center"/>
        </w:trPr>
        <w:tc>
          <w:tcPr>
            <w:tcW w:w="2030" w:type="dxa"/>
            <w:tcBorders>
              <w:top w:val="nil"/>
              <w:left w:val="single" w:color="000000" w:sz="4" w:space="0"/>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二</w:t>
            </w:r>
          </w:p>
        </w:tc>
        <w:tc>
          <w:tcPr>
            <w:tcW w:w="4769" w:type="dxa"/>
            <w:tcBorders>
              <w:top w:val="nil"/>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手持式测距仪、玻璃纤维尺、钢卷尺</w:t>
            </w:r>
          </w:p>
        </w:tc>
        <w:tc>
          <w:tcPr>
            <w:tcW w:w="2565" w:type="dxa"/>
            <w:tcBorders>
              <w:top w:val="nil"/>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2</w:t>
            </w:r>
          </w:p>
        </w:tc>
      </w:tr>
      <w:tr>
        <w:tblPrEx>
          <w:tblCellMar>
            <w:top w:w="0" w:type="dxa"/>
            <w:left w:w="0" w:type="dxa"/>
            <w:bottom w:w="0" w:type="dxa"/>
            <w:right w:w="0" w:type="dxa"/>
          </w:tblCellMar>
        </w:tblPrEx>
        <w:trPr>
          <w:trHeight w:val="454" w:hRule="atLeast"/>
          <w:jc w:val="center"/>
        </w:trPr>
        <w:tc>
          <w:tcPr>
            <w:tcW w:w="2030" w:type="dxa"/>
            <w:tcBorders>
              <w:top w:val="nil"/>
              <w:left w:val="single" w:color="000000" w:sz="4" w:space="0"/>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三</w:t>
            </w:r>
          </w:p>
        </w:tc>
        <w:tc>
          <w:tcPr>
            <w:tcW w:w="4769" w:type="dxa"/>
            <w:tcBorders>
              <w:top w:val="nil"/>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玻璃纤维尺、皮尺</w:t>
            </w:r>
          </w:p>
        </w:tc>
        <w:tc>
          <w:tcPr>
            <w:tcW w:w="2565" w:type="dxa"/>
            <w:tcBorders>
              <w:top w:val="nil"/>
              <w:left w:val="nil"/>
              <w:bottom w:val="single" w:color="000000" w:sz="4" w:space="0"/>
              <w:right w:val="single" w:color="000000" w:sz="4" w:space="0"/>
            </w:tcBorders>
            <w:vAlign w:val="center"/>
          </w:tcPr>
          <w:p>
            <w:pPr>
              <w:widowControl/>
              <w:adjustRightInd/>
              <w:spacing w:line="320" w:lineRule="atLeast"/>
              <w:jc w:val="center"/>
              <w:rPr>
                <w:rFonts w:hint="eastAsia" w:ascii="宋体" w:hAnsi="宋体"/>
                <w:color w:val="000000"/>
                <w:kern w:val="0"/>
                <w:sz w:val="18"/>
                <w:szCs w:val="18"/>
              </w:rPr>
            </w:pPr>
            <w:r>
              <w:rPr>
                <w:rFonts w:ascii="宋体" w:hAnsi="宋体"/>
                <w:color w:val="000000"/>
                <w:kern w:val="0"/>
                <w:sz w:val="18"/>
                <w:szCs w:val="18"/>
              </w:rPr>
              <w:t>2</w:t>
            </w:r>
          </w:p>
        </w:tc>
      </w:tr>
    </w:tbl>
    <w:p>
      <w:pPr>
        <w:pStyle w:val="96"/>
        <w:spacing w:before="156" w:after="156"/>
      </w:pPr>
      <w:r>
        <w:t>边长测量一般规定</w:t>
      </w:r>
    </w:p>
    <w:p>
      <w:pPr>
        <w:widowControl/>
        <w:adjustRightInd/>
        <w:spacing w:line="240" w:lineRule="auto"/>
        <w:ind w:firstLine="420"/>
        <w:rPr>
          <w:rFonts w:hint="eastAsia" w:ascii="宋体" w:hAnsi="宋体" w:cs="宋体"/>
          <w:kern w:val="0"/>
        </w:rPr>
      </w:pPr>
      <w:r>
        <w:rPr>
          <w:rFonts w:ascii="宋体" w:hAnsi="宋体" w:cs="宋体"/>
          <w:kern w:val="0"/>
        </w:rPr>
        <w:t>房屋边长的测量按照下列规定执行：</w:t>
      </w:r>
    </w:p>
    <w:p>
      <w:pPr>
        <w:pStyle w:val="176"/>
        <w:numPr>
          <w:ilvl w:val="0"/>
          <w:numId w:val="62"/>
        </w:numPr>
      </w:pPr>
      <w:r>
        <w:t>直接量取房屋各边，应保持尺头尺尾在同一水平位置。使用红外测距仪或全站仪测量时，</w:t>
      </w:r>
      <w:r>
        <w:rPr>
          <w:color w:val="000000"/>
        </w:rPr>
        <w:t>宜</w:t>
      </w:r>
      <w:r>
        <w:t>使测线紧贴墙角并离地面约0.80m～1.20m处，并使测线两端保持在同一水平面上；</w:t>
      </w:r>
    </w:p>
    <w:p>
      <w:pPr>
        <w:pStyle w:val="176"/>
      </w:pPr>
      <w:r>
        <w:t>采集建筑物内的边长与墙体厚度数据时，应在未进行装饰贴面处理部位量取。采集建筑物外的边长与墙体厚度数据时，应沿建筑物外墙体的最外层表面的勒脚以上部位量取；</w:t>
      </w:r>
    </w:p>
    <w:p>
      <w:pPr>
        <w:pStyle w:val="176"/>
      </w:pPr>
      <w:r>
        <w:t>形状规则的房屋边长数据采集应进行总尺寸和分尺寸数据校核；</w:t>
      </w:r>
    </w:p>
    <w:p>
      <w:pPr>
        <w:pStyle w:val="176"/>
      </w:pPr>
      <w:r>
        <w:t>形状不规则或直接测量有困难的房屋，可实测房屋几何要素数据并进行至少一次多余观测，按几何公式计算面积；或采用实测房屋特征点坐标，按坐标点计算面积。实测坐标点的中误差应控制在±0.05m范围内；</w:t>
      </w:r>
    </w:p>
    <w:p>
      <w:pPr>
        <w:pStyle w:val="176"/>
      </w:pPr>
      <w:r>
        <w:t>房屋内部分基本单元的户型未分隔完成，如果不影响其它基本单元建筑面积计算的，可以根据需要分步实测，获取所需边长数据；</w:t>
      </w:r>
    </w:p>
    <w:p>
      <w:pPr>
        <w:pStyle w:val="176"/>
      </w:pPr>
      <w:r>
        <w:t>房屋边长尺寸经实地测量后，应进行配赋，满足相应几何条件的要求。房屋测量时应绘制草图，草图上所规定的信息要素应现场调查，填写完整，房产测绘草图图框见附录A；</w:t>
      </w:r>
    </w:p>
    <w:p>
      <w:pPr>
        <w:pStyle w:val="176"/>
      </w:pPr>
      <w:r>
        <w:t>房屋边长数据也可采用坐标解析法得到。</w:t>
      </w:r>
    </w:p>
    <w:p>
      <w:pPr>
        <w:pStyle w:val="96"/>
        <w:spacing w:before="156" w:after="156"/>
      </w:pPr>
      <w:r>
        <w:t>阳台、平台、廊、落地窗的数据采集</w:t>
      </w:r>
    </w:p>
    <w:p>
      <w:pPr>
        <w:widowControl/>
        <w:adjustRightInd/>
        <w:spacing w:line="240" w:lineRule="auto"/>
        <w:ind w:firstLine="420"/>
        <w:rPr>
          <w:rFonts w:hint="eastAsia" w:ascii="宋体" w:hAnsi="宋体" w:cs="宋体"/>
          <w:kern w:val="0"/>
        </w:rPr>
      </w:pPr>
      <w:r>
        <w:rPr>
          <w:rFonts w:ascii="宋体" w:hAnsi="宋体" w:cs="宋体"/>
          <w:kern w:val="0"/>
        </w:rPr>
        <w:t>阳台、平台、廊、落地窗的数据采集的要求如下：</w:t>
      </w:r>
    </w:p>
    <w:p>
      <w:pPr>
        <w:pStyle w:val="176"/>
        <w:numPr>
          <w:ilvl w:val="0"/>
          <w:numId w:val="63"/>
        </w:numPr>
        <w:rPr>
          <w:color w:val="FF0000"/>
        </w:rPr>
      </w:pPr>
      <w:r>
        <w:t xml:space="preserve">阳台采集的数据包括：阳台顶盖水平投影尺寸、阳台围护结构（围护设施）的尺寸，阳台顶板至底板的垂直距离；   </w:t>
      </w:r>
      <w:r>
        <w:rPr>
          <w:color w:val="FF0000"/>
        </w:rPr>
        <w:t xml:space="preserve">           </w:t>
      </w:r>
    </w:p>
    <w:p>
      <w:pPr>
        <w:pStyle w:val="176"/>
      </w:pPr>
      <w:r>
        <w:t>平台、露台应采集定位数据；</w:t>
      </w:r>
    </w:p>
    <w:p>
      <w:pPr>
        <w:pStyle w:val="176"/>
      </w:pPr>
      <w:r>
        <w:t>柱廊，应采集廊柱与廊围护结构之间的相对位置数据。无柱廊，应量取廊的顶盖水平投影面积及位置数据；</w:t>
      </w:r>
    </w:p>
    <w:p>
      <w:pPr>
        <w:pStyle w:val="176"/>
      </w:pPr>
      <w:r>
        <w:t>落地窗应量取底板到顶板之间的垂直距离。</w:t>
      </w:r>
    </w:p>
    <w:p>
      <w:pPr>
        <w:pStyle w:val="96"/>
        <w:spacing w:before="156" w:after="156"/>
      </w:pPr>
      <w:r>
        <w:t>无围护结构车位、商铺的边长数据采集</w:t>
      </w:r>
    </w:p>
    <w:p>
      <w:pPr>
        <w:widowControl/>
        <w:adjustRightInd/>
        <w:spacing w:line="240" w:lineRule="auto"/>
        <w:ind w:firstLine="420"/>
        <w:rPr>
          <w:rFonts w:hint="eastAsia" w:ascii="宋体" w:hAnsi="宋体" w:cs="宋体"/>
          <w:kern w:val="0"/>
        </w:rPr>
      </w:pPr>
      <w:r>
        <w:rPr>
          <w:rFonts w:ascii="宋体" w:hAnsi="宋体" w:cs="宋体"/>
          <w:kern w:val="0"/>
        </w:rPr>
        <w:t>车位（地上或地下车位）、商铺的基本单元，实地无围护结构的，应设有界址点，以量取界址点连线作为车位、商铺摊位的边长数据</w:t>
      </w:r>
      <w:r>
        <w:rPr>
          <w:rFonts w:hint="eastAsia" w:ascii="宋体" w:hAnsi="宋体" w:cs="宋体"/>
          <w:kern w:val="0"/>
        </w:rPr>
        <w:t>。</w:t>
      </w:r>
    </w:p>
    <w:p>
      <w:pPr>
        <w:pStyle w:val="96"/>
        <w:spacing w:before="156" w:after="156"/>
      </w:pPr>
      <w:r>
        <w:t>斜坡屋顶及倾斜房屋边长的数据采集</w:t>
      </w:r>
    </w:p>
    <w:p>
      <w:pPr>
        <w:widowControl/>
        <w:adjustRightInd/>
        <w:spacing w:line="240" w:lineRule="auto"/>
        <w:ind w:firstLine="420"/>
        <w:rPr>
          <w:rFonts w:hint="eastAsia" w:ascii="宋体" w:hAnsi="宋体" w:cs="宋体"/>
          <w:kern w:val="0"/>
        </w:rPr>
      </w:pPr>
      <w:r>
        <w:rPr>
          <w:rFonts w:ascii="宋体" w:hAnsi="宋体" w:cs="宋体"/>
          <w:kern w:val="0"/>
        </w:rPr>
        <w:t>斜坡屋顶及倾斜房屋边长的数据采集的要求如下：</w:t>
      </w:r>
    </w:p>
    <w:p>
      <w:pPr>
        <w:pStyle w:val="176"/>
        <w:numPr>
          <w:ilvl w:val="0"/>
          <w:numId w:val="64"/>
        </w:numPr>
      </w:pPr>
      <w:r>
        <w:t>斜屋面结构净高在2.10m以下的，应进行层高测量，并作相应记录；</w:t>
      </w:r>
    </w:p>
    <w:p>
      <w:pPr>
        <w:pStyle w:val="176"/>
      </w:pPr>
      <w:r>
        <w:t>房屋的屋顶为斜坡屋顶或房屋的墙体为内倾斜时，应分别测量净高在2.10m以上和以下两部分的边长数据并附略图说明；</w:t>
      </w:r>
    </w:p>
    <w:p>
      <w:pPr>
        <w:pStyle w:val="176"/>
      </w:pPr>
      <w:r>
        <w:t>房屋的墙体为向外倾斜时，边长尺寸应量至倾斜位置的底部</w:t>
      </w:r>
      <w:r>
        <w:rPr>
          <w:rFonts w:hint="eastAsia"/>
        </w:rPr>
        <w:t>。</w:t>
      </w:r>
      <w:r>
        <w:t xml:space="preserve"> </w:t>
      </w:r>
    </w:p>
    <w:p>
      <w:pPr>
        <w:pStyle w:val="107"/>
        <w:spacing w:before="156" w:after="156"/>
      </w:pPr>
      <w:bookmarkStart w:id="206" w:name="_Toc405534879"/>
      <w:bookmarkEnd w:id="206"/>
      <w:bookmarkStart w:id="207" w:name="_Toc406061444"/>
      <w:bookmarkEnd w:id="207"/>
      <w:bookmarkStart w:id="208" w:name="_Toc237470900"/>
      <w:bookmarkStart w:id="209" w:name="_Toc404085560"/>
      <w:bookmarkStart w:id="210" w:name="_Toc237015168"/>
      <w:r>
        <w:t>房屋面积测算的方法和要求</w:t>
      </w:r>
      <w:bookmarkEnd w:id="208"/>
      <w:bookmarkEnd w:id="209"/>
      <w:bookmarkEnd w:id="210"/>
    </w:p>
    <w:p>
      <w:pPr>
        <w:pStyle w:val="67"/>
        <w:spacing w:before="156" w:after="156"/>
      </w:pPr>
      <w:bookmarkStart w:id="211" w:name="_Toc404004831"/>
      <w:bookmarkEnd w:id="211"/>
      <w:bookmarkStart w:id="212" w:name="_Toc404085561"/>
      <w:r>
        <w:t>房屋面积测算的一般要求</w:t>
      </w:r>
      <w:bookmarkEnd w:id="212"/>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房屋面积测算应满足以下基本要求：</w:t>
      </w:r>
    </w:p>
    <w:p>
      <w:pPr>
        <w:pStyle w:val="176"/>
        <w:numPr>
          <w:ilvl w:val="0"/>
          <w:numId w:val="65"/>
        </w:numPr>
      </w:pPr>
      <w:r>
        <w:t>房屋面积测算是根据外业采集的数据进行整理配赋，利用面积计算软件或计算工具，计算出所需要的各项面积。面积计算方法包括几何解析法和坐标解析法。</w:t>
      </w:r>
    </w:p>
    <w:p>
      <w:pPr>
        <w:pStyle w:val="176"/>
      </w:pPr>
      <w:r>
        <w:t>房屋面积的测算包括房屋建筑面积、套内建筑面积、共有建筑面积、产权面积、使用面积等测算。其中套内建筑面积包括房屋套内使用面积、套内墙体面积和套内阳台建筑面积：</w:t>
      </w:r>
    </w:p>
    <w:p>
      <w:pPr>
        <w:pStyle w:val="111"/>
        <w:numPr>
          <w:ilvl w:val="1"/>
          <w:numId w:val="66"/>
        </w:numPr>
      </w:pPr>
      <w:r>
        <w:t>套内使用面积是指套内房屋使用空间的面积，以水平投影面积按以下规定计算：套内使用面积为套内卧室、起居室、过厅、过道、厨房、卫生间、厕所、贮藏室、壁柜等空间面积的总和；套内楼梯按自然层数的面积计入使用面积；不包括在结构面积以内的套内烟囱、通风道、管道井均计入使用面积；内墙面装饰厚度计入使用面积</w:t>
      </w:r>
      <w:r>
        <w:rPr>
          <w:rFonts w:hint="eastAsia"/>
        </w:rPr>
        <w:t>；</w:t>
      </w:r>
    </w:p>
    <w:p>
      <w:pPr>
        <w:pStyle w:val="111"/>
      </w:pPr>
      <w:r>
        <w:t>套内墙体面积是指套内使用空间周围的维护或承重墙体或其他承重支撑体所占的面积，其中各套之间的分隔墙和套与公共建筑空间的分隔墙以及外墙（包括山墙）等共有墙，均按水平投影面积的一半计入套内墙体面积。套内自有墙体按水平投影面积全部计入套内墙体面积</w:t>
      </w:r>
      <w:r>
        <w:rPr>
          <w:rFonts w:hint="eastAsia"/>
        </w:rPr>
        <w:t>；</w:t>
      </w:r>
    </w:p>
    <w:p>
      <w:pPr>
        <w:pStyle w:val="111"/>
      </w:pPr>
      <w:r>
        <w:t>套内阳台建筑面积依据本规程8.2和8.3.8的规定，按阳台外围或者阳台外围与房屋外墙之间的水平投影面积计算。</w:t>
      </w:r>
    </w:p>
    <w:p>
      <w:pPr>
        <w:widowControl/>
        <w:numPr>
          <w:ilvl w:val="0"/>
          <w:numId w:val="33"/>
        </w:numPr>
        <w:tabs>
          <w:tab w:val="left" w:pos="851"/>
        </w:tabs>
        <w:adjustRightInd/>
        <w:spacing w:line="240" w:lineRule="auto"/>
        <w:rPr>
          <w:rFonts w:ascii="宋体" w:hAnsi="Times New Roman"/>
          <w:kern w:val="0"/>
          <w:szCs w:val="20"/>
        </w:rPr>
      </w:pPr>
      <w:r>
        <w:rPr>
          <w:rFonts w:ascii="宋体" w:hAnsi="Times New Roman"/>
          <w:kern w:val="0"/>
          <w:szCs w:val="20"/>
        </w:rPr>
        <w:t>长度单位：边长以米为单位，标注边长尺寸取至小数点后两位，即：0.01m；</w:t>
      </w:r>
    </w:p>
    <w:p>
      <w:pPr>
        <w:widowControl/>
        <w:numPr>
          <w:ilvl w:val="0"/>
          <w:numId w:val="33"/>
        </w:numPr>
        <w:tabs>
          <w:tab w:val="left" w:pos="851"/>
        </w:tabs>
        <w:adjustRightInd/>
        <w:spacing w:line="240" w:lineRule="auto"/>
        <w:rPr>
          <w:rFonts w:ascii="宋体" w:hAnsi="Times New Roman"/>
          <w:kern w:val="0"/>
          <w:szCs w:val="20"/>
        </w:rPr>
      </w:pPr>
      <w:r>
        <w:rPr>
          <w:rFonts w:ascii="宋体" w:hAnsi="Times New Roman"/>
          <w:kern w:val="0"/>
          <w:szCs w:val="20"/>
        </w:rPr>
        <w:t>面积单位：房屋各类面积均以平方米为单位，最后结果保留小数点后两位，即：0.01m</w:t>
      </w:r>
      <w:r>
        <w:rPr>
          <w:rFonts w:ascii="宋体" w:hAnsi="Times New Roman"/>
          <w:kern w:val="0"/>
          <w:szCs w:val="20"/>
          <w:vertAlign w:val="superscript"/>
        </w:rPr>
        <w:t>2</w:t>
      </w:r>
      <w:r>
        <w:rPr>
          <w:rFonts w:ascii="宋体" w:hAnsi="Times New Roman"/>
          <w:kern w:val="0"/>
          <w:szCs w:val="20"/>
        </w:rPr>
        <w:t>；</w:t>
      </w:r>
    </w:p>
    <w:p>
      <w:pPr>
        <w:widowControl/>
        <w:numPr>
          <w:ilvl w:val="0"/>
          <w:numId w:val="33"/>
        </w:numPr>
        <w:tabs>
          <w:tab w:val="left" w:pos="851"/>
        </w:tabs>
        <w:adjustRightInd/>
        <w:spacing w:line="240" w:lineRule="auto"/>
        <w:rPr>
          <w:rFonts w:ascii="宋体" w:hAnsi="Times New Roman"/>
          <w:kern w:val="0"/>
          <w:szCs w:val="20"/>
        </w:rPr>
      </w:pPr>
      <w:r>
        <w:rPr>
          <w:rFonts w:ascii="宋体" w:hAnsi="Times New Roman"/>
          <w:kern w:val="0"/>
          <w:szCs w:val="20"/>
        </w:rPr>
        <w:t>取位原则：小数点后第三位按照“四舍六入、单进双不进”的原则。</w:t>
      </w:r>
    </w:p>
    <w:p>
      <w:pPr>
        <w:pStyle w:val="67"/>
        <w:spacing w:before="156" w:after="156"/>
      </w:pPr>
      <w:bookmarkStart w:id="213" w:name="_Toc404004832"/>
      <w:bookmarkEnd w:id="213"/>
      <w:bookmarkStart w:id="214" w:name="_Toc404085562"/>
      <w:r>
        <w:t>几何解析法计算面积</w:t>
      </w:r>
      <w:bookmarkEnd w:id="214"/>
    </w:p>
    <w:p>
      <w:pPr>
        <w:widowControl/>
        <w:adjustRightInd/>
        <w:spacing w:line="240" w:lineRule="auto"/>
        <w:ind w:firstLine="420"/>
        <w:rPr>
          <w:rFonts w:hint="eastAsia" w:ascii="宋体" w:hAnsi="宋体" w:cs="宋体"/>
          <w:kern w:val="0"/>
        </w:rPr>
      </w:pPr>
      <w:r>
        <w:rPr>
          <w:rFonts w:ascii="宋体" w:hAnsi="宋体" w:cs="宋体"/>
          <w:kern w:val="0"/>
        </w:rPr>
        <w:t>根据房屋水平投影的形状分割成若干几何图形，由几何图形面积计算公式，即可计算出各类面积的数值。</w:t>
      </w:r>
    </w:p>
    <w:p>
      <w:pPr>
        <w:pStyle w:val="67"/>
        <w:spacing w:before="156" w:after="156"/>
      </w:pPr>
      <w:bookmarkStart w:id="215" w:name="_Toc404004833"/>
      <w:bookmarkEnd w:id="215"/>
      <w:bookmarkStart w:id="216" w:name="_Toc404085563"/>
      <w:r>
        <w:t>坐标解析法计算面积</w:t>
      </w:r>
      <w:bookmarkEnd w:id="216"/>
    </w:p>
    <w:p>
      <w:pPr>
        <w:widowControl/>
        <w:adjustRightInd/>
        <w:spacing w:line="240" w:lineRule="auto"/>
        <w:ind w:firstLine="420"/>
        <w:rPr>
          <w:rFonts w:hint="eastAsia" w:ascii="宋体" w:hAnsi="宋体" w:cs="宋体"/>
          <w:kern w:val="0"/>
        </w:rPr>
      </w:pPr>
      <w:r>
        <w:rPr>
          <w:rFonts w:ascii="宋体" w:hAnsi="宋体" w:cs="宋体"/>
          <w:kern w:val="0"/>
        </w:rPr>
        <w:t>利用采集的房屋点的坐标值，根据本规程公式（3），即可计算出各类面积的数值。</w:t>
      </w:r>
    </w:p>
    <w:p>
      <w:pPr>
        <w:pStyle w:val="67"/>
        <w:spacing w:before="156" w:after="156"/>
      </w:pPr>
      <w:bookmarkStart w:id="217" w:name="_Toc404004834"/>
      <w:bookmarkEnd w:id="217"/>
      <w:bookmarkStart w:id="218" w:name="_Toc404085564"/>
      <w:r>
        <w:t>房屋面积测算技术报告书</w:t>
      </w:r>
      <w:bookmarkEnd w:id="218"/>
    </w:p>
    <w:p>
      <w:pPr>
        <w:widowControl/>
        <w:adjustRightInd/>
        <w:spacing w:line="240" w:lineRule="auto"/>
        <w:ind w:firstLine="420"/>
        <w:rPr>
          <w:rFonts w:hint="eastAsia" w:ascii="宋体" w:hAnsi="宋体" w:cs="宋体"/>
          <w:kern w:val="0"/>
        </w:rPr>
      </w:pPr>
      <w:r>
        <w:rPr>
          <w:rFonts w:ascii="宋体" w:hAnsi="宋体" w:cs="宋体"/>
          <w:kern w:val="0"/>
        </w:rPr>
        <w:t>房产测绘项目完成后，应出具《房产测绘技术报告书》。《房产测绘技术报告书》格式和式样见附录F。</w:t>
      </w:r>
    </w:p>
    <w:p>
      <w:pPr>
        <w:pStyle w:val="106"/>
        <w:spacing w:before="312" w:after="312"/>
      </w:pPr>
      <w:bookmarkStart w:id="219" w:name="_Toc405534880"/>
      <w:bookmarkEnd w:id="219"/>
      <w:bookmarkStart w:id="220" w:name="_Toc404085565"/>
      <w:bookmarkEnd w:id="220"/>
      <w:bookmarkStart w:id="221" w:name="_Toc392665354"/>
      <w:bookmarkEnd w:id="221"/>
      <w:bookmarkStart w:id="222" w:name="_Toc404004835"/>
      <w:bookmarkEnd w:id="222"/>
      <w:bookmarkStart w:id="223" w:name="_Toc406061445"/>
      <w:bookmarkStart w:id="224" w:name="_Toc237015169"/>
      <w:bookmarkStart w:id="225" w:name="_Toc237470901"/>
      <w:r>
        <w:t>建筑面积计算规定</w:t>
      </w:r>
      <w:bookmarkEnd w:id="223"/>
      <w:bookmarkEnd w:id="224"/>
      <w:bookmarkEnd w:id="225"/>
    </w:p>
    <w:p>
      <w:pPr>
        <w:pStyle w:val="107"/>
        <w:spacing w:before="156" w:after="156"/>
      </w:pPr>
      <w:bookmarkStart w:id="226" w:name="_Toc392665355"/>
      <w:bookmarkEnd w:id="226"/>
      <w:bookmarkStart w:id="227" w:name="_Toc406061446"/>
      <w:bookmarkEnd w:id="227"/>
      <w:bookmarkStart w:id="228" w:name="_Toc405534881"/>
      <w:bookmarkEnd w:id="228"/>
      <w:bookmarkStart w:id="229" w:name="_Toc404004836"/>
      <w:bookmarkEnd w:id="229"/>
      <w:bookmarkStart w:id="230" w:name="_Toc404085566"/>
      <w:bookmarkStart w:id="231" w:name="_Toc237015170"/>
      <w:bookmarkStart w:id="232" w:name="_Toc237470902"/>
      <w:r>
        <w:t>房屋建筑面积的计算</w:t>
      </w:r>
      <w:bookmarkEnd w:id="230"/>
      <w:bookmarkEnd w:id="231"/>
      <w:bookmarkEnd w:id="232"/>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房屋建筑面积计算应满足以下要求：</w:t>
      </w:r>
    </w:p>
    <w:p>
      <w:pPr>
        <w:pStyle w:val="176"/>
        <w:numPr>
          <w:ilvl w:val="0"/>
          <w:numId w:val="67"/>
        </w:numPr>
      </w:pPr>
      <w:r>
        <w:t>房屋建筑面积计算的单位为幢；</w:t>
      </w:r>
    </w:p>
    <w:p>
      <w:pPr>
        <w:pStyle w:val="176"/>
      </w:pPr>
      <w:r>
        <w:t>总建筑面积应按地上和地下建筑面积之和计算，地上和地下建筑面积应分别计算。室外设计地坪以上的建筑空间，其建筑面积应计入地上建筑面积；室外设计地坪以下的建筑空间，其建筑面积应计入地下建筑面积。</w:t>
      </w:r>
    </w:p>
    <w:p>
      <w:pPr>
        <w:pStyle w:val="107"/>
        <w:spacing w:before="156" w:after="156"/>
      </w:pPr>
      <w:bookmarkStart w:id="233" w:name="_Toc404004837"/>
      <w:bookmarkEnd w:id="233"/>
      <w:bookmarkStart w:id="234" w:name="_Toc406061447"/>
      <w:bookmarkEnd w:id="234"/>
      <w:bookmarkStart w:id="235" w:name="_Toc392665356"/>
      <w:bookmarkEnd w:id="235"/>
      <w:bookmarkStart w:id="236" w:name="_Toc404085567"/>
      <w:bookmarkEnd w:id="236"/>
      <w:bookmarkStart w:id="237" w:name="_Toc405534882"/>
      <w:bookmarkStart w:id="238" w:name="_Toc237015171"/>
      <w:bookmarkStart w:id="239" w:name="_Toc237470903"/>
      <w:r>
        <w:t>房屋建筑面积计算一般规定</w:t>
      </w:r>
      <w:bookmarkEnd w:id="237"/>
      <w:bookmarkEnd w:id="238"/>
      <w:bookmarkEnd w:id="239"/>
    </w:p>
    <w:p>
      <w:pPr>
        <w:pStyle w:val="67"/>
        <w:spacing w:before="156" w:after="156"/>
      </w:pPr>
      <w:bookmarkStart w:id="240" w:name="_Toc404004838"/>
      <w:bookmarkEnd w:id="240"/>
      <w:bookmarkStart w:id="241" w:name="_Toc404085568"/>
      <w:r>
        <w:t>计算全部建筑面积的范围</w:t>
      </w:r>
      <w:bookmarkEnd w:id="241"/>
    </w:p>
    <w:p>
      <w:pPr>
        <w:widowControl/>
        <w:adjustRightInd/>
        <w:spacing w:line="240" w:lineRule="auto"/>
        <w:ind w:firstLine="420"/>
        <w:rPr>
          <w:rFonts w:hint="eastAsia" w:ascii="宋体" w:hAnsi="宋体" w:cs="宋体"/>
          <w:kern w:val="0"/>
        </w:rPr>
      </w:pPr>
      <w:r>
        <w:rPr>
          <w:rFonts w:ascii="宋体" w:hAnsi="宋体" w:cs="宋体"/>
          <w:kern w:val="0"/>
        </w:rPr>
        <w:t>计算全部建筑面积的情形如下：</w:t>
      </w:r>
    </w:p>
    <w:p>
      <w:pPr>
        <w:widowControl/>
        <w:numPr>
          <w:ilvl w:val="0"/>
          <w:numId w:val="68"/>
        </w:numPr>
        <w:adjustRightInd/>
        <w:spacing w:line="240" w:lineRule="auto"/>
        <w:ind w:left="840" w:hanging="420"/>
        <w:rPr>
          <w:rFonts w:hint="eastAsia" w:ascii="宋体" w:hAnsi="宋体" w:cs="宋体"/>
          <w:kern w:val="0"/>
        </w:rPr>
      </w:pPr>
      <w:r>
        <w:rPr>
          <w:rFonts w:ascii="宋体" w:hAnsi="宋体" w:cs="宋体"/>
          <w:kern w:val="0"/>
        </w:rPr>
        <w:t>永久性结构的单层房屋，按一层计算建筑面积；多层房屋按各层建筑面积的总和计算建筑面积；</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房屋内的夹层、插层、技术层、结构转换层及其梯间、电梯间等，其层高在2.20m及其以上部位计算建筑面积；</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穿过房屋的通道，房屋内的门厅、大厅，均按一层计算面积。门厅、大厅内的回廊部分，层高在2.20m及其以上的，按其水平投影面积计算；</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楼梯间、电梯(观光梯)井、提物井、烟道、风道、垃圾道、管道井等均按房屋自然层计算建筑面积；</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房屋屋面上属永久性建筑，层高在2.20m及其以上的楼梯间、水箱间、电梯机房及斜面结构屋顶，层高在2.20m及以上的部位，按其外围水平投影面积计算；</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挑楼、封闭的阳台按其外围水平投影面积计算；</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属永久性结构有上盖的室外楼梯，按各层水平投影面积计算；</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与房屋相连的有柱走廊，两房屋间有上盖和双排柱的连廊，均按其柱的外围水平投影面积计算；</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房屋间永久性的封闭的架空通廊，按外围水平投影面积计算；</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地下室、半地下室及其相应出入口，层高在2.20m及其以上的，按其外墙(不包括采光井、防潮层及保护墙)外围水平投影面积计算。连接多栋房屋的地下室及独立的地下车库、地下广场、商场等地下房屋，层高在2.20m及其以上的，计算建筑面积；</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有柱或有围护结构的门廊、门斗，按其柱或围护结构的外围水平投影面积计算；</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属永久性建筑有双排柱的车棚、货棚等按柱的外围水平投影面积计算；</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与室内任意一边相通，并被利用的伸缩缝，计算建筑面积；</w:t>
      </w:r>
    </w:p>
    <w:p>
      <w:pPr>
        <w:widowControl/>
        <w:numPr>
          <w:ilvl w:val="0"/>
          <w:numId w:val="68"/>
        </w:numPr>
        <w:adjustRightInd/>
        <w:spacing w:before="100" w:beforeAutospacing="1" w:after="100" w:afterAutospacing="1" w:line="240" w:lineRule="auto"/>
        <w:rPr>
          <w:rFonts w:hint="eastAsia" w:ascii="宋体" w:hAnsi="宋体" w:cs="宋体"/>
          <w:kern w:val="0"/>
        </w:rPr>
      </w:pPr>
      <w:r>
        <w:rPr>
          <w:rFonts w:ascii="宋体" w:hAnsi="宋体" w:cs="宋体"/>
          <w:kern w:val="0"/>
        </w:rPr>
        <w:t>舞台灯光控制室,以围护结构外围水平投影面积按实际层数计算；</w:t>
      </w:r>
    </w:p>
    <w:p>
      <w:pPr>
        <w:widowControl/>
        <w:numPr>
          <w:ilvl w:val="0"/>
          <w:numId w:val="68"/>
        </w:numPr>
        <w:adjustRightInd/>
        <w:spacing w:line="240" w:lineRule="auto"/>
        <w:ind w:left="840" w:hanging="420"/>
        <w:rPr>
          <w:rFonts w:hint="eastAsia" w:ascii="宋体" w:hAnsi="宋体" w:cs="宋体"/>
          <w:kern w:val="0"/>
        </w:rPr>
      </w:pPr>
      <w:r>
        <w:rPr>
          <w:rFonts w:ascii="宋体" w:hAnsi="宋体" w:cs="宋体"/>
          <w:kern w:val="0"/>
        </w:rPr>
        <w:t>室内体育馆、剧院等场馆按实际层数计算建筑面积。看台下方空间加以利用的，高度在2.20m及其以上的部位，以围护结构外围水平投影面积按实际层数计算。</w:t>
      </w:r>
    </w:p>
    <w:p>
      <w:pPr>
        <w:pStyle w:val="67"/>
        <w:spacing w:before="156" w:after="156"/>
      </w:pPr>
      <w:bookmarkStart w:id="242" w:name="_Toc404004839"/>
      <w:bookmarkEnd w:id="242"/>
      <w:bookmarkStart w:id="243" w:name="_Toc404085569"/>
      <w:r>
        <w:t>计算一半建筑面积的范围</w:t>
      </w:r>
      <w:bookmarkEnd w:id="243"/>
    </w:p>
    <w:p>
      <w:pPr>
        <w:widowControl/>
        <w:adjustRightInd/>
        <w:spacing w:line="240" w:lineRule="auto"/>
        <w:ind w:firstLine="420"/>
        <w:rPr>
          <w:rFonts w:hint="eastAsia" w:ascii="宋体" w:hAnsi="宋体" w:cs="宋体"/>
          <w:kern w:val="0"/>
        </w:rPr>
      </w:pPr>
      <w:r>
        <w:rPr>
          <w:rFonts w:ascii="宋体" w:hAnsi="宋体" w:cs="宋体"/>
          <w:kern w:val="0"/>
        </w:rPr>
        <w:t>计算一半建筑面积的情形如下：</w:t>
      </w:r>
    </w:p>
    <w:p>
      <w:pPr>
        <w:widowControl/>
        <w:numPr>
          <w:ilvl w:val="0"/>
          <w:numId w:val="69"/>
        </w:numPr>
        <w:adjustRightInd/>
        <w:spacing w:line="240" w:lineRule="auto"/>
        <w:ind w:left="840" w:hanging="420"/>
        <w:rPr>
          <w:rFonts w:hint="eastAsia" w:ascii="宋体" w:hAnsi="宋体" w:cs="宋体"/>
          <w:kern w:val="0"/>
        </w:rPr>
      </w:pPr>
      <w:r>
        <w:rPr>
          <w:rFonts w:ascii="宋体" w:hAnsi="宋体" w:cs="宋体"/>
          <w:kern w:val="0"/>
        </w:rPr>
        <w:t>与房屋相连有上盖无柱未封闭的走廊、檐廊、连廊、永久性架空通廊按其围护结构外围水平投影面积的一半计算；</w:t>
      </w:r>
    </w:p>
    <w:p>
      <w:pPr>
        <w:widowControl/>
        <w:numPr>
          <w:ilvl w:val="0"/>
          <w:numId w:val="69"/>
        </w:numPr>
        <w:adjustRightInd/>
        <w:spacing w:line="240" w:lineRule="auto"/>
        <w:ind w:left="840" w:hanging="420"/>
        <w:rPr>
          <w:rFonts w:hint="eastAsia" w:ascii="宋体" w:hAnsi="宋体" w:cs="宋体"/>
          <w:kern w:val="0"/>
        </w:rPr>
      </w:pPr>
      <w:r>
        <w:rPr>
          <w:rFonts w:ascii="宋体" w:hAnsi="宋体" w:cs="宋体"/>
          <w:kern w:val="0"/>
        </w:rPr>
        <w:t>独立柱、单排柱的门廊、连廊、车棚、货棚等属永久性建筑的，按其上盖水平投影面积的一半计算；</w:t>
      </w:r>
    </w:p>
    <w:p>
      <w:pPr>
        <w:widowControl/>
        <w:numPr>
          <w:ilvl w:val="0"/>
          <w:numId w:val="69"/>
        </w:numPr>
        <w:adjustRightInd/>
        <w:spacing w:line="240" w:lineRule="auto"/>
        <w:ind w:left="840" w:hanging="420"/>
        <w:rPr>
          <w:rFonts w:hint="eastAsia" w:ascii="宋体" w:hAnsi="宋体" w:cs="宋体"/>
          <w:kern w:val="0"/>
        </w:rPr>
      </w:pPr>
      <w:r>
        <w:rPr>
          <w:rFonts w:ascii="宋体" w:hAnsi="宋体" w:cs="宋体"/>
          <w:kern w:val="0"/>
        </w:rPr>
        <w:t>未封闭的阳台、挑廊，按其围护结构外围水平投影内上盖水平投影面积的一半计算；</w:t>
      </w:r>
    </w:p>
    <w:p>
      <w:pPr>
        <w:widowControl/>
        <w:numPr>
          <w:ilvl w:val="0"/>
          <w:numId w:val="69"/>
        </w:numPr>
        <w:adjustRightInd/>
        <w:spacing w:line="240" w:lineRule="auto"/>
        <w:ind w:left="840" w:hanging="420"/>
        <w:rPr>
          <w:rFonts w:hint="eastAsia" w:ascii="宋体" w:hAnsi="宋体" w:cs="宋体"/>
          <w:kern w:val="0"/>
        </w:rPr>
      </w:pPr>
      <w:r>
        <w:rPr>
          <w:rFonts w:ascii="宋体" w:hAnsi="宋体" w:cs="宋体"/>
          <w:kern w:val="0"/>
        </w:rPr>
        <w:t>无上盖的室外楼梯按各层水平投影面积的一半计算。</w:t>
      </w:r>
    </w:p>
    <w:p>
      <w:pPr>
        <w:pStyle w:val="67"/>
        <w:spacing w:before="156" w:after="156"/>
      </w:pPr>
      <w:bookmarkStart w:id="244" w:name="_Toc404004840"/>
      <w:bookmarkEnd w:id="244"/>
      <w:bookmarkStart w:id="245" w:name="_Toc404085570"/>
      <w:r>
        <w:t>不计算建筑面积的范围</w:t>
      </w:r>
      <w:bookmarkEnd w:id="245"/>
    </w:p>
    <w:p>
      <w:pPr>
        <w:widowControl/>
        <w:adjustRightInd/>
        <w:spacing w:line="240" w:lineRule="auto"/>
        <w:ind w:firstLine="420"/>
        <w:rPr>
          <w:rFonts w:hint="eastAsia" w:ascii="宋体" w:hAnsi="宋体" w:cs="宋体"/>
          <w:kern w:val="0"/>
        </w:rPr>
      </w:pPr>
      <w:r>
        <w:rPr>
          <w:rFonts w:ascii="宋体" w:hAnsi="宋体" w:cs="宋体"/>
          <w:kern w:val="0"/>
        </w:rPr>
        <w:t>不计算建筑面积的情形如下：</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层高小于2.20m的房屋，包括夹层、插层、技术层、架空层及其楼梯间和电梯间，以及层高小于2.20m的地下室和半地下室及其楼梯间和电梯间等；</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突出房屋墙面的构件、配件、装饰性的玻璃幕墙、金属幕墙及其它材料幕墙、垛、勒脚、台阶、无柱雨篷等；</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房屋之间无上盖的架空通廊、无上盖的阳台、挑廊等；</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房屋的天面、挑台、露台，以及天面上的花园、泳池；</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建筑物内的操作平台、上料平台及利用建筑物的空间安置箱、罐的平台；</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骑楼、过街楼的底层用作道路、街巷通行的部分；</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利用引桥、高架路、高架桥、路面作为上盖建造的房屋；</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活动房屋、临时房屋、简易房屋；</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非化工企业用地内的独立的烟囱、烟道、地沟、液体储罐（含油（水）罐、氧气罐、氮气罐等）、气柜、水塔、贮油（水）池、贮仓、栈桥和防爆波电缆井等构筑物；</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与房屋室内不相通的房屋伸缩缝；</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检修、消防等用途的爬梯、简易楼梯；</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夹层、插层内与之不相通的楼梯间、电梯间（观光电梯）、垃圾道、管道井等；</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挑楼、挑廊、檐廊和阳台的底板在房屋底层的投影范围，且无围护结构；</w:t>
      </w:r>
    </w:p>
    <w:p>
      <w:pPr>
        <w:widowControl/>
        <w:numPr>
          <w:ilvl w:val="0"/>
          <w:numId w:val="70"/>
        </w:numPr>
        <w:adjustRightInd/>
        <w:spacing w:line="240" w:lineRule="auto"/>
        <w:ind w:left="840" w:hanging="420"/>
        <w:rPr>
          <w:rFonts w:hint="eastAsia" w:ascii="宋体" w:hAnsi="宋体" w:cs="宋体"/>
          <w:color w:val="000000"/>
          <w:kern w:val="0"/>
        </w:rPr>
      </w:pPr>
      <w:r>
        <w:rPr>
          <w:rFonts w:ascii="宋体" w:hAnsi="宋体" w:cs="宋体"/>
          <w:color w:val="000000"/>
          <w:kern w:val="0"/>
        </w:rPr>
        <w:t>与房屋内部不相通的类似于阳台、挑廊、檐廊等的建筑；</w:t>
      </w:r>
    </w:p>
    <w:p>
      <w:pPr>
        <w:widowControl/>
        <w:numPr>
          <w:ilvl w:val="0"/>
          <w:numId w:val="70"/>
        </w:numPr>
        <w:adjustRightInd/>
        <w:spacing w:line="240" w:lineRule="auto"/>
        <w:ind w:left="840" w:hanging="420"/>
        <w:rPr>
          <w:rFonts w:hint="eastAsia" w:ascii="宋体" w:hAnsi="宋体" w:cs="宋体"/>
          <w:color w:val="000000"/>
          <w:kern w:val="0"/>
        </w:rPr>
      </w:pPr>
      <w:r>
        <w:rPr>
          <w:rFonts w:ascii="宋体" w:hAnsi="宋体" w:cs="宋体"/>
          <w:color w:val="000000"/>
          <w:kern w:val="0"/>
        </w:rPr>
        <w:t>楼梯已计算建筑面积的，其下方空间，无论是否利用的；借用房屋屋面作为楼梯通行的部分；</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房屋内的中空部分</w:t>
      </w:r>
      <w:r>
        <w:rPr>
          <w:rFonts w:ascii="宋体" w:hAnsi="宋体" w:cs="宋体"/>
          <w:color w:val="000000"/>
          <w:kern w:val="0"/>
        </w:rPr>
        <w:t>；</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无围护结构的观光电梯，以及既有建筑增设的观光电梯；</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地铁、地下快速路等公共设施出地面的排气通道（井、口部）、房屋突出屋面独立设置的通风井、排气井等；</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不形成建筑空间，起隔热作用的闷顶层；</w:t>
      </w:r>
    </w:p>
    <w:p>
      <w:pPr>
        <w:widowControl/>
        <w:numPr>
          <w:ilvl w:val="0"/>
          <w:numId w:val="70"/>
        </w:numPr>
        <w:adjustRightInd/>
        <w:spacing w:line="240" w:lineRule="auto"/>
        <w:ind w:left="840" w:hanging="420"/>
        <w:rPr>
          <w:rFonts w:hint="eastAsia" w:ascii="宋体" w:hAnsi="宋体" w:cs="宋体"/>
          <w:kern w:val="0"/>
        </w:rPr>
      </w:pPr>
      <w:r>
        <w:rPr>
          <w:rFonts w:ascii="宋体" w:hAnsi="宋体" w:cs="宋体"/>
          <w:kern w:val="0"/>
        </w:rPr>
        <w:t>屋顶电梯机房下方设有的缓冲层。</w:t>
      </w:r>
    </w:p>
    <w:p>
      <w:pPr>
        <w:pStyle w:val="107"/>
        <w:spacing w:before="156" w:after="156"/>
      </w:pPr>
      <w:bookmarkStart w:id="246" w:name="_Toc406061448"/>
      <w:bookmarkEnd w:id="246"/>
      <w:bookmarkStart w:id="247" w:name="_Toc392665357"/>
      <w:bookmarkEnd w:id="247"/>
      <w:bookmarkStart w:id="248" w:name="_Toc404004841"/>
      <w:bookmarkEnd w:id="248"/>
      <w:bookmarkStart w:id="249" w:name="_Toc404085571"/>
      <w:bookmarkEnd w:id="249"/>
      <w:bookmarkStart w:id="250" w:name="_Toc405534883"/>
      <w:bookmarkStart w:id="251" w:name="_Toc237015172"/>
      <w:bookmarkStart w:id="252" w:name="_Toc237470904"/>
      <w:r>
        <w:t>建筑面积计算细则</w:t>
      </w:r>
      <w:bookmarkEnd w:id="250"/>
      <w:bookmarkEnd w:id="251"/>
      <w:bookmarkEnd w:id="252"/>
    </w:p>
    <w:p>
      <w:pPr>
        <w:pStyle w:val="67"/>
        <w:spacing w:before="156" w:after="156"/>
      </w:pPr>
      <w:bookmarkStart w:id="253" w:name="_Toc404004842"/>
      <w:bookmarkEnd w:id="253"/>
      <w:bookmarkStart w:id="254" w:name="_Toc404085572"/>
      <w:r>
        <w:t>房屋层高的确定</w:t>
      </w:r>
      <w:bookmarkEnd w:id="254"/>
    </w:p>
    <w:p>
      <w:pPr>
        <w:widowControl/>
        <w:adjustRightInd/>
        <w:spacing w:line="240" w:lineRule="auto"/>
        <w:ind w:firstLine="420"/>
        <w:rPr>
          <w:rFonts w:hint="eastAsia" w:ascii="宋体" w:hAnsi="宋体" w:cs="宋体"/>
          <w:kern w:val="0"/>
        </w:rPr>
      </w:pPr>
      <w:r>
        <w:rPr>
          <w:rFonts w:ascii="宋体" w:hAnsi="宋体" w:cs="宋体"/>
          <w:kern w:val="0"/>
        </w:rPr>
        <w:t>一个楼层内因结构梁、反梁、垫层等形成的局部高度不足2.20m的部分，其层高仍取所在楼层的层高值。如图14所示。</w:t>
      </w:r>
    </w:p>
    <w:p>
      <w:pPr>
        <w:widowControl/>
        <w:adjustRightInd/>
        <w:spacing w:line="240" w:lineRule="auto"/>
        <w:jc w:val="center"/>
        <w:rPr>
          <w:rFonts w:hint="eastAsia" w:ascii="宋体" w:hAnsi="宋体"/>
          <w:kern w:val="0"/>
          <w:sz w:val="24"/>
          <w:szCs w:val="24"/>
        </w:rPr>
      </w:pPr>
      <w:r>
        <w:rPr>
          <w:rFonts w:ascii="Times New Roman" w:hAnsi="Times New Roman"/>
          <w:kern w:val="0"/>
        </w:rPr>
        <w:drawing>
          <wp:inline distT="0" distB="0" distL="0" distR="0">
            <wp:extent cx="2076450" cy="1657350"/>
            <wp:effectExtent l="0" t="0" r="0" b="0"/>
            <wp:docPr id="67" name="图片 67" descr="C:\Users\jn\AppData\Local\Temp\ksohtml4520\wps30.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7" name="图片 67" descr="C:\Users\jn\AppData\Local\Temp\ksohtml4520\wps30.jpg"/>
                    <pic:cNvPicPr>
                      <a:picLocks noChangeAspect="true" noChangeArrowheads="true"/>
                    </pic:cNvPicPr>
                  </pic:nvPicPr>
                  <pic:blipFill>
                    <a:blip r:embed="rId89">
                      <a:extLst>
                        <a:ext uri="{28A0092B-C50C-407E-A947-70E740481C1C}">
                          <a14:useLocalDpi xmlns:a14="http://schemas.microsoft.com/office/drawing/2010/main" val="false"/>
                        </a:ext>
                      </a:extLst>
                    </a:blip>
                    <a:srcRect/>
                    <a:stretch>
                      <a:fillRect/>
                    </a:stretch>
                  </pic:blipFill>
                  <pic:spPr>
                    <a:xfrm>
                      <a:off x="0" y="0"/>
                      <a:ext cx="2076450" cy="1657350"/>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rPr>
          <w:rFonts w:hint="eastAsia" w:hAnsi="黑体"/>
        </w:rPr>
      </w:pPr>
      <w:r>
        <w:t xml:space="preserve">层高示意图 </w:t>
      </w:r>
    </w:p>
    <w:p>
      <w:pPr>
        <w:pStyle w:val="67"/>
        <w:spacing w:before="156" w:after="156"/>
        <w:rPr>
          <w:color w:val="000000"/>
        </w:rPr>
      </w:pPr>
      <w:bookmarkStart w:id="255" w:name="_Toc404004843"/>
      <w:bookmarkEnd w:id="255"/>
      <w:bookmarkStart w:id="256" w:name="_Toc404085573"/>
      <w:r>
        <w:t>对倾斜、弧状等非垂直墙体（或围护物）的面积计算</w:t>
      </w:r>
      <w:bookmarkEnd w:id="256"/>
    </w:p>
    <w:p>
      <w:pPr>
        <w:widowControl/>
        <w:adjustRightInd/>
        <w:spacing w:line="240" w:lineRule="auto"/>
        <w:ind w:firstLine="420"/>
        <w:rPr>
          <w:rFonts w:hint="eastAsia" w:ascii="宋体" w:hAnsi="宋体" w:cs="宋体"/>
          <w:color w:val="000000"/>
          <w:kern w:val="0"/>
        </w:rPr>
      </w:pPr>
      <w:r>
        <w:rPr>
          <w:rFonts w:ascii="宋体" w:hAnsi="宋体" w:cs="宋体"/>
          <w:kern w:val="0"/>
        </w:rPr>
        <w:t>倾斜、弧状等非垂直墙体（或围护物）的房屋，层高在2.20m及其以上的部位计算建筑面积。房屋墙体（或围护物）向外倾斜，超出底板外沿的，以墙体（或围护物）底部外围水平投影面积计算；房屋墙体（或围护物）向内倾斜，按距底板层高2.20m及其以上（或结构净高2.10m及以上）部位的水平投影计算建筑面积。</w:t>
      </w:r>
    </w:p>
    <w:p>
      <w:pPr>
        <w:pStyle w:val="67"/>
        <w:spacing w:before="156" w:after="156"/>
      </w:pPr>
      <w:bookmarkStart w:id="257" w:name="_Toc404004844"/>
      <w:bookmarkEnd w:id="257"/>
      <w:bookmarkStart w:id="258" w:name="_Toc404085574"/>
      <w:r>
        <w:t>门廊面积计算</w:t>
      </w:r>
      <w:bookmarkEnd w:id="258"/>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门廊面积计算方法如下：</w:t>
      </w:r>
    </w:p>
    <w:p>
      <w:pPr>
        <w:pStyle w:val="176"/>
        <w:numPr>
          <w:ilvl w:val="0"/>
          <w:numId w:val="71"/>
        </w:numPr>
      </w:pPr>
      <w:r>
        <w:t>无柱门廊，不计算建筑面积。如图15所示；</w:t>
      </w:r>
    </w:p>
    <w:p>
      <w:pPr>
        <w:widowControl/>
        <w:adjustRightInd/>
        <w:spacing w:line="240" w:lineRule="auto"/>
        <w:jc w:val="center"/>
        <w:rPr>
          <w:rFonts w:hint="eastAsia" w:ascii="宋体" w:hAnsi="宋体"/>
          <w:kern w:val="0"/>
          <w:sz w:val="24"/>
          <w:szCs w:val="24"/>
        </w:rPr>
      </w:pPr>
      <w:r>
        <w:rPr>
          <w:rFonts w:ascii="Times New Roman" w:hAnsi="Times New Roman"/>
          <w:kern w:val="0"/>
        </w:rPr>
        <w:drawing>
          <wp:inline distT="0" distB="0" distL="114300" distR="114300">
            <wp:extent cx="4447540" cy="1476375"/>
            <wp:effectExtent l="0" t="0" r="10160" b="9525"/>
            <wp:docPr id="1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true"/>
                    </pic:cNvPicPr>
                  </pic:nvPicPr>
                  <pic:blipFill>
                    <a:blip r:embed="rId90" r:link="rId91"/>
                    <a:stretch>
                      <a:fillRect/>
                    </a:stretch>
                  </pic:blipFill>
                  <pic:spPr>
                    <a:xfrm>
                      <a:off x="0" y="0"/>
                      <a:ext cx="4447540" cy="1476375"/>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pPr>
      <w:r>
        <w:t xml:space="preserve">房屋门廊示例1 </w:t>
      </w:r>
    </w:p>
    <w:p>
      <w:pPr>
        <w:pStyle w:val="176"/>
      </w:pPr>
      <w:r>
        <w:t>独立柱或单排柱的门廊，按其上盖水平投影面积的一半计算建筑面积。如图16所示；</w:t>
      </w:r>
    </w:p>
    <w:p>
      <w:pPr>
        <w:widowControl/>
        <w:adjustRightInd/>
        <w:spacing w:line="240" w:lineRule="auto"/>
        <w:jc w:val="center"/>
        <w:rPr>
          <w:rFonts w:hint="eastAsia" w:ascii="宋体" w:hAnsi="宋体"/>
          <w:kern w:val="0"/>
          <w:sz w:val="24"/>
          <w:szCs w:val="24"/>
        </w:rPr>
      </w:pPr>
      <w:r>
        <w:rPr>
          <w:rFonts w:ascii="Times New Roman" w:hAnsi="Times New Roman"/>
          <w:kern w:val="0"/>
        </w:rPr>
        <w:drawing>
          <wp:inline distT="0" distB="0" distL="114300" distR="114300">
            <wp:extent cx="4514215" cy="1485900"/>
            <wp:effectExtent l="0" t="0" r="635" b="0"/>
            <wp:docPr id="1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true"/>
                    </pic:cNvPicPr>
                  </pic:nvPicPr>
                  <pic:blipFill>
                    <a:blip r:embed="rId92" r:link="rId93"/>
                    <a:stretch>
                      <a:fillRect/>
                    </a:stretch>
                  </pic:blipFill>
                  <pic:spPr>
                    <a:xfrm>
                      <a:off x="0" y="0"/>
                      <a:ext cx="4514215" cy="1485900"/>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pPr>
      <w:r>
        <w:t xml:space="preserve">房屋门廊示例2 </w:t>
      </w:r>
    </w:p>
    <w:p>
      <w:pPr>
        <w:pStyle w:val="176"/>
        <w:rPr>
          <w:color w:val="000000"/>
          <w:sz w:val="24"/>
          <w:szCs w:val="24"/>
        </w:rPr>
      </w:pPr>
      <w:r>
        <w:rPr>
          <w:color w:val="000000"/>
        </w:rPr>
        <w:t>类似图17所示的有柱门</w:t>
      </w:r>
      <w:r>
        <w:t>廊，按柱外围水平投影计算全部建筑面积。</w:t>
      </w:r>
    </w:p>
    <w:p>
      <w:pPr>
        <w:widowControl/>
        <w:adjustRightInd/>
        <w:spacing w:line="240" w:lineRule="auto"/>
        <w:jc w:val="center"/>
        <w:rPr>
          <w:rFonts w:hint="eastAsia" w:ascii="宋体" w:hAnsi="宋体"/>
          <w:kern w:val="0"/>
          <w:sz w:val="24"/>
          <w:szCs w:val="24"/>
        </w:rPr>
      </w:pPr>
      <w:r>
        <w:rPr>
          <w:rFonts w:ascii="Times New Roman" w:hAnsi="Times New Roman"/>
          <w:kern w:val="0"/>
        </w:rPr>
        <w:drawing>
          <wp:inline distT="0" distB="0" distL="114300" distR="114300">
            <wp:extent cx="4571365" cy="1628775"/>
            <wp:effectExtent l="0" t="0" r="635" b="9525"/>
            <wp:docPr id="12"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true"/>
                    </pic:cNvPicPr>
                  </pic:nvPicPr>
                  <pic:blipFill>
                    <a:blip r:embed="rId94" r:link="rId95"/>
                    <a:stretch>
                      <a:fillRect/>
                    </a:stretch>
                  </pic:blipFill>
                  <pic:spPr>
                    <a:xfrm>
                      <a:off x="0" y="0"/>
                      <a:ext cx="4571365" cy="1628775"/>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pPr>
      <w:r>
        <w:t>房屋门廊示例3</w:t>
      </w:r>
    </w:p>
    <w:p>
      <w:pPr>
        <w:pStyle w:val="67"/>
        <w:spacing w:before="156" w:after="156"/>
      </w:pPr>
      <w:r>
        <w:t>楼梯面积计算</w:t>
      </w:r>
    </w:p>
    <w:p>
      <w:pPr>
        <w:widowControl/>
        <w:adjustRightInd/>
        <w:spacing w:line="240" w:lineRule="auto"/>
        <w:ind w:firstLine="420"/>
        <w:rPr>
          <w:rFonts w:hint="eastAsia" w:ascii="宋体" w:hAnsi="宋体" w:cs="宋体"/>
          <w:kern w:val="0"/>
        </w:rPr>
      </w:pPr>
      <w:r>
        <w:rPr>
          <w:rFonts w:ascii="宋体" w:hAnsi="宋体" w:cs="宋体"/>
          <w:kern w:val="0"/>
        </w:rPr>
        <w:t>楼梯面积计算的方法如下：</w:t>
      </w:r>
    </w:p>
    <w:p>
      <w:pPr>
        <w:widowControl/>
        <w:numPr>
          <w:ilvl w:val="0"/>
          <w:numId w:val="72"/>
        </w:numPr>
        <w:adjustRightInd/>
        <w:spacing w:line="240" w:lineRule="auto"/>
        <w:ind w:left="840" w:hanging="420"/>
        <w:rPr>
          <w:rFonts w:hint="eastAsia" w:ascii="宋体" w:hAnsi="宋体" w:cs="宋体"/>
          <w:kern w:val="0"/>
        </w:rPr>
      </w:pPr>
      <w:r>
        <w:rPr>
          <w:rFonts w:ascii="宋体" w:hAnsi="宋体" w:cs="宋体"/>
          <w:kern w:val="0"/>
        </w:rPr>
        <w:t>复式楼套内楼梯间计算建筑面积。客户自理的复式楼梯间，依据设计图纸按自然层计算建筑面积；</w:t>
      </w:r>
    </w:p>
    <w:p>
      <w:pPr>
        <w:widowControl/>
        <w:numPr>
          <w:ilvl w:val="0"/>
          <w:numId w:val="72"/>
        </w:numPr>
        <w:adjustRightInd/>
        <w:spacing w:line="240" w:lineRule="auto"/>
        <w:ind w:left="840" w:hanging="420"/>
        <w:rPr>
          <w:rFonts w:hint="eastAsia" w:ascii="宋体" w:hAnsi="宋体" w:cs="宋体"/>
          <w:kern w:val="0"/>
        </w:rPr>
      </w:pPr>
      <w:r>
        <w:rPr>
          <w:rFonts w:ascii="宋体" w:hAnsi="宋体" w:cs="宋体"/>
          <w:kern w:val="0"/>
        </w:rPr>
        <w:t>房屋内的回形楼梯、旋转楼梯，按楼梯间水平投影计算建筑面积。住宅配套用房、商业、办公、厂房等室内楼梯、扶梯、旋转楼梯、回形楼梯等梯间中空部位，中空部位短边或直径在0.35m以上的，除底层外，其余各层中空部位不计算建筑面积；在0.35m以下的，按照自然层层数计算建筑面积；</w:t>
      </w:r>
    </w:p>
    <w:p>
      <w:pPr>
        <w:widowControl/>
        <w:numPr>
          <w:ilvl w:val="0"/>
          <w:numId w:val="72"/>
        </w:numPr>
        <w:adjustRightInd/>
        <w:spacing w:line="240" w:lineRule="auto"/>
        <w:ind w:left="840" w:hanging="420"/>
        <w:rPr>
          <w:rFonts w:hint="eastAsia" w:ascii="宋体" w:hAnsi="宋体" w:cs="宋体"/>
          <w:kern w:val="0"/>
        </w:rPr>
      </w:pPr>
      <w:r>
        <w:rPr>
          <w:rFonts w:ascii="宋体" w:hAnsi="宋体" w:cs="宋体"/>
          <w:kern w:val="0"/>
        </w:rPr>
        <w:t>同时服务于两侧不同层数房屋的楼梯，以层数多的一侧为准计算楼梯间的层数；</w:t>
      </w:r>
    </w:p>
    <w:p>
      <w:pPr>
        <w:widowControl/>
        <w:numPr>
          <w:ilvl w:val="0"/>
          <w:numId w:val="72"/>
        </w:numPr>
        <w:adjustRightInd/>
        <w:spacing w:line="240" w:lineRule="auto"/>
        <w:ind w:left="840" w:hanging="420"/>
        <w:rPr>
          <w:rFonts w:hint="eastAsia" w:ascii="宋体" w:hAnsi="宋体" w:cs="宋体"/>
          <w:kern w:val="0"/>
        </w:rPr>
      </w:pPr>
      <w:r>
        <w:rPr>
          <w:rFonts w:ascii="宋体" w:hAnsi="宋体" w:cs="宋体"/>
          <w:kern w:val="0"/>
        </w:rPr>
        <w:t>室外楼梯按其所在的自然层计算层数；室外楼梯顶层有上盖的，各层的室外楼梯视为有盖；顶层无上盖的，各层的室外楼梯视为无盖；</w:t>
      </w:r>
    </w:p>
    <w:p>
      <w:pPr>
        <w:widowControl/>
        <w:numPr>
          <w:ilvl w:val="0"/>
          <w:numId w:val="72"/>
        </w:numPr>
        <w:adjustRightInd/>
        <w:spacing w:line="240" w:lineRule="auto"/>
        <w:ind w:left="840" w:hanging="420"/>
        <w:rPr>
          <w:rFonts w:hint="eastAsia" w:ascii="宋体" w:hAnsi="宋体" w:cs="宋体"/>
          <w:kern w:val="0"/>
        </w:rPr>
      </w:pPr>
      <w:r>
        <w:rPr>
          <w:rFonts w:ascii="宋体" w:hAnsi="宋体" w:cs="宋体"/>
          <w:kern w:val="0"/>
        </w:rPr>
        <w:t>单跑楼梯按所在的自然层计算面积。跨越多层的单跑楼梯按各自然层分段投影计算面积；</w:t>
      </w:r>
    </w:p>
    <w:p>
      <w:pPr>
        <w:widowControl/>
        <w:numPr>
          <w:ilvl w:val="0"/>
          <w:numId w:val="72"/>
        </w:numPr>
        <w:adjustRightInd/>
        <w:spacing w:line="240" w:lineRule="auto"/>
        <w:ind w:left="840" w:hanging="420"/>
        <w:rPr>
          <w:rFonts w:hint="eastAsia" w:ascii="宋体" w:hAnsi="宋体" w:cs="宋体"/>
          <w:kern w:val="0"/>
        </w:rPr>
      </w:pPr>
      <w:r>
        <w:rPr>
          <w:rFonts w:ascii="宋体" w:hAnsi="宋体" w:cs="宋体"/>
          <w:kern w:val="0"/>
        </w:rPr>
        <w:t>层高小于2.20m的架空层（或底层车库层）</w:t>
      </w:r>
      <w:r>
        <w:rPr>
          <w:rFonts w:ascii="宋体" w:hAnsi="宋体" w:cs="宋体"/>
          <w:color w:val="000000"/>
          <w:kern w:val="0"/>
        </w:rPr>
        <w:t>等</w:t>
      </w:r>
      <w:r>
        <w:rPr>
          <w:rFonts w:ascii="宋体" w:hAnsi="宋体" w:cs="宋体"/>
          <w:kern w:val="0"/>
        </w:rPr>
        <w:t>，其中的楼梯间、电梯间、核心筒等垂直通道，层高无论是否在2.20m及以上，均不计算建筑面积；</w:t>
      </w:r>
    </w:p>
    <w:p>
      <w:pPr>
        <w:widowControl/>
        <w:numPr>
          <w:ilvl w:val="0"/>
          <w:numId w:val="72"/>
        </w:numPr>
        <w:adjustRightInd/>
        <w:spacing w:line="240" w:lineRule="auto"/>
        <w:ind w:left="840" w:hanging="420"/>
        <w:rPr>
          <w:rFonts w:hint="eastAsia" w:ascii="宋体" w:hAnsi="宋体" w:cs="宋体"/>
          <w:kern w:val="0"/>
        </w:rPr>
      </w:pPr>
      <w:r>
        <w:rPr>
          <w:rFonts w:ascii="宋体" w:hAnsi="宋体" w:cs="宋体"/>
          <w:kern w:val="0"/>
        </w:rPr>
        <w:t>房屋内局部架空层，层高达到或超过二个自然层，穿越其中的楼梯、电梯井、管井、核心筒等，若不相邻局部楼层，按一层计算建筑面积。如图18所示。</w:t>
      </w:r>
    </w:p>
    <w:p>
      <w:pPr>
        <w:widowControl/>
        <w:adjustRightInd/>
        <w:spacing w:line="240" w:lineRule="auto"/>
        <w:jc w:val="center"/>
        <w:rPr>
          <w:rFonts w:hint="eastAsia" w:ascii="宋体" w:hAnsi="宋体"/>
          <w:kern w:val="0"/>
          <w:sz w:val="24"/>
          <w:szCs w:val="24"/>
        </w:rPr>
      </w:pPr>
      <w:r>
        <w:rPr>
          <w:rFonts w:ascii="Times New Roman" w:hAnsi="Times New Roman"/>
          <w:kern w:val="0"/>
        </w:rPr>
        <w:drawing>
          <wp:inline distT="0" distB="0" distL="0" distR="0">
            <wp:extent cx="3400425" cy="2266950"/>
            <wp:effectExtent l="0" t="0" r="9525" b="0"/>
            <wp:docPr id="77" name="图片 77" descr="C:\Users\jn\AppData\Local\Temp\ksohtml4520\wps34.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7" name="图片 77" descr="C:\Users\jn\AppData\Local\Temp\ksohtml4520\wps34.jpg"/>
                    <pic:cNvPicPr>
                      <a:picLocks noChangeAspect="true" noChangeArrowheads="true"/>
                    </pic:cNvPicPr>
                  </pic:nvPicPr>
                  <pic:blipFill>
                    <a:blip r:embed="rId96">
                      <a:extLst>
                        <a:ext uri="{28A0092B-C50C-407E-A947-70E740481C1C}">
                          <a14:useLocalDpi xmlns:a14="http://schemas.microsoft.com/office/drawing/2010/main" val="false"/>
                        </a:ext>
                      </a:extLst>
                    </a:blip>
                    <a:srcRect/>
                    <a:stretch>
                      <a:fillRect/>
                    </a:stretch>
                  </pic:blipFill>
                  <pic:spPr>
                    <a:xfrm>
                      <a:off x="0" y="0"/>
                      <a:ext cx="3400425" cy="2266950"/>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rPr>
          <w:rFonts w:hint="eastAsia" w:hAnsi="黑体"/>
        </w:rPr>
      </w:pPr>
      <w:r>
        <w:t xml:space="preserve">架空层内垂直通道示例 </w:t>
      </w:r>
    </w:p>
    <w:p>
      <w:pPr>
        <w:pStyle w:val="67"/>
        <w:spacing w:before="156" w:after="156"/>
      </w:pPr>
      <w:bookmarkStart w:id="259" w:name="_Toc404004846"/>
      <w:bookmarkEnd w:id="259"/>
      <w:bookmarkStart w:id="260" w:name="_Toc404085576"/>
      <w:r>
        <w:t>房屋车道面积计算</w:t>
      </w:r>
      <w:bookmarkEnd w:id="260"/>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房屋车道面积计算方法如下：</w:t>
      </w:r>
    </w:p>
    <w:p>
      <w:pPr>
        <w:widowControl/>
        <w:numPr>
          <w:ilvl w:val="0"/>
          <w:numId w:val="73"/>
        </w:numPr>
        <w:adjustRightInd/>
        <w:spacing w:line="240" w:lineRule="auto"/>
        <w:ind w:left="840" w:hanging="420"/>
        <w:rPr>
          <w:rFonts w:hint="eastAsia" w:ascii="宋体" w:hAnsi="宋体" w:cs="宋体"/>
          <w:kern w:val="0"/>
        </w:rPr>
      </w:pPr>
      <w:r>
        <w:rPr>
          <w:rFonts w:ascii="宋体" w:hAnsi="宋体" w:cs="宋体"/>
          <w:kern w:val="0"/>
        </w:rPr>
        <w:t>房屋外有柱或封闭的车道按各层水平投影计算全部建筑面积；无柱或未封闭的车道计算一半建筑面积；无顶盖的车道不计算建筑面积；</w:t>
      </w:r>
    </w:p>
    <w:p>
      <w:pPr>
        <w:widowControl/>
        <w:numPr>
          <w:ilvl w:val="0"/>
          <w:numId w:val="73"/>
        </w:numPr>
        <w:adjustRightInd/>
        <w:spacing w:line="240" w:lineRule="auto"/>
        <w:ind w:left="840" w:hanging="420"/>
        <w:rPr>
          <w:rFonts w:hint="eastAsia" w:ascii="宋体" w:hAnsi="宋体" w:cs="宋体"/>
          <w:kern w:val="0"/>
          <w:sz w:val="24"/>
          <w:szCs w:val="24"/>
        </w:rPr>
      </w:pPr>
      <w:r>
        <w:rPr>
          <w:rFonts w:ascii="宋体" w:hAnsi="宋体" w:cs="宋体"/>
          <w:kern w:val="0"/>
        </w:rPr>
        <w:t>室内汽车坡道按实际层数计算建筑面积。</w:t>
      </w:r>
    </w:p>
    <w:p>
      <w:pPr>
        <w:pStyle w:val="67"/>
        <w:spacing w:before="156" w:after="156"/>
      </w:pPr>
      <w:bookmarkStart w:id="261" w:name="_Toc404004847"/>
      <w:bookmarkEnd w:id="261"/>
      <w:bookmarkStart w:id="262" w:name="_Toc404085577"/>
      <w:r>
        <w:t>房屋底层作为街、巷或是社会性公共通行部分面积计算</w:t>
      </w:r>
      <w:bookmarkEnd w:id="262"/>
    </w:p>
    <w:p>
      <w:pPr>
        <w:widowControl/>
        <w:adjustRightInd/>
        <w:spacing w:line="240" w:lineRule="auto"/>
        <w:ind w:firstLine="420"/>
        <w:rPr>
          <w:rFonts w:hint="eastAsia" w:ascii="宋体" w:hAnsi="宋体" w:cs="宋体"/>
          <w:kern w:val="0"/>
        </w:rPr>
      </w:pPr>
      <w:r>
        <w:rPr>
          <w:rFonts w:ascii="宋体" w:hAnsi="宋体" w:cs="宋体"/>
          <w:kern w:val="0"/>
        </w:rPr>
        <w:t>房屋底层作为街、巷或是社会性公共通行的部分，不论是否有柱（或围护物）均不计算建筑面积。</w:t>
      </w:r>
    </w:p>
    <w:p>
      <w:pPr>
        <w:pStyle w:val="67"/>
        <w:spacing w:before="156" w:after="156"/>
      </w:pPr>
      <w:bookmarkStart w:id="263" w:name="_Toc404004848"/>
      <w:bookmarkEnd w:id="263"/>
      <w:bookmarkStart w:id="264" w:name="_Toc404085578"/>
      <w:r>
        <w:t>房屋走廊（挑廊）面积计算</w:t>
      </w:r>
      <w:bookmarkEnd w:id="264"/>
    </w:p>
    <w:p>
      <w:pPr>
        <w:widowControl/>
        <w:adjustRightInd/>
        <w:spacing w:line="240" w:lineRule="auto"/>
        <w:ind w:firstLine="420"/>
        <w:rPr>
          <w:rFonts w:hint="eastAsia" w:ascii="宋体" w:hAnsi="宋体" w:cs="宋体"/>
          <w:kern w:val="0"/>
        </w:rPr>
      </w:pPr>
      <w:r>
        <w:rPr>
          <w:rFonts w:ascii="宋体" w:hAnsi="宋体" w:cs="宋体"/>
          <w:kern w:val="0"/>
        </w:rPr>
        <w:t>房屋走廊（挑廊）面积计算的方法如下：</w:t>
      </w:r>
    </w:p>
    <w:p>
      <w:pPr>
        <w:widowControl/>
        <w:numPr>
          <w:ilvl w:val="0"/>
          <w:numId w:val="74"/>
        </w:numPr>
        <w:adjustRightInd/>
        <w:spacing w:line="240" w:lineRule="auto"/>
        <w:ind w:left="840" w:hanging="420"/>
        <w:rPr>
          <w:rFonts w:hint="eastAsia" w:ascii="宋体" w:hAnsi="宋体" w:cs="宋体"/>
          <w:kern w:val="0"/>
        </w:rPr>
      </w:pPr>
      <w:r>
        <w:rPr>
          <w:rFonts w:ascii="宋体" w:hAnsi="宋体" w:cs="宋体"/>
          <w:kern w:val="0"/>
        </w:rPr>
        <w:t>房屋内走廊两端无论是否封闭，计算全部建筑面积；</w:t>
      </w:r>
    </w:p>
    <w:p>
      <w:pPr>
        <w:widowControl/>
        <w:numPr>
          <w:ilvl w:val="0"/>
          <w:numId w:val="74"/>
        </w:numPr>
        <w:adjustRightInd/>
        <w:spacing w:line="240" w:lineRule="auto"/>
        <w:ind w:left="840" w:hanging="420"/>
        <w:rPr>
          <w:rFonts w:hint="eastAsia" w:ascii="宋体" w:hAnsi="宋体" w:cs="宋体"/>
          <w:kern w:val="0"/>
        </w:rPr>
      </w:pPr>
      <w:r>
        <w:rPr>
          <w:rFonts w:ascii="宋体" w:hAnsi="宋体" w:cs="宋体"/>
          <w:kern w:val="0"/>
        </w:rPr>
        <w:t>开敞侧有3根及以上承重柱的走廊视为有柱走廊，否则视为无柱走廊；如图19所示</w:t>
      </w:r>
      <w:r>
        <w:rPr>
          <w:rFonts w:hint="eastAsia" w:ascii="宋体" w:hAnsi="宋体" w:cs="宋体"/>
          <w:kern w:val="0"/>
        </w:rPr>
        <w:t>；</w:t>
      </w:r>
    </w:p>
    <w:p>
      <w:pPr>
        <w:widowControl/>
        <w:adjustRightInd/>
        <w:spacing w:line="360" w:lineRule="auto"/>
        <w:jc w:val="center"/>
        <w:rPr>
          <w:rFonts w:hint="eastAsia" w:ascii="宋体" w:hAnsi="宋体"/>
          <w:kern w:val="0"/>
          <w:sz w:val="24"/>
          <w:szCs w:val="24"/>
        </w:rPr>
      </w:pPr>
      <w:r>
        <w:rPr>
          <w:rFonts w:ascii="Times New Roman" w:hAnsi="Times New Roman"/>
          <w:kern w:val="0"/>
        </w:rPr>
        <w:drawing>
          <wp:inline distT="0" distB="0" distL="114300" distR="114300">
            <wp:extent cx="3837940" cy="2733040"/>
            <wp:effectExtent l="0" t="0" r="0" b="10160"/>
            <wp:docPr id="34"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8"/>
                    <pic:cNvPicPr>
                      <a:picLocks noChangeAspect="true"/>
                    </pic:cNvPicPr>
                  </pic:nvPicPr>
                  <pic:blipFill>
                    <a:blip r:embed="rId97" r:link="rId98"/>
                    <a:stretch>
                      <a:fillRect/>
                    </a:stretch>
                  </pic:blipFill>
                  <pic:spPr>
                    <a:xfrm>
                      <a:off x="0" y="0"/>
                      <a:ext cx="3837940" cy="2733040"/>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pPr>
      <w:r>
        <w:t xml:space="preserve">房屋走廊示例 </w:t>
      </w:r>
    </w:p>
    <w:p>
      <w:pPr>
        <w:widowControl/>
        <w:numPr>
          <w:ilvl w:val="0"/>
          <w:numId w:val="74"/>
        </w:numPr>
        <w:adjustRightInd/>
        <w:spacing w:line="240" w:lineRule="auto"/>
        <w:ind w:left="840" w:hanging="420"/>
        <w:rPr>
          <w:rFonts w:hint="eastAsia" w:ascii="宋体" w:hAnsi="宋体" w:cs="宋体"/>
          <w:kern w:val="0"/>
        </w:rPr>
      </w:pPr>
      <w:r>
        <w:rPr>
          <w:rFonts w:ascii="宋体" w:hAnsi="宋体" w:cs="宋体"/>
          <w:kern w:val="0"/>
        </w:rPr>
        <w:t xml:space="preserve">跨越多个自然层的有柱的外走廊，按其底板所在层以柱外围水平投影计算一层建筑面积； </w:t>
      </w:r>
    </w:p>
    <w:p>
      <w:pPr>
        <w:widowControl/>
        <w:numPr>
          <w:ilvl w:val="0"/>
          <w:numId w:val="74"/>
        </w:numPr>
        <w:adjustRightInd/>
        <w:spacing w:line="240" w:lineRule="auto"/>
        <w:ind w:left="840" w:hanging="420"/>
        <w:rPr>
          <w:rFonts w:hint="eastAsia" w:ascii="宋体" w:hAnsi="宋体" w:cs="宋体"/>
          <w:kern w:val="0"/>
        </w:rPr>
      </w:pPr>
      <w:r>
        <w:rPr>
          <w:rFonts w:ascii="宋体" w:hAnsi="宋体" w:cs="宋体"/>
          <w:kern w:val="0"/>
        </w:rPr>
        <w:t>房屋不封闭、无柱的外走廊，与其上盖相距达到两个自然层高及其以上或上盖为镂空、顶盖宽度在0.60m以下的，均视为无上盖，不计算建筑面积；</w:t>
      </w:r>
    </w:p>
    <w:p>
      <w:pPr>
        <w:widowControl/>
        <w:numPr>
          <w:ilvl w:val="0"/>
          <w:numId w:val="74"/>
        </w:numPr>
        <w:adjustRightInd/>
        <w:spacing w:line="240" w:lineRule="auto"/>
        <w:ind w:left="840" w:hanging="420"/>
        <w:rPr>
          <w:rFonts w:hint="eastAsia" w:ascii="宋体" w:hAnsi="宋体" w:cs="宋体"/>
          <w:kern w:val="0"/>
        </w:rPr>
      </w:pPr>
      <w:r>
        <w:rPr>
          <w:rFonts w:ascii="宋体" w:hAnsi="宋体" w:cs="宋体"/>
          <w:kern w:val="0"/>
        </w:rPr>
        <w:t>多段建筑形式构成的外走廊，仅某一段有承重柱，以该段走廊两端的转折处为界，将该走廊划分为有柱和无柱两部分，如图19所示。</w:t>
      </w:r>
    </w:p>
    <w:p>
      <w:pPr>
        <w:widowControl/>
        <w:numPr>
          <w:ilvl w:val="0"/>
          <w:numId w:val="74"/>
        </w:numPr>
        <w:adjustRightInd/>
        <w:spacing w:line="240" w:lineRule="auto"/>
        <w:ind w:left="840" w:hanging="420"/>
        <w:rPr>
          <w:rFonts w:hint="eastAsia" w:ascii="宋体" w:hAnsi="宋体" w:cs="宋体"/>
          <w:kern w:val="0"/>
        </w:rPr>
      </w:pPr>
      <w:r>
        <w:rPr>
          <w:rFonts w:ascii="宋体" w:hAnsi="宋体" w:cs="宋体"/>
          <w:kern w:val="0"/>
        </w:rPr>
        <w:t>外走廊与内走廊（或与梯间前室）相连，分段计算建筑面积。如图20所示；</w:t>
      </w:r>
    </w:p>
    <w:p>
      <w:pPr>
        <w:widowControl/>
        <w:adjustRightInd/>
        <w:spacing w:before="100" w:beforeAutospacing="1" w:after="100" w:afterAutospacing="1" w:line="240" w:lineRule="auto"/>
        <w:ind w:left="420" w:hanging="419"/>
        <w:jc w:val="center"/>
        <w:rPr>
          <w:rFonts w:hint="eastAsia" w:ascii="宋体" w:hAnsi="宋体" w:cs="宋体"/>
          <w:kern w:val="0"/>
          <w:sz w:val="24"/>
          <w:szCs w:val="24"/>
        </w:rPr>
      </w:pPr>
      <w:r>
        <w:rPr>
          <w:rFonts w:ascii="宋体" w:hAnsi="宋体" w:cs="宋体"/>
          <w:kern w:val="0"/>
        </w:rPr>
        <w:drawing>
          <wp:inline distT="0" distB="0" distL="114300" distR="114300">
            <wp:extent cx="3952240" cy="3304540"/>
            <wp:effectExtent l="0" t="0" r="10160" b="10160"/>
            <wp:docPr id="35"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true"/>
                    </pic:cNvPicPr>
                  </pic:nvPicPr>
                  <pic:blipFill>
                    <a:blip r:embed="rId99" r:link="rId100"/>
                    <a:stretch>
                      <a:fillRect/>
                    </a:stretch>
                  </pic:blipFill>
                  <pic:spPr>
                    <a:xfrm>
                      <a:off x="0" y="0"/>
                      <a:ext cx="3952240" cy="3304540"/>
                    </a:xfrm>
                    <a:prstGeom prst="rect">
                      <a:avLst/>
                    </a:prstGeom>
                    <a:noFill/>
                    <a:ln>
                      <a:noFill/>
                    </a:ln>
                  </pic:spPr>
                </pic:pic>
              </a:graphicData>
            </a:graphic>
          </wp:inline>
        </w:drawing>
      </w:r>
    </w:p>
    <w:p>
      <w:pPr>
        <w:pStyle w:val="116"/>
        <w:spacing w:before="156" w:after="156"/>
      </w:pPr>
      <w:r>
        <w:t xml:space="preserve"> 多种功能的建筑相连示例</w:t>
      </w:r>
    </w:p>
    <w:p>
      <w:pPr>
        <w:widowControl/>
        <w:numPr>
          <w:ilvl w:val="0"/>
          <w:numId w:val="74"/>
        </w:numPr>
        <w:adjustRightInd/>
        <w:spacing w:line="240" w:lineRule="auto"/>
        <w:ind w:left="840" w:hanging="420"/>
        <w:rPr>
          <w:rFonts w:hint="eastAsia" w:ascii="宋体" w:hAnsi="宋体" w:cs="宋体"/>
          <w:kern w:val="0"/>
        </w:rPr>
      </w:pPr>
      <w:r>
        <w:rPr>
          <w:rFonts w:ascii="宋体" w:hAnsi="宋体" w:cs="宋体"/>
          <w:kern w:val="0"/>
        </w:rPr>
        <w:t>上盖为间断型的外走廊，无上盖的部分，不计算建筑面积；无围护结构（或无围护设施）的外走廊，不计算建筑面积；</w:t>
      </w:r>
    </w:p>
    <w:p>
      <w:pPr>
        <w:widowControl/>
        <w:numPr>
          <w:ilvl w:val="0"/>
          <w:numId w:val="74"/>
        </w:numPr>
        <w:adjustRightInd/>
        <w:spacing w:line="240" w:lineRule="auto"/>
        <w:ind w:left="840" w:hanging="420"/>
        <w:rPr>
          <w:rFonts w:hint="eastAsia" w:ascii="宋体" w:hAnsi="宋体" w:cs="宋体"/>
          <w:kern w:val="0"/>
        </w:rPr>
      </w:pPr>
      <w:r>
        <w:rPr>
          <w:rFonts w:ascii="宋体" w:hAnsi="宋体" w:cs="宋体"/>
          <w:kern w:val="0"/>
        </w:rPr>
        <w:t>未封闭的架空通廊，若底板至上盖高度等于或超过两个自然层高时，不计算建筑面积。</w:t>
      </w:r>
    </w:p>
    <w:p>
      <w:pPr>
        <w:pStyle w:val="67"/>
        <w:spacing w:before="156" w:after="156"/>
      </w:pPr>
      <w:r>
        <w:t>阳台的面积计算</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阳台面积计算方法如下：</w:t>
      </w:r>
    </w:p>
    <w:p>
      <w:pPr>
        <w:widowControl/>
        <w:numPr>
          <w:ilvl w:val="0"/>
          <w:numId w:val="75"/>
        </w:numPr>
        <w:adjustRightInd/>
        <w:spacing w:line="240" w:lineRule="auto"/>
        <w:ind w:left="840" w:hanging="420"/>
        <w:rPr>
          <w:rFonts w:hint="eastAsia" w:ascii="宋体" w:hAnsi="宋体" w:cs="宋体"/>
          <w:kern w:val="0"/>
        </w:rPr>
      </w:pPr>
      <w:r>
        <w:rPr>
          <w:rFonts w:ascii="宋体" w:hAnsi="宋体" w:cs="宋体"/>
          <w:kern w:val="0"/>
        </w:rPr>
        <w:t>封闭的阳台按其围护结构外围水平投影计算全部建筑面积。封闭是指房屋在规划、设计、施工等环节都已确定封闭，自行封闭的，视为不封闭；用百叶窗封闭的阳台，视为不封闭；</w:t>
      </w:r>
    </w:p>
    <w:p>
      <w:pPr>
        <w:widowControl/>
        <w:numPr>
          <w:ilvl w:val="0"/>
          <w:numId w:val="75"/>
        </w:numPr>
        <w:adjustRightInd/>
        <w:spacing w:line="240" w:lineRule="auto"/>
        <w:ind w:left="840" w:hanging="420"/>
        <w:rPr>
          <w:rFonts w:hint="eastAsia" w:ascii="宋体" w:hAnsi="宋体" w:cs="宋体"/>
          <w:kern w:val="0"/>
        </w:rPr>
      </w:pPr>
      <w:r>
        <w:rPr>
          <w:rFonts w:ascii="宋体" w:hAnsi="宋体" w:cs="宋体"/>
          <w:kern w:val="0"/>
        </w:rPr>
        <w:t>有上盖的未封闭阳台按围护设施外围水平投影计算一半的建筑面积；上盖未完全覆盖围护设施的，无上盖部分不计算建筑面积；</w:t>
      </w:r>
    </w:p>
    <w:p>
      <w:pPr>
        <w:widowControl/>
        <w:numPr>
          <w:ilvl w:val="0"/>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阳台上盖的类型包含以下几种：专用上盖；上层阳台或房屋的底板；上层凸窗、空调位、花池等的底板；屋檐、雨棚及天沟等所形成的盖板；</w:t>
      </w:r>
    </w:p>
    <w:p>
      <w:pPr>
        <w:widowControl/>
        <w:numPr>
          <w:ilvl w:val="0"/>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无上盖的未封闭阳台，不计算建筑面积。有下列情况之一的，视为无上盖；</w:t>
      </w:r>
    </w:p>
    <w:p>
      <w:pPr>
        <w:widowControl/>
        <w:numPr>
          <w:ilvl w:val="1"/>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底板至上盖高度达到或超过阳台所在层的两个层高；</w:t>
      </w:r>
    </w:p>
    <w:p>
      <w:pPr>
        <w:widowControl/>
        <w:numPr>
          <w:ilvl w:val="1"/>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上盖为镂空建筑或上盖宽度在0.6m以下。</w:t>
      </w:r>
    </w:p>
    <w:p>
      <w:pPr>
        <w:widowControl/>
        <w:numPr>
          <w:ilvl w:val="0"/>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地面层类似于阳台的建筑空间，有围护结构(围护物)，</w:t>
      </w:r>
      <w:r>
        <w:rPr>
          <w:rFonts w:ascii="宋体" w:hAnsi="宋体" w:cs="宋体"/>
          <w:color w:val="000000"/>
          <w:kern w:val="0"/>
        </w:rPr>
        <w:t>与室外直</w:t>
      </w:r>
      <w:r>
        <w:rPr>
          <w:rFonts w:ascii="宋体" w:hAnsi="宋体" w:cs="宋体"/>
          <w:kern w:val="0"/>
        </w:rPr>
        <w:t>接相通，若上一层为阳台作为其顶盖，则该空间按阳台规定计算建筑面积；若上一层为房屋作为其顶盖，则按门廊门斗规定计算建筑面积；如图21所示；</w:t>
      </w:r>
    </w:p>
    <w:p>
      <w:pPr>
        <w:widowControl/>
        <w:adjustRightInd/>
        <w:spacing w:line="360" w:lineRule="auto"/>
        <w:ind w:left="1320" w:hanging="1320"/>
        <w:jc w:val="center"/>
        <w:rPr>
          <w:rFonts w:hint="eastAsia" w:ascii="宋体" w:hAnsi="宋体"/>
          <w:kern w:val="0"/>
          <w:sz w:val="24"/>
          <w:szCs w:val="24"/>
        </w:rPr>
      </w:pPr>
      <w:r>
        <w:rPr>
          <w:rFonts w:ascii="Times New Roman" w:hAnsi="Times New Roman"/>
          <w:kern w:val="0"/>
        </w:rPr>
        <w:drawing>
          <wp:inline distT="0" distB="0" distL="0" distR="0">
            <wp:extent cx="3787140" cy="1943100"/>
            <wp:effectExtent l="0" t="0" r="0" b="0"/>
            <wp:docPr id="72" name="图片 72" descr="C:\Users\jn\AppData\Local\Temp\ksohtml4520\wps38.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2" name="图片 72" descr="C:\Users\jn\AppData\Local\Temp\ksohtml4520\wps38.jpg"/>
                    <pic:cNvPicPr>
                      <a:picLocks noChangeAspect="true" noChangeArrowheads="true"/>
                    </pic:cNvPicPr>
                  </pic:nvPicPr>
                  <pic:blipFill>
                    <a:blip r:embed="rId101">
                      <a:extLst>
                        <a:ext uri="{28A0092B-C50C-407E-A947-70E740481C1C}">
                          <a14:useLocalDpi xmlns:a14="http://schemas.microsoft.com/office/drawing/2010/main" val="false"/>
                        </a:ext>
                      </a:extLst>
                    </a:blip>
                    <a:srcRect l="1447" r="1577"/>
                    <a:stretch>
                      <a:fillRect/>
                    </a:stretch>
                  </pic:blipFill>
                  <pic:spPr>
                    <a:xfrm>
                      <a:off x="0" y="0"/>
                      <a:ext cx="3787140" cy="1943100"/>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rPr>
          <w:rFonts w:hint="eastAsia" w:hAnsi="黑体"/>
        </w:rPr>
      </w:pPr>
      <w:r>
        <w:t xml:space="preserve">房屋阳台示例2 </w:t>
      </w:r>
    </w:p>
    <w:p>
      <w:pPr>
        <w:widowControl/>
        <w:numPr>
          <w:ilvl w:val="0"/>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房屋地面层具有通行功能的未封闭阳台，如图22所示，根据围护情况按照以下方法计算建筑面积：</w:t>
      </w:r>
    </w:p>
    <w:p>
      <w:pPr>
        <w:widowControl/>
        <w:numPr>
          <w:ilvl w:val="1"/>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阳台的长边无围护，不计算建筑面积；</w:t>
      </w:r>
    </w:p>
    <w:p>
      <w:pPr>
        <w:widowControl/>
        <w:numPr>
          <w:ilvl w:val="1"/>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阳台的长边，仅在入口处无围护，按阳台外围水平投影（入口处以围护结构延伸线为界），计算一半建筑面积；</w:t>
      </w:r>
    </w:p>
    <w:p>
      <w:pPr>
        <w:widowControl/>
        <w:numPr>
          <w:ilvl w:val="1"/>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阳台的宽边无围护，按阳台外围水平投影（宽边以底板为界），计算一半建筑面积。</w:t>
      </w:r>
    </w:p>
    <w:p>
      <w:pPr>
        <w:widowControl/>
        <w:adjustRightInd/>
        <w:spacing w:line="240" w:lineRule="auto"/>
        <w:jc w:val="center"/>
        <w:rPr>
          <w:rFonts w:hint="eastAsia" w:ascii="宋体" w:hAnsi="宋体"/>
          <w:kern w:val="0"/>
          <w:sz w:val="24"/>
          <w:szCs w:val="24"/>
        </w:rPr>
      </w:pPr>
      <w:r>
        <w:rPr>
          <w:rFonts w:ascii="Times New Roman" w:hAnsi="Times New Roman"/>
          <w:kern w:val="0"/>
        </w:rPr>
        <w:drawing>
          <wp:inline distT="0" distB="0" distL="0" distR="0">
            <wp:extent cx="3295650" cy="1971675"/>
            <wp:effectExtent l="0" t="0" r="0" b="9525"/>
            <wp:docPr id="71" name="图片 71" descr="C:\Users\jn\AppData\Local\Temp\ksohtml4520\wps39.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1" name="图片 71" descr="C:\Users\jn\AppData\Local\Temp\ksohtml4520\wps39.jpg"/>
                    <pic:cNvPicPr>
                      <a:picLocks noChangeAspect="true" noChangeArrowheads="true"/>
                    </pic:cNvPicPr>
                  </pic:nvPicPr>
                  <pic:blipFill>
                    <a:blip r:embed="rId102">
                      <a:extLst>
                        <a:ext uri="{28A0092B-C50C-407E-A947-70E740481C1C}">
                          <a14:useLocalDpi xmlns:a14="http://schemas.microsoft.com/office/drawing/2010/main" val="false"/>
                        </a:ext>
                      </a:extLst>
                    </a:blip>
                    <a:srcRect/>
                    <a:stretch>
                      <a:fillRect/>
                    </a:stretch>
                  </pic:blipFill>
                  <pic:spPr>
                    <a:xfrm>
                      <a:off x="0" y="0"/>
                      <a:ext cx="3295650" cy="1971675"/>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rPr>
          <w:rFonts w:hint="eastAsia" w:hAnsi="黑体"/>
        </w:rPr>
      </w:pPr>
      <w:r>
        <w:t xml:space="preserve">房屋阳台示例3 </w:t>
      </w:r>
    </w:p>
    <w:p>
      <w:pPr>
        <w:widowControl/>
        <w:numPr>
          <w:ilvl w:val="0"/>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与房屋室内不直接相通的阳台，不计算建筑面积；</w:t>
      </w:r>
    </w:p>
    <w:p>
      <w:pPr>
        <w:widowControl/>
        <w:numPr>
          <w:ilvl w:val="0"/>
          <w:numId w:val="75"/>
        </w:numPr>
        <w:adjustRightInd/>
        <w:spacing w:before="100" w:beforeAutospacing="1" w:after="100" w:afterAutospacing="1" w:line="240" w:lineRule="auto"/>
        <w:rPr>
          <w:rFonts w:hint="eastAsia" w:ascii="宋体" w:hAnsi="宋体" w:cs="宋体"/>
          <w:kern w:val="0"/>
        </w:rPr>
      </w:pPr>
      <w:r>
        <w:rPr>
          <w:rFonts w:ascii="宋体" w:hAnsi="宋体" w:cs="宋体"/>
          <w:kern w:val="0"/>
        </w:rPr>
        <w:t>入户（户内）花园、公共花园等，其功能和结构与未封闭阳台类似，类比未封闭阳台的规定计算一半建筑面积。</w:t>
      </w:r>
    </w:p>
    <w:p>
      <w:pPr>
        <w:pStyle w:val="67"/>
        <w:spacing w:before="156" w:after="156"/>
      </w:pPr>
      <w:bookmarkStart w:id="265" w:name="_Toc404004850"/>
      <w:bookmarkEnd w:id="265"/>
      <w:bookmarkStart w:id="266" w:name="_Toc404085580"/>
      <w:r>
        <w:t>房屋飘窗、落地窗和落地橱窗面积计算</w:t>
      </w:r>
      <w:bookmarkEnd w:id="266"/>
    </w:p>
    <w:p>
      <w:pPr>
        <w:widowControl/>
        <w:adjustRightInd/>
        <w:spacing w:line="240" w:lineRule="auto"/>
        <w:ind w:firstLine="420"/>
        <w:rPr>
          <w:rFonts w:hint="eastAsia" w:ascii="宋体" w:hAnsi="宋体" w:cs="宋体"/>
          <w:kern w:val="0"/>
        </w:rPr>
      </w:pPr>
      <w:r>
        <w:rPr>
          <w:rFonts w:ascii="宋体" w:hAnsi="宋体" w:cs="宋体"/>
          <w:kern w:val="0"/>
        </w:rPr>
        <w:t>房屋飘窗、落地窗、落地橱窗面积计算的方法如下：</w:t>
      </w:r>
    </w:p>
    <w:p>
      <w:pPr>
        <w:widowControl/>
        <w:numPr>
          <w:ilvl w:val="0"/>
          <w:numId w:val="76"/>
        </w:numPr>
        <w:adjustRightInd/>
        <w:spacing w:line="240" w:lineRule="auto"/>
        <w:ind w:left="840" w:hanging="420"/>
        <w:rPr>
          <w:rFonts w:hint="eastAsia" w:ascii="宋体" w:hAnsi="宋体" w:cs="宋体"/>
          <w:kern w:val="0"/>
        </w:rPr>
      </w:pPr>
      <w:r>
        <w:rPr>
          <w:rFonts w:ascii="宋体" w:hAnsi="宋体" w:cs="宋体"/>
          <w:kern w:val="0"/>
        </w:rPr>
        <w:t>飘窗均不计算建筑面积，飘窗占用阳台空间时，所占用的空间仍然计入阳台的建筑面积；</w:t>
      </w:r>
    </w:p>
    <w:p>
      <w:pPr>
        <w:widowControl/>
        <w:numPr>
          <w:ilvl w:val="0"/>
          <w:numId w:val="76"/>
        </w:numPr>
        <w:adjustRightInd/>
        <w:spacing w:line="240" w:lineRule="auto"/>
        <w:ind w:left="840" w:hanging="420"/>
        <w:rPr>
          <w:rFonts w:hint="eastAsia" w:ascii="宋体" w:hAnsi="宋体" w:cs="宋体"/>
          <w:kern w:val="0"/>
        </w:rPr>
      </w:pPr>
      <w:r>
        <w:rPr>
          <w:rFonts w:ascii="宋体" w:hAnsi="宋体" w:cs="宋体"/>
          <w:kern w:val="0"/>
        </w:rPr>
        <w:t>落地窗高度大于或等于2.20m时，计算全部建筑面积；小于2.20m时，不计算建筑面积；如图23所示；</w:t>
      </w:r>
    </w:p>
    <w:p>
      <w:pPr>
        <w:widowControl/>
        <w:adjustRightInd/>
        <w:spacing w:line="240" w:lineRule="auto"/>
        <w:ind w:left="420"/>
        <w:jc w:val="center"/>
        <w:rPr>
          <w:rFonts w:hint="eastAsia" w:ascii="宋体" w:hAnsi="宋体" w:cs="宋体"/>
          <w:kern w:val="0"/>
        </w:rPr>
      </w:pPr>
      <w:r>
        <w:rPr>
          <w:rFonts w:ascii="宋体" w:hAnsi="宋体" w:cs="宋体"/>
          <w:kern w:val="0"/>
        </w:rPr>
        <w:drawing>
          <wp:inline distT="0" distB="0" distL="114300" distR="114300">
            <wp:extent cx="4209415" cy="2419350"/>
            <wp:effectExtent l="0" t="0" r="0" b="0"/>
            <wp:docPr id="33"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1"/>
                    <pic:cNvPicPr>
                      <a:picLocks noChangeAspect="true"/>
                    </pic:cNvPicPr>
                  </pic:nvPicPr>
                  <pic:blipFill>
                    <a:blip r:embed="rId103" r:link="rId104"/>
                    <a:stretch>
                      <a:fillRect/>
                    </a:stretch>
                  </pic:blipFill>
                  <pic:spPr>
                    <a:xfrm>
                      <a:off x="0" y="0"/>
                      <a:ext cx="4209415" cy="2419350"/>
                    </a:xfrm>
                    <a:prstGeom prst="rect">
                      <a:avLst/>
                    </a:prstGeom>
                    <a:noFill/>
                    <a:ln>
                      <a:noFill/>
                    </a:ln>
                  </pic:spPr>
                </pic:pic>
              </a:graphicData>
            </a:graphic>
          </wp:inline>
        </w:drawing>
      </w:r>
    </w:p>
    <w:p>
      <w:pPr>
        <w:pStyle w:val="116"/>
        <w:spacing w:before="156" w:after="156"/>
        <w:rPr>
          <w:rFonts w:hint="eastAsia" w:hAnsi="黑体"/>
        </w:rPr>
      </w:pPr>
      <w:r>
        <w:t xml:space="preserve">房屋飘窗、落地窗示例 </w:t>
      </w:r>
    </w:p>
    <w:p>
      <w:pPr>
        <w:widowControl/>
        <w:numPr>
          <w:ilvl w:val="0"/>
          <w:numId w:val="76"/>
        </w:numPr>
        <w:adjustRightInd/>
        <w:spacing w:line="240" w:lineRule="auto"/>
        <w:ind w:left="840" w:hanging="420"/>
        <w:rPr>
          <w:rFonts w:hint="eastAsia" w:ascii="宋体" w:hAnsi="宋体" w:cs="宋体"/>
          <w:kern w:val="0"/>
        </w:rPr>
      </w:pPr>
      <w:r>
        <w:rPr>
          <w:rFonts w:ascii="宋体" w:hAnsi="宋体" w:cs="宋体"/>
          <w:kern w:val="0"/>
        </w:rPr>
        <w:t>附属在建筑物外墙的落地橱窗，按照其外围护结构外表面所围空间的水平投影面积计算。</w:t>
      </w:r>
    </w:p>
    <w:p>
      <w:pPr>
        <w:pStyle w:val="67"/>
        <w:spacing w:before="156" w:after="156"/>
      </w:pPr>
      <w:bookmarkStart w:id="267" w:name="_Toc404004851"/>
      <w:bookmarkEnd w:id="267"/>
      <w:bookmarkStart w:id="268" w:name="_Toc404085581"/>
      <w:r>
        <w:t>空调机位及相关建筑面积计算。</w:t>
      </w:r>
      <w:bookmarkEnd w:id="268"/>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空调机位及相关建筑面积计算方法如下：</w:t>
      </w:r>
    </w:p>
    <w:p>
      <w:pPr>
        <w:widowControl/>
        <w:numPr>
          <w:ilvl w:val="0"/>
          <w:numId w:val="77"/>
        </w:numPr>
        <w:adjustRightInd/>
        <w:spacing w:line="240" w:lineRule="auto"/>
        <w:ind w:left="840" w:hanging="420"/>
        <w:rPr>
          <w:rFonts w:hint="eastAsia" w:ascii="宋体" w:hAnsi="宋体" w:cs="宋体"/>
          <w:kern w:val="0"/>
        </w:rPr>
      </w:pPr>
      <w:r>
        <w:rPr>
          <w:rFonts w:ascii="宋体" w:hAnsi="宋体" w:cs="宋体"/>
          <w:kern w:val="0"/>
        </w:rPr>
        <w:t>如图24所示，空调机位均不计算建筑面积；房间或阳台内设有无围护结构空调机位的，该部位仍按原房间或阳台计算建筑面积</w:t>
      </w:r>
      <w:r>
        <w:rPr>
          <w:rFonts w:hint="eastAsia" w:ascii="宋体" w:hAnsi="宋体" w:cs="宋体"/>
          <w:kern w:val="0"/>
        </w:rPr>
        <w:t>；</w:t>
      </w:r>
    </w:p>
    <w:p>
      <w:pPr>
        <w:widowControl/>
        <w:numPr>
          <w:ilvl w:val="0"/>
          <w:numId w:val="77"/>
        </w:numPr>
        <w:adjustRightInd/>
        <w:spacing w:line="240" w:lineRule="auto"/>
        <w:ind w:left="840" w:hanging="420"/>
        <w:rPr>
          <w:rFonts w:hint="eastAsia" w:ascii="宋体" w:hAnsi="宋体" w:cs="宋体"/>
          <w:kern w:val="0"/>
        </w:rPr>
      </w:pPr>
      <w:r>
        <w:rPr>
          <w:rFonts w:ascii="宋体" w:hAnsi="宋体" w:cs="宋体"/>
          <w:kern w:val="0"/>
        </w:rPr>
        <w:t>设备平台、空调室外搁机板不计算面积。</w:t>
      </w:r>
    </w:p>
    <w:p>
      <w:pPr>
        <w:widowControl/>
        <w:adjustRightInd/>
        <w:spacing w:line="360" w:lineRule="auto"/>
        <w:jc w:val="center"/>
        <w:rPr>
          <w:rFonts w:hint="eastAsia" w:ascii="宋体" w:hAnsi="宋体"/>
          <w:b/>
          <w:bCs/>
          <w:color w:val="FF0000"/>
          <w:kern w:val="0"/>
        </w:rPr>
      </w:pPr>
      <w:r>
        <w:rPr>
          <w:rFonts w:ascii="Times New Roman" w:hAnsi="Times New Roman"/>
          <w:kern w:val="0"/>
        </w:rPr>
        <w:drawing>
          <wp:inline distT="0" distB="0" distL="0" distR="0">
            <wp:extent cx="3228975" cy="3181350"/>
            <wp:effectExtent l="0" t="0" r="9525" b="0"/>
            <wp:docPr id="69" name="图片 69" descr="C:\Users\jn\AppData\Local\Temp\ksohtml4520\wps41.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69" descr="C:\Users\jn\AppData\Local\Temp\ksohtml4520\wps41.jpg"/>
                    <pic:cNvPicPr>
                      <a:picLocks noChangeAspect="true" noChangeArrowheads="true"/>
                    </pic:cNvPicPr>
                  </pic:nvPicPr>
                  <pic:blipFill>
                    <a:blip r:embed="rId105">
                      <a:extLst>
                        <a:ext uri="{28A0092B-C50C-407E-A947-70E740481C1C}">
                          <a14:useLocalDpi xmlns:a14="http://schemas.microsoft.com/office/drawing/2010/main" val="false"/>
                        </a:ext>
                      </a:extLst>
                    </a:blip>
                    <a:srcRect/>
                    <a:stretch>
                      <a:fillRect/>
                    </a:stretch>
                  </pic:blipFill>
                  <pic:spPr>
                    <a:xfrm>
                      <a:off x="0" y="0"/>
                      <a:ext cx="3228975" cy="3181350"/>
                    </a:xfrm>
                    <a:prstGeom prst="rect">
                      <a:avLst/>
                    </a:prstGeom>
                    <a:noFill/>
                    <a:ln>
                      <a:noFill/>
                    </a:ln>
                  </pic:spPr>
                </pic:pic>
              </a:graphicData>
            </a:graphic>
          </wp:inline>
        </w:drawing>
      </w:r>
      <w:r>
        <w:rPr>
          <w:rFonts w:ascii="宋体" w:hAnsi="宋体"/>
          <w:b/>
          <w:bCs/>
          <w:color w:val="FF0000"/>
          <w:kern w:val="0"/>
        </w:rPr>
        <w:t xml:space="preserve"> </w:t>
      </w:r>
    </w:p>
    <w:p>
      <w:pPr>
        <w:pStyle w:val="116"/>
        <w:spacing w:before="156" w:after="156"/>
        <w:rPr>
          <w:rFonts w:hint="eastAsia" w:hAnsi="黑体"/>
        </w:rPr>
      </w:pPr>
      <w:r>
        <w:t xml:space="preserve">空调机位示例 </w:t>
      </w:r>
    </w:p>
    <w:p>
      <w:pPr>
        <w:pStyle w:val="67"/>
        <w:spacing w:before="156" w:after="156"/>
      </w:pPr>
      <w:bookmarkStart w:id="269" w:name="_Toc404004852"/>
      <w:bookmarkEnd w:id="269"/>
      <w:bookmarkStart w:id="270" w:name="_Toc404085582"/>
      <w:r>
        <w:t>架空层面积计算</w:t>
      </w:r>
      <w:bookmarkEnd w:id="270"/>
    </w:p>
    <w:p>
      <w:pPr>
        <w:widowControl/>
        <w:adjustRightInd/>
        <w:spacing w:line="240" w:lineRule="auto"/>
        <w:ind w:firstLine="420"/>
        <w:rPr>
          <w:rFonts w:hint="eastAsia" w:ascii="宋体" w:hAnsi="宋体" w:cs="宋体"/>
          <w:kern w:val="0"/>
        </w:rPr>
      </w:pPr>
      <w:r>
        <w:rPr>
          <w:rFonts w:ascii="宋体" w:hAnsi="宋体" w:cs="宋体"/>
          <w:kern w:val="0"/>
        </w:rPr>
        <w:t>仅有结构支撑，无围护结构的架空层，层高在2.20m及其以上的，按上一楼层的主墙体（或架空层的围护结构、围护设施）外围水平投影，计算全部建筑面积；局部层高达到2.20m及其以上的（仅垂直通道达到2.20m除外），该部分计算全部建筑面积，层高小于2.20m的部分，不计算建筑面积。</w:t>
      </w:r>
    </w:p>
    <w:p>
      <w:pPr>
        <w:pStyle w:val="67"/>
        <w:spacing w:before="156" w:after="156"/>
      </w:pPr>
      <w:bookmarkStart w:id="271" w:name="_Toc404004853"/>
      <w:bookmarkEnd w:id="271"/>
      <w:bookmarkStart w:id="272" w:name="_Toc404085583"/>
      <w:r>
        <w:t>幕墙面积计算</w:t>
      </w:r>
      <w:bookmarkEnd w:id="272"/>
    </w:p>
    <w:p>
      <w:pPr>
        <w:widowControl/>
        <w:adjustRightInd/>
        <w:spacing w:line="240" w:lineRule="auto"/>
        <w:ind w:firstLine="420"/>
        <w:rPr>
          <w:rFonts w:hint="eastAsia" w:ascii="宋体" w:hAnsi="宋体" w:cs="宋体"/>
          <w:kern w:val="0"/>
        </w:rPr>
      </w:pPr>
      <w:r>
        <w:rPr>
          <w:rFonts w:ascii="宋体" w:hAnsi="宋体" w:cs="宋体"/>
          <w:kern w:val="0"/>
        </w:rPr>
        <w:t>幕墙面积计算的方法如下：</w:t>
      </w:r>
    </w:p>
    <w:p>
      <w:pPr>
        <w:widowControl/>
        <w:numPr>
          <w:ilvl w:val="0"/>
          <w:numId w:val="78"/>
        </w:numPr>
        <w:adjustRightInd/>
        <w:spacing w:line="240" w:lineRule="auto"/>
        <w:ind w:left="840" w:hanging="420"/>
        <w:rPr>
          <w:rFonts w:hint="eastAsia" w:ascii="宋体" w:hAnsi="宋体" w:cs="宋体"/>
          <w:kern w:val="0"/>
        </w:rPr>
      </w:pPr>
      <w:r>
        <w:rPr>
          <w:rFonts w:ascii="宋体" w:hAnsi="宋体" w:cs="宋体"/>
          <w:kern w:val="0"/>
        </w:rPr>
        <w:t>嵌合于房屋横梁上的玻璃、金属等材料形成的幕墙，幕墙安放于挡坎（或结构反梁）之上，按挡坎（或结构反梁）外沿水平投影计算建筑面积。以挡坎（或结构反梁）厚度计算外墙体的墙厚；若无挡坎（或结构反梁），按玻璃、金属等材料外沿水平投影计算建筑面积，外墙体厚度设定为0</w:t>
      </w:r>
      <w:r>
        <w:rPr>
          <w:rFonts w:hint="eastAsia" w:ascii="宋体" w:hAnsi="宋体" w:cs="宋体"/>
          <w:kern w:val="0"/>
        </w:rPr>
        <w:t>；</w:t>
      </w:r>
    </w:p>
    <w:p>
      <w:pPr>
        <w:widowControl/>
        <w:numPr>
          <w:ilvl w:val="0"/>
          <w:numId w:val="78"/>
        </w:numPr>
        <w:adjustRightInd/>
        <w:spacing w:line="240" w:lineRule="auto"/>
        <w:ind w:left="840" w:hanging="420"/>
        <w:rPr>
          <w:rFonts w:hint="eastAsia" w:ascii="宋体" w:hAnsi="宋体" w:cs="宋体"/>
          <w:color w:val="000000"/>
          <w:kern w:val="0"/>
        </w:rPr>
      </w:pPr>
      <w:r>
        <w:rPr>
          <w:rFonts w:ascii="宋体" w:hAnsi="宋体" w:cs="宋体"/>
          <w:kern w:val="0"/>
        </w:rPr>
        <w:t>悬挂于结构墙体之上，起装饰作用的玻璃幕墙、金属幕墙、石材幕墙及其</w:t>
      </w:r>
      <w:r>
        <w:rPr>
          <w:rFonts w:ascii="宋体" w:hAnsi="宋体" w:cs="宋体"/>
          <w:color w:val="000000"/>
          <w:kern w:val="0"/>
        </w:rPr>
        <w:t>它材料幕墙等，按结构墙体外围水平投影计算房屋建筑面积；</w:t>
      </w:r>
    </w:p>
    <w:p>
      <w:pPr>
        <w:widowControl/>
        <w:numPr>
          <w:ilvl w:val="0"/>
          <w:numId w:val="78"/>
        </w:numPr>
        <w:adjustRightInd/>
        <w:spacing w:line="240" w:lineRule="auto"/>
        <w:ind w:left="840" w:hanging="420"/>
        <w:rPr>
          <w:rFonts w:hint="eastAsia" w:ascii="宋体" w:hAnsi="宋体" w:cs="宋体"/>
          <w:kern w:val="0"/>
        </w:rPr>
      </w:pPr>
      <w:r>
        <w:rPr>
          <w:rFonts w:ascii="宋体" w:hAnsi="宋体" w:cs="宋体"/>
          <w:kern w:val="0"/>
        </w:rPr>
        <w:t>悬挂式起围护作用的幕墙，室内楼、地板面上无论是否设置围护，均按室内楼、地板面外沿或结构梁外沿水平投影计算建筑面积；</w:t>
      </w:r>
    </w:p>
    <w:p>
      <w:pPr>
        <w:widowControl/>
        <w:numPr>
          <w:ilvl w:val="0"/>
          <w:numId w:val="78"/>
        </w:numPr>
        <w:adjustRightInd/>
        <w:spacing w:line="240" w:lineRule="auto"/>
        <w:ind w:left="840" w:hanging="420"/>
        <w:rPr>
          <w:rFonts w:hint="eastAsia" w:ascii="宋体" w:hAnsi="宋体" w:cs="宋体"/>
          <w:kern w:val="0"/>
          <w:sz w:val="24"/>
          <w:szCs w:val="24"/>
        </w:rPr>
      </w:pPr>
      <w:r>
        <w:rPr>
          <w:rFonts w:ascii="宋体" w:hAnsi="宋体" w:cs="宋体"/>
          <w:kern w:val="0"/>
        </w:rPr>
        <w:t>同一楼层同一面外墙既有结构墙体又有幕墙且相互不重叠时，按照结构墙体及幕墙形式确定各自边界计算。</w:t>
      </w:r>
    </w:p>
    <w:p>
      <w:pPr>
        <w:pStyle w:val="67"/>
        <w:spacing w:before="156" w:after="156"/>
      </w:pPr>
      <w:bookmarkStart w:id="273" w:name="_Toc404004854"/>
      <w:bookmarkEnd w:id="273"/>
      <w:bookmarkStart w:id="274" w:name="_Toc404085584"/>
      <w:r>
        <w:t>其他建筑部位面积的计算</w:t>
      </w:r>
      <w:bookmarkEnd w:id="274"/>
    </w:p>
    <w:p>
      <w:pPr>
        <w:widowControl/>
        <w:adjustRightInd/>
        <w:spacing w:line="240" w:lineRule="auto"/>
        <w:ind w:firstLine="420"/>
        <w:rPr>
          <w:rFonts w:hint="eastAsia" w:ascii="宋体" w:hAnsi="宋体" w:cs="宋体"/>
          <w:kern w:val="0"/>
        </w:rPr>
      </w:pPr>
      <w:r>
        <w:rPr>
          <w:rFonts w:ascii="宋体" w:hAnsi="宋体" w:cs="宋体"/>
          <w:kern w:val="0"/>
        </w:rPr>
        <w:t>夹层、中空、风井、烟道、未封闭上盖的看台等建筑部位的面积计算按照下列规定执行：</w:t>
      </w:r>
    </w:p>
    <w:p>
      <w:pPr>
        <w:widowControl/>
        <w:numPr>
          <w:ilvl w:val="0"/>
          <w:numId w:val="79"/>
        </w:numPr>
        <w:adjustRightInd/>
        <w:spacing w:line="240" w:lineRule="auto"/>
        <w:ind w:left="840" w:hanging="420"/>
        <w:rPr>
          <w:rFonts w:hint="eastAsia" w:ascii="宋体" w:hAnsi="宋体" w:cs="宋体"/>
          <w:kern w:val="0"/>
        </w:rPr>
      </w:pPr>
      <w:r>
        <w:rPr>
          <w:rFonts w:ascii="宋体" w:hAnsi="宋体" w:cs="宋体"/>
          <w:kern w:val="0"/>
        </w:rPr>
        <w:t>楼层内设置局部夹层的，当夹层层高大于2.20m且夹层下方层高小于2.20m，或者夹层和夹层下方空间的层高均小于2.20m时，夹层不计算面积，本楼层计算一层建筑面积；</w:t>
      </w:r>
    </w:p>
    <w:p>
      <w:pPr>
        <w:widowControl/>
        <w:numPr>
          <w:ilvl w:val="0"/>
          <w:numId w:val="79"/>
        </w:numPr>
        <w:adjustRightInd/>
        <w:spacing w:line="240" w:lineRule="auto"/>
        <w:ind w:left="840" w:hanging="420"/>
        <w:rPr>
          <w:rFonts w:hint="eastAsia" w:ascii="宋体" w:hAnsi="宋体" w:cs="宋体"/>
          <w:kern w:val="0"/>
        </w:rPr>
      </w:pPr>
      <w:r>
        <w:rPr>
          <w:rFonts w:ascii="宋体" w:hAnsi="宋体" w:cs="宋体"/>
          <w:kern w:val="0"/>
        </w:rPr>
        <w:t>建筑物内的中空按净空水平投影扣减建筑面积；</w:t>
      </w:r>
    </w:p>
    <w:p>
      <w:pPr>
        <w:widowControl/>
        <w:numPr>
          <w:ilvl w:val="0"/>
          <w:numId w:val="79"/>
        </w:numPr>
        <w:adjustRightInd/>
        <w:spacing w:line="240" w:lineRule="auto"/>
        <w:ind w:left="840" w:hanging="420"/>
        <w:rPr>
          <w:rFonts w:hint="eastAsia" w:ascii="宋体" w:hAnsi="宋体" w:cs="宋体"/>
          <w:kern w:val="0"/>
        </w:rPr>
      </w:pPr>
      <w:r>
        <w:rPr>
          <w:rFonts w:ascii="宋体" w:hAnsi="宋体" w:cs="宋体"/>
          <w:kern w:val="0"/>
        </w:rPr>
        <w:t>与房屋主体结构一体的风井、烟道，按其所在的自然层数计算建筑面积；与房屋主体有间距的，不计算建筑面积；</w:t>
      </w:r>
    </w:p>
    <w:p>
      <w:pPr>
        <w:widowControl/>
        <w:numPr>
          <w:ilvl w:val="0"/>
          <w:numId w:val="79"/>
        </w:numPr>
        <w:adjustRightInd/>
        <w:spacing w:line="240" w:lineRule="auto"/>
        <w:ind w:left="840" w:hanging="420"/>
        <w:rPr>
          <w:rFonts w:hint="eastAsia" w:ascii="宋体" w:hAnsi="宋体" w:cs="宋体"/>
          <w:kern w:val="0"/>
        </w:rPr>
      </w:pPr>
      <w:r>
        <w:rPr>
          <w:rFonts w:ascii="宋体" w:hAnsi="宋体" w:cs="宋体"/>
          <w:kern w:val="0"/>
        </w:rPr>
        <w:t>体育场等有未封闭上盖的看台,按其上盖的水平投影面积的一半计算建筑面积；其看台下方有围护结构并加以利用，且层高在2.20m及其以上的空间，按实际层数计算建筑面积。</w:t>
      </w:r>
    </w:p>
    <w:p>
      <w:pPr>
        <w:pStyle w:val="67"/>
        <w:spacing w:before="156" w:after="156"/>
      </w:pPr>
      <w:r>
        <w:t>立体车库面积计算</w:t>
      </w:r>
    </w:p>
    <w:p>
      <w:pPr>
        <w:widowControl/>
        <w:autoSpaceDE w:val="0"/>
        <w:autoSpaceDN w:val="0"/>
        <w:adjustRightInd/>
        <w:spacing w:line="240" w:lineRule="auto"/>
        <w:ind w:firstLine="420"/>
        <w:rPr>
          <w:rFonts w:ascii="宋体" w:hAnsi="Times New Roman"/>
          <w:kern w:val="0"/>
          <w:szCs w:val="20"/>
        </w:rPr>
      </w:pPr>
      <w:r>
        <w:rPr>
          <w:rFonts w:ascii="宋体" w:hAnsi="Times New Roman"/>
          <w:kern w:val="0"/>
          <w:szCs w:val="20"/>
        </w:rPr>
        <w:t>立体停车库的建筑面积按以下规定计算：建筑物形态的立体停车库有围护结构的，按照其围护结构外表面水平投影面积计算；无围护结构的，按照其结构底板水平投影面积计算。有结构层的按照其结构层的层数分别计算；无结构层的按一层计算。</w:t>
      </w:r>
    </w:p>
    <w:p>
      <w:pPr>
        <w:pStyle w:val="106"/>
        <w:spacing w:before="312" w:after="312"/>
      </w:pPr>
      <w:bookmarkStart w:id="275" w:name="_Toc404085585"/>
      <w:bookmarkStart w:id="276" w:name="_Toc237015173"/>
      <w:bookmarkStart w:id="277" w:name="_Toc237470905"/>
      <w:r>
        <w:t>共有建筑面积分摊规则</w:t>
      </w:r>
      <w:bookmarkEnd w:id="275"/>
      <w:bookmarkEnd w:id="276"/>
      <w:bookmarkEnd w:id="277"/>
    </w:p>
    <w:p>
      <w:pPr>
        <w:pStyle w:val="107"/>
        <w:spacing w:before="156" w:after="156"/>
      </w:pPr>
      <w:bookmarkStart w:id="278" w:name="_Toc405534885"/>
      <w:bookmarkEnd w:id="278"/>
      <w:bookmarkStart w:id="279" w:name="_Toc406061450"/>
      <w:bookmarkStart w:id="280" w:name="_Toc237015174"/>
      <w:bookmarkStart w:id="281" w:name="_Toc237470906"/>
      <w:r>
        <w:t>共有建筑面积的内容</w:t>
      </w:r>
      <w:bookmarkEnd w:id="279"/>
      <w:bookmarkEnd w:id="280"/>
      <w:bookmarkEnd w:id="281"/>
    </w:p>
    <w:p>
      <w:pPr>
        <w:pStyle w:val="67"/>
        <w:spacing w:before="156" w:after="156"/>
      </w:pPr>
      <w:bookmarkStart w:id="282" w:name="_Toc404004858"/>
      <w:bookmarkEnd w:id="282"/>
      <w:bookmarkStart w:id="283" w:name="_Toc392665361"/>
      <w:bookmarkEnd w:id="283"/>
      <w:bookmarkStart w:id="284" w:name="_Toc404085588"/>
      <w:r>
        <w:t>应分摊的共有建筑面积</w:t>
      </w:r>
      <w:bookmarkEnd w:id="284"/>
    </w:p>
    <w:p>
      <w:pPr>
        <w:widowControl/>
        <w:adjustRightInd/>
        <w:spacing w:line="240" w:lineRule="auto"/>
        <w:ind w:firstLine="420"/>
        <w:rPr>
          <w:rFonts w:hint="eastAsia" w:ascii="宋体" w:hAnsi="宋体" w:cs="宋体"/>
          <w:kern w:val="0"/>
        </w:rPr>
      </w:pPr>
      <w:r>
        <w:rPr>
          <w:rFonts w:ascii="宋体" w:hAnsi="宋体" w:cs="宋体"/>
          <w:kern w:val="0"/>
        </w:rPr>
        <w:t>应分摊的共有建筑面积的情形如下：</w:t>
      </w:r>
    </w:p>
    <w:p>
      <w:pPr>
        <w:widowControl/>
        <w:numPr>
          <w:ilvl w:val="0"/>
          <w:numId w:val="80"/>
        </w:numPr>
        <w:adjustRightInd/>
        <w:spacing w:line="240" w:lineRule="auto"/>
        <w:ind w:left="840" w:hanging="420"/>
        <w:rPr>
          <w:rFonts w:hint="eastAsia" w:ascii="宋体" w:hAnsi="宋体" w:cs="宋体"/>
          <w:kern w:val="0"/>
        </w:rPr>
      </w:pPr>
      <w:r>
        <w:rPr>
          <w:rFonts w:ascii="宋体" w:hAnsi="宋体" w:cs="宋体"/>
          <w:kern w:val="0"/>
        </w:rPr>
        <w:t>幢内共有的楼梯间、电梯间、电梯井、观光井（梯）、提物井、室外楼梯等垂直通道及管道井、垃圾道等的建筑面积；</w:t>
      </w:r>
    </w:p>
    <w:p>
      <w:pPr>
        <w:widowControl/>
        <w:numPr>
          <w:ilvl w:val="0"/>
          <w:numId w:val="80"/>
        </w:numPr>
        <w:adjustRightInd/>
        <w:spacing w:line="240" w:lineRule="auto"/>
        <w:ind w:left="840" w:hanging="420"/>
        <w:rPr>
          <w:rFonts w:hint="eastAsia" w:ascii="宋体" w:hAnsi="宋体" w:cs="宋体"/>
          <w:kern w:val="0"/>
        </w:rPr>
      </w:pPr>
      <w:r>
        <w:rPr>
          <w:rFonts w:ascii="宋体" w:hAnsi="宋体" w:cs="宋体"/>
          <w:kern w:val="0"/>
        </w:rPr>
        <w:t>幢内共有的门厅、大厅、过（走）道、门廊、门斗等水平通道的建筑面积；</w:t>
      </w:r>
    </w:p>
    <w:p>
      <w:pPr>
        <w:widowControl/>
        <w:numPr>
          <w:ilvl w:val="0"/>
          <w:numId w:val="80"/>
        </w:numPr>
        <w:adjustRightInd/>
        <w:spacing w:line="240" w:lineRule="auto"/>
        <w:ind w:left="840" w:hanging="420"/>
        <w:rPr>
          <w:rFonts w:hint="eastAsia" w:ascii="宋体" w:hAnsi="宋体" w:cs="宋体"/>
          <w:kern w:val="0"/>
        </w:rPr>
      </w:pPr>
      <w:r>
        <w:rPr>
          <w:rFonts w:ascii="宋体" w:hAnsi="宋体" w:cs="宋体"/>
          <w:kern w:val="0"/>
        </w:rPr>
        <w:t>幢内共有的突出屋面的水箱间、电梯机房、楼梯间等的建筑面积；</w:t>
      </w:r>
    </w:p>
    <w:p>
      <w:pPr>
        <w:widowControl/>
        <w:numPr>
          <w:ilvl w:val="0"/>
          <w:numId w:val="80"/>
        </w:numPr>
        <w:adjustRightInd/>
        <w:spacing w:line="240" w:lineRule="auto"/>
        <w:ind w:left="840" w:hanging="420"/>
        <w:rPr>
          <w:rFonts w:hint="eastAsia" w:ascii="宋体" w:hAnsi="宋体" w:cs="宋体"/>
          <w:color w:val="000000"/>
          <w:kern w:val="0"/>
        </w:rPr>
      </w:pPr>
      <w:r>
        <w:rPr>
          <w:rFonts w:ascii="宋体" w:hAnsi="宋体" w:cs="宋体"/>
          <w:kern w:val="0"/>
        </w:rPr>
        <w:t>幢内为本幢服务的设备间（室）、工具间、值班室等，以及其他在功能上为整幢、某一层或某几个单元服务的公共用房和管理用房的建筑面积</w:t>
      </w:r>
      <w:r>
        <w:rPr>
          <w:rFonts w:ascii="宋体" w:hAnsi="宋体" w:cs="宋体"/>
          <w:color w:val="000000"/>
          <w:kern w:val="0"/>
        </w:rPr>
        <w:t>；</w:t>
      </w:r>
    </w:p>
    <w:p>
      <w:pPr>
        <w:widowControl/>
        <w:numPr>
          <w:ilvl w:val="0"/>
          <w:numId w:val="80"/>
        </w:numPr>
        <w:adjustRightInd/>
        <w:spacing w:line="240" w:lineRule="auto"/>
        <w:ind w:left="840" w:hanging="420"/>
        <w:rPr>
          <w:rFonts w:hint="eastAsia" w:ascii="宋体" w:hAnsi="宋体" w:cs="宋体"/>
          <w:kern w:val="0"/>
        </w:rPr>
      </w:pPr>
      <w:r>
        <w:rPr>
          <w:rFonts w:ascii="宋体" w:hAnsi="宋体" w:cs="宋体"/>
          <w:kern w:val="0"/>
        </w:rPr>
        <w:t>位于建筑物外墙裸墙中心线外侧的墙体面积；</w:t>
      </w:r>
    </w:p>
    <w:p>
      <w:pPr>
        <w:widowControl/>
        <w:numPr>
          <w:ilvl w:val="0"/>
          <w:numId w:val="80"/>
        </w:numPr>
        <w:adjustRightInd/>
        <w:spacing w:line="240" w:lineRule="auto"/>
        <w:ind w:left="840" w:hanging="420"/>
        <w:rPr>
          <w:rFonts w:hint="eastAsia" w:ascii="宋体" w:hAnsi="宋体" w:cs="宋体"/>
          <w:kern w:val="0"/>
        </w:rPr>
      </w:pPr>
      <w:r>
        <w:rPr>
          <w:rFonts w:ascii="宋体" w:hAnsi="宋体" w:cs="宋体"/>
          <w:kern w:val="0"/>
        </w:rPr>
        <w:t>法律、法规规定应分摊的其他房屋建筑面积。</w:t>
      </w:r>
    </w:p>
    <w:p>
      <w:pPr>
        <w:pStyle w:val="67"/>
        <w:spacing w:before="156" w:after="156"/>
      </w:pPr>
      <w:bookmarkStart w:id="285" w:name="_Toc392665360"/>
      <w:bookmarkEnd w:id="285"/>
      <w:bookmarkStart w:id="286" w:name="_Toc404004857"/>
      <w:bookmarkEnd w:id="286"/>
      <w:bookmarkStart w:id="287" w:name="_Toc404085587"/>
      <w:r>
        <w:t>不应分摊的建筑面积</w:t>
      </w:r>
      <w:bookmarkEnd w:id="287"/>
    </w:p>
    <w:p>
      <w:pPr>
        <w:widowControl/>
        <w:adjustRightInd/>
        <w:spacing w:line="240" w:lineRule="auto"/>
        <w:ind w:firstLine="420"/>
        <w:rPr>
          <w:rFonts w:hint="eastAsia" w:ascii="宋体" w:hAnsi="宋体" w:cs="宋体"/>
          <w:kern w:val="0"/>
        </w:rPr>
      </w:pPr>
      <w:r>
        <w:rPr>
          <w:rFonts w:ascii="宋体" w:hAnsi="宋体" w:cs="宋体"/>
          <w:kern w:val="0"/>
        </w:rPr>
        <w:t>不应分摊的建筑面积情形如下：</w:t>
      </w:r>
    </w:p>
    <w:p>
      <w:pPr>
        <w:widowControl/>
        <w:numPr>
          <w:ilvl w:val="0"/>
          <w:numId w:val="81"/>
        </w:numPr>
        <w:adjustRightInd/>
        <w:spacing w:line="240" w:lineRule="auto"/>
        <w:rPr>
          <w:rFonts w:hint="eastAsia" w:ascii="宋体" w:hAnsi="宋体" w:cs="宋体"/>
          <w:kern w:val="0"/>
        </w:rPr>
      </w:pPr>
      <w:r>
        <w:rPr>
          <w:rFonts w:ascii="宋体" w:hAnsi="宋体" w:cs="宋体"/>
          <w:kern w:val="0"/>
        </w:rPr>
        <w:t>设计为人防工程、避难层（间），或利用人防工程、避难层（间）的建设的公共服务用房；</w:t>
      </w:r>
    </w:p>
    <w:p>
      <w:pPr>
        <w:widowControl/>
        <w:numPr>
          <w:ilvl w:val="0"/>
          <w:numId w:val="81"/>
        </w:numPr>
        <w:adjustRightInd/>
        <w:spacing w:line="240" w:lineRule="auto"/>
        <w:rPr>
          <w:rFonts w:hint="eastAsia" w:ascii="宋体" w:hAnsi="宋体" w:cs="宋体"/>
          <w:kern w:val="0"/>
        </w:rPr>
      </w:pPr>
      <w:r>
        <w:rPr>
          <w:rFonts w:ascii="宋体" w:hAnsi="宋体" w:cs="宋体"/>
          <w:kern w:val="0"/>
        </w:rPr>
        <w:t>独立使用的地下室、半地下室；地下室或半地下室中独立使用的车位、车库、仓库、杂（储）物间等；作为机动车、非机动车集中停放的部位等；</w:t>
      </w:r>
    </w:p>
    <w:p>
      <w:pPr>
        <w:widowControl/>
        <w:numPr>
          <w:ilvl w:val="0"/>
          <w:numId w:val="81"/>
        </w:numPr>
        <w:adjustRightInd/>
        <w:spacing w:line="240" w:lineRule="auto"/>
        <w:rPr>
          <w:rFonts w:hint="eastAsia" w:ascii="宋体" w:hAnsi="宋体" w:cs="宋体"/>
          <w:kern w:val="0"/>
        </w:rPr>
      </w:pPr>
      <w:r>
        <w:rPr>
          <w:rFonts w:ascii="宋体" w:hAnsi="宋体" w:cs="宋体"/>
          <w:kern w:val="0"/>
        </w:rPr>
        <w:t>建在幢内或幢外，为他幢或多幢服务的变（配）电房、水泵房、值班警卫房、公共走廊、环卫用房等管理用房、设备用房、市政设施用房；</w:t>
      </w:r>
    </w:p>
    <w:p>
      <w:pPr>
        <w:widowControl/>
        <w:numPr>
          <w:ilvl w:val="0"/>
          <w:numId w:val="81"/>
        </w:numPr>
        <w:adjustRightInd/>
        <w:spacing w:line="240" w:lineRule="auto"/>
        <w:rPr>
          <w:rFonts w:hint="eastAsia" w:ascii="宋体" w:hAnsi="宋体" w:cs="宋体"/>
          <w:kern w:val="0"/>
        </w:rPr>
      </w:pPr>
      <w:r>
        <w:rPr>
          <w:rFonts w:ascii="宋体" w:hAnsi="宋体" w:cs="宋体"/>
          <w:kern w:val="0"/>
        </w:rPr>
        <w:t>房屋内建设的设备（结构）转换层、用作休憩、绿化等公共开放的架空部分、用作公共休憩的亭、走廊、塔等建筑；</w:t>
      </w:r>
    </w:p>
    <w:p>
      <w:pPr>
        <w:widowControl/>
        <w:numPr>
          <w:ilvl w:val="0"/>
          <w:numId w:val="81"/>
        </w:numPr>
        <w:adjustRightInd/>
        <w:spacing w:line="240" w:lineRule="auto"/>
        <w:rPr>
          <w:rFonts w:hint="eastAsia" w:ascii="宋体" w:hAnsi="宋体" w:cs="宋体"/>
          <w:kern w:val="0"/>
        </w:rPr>
      </w:pPr>
      <w:r>
        <w:rPr>
          <w:rFonts w:ascii="宋体" w:hAnsi="宋体" w:cs="宋体"/>
          <w:kern w:val="0"/>
        </w:rPr>
        <w:t>社区公共服务用房；</w:t>
      </w:r>
    </w:p>
    <w:p>
      <w:pPr>
        <w:widowControl/>
        <w:numPr>
          <w:ilvl w:val="0"/>
          <w:numId w:val="81"/>
        </w:numPr>
        <w:adjustRightInd/>
        <w:spacing w:line="240" w:lineRule="auto"/>
        <w:rPr>
          <w:rFonts w:hint="eastAsia" w:ascii="宋体" w:hAnsi="宋体" w:cs="宋体"/>
          <w:kern w:val="0"/>
        </w:rPr>
      </w:pPr>
      <w:r>
        <w:rPr>
          <w:rFonts w:ascii="宋体" w:hAnsi="宋体" w:cs="宋体"/>
          <w:kern w:val="0"/>
        </w:rPr>
        <w:t>物业服务、管理用房，包括物业公司的经营、办公用房以及业主委员会用房；</w:t>
      </w:r>
    </w:p>
    <w:p>
      <w:pPr>
        <w:widowControl/>
        <w:numPr>
          <w:ilvl w:val="0"/>
          <w:numId w:val="81"/>
        </w:numPr>
        <w:adjustRightInd/>
        <w:spacing w:line="240" w:lineRule="auto"/>
        <w:rPr>
          <w:rFonts w:hint="eastAsia" w:ascii="宋体" w:hAnsi="宋体" w:cs="宋体"/>
          <w:kern w:val="0"/>
        </w:rPr>
      </w:pPr>
      <w:r>
        <w:rPr>
          <w:rFonts w:ascii="宋体" w:hAnsi="宋体" w:cs="宋体"/>
          <w:kern w:val="0"/>
        </w:rPr>
        <w:t>法律、法规规定不应分摊的其他房屋建筑面积。</w:t>
      </w:r>
    </w:p>
    <w:p>
      <w:pPr>
        <w:pStyle w:val="107"/>
        <w:spacing w:before="156" w:after="156"/>
      </w:pPr>
      <w:bookmarkStart w:id="288" w:name="_Toc405534886"/>
      <w:bookmarkEnd w:id="288"/>
      <w:bookmarkStart w:id="289" w:name="_Toc392665362"/>
      <w:bookmarkEnd w:id="289"/>
      <w:bookmarkStart w:id="290" w:name="_Toc404085589"/>
      <w:bookmarkEnd w:id="290"/>
      <w:bookmarkStart w:id="291" w:name="_Toc404004859"/>
      <w:bookmarkEnd w:id="291"/>
      <w:bookmarkStart w:id="292" w:name="_Toc406061451"/>
      <w:bookmarkStart w:id="293" w:name="_Toc237015175"/>
      <w:bookmarkStart w:id="294" w:name="_Toc237470907"/>
      <w:r>
        <w:t>共有建筑面积的分摊原则</w:t>
      </w:r>
      <w:bookmarkEnd w:id="292"/>
      <w:bookmarkEnd w:id="293"/>
      <w:bookmarkEnd w:id="294"/>
    </w:p>
    <w:p>
      <w:pPr>
        <w:widowControl/>
        <w:adjustRightInd/>
        <w:spacing w:line="240" w:lineRule="auto"/>
        <w:ind w:firstLine="420"/>
        <w:rPr>
          <w:rFonts w:hint="eastAsia" w:ascii="宋体" w:hAnsi="宋体" w:cs="宋体"/>
          <w:kern w:val="0"/>
        </w:rPr>
      </w:pPr>
      <w:r>
        <w:rPr>
          <w:rFonts w:ascii="宋体" w:hAnsi="宋体" w:cs="宋体"/>
          <w:kern w:val="0"/>
        </w:rPr>
        <w:t>异产毗连房屋存在有无法分割的共有部位的，各户建筑面积应进行共有建筑面积分摊计算。分摊的原则如下：</w:t>
      </w:r>
    </w:p>
    <w:p>
      <w:pPr>
        <w:widowControl/>
        <w:numPr>
          <w:ilvl w:val="0"/>
          <w:numId w:val="82"/>
        </w:numPr>
        <w:adjustRightInd/>
        <w:spacing w:line="240" w:lineRule="auto"/>
        <w:ind w:left="840" w:hanging="420"/>
        <w:rPr>
          <w:rFonts w:hint="eastAsia" w:ascii="宋体" w:hAnsi="宋体" w:cs="宋体"/>
          <w:kern w:val="0"/>
        </w:rPr>
      </w:pPr>
      <w:r>
        <w:rPr>
          <w:rFonts w:ascii="宋体" w:hAnsi="宋体" w:cs="宋体"/>
          <w:kern w:val="0"/>
        </w:rPr>
        <w:t>产权各方有合法权属分割文件或协议的，按文件或协议规定执行。产权各方无合法产权分割文件或协议的，按与共有建筑相关的房屋建筑面积比例进行分摊；</w:t>
      </w:r>
    </w:p>
    <w:p>
      <w:pPr>
        <w:widowControl/>
        <w:numPr>
          <w:ilvl w:val="0"/>
          <w:numId w:val="82"/>
        </w:numPr>
        <w:adjustRightInd/>
        <w:spacing w:line="240" w:lineRule="auto"/>
        <w:ind w:left="840" w:hanging="420"/>
        <w:rPr>
          <w:rFonts w:hint="eastAsia" w:ascii="宋体" w:hAnsi="宋体" w:cs="宋体"/>
          <w:kern w:val="0"/>
        </w:rPr>
      </w:pPr>
      <w:r>
        <w:rPr>
          <w:rFonts w:ascii="宋体" w:hAnsi="宋体" w:cs="宋体"/>
          <w:kern w:val="0"/>
        </w:rPr>
        <w:t>共有建筑面积的分摊与计算，以幢为单位进行。功能单一的房屋一般采取整体分摊的方法，多功能房屋一般采取多级分摊的方法；</w:t>
      </w:r>
    </w:p>
    <w:p>
      <w:pPr>
        <w:widowControl/>
        <w:numPr>
          <w:ilvl w:val="0"/>
          <w:numId w:val="82"/>
        </w:numPr>
        <w:adjustRightInd/>
        <w:spacing w:line="240" w:lineRule="auto"/>
        <w:ind w:left="840" w:hanging="420"/>
        <w:rPr>
          <w:rFonts w:hint="eastAsia" w:ascii="宋体" w:hAnsi="宋体" w:cs="宋体"/>
          <w:kern w:val="0"/>
        </w:rPr>
      </w:pPr>
      <w:r>
        <w:rPr>
          <w:rFonts w:ascii="宋体" w:hAnsi="宋体" w:cs="宋体"/>
          <w:kern w:val="0"/>
        </w:rPr>
        <w:t>共有面积分摊后，各分户建筑面积之和应等于相应的幢、区域、层的建筑面积。由于面积分摊计算中凑整误差的影响，造成上述建筑面积不相等时，其差值的绝对值不应超过公式（5）规定：</w:t>
      </w:r>
    </w:p>
    <w:p>
      <w:pPr>
        <w:tabs>
          <w:tab w:val="center" w:pos="4678"/>
          <w:tab w:val="right" w:leader="middleDot" w:pos="9356"/>
        </w:tabs>
        <w:spacing w:line="240" w:lineRule="auto"/>
        <w:rPr>
          <w:rFonts w:hint="eastAsia" w:ascii="宋体" w:hAnsi="宋体"/>
        </w:rPr>
      </w:pPr>
      <w:r>
        <w:rPr>
          <w:rFonts w:ascii="宋体" w:hAnsi="宋体"/>
        </w:rPr>
        <w:tab/>
      </w:r>
      <m:oMath>
        <m:r>
          <m:rPr>
            <m:sty m:val="p"/>
          </m:rPr>
          <w:rPr>
            <w:rFonts w:ascii="Cambria Math" w:hAnsi="Cambria Math"/>
          </w:rPr>
          <m:t>∆</m:t>
        </m:r>
        <m:sSub>
          <m:sSubPr>
            <m:ctrlPr>
              <w:rPr>
                <w:rFonts w:ascii="Cambria Math" w:hAnsi="Cambria Math"/>
              </w:rPr>
            </m:ctrlPr>
          </m:sSubPr>
          <m:e>
            <m:r>
              <m:rPr/>
              <w:rPr>
                <w:rFonts w:ascii="Cambria Math" w:hAnsi="Cambria Math"/>
              </w:rPr>
              <m:t>S</m:t>
            </m:r>
            <m:ctrlPr>
              <w:rPr>
                <w:rFonts w:ascii="Cambria Math" w:hAnsi="Cambria Math"/>
              </w:rPr>
            </m:ctrlPr>
          </m:e>
          <m:sub>
            <m:r>
              <m:rPr>
                <m:sty m:val="p"/>
              </m:rPr>
              <w:rPr>
                <w:rFonts w:ascii="Cambria Math" w:hAnsi="Cambria Math"/>
              </w:rPr>
              <m:t>允</m:t>
            </m:r>
            <m:ctrlPr>
              <w:rPr>
                <w:rFonts w:ascii="Cambria Math" w:hAnsi="Cambria Math"/>
              </w:rPr>
            </m:ctrlPr>
          </m:sub>
        </m:sSub>
        <m:r>
          <m:rPr>
            <m:sty m:val="p"/>
          </m:rPr>
          <w:rPr>
            <w:rFonts w:ascii="Cambria Math" w:hAnsi="Cambria Math"/>
          </w:rPr>
          <m:t>&lt;0.005*N</m:t>
        </m:r>
      </m:oMath>
      <w:r>
        <w:rPr>
          <w:rFonts w:ascii="微软雅黑" w:hAnsi="微软雅黑" w:eastAsia="微软雅黑"/>
        </w:rPr>
        <w:tab/>
      </w:r>
      <w:r>
        <w:rPr>
          <w:rFonts w:ascii="宋体" w:hAnsi="宋体"/>
        </w:rPr>
        <w:t>(</w:t>
      </w:r>
      <w:r>
        <w:rPr>
          <w:rFonts w:ascii="宋体" w:hAnsi="宋体"/>
        </w:rPr>
        <w:fldChar w:fldCharType="begin"/>
      </w:r>
      <w:r>
        <w:rPr>
          <w:rFonts w:ascii="宋体" w:hAnsi="宋体"/>
        </w:rPr>
        <w:instrText xml:space="preserve"> AUTONUM </w:instrText>
      </w:r>
      <w:r>
        <w:rPr>
          <w:rFonts w:ascii="宋体" w:hAnsi="宋体"/>
        </w:rPr>
        <w:fldChar w:fldCharType="end"/>
      </w:r>
      <w:r>
        <w:rPr>
          <w:rFonts w:ascii="宋体" w:hAnsi="宋体"/>
        </w:rPr>
        <w:t>)</w:t>
      </w:r>
    </w:p>
    <w:p>
      <w:pPr>
        <w:snapToGrid w:val="0"/>
        <w:ind w:firstLine="420" w:firstLineChars="200"/>
        <w:rPr>
          <w:kern w:val="0"/>
        </w:rPr>
      </w:pPr>
      <w:r>
        <w:rPr>
          <w:kern w:val="0"/>
        </w:rPr>
        <w:t>式中：</w:t>
      </w:r>
    </w:p>
    <w:p>
      <w:pPr>
        <w:widowControl/>
        <w:autoSpaceDE w:val="0"/>
        <w:autoSpaceDN w:val="0"/>
        <w:adjustRightInd/>
        <w:spacing w:line="240" w:lineRule="auto"/>
        <w:ind w:firstLine="420" w:firstLineChars="200"/>
        <w:rPr>
          <w:rFonts w:ascii="宋体" w:hAnsi="Times New Roman"/>
          <w:kern w:val="0"/>
          <w:szCs w:val="20"/>
        </w:rPr>
      </w:pPr>
      <m:oMath>
        <m:r>
          <m:rPr>
            <m:sty m:val="p"/>
          </m:rPr>
          <w:rPr>
            <w:rFonts w:ascii="Cambria Math" w:hAnsi="Cambria Math"/>
            <w:kern w:val="0"/>
            <w:szCs w:val="20"/>
          </w:rPr>
          <m:t>N</m:t>
        </m:r>
      </m:oMath>
      <w:bookmarkStart w:id="295" w:name="OLE_LINK10"/>
      <w:bookmarkStart w:id="296" w:name="OLE_LINK9"/>
      <w:r>
        <w:rPr>
          <w:rFonts w:ascii="Times New Roman" w:hAnsi="Times New Roman"/>
          <w:kern w:val="0"/>
          <w:szCs w:val="20"/>
        </w:rPr>
        <w:t>——</w:t>
      </w:r>
      <w:bookmarkEnd w:id="295"/>
      <w:bookmarkEnd w:id="296"/>
      <w:r>
        <w:rPr>
          <w:rFonts w:ascii="宋体" w:hAnsi="Times New Roman"/>
          <w:kern w:val="0"/>
          <w:szCs w:val="20"/>
        </w:rPr>
        <w:t>为相应的幢、区域、层的参摊基本单元个数；</w:t>
      </w:r>
    </w:p>
    <w:p>
      <w:pPr>
        <w:widowControl/>
        <w:autoSpaceDE w:val="0"/>
        <w:autoSpaceDN w:val="0"/>
        <w:adjustRightInd/>
        <w:spacing w:line="240" w:lineRule="auto"/>
        <w:ind w:firstLine="420" w:firstLineChars="200"/>
        <w:rPr>
          <w:rFonts w:ascii="Times New Roman" w:hAnsi="Times New Roman"/>
          <w:kern w:val="0"/>
          <w:szCs w:val="20"/>
        </w:rPr>
      </w:pPr>
      <m:oMath>
        <m:r>
          <m:rPr>
            <m:sty m:val="p"/>
          </m:rPr>
          <w:rPr>
            <w:rFonts w:ascii="Cambria Math" w:hAnsi="Cambria Math"/>
            <w:kern w:val="0"/>
            <w:szCs w:val="20"/>
          </w:rPr>
          <m:t>∆</m:t>
        </m:r>
        <m:sSub>
          <m:sSubPr>
            <m:ctrlPr>
              <w:rPr>
                <w:rFonts w:ascii="Cambria Math" w:hAnsi="Cambria Math"/>
              </w:rPr>
            </m:ctrlPr>
          </m:sSubPr>
          <m:e>
            <m:r>
              <m:rPr/>
              <w:rPr>
                <w:rFonts w:ascii="Cambria Math" w:hAnsi="Cambria Math"/>
                <w:kern w:val="0"/>
                <w:szCs w:val="20"/>
              </w:rPr>
              <m:t>S</m:t>
            </m:r>
            <m:ctrlPr>
              <w:rPr>
                <w:rFonts w:ascii="Cambria Math" w:hAnsi="Cambria Math"/>
              </w:rPr>
            </m:ctrlPr>
          </m:e>
          <m:sub>
            <m:r>
              <m:rPr>
                <m:sty m:val="p"/>
              </m:rPr>
              <w:rPr>
                <w:rFonts w:ascii="Cambria Math" w:hAnsi="Cambria Math"/>
                <w:kern w:val="0"/>
                <w:szCs w:val="20"/>
              </w:rPr>
              <m:t>允</m:t>
            </m:r>
            <m:ctrlPr>
              <w:rPr>
                <w:rFonts w:ascii="Cambria Math" w:hAnsi="Cambria Math"/>
              </w:rPr>
            </m:ctrlPr>
          </m:sub>
        </m:sSub>
      </m:oMath>
      <w:r>
        <w:rPr>
          <w:rFonts w:ascii="Times New Roman" w:hAnsi="Times New Roman"/>
          <w:kern w:val="0"/>
          <w:szCs w:val="20"/>
        </w:rPr>
        <w:t>——</w:t>
      </w:r>
      <w:r>
        <w:rPr>
          <w:rFonts w:ascii="宋体" w:hAnsi="Times New Roman"/>
          <w:kern w:val="0"/>
          <w:szCs w:val="20"/>
        </w:rPr>
        <w:t>为凑整误差的允许值，单位：m</w:t>
      </w:r>
      <w:r>
        <w:rPr>
          <w:rFonts w:ascii="宋体" w:hAnsi="Times New Roman"/>
          <w:kern w:val="0"/>
          <w:szCs w:val="20"/>
          <w:vertAlign w:val="superscript"/>
        </w:rPr>
        <w:t>2</w:t>
      </w:r>
      <w:r>
        <w:rPr>
          <w:rFonts w:ascii="宋体" w:hAnsi="Times New Roman"/>
          <w:kern w:val="0"/>
          <w:szCs w:val="20"/>
        </w:rPr>
        <w:t>。</w:t>
      </w:r>
    </w:p>
    <w:p>
      <w:pPr>
        <w:widowControl/>
        <w:numPr>
          <w:ilvl w:val="0"/>
          <w:numId w:val="82"/>
        </w:numPr>
        <w:adjustRightInd/>
        <w:spacing w:line="240" w:lineRule="auto"/>
        <w:ind w:left="840" w:hanging="420"/>
        <w:rPr>
          <w:rFonts w:hint="eastAsia" w:ascii="宋体" w:hAnsi="宋体" w:cs="宋体"/>
          <w:kern w:val="0"/>
        </w:rPr>
      </w:pPr>
      <w:r>
        <w:rPr>
          <w:rFonts w:ascii="宋体" w:hAnsi="宋体" w:cs="宋体"/>
          <w:kern w:val="0"/>
        </w:rPr>
        <w:t>分摊后的共有建筑面积，不划分各产权人在共有部位的权界</w:t>
      </w:r>
      <w:r>
        <w:rPr>
          <w:rFonts w:hint="eastAsia" w:ascii="宋体" w:hAnsi="宋体" w:cs="宋体"/>
          <w:kern w:val="0"/>
        </w:rPr>
        <w:t>；</w:t>
      </w:r>
    </w:p>
    <w:p>
      <w:pPr>
        <w:widowControl/>
        <w:numPr>
          <w:ilvl w:val="0"/>
          <w:numId w:val="82"/>
        </w:numPr>
        <w:adjustRightInd/>
        <w:spacing w:line="240" w:lineRule="auto"/>
        <w:ind w:left="840" w:hanging="420"/>
        <w:rPr>
          <w:rFonts w:hint="eastAsia" w:ascii="宋体" w:hAnsi="宋体" w:cs="宋体"/>
          <w:kern w:val="0"/>
        </w:rPr>
      </w:pPr>
      <w:r>
        <w:rPr>
          <w:rFonts w:ascii="宋体" w:hAnsi="宋体" w:cs="宋体"/>
          <w:kern w:val="0"/>
        </w:rPr>
        <w:t>房屋共有建筑面积分摊按地上建筑区域和地下建筑区域分别计算。即地上建筑区域的共有面积不分摊到地下基本单元，地下建筑的共有面积不分摊到地上的基本单元。设在地上（或地下）建筑区域内的公共设备用房为地下（或地上）区域服务，或者同时服务于地上和地下两个区域的，如：水泵房、配电房、空调机房等均作为独立的基本单元计算。</w:t>
      </w:r>
    </w:p>
    <w:p>
      <w:pPr>
        <w:pStyle w:val="107"/>
        <w:spacing w:before="156" w:after="156"/>
      </w:pPr>
      <w:bookmarkStart w:id="297" w:name="_Toc404004860"/>
      <w:bookmarkEnd w:id="297"/>
      <w:bookmarkStart w:id="298" w:name="_Toc406061452"/>
      <w:bookmarkEnd w:id="298"/>
      <w:bookmarkStart w:id="299" w:name="_Toc404085590"/>
      <w:bookmarkEnd w:id="299"/>
      <w:bookmarkStart w:id="300" w:name="_Toc392665363"/>
      <w:bookmarkEnd w:id="300"/>
      <w:bookmarkStart w:id="301" w:name="_Toc405534887"/>
      <w:bookmarkStart w:id="302" w:name="_Toc237015176"/>
      <w:bookmarkStart w:id="303" w:name="_Toc237470908"/>
      <w:r>
        <w:t>共有建筑面积按比例分摊的计算公式</w:t>
      </w:r>
      <w:bookmarkEnd w:id="301"/>
      <w:bookmarkEnd w:id="302"/>
      <w:bookmarkEnd w:id="303"/>
    </w:p>
    <w:p>
      <w:pPr>
        <w:widowControl/>
        <w:adjustRightInd/>
        <w:spacing w:line="240" w:lineRule="auto"/>
        <w:ind w:firstLine="420"/>
        <w:rPr>
          <w:rFonts w:hint="eastAsia" w:ascii="宋体" w:hAnsi="宋体" w:cs="宋体"/>
          <w:kern w:val="0"/>
        </w:rPr>
      </w:pPr>
      <w:r>
        <w:rPr>
          <w:rFonts w:ascii="宋体" w:hAnsi="宋体" w:cs="宋体"/>
          <w:kern w:val="0"/>
        </w:rPr>
        <w:t>共有建筑面积分摊按公式（6）、（7）计算：</w:t>
      </w:r>
    </w:p>
    <w:p>
      <w:pPr>
        <w:tabs>
          <w:tab w:val="center" w:pos="4678"/>
          <w:tab w:val="right" w:leader="middleDot" w:pos="9356"/>
        </w:tabs>
        <w:spacing w:line="240" w:lineRule="auto"/>
        <w:rPr>
          <w:rFonts w:hint="eastAsia" w:ascii="宋体" w:hAnsi="宋体"/>
        </w:rPr>
      </w:pPr>
      <w:r>
        <w:rPr>
          <w:rFonts w:ascii="宋体" w:hAnsi="宋体"/>
        </w:rPr>
        <w:tab/>
      </w:r>
      <w:bookmarkStart w:id="304" w:name="OLE_LINK15"/>
      <w:bookmarkStart w:id="305" w:name="OLE_LINK16"/>
      <m:oMath>
        <m:r>
          <m:rPr>
            <m:sty m:val="p"/>
          </m:rPr>
          <w:rPr>
            <w:rFonts w:ascii="Cambria Math" w:hAnsi="Cambria Math"/>
          </w:rPr>
          <m:t>δ</m:t>
        </m:r>
        <m:sSub>
          <m:sSubPr>
            <m:ctrlPr>
              <w:rPr>
                <w:rFonts w:ascii="Cambria Math" w:hAnsi="Cambria Math"/>
              </w:rPr>
            </m:ctrlPr>
          </m:sSubPr>
          <m:e>
            <m:r>
              <m:rPr/>
              <w:rPr>
                <w:rFonts w:ascii="Cambria Math" w:hAnsi="Cambria Math"/>
              </w:rPr>
              <m:t>S</m:t>
            </m:r>
            <m:ctrlPr>
              <w:rPr>
                <w:rFonts w:ascii="Cambria Math" w:hAnsi="Cambria Math"/>
              </w:rPr>
            </m:ctrlPr>
          </m:e>
          <m:sub>
            <m:r>
              <m:rPr/>
              <w:rPr>
                <w:rFonts w:ascii="Cambria Math" w:hAnsi="Cambria Math"/>
              </w:rPr>
              <m:t>i</m:t>
            </m:r>
            <m:ctrlPr>
              <w:rPr>
                <w:rFonts w:ascii="Cambria Math" w:hAnsi="Cambria Math"/>
              </w:rPr>
            </m:ctrlPr>
            <w:bookmarkEnd w:id="304"/>
            <w:bookmarkEnd w:id="305"/>
          </m:sub>
        </m:sSub>
        <m:r>
          <m:rPr/>
          <w:rPr>
            <w:rFonts w:ascii="Cambria Math" w:hAnsi="Cambria Math"/>
          </w:rPr>
          <m:t>=K∙</m:t>
        </m:r>
        <m:sSub>
          <m:sSubPr>
            <m:ctrlPr>
              <w:rPr>
                <w:rFonts w:ascii="Cambria Math" w:hAnsi="Cambria Math"/>
                <w:i/>
              </w:rPr>
            </m:ctrlPr>
          </m:sSubPr>
          <m:e>
            <m:r>
              <m:rPr/>
              <w:rPr>
                <w:rFonts w:ascii="Cambria Math" w:hAnsi="Cambria Math"/>
              </w:rPr>
              <m:t>S</m:t>
            </m:r>
            <m:ctrlPr>
              <w:rPr>
                <w:rFonts w:ascii="Cambria Math" w:hAnsi="Cambria Math"/>
                <w:i/>
              </w:rPr>
            </m:ctrlPr>
          </m:e>
          <m:sub>
            <m:r>
              <m:rPr/>
              <w:rPr>
                <w:rFonts w:ascii="Cambria Math" w:hAnsi="Cambria Math"/>
              </w:rPr>
              <m:t>i</m:t>
            </m:r>
            <m:ctrlPr>
              <w:rPr>
                <w:rFonts w:ascii="Cambria Math" w:hAnsi="Cambria Math"/>
                <w:i/>
              </w:rPr>
            </m:ctrlPr>
          </m:sub>
        </m:sSub>
      </m:oMath>
      <w:r>
        <w:rPr>
          <w:rFonts w:ascii="微软雅黑" w:hAnsi="微软雅黑" w:eastAsia="微软雅黑"/>
        </w:rPr>
        <w:tab/>
      </w:r>
      <w:r>
        <w:rPr>
          <w:rFonts w:ascii="宋体" w:hAnsi="宋体"/>
        </w:rPr>
        <w:t>(</w:t>
      </w:r>
      <w:r>
        <w:rPr>
          <w:rFonts w:ascii="宋体" w:hAnsi="宋体"/>
        </w:rPr>
        <w:fldChar w:fldCharType="begin"/>
      </w:r>
      <w:r>
        <w:rPr>
          <w:rFonts w:ascii="宋体" w:hAnsi="宋体"/>
        </w:rPr>
        <w:instrText xml:space="preserve"> AUTONUM </w:instrText>
      </w:r>
      <w:r>
        <w:rPr>
          <w:rFonts w:ascii="宋体" w:hAnsi="宋体"/>
        </w:rPr>
        <w:fldChar w:fldCharType="end"/>
      </w:r>
      <w:r>
        <w:rPr>
          <w:rFonts w:ascii="宋体" w:hAnsi="宋体"/>
        </w:rPr>
        <w:t>)</w:t>
      </w:r>
    </w:p>
    <w:p>
      <w:pPr>
        <w:snapToGrid w:val="0"/>
        <w:ind w:firstLine="420" w:firstLineChars="200"/>
        <w:rPr>
          <w:kern w:val="0"/>
        </w:rPr>
      </w:pPr>
      <w:r>
        <w:rPr>
          <w:kern w:val="0"/>
        </w:rPr>
        <w:t>式中：</w:t>
      </w:r>
    </w:p>
    <w:p>
      <w:pPr>
        <w:widowControl/>
        <w:autoSpaceDE w:val="0"/>
        <w:autoSpaceDN w:val="0"/>
        <w:adjustRightInd/>
        <w:spacing w:line="240" w:lineRule="auto"/>
        <w:ind w:firstLine="420" w:firstLineChars="200"/>
        <w:rPr>
          <w:rFonts w:ascii="宋体" w:hAnsi="Times New Roman"/>
          <w:kern w:val="0"/>
          <w:szCs w:val="20"/>
        </w:rPr>
      </w:pPr>
      <w:bookmarkStart w:id="306" w:name="OLE_LINK11"/>
      <w:bookmarkStart w:id="307" w:name="OLE_LINK12"/>
      <m:oMath>
        <m:r>
          <m:rPr/>
          <w:rPr>
            <w:rFonts w:ascii="Cambria Math" w:hAnsi="Cambria Math"/>
            <w:kern w:val="0"/>
            <w:szCs w:val="20"/>
          </w:rPr>
          <m:t>K</m:t>
        </m:r>
      </m:oMath>
      <w:r>
        <w:rPr>
          <w:rFonts w:ascii="Times New Roman" w:hAnsi="Times New Roman"/>
          <w:kern w:val="0"/>
          <w:szCs w:val="20"/>
        </w:rPr>
        <w:t>——</w:t>
      </w:r>
      <w:bookmarkEnd w:id="306"/>
      <w:bookmarkEnd w:id="307"/>
      <w:r>
        <w:rPr>
          <w:rFonts w:ascii="宋体" w:hAnsi="Times New Roman"/>
          <w:kern w:val="0"/>
          <w:szCs w:val="20"/>
        </w:rPr>
        <w:t>为共有建筑面积的分摊系数；</w:t>
      </w:r>
    </w:p>
    <w:p>
      <w:pPr>
        <w:widowControl/>
        <w:autoSpaceDE w:val="0"/>
        <w:autoSpaceDN w:val="0"/>
        <w:adjustRightInd/>
        <w:spacing w:line="240" w:lineRule="auto"/>
        <w:ind w:firstLine="420" w:firstLineChars="200"/>
        <w:rPr>
          <w:rFonts w:ascii="宋体" w:hAnsi="Times New Roman"/>
          <w:kern w:val="0"/>
          <w:szCs w:val="20"/>
        </w:rPr>
      </w:pPr>
      <m:oMath>
        <m:sSub>
          <w:bookmarkStart w:id="308" w:name="OLE_LINK14"/>
          <w:bookmarkStart w:id="309" w:name="OLE_LINK13"/>
          <m:sSubPr>
            <m:ctrlPr>
              <w:rPr>
                <w:rFonts w:ascii="Cambria Math" w:hAnsi="Cambria Math"/>
                <w:i/>
              </w:rPr>
            </m:ctrlPr>
          </m:sSubPr>
          <m:e>
            <m:r>
              <m:rPr/>
              <w:rPr>
                <w:rFonts w:ascii="Cambria Math" w:hAnsi="Cambria Math"/>
                <w:kern w:val="0"/>
                <w:szCs w:val="20"/>
              </w:rPr>
              <m:t>S</m:t>
            </m:r>
            <m:ctrlPr>
              <w:rPr>
                <w:rFonts w:ascii="Cambria Math" w:hAnsi="Cambria Math"/>
                <w:i/>
              </w:rPr>
            </m:ctrlPr>
          </m:e>
          <m:sub>
            <m:r>
              <m:rPr/>
              <w:rPr>
                <w:rFonts w:ascii="Cambria Math" w:hAnsi="Cambria Math"/>
                <w:kern w:val="0"/>
                <w:szCs w:val="20"/>
              </w:rPr>
              <m:t>i</m:t>
            </m:r>
            <m:ctrlPr>
              <w:rPr>
                <w:rFonts w:ascii="Cambria Math" w:hAnsi="Cambria Math"/>
                <w:i/>
              </w:rPr>
            </m:ctrlPr>
          </m:sub>
        </m:sSub>
      </m:oMath>
      <w:r>
        <w:rPr>
          <w:rFonts w:ascii="Times New Roman" w:hAnsi="Times New Roman"/>
          <w:kern w:val="0"/>
          <w:szCs w:val="20"/>
        </w:rPr>
        <w:t>——</w:t>
      </w:r>
      <w:bookmarkEnd w:id="308"/>
      <w:bookmarkEnd w:id="309"/>
      <w:r>
        <w:rPr>
          <w:rFonts w:ascii="宋体" w:hAnsi="Times New Roman"/>
          <w:kern w:val="0"/>
          <w:szCs w:val="20"/>
        </w:rPr>
        <w:t>为各单元参加分摊的建筑面积，单位：m</w:t>
      </w:r>
      <w:r>
        <w:rPr>
          <w:rFonts w:ascii="宋体" w:hAnsi="Times New Roman"/>
          <w:kern w:val="0"/>
          <w:szCs w:val="20"/>
          <w:vertAlign w:val="superscript"/>
        </w:rPr>
        <w:t>2</w:t>
      </w:r>
      <w:r>
        <w:rPr>
          <w:rFonts w:ascii="宋体" w:hAnsi="Times New Roman"/>
          <w:kern w:val="0"/>
          <w:szCs w:val="20"/>
        </w:rPr>
        <w:t>；</w:t>
      </w:r>
    </w:p>
    <w:p>
      <w:pPr>
        <w:widowControl/>
        <w:autoSpaceDE w:val="0"/>
        <w:autoSpaceDN w:val="0"/>
        <w:adjustRightInd/>
        <w:spacing w:line="240" w:lineRule="auto"/>
        <w:ind w:firstLine="420" w:firstLineChars="200"/>
        <w:rPr>
          <w:rFonts w:ascii="宋体" w:hAnsi="Times New Roman"/>
          <w:color w:val="000000"/>
          <w:kern w:val="0"/>
          <w:szCs w:val="20"/>
        </w:rPr>
      </w:pPr>
      <m:oMath>
        <m:r>
          <m:rPr>
            <m:sty m:val="p"/>
          </m:rPr>
          <w:rPr>
            <w:rFonts w:ascii="Cambria Math" w:hAnsi="Cambria Math"/>
            <w:kern w:val="0"/>
            <w:szCs w:val="20"/>
          </w:rPr>
          <m:t>δ</m:t>
        </m:r>
        <m:sSub>
          <m:sSubPr>
            <m:ctrlPr>
              <w:rPr>
                <w:rFonts w:ascii="Cambria Math" w:hAnsi="Cambria Math"/>
              </w:rPr>
            </m:ctrlPr>
          </m:sSubPr>
          <m:e>
            <m:r>
              <m:rPr/>
              <w:rPr>
                <w:rFonts w:ascii="Cambria Math" w:hAnsi="Cambria Math"/>
                <w:kern w:val="0"/>
                <w:szCs w:val="20"/>
              </w:rPr>
              <m:t>S</m:t>
            </m:r>
            <m:ctrlPr>
              <w:rPr>
                <w:rFonts w:ascii="Cambria Math" w:hAnsi="Cambria Math"/>
              </w:rPr>
            </m:ctrlPr>
          </m:e>
          <m:sub>
            <m:r>
              <m:rPr/>
              <w:rPr>
                <w:rFonts w:ascii="Cambria Math" w:hAnsi="Cambria Math"/>
                <w:kern w:val="0"/>
                <w:szCs w:val="20"/>
              </w:rPr>
              <m:t>i</m:t>
            </m:r>
            <m:ctrlPr>
              <w:rPr>
                <w:rFonts w:ascii="Cambria Math" w:hAnsi="Cambria Math"/>
              </w:rPr>
            </m:ctrlPr>
          </m:sub>
        </m:sSub>
      </m:oMath>
      <w:r>
        <w:rPr>
          <w:rFonts w:ascii="Times New Roman" w:hAnsi="Times New Roman"/>
          <w:kern w:val="0"/>
          <w:szCs w:val="20"/>
        </w:rPr>
        <w:t>——</w:t>
      </w:r>
      <w:r>
        <w:rPr>
          <w:rFonts w:ascii="宋体" w:hAnsi="Times New Roman"/>
          <w:kern w:val="0"/>
          <w:szCs w:val="20"/>
        </w:rPr>
        <w:t>为各单元参</w:t>
      </w:r>
      <w:r>
        <w:rPr>
          <w:rFonts w:ascii="宋体" w:hAnsi="Times New Roman"/>
          <w:color w:val="000000"/>
          <w:kern w:val="0"/>
          <w:szCs w:val="20"/>
        </w:rPr>
        <w:t>加分摊所得的共有面积，单位：m</w:t>
      </w:r>
      <w:r>
        <w:rPr>
          <w:rFonts w:ascii="宋体" w:hAnsi="Times New Roman"/>
          <w:color w:val="000000"/>
          <w:kern w:val="0"/>
          <w:szCs w:val="20"/>
          <w:vertAlign w:val="superscript"/>
        </w:rPr>
        <w:t>2</w:t>
      </w:r>
      <w:r>
        <w:rPr>
          <w:rFonts w:ascii="宋体" w:hAnsi="Times New Roman"/>
          <w:color w:val="000000"/>
          <w:kern w:val="0"/>
          <w:szCs w:val="20"/>
        </w:rPr>
        <w:t>。</w:t>
      </w:r>
    </w:p>
    <w:p>
      <w:pPr>
        <w:tabs>
          <w:tab w:val="center" w:pos="4678"/>
          <w:tab w:val="right" w:leader="middleDot" w:pos="9356"/>
        </w:tabs>
        <w:spacing w:line="240" w:lineRule="auto"/>
        <w:rPr>
          <w:rFonts w:hint="eastAsia" w:ascii="宋体" w:hAnsi="宋体"/>
        </w:rPr>
      </w:pPr>
      <w:r>
        <w:rPr>
          <w:rFonts w:ascii="宋体" w:hAnsi="宋体"/>
        </w:rPr>
        <w:tab/>
      </w:r>
      <m:oMath>
        <m:r>
          <m:rPr>
            <m:sty m:val="p"/>
          </m:rPr>
          <w:rPr>
            <w:rFonts w:ascii="Cambria Math" w:hAnsi="Cambria Math"/>
          </w:rPr>
          <m:t>K=</m:t>
        </m:r>
        <m:f>
          <m:fPr>
            <m:type m:val="lin"/>
            <m:ctrlPr>
              <w:rPr>
                <w:rFonts w:ascii="Cambria Math" w:hAnsi="Cambria Math"/>
              </w:rPr>
            </m:ctrlPr>
          </m:fPr>
          <m:num>
            <m:nary>
              <m:naryPr>
                <m:chr m:val="∑"/>
                <m:limLoc m:val="undOvr"/>
                <m:subHide m:val="true"/>
                <m:supHide m:val="true"/>
                <m:ctrlPr>
                  <w:rPr>
                    <w:rFonts w:ascii="Cambria Math" w:hAnsi="Cambria Math"/>
                    <w:i/>
                  </w:rPr>
                </m:ctrlPr>
              </m:naryPr>
              <m:sub>
                <m:ctrlPr>
                  <w:rPr>
                    <w:rFonts w:ascii="Cambria Math" w:hAnsi="Cambria Math"/>
                    <w:i/>
                  </w:rPr>
                </m:ctrlPr>
              </m:sub>
              <m:sup>
                <m:ctrlPr>
                  <w:rPr>
                    <w:rFonts w:ascii="Cambria Math" w:hAnsi="Cambria Math"/>
                    <w:i/>
                  </w:rPr>
                </m:ctrlPr>
              </m:sup>
              <m:e>
                <m:r>
                  <m:rPr/>
                  <w:rPr>
                    <w:rFonts w:ascii="Cambria Math" w:hAnsi="Cambria Math"/>
                  </w:rPr>
                  <m:t>δ</m:t>
                </m:r>
                <m:sSub>
                  <m:sSubPr>
                    <m:ctrlPr>
                      <w:rPr>
                        <w:rFonts w:ascii="Cambria Math" w:hAnsi="Cambria Math"/>
                        <w:i/>
                      </w:rPr>
                    </m:ctrlPr>
                  </m:sSubPr>
                  <m:e>
                    <m:r>
                      <m:rPr/>
                      <w:rPr>
                        <w:rFonts w:ascii="Cambria Math" w:hAnsi="Cambria Math"/>
                      </w:rPr>
                      <m:t>S</m:t>
                    </m:r>
                    <m:ctrlPr>
                      <w:rPr>
                        <w:rFonts w:ascii="Cambria Math" w:hAnsi="Cambria Math"/>
                        <w:i/>
                      </w:rPr>
                    </m:ctrlPr>
                  </m:e>
                  <m:sub>
                    <m:r>
                      <m:rPr/>
                      <w:rPr>
                        <w:rFonts w:ascii="Cambria Math" w:hAnsi="Cambria Math"/>
                      </w:rPr>
                      <m:t>i</m:t>
                    </m:r>
                    <m:ctrlPr>
                      <w:rPr>
                        <w:rFonts w:ascii="Cambria Math" w:hAnsi="Cambria Math"/>
                        <w:i/>
                      </w:rPr>
                    </m:ctrlPr>
                  </m:sub>
                </m:sSub>
                <m:ctrlPr>
                  <w:rPr>
                    <w:rFonts w:ascii="Cambria Math" w:hAnsi="Cambria Math"/>
                    <w:i/>
                  </w:rPr>
                </m:ctrlPr>
              </m:e>
            </m:nary>
            <m:ctrlPr>
              <w:rPr>
                <w:rFonts w:ascii="Cambria Math" w:hAnsi="Cambria Math"/>
              </w:rPr>
            </m:ctrlPr>
          </m:num>
          <m:den>
            <m:nary>
              <m:naryPr>
                <m:chr m:val="∑"/>
                <m:limLoc m:val="undOvr"/>
                <m:subHide m:val="true"/>
                <m:supHide m:val="true"/>
                <m:ctrlPr>
                  <w:rPr>
                    <w:rFonts w:ascii="Cambria Math" w:hAnsi="Cambria Math"/>
                    <w:i/>
                  </w:rPr>
                </m:ctrlPr>
              </m:naryPr>
              <m:sub>
                <m:ctrlPr>
                  <w:rPr>
                    <w:rFonts w:ascii="Cambria Math" w:hAnsi="Cambria Math"/>
                    <w:i/>
                  </w:rPr>
                </m:ctrlPr>
              </m:sub>
              <m:sup>
                <m:ctrlPr>
                  <w:rPr>
                    <w:rFonts w:ascii="Cambria Math" w:hAnsi="Cambria Math"/>
                    <w:i/>
                  </w:rPr>
                </m:ctrlPr>
              </m:sup>
              <m:e>
                <m:sSub>
                  <m:sSubPr>
                    <m:ctrlPr>
                      <w:rPr>
                        <w:rFonts w:ascii="Cambria Math" w:hAnsi="Cambria Math"/>
                        <w:i/>
                      </w:rPr>
                    </m:ctrlPr>
                  </m:sSubPr>
                  <m:e>
                    <m:r>
                      <m:rPr/>
                      <w:rPr>
                        <w:rFonts w:ascii="Cambria Math" w:hAnsi="Cambria Math"/>
                      </w:rPr>
                      <m:t>S</m:t>
                    </m:r>
                    <m:ctrlPr>
                      <w:rPr>
                        <w:rFonts w:ascii="Cambria Math" w:hAnsi="Cambria Math"/>
                        <w:i/>
                      </w:rPr>
                    </m:ctrlPr>
                  </m:e>
                  <m:sub>
                    <m:r>
                      <m:rPr/>
                      <w:rPr>
                        <w:rFonts w:ascii="Cambria Math" w:hAnsi="Cambria Math"/>
                      </w:rPr>
                      <m:t>i</m:t>
                    </m:r>
                    <m:ctrlPr>
                      <w:rPr>
                        <w:rFonts w:ascii="Cambria Math" w:hAnsi="Cambria Math"/>
                        <w:i/>
                      </w:rPr>
                    </m:ctrlPr>
                  </m:sub>
                </m:sSub>
                <m:ctrlPr>
                  <w:rPr>
                    <w:rFonts w:ascii="Cambria Math" w:hAnsi="Cambria Math"/>
                    <w:i/>
                  </w:rPr>
                </m:ctrlPr>
              </m:e>
            </m:nary>
            <m:ctrlPr>
              <w:rPr>
                <w:rFonts w:ascii="Cambria Math" w:hAnsi="Cambria Math"/>
              </w:rPr>
            </m:ctrlPr>
          </m:den>
        </m:f>
      </m:oMath>
      <w:r>
        <w:rPr>
          <w:rFonts w:ascii="微软雅黑" w:hAnsi="微软雅黑" w:eastAsia="微软雅黑"/>
        </w:rPr>
        <w:tab/>
      </w:r>
      <w:r>
        <w:rPr>
          <w:rFonts w:ascii="宋体" w:hAnsi="宋体"/>
        </w:rPr>
        <w:t>(</w:t>
      </w:r>
      <w:r>
        <w:rPr>
          <w:rFonts w:ascii="宋体" w:hAnsi="宋体"/>
        </w:rPr>
        <w:fldChar w:fldCharType="begin"/>
      </w:r>
      <w:r>
        <w:rPr>
          <w:rFonts w:ascii="宋体" w:hAnsi="宋体"/>
        </w:rPr>
        <w:instrText xml:space="preserve"> AUTONUM </w:instrText>
      </w:r>
      <w:r>
        <w:rPr>
          <w:rFonts w:ascii="宋体" w:hAnsi="宋体"/>
        </w:rPr>
        <w:fldChar w:fldCharType="end"/>
      </w:r>
      <w:r>
        <w:rPr>
          <w:rFonts w:ascii="宋体" w:hAnsi="宋体"/>
        </w:rPr>
        <w:t>)</w:t>
      </w:r>
    </w:p>
    <w:p>
      <w:pPr>
        <w:snapToGrid w:val="0"/>
        <w:ind w:firstLine="420" w:firstLineChars="200"/>
        <w:rPr>
          <w:kern w:val="0"/>
        </w:rPr>
      </w:pPr>
      <w:r>
        <w:rPr>
          <w:kern w:val="0"/>
        </w:rPr>
        <w:t>式中：</w:t>
      </w:r>
    </w:p>
    <w:p>
      <w:pPr>
        <w:snapToGrid w:val="0"/>
        <w:ind w:firstLine="420" w:firstLineChars="200"/>
        <w:rPr>
          <w:color w:val="000000"/>
          <w:kern w:val="0"/>
        </w:rPr>
      </w:pPr>
      <m:oMath>
        <m:nary>
          <m:naryPr>
            <m:chr m:val="∑"/>
            <m:limLoc m:val="undOvr"/>
            <m:subHide m:val="true"/>
            <m:supHide m:val="true"/>
            <m:ctrlPr>
              <w:rPr>
                <w:rFonts w:ascii="Cambria Math" w:hAnsi="Cambria Math"/>
                <w:i/>
              </w:rPr>
            </m:ctrlPr>
          </m:naryPr>
          <m:sub>
            <m:ctrlPr>
              <w:rPr>
                <w:rFonts w:ascii="Cambria Math" w:hAnsi="Cambria Math"/>
                <w:i/>
              </w:rPr>
            </m:ctrlPr>
          </m:sub>
          <m:sup>
            <m:ctrlPr>
              <w:rPr>
                <w:rFonts w:ascii="Cambria Math" w:hAnsi="Cambria Math"/>
                <w:i/>
              </w:rPr>
            </m:ctrlPr>
          </m:sup>
          <m:e>
            <m:r>
              <m:rPr/>
              <w:rPr>
                <w:rFonts w:ascii="Cambria Math" w:hAnsi="Cambria Math"/>
                <w:kern w:val="0"/>
              </w:rPr>
              <m:t>δ</m:t>
            </m:r>
            <m:sSub>
              <m:sSubPr>
                <m:ctrlPr>
                  <w:rPr>
                    <w:rFonts w:ascii="Cambria Math" w:hAnsi="Cambria Math"/>
                    <w:i/>
                  </w:rPr>
                </m:ctrlPr>
              </m:sSubPr>
              <m:e>
                <m:r>
                  <m:rPr/>
                  <w:rPr>
                    <w:rFonts w:ascii="Cambria Math" w:hAnsi="Cambria Math"/>
                    <w:kern w:val="0"/>
                  </w:rPr>
                  <m:t>S</m:t>
                </m:r>
                <m:ctrlPr>
                  <w:rPr>
                    <w:rFonts w:ascii="Cambria Math" w:hAnsi="Cambria Math"/>
                    <w:i/>
                  </w:rPr>
                </m:ctrlPr>
              </m:e>
              <m:sub>
                <m:r>
                  <m:rPr/>
                  <w:rPr>
                    <w:rFonts w:ascii="Cambria Math" w:hAnsi="Cambria Math"/>
                    <w:kern w:val="0"/>
                  </w:rPr>
                  <m:t>i</m:t>
                </m:r>
                <m:ctrlPr>
                  <w:rPr>
                    <w:rFonts w:ascii="Cambria Math" w:hAnsi="Cambria Math"/>
                    <w:i/>
                  </w:rPr>
                </m:ctrlPr>
              </m:sub>
            </m:sSub>
            <m:ctrlPr>
              <w:rPr>
                <w:rFonts w:ascii="Cambria Math" w:hAnsi="Cambria Math"/>
                <w:i/>
              </w:rPr>
            </m:ctrlPr>
          </m:e>
        </m:nary>
      </m:oMath>
      <w:r>
        <w:rPr>
          <w:rFonts w:ascii="Times New Roman" w:hAnsi="Times New Roman"/>
          <w:kern w:val="0"/>
        </w:rPr>
        <w:t>——</w:t>
      </w:r>
      <w:r>
        <w:rPr>
          <w:color w:val="000000"/>
          <w:kern w:val="0"/>
        </w:rPr>
        <w:t>为需要分摊的共有面积总和，单位：</w:t>
      </w:r>
      <w:r>
        <w:rPr>
          <w:rFonts w:ascii="宋体" w:hAnsi="宋体"/>
          <w:color w:val="000000"/>
          <w:kern w:val="0"/>
        </w:rPr>
        <w:t>m</w:t>
      </w:r>
      <w:r>
        <w:rPr>
          <w:color w:val="000000"/>
          <w:kern w:val="0"/>
          <w:vertAlign w:val="superscript"/>
        </w:rPr>
        <w:t>2</w:t>
      </w:r>
      <w:r>
        <w:rPr>
          <w:color w:val="000000"/>
          <w:kern w:val="0"/>
        </w:rPr>
        <w:t>；</w:t>
      </w:r>
    </w:p>
    <w:p>
      <w:pPr>
        <w:snapToGrid w:val="0"/>
        <w:ind w:firstLine="420" w:firstLineChars="200"/>
        <w:rPr>
          <w:kern w:val="0"/>
        </w:rPr>
      </w:pPr>
      <w:r>
        <w:rPr>
          <w:color w:val="000000"/>
          <w:kern w:val="0"/>
        </w:rPr>
        <w:t>ΣS</w:t>
      </w:r>
      <w:r>
        <w:rPr>
          <w:color w:val="000000"/>
          <w:kern w:val="0"/>
          <w:vertAlign w:val="subscript"/>
        </w:rPr>
        <w:t>i</w:t>
      </w:r>
      <w:r>
        <w:rPr>
          <w:color w:val="000000"/>
          <w:kern w:val="0"/>
        </w:rPr>
        <w:t>—为参加分摊的各单元建筑面积总和，单位：</w:t>
      </w:r>
      <w:r>
        <w:rPr>
          <w:rFonts w:ascii="宋体" w:hAnsi="宋体"/>
          <w:color w:val="000000"/>
          <w:kern w:val="0"/>
        </w:rPr>
        <w:t>m</w:t>
      </w:r>
      <w:r>
        <w:rPr>
          <w:color w:val="000000"/>
          <w:kern w:val="0"/>
          <w:vertAlign w:val="superscript"/>
        </w:rPr>
        <w:t>2</w:t>
      </w:r>
      <w:r>
        <w:rPr>
          <w:color w:val="000000"/>
          <w:kern w:val="0"/>
        </w:rPr>
        <w:t>。</w:t>
      </w:r>
    </w:p>
    <w:p>
      <w:pPr>
        <w:pStyle w:val="107"/>
        <w:spacing w:before="156" w:after="156"/>
      </w:pPr>
      <w:bookmarkStart w:id="310" w:name="_Toc392665364"/>
      <w:bookmarkEnd w:id="310"/>
      <w:bookmarkStart w:id="311" w:name="_Toc406061453"/>
      <w:bookmarkEnd w:id="311"/>
      <w:bookmarkStart w:id="312" w:name="_Toc404085591"/>
      <w:bookmarkEnd w:id="312"/>
      <w:bookmarkStart w:id="313" w:name="_Toc404004861"/>
      <w:bookmarkEnd w:id="313"/>
      <w:bookmarkStart w:id="314" w:name="_Toc405534888"/>
      <w:bookmarkStart w:id="315" w:name="_Toc237015177"/>
      <w:bookmarkStart w:id="316" w:name="_Toc237470909"/>
      <w:r>
        <w:t>共有部位的确认</w:t>
      </w:r>
      <w:bookmarkEnd w:id="314"/>
      <w:bookmarkEnd w:id="315"/>
      <w:bookmarkEnd w:id="316"/>
    </w:p>
    <w:p>
      <w:pPr>
        <w:widowControl/>
        <w:adjustRightInd/>
        <w:spacing w:line="240" w:lineRule="auto"/>
        <w:ind w:firstLine="420"/>
        <w:rPr>
          <w:rFonts w:hint="eastAsia" w:ascii="宋体" w:hAnsi="宋体" w:cs="宋体"/>
          <w:kern w:val="0"/>
        </w:rPr>
      </w:pPr>
      <w:r>
        <w:rPr>
          <w:rFonts w:ascii="宋体" w:hAnsi="宋体" w:cs="宋体"/>
          <w:kern w:val="0"/>
        </w:rPr>
        <w:t>共有部位的确认方法如下：</w:t>
      </w:r>
    </w:p>
    <w:p>
      <w:pPr>
        <w:widowControl/>
        <w:numPr>
          <w:ilvl w:val="0"/>
          <w:numId w:val="83"/>
        </w:numPr>
        <w:adjustRightInd/>
        <w:spacing w:line="240" w:lineRule="auto"/>
        <w:ind w:left="840" w:hanging="420"/>
        <w:rPr>
          <w:rFonts w:hint="eastAsia" w:ascii="宋体" w:hAnsi="宋体" w:cs="宋体"/>
          <w:kern w:val="0"/>
        </w:rPr>
      </w:pPr>
      <w:r>
        <w:rPr>
          <w:rFonts w:ascii="宋体" w:hAnsi="宋体" w:cs="宋体"/>
          <w:kern w:val="0"/>
        </w:rPr>
        <w:t>共有部位一般以相关部门核准的设计图标识为准，无法确认的，相关单位应出具相应共有部位的情况说明；</w:t>
      </w:r>
    </w:p>
    <w:p>
      <w:pPr>
        <w:widowControl/>
        <w:numPr>
          <w:ilvl w:val="0"/>
          <w:numId w:val="83"/>
        </w:numPr>
        <w:adjustRightInd/>
        <w:spacing w:line="240" w:lineRule="auto"/>
        <w:ind w:left="840" w:hanging="420"/>
        <w:rPr>
          <w:rFonts w:hint="eastAsia" w:ascii="宋体" w:hAnsi="宋体" w:cs="宋体"/>
          <w:kern w:val="0"/>
        </w:rPr>
      </w:pPr>
      <w:r>
        <w:rPr>
          <w:rFonts w:ascii="宋体" w:hAnsi="宋体" w:cs="宋体"/>
          <w:kern w:val="0"/>
        </w:rPr>
        <w:t>房屋进行实测时，房产测绘人员在现场应逐一检核、勘测，确认共有部位的功能和共有情况。</w:t>
      </w:r>
    </w:p>
    <w:p>
      <w:pPr>
        <w:pStyle w:val="107"/>
        <w:spacing w:before="156" w:after="156"/>
      </w:pPr>
      <w:bookmarkStart w:id="317" w:name="_Toc404085592"/>
      <w:bookmarkEnd w:id="317"/>
      <w:bookmarkStart w:id="318" w:name="_Toc404004862"/>
      <w:bookmarkEnd w:id="318"/>
      <w:bookmarkStart w:id="319" w:name="_Toc392665365"/>
      <w:bookmarkEnd w:id="319"/>
      <w:bookmarkStart w:id="320" w:name="_Toc406061454"/>
      <w:bookmarkEnd w:id="320"/>
      <w:bookmarkStart w:id="321" w:name="_Toc405534889"/>
      <w:bookmarkStart w:id="322" w:name="_Toc237015178"/>
      <w:bookmarkStart w:id="323" w:name="_Toc237470910"/>
      <w:r>
        <w:t>分摊方法的确定</w:t>
      </w:r>
      <w:bookmarkEnd w:id="321"/>
      <w:bookmarkEnd w:id="322"/>
      <w:bookmarkEnd w:id="323"/>
    </w:p>
    <w:p>
      <w:pPr>
        <w:widowControl/>
        <w:adjustRightInd/>
        <w:spacing w:line="240" w:lineRule="auto"/>
        <w:ind w:firstLine="420"/>
        <w:rPr>
          <w:rFonts w:hint="eastAsia" w:ascii="宋体" w:hAnsi="宋体" w:cs="宋体"/>
          <w:kern w:val="0"/>
        </w:rPr>
      </w:pPr>
      <w:r>
        <w:rPr>
          <w:rFonts w:ascii="宋体" w:hAnsi="宋体" w:cs="宋体"/>
          <w:kern w:val="0"/>
        </w:rPr>
        <w:t>分摊方法包括整体分摊和多级分摊。具体的分摊方法如下：</w:t>
      </w:r>
    </w:p>
    <w:p>
      <w:pPr>
        <w:widowControl/>
        <w:numPr>
          <w:ilvl w:val="0"/>
          <w:numId w:val="84"/>
        </w:numPr>
        <w:adjustRightInd/>
        <w:spacing w:line="240" w:lineRule="auto"/>
        <w:rPr>
          <w:rFonts w:hint="eastAsia" w:ascii="宋体" w:hAnsi="宋体" w:cs="宋体"/>
          <w:kern w:val="0"/>
        </w:rPr>
      </w:pPr>
      <w:r>
        <w:rPr>
          <w:rFonts w:ascii="宋体" w:hAnsi="宋体" w:cs="宋体"/>
          <w:kern w:val="0"/>
        </w:rPr>
        <w:t>对于使用功能单一的房屋，其房屋基本单元对共有部位的共有情况基本一致的，一般采用整体分摊的方法；</w:t>
      </w:r>
    </w:p>
    <w:p>
      <w:pPr>
        <w:widowControl/>
        <w:numPr>
          <w:ilvl w:val="0"/>
          <w:numId w:val="84"/>
        </w:numPr>
        <w:adjustRightInd/>
        <w:spacing w:line="240" w:lineRule="auto"/>
        <w:rPr>
          <w:rFonts w:hint="eastAsia" w:ascii="宋体" w:hAnsi="宋体" w:cs="宋体"/>
          <w:kern w:val="0"/>
        </w:rPr>
      </w:pPr>
      <w:r>
        <w:rPr>
          <w:rFonts w:ascii="宋体" w:hAnsi="宋体" w:cs="宋体"/>
          <w:kern w:val="0"/>
        </w:rPr>
        <w:t>一幢房屋虽然具有多种使用功能，但房屋的基本单元对共有部位共有情况一致的，采用整体分摊方法；</w:t>
      </w:r>
    </w:p>
    <w:p>
      <w:pPr>
        <w:widowControl/>
        <w:numPr>
          <w:ilvl w:val="0"/>
          <w:numId w:val="84"/>
        </w:numPr>
        <w:adjustRightInd/>
        <w:spacing w:line="240" w:lineRule="auto"/>
        <w:rPr>
          <w:rFonts w:hint="eastAsia" w:ascii="宋体" w:hAnsi="宋体" w:cs="宋体"/>
          <w:kern w:val="0"/>
        </w:rPr>
      </w:pPr>
      <w:r>
        <w:rPr>
          <w:rFonts w:ascii="宋体" w:hAnsi="宋体" w:cs="宋体"/>
          <w:kern w:val="0"/>
        </w:rPr>
        <w:t>一幢房屋具有多种使用功能，或多个区域对共有部位共有情况不一致的，整幢房屋按照使用功能或共有部位的共有情况，划分为多个分摊区域，采用多级分摊方法；</w:t>
      </w:r>
    </w:p>
    <w:p>
      <w:pPr>
        <w:widowControl/>
        <w:numPr>
          <w:ilvl w:val="0"/>
          <w:numId w:val="84"/>
        </w:numPr>
        <w:adjustRightInd/>
        <w:spacing w:line="240" w:lineRule="auto"/>
        <w:rPr>
          <w:rFonts w:hint="eastAsia" w:ascii="宋体" w:hAnsi="宋体" w:cs="宋体"/>
          <w:kern w:val="0"/>
        </w:rPr>
      </w:pPr>
      <w:r>
        <w:rPr>
          <w:rFonts w:ascii="宋体" w:hAnsi="宋体" w:cs="宋体"/>
          <w:kern w:val="0"/>
        </w:rPr>
        <w:t>使用功能单一的房屋有下列情况的，采用多级分摊方法：</w:t>
      </w:r>
    </w:p>
    <w:p>
      <w:pPr>
        <w:widowControl/>
        <w:numPr>
          <w:ilvl w:val="1"/>
          <w:numId w:val="84"/>
        </w:numPr>
        <w:adjustRightInd/>
        <w:spacing w:line="240" w:lineRule="auto"/>
        <w:rPr>
          <w:rFonts w:hint="eastAsia" w:ascii="宋体" w:hAnsi="宋体" w:cs="宋体"/>
          <w:kern w:val="0"/>
        </w:rPr>
      </w:pPr>
      <w:r>
        <w:rPr>
          <w:rFonts w:ascii="宋体" w:hAnsi="宋体" w:cs="宋体"/>
          <w:kern w:val="0"/>
        </w:rPr>
        <w:t>住宅、办公等房屋内的多个区域对应分摊的共有面积不同的（如：住宅各单元分摊的垂直通道、水平通道、公共用房等不相同或面积差异较大）；</w:t>
      </w:r>
    </w:p>
    <w:p>
      <w:pPr>
        <w:widowControl/>
        <w:numPr>
          <w:ilvl w:val="1"/>
          <w:numId w:val="84"/>
        </w:numPr>
        <w:adjustRightInd/>
        <w:spacing w:line="240" w:lineRule="auto"/>
        <w:rPr>
          <w:rFonts w:hint="eastAsia" w:ascii="宋体" w:hAnsi="宋体" w:cs="宋体"/>
          <w:kern w:val="0"/>
        </w:rPr>
      </w:pPr>
      <w:r>
        <w:rPr>
          <w:rFonts w:ascii="宋体" w:hAnsi="宋体" w:cs="宋体"/>
          <w:kern w:val="0"/>
        </w:rPr>
        <w:t>商业、办公、仓储等房屋各层的水平通道差异较大的。</w:t>
      </w:r>
    </w:p>
    <w:p>
      <w:pPr>
        <w:pStyle w:val="107"/>
        <w:spacing w:before="156" w:after="156"/>
      </w:pPr>
      <w:bookmarkStart w:id="324" w:name="_Toc392665366"/>
      <w:bookmarkEnd w:id="324"/>
      <w:bookmarkStart w:id="325" w:name="_Toc404085593"/>
      <w:bookmarkEnd w:id="325"/>
      <w:bookmarkStart w:id="326" w:name="_Toc404004863"/>
      <w:bookmarkEnd w:id="326"/>
      <w:bookmarkStart w:id="327" w:name="_Toc405534890"/>
      <w:bookmarkEnd w:id="327"/>
      <w:bookmarkStart w:id="328" w:name="_Toc406061455"/>
      <w:bookmarkStart w:id="329" w:name="_Toc237015179"/>
      <w:bookmarkStart w:id="330" w:name="_Toc237470911"/>
      <w:r>
        <w:t>参与分摊区域的划分</w:t>
      </w:r>
      <w:bookmarkEnd w:id="328"/>
      <w:bookmarkEnd w:id="329"/>
      <w:bookmarkEnd w:id="330"/>
    </w:p>
    <w:p>
      <w:pPr>
        <w:widowControl/>
        <w:adjustRightInd/>
        <w:spacing w:line="240" w:lineRule="auto"/>
        <w:ind w:firstLine="420"/>
        <w:rPr>
          <w:rFonts w:hint="eastAsia" w:ascii="宋体" w:hAnsi="宋体" w:cs="宋体"/>
          <w:kern w:val="0"/>
        </w:rPr>
      </w:pPr>
      <w:r>
        <w:rPr>
          <w:rFonts w:ascii="宋体" w:hAnsi="宋体" w:cs="宋体"/>
          <w:kern w:val="0"/>
        </w:rPr>
        <w:t>参与分摊区域（以下简称参摊区域）是指房屋中参与分摊某一共有建筑面积的有明确界限的区域（可以为层、单元、套、间等）。整体分摊的房屋以各基本单元为参摊区域。多级分摊的房屋其参摊区域划分方法如下：</w:t>
      </w:r>
    </w:p>
    <w:p>
      <w:pPr>
        <w:widowControl/>
        <w:numPr>
          <w:ilvl w:val="0"/>
          <w:numId w:val="85"/>
        </w:numPr>
        <w:adjustRightInd/>
        <w:spacing w:line="240" w:lineRule="auto"/>
        <w:rPr>
          <w:rFonts w:hint="eastAsia" w:ascii="宋体" w:hAnsi="宋体" w:cs="宋体"/>
          <w:kern w:val="0"/>
        </w:rPr>
      </w:pPr>
      <w:r>
        <w:rPr>
          <w:rFonts w:ascii="宋体" w:hAnsi="宋体" w:cs="宋体"/>
          <w:kern w:val="0"/>
        </w:rPr>
        <w:t>一级参摊区域的划分。一级参摊区域按照以下方法进行划分：</w:t>
      </w:r>
    </w:p>
    <w:p>
      <w:pPr>
        <w:widowControl/>
        <w:numPr>
          <w:ilvl w:val="1"/>
          <w:numId w:val="85"/>
        </w:numPr>
        <w:adjustRightInd/>
        <w:spacing w:line="240" w:lineRule="auto"/>
        <w:rPr>
          <w:rFonts w:hint="eastAsia" w:ascii="宋体" w:hAnsi="宋体" w:cs="宋体"/>
          <w:kern w:val="0"/>
        </w:rPr>
      </w:pPr>
      <w:r>
        <w:rPr>
          <w:rFonts w:ascii="宋体" w:hAnsi="宋体" w:cs="宋体"/>
          <w:kern w:val="0"/>
        </w:rPr>
        <w:t>对于多功能区的房屋，一级参摊区域一般以各功能区划分，参与分摊一级共有建筑面积（幢共有建筑面积）；</w:t>
      </w:r>
    </w:p>
    <w:p>
      <w:pPr>
        <w:widowControl/>
        <w:numPr>
          <w:ilvl w:val="1"/>
          <w:numId w:val="85"/>
        </w:numPr>
        <w:adjustRightInd/>
        <w:spacing w:line="240" w:lineRule="auto"/>
        <w:rPr>
          <w:rFonts w:hint="eastAsia" w:ascii="宋体" w:hAnsi="宋体" w:cs="宋体"/>
          <w:kern w:val="0"/>
        </w:rPr>
      </w:pPr>
      <w:r>
        <w:rPr>
          <w:rFonts w:ascii="宋体" w:hAnsi="宋体" w:cs="宋体"/>
          <w:kern w:val="0"/>
        </w:rPr>
        <w:t>对于单一功能区需要进行多级分摊的房屋，一级参摊区域以其对应分摊的共有面积不同划分。</w:t>
      </w:r>
    </w:p>
    <w:p>
      <w:pPr>
        <w:widowControl/>
        <w:numPr>
          <w:ilvl w:val="0"/>
          <w:numId w:val="85"/>
        </w:numPr>
        <w:adjustRightInd/>
        <w:spacing w:line="240" w:lineRule="auto"/>
        <w:rPr>
          <w:rFonts w:hint="eastAsia" w:ascii="宋体" w:hAnsi="宋体" w:cs="宋体"/>
          <w:kern w:val="0"/>
        </w:rPr>
      </w:pPr>
      <w:r>
        <w:rPr>
          <w:rFonts w:ascii="宋体" w:hAnsi="宋体" w:cs="宋体"/>
          <w:kern w:val="0"/>
        </w:rPr>
        <w:t>多级参摊区域的划分。多级参摊区域按照以下方法进行划分：</w:t>
      </w:r>
    </w:p>
    <w:p>
      <w:pPr>
        <w:widowControl/>
        <w:numPr>
          <w:ilvl w:val="1"/>
          <w:numId w:val="85"/>
        </w:numPr>
        <w:adjustRightInd/>
        <w:spacing w:line="240" w:lineRule="auto"/>
        <w:rPr>
          <w:rFonts w:hint="eastAsia" w:ascii="宋体" w:hAnsi="宋体" w:cs="宋体"/>
          <w:kern w:val="0"/>
        </w:rPr>
      </w:pPr>
      <w:r>
        <w:rPr>
          <w:rFonts w:ascii="宋体" w:hAnsi="宋体" w:cs="宋体"/>
          <w:kern w:val="0"/>
        </w:rPr>
        <w:t>某级参摊区域可直接划分至房屋基本单元的，不再往下分级划分参摊区域。一级参摊区域内根据共有情况不同可划分若干二级参摊区域，二级参摊区域内根据共有情况不同可划分若干三级参摊区域，以此类推。由共有情况基本一致的房屋基本单元组成的参摊区域为最末级参摊区域。部分同级参摊区域间存在共有面积的,不影响参摊区域的分级；</w:t>
      </w:r>
    </w:p>
    <w:p>
      <w:pPr>
        <w:widowControl/>
        <w:numPr>
          <w:ilvl w:val="1"/>
          <w:numId w:val="85"/>
        </w:numPr>
        <w:adjustRightInd/>
        <w:spacing w:line="240" w:lineRule="auto"/>
        <w:rPr>
          <w:rFonts w:hint="eastAsia" w:ascii="宋体" w:hAnsi="宋体" w:cs="宋体"/>
          <w:kern w:val="0"/>
        </w:rPr>
      </w:pPr>
      <w:r>
        <w:rPr>
          <w:rFonts w:ascii="宋体" w:hAnsi="宋体" w:cs="宋体"/>
          <w:kern w:val="0"/>
        </w:rPr>
        <w:t>同级各参摊区域应分摊的共有面积按各参摊区域的参摊面积比例分摊。其共有建筑面积包括同级各参摊区域的共有建筑面积和上一级分摊的共有建筑面积。</w:t>
      </w:r>
    </w:p>
    <w:p>
      <w:pPr>
        <w:widowControl/>
        <w:numPr>
          <w:ilvl w:val="0"/>
          <w:numId w:val="85"/>
        </w:numPr>
        <w:adjustRightInd/>
        <w:spacing w:line="240" w:lineRule="auto"/>
        <w:rPr>
          <w:rFonts w:hint="eastAsia" w:ascii="宋体" w:hAnsi="宋体" w:cs="宋体"/>
          <w:kern w:val="0"/>
        </w:rPr>
      </w:pPr>
      <w:r>
        <w:rPr>
          <w:rFonts w:ascii="宋体" w:hAnsi="宋体" w:cs="宋体"/>
          <w:kern w:val="0"/>
        </w:rPr>
        <w:t>参摊区域的建筑面积。参摊区域建筑面积按照以下方法进行计算：</w:t>
      </w:r>
    </w:p>
    <w:p>
      <w:pPr>
        <w:widowControl/>
        <w:numPr>
          <w:ilvl w:val="1"/>
          <w:numId w:val="85"/>
        </w:numPr>
        <w:adjustRightInd/>
        <w:spacing w:before="100" w:beforeAutospacing="1" w:after="100" w:afterAutospacing="1" w:line="240" w:lineRule="auto"/>
        <w:rPr>
          <w:rFonts w:hint="eastAsia" w:ascii="宋体" w:hAnsi="宋体" w:cs="宋体"/>
          <w:kern w:val="0"/>
        </w:rPr>
      </w:pPr>
      <w:r>
        <w:rPr>
          <w:rFonts w:ascii="宋体" w:hAnsi="宋体" w:cs="宋体"/>
          <w:kern w:val="0"/>
        </w:rPr>
        <w:t>参摊区域的建筑面积为该参摊区域内各层外围（有共墙的以共墙中心线为界）水平投影面积之和减去作为上级和本级分摊共有部分建筑面积。包括该参摊区域内所有下一级参摊区域建筑面积和该区域专属共有面积；最末级参摊区域建筑面积为房屋基本单元建筑面积；</w:t>
      </w:r>
    </w:p>
    <w:p>
      <w:pPr>
        <w:widowControl/>
        <w:numPr>
          <w:ilvl w:val="1"/>
          <w:numId w:val="85"/>
        </w:numPr>
        <w:adjustRightInd/>
        <w:spacing w:line="240" w:lineRule="auto"/>
        <w:rPr>
          <w:rFonts w:hint="eastAsia" w:ascii="宋体" w:hAnsi="宋体" w:cs="宋体"/>
          <w:kern w:val="0"/>
        </w:rPr>
      </w:pPr>
      <w:r>
        <w:rPr>
          <w:rFonts w:ascii="宋体" w:hAnsi="宋体" w:cs="宋体"/>
          <w:kern w:val="0"/>
        </w:rPr>
        <w:t>部分同级参摊区域间存在共有面积的，按相关参摊区域建筑面积的比例进行分摊，分摊后的参摊区域间共有面积计入该参摊区域内参加上一级共有建筑面积的分摊。</w:t>
      </w:r>
    </w:p>
    <w:p>
      <w:pPr>
        <w:pStyle w:val="107"/>
        <w:spacing w:before="156" w:after="156"/>
      </w:pPr>
      <w:bookmarkStart w:id="331" w:name="_Toc404004864"/>
      <w:bookmarkEnd w:id="331"/>
      <w:bookmarkStart w:id="332" w:name="_Toc406061456"/>
      <w:bookmarkEnd w:id="332"/>
      <w:bookmarkStart w:id="333" w:name="_Toc405534891"/>
      <w:bookmarkEnd w:id="333"/>
      <w:bookmarkStart w:id="334" w:name="_Toc392665367"/>
      <w:bookmarkEnd w:id="334"/>
      <w:bookmarkStart w:id="335" w:name="_Toc404085594"/>
      <w:bookmarkStart w:id="336" w:name="_Toc237015180"/>
      <w:bookmarkStart w:id="337" w:name="_Toc237470912"/>
      <w:r>
        <w:t>共有建筑面积分摊方法</w:t>
      </w:r>
      <w:bookmarkEnd w:id="335"/>
      <w:bookmarkEnd w:id="336"/>
      <w:bookmarkEnd w:id="337"/>
    </w:p>
    <w:p>
      <w:pPr>
        <w:pStyle w:val="67"/>
        <w:spacing w:before="156" w:after="156"/>
      </w:pPr>
      <w:bookmarkStart w:id="338" w:name="_Toc404004865"/>
      <w:bookmarkEnd w:id="338"/>
      <w:bookmarkStart w:id="339" w:name="_Toc404085595"/>
      <w:r>
        <w:t>整体分摊</w:t>
      </w:r>
      <w:bookmarkEnd w:id="339"/>
    </w:p>
    <w:p>
      <w:pPr>
        <w:widowControl/>
        <w:adjustRightInd/>
        <w:spacing w:line="240" w:lineRule="auto"/>
        <w:ind w:firstLine="420"/>
        <w:rPr>
          <w:rFonts w:hint="eastAsia" w:ascii="宋体" w:hAnsi="宋体" w:cs="宋体"/>
          <w:kern w:val="0"/>
        </w:rPr>
      </w:pPr>
      <w:r>
        <w:rPr>
          <w:rFonts w:ascii="宋体" w:hAnsi="宋体" w:cs="宋体"/>
          <w:kern w:val="0"/>
        </w:rPr>
        <w:t>整体分摊面积的计算方法如下：</w:t>
      </w:r>
    </w:p>
    <w:p>
      <w:pPr>
        <w:widowControl/>
        <w:numPr>
          <w:ilvl w:val="0"/>
          <w:numId w:val="86"/>
        </w:numPr>
        <w:adjustRightInd/>
        <w:spacing w:line="240" w:lineRule="auto"/>
        <w:ind w:left="840" w:hanging="420"/>
        <w:rPr>
          <w:rFonts w:hint="eastAsia" w:ascii="宋体" w:hAnsi="宋体" w:cs="宋体"/>
          <w:kern w:val="0"/>
        </w:rPr>
      </w:pPr>
      <w:r>
        <w:rPr>
          <w:rFonts w:ascii="宋体" w:hAnsi="宋体" w:cs="宋体"/>
          <w:kern w:val="0"/>
        </w:rPr>
        <w:t>基本单元分摊的共有建筑面积=共有建筑面积分摊系数×基本单元套内建筑面积；</w:t>
      </w:r>
    </w:p>
    <w:p>
      <w:pPr>
        <w:widowControl/>
        <w:numPr>
          <w:ilvl w:val="0"/>
          <w:numId w:val="86"/>
        </w:numPr>
        <w:adjustRightInd/>
        <w:spacing w:line="240" w:lineRule="auto"/>
        <w:ind w:left="840" w:hanging="420"/>
        <w:rPr>
          <w:rFonts w:hint="eastAsia" w:ascii="宋体" w:hAnsi="宋体" w:cs="宋体"/>
          <w:kern w:val="0"/>
        </w:rPr>
      </w:pPr>
      <w:r>
        <w:rPr>
          <w:rFonts w:ascii="宋体" w:hAnsi="宋体" w:cs="宋体"/>
          <w:kern w:val="0"/>
        </w:rPr>
        <w:t>共有建筑面积分摊系数=共有建筑面积之和÷各基本单元套内建筑面积之和。</w:t>
      </w:r>
    </w:p>
    <w:p>
      <w:pPr>
        <w:pStyle w:val="67"/>
        <w:spacing w:before="156" w:after="156"/>
      </w:pPr>
      <w:bookmarkStart w:id="340" w:name="_Toc404004866"/>
      <w:bookmarkEnd w:id="340"/>
      <w:bookmarkStart w:id="341" w:name="_Toc404085596"/>
      <w:r>
        <w:t>多级分摊</w:t>
      </w:r>
      <w:bookmarkEnd w:id="341"/>
    </w:p>
    <w:p>
      <w:pPr>
        <w:pStyle w:val="96"/>
        <w:spacing w:before="156" w:after="156"/>
      </w:pPr>
      <w:r>
        <w:t>一级分摊</w:t>
      </w:r>
    </w:p>
    <w:p>
      <w:pPr>
        <w:widowControl/>
        <w:adjustRightInd/>
        <w:spacing w:line="240" w:lineRule="auto"/>
        <w:ind w:firstLine="420"/>
        <w:rPr>
          <w:rFonts w:hint="eastAsia" w:ascii="宋体" w:hAnsi="宋体" w:cs="宋体"/>
          <w:kern w:val="0"/>
        </w:rPr>
      </w:pPr>
      <w:r>
        <w:rPr>
          <w:rFonts w:ascii="宋体" w:hAnsi="宋体" w:cs="宋体"/>
          <w:kern w:val="0"/>
        </w:rPr>
        <w:t>多级分摊应遵循从整体到局部，从大到小逐级分摊的原则。一级分摊的技术要求如下：</w:t>
      </w:r>
    </w:p>
    <w:p>
      <w:pPr>
        <w:widowControl/>
        <w:numPr>
          <w:ilvl w:val="0"/>
          <w:numId w:val="87"/>
        </w:numPr>
        <w:adjustRightInd/>
        <w:spacing w:line="240" w:lineRule="auto"/>
        <w:rPr>
          <w:rFonts w:hint="eastAsia" w:ascii="宋体" w:hAnsi="宋体" w:cs="宋体"/>
          <w:kern w:val="0"/>
        </w:rPr>
      </w:pPr>
      <w:r>
        <w:rPr>
          <w:rFonts w:ascii="宋体" w:hAnsi="宋体" w:cs="宋体"/>
          <w:kern w:val="0"/>
        </w:rPr>
        <w:t>一级分摊共有建筑面积按一级参摊区域建筑面积的比例分摊，分摊计算方法如下：</w:t>
      </w:r>
    </w:p>
    <w:p>
      <w:pPr>
        <w:widowControl/>
        <w:numPr>
          <w:ilvl w:val="1"/>
          <w:numId w:val="87"/>
        </w:numPr>
        <w:adjustRightInd/>
        <w:spacing w:line="240" w:lineRule="auto"/>
        <w:rPr>
          <w:rFonts w:hint="eastAsia" w:ascii="宋体" w:hAnsi="宋体" w:cs="宋体"/>
          <w:kern w:val="0"/>
        </w:rPr>
      </w:pPr>
      <w:r>
        <w:rPr>
          <w:rFonts w:ascii="宋体" w:hAnsi="宋体" w:cs="宋体"/>
          <w:kern w:val="0"/>
        </w:rPr>
        <w:t>一级参摊区域分摊的共有建筑面积=第一级分摊系数×一级参摊区域建筑面积；</w:t>
      </w:r>
    </w:p>
    <w:p>
      <w:pPr>
        <w:widowControl/>
        <w:numPr>
          <w:ilvl w:val="1"/>
          <w:numId w:val="87"/>
        </w:numPr>
        <w:adjustRightInd/>
        <w:spacing w:line="240" w:lineRule="auto"/>
        <w:rPr>
          <w:rFonts w:hint="eastAsia" w:ascii="宋体" w:hAnsi="宋体" w:cs="宋体"/>
          <w:kern w:val="0"/>
        </w:rPr>
      </w:pPr>
      <w:r>
        <w:rPr>
          <w:rFonts w:ascii="宋体" w:hAnsi="宋体" w:cs="宋体"/>
          <w:kern w:val="0"/>
        </w:rPr>
        <w:t>一级分摊系数=一级共有建筑面积之和÷一级参摊区域建筑面积之和。</w:t>
      </w:r>
    </w:p>
    <w:p>
      <w:pPr>
        <w:widowControl/>
        <w:numPr>
          <w:ilvl w:val="0"/>
          <w:numId w:val="87"/>
        </w:numPr>
        <w:adjustRightInd/>
        <w:spacing w:line="240" w:lineRule="auto"/>
        <w:rPr>
          <w:rFonts w:hint="eastAsia" w:ascii="宋体" w:hAnsi="宋体" w:cs="宋体"/>
          <w:kern w:val="0"/>
        </w:rPr>
      </w:pPr>
      <w:r>
        <w:rPr>
          <w:rFonts w:ascii="宋体" w:hAnsi="宋体" w:cs="宋体"/>
          <w:kern w:val="0"/>
        </w:rPr>
        <w:t>一级分摊的共有建筑面积包括：</w:t>
      </w:r>
    </w:p>
    <w:p>
      <w:pPr>
        <w:widowControl/>
        <w:numPr>
          <w:ilvl w:val="1"/>
          <w:numId w:val="87"/>
        </w:numPr>
        <w:adjustRightInd/>
        <w:spacing w:line="240" w:lineRule="auto"/>
        <w:rPr>
          <w:rFonts w:hint="eastAsia" w:ascii="宋体" w:hAnsi="宋体" w:cs="宋体"/>
          <w:kern w:val="0"/>
        </w:rPr>
      </w:pPr>
      <w:r>
        <w:rPr>
          <w:rFonts w:ascii="宋体" w:hAnsi="宋体" w:cs="宋体"/>
          <w:kern w:val="0"/>
        </w:rPr>
        <w:t>为整幢房屋服务的配电室、水泵房、公共门厅、公共通道、设备用房、值班室、警卫室、平台层梯间以及其他功能上为整幢建筑服务的公共用房和管理用房的建筑面积；</w:t>
      </w:r>
    </w:p>
    <w:p>
      <w:pPr>
        <w:widowControl/>
        <w:numPr>
          <w:ilvl w:val="1"/>
          <w:numId w:val="87"/>
        </w:numPr>
        <w:adjustRightInd/>
        <w:spacing w:line="240" w:lineRule="auto"/>
        <w:rPr>
          <w:rFonts w:hint="eastAsia" w:ascii="宋体" w:hAnsi="宋体" w:cs="宋体"/>
          <w:kern w:val="0"/>
        </w:rPr>
      </w:pPr>
      <w:r>
        <w:rPr>
          <w:rFonts w:ascii="宋体" w:hAnsi="宋体" w:cs="宋体"/>
          <w:kern w:val="0"/>
        </w:rPr>
        <w:t>仅为其它功能区服务，必须穿过某一功能区（该功能区不使用）的垂直通道、水平通道及垃圾道、核心筒内的通风井、管道井等的建筑面积。</w:t>
      </w:r>
    </w:p>
    <w:p>
      <w:pPr>
        <w:pStyle w:val="96"/>
        <w:spacing w:before="156" w:after="156"/>
      </w:pPr>
      <w:r>
        <w:t>二级分摊</w:t>
      </w:r>
    </w:p>
    <w:p>
      <w:pPr>
        <w:widowControl/>
        <w:adjustRightInd/>
        <w:spacing w:line="240" w:lineRule="auto"/>
        <w:ind w:firstLine="420"/>
        <w:rPr>
          <w:rFonts w:hint="eastAsia" w:ascii="宋体" w:hAnsi="宋体" w:cs="宋体"/>
          <w:kern w:val="0"/>
        </w:rPr>
      </w:pPr>
      <w:r>
        <w:rPr>
          <w:rFonts w:ascii="宋体" w:hAnsi="宋体" w:cs="宋体"/>
          <w:kern w:val="0"/>
        </w:rPr>
        <w:t>二级分摊的技术要求如下：</w:t>
      </w:r>
    </w:p>
    <w:p>
      <w:pPr>
        <w:widowControl/>
        <w:numPr>
          <w:ilvl w:val="0"/>
          <w:numId w:val="88"/>
        </w:numPr>
        <w:adjustRightInd/>
        <w:spacing w:line="240" w:lineRule="auto"/>
        <w:rPr>
          <w:rFonts w:hint="eastAsia" w:ascii="宋体" w:hAnsi="宋体" w:cs="宋体"/>
          <w:kern w:val="0"/>
        </w:rPr>
      </w:pPr>
      <w:r>
        <w:rPr>
          <w:rFonts w:ascii="宋体" w:hAnsi="宋体" w:cs="宋体"/>
          <w:color w:val="000000"/>
          <w:kern w:val="0"/>
        </w:rPr>
        <w:t>某一功能区内各二级参摊</w:t>
      </w:r>
      <w:r>
        <w:rPr>
          <w:rFonts w:ascii="宋体" w:hAnsi="宋体" w:cs="宋体"/>
          <w:kern w:val="0"/>
        </w:rPr>
        <w:t>区域（层、单元、局部区域）之间的共有建筑面积依照第一级分摊的方法，以各二级参摊区域建筑面积按比例分摊其共有建筑面积，分摊计算方法如下：</w:t>
      </w:r>
    </w:p>
    <w:p>
      <w:pPr>
        <w:widowControl/>
        <w:numPr>
          <w:ilvl w:val="1"/>
          <w:numId w:val="88"/>
        </w:numPr>
        <w:adjustRightInd/>
        <w:spacing w:line="240" w:lineRule="auto"/>
        <w:rPr>
          <w:rFonts w:hint="eastAsia" w:ascii="宋体" w:hAnsi="宋体" w:cs="宋体"/>
          <w:kern w:val="0"/>
        </w:rPr>
      </w:pPr>
      <w:r>
        <w:rPr>
          <w:rFonts w:ascii="宋体" w:hAnsi="宋体" w:cs="宋体"/>
          <w:kern w:val="0"/>
        </w:rPr>
        <w:t>二级参摊区域分摊共有建筑面积=第二级分摊系数×二级参摊区域建筑面积；</w:t>
      </w:r>
    </w:p>
    <w:p>
      <w:pPr>
        <w:widowControl/>
        <w:numPr>
          <w:ilvl w:val="1"/>
          <w:numId w:val="88"/>
        </w:numPr>
        <w:adjustRightInd/>
        <w:spacing w:line="240" w:lineRule="auto"/>
        <w:rPr>
          <w:rFonts w:hint="eastAsia" w:ascii="宋体" w:hAnsi="宋体" w:cs="宋体"/>
          <w:kern w:val="0"/>
        </w:rPr>
      </w:pPr>
      <w:r>
        <w:rPr>
          <w:rFonts w:ascii="宋体" w:hAnsi="宋体" w:cs="宋体"/>
          <w:kern w:val="0"/>
        </w:rPr>
        <w:t>二级分摊系数=二级共有建筑面积之和÷二级参摊区域建筑面积之和。</w:t>
      </w:r>
    </w:p>
    <w:p>
      <w:pPr>
        <w:widowControl/>
        <w:numPr>
          <w:ilvl w:val="0"/>
          <w:numId w:val="88"/>
        </w:numPr>
        <w:adjustRightInd/>
        <w:spacing w:line="240" w:lineRule="auto"/>
        <w:rPr>
          <w:rFonts w:hint="eastAsia" w:ascii="宋体" w:hAnsi="宋体" w:cs="宋体"/>
          <w:kern w:val="0"/>
        </w:rPr>
      </w:pPr>
      <w:r>
        <w:rPr>
          <w:rFonts w:ascii="宋体" w:hAnsi="宋体" w:cs="宋体"/>
          <w:kern w:val="0"/>
        </w:rPr>
        <w:t>二级共有建筑面积包括各二级参摊区域之间共有建筑面积和第一级分摊至本区域内的共有建筑面积；</w:t>
      </w:r>
    </w:p>
    <w:p>
      <w:pPr>
        <w:widowControl/>
        <w:numPr>
          <w:ilvl w:val="0"/>
          <w:numId w:val="88"/>
        </w:numPr>
        <w:adjustRightInd/>
        <w:spacing w:line="240" w:lineRule="auto"/>
        <w:rPr>
          <w:rFonts w:hint="eastAsia" w:ascii="宋体" w:hAnsi="宋体" w:cs="宋体"/>
          <w:kern w:val="0"/>
        </w:rPr>
      </w:pPr>
      <w:r>
        <w:rPr>
          <w:rFonts w:ascii="宋体" w:hAnsi="宋体" w:cs="宋体"/>
          <w:kern w:val="0"/>
        </w:rPr>
        <w:t>如果各二级参摊区域内，不能直接划分至房屋基本单元的，则按上述方法依次进行多级分摊，最后计算出各房屋基本单元应分摊的共有建筑面积。</w:t>
      </w:r>
    </w:p>
    <w:p>
      <w:pPr>
        <w:pStyle w:val="96"/>
        <w:spacing w:before="156" w:after="156"/>
      </w:pPr>
      <w:r>
        <w:t>末级分摊</w:t>
      </w:r>
    </w:p>
    <w:p>
      <w:pPr>
        <w:widowControl/>
        <w:adjustRightInd/>
        <w:spacing w:line="240" w:lineRule="auto"/>
        <w:ind w:firstLine="420"/>
        <w:rPr>
          <w:rFonts w:hint="eastAsia" w:ascii="宋体" w:hAnsi="宋体" w:cs="宋体"/>
          <w:kern w:val="0"/>
        </w:rPr>
      </w:pPr>
      <w:r>
        <w:rPr>
          <w:rFonts w:ascii="宋体" w:hAnsi="宋体" w:cs="宋体"/>
          <w:kern w:val="0"/>
        </w:rPr>
        <w:t>各级分摊，存在直接可以分摊到房屋基本单元情况时，视为最末级分摊，在参摊区域内部按各基本单元套内建筑面积比例分摊其共有建筑面积，分摊的计算方法如下：</w:t>
      </w:r>
    </w:p>
    <w:p>
      <w:pPr>
        <w:widowControl/>
        <w:numPr>
          <w:ilvl w:val="0"/>
          <w:numId w:val="89"/>
        </w:numPr>
        <w:adjustRightInd/>
        <w:spacing w:line="240" w:lineRule="auto"/>
        <w:ind w:left="840" w:hanging="420"/>
        <w:rPr>
          <w:rFonts w:hint="eastAsia" w:ascii="宋体" w:hAnsi="宋体" w:cs="宋体"/>
          <w:kern w:val="0"/>
        </w:rPr>
      </w:pPr>
      <w:r>
        <w:rPr>
          <w:rFonts w:ascii="宋体" w:hAnsi="宋体" w:cs="宋体"/>
          <w:kern w:val="0"/>
        </w:rPr>
        <w:t>基本单元分摊共有建筑面积=最末级分摊系数×基本单元套内建筑面积；</w:t>
      </w:r>
    </w:p>
    <w:p>
      <w:pPr>
        <w:widowControl/>
        <w:numPr>
          <w:ilvl w:val="0"/>
          <w:numId w:val="89"/>
        </w:numPr>
        <w:adjustRightInd/>
        <w:spacing w:line="240" w:lineRule="auto"/>
        <w:ind w:left="840" w:hanging="420"/>
        <w:rPr>
          <w:rFonts w:hint="eastAsia" w:ascii="宋体" w:hAnsi="宋体" w:cs="宋体"/>
          <w:kern w:val="0"/>
        </w:rPr>
      </w:pPr>
      <w:r>
        <w:rPr>
          <w:rFonts w:ascii="宋体" w:hAnsi="宋体" w:cs="宋体"/>
          <w:kern w:val="0"/>
        </w:rPr>
        <w:t>最末级分摊系数=最末级共有建筑面积之和÷基本单元套内建筑面积之和；</w:t>
      </w:r>
    </w:p>
    <w:p>
      <w:pPr>
        <w:widowControl/>
        <w:numPr>
          <w:ilvl w:val="0"/>
          <w:numId w:val="89"/>
        </w:numPr>
        <w:adjustRightInd/>
        <w:spacing w:line="240" w:lineRule="auto"/>
        <w:ind w:left="840" w:hanging="420"/>
        <w:rPr>
          <w:rFonts w:hint="eastAsia" w:ascii="宋体" w:hAnsi="宋体" w:cs="宋体"/>
          <w:kern w:val="0"/>
        </w:rPr>
      </w:pPr>
      <w:r>
        <w:rPr>
          <w:rFonts w:ascii="宋体" w:hAnsi="宋体" w:cs="宋体"/>
          <w:kern w:val="0"/>
        </w:rPr>
        <w:t>最末级共有建筑面积为其上一级参摊区域建筑面积减去各房屋基本单元套内建筑面积之和。</w:t>
      </w:r>
    </w:p>
    <w:p>
      <w:pPr>
        <w:pStyle w:val="96"/>
        <w:spacing w:before="156" w:after="156"/>
      </w:pPr>
      <w:r>
        <w:t>其他分摊规则</w:t>
      </w:r>
    </w:p>
    <w:p>
      <w:pPr>
        <w:widowControl/>
        <w:adjustRightInd/>
        <w:spacing w:line="240" w:lineRule="auto"/>
        <w:ind w:firstLine="420"/>
        <w:rPr>
          <w:rFonts w:hint="eastAsia" w:ascii="宋体" w:hAnsi="宋体" w:cs="宋体"/>
          <w:kern w:val="0"/>
        </w:rPr>
      </w:pPr>
      <w:r>
        <w:rPr>
          <w:rFonts w:ascii="宋体" w:hAnsi="宋体" w:cs="宋体"/>
          <w:kern w:val="0"/>
        </w:rPr>
        <w:t>某一参摊区域内分户情况符合整体分摊条件时，可参照整体分摊方法在该某区域内直接将共有建筑面积进行分摊，具体情形如下：非成套房屋中的厅堂、壁柜、厨房、卫生间等由部分房屋产权人共同使用的部位，有合法协议的，以合法协议为准进行分摊，无合法协议的，参照上述方法按建筑面积比例分摊。</w:t>
      </w:r>
    </w:p>
    <w:p>
      <w:pPr>
        <w:pStyle w:val="107"/>
        <w:spacing w:before="156" w:after="156"/>
      </w:pPr>
      <w:bookmarkStart w:id="342" w:name="_Toc405534892"/>
      <w:bookmarkEnd w:id="342"/>
      <w:bookmarkStart w:id="343" w:name="_Toc392665368"/>
      <w:bookmarkEnd w:id="343"/>
      <w:bookmarkStart w:id="344" w:name="_Toc404004867"/>
      <w:bookmarkEnd w:id="344"/>
      <w:bookmarkStart w:id="345" w:name="_Toc404085597"/>
      <w:bookmarkEnd w:id="345"/>
      <w:bookmarkStart w:id="346" w:name="_Toc406061457"/>
      <w:bookmarkStart w:id="347" w:name="_Toc237015181"/>
      <w:bookmarkStart w:id="348" w:name="_Toc237470913"/>
      <w:r>
        <w:t>共有建筑面积的处理细则</w:t>
      </w:r>
      <w:bookmarkEnd w:id="346"/>
      <w:bookmarkEnd w:id="347"/>
      <w:bookmarkEnd w:id="348"/>
    </w:p>
    <w:p>
      <w:pPr>
        <w:widowControl/>
        <w:adjustRightInd/>
        <w:spacing w:line="240" w:lineRule="auto"/>
        <w:ind w:firstLine="420"/>
        <w:rPr>
          <w:rFonts w:hint="eastAsia" w:ascii="宋体" w:hAnsi="宋体" w:cs="宋体"/>
          <w:kern w:val="0"/>
        </w:rPr>
      </w:pPr>
      <w:r>
        <w:rPr>
          <w:rFonts w:ascii="宋体" w:hAnsi="宋体" w:cs="宋体"/>
          <w:kern w:val="0"/>
        </w:rPr>
        <w:t>根据房屋设计图或实际共有的情形，确认与共有建筑面积相关的建筑面积。具体规定如下：</w:t>
      </w:r>
    </w:p>
    <w:p>
      <w:pPr>
        <w:widowControl/>
        <w:numPr>
          <w:ilvl w:val="0"/>
          <w:numId w:val="90"/>
        </w:numPr>
        <w:adjustRightInd/>
        <w:spacing w:line="240" w:lineRule="auto"/>
        <w:ind w:left="840" w:hanging="420"/>
        <w:rPr>
          <w:rFonts w:hint="eastAsia" w:ascii="宋体" w:hAnsi="宋体" w:cs="宋体"/>
          <w:kern w:val="0"/>
        </w:rPr>
      </w:pPr>
      <w:r>
        <w:rPr>
          <w:rFonts w:ascii="宋体" w:hAnsi="宋体" w:cs="宋体"/>
          <w:kern w:val="0"/>
        </w:rPr>
        <w:t>某一区域内，同时有公共用房和独立使用的房屋，或共有情况不同的公共用房，且它们之间也存在无法分割的共有面积时，应在本区域内，按相关各部位界线内建筑面积的比例作预分摊计算。预分摊后的面积分别计入到相关建筑面积内；如图25所示；</w:t>
      </w:r>
    </w:p>
    <w:p>
      <w:pPr>
        <w:widowControl/>
        <w:adjustRightInd/>
        <w:spacing w:line="240" w:lineRule="auto"/>
        <w:jc w:val="center"/>
        <w:rPr>
          <w:rFonts w:hint="eastAsia" w:ascii="宋体" w:hAnsi="宋体"/>
          <w:color w:val="0000FF"/>
          <w:kern w:val="0"/>
          <w:sz w:val="24"/>
          <w:szCs w:val="24"/>
        </w:rPr>
      </w:pPr>
      <w:r>
        <w:rPr>
          <w:rFonts w:ascii="Times New Roman" w:hAnsi="Times New Roman"/>
          <w:kern w:val="0"/>
        </w:rPr>
        <w:drawing>
          <wp:inline distT="0" distB="0" distL="0" distR="0">
            <wp:extent cx="5457825" cy="3095625"/>
            <wp:effectExtent l="0" t="0" r="9525" b="9525"/>
            <wp:docPr id="81" name="图片 81" descr="C:\Users\jn\AppData\Local\Temp\ksohtml4520\wps43.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1" name="图片 81" descr="C:\Users\jn\AppData\Local\Temp\ksohtml4520\wps43.jpg"/>
                    <pic:cNvPicPr>
                      <a:picLocks noChangeAspect="true" noChangeArrowheads="true"/>
                    </pic:cNvPicPr>
                  </pic:nvPicPr>
                  <pic:blipFill>
                    <a:blip r:embed="rId106">
                      <a:extLst>
                        <a:ext uri="{28A0092B-C50C-407E-A947-70E740481C1C}">
                          <a14:useLocalDpi xmlns:a14="http://schemas.microsoft.com/office/drawing/2010/main" val="false"/>
                        </a:ext>
                      </a:extLst>
                    </a:blip>
                    <a:srcRect/>
                    <a:stretch>
                      <a:fillRect/>
                    </a:stretch>
                  </pic:blipFill>
                  <pic:spPr>
                    <a:xfrm>
                      <a:off x="0" y="0"/>
                      <a:ext cx="5457825" cy="3095625"/>
                    </a:xfrm>
                    <a:prstGeom prst="rect">
                      <a:avLst/>
                    </a:prstGeom>
                    <a:noFill/>
                    <a:ln>
                      <a:noFill/>
                    </a:ln>
                  </pic:spPr>
                </pic:pic>
              </a:graphicData>
            </a:graphic>
          </wp:inline>
        </w:drawing>
      </w:r>
      <w:r>
        <w:rPr>
          <w:rFonts w:ascii="宋体" w:hAnsi="宋体"/>
          <w:color w:val="0000FF"/>
          <w:kern w:val="0"/>
          <w:sz w:val="24"/>
          <w:szCs w:val="24"/>
        </w:rPr>
        <w:t xml:space="preserve"> </w:t>
      </w:r>
    </w:p>
    <w:p>
      <w:pPr>
        <w:pStyle w:val="116"/>
        <w:spacing w:before="156" w:after="156"/>
        <w:rPr>
          <w:rFonts w:hint="eastAsia" w:hAnsi="黑体"/>
        </w:rPr>
      </w:pPr>
      <w:r>
        <w:t xml:space="preserve">共有建筑面积示例1 </w:t>
      </w:r>
    </w:p>
    <w:p>
      <w:pPr>
        <w:widowControl/>
        <w:numPr>
          <w:ilvl w:val="0"/>
          <w:numId w:val="90"/>
        </w:numPr>
        <w:adjustRightInd/>
        <w:spacing w:before="100" w:beforeAutospacing="1" w:after="100" w:afterAutospacing="1" w:line="240" w:lineRule="auto"/>
        <w:rPr>
          <w:rFonts w:hint="eastAsia" w:ascii="宋体" w:hAnsi="宋体" w:cs="宋体"/>
          <w:kern w:val="0"/>
        </w:rPr>
      </w:pPr>
      <w:r>
        <w:rPr>
          <w:rFonts w:ascii="宋体" w:hAnsi="宋体" w:cs="宋体"/>
          <w:kern w:val="0"/>
        </w:rPr>
        <w:t xml:space="preserve">设在幢内，列为不被分摊的公共用房作为独立的基本单元，参与分摊其他的共有面积； </w:t>
      </w:r>
    </w:p>
    <w:p>
      <w:pPr>
        <w:widowControl/>
        <w:numPr>
          <w:ilvl w:val="0"/>
          <w:numId w:val="90"/>
        </w:numPr>
        <w:adjustRightInd/>
        <w:spacing w:before="100" w:beforeAutospacing="1" w:after="100" w:afterAutospacing="1" w:line="240" w:lineRule="auto"/>
        <w:rPr>
          <w:rFonts w:hint="eastAsia" w:ascii="宋体" w:hAnsi="宋体" w:cs="宋体"/>
          <w:kern w:val="0"/>
        </w:rPr>
      </w:pPr>
      <w:r>
        <w:rPr>
          <w:rFonts w:ascii="宋体" w:hAnsi="宋体" w:cs="宋体"/>
          <w:kern w:val="0"/>
        </w:rPr>
        <w:t>房屋中架空层、避难层、设备转换层等作为独立的功能区，依照多级分摊方法分摊计算；</w:t>
      </w:r>
    </w:p>
    <w:p>
      <w:pPr>
        <w:widowControl/>
        <w:numPr>
          <w:ilvl w:val="0"/>
          <w:numId w:val="90"/>
        </w:numPr>
        <w:adjustRightInd/>
        <w:spacing w:before="100" w:beforeAutospacing="1" w:after="100" w:afterAutospacing="1" w:line="240" w:lineRule="auto"/>
        <w:rPr>
          <w:rFonts w:hint="eastAsia" w:ascii="宋体" w:hAnsi="宋体" w:cs="宋体"/>
          <w:color w:val="000000"/>
          <w:kern w:val="0"/>
        </w:rPr>
      </w:pPr>
      <w:r>
        <w:rPr>
          <w:rFonts w:ascii="宋体" w:hAnsi="宋体" w:cs="宋体"/>
          <w:kern w:val="0"/>
        </w:rPr>
        <w:t>由裙楼和不同塔楼组合的综合性楼房，各塔楼应分别划分为不同参摊区域，为塔楼或裙楼服务的屋面梯间、机房、杂物间等分别计入各塔楼或裙楼的共有建筑面积；塔楼或裙楼内存在共有情况不一致的，还应再划分次一级参摊区域，直到计算</w:t>
      </w:r>
      <w:r>
        <w:rPr>
          <w:rFonts w:ascii="宋体" w:hAnsi="宋体" w:cs="宋体"/>
          <w:color w:val="000000"/>
          <w:kern w:val="0"/>
        </w:rPr>
        <w:t>出各基本单元应分摊的共有建筑面积；</w:t>
      </w:r>
    </w:p>
    <w:p>
      <w:pPr>
        <w:widowControl/>
        <w:numPr>
          <w:ilvl w:val="0"/>
          <w:numId w:val="90"/>
        </w:numPr>
        <w:adjustRightInd/>
        <w:spacing w:before="100" w:beforeAutospacing="1" w:after="100" w:afterAutospacing="1" w:line="240" w:lineRule="auto"/>
        <w:rPr>
          <w:rFonts w:hint="eastAsia" w:ascii="宋体" w:hAnsi="宋体" w:cs="宋体"/>
          <w:kern w:val="0"/>
        </w:rPr>
      </w:pPr>
      <w:r>
        <w:rPr>
          <w:rFonts w:ascii="宋体" w:hAnsi="宋体" w:cs="宋体"/>
          <w:kern w:val="0"/>
        </w:rPr>
        <w:t>为某一功能区服务而穿过另一功能区的垂直通道，按如下方式处理：</w:t>
      </w:r>
    </w:p>
    <w:p>
      <w:pPr>
        <w:widowControl/>
        <w:numPr>
          <w:ilvl w:val="1"/>
          <w:numId w:val="90"/>
        </w:numPr>
        <w:adjustRightInd/>
        <w:spacing w:line="240" w:lineRule="auto"/>
        <w:rPr>
          <w:rFonts w:hint="eastAsia" w:ascii="宋体" w:hAnsi="宋体" w:cs="宋体"/>
          <w:kern w:val="0"/>
        </w:rPr>
      </w:pPr>
      <w:r>
        <w:rPr>
          <w:rFonts w:ascii="宋体" w:hAnsi="宋体" w:cs="宋体"/>
          <w:kern w:val="0"/>
        </w:rPr>
        <w:t>某自然层内同时存在多种功能，仅为某个功能区服务的垂直通道和水平通道，且在本自然层内直接为本功能区的基本单元服务，计入本功能区的共有建筑面积；如图26所示；</w:t>
      </w:r>
    </w:p>
    <w:p>
      <w:pPr>
        <w:widowControl/>
        <w:adjustRightInd/>
        <w:spacing w:line="240" w:lineRule="auto"/>
        <w:ind w:left="1077" w:hanging="180"/>
        <w:jc w:val="left"/>
        <w:rPr>
          <w:rFonts w:hint="eastAsia" w:ascii="宋体" w:hAnsi="宋体"/>
          <w:kern w:val="0"/>
          <w:sz w:val="24"/>
          <w:szCs w:val="24"/>
        </w:rPr>
      </w:pPr>
      <w:r>
        <w:rPr>
          <w:rFonts w:ascii="Times New Roman" w:hAnsi="Times New Roman"/>
          <w:kern w:val="0"/>
        </w:rPr>
        <w:drawing>
          <wp:inline distT="0" distB="0" distL="0" distR="0">
            <wp:extent cx="4829175" cy="2114550"/>
            <wp:effectExtent l="0" t="0" r="9525" b="0"/>
            <wp:docPr id="80" name="图片 80" descr="C:\Users\jn\AppData\Local\Temp\ksohtml4520\wps44.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0" name="图片 80" descr="C:\Users\jn\AppData\Local\Temp\ksohtml4520\wps44.jpg"/>
                    <pic:cNvPicPr>
                      <a:picLocks noChangeAspect="true" noChangeArrowheads="true"/>
                    </pic:cNvPicPr>
                  </pic:nvPicPr>
                  <pic:blipFill>
                    <a:blip r:embed="rId107">
                      <a:extLst>
                        <a:ext uri="{28A0092B-C50C-407E-A947-70E740481C1C}">
                          <a14:useLocalDpi xmlns:a14="http://schemas.microsoft.com/office/drawing/2010/main" val="false"/>
                        </a:ext>
                      </a:extLst>
                    </a:blip>
                    <a:srcRect/>
                    <a:stretch>
                      <a:fillRect/>
                    </a:stretch>
                  </pic:blipFill>
                  <pic:spPr>
                    <a:xfrm>
                      <a:off x="0" y="0"/>
                      <a:ext cx="4829175" cy="2114550"/>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rPr>
          <w:rFonts w:hint="eastAsia" w:hAnsi="黑体"/>
        </w:rPr>
      </w:pPr>
      <w:r>
        <w:t>共有建筑面积示例2</w:t>
      </w:r>
    </w:p>
    <w:p>
      <w:pPr>
        <w:widowControl/>
        <w:numPr>
          <w:ilvl w:val="1"/>
          <w:numId w:val="90"/>
        </w:numPr>
        <w:adjustRightInd/>
        <w:spacing w:line="240" w:lineRule="auto"/>
        <w:rPr>
          <w:rFonts w:hint="eastAsia" w:ascii="宋体" w:hAnsi="宋体" w:cs="宋体"/>
          <w:kern w:val="0"/>
        </w:rPr>
      </w:pPr>
      <w:r>
        <w:rPr>
          <w:rFonts w:ascii="宋体" w:hAnsi="宋体" w:cs="宋体"/>
          <w:kern w:val="0"/>
        </w:rPr>
        <w:t>仅为某一功能区服务，若在第一层及以上部分楼层中设置的梯间或大堂、走道等通道没有被该功能区基本单元直接利用的，则其梯间或大堂、走道等通道，计入整幢共有建筑面积；如图27所示</w:t>
      </w:r>
      <w:r>
        <w:rPr>
          <w:rFonts w:hint="eastAsia" w:ascii="宋体" w:hAnsi="宋体" w:cs="宋体"/>
          <w:kern w:val="0"/>
        </w:rPr>
        <w:t>。</w:t>
      </w:r>
    </w:p>
    <w:p>
      <w:pPr>
        <w:widowControl/>
        <w:adjustRightInd/>
        <w:spacing w:line="240" w:lineRule="auto"/>
        <w:jc w:val="center"/>
        <w:rPr>
          <w:rFonts w:hint="eastAsia" w:ascii="宋体" w:hAnsi="宋体"/>
          <w:kern w:val="0"/>
          <w:sz w:val="24"/>
          <w:szCs w:val="24"/>
        </w:rPr>
      </w:pPr>
      <w:r>
        <w:rPr>
          <w:rFonts w:ascii="Times New Roman" w:hAnsi="Times New Roman"/>
          <w:kern w:val="0"/>
        </w:rPr>
        <w:drawing>
          <wp:inline distT="0" distB="0" distL="0" distR="0">
            <wp:extent cx="4419600" cy="2514600"/>
            <wp:effectExtent l="0" t="0" r="0" b="0"/>
            <wp:docPr id="79" name="图片 79" descr="C:\Users\jn\AppData\Local\Temp\ksohtml4520\wps45.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9" name="图片 79" descr="C:\Users\jn\AppData\Local\Temp\ksohtml4520\wps45.jpg"/>
                    <pic:cNvPicPr>
                      <a:picLocks noChangeAspect="true" noChangeArrowheads="true"/>
                    </pic:cNvPicPr>
                  </pic:nvPicPr>
                  <pic:blipFill>
                    <a:blip r:embed="rId108">
                      <a:extLst>
                        <a:ext uri="{28A0092B-C50C-407E-A947-70E740481C1C}">
                          <a14:useLocalDpi xmlns:a14="http://schemas.microsoft.com/office/drawing/2010/main" val="false"/>
                        </a:ext>
                      </a:extLst>
                    </a:blip>
                    <a:srcRect/>
                    <a:stretch>
                      <a:fillRect/>
                    </a:stretch>
                  </pic:blipFill>
                  <pic:spPr>
                    <a:xfrm>
                      <a:off x="0" y="0"/>
                      <a:ext cx="4419600" cy="2514600"/>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rPr>
          <w:rFonts w:hint="eastAsia" w:hAnsi="黑体"/>
        </w:rPr>
      </w:pPr>
      <w:r>
        <w:t>共有建筑面积示例3</w:t>
      </w:r>
    </w:p>
    <w:p>
      <w:pPr>
        <w:widowControl/>
        <w:numPr>
          <w:ilvl w:val="0"/>
          <w:numId w:val="90"/>
        </w:numPr>
        <w:adjustRightInd/>
        <w:spacing w:line="240" w:lineRule="auto"/>
        <w:rPr>
          <w:rFonts w:hint="eastAsia" w:ascii="宋体" w:hAnsi="宋体" w:cs="宋体"/>
          <w:color w:val="000000"/>
          <w:kern w:val="0"/>
        </w:rPr>
      </w:pPr>
      <w:r>
        <w:rPr>
          <w:rFonts w:ascii="宋体" w:hAnsi="宋体" w:cs="宋体"/>
          <w:kern w:val="0"/>
        </w:rPr>
        <w:t>为多个参摊区域共同使用的垂直通道以及为垂直通道配套且无法分割出的水平通道（如核心筒中的前室等），按照其所在层，分别计入相应的参摊区域，</w:t>
      </w:r>
      <w:r>
        <w:rPr>
          <w:rFonts w:ascii="宋体" w:hAnsi="宋体" w:cs="宋体"/>
          <w:color w:val="000000"/>
          <w:kern w:val="0"/>
        </w:rPr>
        <w:t>视为参摊区域内共有建筑面积；</w:t>
      </w:r>
    </w:p>
    <w:p>
      <w:pPr>
        <w:widowControl/>
        <w:numPr>
          <w:ilvl w:val="0"/>
          <w:numId w:val="90"/>
        </w:numPr>
        <w:adjustRightInd/>
        <w:spacing w:line="240" w:lineRule="auto"/>
        <w:rPr>
          <w:rFonts w:hint="eastAsia" w:ascii="宋体" w:hAnsi="宋体" w:cs="宋体"/>
          <w:kern w:val="0"/>
        </w:rPr>
      </w:pPr>
      <w:r>
        <w:rPr>
          <w:rFonts w:ascii="宋体" w:hAnsi="宋体" w:cs="宋体"/>
          <w:kern w:val="0"/>
        </w:rPr>
        <w:t>从幢外独立的通往地下各层的专用通道的建筑面积（楼梯、电梯等）按地下室级顶板层面积计入地下层的建筑面积；从幢内地上通往地下各层的专用通道的建筑面积（楼梯、电梯、井道等）作为基本单元计算建筑面积。仅供一个基本单元使用的专用楼梯的建筑面积，全部计入该基本单元套内建筑面积；</w:t>
      </w:r>
    </w:p>
    <w:p>
      <w:pPr>
        <w:widowControl/>
        <w:numPr>
          <w:ilvl w:val="0"/>
          <w:numId w:val="90"/>
        </w:numPr>
        <w:adjustRightInd/>
        <w:spacing w:line="240" w:lineRule="auto"/>
        <w:rPr>
          <w:rFonts w:hint="eastAsia" w:ascii="宋体" w:hAnsi="宋体" w:cs="宋体"/>
          <w:color w:val="000000"/>
          <w:kern w:val="0"/>
        </w:rPr>
      </w:pPr>
      <w:r>
        <w:rPr>
          <w:rFonts w:ascii="宋体" w:hAnsi="宋体" w:cs="宋体"/>
          <w:kern w:val="0"/>
        </w:rPr>
        <w:t>住宅、办公、公寓式酒店等参摊区域内，服务于不同楼层的共有垂直（水平）通道，部分楼层有不开门或不使用</w:t>
      </w:r>
      <w:r>
        <w:rPr>
          <w:rFonts w:ascii="宋体" w:hAnsi="宋体" w:cs="宋体"/>
          <w:color w:val="000000"/>
          <w:kern w:val="0"/>
        </w:rPr>
        <w:t>的，该垂直（水平）通道计入该参摊区域内的共有建筑面积。如图28所示</w:t>
      </w:r>
      <w:r>
        <w:rPr>
          <w:rFonts w:hint="eastAsia" w:ascii="宋体" w:hAnsi="宋体" w:cs="宋体"/>
          <w:color w:val="000000"/>
          <w:kern w:val="0"/>
        </w:rPr>
        <w:t>；</w:t>
      </w:r>
    </w:p>
    <w:p>
      <w:pPr>
        <w:widowControl/>
        <w:numPr>
          <w:ilvl w:val="0"/>
          <w:numId w:val="90"/>
        </w:numPr>
        <w:adjustRightInd/>
        <w:spacing w:line="240" w:lineRule="auto"/>
        <w:rPr>
          <w:rFonts w:hint="eastAsia" w:ascii="宋体" w:hAnsi="宋体" w:cs="宋体"/>
          <w:kern w:val="0"/>
        </w:rPr>
      </w:pPr>
      <w:r>
        <w:rPr>
          <w:rFonts w:ascii="宋体" w:hAnsi="宋体" w:cs="宋体"/>
          <w:kern w:val="0"/>
        </w:rPr>
        <w:t>一层大厅（堂）有多种用途的，各用途房屋范围必须有明确的界址线方可进行分割；</w:t>
      </w:r>
    </w:p>
    <w:p>
      <w:pPr>
        <w:widowControl/>
        <w:numPr>
          <w:ilvl w:val="0"/>
          <w:numId w:val="90"/>
        </w:numPr>
        <w:adjustRightInd/>
        <w:spacing w:line="240" w:lineRule="auto"/>
        <w:rPr>
          <w:rFonts w:hint="eastAsia" w:ascii="宋体" w:hAnsi="宋体" w:cs="宋体"/>
          <w:kern w:val="0"/>
        </w:rPr>
      </w:pPr>
      <w:r>
        <w:rPr>
          <w:rFonts w:ascii="宋体" w:hAnsi="宋体" w:cs="宋体"/>
          <w:kern w:val="0"/>
        </w:rPr>
        <w:t>高层建筑内，专门设置为消防逃生通道，满足计算建筑面积条件的，计入幢共有建筑面积；利用套内阳台作为消防逃生通道的，按阳台的功能计入各套内建筑面积；</w:t>
      </w:r>
    </w:p>
    <w:p>
      <w:pPr>
        <w:widowControl/>
        <w:adjustRightInd/>
        <w:spacing w:line="240" w:lineRule="auto"/>
        <w:jc w:val="center"/>
        <w:rPr>
          <w:rFonts w:hint="eastAsia" w:ascii="宋体" w:hAnsi="宋体"/>
          <w:kern w:val="0"/>
          <w:sz w:val="24"/>
          <w:szCs w:val="24"/>
        </w:rPr>
      </w:pPr>
      <w:r>
        <w:rPr>
          <w:rFonts w:ascii="Times New Roman" w:hAnsi="Times New Roman"/>
          <w:kern w:val="0"/>
        </w:rPr>
        <w:drawing>
          <wp:inline distT="0" distB="0" distL="0" distR="0">
            <wp:extent cx="3152775" cy="2695575"/>
            <wp:effectExtent l="0" t="0" r="9525" b="9525"/>
            <wp:docPr id="78" name="图片 78" descr="C:\Users\jn\AppData\Local\Temp\ksohtml4520\wps46.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8" name="图片 78" descr="C:\Users\jn\AppData\Local\Temp\ksohtml4520\wps46.jpg"/>
                    <pic:cNvPicPr>
                      <a:picLocks noChangeAspect="true" noChangeArrowheads="true"/>
                    </pic:cNvPicPr>
                  </pic:nvPicPr>
                  <pic:blipFill>
                    <a:blip r:embed="rId109">
                      <a:extLst>
                        <a:ext uri="{28A0092B-C50C-407E-A947-70E740481C1C}">
                          <a14:useLocalDpi xmlns:a14="http://schemas.microsoft.com/office/drawing/2010/main" val="false"/>
                        </a:ext>
                      </a:extLst>
                    </a:blip>
                    <a:srcRect/>
                    <a:stretch>
                      <a:fillRect/>
                    </a:stretch>
                  </pic:blipFill>
                  <pic:spPr>
                    <a:xfrm>
                      <a:off x="0" y="0"/>
                      <a:ext cx="3152775" cy="2695575"/>
                    </a:xfrm>
                    <a:prstGeom prst="rect">
                      <a:avLst/>
                    </a:prstGeom>
                    <a:noFill/>
                    <a:ln>
                      <a:noFill/>
                    </a:ln>
                  </pic:spPr>
                </pic:pic>
              </a:graphicData>
            </a:graphic>
          </wp:inline>
        </w:drawing>
      </w:r>
      <w:r>
        <w:rPr>
          <w:rFonts w:ascii="宋体" w:hAnsi="宋体"/>
          <w:kern w:val="0"/>
          <w:sz w:val="24"/>
          <w:szCs w:val="24"/>
        </w:rPr>
        <w:t xml:space="preserve"> </w:t>
      </w:r>
    </w:p>
    <w:p>
      <w:pPr>
        <w:pStyle w:val="116"/>
        <w:spacing w:before="156" w:after="156"/>
        <w:rPr>
          <w:rFonts w:hint="eastAsia" w:hAnsi="黑体"/>
        </w:rPr>
      </w:pPr>
      <w:r>
        <w:t>共有建筑面积示例4</w:t>
      </w:r>
    </w:p>
    <w:p>
      <w:pPr>
        <w:widowControl/>
        <w:numPr>
          <w:ilvl w:val="0"/>
          <w:numId w:val="90"/>
        </w:numPr>
        <w:adjustRightInd/>
        <w:spacing w:line="240" w:lineRule="auto"/>
        <w:rPr>
          <w:rFonts w:hint="eastAsia" w:ascii="宋体" w:hAnsi="宋体" w:cs="宋体"/>
          <w:kern w:val="0"/>
        </w:rPr>
      </w:pPr>
      <w:r>
        <w:rPr>
          <w:rFonts w:ascii="宋体" w:hAnsi="宋体" w:cs="宋体"/>
          <w:kern w:val="0"/>
        </w:rPr>
        <w:t>原设计为整体商场、车库等，实测后又分割成若</w:t>
      </w:r>
      <w:r>
        <w:rPr>
          <w:rFonts w:ascii="宋体" w:hAnsi="宋体" w:cs="宋体"/>
          <w:color w:val="000000"/>
          <w:kern w:val="0"/>
        </w:rPr>
        <w:t>干基本单元的，按下列方式处理：</w:t>
      </w:r>
    </w:p>
    <w:p>
      <w:pPr>
        <w:widowControl/>
        <w:numPr>
          <w:ilvl w:val="1"/>
          <w:numId w:val="90"/>
        </w:numPr>
        <w:adjustRightInd/>
        <w:spacing w:line="240" w:lineRule="auto"/>
        <w:rPr>
          <w:rFonts w:hint="eastAsia" w:ascii="宋体" w:hAnsi="宋体" w:cs="宋体"/>
          <w:kern w:val="0"/>
        </w:rPr>
      </w:pPr>
      <w:r>
        <w:rPr>
          <w:rFonts w:ascii="宋体" w:hAnsi="宋体" w:cs="宋体"/>
          <w:kern w:val="0"/>
        </w:rPr>
        <w:t>对整幢其他功能区面积无影响的，在本功能区内重新进行分摊计算；</w:t>
      </w:r>
    </w:p>
    <w:p>
      <w:pPr>
        <w:widowControl/>
        <w:numPr>
          <w:ilvl w:val="1"/>
          <w:numId w:val="90"/>
        </w:numPr>
        <w:adjustRightInd/>
        <w:spacing w:line="240" w:lineRule="auto"/>
        <w:rPr>
          <w:rFonts w:hint="eastAsia" w:ascii="宋体" w:hAnsi="宋体" w:cs="宋体"/>
          <w:kern w:val="0"/>
        </w:rPr>
      </w:pPr>
      <w:r>
        <w:rPr>
          <w:rFonts w:ascii="宋体" w:hAnsi="宋体" w:cs="宋体"/>
          <w:kern w:val="0"/>
        </w:rPr>
        <w:t>对整幢其他功能区面积有影响的，应对整幢面积重新计算。</w:t>
      </w:r>
    </w:p>
    <w:p>
      <w:pPr>
        <w:widowControl/>
        <w:numPr>
          <w:ilvl w:val="0"/>
          <w:numId w:val="90"/>
        </w:numPr>
        <w:adjustRightInd/>
        <w:spacing w:line="240" w:lineRule="auto"/>
        <w:rPr>
          <w:rFonts w:hint="eastAsia" w:ascii="宋体" w:hAnsi="宋体" w:cs="宋体"/>
          <w:kern w:val="0"/>
        </w:rPr>
      </w:pPr>
      <w:r>
        <w:rPr>
          <w:rFonts w:ascii="宋体" w:hAnsi="宋体" w:cs="宋体"/>
          <w:kern w:val="0"/>
        </w:rPr>
        <w:t>一幢房屋内，塔楼之间的连廊、架空通廊作为共有面积按相关的建筑面积比例分摊。</w:t>
      </w:r>
      <w:r>
        <w:rPr>
          <w:rFonts w:ascii="宋体" w:hAnsi="宋体" w:cs="宋体"/>
          <w:color w:val="000000"/>
          <w:kern w:val="0"/>
        </w:rPr>
        <w:t>多幢房屋之间</w:t>
      </w:r>
      <w:r>
        <w:rPr>
          <w:rFonts w:ascii="宋体" w:hAnsi="宋体" w:cs="宋体"/>
          <w:kern w:val="0"/>
        </w:rPr>
        <w:t>的连廊、架空通廊建筑面积列为不被分摊共有面积；</w:t>
      </w:r>
    </w:p>
    <w:p>
      <w:pPr>
        <w:widowControl/>
        <w:numPr>
          <w:ilvl w:val="0"/>
          <w:numId w:val="90"/>
        </w:numPr>
        <w:adjustRightInd/>
        <w:spacing w:line="240" w:lineRule="auto"/>
        <w:rPr>
          <w:rFonts w:hint="eastAsia" w:ascii="宋体" w:hAnsi="宋体" w:cs="宋体"/>
          <w:kern w:val="0"/>
        </w:rPr>
      </w:pPr>
      <w:r>
        <w:rPr>
          <w:rFonts w:ascii="宋体" w:hAnsi="宋体" w:cs="宋体"/>
          <w:kern w:val="0"/>
        </w:rPr>
        <w:t>整层为避难层、设备（结构）转换层的，该层作为独立功能区，其范围内垂直通道、水平通道的建筑面积，均计入该层。</w:t>
      </w:r>
    </w:p>
    <w:p>
      <w:pPr>
        <w:pStyle w:val="106"/>
        <w:spacing w:before="312" w:after="312"/>
      </w:pPr>
      <w:bookmarkStart w:id="349" w:name="_Toc406061458"/>
      <w:bookmarkEnd w:id="349"/>
      <w:bookmarkStart w:id="350" w:name="_Toc404085598"/>
      <w:bookmarkEnd w:id="350"/>
      <w:bookmarkStart w:id="351" w:name="_Toc405534893"/>
      <w:bookmarkStart w:id="352" w:name="_Toc237015182"/>
      <w:bookmarkStart w:id="353" w:name="_Toc237470914"/>
      <w:r>
        <w:t>房产变更测绘</w:t>
      </w:r>
      <w:bookmarkEnd w:id="351"/>
      <w:bookmarkEnd w:id="352"/>
      <w:bookmarkEnd w:id="353"/>
    </w:p>
    <w:p>
      <w:pPr>
        <w:pStyle w:val="107"/>
        <w:spacing w:before="156" w:after="156"/>
      </w:pPr>
      <w:bookmarkStart w:id="354" w:name="_Toc405534894"/>
      <w:bookmarkEnd w:id="354"/>
      <w:bookmarkStart w:id="355" w:name="_Toc392665377"/>
      <w:bookmarkEnd w:id="355"/>
      <w:bookmarkStart w:id="356" w:name="_Toc404004883"/>
      <w:bookmarkEnd w:id="356"/>
      <w:bookmarkStart w:id="357" w:name="_Toc404085599"/>
      <w:bookmarkEnd w:id="357"/>
      <w:bookmarkStart w:id="358" w:name="_Toc237015183"/>
      <w:bookmarkStart w:id="359" w:name="_Toc237470915"/>
      <w:r>
        <w:t>变更测绘的内容</w:t>
      </w:r>
      <w:bookmarkEnd w:id="358"/>
      <w:bookmarkEnd w:id="359"/>
    </w:p>
    <w:p>
      <w:pPr>
        <w:pStyle w:val="67"/>
        <w:spacing w:before="156" w:after="156"/>
      </w:pPr>
      <w:r>
        <w:t>现状变更测绘内容</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现状变更测绘内容包括以下方面：</w:t>
      </w:r>
    </w:p>
    <w:p>
      <w:pPr>
        <w:pStyle w:val="176"/>
        <w:numPr>
          <w:ilvl w:val="0"/>
          <w:numId w:val="91"/>
        </w:numPr>
      </w:pPr>
      <w:r>
        <w:t>房屋的新建、改建、扩建，房屋建筑及结构、层数发生的变化；</w:t>
      </w:r>
    </w:p>
    <w:p>
      <w:pPr>
        <w:pStyle w:val="176"/>
      </w:pPr>
      <w:r>
        <w:t>房屋的损坏与灭失，包括全部拆除或部分拆除，自然倒塌或烧毁；</w:t>
      </w:r>
    </w:p>
    <w:p>
      <w:pPr>
        <w:pStyle w:val="176"/>
      </w:pPr>
      <w:r>
        <w:t>围墙、栅栏、篱笆、铁丝网等围护物和房屋附属设施的变化；</w:t>
      </w:r>
    </w:p>
    <w:p>
      <w:pPr>
        <w:pStyle w:val="176"/>
      </w:pPr>
      <w:r>
        <w:t>道路、广场、河流的拓宽、改造，河流、湖泊、沟渠、水塘等边界的变化；</w:t>
      </w:r>
    </w:p>
    <w:p>
      <w:pPr>
        <w:pStyle w:val="176"/>
      </w:pPr>
      <w:r>
        <w:t>房屋坐落（地名、门牌号）的更改；</w:t>
      </w:r>
    </w:p>
    <w:p>
      <w:pPr>
        <w:pStyle w:val="176"/>
      </w:pPr>
      <w:r>
        <w:t>房屋及其用地分类面积增减变化。</w:t>
      </w:r>
    </w:p>
    <w:p>
      <w:pPr>
        <w:pStyle w:val="67"/>
        <w:spacing w:before="156" w:after="156"/>
      </w:pPr>
      <w:r>
        <w:t>权属变更测绘的内容</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权属变更测绘的内容包括以下方面：</w:t>
      </w:r>
    </w:p>
    <w:p>
      <w:pPr>
        <w:pStyle w:val="176"/>
        <w:numPr>
          <w:ilvl w:val="0"/>
          <w:numId w:val="92"/>
        </w:numPr>
      </w:pPr>
      <w:r>
        <w:t>产权初始登记后发生房屋的买卖、交换、继承、分析（分割）、兼并、入股、赠与等房产交易活动引起产权转移或变更，需要变更测绘的；</w:t>
      </w:r>
    </w:p>
    <w:p>
      <w:pPr>
        <w:pStyle w:val="176"/>
      </w:pPr>
      <w:r>
        <w:t>房屋用地界限、界址点的变化，包括房屋因合并、分析、自然坍塌引起房屋占地面积范围的调整；</w:t>
      </w:r>
    </w:p>
    <w:p>
      <w:pPr>
        <w:pStyle w:val="176"/>
      </w:pPr>
      <w:r>
        <w:t>征（划拨）地、出让或转让土地而引起土地权属界线的变化；</w:t>
      </w:r>
    </w:p>
    <w:p>
      <w:pPr>
        <w:pStyle w:val="176"/>
      </w:pPr>
      <w:r>
        <w:t>他项权利范围的变化和注销。</w:t>
      </w:r>
    </w:p>
    <w:p>
      <w:pPr>
        <w:pStyle w:val="107"/>
        <w:spacing w:before="156" w:after="156"/>
      </w:pPr>
      <w:bookmarkStart w:id="360" w:name="_Toc406061460"/>
      <w:bookmarkEnd w:id="360"/>
      <w:bookmarkStart w:id="361" w:name="_Toc404085600"/>
      <w:bookmarkEnd w:id="361"/>
      <w:bookmarkStart w:id="362" w:name="_Toc404004884"/>
      <w:bookmarkEnd w:id="362"/>
      <w:bookmarkStart w:id="363" w:name="_Toc392665378"/>
      <w:bookmarkEnd w:id="363"/>
      <w:bookmarkStart w:id="364" w:name="_Toc405534895"/>
      <w:bookmarkStart w:id="365" w:name="_Toc237015184"/>
      <w:bookmarkStart w:id="366" w:name="_Toc237470916"/>
      <w:r>
        <w:t>变更测绘的程序</w:t>
      </w:r>
      <w:bookmarkEnd w:id="364"/>
      <w:bookmarkEnd w:id="365"/>
      <w:bookmarkEnd w:id="366"/>
    </w:p>
    <w:p>
      <w:pPr>
        <w:widowControl/>
        <w:tabs>
          <w:tab w:val="center" w:pos="4201"/>
          <w:tab w:val="right" w:leader="dot" w:pos="9298"/>
        </w:tabs>
        <w:autoSpaceDE w:val="0"/>
        <w:autoSpaceDN w:val="0"/>
        <w:adjustRightInd/>
        <w:spacing w:line="240" w:lineRule="auto"/>
        <w:ind w:firstLine="420" w:firstLineChars="200"/>
        <w:rPr>
          <w:rFonts w:hint="eastAsia" w:ascii="宋体" w:hAnsi="宋体" w:cs="宋体"/>
          <w:kern w:val="0"/>
        </w:rPr>
      </w:pPr>
      <w:r>
        <w:rPr>
          <w:rFonts w:ascii="宋体" w:hAnsi="宋体" w:cs="宋体"/>
          <w:kern w:val="0"/>
        </w:rPr>
        <w:t>根据房产变更资料，先进行房地产要素调查，包括现状、权属和界址变更调查，再进行分户权界和面积的测定，调整有关的房产编码，最后进行房产图、房产面积数据等资料的修正并整理归档。</w:t>
      </w:r>
    </w:p>
    <w:p>
      <w:pPr>
        <w:pStyle w:val="107"/>
        <w:spacing w:before="156" w:after="156"/>
      </w:pPr>
      <w:bookmarkStart w:id="367" w:name="_Toc404004885"/>
      <w:bookmarkEnd w:id="367"/>
      <w:bookmarkStart w:id="368" w:name="_Toc406061461"/>
      <w:bookmarkEnd w:id="368"/>
      <w:bookmarkStart w:id="369" w:name="_Toc392665379"/>
      <w:bookmarkEnd w:id="369"/>
      <w:bookmarkStart w:id="370" w:name="_Toc405534896"/>
      <w:bookmarkEnd w:id="370"/>
      <w:bookmarkStart w:id="371" w:name="_Toc404085601"/>
      <w:bookmarkStart w:id="372" w:name="_Toc237015185"/>
      <w:bookmarkStart w:id="373" w:name="_Toc237470917"/>
      <w:r>
        <w:t>变更测绘的方法</w:t>
      </w:r>
      <w:bookmarkEnd w:id="371"/>
      <w:bookmarkEnd w:id="372"/>
      <w:bookmarkEnd w:id="373"/>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变更测绘方法如下：</w:t>
      </w:r>
    </w:p>
    <w:p>
      <w:pPr>
        <w:widowControl/>
        <w:numPr>
          <w:ilvl w:val="0"/>
          <w:numId w:val="93"/>
        </w:numPr>
        <w:adjustRightInd/>
        <w:spacing w:line="240" w:lineRule="auto"/>
        <w:ind w:left="840" w:hanging="420"/>
        <w:rPr>
          <w:rFonts w:hint="eastAsia" w:ascii="宋体" w:hAnsi="宋体" w:cs="宋体"/>
          <w:kern w:val="0"/>
        </w:rPr>
      </w:pPr>
      <w:r>
        <w:rPr>
          <w:rFonts w:ascii="宋体" w:hAnsi="宋体" w:cs="宋体"/>
          <w:kern w:val="0"/>
        </w:rPr>
        <w:t>根据现有资料、变更范围及变更调查情况，选择适宜的变更测绘方法；</w:t>
      </w:r>
    </w:p>
    <w:p>
      <w:pPr>
        <w:widowControl/>
        <w:numPr>
          <w:ilvl w:val="0"/>
          <w:numId w:val="93"/>
        </w:numPr>
        <w:adjustRightInd/>
        <w:spacing w:line="240" w:lineRule="auto"/>
        <w:ind w:left="840" w:hanging="420"/>
        <w:rPr>
          <w:rFonts w:hint="eastAsia" w:ascii="宋体" w:hAnsi="宋体" w:cs="宋体"/>
          <w:kern w:val="0"/>
        </w:rPr>
      </w:pPr>
      <w:r>
        <w:rPr>
          <w:rFonts w:ascii="宋体" w:hAnsi="宋体" w:cs="宋体"/>
          <w:kern w:val="0"/>
        </w:rPr>
        <w:t>房地产的合并和分割，应根据变更登记文件，在当事人或利害关系人到现场指界下，实地测定变更后的房地产界址和面积。</w:t>
      </w:r>
    </w:p>
    <w:p>
      <w:pPr>
        <w:pStyle w:val="107"/>
        <w:spacing w:before="156" w:after="156"/>
      </w:pPr>
      <w:bookmarkStart w:id="374" w:name="_Toc405534897"/>
      <w:bookmarkEnd w:id="374"/>
      <w:bookmarkStart w:id="375" w:name="_Toc392665380"/>
      <w:bookmarkEnd w:id="375"/>
      <w:bookmarkStart w:id="376" w:name="_Toc406061462"/>
      <w:bookmarkEnd w:id="376"/>
      <w:bookmarkStart w:id="377" w:name="_Toc404004886"/>
      <w:bookmarkEnd w:id="377"/>
      <w:bookmarkStart w:id="378" w:name="_Toc404085602"/>
      <w:bookmarkStart w:id="379" w:name="_Toc237015186"/>
      <w:bookmarkStart w:id="380" w:name="_Toc237470918"/>
      <w:r>
        <w:t>变更测绘的要求</w:t>
      </w:r>
      <w:bookmarkEnd w:id="378"/>
      <w:bookmarkEnd w:id="379"/>
      <w:bookmarkEnd w:id="380"/>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变更测绘要求包括以下方面：</w:t>
      </w:r>
    </w:p>
    <w:p>
      <w:pPr>
        <w:widowControl/>
        <w:numPr>
          <w:ilvl w:val="0"/>
          <w:numId w:val="94"/>
        </w:numPr>
        <w:adjustRightInd/>
        <w:spacing w:line="240" w:lineRule="auto"/>
        <w:rPr>
          <w:rFonts w:hint="eastAsia" w:ascii="宋体" w:hAnsi="宋体" w:cs="宋体"/>
          <w:kern w:val="0"/>
        </w:rPr>
      </w:pPr>
      <w:r>
        <w:rPr>
          <w:rFonts w:ascii="宋体" w:hAnsi="宋体" w:cs="宋体"/>
          <w:kern w:val="0"/>
        </w:rPr>
        <w:t>现有的平面控制点、界址点、房角点经检查无误后，可作为变更测绘的基准点；</w:t>
      </w:r>
    </w:p>
    <w:p>
      <w:pPr>
        <w:widowControl/>
        <w:numPr>
          <w:ilvl w:val="0"/>
          <w:numId w:val="94"/>
        </w:numPr>
        <w:adjustRightInd/>
        <w:spacing w:line="240" w:lineRule="auto"/>
        <w:rPr>
          <w:rFonts w:hint="eastAsia" w:ascii="宋体" w:hAnsi="宋体" w:cs="宋体"/>
          <w:kern w:val="0"/>
        </w:rPr>
      </w:pPr>
      <w:r>
        <w:rPr>
          <w:rFonts w:ascii="宋体" w:hAnsi="宋体" w:cs="宋体"/>
          <w:kern w:val="0"/>
        </w:rPr>
        <w:t>变更测绘的精度应满足相应类别初始测绘的精度要求；</w:t>
      </w:r>
    </w:p>
    <w:p>
      <w:pPr>
        <w:widowControl/>
        <w:numPr>
          <w:ilvl w:val="0"/>
          <w:numId w:val="94"/>
        </w:numPr>
        <w:adjustRightInd/>
        <w:spacing w:line="240" w:lineRule="auto"/>
        <w:rPr>
          <w:rFonts w:hint="eastAsia" w:ascii="宋体" w:hAnsi="宋体" w:cs="宋体"/>
          <w:kern w:val="0"/>
        </w:rPr>
      </w:pPr>
      <w:r>
        <w:rPr>
          <w:rFonts w:ascii="宋体" w:hAnsi="宋体" w:cs="宋体"/>
          <w:kern w:val="0"/>
        </w:rPr>
        <w:t>丘号、界址点号、幢号、户号的调整。丘号、丘支号、界址点号、幢号、户号等变更时不能与原号重复；</w:t>
      </w:r>
    </w:p>
    <w:p>
      <w:pPr>
        <w:widowControl/>
        <w:numPr>
          <w:ilvl w:val="1"/>
          <w:numId w:val="94"/>
        </w:numPr>
        <w:adjustRightInd/>
        <w:spacing w:line="240" w:lineRule="auto"/>
        <w:rPr>
          <w:rFonts w:hint="eastAsia" w:ascii="宋体" w:hAnsi="宋体" w:cs="宋体"/>
          <w:kern w:val="0"/>
        </w:rPr>
      </w:pPr>
      <w:r>
        <w:rPr>
          <w:rFonts w:ascii="宋体" w:hAnsi="宋体" w:cs="宋体"/>
          <w:kern w:val="0"/>
        </w:rPr>
        <w:t>丘合并时，须重新编立丘号，新增丘号沿房产分区或房地产分幅平面图内最大丘号续编；原有丘拆分，分别设丘支号；</w:t>
      </w:r>
    </w:p>
    <w:p>
      <w:pPr>
        <w:widowControl/>
        <w:numPr>
          <w:ilvl w:val="1"/>
          <w:numId w:val="94"/>
        </w:numPr>
        <w:adjustRightInd/>
        <w:spacing w:line="240" w:lineRule="auto"/>
        <w:rPr>
          <w:rFonts w:hint="eastAsia" w:ascii="宋体" w:hAnsi="宋体" w:cs="宋体"/>
          <w:kern w:val="0"/>
        </w:rPr>
      </w:pPr>
      <w:r>
        <w:rPr>
          <w:rFonts w:ascii="宋体" w:hAnsi="宋体" w:cs="宋体"/>
          <w:kern w:val="0"/>
        </w:rPr>
        <w:t>用地合并，四周外围界址点维持原点号；用地分割或扩大，新增界址点沿丘内最大界址点续编；</w:t>
      </w:r>
    </w:p>
    <w:p>
      <w:pPr>
        <w:widowControl/>
        <w:numPr>
          <w:ilvl w:val="1"/>
          <w:numId w:val="94"/>
        </w:numPr>
        <w:adjustRightInd/>
        <w:spacing w:line="240" w:lineRule="auto"/>
        <w:rPr>
          <w:rFonts w:hint="eastAsia" w:ascii="宋体" w:hAnsi="宋体" w:cs="宋体"/>
          <w:kern w:val="0"/>
        </w:rPr>
      </w:pPr>
      <w:r>
        <w:rPr>
          <w:rFonts w:ascii="宋体" w:hAnsi="宋体" w:cs="宋体"/>
          <w:kern w:val="0"/>
        </w:rPr>
        <w:t>用地单元中房屋被部分拆除或扩建，仍保留原幢号；新建和改建房屋沿丘内最大编号续编；房屋灭失，注销原有幢号；</w:t>
      </w:r>
    </w:p>
    <w:p>
      <w:pPr>
        <w:widowControl/>
        <w:numPr>
          <w:ilvl w:val="1"/>
          <w:numId w:val="94"/>
        </w:numPr>
        <w:adjustRightInd/>
        <w:spacing w:line="240" w:lineRule="auto"/>
        <w:rPr>
          <w:rFonts w:hint="eastAsia" w:ascii="宋体" w:hAnsi="宋体" w:cs="宋体"/>
          <w:kern w:val="0"/>
        </w:rPr>
      </w:pPr>
      <w:r>
        <w:rPr>
          <w:rFonts w:ascii="宋体" w:hAnsi="宋体" w:cs="宋体"/>
          <w:kern w:val="0"/>
        </w:rPr>
        <w:t>房屋合并、分割，原有户号不再沿用，新编户号在原有层或单元最大户号后续编。</w:t>
      </w:r>
    </w:p>
    <w:p>
      <w:pPr>
        <w:widowControl/>
        <w:numPr>
          <w:ilvl w:val="0"/>
          <w:numId w:val="94"/>
        </w:numPr>
        <w:adjustRightInd/>
        <w:spacing w:line="240" w:lineRule="auto"/>
        <w:rPr>
          <w:rFonts w:hint="eastAsia" w:ascii="宋体" w:hAnsi="宋体" w:cs="宋体"/>
          <w:kern w:val="0"/>
        </w:rPr>
      </w:pPr>
      <w:r>
        <w:rPr>
          <w:rFonts w:ascii="宋体" w:hAnsi="宋体" w:cs="宋体"/>
          <w:kern w:val="0"/>
        </w:rPr>
        <w:t>已用于登记确权的房产测绘成果不得随意更改，权属变更测绘应以合法的变更文件及相关资料为依据进行；已登记确权的房屋，变更测算时，必须由变更涉及的所有相关权利人共同申请；变更部位涉及共有共用建筑面积的，必须由相关权利人形成书面分摊协议，未变更部位原测算成果不得改变；</w:t>
      </w:r>
    </w:p>
    <w:p>
      <w:pPr>
        <w:widowControl/>
        <w:numPr>
          <w:ilvl w:val="0"/>
          <w:numId w:val="94"/>
        </w:numPr>
        <w:adjustRightInd/>
        <w:spacing w:line="240" w:lineRule="auto"/>
        <w:rPr>
          <w:rFonts w:hint="eastAsia" w:ascii="宋体" w:hAnsi="宋体" w:cs="宋体"/>
          <w:kern w:val="0"/>
        </w:rPr>
      </w:pPr>
      <w:r>
        <w:rPr>
          <w:rFonts w:ascii="宋体" w:hAnsi="宋体" w:cs="宋体"/>
          <w:kern w:val="0"/>
        </w:rPr>
        <w:t>变更测绘后，应对原有房产测绘成果(图、卡、册、薄及数据库)进行变更与处理。权属变更测绘成果应纳入房屋权属与登记档案。</w:t>
      </w:r>
    </w:p>
    <w:p>
      <w:pPr>
        <w:pStyle w:val="106"/>
        <w:spacing w:before="312" w:after="312"/>
      </w:pPr>
      <w:bookmarkStart w:id="381" w:name="_Toc237015187"/>
      <w:bookmarkStart w:id="382" w:name="_Toc237470919"/>
      <w:bookmarkStart w:id="383" w:name="_Toc404085603"/>
      <w:r>
        <w:t>成果资料的检查、验收和归档</w:t>
      </w:r>
      <w:bookmarkEnd w:id="381"/>
      <w:bookmarkEnd w:id="382"/>
      <w:bookmarkEnd w:id="383"/>
    </w:p>
    <w:p>
      <w:pPr>
        <w:pStyle w:val="107"/>
        <w:spacing w:before="156" w:after="156"/>
      </w:pPr>
      <w:bookmarkStart w:id="384" w:name="_Toc404085604"/>
      <w:bookmarkEnd w:id="384"/>
      <w:bookmarkStart w:id="385" w:name="_Toc392665382"/>
      <w:bookmarkEnd w:id="385"/>
      <w:bookmarkStart w:id="386" w:name="_Toc404004888"/>
      <w:bookmarkEnd w:id="386"/>
      <w:bookmarkStart w:id="387" w:name="_Toc405534899"/>
      <w:bookmarkEnd w:id="387"/>
      <w:bookmarkStart w:id="388" w:name="_Toc406061464"/>
      <w:bookmarkStart w:id="389" w:name="_Toc237015188"/>
      <w:bookmarkStart w:id="390" w:name="_Toc237470920"/>
      <w:r>
        <w:t>检查验收一般规定</w:t>
      </w:r>
      <w:bookmarkEnd w:id="388"/>
      <w:bookmarkEnd w:id="389"/>
      <w:bookmarkEnd w:id="390"/>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检查验收应满足以下要求：</w:t>
      </w:r>
    </w:p>
    <w:p>
      <w:pPr>
        <w:widowControl/>
        <w:numPr>
          <w:ilvl w:val="0"/>
          <w:numId w:val="95"/>
        </w:numPr>
        <w:adjustRightInd/>
        <w:spacing w:line="240" w:lineRule="auto"/>
        <w:ind w:left="840" w:hanging="420"/>
        <w:rPr>
          <w:rFonts w:hint="eastAsia" w:ascii="宋体" w:hAnsi="宋体" w:cs="宋体"/>
          <w:kern w:val="0"/>
        </w:rPr>
      </w:pPr>
      <w:r>
        <w:rPr>
          <w:rFonts w:ascii="宋体" w:hAnsi="宋体" w:cs="宋体"/>
          <w:kern w:val="0"/>
        </w:rPr>
        <w:t>房产测绘成果质量通过“两级检查，一级验收”方式进行控制：</w:t>
      </w:r>
    </w:p>
    <w:p>
      <w:pPr>
        <w:widowControl/>
        <w:numPr>
          <w:ilvl w:val="1"/>
          <w:numId w:val="95"/>
        </w:numPr>
        <w:adjustRightInd/>
        <w:spacing w:before="100" w:beforeAutospacing="1" w:after="100" w:afterAutospacing="1" w:line="240" w:lineRule="auto"/>
        <w:rPr>
          <w:rFonts w:hint="eastAsia" w:ascii="宋体" w:hAnsi="宋体" w:cs="宋体"/>
          <w:kern w:val="0"/>
        </w:rPr>
      </w:pPr>
      <w:r>
        <w:rPr>
          <w:rFonts w:ascii="宋体" w:hAnsi="宋体" w:cs="宋体"/>
          <w:kern w:val="0"/>
        </w:rPr>
        <w:t>一级检查为测绘单位作业部门的过程检查，在全面自检、互查的基础上，由专职或兼职检查人员采用全数检查；两级检查为测绘单位的最终检查，一般由施测单位的质量管理机构和专职检查人员在一级检查的基础上采用全数检查，涉及野外检查项的可采用不低于总量的10%进行抽样检查</w:t>
      </w:r>
      <w:r>
        <w:rPr>
          <w:rFonts w:hint="eastAsia" w:ascii="宋体" w:hAnsi="宋体" w:cs="宋体"/>
          <w:kern w:val="0"/>
        </w:rPr>
        <w:t>；</w:t>
      </w:r>
    </w:p>
    <w:p>
      <w:pPr>
        <w:widowControl/>
        <w:numPr>
          <w:ilvl w:val="1"/>
          <w:numId w:val="95"/>
        </w:numPr>
        <w:adjustRightInd/>
        <w:spacing w:before="100" w:beforeAutospacing="1" w:after="100" w:afterAutospacing="1" w:line="240" w:lineRule="auto"/>
        <w:rPr>
          <w:rFonts w:hint="eastAsia" w:ascii="宋体" w:hAnsi="宋体" w:cs="宋体"/>
          <w:kern w:val="0"/>
        </w:rPr>
      </w:pPr>
      <w:r>
        <w:rPr>
          <w:rFonts w:ascii="宋体" w:hAnsi="宋体" w:cs="宋体"/>
          <w:kern w:val="0"/>
        </w:rPr>
        <w:t>验收一般采用抽样检查，由生产任务的委托单位组织实施，或由该单位委托专职检验机构验收。样本数量的确定按 GB/T 24356-2023中5.2条执行；</w:t>
      </w:r>
    </w:p>
    <w:p>
      <w:pPr>
        <w:widowControl/>
        <w:numPr>
          <w:ilvl w:val="0"/>
          <w:numId w:val="95"/>
        </w:numPr>
        <w:adjustRightInd/>
        <w:spacing w:line="240" w:lineRule="auto"/>
        <w:ind w:left="840" w:hanging="420"/>
        <w:rPr>
          <w:rFonts w:hint="eastAsia" w:ascii="宋体" w:hAnsi="宋体" w:cs="宋体"/>
          <w:kern w:val="0"/>
        </w:rPr>
      </w:pPr>
      <w:r>
        <w:rPr>
          <w:rFonts w:ascii="宋体" w:hAnsi="宋体" w:cs="宋体"/>
          <w:kern w:val="0"/>
        </w:rPr>
        <w:t>各级检查验收工作应独立、按顺序进行，不得省略、代替或颠倒顺序；</w:t>
      </w:r>
    </w:p>
    <w:p>
      <w:pPr>
        <w:widowControl/>
        <w:numPr>
          <w:ilvl w:val="0"/>
          <w:numId w:val="95"/>
        </w:numPr>
        <w:adjustRightInd/>
        <w:spacing w:line="240" w:lineRule="auto"/>
        <w:ind w:left="840" w:hanging="420"/>
        <w:rPr>
          <w:rFonts w:hint="eastAsia" w:ascii="宋体" w:hAnsi="宋体" w:cs="宋体"/>
          <w:kern w:val="0"/>
        </w:rPr>
      </w:pPr>
      <w:r>
        <w:rPr>
          <w:rFonts w:ascii="宋体" w:hAnsi="宋体" w:cs="宋体"/>
          <w:kern w:val="0"/>
        </w:rPr>
        <w:t>最终检查应审核过程检查记录，验收应审核最终检查记录。审核中发现的问题，应做好记录并提出处理意见，交测绘机构进行改正，同时也作为资料质量评定的依据。最终检查、验收工作完成后，应编写检查、验收报告；</w:t>
      </w:r>
    </w:p>
    <w:p>
      <w:pPr>
        <w:widowControl/>
        <w:numPr>
          <w:ilvl w:val="0"/>
          <w:numId w:val="95"/>
        </w:numPr>
        <w:adjustRightInd/>
        <w:spacing w:line="240" w:lineRule="auto"/>
        <w:ind w:left="840" w:hanging="420"/>
        <w:rPr>
          <w:rFonts w:hint="eastAsia" w:ascii="宋体" w:hAnsi="宋体" w:cs="宋体"/>
          <w:kern w:val="0"/>
        </w:rPr>
      </w:pPr>
      <w:r>
        <w:rPr>
          <w:rFonts w:ascii="宋体" w:hAnsi="宋体" w:cs="宋体"/>
          <w:kern w:val="0"/>
        </w:rPr>
        <w:t>经最终检查、验收合格后的房产测绘成果资料方可提交委托方，并应及时整理归档、入库；</w:t>
      </w:r>
    </w:p>
    <w:p>
      <w:pPr>
        <w:widowControl/>
        <w:numPr>
          <w:ilvl w:val="0"/>
          <w:numId w:val="95"/>
        </w:numPr>
        <w:adjustRightInd/>
        <w:spacing w:line="240" w:lineRule="auto"/>
        <w:ind w:left="840" w:hanging="420"/>
        <w:rPr>
          <w:rFonts w:hint="eastAsia" w:ascii="宋体" w:hAnsi="宋体" w:cs="宋体"/>
          <w:kern w:val="0"/>
        </w:rPr>
      </w:pPr>
      <w:r>
        <w:rPr>
          <w:rFonts w:ascii="宋体" w:hAnsi="宋体" w:cs="宋体"/>
          <w:kern w:val="0"/>
        </w:rPr>
        <w:t>用于房屋权属管理和登记的房产测绘成果，县、市房地产行政主管部门应对测绘成果的适用性、界址点准确性、面积测算依据与方法等内容进行审核，经审核合格的成果资料，作为房屋权属管理和登记的依据。</w:t>
      </w:r>
    </w:p>
    <w:p>
      <w:pPr>
        <w:pStyle w:val="107"/>
        <w:spacing w:before="156" w:after="156"/>
      </w:pPr>
      <w:bookmarkStart w:id="391" w:name="_Toc392665383"/>
      <w:bookmarkEnd w:id="391"/>
      <w:bookmarkStart w:id="392" w:name="_Toc405534900"/>
      <w:bookmarkEnd w:id="392"/>
      <w:bookmarkStart w:id="393" w:name="_Toc406061465"/>
      <w:bookmarkEnd w:id="393"/>
      <w:bookmarkStart w:id="394" w:name="_Toc404004889"/>
      <w:bookmarkEnd w:id="394"/>
      <w:bookmarkStart w:id="395" w:name="_Toc237015189"/>
      <w:bookmarkStart w:id="396" w:name="_Toc237470921"/>
      <w:r>
        <w:t>平面控制测量检查验收</w:t>
      </w:r>
      <w:bookmarkEnd w:id="395"/>
      <w:bookmarkEnd w:id="396"/>
    </w:p>
    <w:p>
      <w:pPr>
        <w:widowControl/>
        <w:adjustRightInd/>
        <w:spacing w:line="240" w:lineRule="auto"/>
        <w:ind w:firstLine="420"/>
        <w:rPr>
          <w:rFonts w:hint="eastAsia" w:ascii="宋体" w:hAnsi="宋体" w:cs="宋体"/>
          <w:kern w:val="0"/>
        </w:rPr>
      </w:pPr>
      <w:r>
        <w:rPr>
          <w:rFonts w:ascii="宋体" w:hAnsi="宋体" w:cs="宋体"/>
          <w:kern w:val="0"/>
        </w:rPr>
        <w:t>平面控制测量成果应从数学精度、观测质量、计算质量、选点质量、埋石质量、整饰质量、资料完整性等方面进行检查验收。</w:t>
      </w:r>
    </w:p>
    <w:p>
      <w:pPr>
        <w:pStyle w:val="107"/>
        <w:spacing w:before="156" w:after="156"/>
      </w:pPr>
      <w:bookmarkStart w:id="397" w:name="_Toc237470922"/>
      <w:bookmarkStart w:id="398" w:name="_Toc237015190"/>
      <w:r>
        <w:t>房产要素测量检查验收</w:t>
      </w:r>
      <w:bookmarkEnd w:id="397"/>
      <w:bookmarkEnd w:id="398"/>
    </w:p>
    <w:p>
      <w:pPr>
        <w:widowControl/>
        <w:adjustRightInd/>
        <w:spacing w:line="240" w:lineRule="auto"/>
        <w:ind w:firstLine="420"/>
        <w:rPr>
          <w:rFonts w:hint="eastAsia" w:ascii="宋体" w:hAnsi="宋体" w:cs="宋体"/>
          <w:kern w:val="0"/>
        </w:rPr>
      </w:pPr>
      <w:r>
        <w:rPr>
          <w:rFonts w:ascii="宋体" w:hAnsi="宋体" w:cs="宋体"/>
          <w:kern w:val="0"/>
        </w:rPr>
        <w:t>房产要素测量成果应从界址点的观测质量、界址点的数学精度、房角点和地物点的观测质量、房角点和地物点的数学精度、整饰质量、资料完整性等方面进行检查验收。</w:t>
      </w:r>
    </w:p>
    <w:p>
      <w:pPr>
        <w:pStyle w:val="107"/>
        <w:spacing w:before="156" w:after="156"/>
      </w:pPr>
      <w:bookmarkStart w:id="399" w:name="_Toc237015191"/>
      <w:bookmarkStart w:id="400" w:name="_Toc237470923"/>
      <w:r>
        <w:t>房产分幅图检查验收</w:t>
      </w:r>
      <w:bookmarkEnd w:id="399"/>
      <w:bookmarkEnd w:id="400"/>
    </w:p>
    <w:p>
      <w:pPr>
        <w:widowControl/>
        <w:adjustRightInd/>
        <w:spacing w:line="240" w:lineRule="auto"/>
        <w:ind w:firstLine="420"/>
        <w:rPr>
          <w:rFonts w:hint="eastAsia" w:ascii="宋体" w:hAnsi="宋体" w:cs="宋体"/>
          <w:kern w:val="0"/>
        </w:rPr>
      </w:pPr>
      <w:r>
        <w:rPr>
          <w:rFonts w:ascii="宋体" w:hAnsi="宋体" w:cs="宋体"/>
          <w:kern w:val="0"/>
        </w:rPr>
        <w:t>房产分幅图应从数学基础、平面位置、要素质量、整饰质量、资料完整性等方面进行检查验收。</w:t>
      </w:r>
    </w:p>
    <w:p>
      <w:pPr>
        <w:pStyle w:val="107"/>
        <w:spacing w:before="156" w:after="156"/>
      </w:pPr>
      <w:bookmarkStart w:id="401" w:name="_Toc237015192"/>
      <w:bookmarkStart w:id="402" w:name="_Toc237470924"/>
      <w:r>
        <w:t>房产分丘图检查验收</w:t>
      </w:r>
      <w:bookmarkEnd w:id="401"/>
      <w:bookmarkEnd w:id="402"/>
    </w:p>
    <w:p>
      <w:pPr>
        <w:widowControl/>
        <w:adjustRightInd/>
        <w:spacing w:line="240" w:lineRule="auto"/>
        <w:ind w:firstLine="420"/>
        <w:rPr>
          <w:rFonts w:hint="eastAsia" w:ascii="宋体" w:hAnsi="宋体" w:cs="宋体"/>
          <w:kern w:val="0"/>
        </w:rPr>
      </w:pPr>
      <w:r>
        <w:rPr>
          <w:rFonts w:ascii="宋体" w:hAnsi="宋体" w:cs="宋体"/>
          <w:kern w:val="0"/>
        </w:rPr>
        <w:t>房产分丘图应从界址点的精度、平面位置、要素质量、整饰质量、资料完整性等方面进行检查验收。</w:t>
      </w:r>
    </w:p>
    <w:p>
      <w:pPr>
        <w:pStyle w:val="107"/>
        <w:spacing w:before="156" w:after="156"/>
      </w:pPr>
      <w:bookmarkStart w:id="403" w:name="_Toc237015193"/>
      <w:bookmarkStart w:id="404" w:name="_Toc237470925"/>
      <w:r>
        <w:t>房产分层、分户图及房屋面积测算检查验收</w:t>
      </w:r>
      <w:bookmarkEnd w:id="403"/>
      <w:bookmarkEnd w:id="404"/>
    </w:p>
    <w:p>
      <w:pPr>
        <w:widowControl/>
        <w:adjustRightInd/>
        <w:spacing w:line="240" w:lineRule="auto"/>
        <w:ind w:firstLine="420"/>
        <w:rPr>
          <w:rFonts w:hint="eastAsia" w:ascii="宋体" w:hAnsi="宋体" w:cs="宋体"/>
          <w:kern w:val="0"/>
        </w:rPr>
      </w:pPr>
      <w:r>
        <w:rPr>
          <w:rFonts w:ascii="宋体" w:hAnsi="宋体" w:cs="宋体"/>
          <w:kern w:val="0"/>
        </w:rPr>
        <w:t>房产分层、分户图及房屋面积测算应从数学精度、观测质量、计算质量、资料质量等方面进行检查验收。</w:t>
      </w:r>
    </w:p>
    <w:p>
      <w:pPr>
        <w:pStyle w:val="107"/>
        <w:spacing w:before="156" w:after="156"/>
      </w:pPr>
      <w:bookmarkStart w:id="405" w:name="_Toc237015194"/>
      <w:bookmarkStart w:id="406" w:name="_Toc237470926"/>
      <w:r>
        <w:t>房产簿册检查验收</w:t>
      </w:r>
      <w:bookmarkEnd w:id="405"/>
      <w:bookmarkEnd w:id="406"/>
    </w:p>
    <w:p>
      <w:pPr>
        <w:widowControl/>
        <w:adjustRightInd/>
        <w:spacing w:line="240" w:lineRule="auto"/>
        <w:ind w:firstLine="420"/>
        <w:rPr>
          <w:rFonts w:hint="eastAsia" w:ascii="宋体" w:hAnsi="宋体" w:cs="宋体"/>
          <w:kern w:val="0"/>
        </w:rPr>
      </w:pPr>
      <w:r>
        <w:rPr>
          <w:rFonts w:ascii="宋体" w:hAnsi="宋体" w:cs="宋体"/>
          <w:kern w:val="0"/>
        </w:rPr>
        <w:t>房产簿册应从房产要素调查、房产簿册、表等方面进行检查验收。</w:t>
      </w:r>
    </w:p>
    <w:p>
      <w:pPr>
        <w:pStyle w:val="107"/>
        <w:spacing w:before="156" w:after="156"/>
      </w:pPr>
      <w:bookmarkStart w:id="407" w:name="_Toc404004891"/>
      <w:bookmarkEnd w:id="407"/>
      <w:bookmarkStart w:id="408" w:name="_Toc406061467"/>
      <w:bookmarkEnd w:id="408"/>
      <w:bookmarkStart w:id="409" w:name="_Toc404085607"/>
      <w:bookmarkEnd w:id="409"/>
      <w:bookmarkStart w:id="410" w:name="_Toc392665384"/>
      <w:bookmarkEnd w:id="410"/>
      <w:bookmarkStart w:id="411" w:name="_Toc404004890"/>
      <w:bookmarkEnd w:id="411"/>
      <w:bookmarkStart w:id="412" w:name="_Toc404085606"/>
      <w:bookmarkEnd w:id="412"/>
      <w:bookmarkStart w:id="413" w:name="_Toc406061466"/>
      <w:bookmarkEnd w:id="413"/>
      <w:bookmarkStart w:id="414" w:name="_Toc392665385"/>
      <w:bookmarkEnd w:id="414"/>
      <w:bookmarkStart w:id="415" w:name="_Toc405534902"/>
      <w:bookmarkStart w:id="416" w:name="_Toc237015195"/>
      <w:bookmarkStart w:id="417" w:name="_Toc237470927"/>
      <w:r>
        <w:t>入库数据质量检查验收</w:t>
      </w:r>
      <w:bookmarkEnd w:id="415"/>
      <w:bookmarkEnd w:id="416"/>
      <w:bookmarkEnd w:id="417"/>
    </w:p>
    <w:p>
      <w:pPr>
        <w:widowControl/>
        <w:adjustRightInd/>
        <w:spacing w:line="240" w:lineRule="auto"/>
        <w:ind w:firstLine="420"/>
        <w:rPr>
          <w:rFonts w:hint="eastAsia" w:ascii="宋体" w:hAnsi="宋体" w:cs="宋体"/>
          <w:kern w:val="0"/>
        </w:rPr>
      </w:pPr>
      <w:r>
        <w:rPr>
          <w:rFonts w:ascii="宋体" w:hAnsi="宋体" w:cs="宋体"/>
          <w:kern w:val="0"/>
        </w:rPr>
        <w:t>入库数据质量应从空间参考系的正确性、数据要素的完整性、要素分层的正确性完整性、数据结构的正确性逻辑一致性、要素属性的正确性、属性接边的正确性逻辑一致性、文件名数据格式的正确性等方面进行检查验收。具体分类按 GB/T 24356-2023中7.6.2条执行。</w:t>
      </w:r>
    </w:p>
    <w:p>
      <w:pPr>
        <w:pStyle w:val="107"/>
        <w:spacing w:before="156" w:after="156"/>
      </w:pPr>
      <w:bookmarkStart w:id="418" w:name="_Toc404004892"/>
      <w:bookmarkEnd w:id="418"/>
      <w:bookmarkStart w:id="419" w:name="_Toc405534903"/>
      <w:bookmarkEnd w:id="419"/>
      <w:bookmarkStart w:id="420" w:name="_Toc404085608"/>
      <w:bookmarkEnd w:id="420"/>
      <w:bookmarkStart w:id="421" w:name="_Toc392665386"/>
      <w:bookmarkEnd w:id="421"/>
      <w:bookmarkStart w:id="422" w:name="_Toc406061468"/>
      <w:bookmarkStart w:id="423" w:name="_Toc237015196"/>
      <w:bookmarkStart w:id="424" w:name="_Toc237470928"/>
      <w:r>
        <w:t>资料质量检查验收</w:t>
      </w:r>
      <w:bookmarkEnd w:id="422"/>
      <w:bookmarkEnd w:id="423"/>
      <w:bookmarkEnd w:id="424"/>
    </w:p>
    <w:p>
      <w:pPr>
        <w:widowControl/>
        <w:adjustRightInd/>
        <w:spacing w:line="240" w:lineRule="auto"/>
        <w:ind w:firstLine="420"/>
        <w:rPr>
          <w:rFonts w:hint="eastAsia" w:ascii="宋体" w:hAnsi="宋体" w:cs="宋体"/>
          <w:kern w:val="0"/>
        </w:rPr>
      </w:pPr>
      <w:r>
        <w:rPr>
          <w:rFonts w:ascii="宋体" w:hAnsi="宋体" w:cs="宋体"/>
          <w:kern w:val="0"/>
        </w:rPr>
        <w:t>资料质量应从资料完整性、资料整饰质量等方面进行检查验收。具体分类按 GB/T 24356-2023中7.6.2条执行。</w:t>
      </w:r>
    </w:p>
    <w:p>
      <w:pPr>
        <w:pStyle w:val="107"/>
        <w:spacing w:before="156" w:after="156"/>
      </w:pPr>
      <w:bookmarkStart w:id="425" w:name="_Toc405534906"/>
      <w:bookmarkEnd w:id="425"/>
      <w:bookmarkStart w:id="426" w:name="_Toc404004895"/>
      <w:bookmarkEnd w:id="426"/>
      <w:bookmarkStart w:id="427" w:name="_Toc404004893"/>
      <w:bookmarkEnd w:id="427"/>
      <w:bookmarkStart w:id="428" w:name="_Toc404085611"/>
      <w:bookmarkEnd w:id="428"/>
      <w:bookmarkStart w:id="429" w:name="_Toc405534904"/>
      <w:bookmarkEnd w:id="429"/>
      <w:bookmarkStart w:id="430" w:name="_Toc392665387"/>
      <w:bookmarkEnd w:id="430"/>
      <w:bookmarkStart w:id="431" w:name="_Toc406061469"/>
      <w:bookmarkEnd w:id="431"/>
      <w:bookmarkStart w:id="432" w:name="_Toc392665389"/>
      <w:bookmarkEnd w:id="432"/>
      <w:bookmarkStart w:id="433" w:name="_Toc406061471"/>
      <w:bookmarkStart w:id="434" w:name="_Toc237015197"/>
      <w:bookmarkStart w:id="435" w:name="_Toc237470929"/>
      <w:r>
        <w:t>成果质量评定</w:t>
      </w:r>
      <w:bookmarkEnd w:id="433"/>
      <w:bookmarkEnd w:id="434"/>
      <w:bookmarkEnd w:id="435"/>
    </w:p>
    <w:p>
      <w:pPr>
        <w:widowControl/>
        <w:adjustRightInd/>
        <w:spacing w:line="240" w:lineRule="auto"/>
        <w:ind w:firstLine="420"/>
        <w:rPr>
          <w:rFonts w:hint="eastAsia" w:ascii="宋体" w:hAnsi="宋体" w:cs="宋体"/>
          <w:kern w:val="0"/>
        </w:rPr>
      </w:pPr>
      <w:r>
        <w:rPr>
          <w:rFonts w:ascii="宋体" w:hAnsi="宋体" w:cs="宋体"/>
          <w:kern w:val="0"/>
        </w:rPr>
        <w:t>成果质量由生产单位专职或兼职检查人员按优、良、合格、不合格四个等级评定，各等级评定的标准按 GB/T 24356-2023中第6条执行。不合格成果必须重新测量。</w:t>
      </w:r>
    </w:p>
    <w:p>
      <w:pPr>
        <w:pStyle w:val="107"/>
        <w:spacing w:before="156" w:after="156"/>
      </w:pPr>
      <w:bookmarkStart w:id="436" w:name="_Toc404085612"/>
      <w:bookmarkEnd w:id="436"/>
      <w:bookmarkStart w:id="437" w:name="_Toc405534907"/>
      <w:bookmarkEnd w:id="437"/>
      <w:bookmarkStart w:id="438" w:name="_Toc392665390"/>
      <w:bookmarkEnd w:id="438"/>
      <w:bookmarkStart w:id="439" w:name="_Toc404004896"/>
      <w:bookmarkEnd w:id="439"/>
      <w:bookmarkStart w:id="440" w:name="_Toc406061472"/>
      <w:bookmarkStart w:id="441" w:name="_Toc237015198"/>
      <w:bookmarkStart w:id="442" w:name="_Toc237470930"/>
      <w:r>
        <w:t>提交成果资料内容</w:t>
      </w:r>
      <w:bookmarkEnd w:id="440"/>
      <w:bookmarkEnd w:id="441"/>
      <w:bookmarkEnd w:id="442"/>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提交成果资料包括以下内容：</w:t>
      </w:r>
    </w:p>
    <w:p>
      <w:pPr>
        <w:widowControl/>
        <w:numPr>
          <w:ilvl w:val="0"/>
          <w:numId w:val="96"/>
        </w:numPr>
        <w:adjustRightInd/>
        <w:spacing w:line="240" w:lineRule="auto"/>
        <w:ind w:left="840" w:hanging="420"/>
        <w:rPr>
          <w:rFonts w:hint="eastAsia" w:ascii="宋体" w:hAnsi="宋体" w:cs="宋体"/>
          <w:kern w:val="0"/>
        </w:rPr>
      </w:pPr>
      <w:r>
        <w:rPr>
          <w:rFonts w:ascii="宋体" w:hAnsi="宋体" w:cs="宋体"/>
          <w:kern w:val="0"/>
        </w:rPr>
        <w:t>成果资料索引及说明；</w:t>
      </w:r>
    </w:p>
    <w:p>
      <w:pPr>
        <w:widowControl/>
        <w:numPr>
          <w:ilvl w:val="0"/>
          <w:numId w:val="96"/>
        </w:numPr>
        <w:adjustRightInd/>
        <w:spacing w:line="240" w:lineRule="auto"/>
        <w:ind w:left="840" w:hanging="420"/>
        <w:rPr>
          <w:rFonts w:hint="eastAsia" w:ascii="宋体" w:hAnsi="宋体" w:cs="宋体"/>
          <w:kern w:val="0"/>
        </w:rPr>
      </w:pPr>
      <w:r>
        <w:rPr>
          <w:rFonts w:ascii="宋体" w:hAnsi="宋体" w:cs="宋体"/>
          <w:kern w:val="0"/>
        </w:rPr>
        <w:t>技术设计书；</w:t>
      </w:r>
    </w:p>
    <w:p>
      <w:pPr>
        <w:widowControl/>
        <w:numPr>
          <w:ilvl w:val="0"/>
          <w:numId w:val="96"/>
        </w:numPr>
        <w:adjustRightInd/>
        <w:spacing w:line="240" w:lineRule="auto"/>
        <w:ind w:left="840" w:hanging="420"/>
        <w:rPr>
          <w:rFonts w:hint="eastAsia" w:ascii="宋体" w:hAnsi="宋体" w:cs="宋体"/>
          <w:kern w:val="0"/>
        </w:rPr>
      </w:pPr>
      <w:r>
        <w:rPr>
          <w:rFonts w:ascii="宋体" w:hAnsi="宋体" w:cs="宋体"/>
          <w:kern w:val="0"/>
        </w:rPr>
        <w:t>控制测量成果资料；</w:t>
      </w:r>
    </w:p>
    <w:p>
      <w:pPr>
        <w:widowControl/>
        <w:numPr>
          <w:ilvl w:val="0"/>
          <w:numId w:val="96"/>
        </w:numPr>
        <w:adjustRightInd/>
        <w:spacing w:line="240" w:lineRule="auto"/>
        <w:ind w:left="840" w:hanging="420"/>
        <w:rPr>
          <w:rFonts w:hint="eastAsia" w:ascii="宋体" w:hAnsi="宋体" w:cs="宋体"/>
          <w:kern w:val="0"/>
        </w:rPr>
      </w:pPr>
      <w:r>
        <w:rPr>
          <w:rFonts w:ascii="宋体" w:hAnsi="宋体" w:cs="宋体"/>
          <w:kern w:val="0"/>
        </w:rPr>
        <w:t>房屋及房屋用地调查表、界址点坐标成果表；</w:t>
      </w:r>
    </w:p>
    <w:p>
      <w:pPr>
        <w:widowControl/>
        <w:numPr>
          <w:ilvl w:val="0"/>
          <w:numId w:val="96"/>
        </w:numPr>
        <w:adjustRightInd/>
        <w:spacing w:line="240" w:lineRule="auto"/>
        <w:ind w:left="840" w:hanging="420"/>
        <w:rPr>
          <w:rFonts w:hint="eastAsia" w:ascii="宋体" w:hAnsi="宋体" w:cs="宋体"/>
          <w:kern w:val="0"/>
        </w:rPr>
      </w:pPr>
      <w:r>
        <w:rPr>
          <w:rFonts w:ascii="宋体" w:hAnsi="宋体" w:cs="宋体"/>
          <w:kern w:val="0"/>
        </w:rPr>
        <w:t>图件数据成果资料；</w:t>
      </w:r>
    </w:p>
    <w:p>
      <w:pPr>
        <w:widowControl/>
        <w:numPr>
          <w:ilvl w:val="0"/>
          <w:numId w:val="96"/>
        </w:numPr>
        <w:adjustRightInd/>
        <w:spacing w:line="240" w:lineRule="auto"/>
        <w:ind w:left="840" w:hanging="420"/>
        <w:rPr>
          <w:rFonts w:hint="eastAsia" w:ascii="宋体" w:hAnsi="宋体" w:cs="宋体"/>
          <w:kern w:val="0"/>
        </w:rPr>
      </w:pPr>
      <w:r>
        <w:rPr>
          <w:rFonts w:ascii="宋体" w:hAnsi="宋体" w:cs="宋体"/>
          <w:kern w:val="0"/>
        </w:rPr>
        <w:t>技术报告；</w:t>
      </w:r>
    </w:p>
    <w:p>
      <w:pPr>
        <w:widowControl/>
        <w:numPr>
          <w:ilvl w:val="0"/>
          <w:numId w:val="96"/>
        </w:numPr>
        <w:adjustRightInd/>
        <w:spacing w:line="240" w:lineRule="auto"/>
        <w:ind w:left="840" w:hanging="420"/>
        <w:rPr>
          <w:rFonts w:hint="eastAsia" w:ascii="宋体" w:hAnsi="宋体" w:cs="宋体"/>
          <w:kern w:val="0"/>
        </w:rPr>
      </w:pPr>
      <w:r>
        <w:rPr>
          <w:rFonts w:ascii="宋体" w:hAnsi="宋体" w:cs="宋体"/>
          <w:kern w:val="0"/>
        </w:rPr>
        <w:t>检查、验收报告。</w:t>
      </w:r>
    </w:p>
    <w:p>
      <w:pPr>
        <w:pStyle w:val="107"/>
        <w:spacing w:before="156" w:after="156"/>
      </w:pPr>
      <w:bookmarkStart w:id="443" w:name="_Toc392665391"/>
      <w:bookmarkEnd w:id="443"/>
      <w:bookmarkStart w:id="444" w:name="_Toc406061473"/>
      <w:bookmarkEnd w:id="444"/>
      <w:bookmarkStart w:id="445" w:name="_Toc404004897"/>
      <w:bookmarkEnd w:id="445"/>
      <w:bookmarkStart w:id="446" w:name="_Toc404085613"/>
      <w:bookmarkEnd w:id="446"/>
      <w:bookmarkStart w:id="447" w:name="_Toc405534908"/>
      <w:bookmarkStart w:id="448" w:name="_Toc237015199"/>
      <w:bookmarkStart w:id="449" w:name="_Toc237470931"/>
      <w:r>
        <w:t>归档资料内容</w:t>
      </w:r>
      <w:bookmarkEnd w:id="447"/>
      <w:bookmarkEnd w:id="448"/>
      <w:bookmarkEnd w:id="449"/>
    </w:p>
    <w:p>
      <w:pPr>
        <w:widowControl/>
        <w:adjustRightInd/>
        <w:spacing w:line="240" w:lineRule="auto"/>
        <w:ind w:firstLine="420"/>
        <w:rPr>
          <w:rFonts w:hint="eastAsia" w:ascii="宋体" w:hAnsi="宋体" w:cs="宋体"/>
          <w:kern w:val="0"/>
        </w:rPr>
      </w:pPr>
      <w:r>
        <w:rPr>
          <w:rFonts w:ascii="宋体" w:hAnsi="宋体" w:cs="宋体"/>
          <w:kern w:val="0"/>
        </w:rPr>
        <w:t>归档资料除了11.11条的内容外，还应包括下列内容：</w:t>
      </w:r>
    </w:p>
    <w:p>
      <w:pPr>
        <w:widowControl/>
        <w:numPr>
          <w:ilvl w:val="0"/>
          <w:numId w:val="97"/>
        </w:numPr>
        <w:adjustRightInd/>
        <w:spacing w:line="240" w:lineRule="auto"/>
        <w:rPr>
          <w:rFonts w:hint="eastAsia" w:ascii="宋体" w:hAnsi="宋体" w:cs="宋体"/>
          <w:kern w:val="0"/>
        </w:rPr>
      </w:pPr>
      <w:r>
        <w:rPr>
          <w:rFonts w:ascii="宋体" w:hAnsi="宋体" w:cs="宋体"/>
          <w:kern w:val="0"/>
        </w:rPr>
        <w:t>房产测绘合同或委托书；</w:t>
      </w:r>
    </w:p>
    <w:p>
      <w:pPr>
        <w:widowControl/>
        <w:numPr>
          <w:ilvl w:val="0"/>
          <w:numId w:val="97"/>
        </w:numPr>
        <w:adjustRightInd/>
        <w:spacing w:line="240" w:lineRule="auto"/>
        <w:rPr>
          <w:rFonts w:hint="eastAsia" w:ascii="宋体" w:hAnsi="宋体" w:cs="宋体"/>
          <w:kern w:val="0"/>
        </w:rPr>
      </w:pPr>
      <w:r>
        <w:rPr>
          <w:rFonts w:ascii="宋体" w:hAnsi="宋体" w:cs="宋体"/>
          <w:kern w:val="0"/>
        </w:rPr>
        <w:t>委托单位提供的测绘依据：</w:t>
      </w:r>
    </w:p>
    <w:p>
      <w:pPr>
        <w:widowControl/>
        <w:numPr>
          <w:ilvl w:val="1"/>
          <w:numId w:val="97"/>
        </w:numPr>
        <w:adjustRightInd/>
        <w:spacing w:line="240" w:lineRule="auto"/>
        <w:rPr>
          <w:rFonts w:hint="eastAsia" w:ascii="宋体" w:hAnsi="宋体" w:cs="宋体"/>
          <w:kern w:val="0"/>
        </w:rPr>
      </w:pPr>
      <w:r>
        <w:rPr>
          <w:rFonts w:ascii="宋体" w:hAnsi="宋体" w:cs="宋体"/>
          <w:kern w:val="0"/>
        </w:rPr>
        <w:t>建设工程规划许可证；</w:t>
      </w:r>
    </w:p>
    <w:p>
      <w:pPr>
        <w:widowControl/>
        <w:numPr>
          <w:ilvl w:val="1"/>
          <w:numId w:val="97"/>
        </w:numPr>
        <w:adjustRightInd/>
        <w:spacing w:line="240" w:lineRule="auto"/>
        <w:rPr>
          <w:rFonts w:hint="eastAsia" w:ascii="宋体" w:hAnsi="宋体" w:cs="宋体"/>
          <w:kern w:val="0"/>
        </w:rPr>
      </w:pPr>
      <w:r>
        <w:rPr>
          <w:rFonts w:ascii="宋体" w:hAnsi="宋体" w:cs="宋体"/>
          <w:kern w:val="0"/>
        </w:rPr>
        <w:t>土地使用证明；</w:t>
      </w:r>
    </w:p>
    <w:p>
      <w:pPr>
        <w:widowControl/>
        <w:numPr>
          <w:ilvl w:val="1"/>
          <w:numId w:val="97"/>
        </w:numPr>
        <w:adjustRightInd/>
        <w:spacing w:line="240" w:lineRule="auto"/>
        <w:rPr>
          <w:rFonts w:hint="eastAsia" w:ascii="宋体" w:hAnsi="宋体" w:cs="宋体"/>
          <w:kern w:val="0"/>
        </w:rPr>
      </w:pPr>
      <w:r>
        <w:rPr>
          <w:rFonts w:ascii="宋体" w:hAnsi="宋体" w:cs="宋体"/>
          <w:kern w:val="0"/>
        </w:rPr>
        <w:t>总体规划平面图和单幢建筑施工平面图（含电子文档）；</w:t>
      </w:r>
    </w:p>
    <w:p>
      <w:pPr>
        <w:widowControl/>
        <w:numPr>
          <w:ilvl w:val="1"/>
          <w:numId w:val="97"/>
        </w:numPr>
        <w:adjustRightInd/>
        <w:spacing w:line="240" w:lineRule="auto"/>
        <w:rPr>
          <w:rFonts w:hint="eastAsia" w:ascii="宋体" w:hAnsi="宋体" w:cs="宋体"/>
          <w:kern w:val="0"/>
        </w:rPr>
      </w:pPr>
      <w:r>
        <w:rPr>
          <w:rFonts w:ascii="宋体" w:hAnsi="宋体" w:cs="宋体"/>
          <w:kern w:val="0"/>
        </w:rPr>
        <w:t>人防管理部门的批文；</w:t>
      </w:r>
    </w:p>
    <w:p>
      <w:pPr>
        <w:widowControl/>
        <w:numPr>
          <w:ilvl w:val="1"/>
          <w:numId w:val="97"/>
        </w:numPr>
        <w:adjustRightInd/>
        <w:spacing w:line="240" w:lineRule="auto"/>
        <w:rPr>
          <w:rFonts w:hint="eastAsia" w:ascii="宋体" w:hAnsi="宋体" w:cs="宋体"/>
          <w:kern w:val="0"/>
        </w:rPr>
      </w:pPr>
      <w:r>
        <w:rPr>
          <w:rFonts w:ascii="宋体" w:hAnsi="宋体" w:cs="宋体"/>
          <w:kern w:val="0"/>
        </w:rPr>
        <w:t>房屋共有关系的说明；</w:t>
      </w:r>
    </w:p>
    <w:p>
      <w:pPr>
        <w:widowControl/>
        <w:numPr>
          <w:ilvl w:val="1"/>
          <w:numId w:val="97"/>
        </w:numPr>
        <w:adjustRightInd/>
        <w:spacing w:line="240" w:lineRule="auto"/>
        <w:rPr>
          <w:rFonts w:hint="eastAsia" w:ascii="宋体" w:hAnsi="宋体" w:cs="宋体"/>
          <w:kern w:val="0"/>
        </w:rPr>
      </w:pPr>
      <w:r>
        <w:rPr>
          <w:rFonts w:ascii="宋体" w:hAnsi="宋体" w:cs="宋体"/>
          <w:kern w:val="0"/>
        </w:rPr>
        <w:t>其他相关资料。</w:t>
      </w:r>
    </w:p>
    <w:p>
      <w:pPr>
        <w:widowControl/>
        <w:numPr>
          <w:ilvl w:val="0"/>
          <w:numId w:val="97"/>
        </w:numPr>
        <w:adjustRightInd/>
        <w:spacing w:line="240" w:lineRule="auto"/>
        <w:rPr>
          <w:rFonts w:hint="eastAsia" w:ascii="宋体" w:hAnsi="宋体" w:cs="宋体"/>
          <w:kern w:val="0"/>
        </w:rPr>
      </w:pPr>
      <w:r>
        <w:rPr>
          <w:rFonts w:ascii="宋体" w:hAnsi="宋体" w:cs="宋体"/>
          <w:kern w:val="0"/>
        </w:rPr>
        <w:t>测绘过程资料：</w:t>
      </w:r>
    </w:p>
    <w:p>
      <w:pPr>
        <w:widowControl/>
        <w:numPr>
          <w:ilvl w:val="1"/>
          <w:numId w:val="97"/>
        </w:numPr>
        <w:adjustRightInd/>
        <w:spacing w:line="240" w:lineRule="auto"/>
        <w:rPr>
          <w:rFonts w:hint="eastAsia" w:ascii="宋体" w:hAnsi="宋体" w:cs="宋体"/>
          <w:kern w:val="0"/>
        </w:rPr>
      </w:pPr>
      <w:r>
        <w:rPr>
          <w:rFonts w:ascii="宋体" w:hAnsi="宋体" w:cs="宋体"/>
          <w:kern w:val="0"/>
        </w:rPr>
        <w:t>会议纪要等相关文件资料；</w:t>
      </w:r>
    </w:p>
    <w:p>
      <w:pPr>
        <w:widowControl/>
        <w:numPr>
          <w:ilvl w:val="1"/>
          <w:numId w:val="97"/>
        </w:numPr>
        <w:adjustRightInd/>
        <w:spacing w:line="240" w:lineRule="auto"/>
        <w:rPr>
          <w:rFonts w:hint="eastAsia" w:ascii="宋体" w:hAnsi="宋体" w:cs="宋体"/>
          <w:kern w:val="0"/>
        </w:rPr>
      </w:pPr>
      <w:r>
        <w:rPr>
          <w:rFonts w:ascii="宋体" w:hAnsi="宋体" w:cs="宋体"/>
          <w:kern w:val="0"/>
        </w:rPr>
        <w:t>成果质量控制资料；</w:t>
      </w:r>
    </w:p>
    <w:p>
      <w:pPr>
        <w:widowControl/>
        <w:numPr>
          <w:ilvl w:val="1"/>
          <w:numId w:val="97"/>
        </w:numPr>
        <w:adjustRightInd/>
        <w:spacing w:line="240" w:lineRule="auto"/>
        <w:rPr>
          <w:rFonts w:hint="eastAsia" w:ascii="宋体" w:hAnsi="宋体" w:cs="宋体"/>
          <w:kern w:val="0"/>
        </w:rPr>
      </w:pPr>
      <w:r>
        <w:rPr>
          <w:rFonts w:ascii="宋体" w:hAnsi="宋体" w:cs="宋体"/>
          <w:kern w:val="0"/>
        </w:rPr>
        <w:t>调查表、房产测绘草图等外业记录；</w:t>
      </w:r>
    </w:p>
    <w:p>
      <w:pPr>
        <w:widowControl/>
        <w:numPr>
          <w:ilvl w:val="1"/>
          <w:numId w:val="97"/>
        </w:numPr>
        <w:adjustRightInd/>
        <w:spacing w:line="240" w:lineRule="auto"/>
        <w:rPr>
          <w:rFonts w:hint="eastAsia" w:ascii="宋体" w:hAnsi="宋体" w:cs="宋体"/>
          <w:kern w:val="0"/>
        </w:rPr>
      </w:pPr>
      <w:r>
        <w:rPr>
          <w:rFonts w:ascii="宋体" w:hAnsi="宋体" w:cs="宋体"/>
          <w:kern w:val="0"/>
        </w:rPr>
        <w:t>检查记录、修改记录等。</w:t>
      </w:r>
    </w:p>
    <w:p>
      <w:pPr>
        <w:pStyle w:val="106"/>
        <w:spacing w:before="312" w:after="312"/>
      </w:pPr>
      <w:bookmarkStart w:id="450" w:name="_Toc392665392"/>
      <w:bookmarkEnd w:id="450"/>
      <w:bookmarkStart w:id="451" w:name="_Toc405534909"/>
      <w:bookmarkEnd w:id="451"/>
      <w:bookmarkStart w:id="452" w:name="_Toc406061474"/>
      <w:bookmarkEnd w:id="452"/>
      <w:bookmarkStart w:id="453" w:name="_Toc404004898"/>
      <w:bookmarkEnd w:id="453"/>
      <w:bookmarkStart w:id="454" w:name="_Toc404085614"/>
      <w:bookmarkStart w:id="455" w:name="_Toc237015200"/>
      <w:bookmarkStart w:id="456" w:name="_Toc237470932"/>
      <w:r>
        <w:t>数字房产图和房产测绘信息化</w:t>
      </w:r>
      <w:bookmarkEnd w:id="454"/>
      <w:bookmarkEnd w:id="455"/>
      <w:bookmarkEnd w:id="456"/>
    </w:p>
    <w:p>
      <w:pPr>
        <w:pStyle w:val="107"/>
        <w:spacing w:before="156" w:after="156"/>
      </w:pPr>
      <w:bookmarkStart w:id="457" w:name="_Toc404085615"/>
      <w:bookmarkEnd w:id="457"/>
      <w:bookmarkStart w:id="458" w:name="_Toc406061475"/>
      <w:bookmarkEnd w:id="458"/>
      <w:bookmarkStart w:id="459" w:name="_Toc404004899"/>
      <w:bookmarkEnd w:id="459"/>
      <w:bookmarkStart w:id="460" w:name="_Toc392665393"/>
      <w:bookmarkEnd w:id="460"/>
      <w:bookmarkStart w:id="461" w:name="_Toc405534910"/>
      <w:bookmarkStart w:id="462" w:name="_Toc237015201"/>
      <w:bookmarkStart w:id="463" w:name="_Toc237470933"/>
      <w:r>
        <w:t>数字房产图基本要求</w:t>
      </w:r>
      <w:bookmarkEnd w:id="461"/>
      <w:bookmarkEnd w:id="462"/>
      <w:bookmarkEnd w:id="463"/>
    </w:p>
    <w:p>
      <w:pPr>
        <w:pStyle w:val="67"/>
        <w:spacing w:before="156" w:after="156"/>
      </w:pPr>
      <w:bookmarkStart w:id="464" w:name="_Toc404004900"/>
      <w:bookmarkEnd w:id="464"/>
      <w:bookmarkStart w:id="465" w:name="_Toc404085616"/>
      <w:r>
        <w:t>构成</w:t>
      </w:r>
      <w:bookmarkEnd w:id="465"/>
    </w:p>
    <w:p>
      <w:pPr>
        <w:widowControl/>
        <w:adjustRightInd/>
        <w:spacing w:line="240" w:lineRule="auto"/>
        <w:ind w:firstLine="420"/>
        <w:rPr>
          <w:rFonts w:hint="eastAsia" w:ascii="宋体" w:hAnsi="宋体" w:cs="宋体"/>
          <w:kern w:val="0"/>
        </w:rPr>
      </w:pPr>
      <w:r>
        <w:rPr>
          <w:rFonts w:ascii="宋体" w:hAnsi="宋体" w:cs="宋体"/>
          <w:kern w:val="0"/>
        </w:rPr>
        <w:t>数字房产图是经计算机处理、建库及符号化后，以矢量、栅格等数据方式组织、储存，并可以图形方式输出，能够支持多种服务发布形式的，包含元数据和数据体的房产测绘成果（包括空间和属性数据）。数字房产图由分幅、分层数据和辅助文件构成，每一分幅、分层数据由元数据、数据体和整饰数据等相关文件组成。辅助文件可包括使用说明等，但辅助文件不作为数字房产图的必备部分。</w:t>
      </w:r>
    </w:p>
    <w:p>
      <w:pPr>
        <w:widowControl/>
        <w:numPr>
          <w:ilvl w:val="0"/>
          <w:numId w:val="98"/>
        </w:numPr>
        <w:adjustRightInd/>
        <w:spacing w:line="240" w:lineRule="auto"/>
        <w:ind w:left="840" w:hanging="420"/>
        <w:rPr>
          <w:rFonts w:hint="eastAsia" w:ascii="宋体" w:hAnsi="宋体" w:cs="宋体"/>
          <w:kern w:val="0"/>
        </w:rPr>
      </w:pPr>
      <w:r>
        <w:rPr>
          <w:rFonts w:ascii="宋体" w:hAnsi="宋体" w:cs="宋体"/>
          <w:kern w:val="0"/>
        </w:rPr>
        <w:t>元数据作为一个单独文件，用于记录数据源、数据质量、数据结构、定位参考系、成果归属等方面的信息；数据体用于记录房产图诸要素的几何位置、属性、拓扑关系等内容；</w:t>
      </w:r>
    </w:p>
    <w:p>
      <w:pPr>
        <w:widowControl/>
        <w:numPr>
          <w:ilvl w:val="0"/>
          <w:numId w:val="98"/>
        </w:numPr>
        <w:adjustRightInd/>
        <w:spacing w:line="240" w:lineRule="auto"/>
        <w:ind w:left="840" w:hanging="420"/>
        <w:rPr>
          <w:rFonts w:hint="eastAsia" w:ascii="宋体" w:hAnsi="宋体" w:cs="宋体"/>
          <w:kern w:val="0"/>
        </w:rPr>
      </w:pPr>
      <w:r>
        <w:rPr>
          <w:rFonts w:ascii="宋体" w:hAnsi="宋体" w:cs="宋体"/>
          <w:kern w:val="0"/>
        </w:rPr>
        <w:t>使用说明用于帮助、解释和指导用户使用数字房产图，可以包括分层规定、要素编码、属性清单、特殊约定、帮助文件、版权、用户权益等内容。</w:t>
      </w:r>
    </w:p>
    <w:p>
      <w:pPr>
        <w:pStyle w:val="67"/>
        <w:spacing w:before="156" w:after="156"/>
      </w:pPr>
      <w:bookmarkStart w:id="466" w:name="_Toc404004901"/>
      <w:bookmarkEnd w:id="466"/>
      <w:bookmarkStart w:id="467" w:name="_Toc404085617"/>
      <w:r>
        <w:t>数字房产图基本测量技术要求</w:t>
      </w:r>
      <w:bookmarkEnd w:id="467"/>
    </w:p>
    <w:p>
      <w:pPr>
        <w:widowControl/>
        <w:adjustRightInd/>
        <w:spacing w:line="240" w:lineRule="auto"/>
        <w:ind w:firstLine="420"/>
        <w:rPr>
          <w:rFonts w:hint="eastAsia" w:ascii="宋体" w:hAnsi="宋体" w:cs="宋体"/>
          <w:kern w:val="0"/>
        </w:rPr>
      </w:pPr>
      <w:r>
        <w:rPr>
          <w:rFonts w:ascii="宋体" w:hAnsi="宋体" w:cs="宋体"/>
          <w:kern w:val="0"/>
        </w:rPr>
        <w:t>数字房产图的比例尺、坐标系统、投影方式、分幅与编号、分类和编码按照本规程执行，本规程未涉及的，参照GB/T 13923、GB/T 17160、GB/T 20257.1、GB/T 17986.2执行。</w:t>
      </w:r>
    </w:p>
    <w:p>
      <w:pPr>
        <w:pStyle w:val="67"/>
        <w:spacing w:before="156" w:after="156"/>
      </w:pPr>
      <w:bookmarkStart w:id="468" w:name="_Toc404004902"/>
      <w:bookmarkEnd w:id="468"/>
      <w:bookmarkStart w:id="469" w:name="_Toc404085618"/>
      <w:r>
        <w:t>数字房产图要素分层要求</w:t>
      </w:r>
      <w:bookmarkEnd w:id="469"/>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数字房产图要素分层应满足以下要求：</w:t>
      </w:r>
    </w:p>
    <w:p>
      <w:pPr>
        <w:widowControl/>
        <w:numPr>
          <w:ilvl w:val="0"/>
          <w:numId w:val="99"/>
        </w:numPr>
        <w:adjustRightInd/>
        <w:spacing w:line="240" w:lineRule="auto"/>
        <w:ind w:left="840" w:hanging="420"/>
        <w:rPr>
          <w:rFonts w:hint="eastAsia" w:ascii="宋体" w:hAnsi="宋体" w:cs="宋体"/>
          <w:kern w:val="0"/>
        </w:rPr>
      </w:pPr>
      <w:r>
        <w:rPr>
          <w:rFonts w:ascii="宋体" w:hAnsi="宋体" w:cs="宋体"/>
          <w:kern w:val="0"/>
        </w:rPr>
        <w:t>要素分层以12.1.2规定的要素分类标准为依据；</w:t>
      </w:r>
    </w:p>
    <w:p>
      <w:pPr>
        <w:widowControl/>
        <w:numPr>
          <w:ilvl w:val="0"/>
          <w:numId w:val="99"/>
        </w:numPr>
        <w:adjustRightInd/>
        <w:spacing w:line="240" w:lineRule="auto"/>
        <w:ind w:left="840" w:hanging="420"/>
        <w:rPr>
          <w:rFonts w:hint="eastAsia" w:ascii="宋体" w:hAnsi="宋体" w:cs="宋体"/>
          <w:kern w:val="0"/>
        </w:rPr>
      </w:pPr>
      <w:r>
        <w:rPr>
          <w:rFonts w:ascii="宋体" w:hAnsi="宋体" w:cs="宋体"/>
          <w:kern w:val="0"/>
        </w:rPr>
        <w:t>应考虑到要素的几何特性和拓扑关系的管理；</w:t>
      </w:r>
    </w:p>
    <w:p>
      <w:pPr>
        <w:widowControl/>
        <w:numPr>
          <w:ilvl w:val="0"/>
          <w:numId w:val="99"/>
        </w:numPr>
        <w:adjustRightInd/>
        <w:spacing w:line="240" w:lineRule="auto"/>
        <w:ind w:left="840" w:hanging="420"/>
        <w:rPr>
          <w:rFonts w:hint="eastAsia" w:ascii="宋体" w:hAnsi="宋体" w:cs="宋体"/>
          <w:kern w:val="0"/>
        </w:rPr>
      </w:pPr>
      <w:r>
        <w:rPr>
          <w:rFonts w:ascii="宋体" w:hAnsi="宋体" w:cs="宋体"/>
          <w:kern w:val="0"/>
        </w:rPr>
        <w:t>层名应用汉字命名，实际应用中使用层名代码，层名代码可用拼音或英文的全称或缩写表示并可以附加使用阿拉伯数字；</w:t>
      </w:r>
    </w:p>
    <w:p>
      <w:pPr>
        <w:widowControl/>
        <w:numPr>
          <w:ilvl w:val="0"/>
          <w:numId w:val="99"/>
        </w:numPr>
        <w:adjustRightInd/>
        <w:spacing w:line="240" w:lineRule="auto"/>
        <w:ind w:left="840" w:hanging="420"/>
        <w:rPr>
          <w:rFonts w:hint="eastAsia" w:ascii="宋体" w:hAnsi="宋体" w:cs="宋体"/>
          <w:kern w:val="0"/>
        </w:rPr>
      </w:pPr>
      <w:r>
        <w:rPr>
          <w:rFonts w:ascii="宋体" w:hAnsi="宋体" w:cs="宋体"/>
          <w:kern w:val="0"/>
        </w:rPr>
        <w:t>分层以后的要素数据应满足空间分析、统计、决策等合并和分拆图层的需求；</w:t>
      </w:r>
    </w:p>
    <w:p>
      <w:pPr>
        <w:widowControl/>
        <w:numPr>
          <w:ilvl w:val="0"/>
          <w:numId w:val="99"/>
        </w:numPr>
        <w:adjustRightInd/>
        <w:spacing w:line="240" w:lineRule="auto"/>
        <w:ind w:left="840" w:hanging="420"/>
        <w:rPr>
          <w:rFonts w:hint="eastAsia" w:ascii="宋体" w:hAnsi="宋体" w:cs="宋体"/>
          <w:kern w:val="0"/>
        </w:rPr>
      </w:pPr>
      <w:r>
        <w:rPr>
          <w:rFonts w:ascii="宋体" w:hAnsi="宋体" w:cs="宋体"/>
          <w:kern w:val="0"/>
        </w:rPr>
        <w:t>分层方案应在使用说明和元数据文件中说明；</w:t>
      </w:r>
    </w:p>
    <w:p>
      <w:pPr>
        <w:widowControl/>
        <w:numPr>
          <w:ilvl w:val="0"/>
          <w:numId w:val="99"/>
        </w:numPr>
        <w:adjustRightInd/>
        <w:spacing w:line="240" w:lineRule="auto"/>
        <w:ind w:left="840" w:hanging="420"/>
        <w:rPr>
          <w:rFonts w:hint="eastAsia" w:ascii="宋体" w:hAnsi="宋体" w:cs="宋体"/>
          <w:kern w:val="0"/>
        </w:rPr>
      </w:pPr>
      <w:r>
        <w:rPr>
          <w:rFonts w:ascii="宋体" w:hAnsi="宋体" w:cs="宋体"/>
          <w:kern w:val="0"/>
        </w:rPr>
        <w:t>根据需要，同一类要素可向下详细分层；</w:t>
      </w:r>
    </w:p>
    <w:p>
      <w:pPr>
        <w:widowControl/>
        <w:numPr>
          <w:ilvl w:val="0"/>
          <w:numId w:val="99"/>
        </w:numPr>
        <w:adjustRightInd/>
        <w:spacing w:line="240" w:lineRule="auto"/>
        <w:ind w:left="840" w:hanging="420"/>
        <w:rPr>
          <w:rFonts w:hint="eastAsia" w:ascii="宋体" w:hAnsi="宋体" w:cs="宋体"/>
          <w:kern w:val="0"/>
        </w:rPr>
      </w:pPr>
      <w:r>
        <w:rPr>
          <w:rFonts w:ascii="宋体" w:hAnsi="宋体" w:cs="宋体"/>
          <w:kern w:val="0"/>
        </w:rPr>
        <w:t>用于图廓整饰的内图廓线以外的所有线划、注记文本、说明、图例等和内图廓线以内的直角坐标线网、经纬线网等应独立分层。</w:t>
      </w:r>
    </w:p>
    <w:p>
      <w:pPr>
        <w:pStyle w:val="67"/>
        <w:spacing w:before="156" w:after="156"/>
      </w:pPr>
      <w:bookmarkStart w:id="470" w:name="_Toc404004903"/>
      <w:bookmarkEnd w:id="470"/>
      <w:bookmarkStart w:id="471" w:name="_Toc404085619"/>
      <w:r>
        <w:t>数字房产图的符号表示</w:t>
      </w:r>
      <w:bookmarkEnd w:id="471"/>
    </w:p>
    <w:p>
      <w:pPr>
        <w:widowControl/>
        <w:adjustRightInd/>
        <w:spacing w:line="240" w:lineRule="auto"/>
        <w:ind w:firstLine="420"/>
        <w:rPr>
          <w:rFonts w:hint="eastAsia" w:ascii="宋体" w:hAnsi="宋体" w:cs="宋体"/>
          <w:kern w:val="0"/>
        </w:rPr>
      </w:pPr>
      <w:r>
        <w:rPr>
          <w:rFonts w:ascii="宋体" w:hAnsi="宋体" w:cs="宋体"/>
          <w:kern w:val="0"/>
        </w:rPr>
        <w:t>数字房产图应进行符号化，所用的符号库中的符号应按GB/T 20257.1、GB/T 17986.2-2000规定的房产图图式规定执行。特殊情况下，使用的替代符号须在使用说明中说明。</w:t>
      </w:r>
    </w:p>
    <w:p>
      <w:pPr>
        <w:pStyle w:val="67"/>
        <w:spacing w:before="156" w:after="156"/>
      </w:pPr>
      <w:bookmarkStart w:id="472" w:name="_Toc404004904"/>
      <w:bookmarkEnd w:id="472"/>
      <w:bookmarkStart w:id="473" w:name="_Toc404085620"/>
      <w:r>
        <w:t>基于数字房产图的三维建筑模型生产</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基于数字房产图的三维建筑模型生产，含建模内容、制作规定、命名方法及具体要求参照CJJ/T 319、CH/T 9015、CH/T 9016、CJJ/T 157的规定执行。</w:t>
      </w:r>
    </w:p>
    <w:p>
      <w:pPr>
        <w:pStyle w:val="67"/>
        <w:spacing w:before="156" w:after="156"/>
      </w:pPr>
      <w:r>
        <w:t>存储</w:t>
      </w:r>
      <w:bookmarkEnd w:id="473"/>
    </w:p>
    <w:p>
      <w:pPr>
        <w:widowControl/>
        <w:adjustRightInd/>
        <w:spacing w:line="240" w:lineRule="auto"/>
        <w:ind w:firstLine="420"/>
        <w:rPr>
          <w:rFonts w:hint="eastAsia" w:ascii="宋体" w:hAnsi="宋体" w:cs="宋体"/>
          <w:kern w:val="0"/>
        </w:rPr>
      </w:pPr>
      <w:r>
        <w:rPr>
          <w:rFonts w:ascii="宋体" w:hAnsi="宋体" w:cs="宋体"/>
          <w:kern w:val="0"/>
        </w:rPr>
        <w:t>数字房产图产品主要应以要素分层形式为存储单元，其中分层分户图可使用分幅形式为存储单元，并使用计算机能够读写的存储介质。</w:t>
      </w:r>
    </w:p>
    <w:p>
      <w:pPr>
        <w:pStyle w:val="67"/>
        <w:spacing w:before="156" w:after="156"/>
      </w:pPr>
      <w:bookmarkStart w:id="474" w:name="_Toc404004905"/>
      <w:bookmarkEnd w:id="474"/>
      <w:bookmarkStart w:id="475" w:name="_Toc404085621"/>
      <w:r>
        <w:t>发布</w:t>
      </w:r>
      <w:bookmarkEnd w:id="475"/>
    </w:p>
    <w:p>
      <w:pPr>
        <w:widowControl/>
        <w:adjustRightInd/>
        <w:spacing w:line="240" w:lineRule="auto"/>
        <w:ind w:firstLine="420"/>
        <w:rPr>
          <w:rFonts w:hint="eastAsia" w:ascii="宋体" w:hAnsi="宋体" w:cs="宋体"/>
          <w:kern w:val="0"/>
        </w:rPr>
      </w:pPr>
      <w:r>
        <w:rPr>
          <w:rFonts w:ascii="宋体" w:hAnsi="宋体" w:cs="宋体"/>
          <w:kern w:val="0"/>
        </w:rPr>
        <w:t>通过规范的数据服务，实现数字房产图产品的发布和共享。</w:t>
      </w:r>
    </w:p>
    <w:p>
      <w:pPr>
        <w:pStyle w:val="107"/>
        <w:spacing w:before="156" w:after="156"/>
      </w:pPr>
      <w:bookmarkStart w:id="476" w:name="_Toc392665394"/>
      <w:bookmarkEnd w:id="476"/>
      <w:bookmarkStart w:id="477" w:name="_Toc406061476"/>
      <w:bookmarkEnd w:id="477"/>
      <w:bookmarkStart w:id="478" w:name="_Toc404004906"/>
      <w:bookmarkEnd w:id="478"/>
      <w:bookmarkStart w:id="479" w:name="_Toc405534911"/>
      <w:bookmarkEnd w:id="479"/>
      <w:bookmarkStart w:id="480" w:name="_Toc404085622"/>
      <w:bookmarkStart w:id="481" w:name="_Toc237015202"/>
      <w:bookmarkStart w:id="482" w:name="_Toc237470934"/>
      <w:r>
        <w:t>房产测绘信息化建设</w:t>
      </w:r>
      <w:bookmarkEnd w:id="480"/>
      <w:bookmarkEnd w:id="481"/>
      <w:bookmarkEnd w:id="482"/>
    </w:p>
    <w:p>
      <w:pPr>
        <w:pStyle w:val="67"/>
        <w:spacing w:before="156" w:after="156"/>
      </w:pPr>
      <w:bookmarkStart w:id="483" w:name="_Toc404004907"/>
      <w:bookmarkEnd w:id="483"/>
      <w:bookmarkStart w:id="484" w:name="_Toc404085623"/>
      <w:r>
        <w:t>建设目标</w:t>
      </w:r>
      <w:bookmarkEnd w:id="484"/>
    </w:p>
    <w:p>
      <w:pPr>
        <w:widowControl/>
        <w:adjustRightInd/>
        <w:spacing w:line="240" w:lineRule="auto"/>
        <w:ind w:firstLine="420"/>
        <w:rPr>
          <w:rFonts w:hint="eastAsia" w:ascii="宋体" w:hAnsi="宋体" w:cs="宋体"/>
          <w:kern w:val="0"/>
        </w:rPr>
      </w:pPr>
      <w:r>
        <w:rPr>
          <w:rFonts w:ascii="宋体" w:hAnsi="宋体" w:cs="宋体"/>
          <w:kern w:val="0"/>
        </w:rPr>
        <w:t>以房产测绘业务数据为基础，以地理信息技术为支撑，通过统一规划、统一标准建立一套高效、可拓展的房产测绘信息管理平台，对房屋和房屋用地有关信息进行采集、管理及维护更新，实现房产测绘全流程、全业务、全数据的一体化管理。</w:t>
      </w:r>
    </w:p>
    <w:p>
      <w:pPr>
        <w:pStyle w:val="67"/>
        <w:spacing w:before="156" w:after="156"/>
      </w:pPr>
      <w:bookmarkStart w:id="485" w:name="_Toc404004908"/>
      <w:bookmarkEnd w:id="485"/>
      <w:bookmarkStart w:id="486" w:name="_Toc404085624"/>
      <w:r>
        <w:t>建设原则</w:t>
      </w:r>
      <w:bookmarkEnd w:id="486"/>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建设原则包括以下方面：</w:t>
      </w:r>
    </w:p>
    <w:p>
      <w:pPr>
        <w:widowControl/>
        <w:numPr>
          <w:ilvl w:val="0"/>
          <w:numId w:val="100"/>
        </w:numPr>
        <w:adjustRightInd/>
        <w:spacing w:line="240" w:lineRule="auto"/>
        <w:ind w:left="840" w:hanging="420"/>
        <w:rPr>
          <w:rFonts w:hint="eastAsia" w:ascii="宋体" w:hAnsi="宋体" w:cs="宋体"/>
          <w:kern w:val="0"/>
        </w:rPr>
      </w:pPr>
      <w:r>
        <w:rPr>
          <w:rFonts w:ascii="宋体" w:hAnsi="宋体" w:cs="宋体"/>
          <w:kern w:val="0"/>
        </w:rPr>
        <w:t>统一规划、统一标准。应以CJJ/T 115、JGJ/T 252等标准和规范为依据；</w:t>
      </w:r>
    </w:p>
    <w:p>
      <w:pPr>
        <w:widowControl/>
        <w:numPr>
          <w:ilvl w:val="0"/>
          <w:numId w:val="100"/>
        </w:numPr>
        <w:adjustRightInd/>
        <w:spacing w:line="240" w:lineRule="auto"/>
        <w:ind w:left="840" w:hanging="420"/>
        <w:rPr>
          <w:rFonts w:hint="eastAsia" w:ascii="宋体" w:hAnsi="宋体" w:cs="宋体"/>
          <w:kern w:val="0"/>
        </w:rPr>
      </w:pPr>
      <w:r>
        <w:rPr>
          <w:rFonts w:ascii="宋体" w:hAnsi="宋体" w:cs="宋体"/>
          <w:kern w:val="0"/>
        </w:rPr>
        <w:t>异构协同、信息共享。房产测绘信息化建设应能与政府有关部门实现数据共享，通过中间层的接口服务实现异构协同办公，并保证各方数据的安全性；</w:t>
      </w:r>
    </w:p>
    <w:p>
      <w:pPr>
        <w:widowControl/>
        <w:numPr>
          <w:ilvl w:val="0"/>
          <w:numId w:val="100"/>
        </w:numPr>
        <w:adjustRightInd/>
        <w:spacing w:line="240" w:lineRule="auto"/>
        <w:ind w:left="840" w:hanging="420"/>
        <w:rPr>
          <w:rFonts w:hint="eastAsia" w:ascii="宋体" w:hAnsi="宋体" w:cs="宋体"/>
          <w:kern w:val="0"/>
        </w:rPr>
      </w:pPr>
      <w:r>
        <w:rPr>
          <w:rFonts w:ascii="宋体" w:hAnsi="宋体" w:cs="宋体"/>
          <w:kern w:val="0"/>
        </w:rPr>
        <w:t>多级互联、集中存储。实现省、市、县（区）等多级互联，实现各类房屋属性数据、空间GIS数据、影像数据于一体的集中管理；</w:t>
      </w:r>
    </w:p>
    <w:p>
      <w:pPr>
        <w:widowControl/>
        <w:numPr>
          <w:ilvl w:val="0"/>
          <w:numId w:val="100"/>
        </w:numPr>
        <w:adjustRightInd/>
        <w:spacing w:line="240" w:lineRule="auto"/>
        <w:ind w:left="840" w:hanging="420"/>
        <w:rPr>
          <w:rFonts w:hint="eastAsia" w:ascii="宋体" w:hAnsi="宋体" w:cs="宋体"/>
          <w:kern w:val="0"/>
        </w:rPr>
      </w:pPr>
      <w:r>
        <w:rPr>
          <w:rFonts w:ascii="宋体" w:hAnsi="宋体" w:cs="宋体"/>
          <w:kern w:val="0"/>
        </w:rPr>
        <w:t>利用GIS，创新管理。以GIS为切入点，采用SOA架构，实现以房产信息查询、统计、分析和信息发布为核心的云服务，为“以图管房”提供基础服务；</w:t>
      </w:r>
    </w:p>
    <w:p>
      <w:pPr>
        <w:widowControl/>
        <w:numPr>
          <w:ilvl w:val="0"/>
          <w:numId w:val="100"/>
        </w:numPr>
        <w:adjustRightInd/>
        <w:spacing w:line="240" w:lineRule="auto"/>
        <w:ind w:left="840" w:hanging="420"/>
        <w:rPr>
          <w:rFonts w:hint="eastAsia" w:ascii="宋体" w:hAnsi="宋体" w:cs="宋体"/>
          <w:kern w:val="0"/>
        </w:rPr>
      </w:pPr>
      <w:r>
        <w:rPr>
          <w:rFonts w:ascii="宋体" w:hAnsi="宋体" w:cs="宋体"/>
          <w:kern w:val="0"/>
        </w:rPr>
        <w:t>房产测绘信息化建设中可引入三维GIS、AI智能体等技术，通过三维化、智慧化提高平台服务能力，提升用户体验。</w:t>
      </w:r>
    </w:p>
    <w:p>
      <w:pPr>
        <w:pStyle w:val="67"/>
        <w:spacing w:before="156" w:after="156"/>
      </w:pPr>
      <w:bookmarkStart w:id="487" w:name="_Toc404004909"/>
      <w:bookmarkEnd w:id="487"/>
      <w:bookmarkStart w:id="488" w:name="_Toc404085625"/>
      <w:r>
        <w:t>模块构成</w:t>
      </w:r>
      <w:bookmarkEnd w:id="488"/>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房产测绘信息化模块包括以下内容：</w:t>
      </w:r>
    </w:p>
    <w:p>
      <w:pPr>
        <w:widowControl/>
        <w:numPr>
          <w:ilvl w:val="0"/>
          <w:numId w:val="101"/>
        </w:numPr>
        <w:adjustRightInd/>
        <w:spacing w:line="240" w:lineRule="auto"/>
        <w:ind w:left="840" w:hanging="420"/>
        <w:rPr>
          <w:rFonts w:hint="eastAsia" w:ascii="宋体" w:hAnsi="宋体" w:cs="宋体"/>
          <w:kern w:val="0"/>
        </w:rPr>
      </w:pPr>
      <w:r>
        <w:rPr>
          <w:rFonts w:ascii="宋体" w:hAnsi="宋体" w:cs="宋体"/>
          <w:kern w:val="0"/>
        </w:rPr>
        <w:t>房产测绘信息化建设应包括下列6个模块：</w:t>
      </w:r>
    </w:p>
    <w:p>
      <w:pPr>
        <w:widowControl/>
        <w:numPr>
          <w:ilvl w:val="1"/>
          <w:numId w:val="101"/>
        </w:numPr>
        <w:adjustRightInd/>
        <w:spacing w:before="100" w:beforeAutospacing="1" w:after="100" w:afterAutospacing="1" w:line="240" w:lineRule="auto"/>
        <w:rPr>
          <w:rFonts w:hint="eastAsia" w:ascii="宋体" w:hAnsi="宋体" w:cs="宋体"/>
          <w:kern w:val="0"/>
        </w:rPr>
      </w:pPr>
      <w:r>
        <w:rPr>
          <w:rFonts w:ascii="宋体" w:hAnsi="宋体" w:cs="宋体"/>
          <w:kern w:val="0"/>
        </w:rPr>
        <w:t>房产测绘业务办公模块；</w:t>
      </w:r>
    </w:p>
    <w:p>
      <w:pPr>
        <w:widowControl/>
        <w:numPr>
          <w:ilvl w:val="1"/>
          <w:numId w:val="101"/>
        </w:numPr>
        <w:adjustRightInd/>
        <w:spacing w:before="100" w:beforeAutospacing="1" w:after="100" w:afterAutospacing="1" w:line="240" w:lineRule="auto"/>
        <w:rPr>
          <w:rFonts w:hint="eastAsia" w:ascii="宋体" w:hAnsi="宋体" w:cs="宋体"/>
          <w:kern w:val="0"/>
        </w:rPr>
      </w:pPr>
      <w:r>
        <w:rPr>
          <w:rFonts w:ascii="宋体" w:hAnsi="宋体" w:cs="宋体"/>
          <w:kern w:val="0"/>
        </w:rPr>
        <w:t>房产项目测绘管理模块；</w:t>
      </w:r>
    </w:p>
    <w:p>
      <w:pPr>
        <w:widowControl/>
        <w:numPr>
          <w:ilvl w:val="1"/>
          <w:numId w:val="101"/>
        </w:numPr>
        <w:adjustRightInd/>
        <w:spacing w:before="100" w:beforeAutospacing="1" w:after="100" w:afterAutospacing="1" w:line="240" w:lineRule="auto"/>
        <w:rPr>
          <w:rFonts w:hint="eastAsia" w:ascii="宋体" w:hAnsi="宋体" w:cs="宋体"/>
          <w:kern w:val="0"/>
        </w:rPr>
      </w:pPr>
      <w:r>
        <w:rPr>
          <w:rFonts w:ascii="宋体" w:hAnsi="宋体" w:cs="宋体"/>
          <w:kern w:val="0"/>
        </w:rPr>
        <w:t>房产基础测绘管理模块；</w:t>
      </w:r>
    </w:p>
    <w:p>
      <w:pPr>
        <w:widowControl/>
        <w:numPr>
          <w:ilvl w:val="1"/>
          <w:numId w:val="101"/>
        </w:numPr>
        <w:adjustRightInd/>
        <w:spacing w:before="100" w:beforeAutospacing="1" w:after="100" w:afterAutospacing="1" w:line="240" w:lineRule="auto"/>
        <w:rPr>
          <w:rFonts w:hint="eastAsia" w:ascii="宋体" w:hAnsi="宋体" w:cs="宋体"/>
          <w:kern w:val="0"/>
        </w:rPr>
      </w:pPr>
      <w:r>
        <w:rPr>
          <w:rFonts w:ascii="宋体" w:hAnsi="宋体" w:cs="宋体"/>
          <w:kern w:val="0"/>
        </w:rPr>
        <w:t>房产测绘成果入库模块；</w:t>
      </w:r>
    </w:p>
    <w:p>
      <w:pPr>
        <w:widowControl/>
        <w:numPr>
          <w:ilvl w:val="1"/>
          <w:numId w:val="101"/>
        </w:numPr>
        <w:adjustRightInd/>
        <w:spacing w:before="100" w:beforeAutospacing="1" w:after="100" w:afterAutospacing="1" w:line="240" w:lineRule="auto"/>
        <w:rPr>
          <w:rFonts w:hint="eastAsia" w:ascii="宋体" w:hAnsi="宋体" w:cs="宋体"/>
          <w:kern w:val="0"/>
        </w:rPr>
      </w:pPr>
      <w:r>
        <w:rPr>
          <w:rFonts w:ascii="宋体" w:hAnsi="宋体" w:cs="宋体"/>
          <w:kern w:val="0"/>
        </w:rPr>
        <w:t>房产测绘成果管理模块；</w:t>
      </w:r>
    </w:p>
    <w:p>
      <w:pPr>
        <w:widowControl/>
        <w:numPr>
          <w:ilvl w:val="1"/>
          <w:numId w:val="101"/>
        </w:numPr>
        <w:adjustRightInd/>
        <w:spacing w:before="100" w:beforeAutospacing="1" w:after="100" w:afterAutospacing="1" w:line="240" w:lineRule="auto"/>
        <w:rPr>
          <w:rFonts w:hint="eastAsia" w:ascii="宋体" w:hAnsi="宋体" w:cs="宋体"/>
          <w:kern w:val="0"/>
        </w:rPr>
      </w:pPr>
      <w:r>
        <w:rPr>
          <w:rFonts w:ascii="宋体" w:hAnsi="宋体" w:cs="宋体"/>
          <w:kern w:val="0"/>
        </w:rPr>
        <w:t xml:space="preserve">房产测绘成果信息发布利用模块。 </w:t>
      </w:r>
    </w:p>
    <w:p>
      <w:pPr>
        <w:widowControl/>
        <w:numPr>
          <w:ilvl w:val="0"/>
          <w:numId w:val="101"/>
        </w:numPr>
        <w:adjustRightInd/>
        <w:spacing w:before="100" w:beforeAutospacing="1" w:after="100" w:afterAutospacing="1" w:line="240" w:lineRule="auto"/>
        <w:rPr>
          <w:rFonts w:hint="eastAsia" w:ascii="宋体" w:hAnsi="宋体" w:cs="宋体"/>
          <w:kern w:val="0"/>
        </w:rPr>
      </w:pPr>
      <w:r>
        <w:rPr>
          <w:rFonts w:ascii="宋体" w:hAnsi="宋体" w:cs="宋体"/>
          <w:kern w:val="0"/>
        </w:rPr>
        <w:t>房产测绘业务办公模块应实现以测绘受理为起始，统一规范测绘业务流程，涵盖基础测绘和项目测绘等各项房产测绘业务，并具有业务统计分析的功能；</w:t>
      </w:r>
    </w:p>
    <w:p>
      <w:pPr>
        <w:widowControl/>
        <w:numPr>
          <w:ilvl w:val="0"/>
          <w:numId w:val="101"/>
        </w:numPr>
        <w:adjustRightInd/>
        <w:spacing w:before="100" w:beforeAutospacing="1" w:after="100" w:afterAutospacing="1" w:line="240" w:lineRule="auto"/>
        <w:rPr>
          <w:rFonts w:hint="eastAsia" w:ascii="宋体" w:hAnsi="宋体" w:cs="宋体"/>
          <w:kern w:val="0"/>
        </w:rPr>
      </w:pPr>
      <w:r>
        <w:rPr>
          <w:rFonts w:ascii="宋体" w:hAnsi="宋体" w:cs="宋体"/>
          <w:kern w:val="0"/>
        </w:rPr>
        <w:t>项目测绘管理模块应实现房屋分层分户平面图绘制、房屋面积分摊计算及房产测绘成果输出的功能；宜具有数据智能检查功能、AI智能应用功能；宜具有三维建筑模型生产功能；</w:t>
      </w:r>
    </w:p>
    <w:p>
      <w:pPr>
        <w:widowControl/>
        <w:numPr>
          <w:ilvl w:val="0"/>
          <w:numId w:val="101"/>
        </w:numPr>
        <w:adjustRightInd/>
        <w:spacing w:before="100" w:beforeAutospacing="1" w:after="100" w:afterAutospacing="1" w:line="240" w:lineRule="auto"/>
        <w:rPr>
          <w:rFonts w:hint="eastAsia" w:ascii="宋体" w:hAnsi="宋体" w:cs="宋体"/>
          <w:color w:val="000000"/>
          <w:kern w:val="0"/>
        </w:rPr>
      </w:pPr>
      <w:r>
        <w:rPr>
          <w:rFonts w:ascii="宋体" w:hAnsi="宋体" w:cs="宋体"/>
          <w:kern w:val="0"/>
        </w:rPr>
        <w:t>基础测绘管理模块应实现分幅分</w:t>
      </w:r>
      <w:r>
        <w:rPr>
          <w:rFonts w:ascii="宋体" w:hAnsi="宋体" w:cs="宋体"/>
          <w:color w:val="000000"/>
          <w:kern w:val="0"/>
        </w:rPr>
        <w:t>丘图测绘中房产地形要素的采集、房屋调查信息的录入、房屋编码、房屋图属关联、图形编辑、数据维护的功能；</w:t>
      </w:r>
    </w:p>
    <w:p>
      <w:pPr>
        <w:widowControl/>
        <w:numPr>
          <w:ilvl w:val="0"/>
          <w:numId w:val="101"/>
        </w:numPr>
        <w:adjustRightInd/>
        <w:spacing w:before="100" w:beforeAutospacing="1" w:after="100" w:afterAutospacing="1" w:line="240" w:lineRule="auto"/>
        <w:rPr>
          <w:rFonts w:hint="eastAsia" w:ascii="宋体" w:hAnsi="宋体" w:cs="宋体"/>
          <w:color w:val="000000"/>
          <w:kern w:val="0"/>
        </w:rPr>
      </w:pPr>
      <w:r>
        <w:rPr>
          <w:rFonts w:ascii="宋体" w:hAnsi="宋体" w:cs="宋体"/>
          <w:color w:val="000000"/>
          <w:kern w:val="0"/>
        </w:rPr>
        <w:t>测绘成果入库模块应实现房产预测绘、实测绘、变更测绘成果的数据检查、格式转换、数据处理、数据入库和房屋历史数据建立等功能；</w:t>
      </w:r>
    </w:p>
    <w:p>
      <w:pPr>
        <w:widowControl/>
        <w:numPr>
          <w:ilvl w:val="0"/>
          <w:numId w:val="101"/>
        </w:numPr>
        <w:adjustRightInd/>
        <w:spacing w:line="240" w:lineRule="auto"/>
        <w:ind w:left="840" w:hanging="420"/>
        <w:rPr>
          <w:rFonts w:hint="eastAsia" w:ascii="宋体" w:hAnsi="宋体" w:cs="宋体"/>
          <w:color w:val="000000"/>
          <w:kern w:val="0"/>
        </w:rPr>
      </w:pPr>
      <w:r>
        <w:rPr>
          <w:rFonts w:ascii="宋体" w:hAnsi="宋体" w:cs="宋体"/>
          <w:color w:val="000000"/>
          <w:kern w:val="0"/>
        </w:rPr>
        <w:t>测绘成果管理模块应实现测绘成果的信息浏览、更新、查询、统计等功能；</w:t>
      </w:r>
    </w:p>
    <w:p>
      <w:pPr>
        <w:widowControl/>
        <w:numPr>
          <w:ilvl w:val="0"/>
          <w:numId w:val="101"/>
        </w:numPr>
        <w:adjustRightInd/>
        <w:spacing w:line="240" w:lineRule="auto"/>
        <w:ind w:left="840" w:hanging="420"/>
        <w:rPr>
          <w:rFonts w:hint="eastAsia" w:ascii="宋体" w:hAnsi="宋体" w:cs="宋体"/>
          <w:kern w:val="0"/>
        </w:rPr>
      </w:pPr>
      <w:r>
        <w:rPr>
          <w:rFonts w:ascii="宋体" w:hAnsi="宋体" w:cs="宋体"/>
          <w:kern w:val="0"/>
        </w:rPr>
        <w:t>测绘成果信息发布利用模块应实现内外网业务办公、业务进度查询、相关测绘成果发布和数据共享的功能、AI智能应用功能，为科学决策提供数据基础。</w:t>
      </w:r>
    </w:p>
    <w:p>
      <w:pPr>
        <w:pStyle w:val="67"/>
        <w:spacing w:before="156" w:after="156"/>
      </w:pPr>
      <w:bookmarkStart w:id="489" w:name="_Toc404004910"/>
      <w:bookmarkEnd w:id="489"/>
      <w:bookmarkStart w:id="490" w:name="_Toc404085626"/>
      <w:r>
        <w:t>数据构成</w:t>
      </w:r>
      <w:bookmarkEnd w:id="490"/>
    </w:p>
    <w:p>
      <w:pPr>
        <w:widowControl/>
        <w:adjustRightInd/>
        <w:spacing w:line="240" w:lineRule="auto"/>
        <w:ind w:firstLine="420"/>
        <w:rPr>
          <w:rFonts w:hint="eastAsia" w:ascii="宋体" w:hAnsi="宋体" w:cs="宋体"/>
          <w:kern w:val="0"/>
        </w:rPr>
      </w:pPr>
      <w:r>
        <w:rPr>
          <w:rFonts w:ascii="宋体" w:hAnsi="宋体" w:cs="宋体"/>
          <w:kern w:val="0"/>
        </w:rPr>
        <w:t>房产测绘的业务管理和测绘成果数据应包括：测绘业务办公数据、项目测绘数据、空间基础数据、房屋楼盘成果数</w:t>
      </w:r>
      <w:r>
        <w:rPr>
          <w:rFonts w:ascii="宋体" w:hAnsi="宋体" w:cs="宋体"/>
          <w:color w:val="000000"/>
          <w:kern w:val="0"/>
        </w:rPr>
        <w:t>据、统计数据和发布数据等，各类数据内容要求如下：</w:t>
      </w:r>
    </w:p>
    <w:p>
      <w:pPr>
        <w:widowControl/>
        <w:numPr>
          <w:ilvl w:val="0"/>
          <w:numId w:val="102"/>
        </w:numPr>
        <w:adjustRightInd/>
        <w:spacing w:line="240" w:lineRule="auto"/>
        <w:ind w:left="840" w:hanging="420"/>
        <w:rPr>
          <w:rFonts w:hint="eastAsia" w:ascii="宋体" w:hAnsi="宋体" w:cs="宋体"/>
          <w:kern w:val="0"/>
        </w:rPr>
      </w:pPr>
      <w:r>
        <w:rPr>
          <w:rFonts w:ascii="宋体" w:hAnsi="宋体" w:cs="宋体"/>
          <w:kern w:val="0"/>
        </w:rPr>
        <w:t>测绘业务办公数据应包括房地产测绘活动中产生的各种必要的收件、流程、文档、收费等业务管理数据；</w:t>
      </w:r>
    </w:p>
    <w:p>
      <w:pPr>
        <w:widowControl/>
        <w:numPr>
          <w:ilvl w:val="0"/>
          <w:numId w:val="102"/>
        </w:numPr>
        <w:adjustRightInd/>
        <w:spacing w:line="240" w:lineRule="auto"/>
        <w:ind w:left="840" w:hanging="420"/>
        <w:rPr>
          <w:rFonts w:hint="eastAsia" w:ascii="宋体" w:hAnsi="宋体" w:cs="宋体"/>
          <w:kern w:val="0"/>
        </w:rPr>
      </w:pPr>
      <w:r>
        <w:rPr>
          <w:rFonts w:ascii="宋体" w:hAnsi="宋体" w:cs="宋体"/>
          <w:kern w:val="0"/>
        </w:rPr>
        <w:t>项目测绘数据应包括房产图（分丘图、分层图、分户图等）、房屋物理属性、分摊计算表格和技术报告等的数据；</w:t>
      </w:r>
    </w:p>
    <w:p>
      <w:pPr>
        <w:widowControl/>
        <w:numPr>
          <w:ilvl w:val="0"/>
          <w:numId w:val="102"/>
        </w:numPr>
        <w:adjustRightInd/>
        <w:spacing w:line="240" w:lineRule="auto"/>
        <w:ind w:left="840" w:hanging="420"/>
        <w:rPr>
          <w:rFonts w:hint="eastAsia" w:ascii="宋体" w:hAnsi="宋体" w:cs="宋体"/>
          <w:kern w:val="0"/>
        </w:rPr>
      </w:pPr>
      <w:r>
        <w:rPr>
          <w:rFonts w:ascii="宋体" w:hAnsi="宋体" w:cs="宋体"/>
          <w:kern w:val="0"/>
        </w:rPr>
        <w:t>空间基础数据应包括基础地形图、数字正射影像图、房产要素图形、数字栅格图等数据；</w:t>
      </w:r>
    </w:p>
    <w:p>
      <w:pPr>
        <w:widowControl/>
        <w:numPr>
          <w:ilvl w:val="0"/>
          <w:numId w:val="102"/>
        </w:numPr>
        <w:adjustRightInd/>
        <w:spacing w:line="240" w:lineRule="auto"/>
        <w:ind w:left="840" w:hanging="420"/>
        <w:rPr>
          <w:rFonts w:hint="eastAsia" w:ascii="宋体" w:hAnsi="宋体" w:cs="宋体"/>
          <w:kern w:val="0"/>
        </w:rPr>
      </w:pPr>
      <w:r>
        <w:rPr>
          <w:rFonts w:ascii="宋体" w:hAnsi="宋体" w:cs="宋体"/>
          <w:kern w:val="0"/>
        </w:rPr>
        <w:t>房屋楼盘成果数据应在测绘成果数据的基础上，形成幢、楼层、房屋户及房屋历史数据等楼盘要素数据；</w:t>
      </w:r>
    </w:p>
    <w:p>
      <w:pPr>
        <w:widowControl/>
        <w:numPr>
          <w:ilvl w:val="0"/>
          <w:numId w:val="102"/>
        </w:numPr>
        <w:adjustRightInd/>
        <w:spacing w:line="240" w:lineRule="auto"/>
        <w:ind w:left="840" w:hanging="420"/>
        <w:rPr>
          <w:rFonts w:hint="eastAsia" w:ascii="宋体" w:hAnsi="宋体" w:cs="宋体"/>
          <w:color w:val="000000"/>
          <w:kern w:val="0"/>
        </w:rPr>
      </w:pPr>
      <w:r>
        <w:rPr>
          <w:rFonts w:ascii="宋体" w:hAnsi="宋体" w:cs="宋体"/>
          <w:color w:val="000000"/>
          <w:kern w:val="0"/>
        </w:rPr>
        <w:t>统计数据和发布数据应包括根据需求所产生的统计成果和发布信息。</w:t>
      </w:r>
    </w:p>
    <w:p>
      <w:pPr>
        <w:pStyle w:val="67"/>
        <w:spacing w:before="156" w:after="156"/>
      </w:pPr>
      <w:bookmarkStart w:id="491" w:name="_Toc404004911"/>
      <w:bookmarkEnd w:id="491"/>
      <w:bookmarkStart w:id="492" w:name="_Toc404085627"/>
      <w:r>
        <w:t>各模块与数据之间的关系</w:t>
      </w:r>
      <w:bookmarkEnd w:id="492"/>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房产测绘信息化各模块与数据之间关系如下：</w:t>
      </w:r>
    </w:p>
    <w:p>
      <w:pPr>
        <w:widowControl/>
        <w:numPr>
          <w:ilvl w:val="0"/>
          <w:numId w:val="103"/>
        </w:numPr>
        <w:adjustRightInd/>
        <w:spacing w:line="240" w:lineRule="auto"/>
        <w:ind w:left="840" w:hanging="420"/>
        <w:rPr>
          <w:rFonts w:hint="eastAsia" w:ascii="宋体" w:hAnsi="宋体" w:cs="宋体"/>
          <w:kern w:val="0"/>
        </w:rPr>
      </w:pPr>
      <w:r>
        <w:rPr>
          <w:rFonts w:ascii="宋体" w:hAnsi="宋体" w:cs="宋体"/>
          <w:kern w:val="0"/>
        </w:rPr>
        <w:t>各模块与数据之间的关系；如图29所示</w:t>
      </w:r>
      <w:r>
        <w:rPr>
          <w:rFonts w:hint="eastAsia" w:ascii="宋体" w:hAnsi="宋体" w:cs="宋体"/>
          <w:kern w:val="0"/>
        </w:rPr>
        <w:t>；</w:t>
      </w:r>
    </w:p>
    <w:p>
      <w:pPr>
        <w:widowControl/>
        <w:adjustRightInd/>
        <w:spacing w:line="240" w:lineRule="auto"/>
        <w:ind w:firstLine="420"/>
        <w:jc w:val="center"/>
        <w:rPr>
          <w:rFonts w:hint="eastAsia" w:ascii="宋体" w:hAnsi="宋体" w:cs="宋体"/>
          <w:kern w:val="0"/>
        </w:rPr>
      </w:pPr>
      <w:r>
        <w:rPr>
          <w:rFonts w:ascii="宋体" w:hAnsi="宋体" w:cs="宋体"/>
          <w:kern w:val="0"/>
        </w:rPr>
        <w:drawing>
          <wp:inline distT="0" distB="0" distL="0" distR="0">
            <wp:extent cx="4056380" cy="3502025"/>
            <wp:effectExtent l="0" t="0" r="1270" b="3175"/>
            <wp:docPr id="82" name="图片 82" descr="C:\Users\jn\AppData\Local\Temp\ksohtml4520\wps47.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 name="图片 82" descr="C:\Users\jn\AppData\Local\Temp\ksohtml4520\wps47.jpg"/>
                    <pic:cNvPicPr>
                      <a:picLocks noChangeAspect="true" noChangeArrowheads="true"/>
                    </pic:cNvPicPr>
                  </pic:nvPicPr>
                  <pic:blipFill>
                    <a:blip r:embed="rId110">
                      <a:extLst>
                        <a:ext uri="{28A0092B-C50C-407E-A947-70E740481C1C}">
                          <a14:useLocalDpi xmlns:a14="http://schemas.microsoft.com/office/drawing/2010/main" val="false"/>
                        </a:ext>
                      </a:extLst>
                    </a:blip>
                    <a:srcRect/>
                    <a:stretch>
                      <a:fillRect/>
                    </a:stretch>
                  </pic:blipFill>
                  <pic:spPr>
                    <a:xfrm>
                      <a:off x="0" y="0"/>
                      <a:ext cx="4056380" cy="3502025"/>
                    </a:xfrm>
                    <a:prstGeom prst="rect">
                      <a:avLst/>
                    </a:prstGeom>
                    <a:noFill/>
                    <a:ln>
                      <a:noFill/>
                    </a:ln>
                  </pic:spPr>
                </pic:pic>
              </a:graphicData>
            </a:graphic>
          </wp:inline>
        </w:drawing>
      </w:r>
      <w:r>
        <w:rPr>
          <w:rFonts w:ascii="宋体" w:hAnsi="宋体" w:cs="宋体"/>
          <w:kern w:val="0"/>
        </w:rPr>
        <w:t xml:space="preserve"> </w:t>
      </w:r>
    </w:p>
    <w:p>
      <w:pPr>
        <w:pStyle w:val="116"/>
        <w:spacing w:before="156" w:after="156"/>
      </w:pPr>
      <w:r>
        <w:t>各模块与数据之间的关系</w:t>
      </w:r>
    </w:p>
    <w:p>
      <w:pPr>
        <w:widowControl/>
        <w:numPr>
          <w:ilvl w:val="0"/>
          <w:numId w:val="103"/>
        </w:numPr>
        <w:adjustRightInd/>
        <w:spacing w:line="240" w:lineRule="auto"/>
        <w:ind w:left="840" w:hanging="420"/>
        <w:rPr>
          <w:rFonts w:hint="eastAsia" w:ascii="宋体" w:hAnsi="宋体" w:cs="宋体"/>
          <w:kern w:val="0"/>
        </w:rPr>
      </w:pPr>
      <w:r>
        <w:rPr>
          <w:rFonts w:ascii="宋体" w:hAnsi="宋体" w:cs="宋体"/>
          <w:kern w:val="0"/>
        </w:rPr>
        <w:t xml:space="preserve">房产测绘业务办公模块应基于办公流程数据，生成测绘项目登记信息、收件、案件流程数据和收费数据； </w:t>
      </w:r>
    </w:p>
    <w:p>
      <w:pPr>
        <w:widowControl/>
        <w:numPr>
          <w:ilvl w:val="0"/>
          <w:numId w:val="103"/>
        </w:numPr>
        <w:adjustRightInd/>
        <w:spacing w:line="240" w:lineRule="auto"/>
        <w:ind w:left="840" w:hanging="420"/>
        <w:rPr>
          <w:rFonts w:hint="eastAsia" w:ascii="宋体" w:hAnsi="宋体" w:cs="宋体"/>
          <w:kern w:val="0"/>
        </w:rPr>
      </w:pPr>
      <w:r>
        <w:rPr>
          <w:rFonts w:ascii="宋体" w:hAnsi="宋体" w:cs="宋体"/>
          <w:kern w:val="0"/>
        </w:rPr>
        <w:t>项目测绘管理模块应基于项目测绘数据，对接办公流程数据，生成房屋物理楼盘数据；</w:t>
      </w:r>
    </w:p>
    <w:p>
      <w:pPr>
        <w:widowControl/>
        <w:numPr>
          <w:ilvl w:val="0"/>
          <w:numId w:val="103"/>
        </w:numPr>
        <w:adjustRightInd/>
        <w:spacing w:line="240" w:lineRule="auto"/>
        <w:ind w:left="840" w:hanging="420"/>
        <w:rPr>
          <w:rFonts w:hint="eastAsia" w:ascii="宋体" w:hAnsi="宋体" w:cs="宋体"/>
          <w:kern w:val="0"/>
        </w:rPr>
      </w:pPr>
      <w:r>
        <w:rPr>
          <w:rFonts w:ascii="宋体" w:hAnsi="宋体" w:cs="宋体"/>
          <w:kern w:val="0"/>
        </w:rPr>
        <w:t>基础测绘管理模块应基于房产空间基础数据，对接项目测绘数据，生成符合房产测绘成果管理的基础数据；</w:t>
      </w:r>
    </w:p>
    <w:p>
      <w:pPr>
        <w:widowControl/>
        <w:numPr>
          <w:ilvl w:val="0"/>
          <w:numId w:val="103"/>
        </w:numPr>
        <w:adjustRightInd/>
        <w:spacing w:line="240" w:lineRule="auto"/>
        <w:ind w:left="840" w:hanging="420"/>
        <w:rPr>
          <w:rFonts w:hint="eastAsia" w:ascii="宋体" w:hAnsi="宋体" w:cs="宋体"/>
          <w:kern w:val="0"/>
        </w:rPr>
      </w:pPr>
      <w:r>
        <w:rPr>
          <w:rFonts w:ascii="宋体" w:hAnsi="宋体" w:cs="宋体"/>
          <w:kern w:val="0"/>
        </w:rPr>
        <w:t xml:space="preserve">测绘成果入库模块应基于测绘成果数据，提取相应测绘数据更新至房屋楼盘成果数据中； </w:t>
      </w:r>
    </w:p>
    <w:p>
      <w:pPr>
        <w:widowControl/>
        <w:numPr>
          <w:ilvl w:val="0"/>
          <w:numId w:val="103"/>
        </w:numPr>
        <w:adjustRightInd/>
        <w:spacing w:line="240" w:lineRule="auto"/>
        <w:ind w:left="840" w:hanging="420"/>
        <w:rPr>
          <w:rFonts w:hint="eastAsia" w:ascii="宋体" w:hAnsi="宋体" w:cs="宋体"/>
          <w:kern w:val="0"/>
        </w:rPr>
      </w:pPr>
      <w:r>
        <w:rPr>
          <w:rFonts w:ascii="宋体" w:hAnsi="宋体" w:cs="宋体"/>
          <w:kern w:val="0"/>
        </w:rPr>
        <w:t xml:space="preserve">测绘成果管理模块应查询和管理房产空间基础数据和房屋楼盘成果数据； </w:t>
      </w:r>
    </w:p>
    <w:p>
      <w:pPr>
        <w:widowControl/>
        <w:numPr>
          <w:ilvl w:val="0"/>
          <w:numId w:val="103"/>
        </w:numPr>
        <w:adjustRightInd/>
        <w:spacing w:line="240" w:lineRule="auto"/>
        <w:ind w:left="840" w:hanging="420"/>
        <w:rPr>
          <w:rFonts w:hint="eastAsia" w:ascii="宋体" w:hAnsi="宋体" w:cs="宋体"/>
          <w:kern w:val="0"/>
        </w:rPr>
      </w:pPr>
      <w:r>
        <w:rPr>
          <w:rFonts w:ascii="宋体" w:hAnsi="宋体" w:cs="宋体"/>
          <w:kern w:val="0"/>
        </w:rPr>
        <w:t xml:space="preserve">测绘成果信息发布利用模块应基于测绘业务数据、测绘成果数据进行提炼和分析，生成统计数据和发布数据； </w:t>
      </w:r>
    </w:p>
    <w:p>
      <w:pPr>
        <w:widowControl/>
        <w:numPr>
          <w:ilvl w:val="0"/>
          <w:numId w:val="103"/>
        </w:numPr>
        <w:adjustRightInd/>
        <w:spacing w:line="240" w:lineRule="auto"/>
        <w:ind w:left="840" w:hanging="420"/>
        <w:rPr>
          <w:rFonts w:hint="eastAsia" w:ascii="宋体" w:hAnsi="宋体" w:cs="宋体"/>
          <w:kern w:val="0"/>
        </w:rPr>
      </w:pPr>
      <w:r>
        <w:rPr>
          <w:rFonts w:ascii="宋体" w:hAnsi="宋体" w:cs="宋体"/>
          <w:kern w:val="0"/>
        </w:rPr>
        <w:t>各模块之间的数据交换宜采用数据库或数据文件方式实现。</w:t>
      </w:r>
    </w:p>
    <w:p>
      <w:pPr>
        <w:pStyle w:val="67"/>
        <w:spacing w:before="156" w:after="156"/>
      </w:pPr>
      <w:bookmarkStart w:id="493" w:name="_Toc404004912"/>
      <w:bookmarkEnd w:id="493"/>
      <w:bookmarkStart w:id="494" w:name="_Toc404085628"/>
      <w:r>
        <w:t>房产测绘业务办公模块功能要求</w:t>
      </w:r>
      <w:bookmarkEnd w:id="494"/>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房产测绘业务办公模块功能要求如下：</w:t>
      </w:r>
    </w:p>
    <w:p>
      <w:pPr>
        <w:widowControl/>
        <w:numPr>
          <w:ilvl w:val="0"/>
          <w:numId w:val="104"/>
        </w:numPr>
        <w:adjustRightInd/>
        <w:spacing w:line="240" w:lineRule="auto"/>
        <w:ind w:left="840" w:hanging="420"/>
        <w:rPr>
          <w:rFonts w:hint="eastAsia" w:ascii="宋体" w:hAnsi="宋体" w:cs="宋体"/>
          <w:kern w:val="0"/>
        </w:rPr>
      </w:pPr>
      <w:r>
        <w:rPr>
          <w:rFonts w:ascii="宋体" w:hAnsi="宋体" w:cs="宋体"/>
          <w:kern w:val="0"/>
        </w:rPr>
        <w:t>房屋预、实测、面积调查、变更测绘等业务应在房产测绘业务办公模块中统一登记管理；</w:t>
      </w:r>
    </w:p>
    <w:p>
      <w:pPr>
        <w:widowControl/>
        <w:numPr>
          <w:ilvl w:val="0"/>
          <w:numId w:val="104"/>
        </w:numPr>
        <w:adjustRightInd/>
        <w:spacing w:line="240" w:lineRule="auto"/>
        <w:ind w:left="840" w:hanging="420"/>
        <w:rPr>
          <w:rFonts w:hint="eastAsia" w:ascii="宋体" w:hAnsi="宋体" w:cs="宋体"/>
          <w:kern w:val="0"/>
        </w:rPr>
      </w:pPr>
      <w:r>
        <w:rPr>
          <w:rFonts w:ascii="宋体" w:hAnsi="宋体" w:cs="宋体"/>
          <w:kern w:val="0"/>
        </w:rPr>
        <w:t>各业务节点的操作应能在房产测绘业务办公模块进行记录；</w:t>
      </w:r>
    </w:p>
    <w:p>
      <w:pPr>
        <w:widowControl/>
        <w:numPr>
          <w:ilvl w:val="0"/>
          <w:numId w:val="104"/>
        </w:numPr>
        <w:adjustRightInd/>
        <w:spacing w:line="240" w:lineRule="auto"/>
        <w:ind w:left="840" w:hanging="420"/>
        <w:rPr>
          <w:rFonts w:hint="eastAsia" w:ascii="宋体" w:hAnsi="宋体" w:cs="宋体"/>
          <w:kern w:val="0"/>
        </w:rPr>
      </w:pPr>
      <w:r>
        <w:rPr>
          <w:rFonts w:ascii="宋体" w:hAnsi="宋体" w:cs="宋体"/>
          <w:kern w:val="0"/>
        </w:rPr>
        <w:t>房产测绘业务办公模块应提供与项目测绘管理模块和基础测绘管理模块的接口；</w:t>
      </w:r>
    </w:p>
    <w:p>
      <w:pPr>
        <w:widowControl/>
        <w:numPr>
          <w:ilvl w:val="0"/>
          <w:numId w:val="104"/>
        </w:numPr>
        <w:adjustRightInd/>
        <w:spacing w:line="240" w:lineRule="auto"/>
        <w:ind w:left="840" w:hanging="420"/>
        <w:rPr>
          <w:rFonts w:hint="eastAsia" w:ascii="宋体" w:hAnsi="宋体" w:cs="宋体"/>
          <w:kern w:val="0"/>
        </w:rPr>
      </w:pPr>
      <w:r>
        <w:rPr>
          <w:rFonts w:ascii="宋体" w:hAnsi="宋体" w:cs="宋体"/>
          <w:kern w:val="0"/>
        </w:rPr>
        <w:t>宜包含业务受理、合同签订、任务分配、质量审核、测绘成果生成，资料归档和查询统计等功能。</w:t>
      </w:r>
    </w:p>
    <w:p>
      <w:pPr>
        <w:pStyle w:val="67"/>
        <w:spacing w:before="156" w:after="156"/>
      </w:pPr>
      <w:bookmarkStart w:id="495" w:name="_Toc404004913"/>
      <w:bookmarkEnd w:id="495"/>
      <w:bookmarkStart w:id="496" w:name="_Toc404085629"/>
      <w:r>
        <w:t>项目测绘管理模块的功能要求</w:t>
      </w:r>
      <w:bookmarkEnd w:id="496"/>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项目测绘管理模块的功能要求如下：</w:t>
      </w:r>
    </w:p>
    <w:p>
      <w:pPr>
        <w:widowControl/>
        <w:numPr>
          <w:ilvl w:val="0"/>
          <w:numId w:val="105"/>
        </w:numPr>
        <w:adjustRightInd/>
        <w:spacing w:line="240" w:lineRule="auto"/>
        <w:ind w:left="840" w:hanging="420"/>
        <w:rPr>
          <w:rFonts w:hint="eastAsia" w:ascii="宋体" w:hAnsi="宋体" w:cs="宋体"/>
          <w:kern w:val="0"/>
        </w:rPr>
      </w:pPr>
      <w:r>
        <w:rPr>
          <w:rFonts w:ascii="宋体" w:hAnsi="宋体" w:cs="宋体"/>
          <w:kern w:val="0"/>
        </w:rPr>
        <w:t>应具有房屋分层平面图的绘制与编辑、多级分摊模型的自由设定与存储、自动分摊计算等功能；</w:t>
      </w:r>
    </w:p>
    <w:p>
      <w:pPr>
        <w:widowControl/>
        <w:numPr>
          <w:ilvl w:val="0"/>
          <w:numId w:val="105"/>
        </w:numPr>
        <w:adjustRightInd/>
        <w:spacing w:line="240" w:lineRule="auto"/>
        <w:ind w:left="840" w:hanging="420"/>
        <w:rPr>
          <w:rFonts w:hint="eastAsia" w:ascii="宋体" w:hAnsi="宋体" w:cs="宋体"/>
          <w:kern w:val="0"/>
        </w:rPr>
      </w:pPr>
      <w:r>
        <w:rPr>
          <w:rFonts w:ascii="宋体" w:hAnsi="宋体" w:cs="宋体"/>
          <w:kern w:val="0"/>
        </w:rPr>
        <w:t>应自动生成分摊计算报表、各种类型统计报表，自动批量输出房产分层、分户成果图形数据，支持生成DWF图形数据发布格式，并实现批量打印；</w:t>
      </w:r>
    </w:p>
    <w:p>
      <w:pPr>
        <w:widowControl/>
        <w:numPr>
          <w:ilvl w:val="0"/>
          <w:numId w:val="105"/>
        </w:numPr>
        <w:adjustRightInd/>
        <w:spacing w:line="240" w:lineRule="auto"/>
        <w:ind w:left="840" w:hanging="420"/>
        <w:rPr>
          <w:rFonts w:hint="eastAsia" w:ascii="宋体" w:hAnsi="宋体" w:cs="宋体"/>
          <w:kern w:val="0"/>
        </w:rPr>
      </w:pPr>
      <w:r>
        <w:rPr>
          <w:rFonts w:ascii="宋体" w:hAnsi="宋体" w:cs="宋体"/>
          <w:kern w:val="0"/>
        </w:rPr>
        <w:t>应支持DWG格式数据导入使用，房产成果图格式支持DWG格式输出，且能一键保存成JPG、PDF等格式；</w:t>
      </w:r>
    </w:p>
    <w:p>
      <w:pPr>
        <w:widowControl/>
        <w:numPr>
          <w:ilvl w:val="0"/>
          <w:numId w:val="105"/>
        </w:numPr>
        <w:adjustRightInd/>
        <w:spacing w:line="240" w:lineRule="auto"/>
        <w:ind w:left="840" w:hanging="420"/>
        <w:rPr>
          <w:rFonts w:hint="eastAsia" w:ascii="宋体" w:hAnsi="宋体" w:cs="宋体"/>
          <w:kern w:val="0"/>
        </w:rPr>
      </w:pPr>
      <w:r>
        <w:rPr>
          <w:rFonts w:ascii="宋体" w:hAnsi="宋体" w:cs="宋体"/>
          <w:kern w:val="0"/>
        </w:rPr>
        <w:t>应支持数据的版本管理，为变更测绘提供历史数据自动对比；</w:t>
      </w:r>
    </w:p>
    <w:p>
      <w:pPr>
        <w:widowControl/>
        <w:numPr>
          <w:ilvl w:val="0"/>
          <w:numId w:val="105"/>
        </w:numPr>
        <w:adjustRightInd/>
        <w:spacing w:line="240" w:lineRule="auto"/>
        <w:ind w:left="840" w:hanging="420"/>
        <w:rPr>
          <w:rFonts w:hint="eastAsia" w:ascii="宋体" w:hAnsi="宋体" w:cs="宋体"/>
          <w:kern w:val="0"/>
        </w:rPr>
      </w:pPr>
      <w:r>
        <w:rPr>
          <w:rFonts w:ascii="宋体" w:hAnsi="宋体" w:cs="宋体"/>
          <w:kern w:val="0"/>
        </w:rPr>
        <w:t>应支持幢、层图形数据的导入导出，支持数据交换和重复利用；</w:t>
      </w:r>
    </w:p>
    <w:p>
      <w:pPr>
        <w:widowControl/>
        <w:numPr>
          <w:ilvl w:val="0"/>
          <w:numId w:val="105"/>
        </w:numPr>
        <w:adjustRightInd/>
        <w:spacing w:line="240" w:lineRule="auto"/>
        <w:ind w:left="840" w:hanging="420"/>
        <w:rPr>
          <w:rFonts w:hint="eastAsia" w:ascii="宋体" w:hAnsi="宋体" w:cs="宋体"/>
          <w:kern w:val="0"/>
        </w:rPr>
      </w:pPr>
      <w:r>
        <w:rPr>
          <w:rFonts w:ascii="宋体" w:hAnsi="宋体" w:cs="宋体"/>
          <w:kern w:val="0"/>
        </w:rPr>
        <w:t>应与房产测绘业务办公模块业务数据进行对接；</w:t>
      </w:r>
    </w:p>
    <w:p>
      <w:pPr>
        <w:widowControl/>
        <w:numPr>
          <w:ilvl w:val="0"/>
          <w:numId w:val="105"/>
        </w:numPr>
        <w:adjustRightInd/>
        <w:spacing w:line="240" w:lineRule="auto"/>
        <w:ind w:left="840" w:hanging="420"/>
        <w:rPr>
          <w:rFonts w:hint="eastAsia" w:ascii="宋体" w:hAnsi="宋体" w:cs="宋体"/>
          <w:kern w:val="0"/>
        </w:rPr>
      </w:pPr>
      <w:r>
        <w:rPr>
          <w:rFonts w:ascii="宋体" w:hAnsi="宋体" w:cs="宋体"/>
          <w:kern w:val="0"/>
        </w:rPr>
        <w:t>宜具有数据智能检查功能：</w:t>
      </w:r>
    </w:p>
    <w:p>
      <w:pPr>
        <w:widowControl/>
        <w:numPr>
          <w:ilvl w:val="1"/>
          <w:numId w:val="106"/>
        </w:numPr>
        <w:adjustRightInd/>
        <w:spacing w:line="240" w:lineRule="auto"/>
        <w:rPr>
          <w:rFonts w:hint="eastAsia" w:ascii="宋体" w:hAnsi="宋体" w:cs="宋体"/>
          <w:kern w:val="0"/>
        </w:rPr>
      </w:pPr>
      <w:r>
        <w:rPr>
          <w:rFonts w:ascii="宋体" w:hAnsi="宋体" w:cs="宋体"/>
          <w:kern w:val="0"/>
        </w:rPr>
        <w:t>通过渲染进行各类实体属性区分；</w:t>
      </w:r>
    </w:p>
    <w:p>
      <w:pPr>
        <w:widowControl/>
        <w:numPr>
          <w:ilvl w:val="1"/>
          <w:numId w:val="106"/>
        </w:numPr>
        <w:adjustRightInd/>
        <w:spacing w:line="240" w:lineRule="auto"/>
        <w:rPr>
          <w:rFonts w:hint="eastAsia" w:ascii="宋体" w:hAnsi="宋体" w:cs="宋体"/>
          <w:kern w:val="0"/>
        </w:rPr>
      </w:pPr>
      <w:r>
        <w:rPr>
          <w:rFonts w:ascii="宋体" w:hAnsi="宋体" w:cs="宋体"/>
          <w:kern w:val="0"/>
        </w:rPr>
        <w:t>宜具有面积分摊前后自动校核；</w:t>
      </w:r>
    </w:p>
    <w:p>
      <w:pPr>
        <w:widowControl/>
        <w:numPr>
          <w:ilvl w:val="1"/>
          <w:numId w:val="106"/>
        </w:numPr>
        <w:adjustRightInd/>
        <w:spacing w:line="240" w:lineRule="auto"/>
        <w:rPr>
          <w:rFonts w:hint="eastAsia" w:ascii="宋体" w:hAnsi="宋体" w:cs="宋体"/>
          <w:kern w:val="0"/>
        </w:rPr>
      </w:pPr>
      <w:r>
        <w:rPr>
          <w:rFonts w:ascii="宋体" w:hAnsi="宋体" w:cs="宋体"/>
          <w:kern w:val="0"/>
        </w:rPr>
        <w:t>自动生成户室、楼层、幢的面积计算公式并与图形面积进行校核；</w:t>
      </w:r>
    </w:p>
    <w:p>
      <w:pPr>
        <w:widowControl/>
        <w:numPr>
          <w:ilvl w:val="1"/>
          <w:numId w:val="106"/>
        </w:numPr>
        <w:adjustRightInd/>
        <w:spacing w:line="240" w:lineRule="auto"/>
        <w:rPr>
          <w:rFonts w:hint="eastAsia" w:ascii="宋体" w:hAnsi="宋体" w:cs="宋体"/>
          <w:kern w:val="0"/>
        </w:rPr>
      </w:pPr>
      <w:r>
        <w:rPr>
          <w:rFonts w:ascii="宋体" w:hAnsi="宋体" w:cs="宋体"/>
          <w:kern w:val="0"/>
        </w:rPr>
        <w:t>提供多种图形辅助检查功能，如闭合检查、重复检查、遗漏检查等。</w:t>
      </w:r>
    </w:p>
    <w:p>
      <w:pPr>
        <w:widowControl/>
        <w:numPr>
          <w:ilvl w:val="0"/>
          <w:numId w:val="105"/>
        </w:numPr>
        <w:adjustRightInd/>
        <w:spacing w:line="240" w:lineRule="auto"/>
        <w:ind w:left="840" w:hanging="420"/>
        <w:rPr>
          <w:rFonts w:hint="eastAsia" w:ascii="宋体" w:hAnsi="宋体" w:cs="宋体"/>
          <w:kern w:val="0"/>
        </w:rPr>
      </w:pPr>
      <w:r>
        <w:rPr>
          <w:rFonts w:ascii="宋体" w:hAnsi="宋体" w:cs="宋体"/>
          <w:kern w:val="0"/>
        </w:rPr>
        <w:t>宜具有AI智能应用：</w:t>
      </w:r>
    </w:p>
    <w:p>
      <w:pPr>
        <w:widowControl/>
        <w:numPr>
          <w:ilvl w:val="1"/>
          <w:numId w:val="107"/>
        </w:numPr>
        <w:adjustRightInd/>
        <w:spacing w:line="240" w:lineRule="auto"/>
        <w:rPr>
          <w:rFonts w:hint="eastAsia" w:ascii="宋体" w:hAnsi="宋体" w:cs="宋体"/>
          <w:kern w:val="0"/>
        </w:rPr>
      </w:pPr>
      <w:r>
        <w:rPr>
          <w:rFonts w:ascii="宋体" w:hAnsi="宋体" w:cs="宋体"/>
          <w:kern w:val="0"/>
        </w:rPr>
        <w:t>智能问答指导作业生产；</w:t>
      </w:r>
    </w:p>
    <w:p>
      <w:pPr>
        <w:widowControl/>
        <w:numPr>
          <w:ilvl w:val="1"/>
          <w:numId w:val="107"/>
        </w:numPr>
        <w:adjustRightInd/>
        <w:spacing w:line="240" w:lineRule="auto"/>
        <w:rPr>
          <w:rFonts w:hint="eastAsia" w:ascii="宋体" w:hAnsi="宋体" w:cs="宋体"/>
          <w:kern w:val="0"/>
        </w:rPr>
      </w:pPr>
      <w:r>
        <w:rPr>
          <w:rFonts w:ascii="宋体" w:hAnsi="宋体" w:cs="宋体"/>
          <w:kern w:val="0"/>
        </w:rPr>
        <w:t>智能分摊模型推荐功能。</w:t>
      </w:r>
    </w:p>
    <w:p>
      <w:pPr>
        <w:widowControl/>
        <w:numPr>
          <w:ilvl w:val="0"/>
          <w:numId w:val="105"/>
        </w:numPr>
        <w:adjustRightInd/>
        <w:spacing w:line="240" w:lineRule="auto"/>
        <w:ind w:left="840" w:hanging="420"/>
        <w:rPr>
          <w:rFonts w:hint="eastAsia" w:ascii="宋体" w:hAnsi="宋体" w:cs="宋体"/>
          <w:kern w:val="0"/>
        </w:rPr>
      </w:pPr>
      <w:r>
        <w:rPr>
          <w:rFonts w:ascii="宋体" w:hAnsi="宋体" w:cs="宋体"/>
          <w:kern w:val="0"/>
        </w:rPr>
        <w:t>宜具有基于房产测绘成果的三维建筑模型生产功能：</w:t>
      </w:r>
    </w:p>
    <w:p>
      <w:pPr>
        <w:widowControl/>
        <w:numPr>
          <w:ilvl w:val="1"/>
          <w:numId w:val="108"/>
        </w:numPr>
        <w:adjustRightInd/>
        <w:spacing w:line="240" w:lineRule="auto"/>
        <w:rPr>
          <w:rFonts w:hint="eastAsia" w:ascii="宋体" w:hAnsi="宋体" w:cs="宋体"/>
          <w:kern w:val="0"/>
        </w:rPr>
      </w:pPr>
      <w:r>
        <w:rPr>
          <w:rFonts w:ascii="宋体" w:hAnsi="宋体" w:cs="宋体"/>
          <w:kern w:val="0"/>
        </w:rPr>
        <w:t>楼层坐标配准和批量设置标高功能；</w:t>
      </w:r>
    </w:p>
    <w:p>
      <w:pPr>
        <w:widowControl/>
        <w:numPr>
          <w:ilvl w:val="1"/>
          <w:numId w:val="108"/>
        </w:numPr>
        <w:adjustRightInd/>
        <w:spacing w:line="240" w:lineRule="auto"/>
        <w:rPr>
          <w:rFonts w:hint="eastAsia" w:ascii="宋体" w:hAnsi="宋体" w:cs="宋体"/>
          <w:kern w:val="0"/>
        </w:rPr>
      </w:pPr>
      <w:r>
        <w:rPr>
          <w:rFonts w:ascii="宋体" w:hAnsi="宋体" w:cs="宋体"/>
          <w:kern w:val="0"/>
        </w:rPr>
        <w:t>三维建筑模型风格设置功能；</w:t>
      </w:r>
    </w:p>
    <w:p>
      <w:pPr>
        <w:widowControl/>
        <w:numPr>
          <w:ilvl w:val="1"/>
          <w:numId w:val="108"/>
        </w:numPr>
        <w:adjustRightInd/>
        <w:spacing w:line="240" w:lineRule="auto"/>
        <w:rPr>
          <w:rFonts w:hint="eastAsia" w:ascii="宋体" w:hAnsi="宋体" w:cs="宋体"/>
          <w:kern w:val="0"/>
        </w:rPr>
      </w:pPr>
      <w:r>
        <w:rPr>
          <w:rFonts w:ascii="宋体" w:hAnsi="宋体" w:cs="宋体"/>
          <w:kern w:val="0"/>
        </w:rPr>
        <w:t>三维建筑模型预览和一键导出OBJ、GLTF、IFC等通用三维格式文件功能。</w:t>
      </w:r>
    </w:p>
    <w:p>
      <w:pPr>
        <w:pStyle w:val="67"/>
        <w:spacing w:before="156" w:after="156"/>
      </w:pPr>
      <w:bookmarkStart w:id="497" w:name="_Toc404004914"/>
      <w:bookmarkEnd w:id="497"/>
      <w:bookmarkStart w:id="498" w:name="_Toc404085630"/>
      <w:r>
        <w:t>基础测绘管理模块的功能要求</w:t>
      </w:r>
      <w:bookmarkEnd w:id="498"/>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基础测绘管理模块的功能要求如下：</w:t>
      </w:r>
    </w:p>
    <w:p>
      <w:pPr>
        <w:widowControl/>
        <w:numPr>
          <w:ilvl w:val="0"/>
          <w:numId w:val="109"/>
        </w:numPr>
        <w:adjustRightInd/>
        <w:spacing w:line="240" w:lineRule="auto"/>
        <w:ind w:left="840" w:hanging="420"/>
        <w:rPr>
          <w:rFonts w:hint="eastAsia" w:ascii="宋体" w:hAnsi="宋体" w:cs="宋体"/>
          <w:kern w:val="0"/>
        </w:rPr>
      </w:pPr>
      <w:r>
        <w:rPr>
          <w:rFonts w:ascii="宋体" w:hAnsi="宋体" w:cs="宋体"/>
          <w:kern w:val="0"/>
        </w:rPr>
        <w:t>图形数据入库：对已有的符合GIS数据标准要求的图形数据进行数据处理、质量检查、格式转换，并依据相关标准和规范进行数据入库；</w:t>
      </w:r>
    </w:p>
    <w:p>
      <w:pPr>
        <w:widowControl/>
        <w:numPr>
          <w:ilvl w:val="0"/>
          <w:numId w:val="109"/>
        </w:numPr>
        <w:adjustRightInd/>
        <w:spacing w:line="240" w:lineRule="auto"/>
        <w:ind w:left="840" w:hanging="420"/>
        <w:rPr>
          <w:rFonts w:hint="eastAsia" w:ascii="宋体" w:hAnsi="宋体" w:cs="宋体"/>
          <w:kern w:val="0"/>
        </w:rPr>
      </w:pPr>
      <w:r>
        <w:rPr>
          <w:rFonts w:ascii="宋体" w:hAnsi="宋体" w:cs="宋体"/>
          <w:kern w:val="0"/>
        </w:rPr>
        <w:t>房屋编码：应按照JGJ/T 496的相关要求建立房屋唯一编码；</w:t>
      </w:r>
    </w:p>
    <w:p>
      <w:pPr>
        <w:widowControl/>
        <w:numPr>
          <w:ilvl w:val="0"/>
          <w:numId w:val="109"/>
        </w:numPr>
        <w:adjustRightInd/>
        <w:spacing w:line="240" w:lineRule="auto"/>
        <w:ind w:left="840" w:hanging="420"/>
        <w:rPr>
          <w:rFonts w:hint="eastAsia" w:ascii="宋体" w:hAnsi="宋体" w:cs="宋体"/>
          <w:kern w:val="0"/>
        </w:rPr>
      </w:pPr>
      <w:r>
        <w:rPr>
          <w:rFonts w:ascii="宋体" w:hAnsi="宋体" w:cs="宋体"/>
          <w:kern w:val="0"/>
        </w:rPr>
        <w:t>数据维护与管理：根据外业房屋调查信息，维护楼幢的层次、建筑结构、房屋坐落等物理属性信息，同时自动维护幢内的户的地址、房屋编码等信息；依据测绘项目规定区域内地形及房屋变化的现状，对区域内的相应要素进行修补测，保证图形数据现势性；</w:t>
      </w:r>
    </w:p>
    <w:p>
      <w:pPr>
        <w:widowControl/>
        <w:numPr>
          <w:ilvl w:val="0"/>
          <w:numId w:val="109"/>
        </w:numPr>
        <w:adjustRightInd/>
        <w:spacing w:line="240" w:lineRule="auto"/>
        <w:ind w:left="840" w:hanging="420"/>
        <w:rPr>
          <w:rFonts w:hint="eastAsia" w:ascii="宋体" w:hAnsi="宋体" w:cs="宋体"/>
          <w:kern w:val="0"/>
        </w:rPr>
      </w:pPr>
      <w:r>
        <w:rPr>
          <w:rFonts w:ascii="宋体" w:hAnsi="宋体" w:cs="宋体"/>
          <w:kern w:val="0"/>
        </w:rPr>
        <w:t>图形数据源配置：实现多数据格式、多数据源、多服务器空间数据源的统一集中的管理模式，依托空间数据库引擎，支持分布式地理数据库管理，方便空间数据组织管理和专题图配置；</w:t>
      </w:r>
    </w:p>
    <w:p>
      <w:pPr>
        <w:widowControl/>
        <w:numPr>
          <w:ilvl w:val="0"/>
          <w:numId w:val="109"/>
        </w:numPr>
        <w:adjustRightInd/>
        <w:spacing w:line="240" w:lineRule="auto"/>
        <w:ind w:left="840" w:hanging="420"/>
        <w:rPr>
          <w:rFonts w:hint="eastAsia" w:ascii="宋体" w:hAnsi="宋体" w:cs="宋体"/>
          <w:kern w:val="0"/>
        </w:rPr>
      </w:pPr>
      <w:r>
        <w:rPr>
          <w:rFonts w:ascii="宋体" w:hAnsi="宋体" w:cs="宋体"/>
          <w:kern w:val="0"/>
        </w:rPr>
        <w:t>基本地理信息系统（GIS）功能：包括图形浏览和查询、图层管理、影像图叠加、动态标注、地理查询和定位、图属互查、制图输出、统计和空间分析等,宜支持三维建筑模型数据浏览显示；</w:t>
      </w:r>
    </w:p>
    <w:p>
      <w:pPr>
        <w:widowControl/>
        <w:numPr>
          <w:ilvl w:val="0"/>
          <w:numId w:val="109"/>
        </w:numPr>
        <w:adjustRightInd/>
        <w:spacing w:line="240" w:lineRule="auto"/>
        <w:ind w:left="840" w:hanging="420"/>
        <w:rPr>
          <w:rFonts w:hint="eastAsia" w:ascii="宋体" w:hAnsi="宋体" w:cs="宋体"/>
          <w:kern w:val="0"/>
        </w:rPr>
      </w:pPr>
      <w:r>
        <w:rPr>
          <w:rFonts w:ascii="宋体" w:hAnsi="宋体" w:cs="宋体"/>
          <w:kern w:val="0"/>
        </w:rPr>
        <w:t>应与项目测绘管理模块生产的房屋楼盘数据进行对接。</w:t>
      </w:r>
    </w:p>
    <w:p>
      <w:pPr>
        <w:pStyle w:val="67"/>
        <w:spacing w:before="156" w:after="156"/>
      </w:pPr>
      <w:bookmarkStart w:id="499" w:name="_Toc404004915"/>
      <w:bookmarkEnd w:id="499"/>
      <w:bookmarkStart w:id="500" w:name="_Toc404085631"/>
      <w:r>
        <w:t>测绘成果入库模块的功能要求</w:t>
      </w:r>
      <w:bookmarkEnd w:id="500"/>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测绘成果入库模块的功能要求如下：</w:t>
      </w:r>
    </w:p>
    <w:p>
      <w:pPr>
        <w:widowControl/>
        <w:numPr>
          <w:ilvl w:val="0"/>
          <w:numId w:val="110"/>
        </w:numPr>
        <w:adjustRightInd/>
        <w:spacing w:line="240" w:lineRule="auto"/>
        <w:ind w:left="840" w:hanging="420"/>
        <w:rPr>
          <w:rFonts w:hint="eastAsia" w:ascii="宋体" w:hAnsi="宋体" w:cs="宋体"/>
          <w:kern w:val="0"/>
        </w:rPr>
      </w:pPr>
      <w:r>
        <w:rPr>
          <w:rFonts w:ascii="宋体" w:hAnsi="宋体" w:cs="宋体"/>
          <w:kern w:val="0"/>
        </w:rPr>
        <w:t>应含有数据汇总、数据清理、质量控制、格式转换和数据入库等功能；</w:t>
      </w:r>
    </w:p>
    <w:p>
      <w:pPr>
        <w:widowControl/>
        <w:numPr>
          <w:ilvl w:val="0"/>
          <w:numId w:val="110"/>
        </w:numPr>
        <w:adjustRightInd/>
        <w:spacing w:line="240" w:lineRule="auto"/>
        <w:ind w:left="840" w:hanging="420"/>
        <w:rPr>
          <w:rFonts w:hint="eastAsia" w:ascii="宋体" w:hAnsi="宋体" w:cs="宋体"/>
          <w:kern w:val="0"/>
        </w:rPr>
      </w:pPr>
      <w:r>
        <w:rPr>
          <w:rFonts w:ascii="宋体" w:hAnsi="宋体" w:cs="宋体"/>
          <w:kern w:val="0"/>
        </w:rPr>
        <w:t>支持各种项目测绘生产成果的数据导入导出及数据的同步复制，依据相关测绘成果数据标准对导入的数据进行数据指标的遗漏、错误检查；</w:t>
      </w:r>
    </w:p>
    <w:p>
      <w:pPr>
        <w:widowControl/>
        <w:numPr>
          <w:ilvl w:val="0"/>
          <w:numId w:val="110"/>
        </w:numPr>
        <w:adjustRightInd/>
        <w:spacing w:line="240" w:lineRule="auto"/>
        <w:ind w:left="840" w:hanging="420"/>
        <w:rPr>
          <w:rFonts w:hint="eastAsia" w:ascii="宋体" w:hAnsi="宋体" w:cs="宋体"/>
          <w:kern w:val="0"/>
        </w:rPr>
      </w:pPr>
      <w:r>
        <w:rPr>
          <w:rFonts w:ascii="宋体" w:hAnsi="宋体" w:cs="宋体"/>
          <w:kern w:val="0"/>
        </w:rPr>
        <w:t xml:space="preserve">满足预测绘、实测绘、变更测绘各类测绘业务的数据入库要求，同时保留房屋预测绘、实测绘前后完整信息，对变更测绘，则应记载房屋变更历史信息。 </w:t>
      </w:r>
    </w:p>
    <w:p>
      <w:pPr>
        <w:pStyle w:val="67"/>
        <w:spacing w:before="156" w:after="156"/>
      </w:pPr>
      <w:bookmarkStart w:id="501" w:name="_Toc404004916"/>
      <w:bookmarkEnd w:id="501"/>
      <w:bookmarkStart w:id="502" w:name="_Toc404085632"/>
      <w:r>
        <w:t>测绘成果管理模块功能和数据要求</w:t>
      </w:r>
      <w:bookmarkEnd w:id="502"/>
    </w:p>
    <w:p>
      <w:pPr>
        <w:pStyle w:val="96"/>
        <w:spacing w:before="156" w:after="156"/>
      </w:pPr>
      <w:r>
        <w:t>功能要求</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测绘成果管理模块功能要求如下：</w:t>
      </w:r>
    </w:p>
    <w:p>
      <w:pPr>
        <w:widowControl/>
        <w:numPr>
          <w:ilvl w:val="0"/>
          <w:numId w:val="111"/>
        </w:numPr>
        <w:adjustRightInd/>
        <w:spacing w:line="240" w:lineRule="auto"/>
        <w:rPr>
          <w:rFonts w:hint="eastAsia" w:ascii="宋体" w:hAnsi="宋体" w:cs="宋体"/>
          <w:kern w:val="0"/>
        </w:rPr>
      </w:pPr>
      <w:r>
        <w:rPr>
          <w:rFonts w:ascii="宋体" w:hAnsi="宋体" w:cs="宋体"/>
          <w:kern w:val="0"/>
        </w:rPr>
        <w:t>在系统建设初期应实现基础数据中的房产图数据的数字化建库工作。初始建库应符合下列要求：</w:t>
      </w:r>
    </w:p>
    <w:p>
      <w:pPr>
        <w:widowControl/>
        <w:numPr>
          <w:ilvl w:val="1"/>
          <w:numId w:val="111"/>
        </w:numPr>
        <w:adjustRightInd/>
        <w:spacing w:line="240" w:lineRule="auto"/>
        <w:rPr>
          <w:rFonts w:hint="eastAsia" w:ascii="宋体" w:hAnsi="宋体" w:cs="宋体"/>
          <w:kern w:val="0"/>
        </w:rPr>
      </w:pPr>
      <w:r>
        <w:rPr>
          <w:rFonts w:ascii="宋体" w:hAnsi="宋体" w:cs="宋体"/>
          <w:kern w:val="0"/>
        </w:rPr>
        <w:t>初始建库工作应包括数据汇总、数据清理、质量控制、格式转换和数据入库等功能；</w:t>
      </w:r>
    </w:p>
    <w:p>
      <w:pPr>
        <w:widowControl/>
        <w:numPr>
          <w:ilvl w:val="1"/>
          <w:numId w:val="111"/>
        </w:numPr>
        <w:adjustRightInd/>
        <w:spacing w:line="240" w:lineRule="auto"/>
        <w:rPr>
          <w:rFonts w:hint="eastAsia" w:ascii="宋体" w:hAnsi="宋体" w:cs="宋体"/>
          <w:kern w:val="0"/>
        </w:rPr>
      </w:pPr>
      <w:r>
        <w:rPr>
          <w:rFonts w:ascii="宋体" w:hAnsi="宋体" w:cs="宋体"/>
          <w:kern w:val="0"/>
        </w:rPr>
        <w:t>对房产图物理图形数据和物理属性数据应建立关联关系。</w:t>
      </w:r>
    </w:p>
    <w:p>
      <w:pPr>
        <w:widowControl/>
        <w:numPr>
          <w:ilvl w:val="0"/>
          <w:numId w:val="111"/>
        </w:numPr>
        <w:adjustRightInd/>
        <w:spacing w:line="240" w:lineRule="auto"/>
        <w:rPr>
          <w:rFonts w:hint="eastAsia" w:ascii="宋体" w:hAnsi="宋体" w:cs="宋体"/>
          <w:kern w:val="0"/>
        </w:rPr>
      </w:pPr>
      <w:r>
        <w:rPr>
          <w:rFonts w:ascii="宋体" w:hAnsi="宋体" w:cs="宋体"/>
          <w:kern w:val="0"/>
        </w:rPr>
        <w:t>应实现对基础数据中的房产图数据进行测绘成果更新管理的功能应符合下列要求：</w:t>
      </w:r>
    </w:p>
    <w:p>
      <w:pPr>
        <w:widowControl/>
        <w:numPr>
          <w:ilvl w:val="1"/>
          <w:numId w:val="111"/>
        </w:numPr>
        <w:adjustRightInd/>
        <w:spacing w:line="240" w:lineRule="auto"/>
        <w:rPr>
          <w:rFonts w:hint="eastAsia" w:ascii="宋体" w:hAnsi="宋体" w:cs="宋体"/>
          <w:kern w:val="0"/>
        </w:rPr>
      </w:pPr>
      <w:r>
        <w:rPr>
          <w:rFonts w:ascii="宋体" w:hAnsi="宋体" w:cs="宋体"/>
          <w:kern w:val="0"/>
        </w:rPr>
        <w:t>应制定房产图数据更新规则，保证数据的现势性；</w:t>
      </w:r>
    </w:p>
    <w:p>
      <w:pPr>
        <w:widowControl/>
        <w:numPr>
          <w:ilvl w:val="1"/>
          <w:numId w:val="111"/>
        </w:numPr>
        <w:adjustRightInd/>
        <w:spacing w:line="240" w:lineRule="auto"/>
        <w:rPr>
          <w:rFonts w:hint="eastAsia" w:ascii="宋体" w:hAnsi="宋体" w:cs="宋体"/>
          <w:kern w:val="0"/>
        </w:rPr>
      </w:pPr>
      <w:r>
        <w:rPr>
          <w:rFonts w:ascii="宋体" w:hAnsi="宋体" w:cs="宋体"/>
          <w:kern w:val="0"/>
        </w:rPr>
        <w:t>应能提供数据下载和上传接口，同时应能根据提交的变更信息进行数据的更新处理；</w:t>
      </w:r>
    </w:p>
    <w:p>
      <w:pPr>
        <w:widowControl/>
        <w:numPr>
          <w:ilvl w:val="1"/>
          <w:numId w:val="111"/>
        </w:numPr>
        <w:adjustRightInd/>
        <w:spacing w:line="240" w:lineRule="auto"/>
        <w:rPr>
          <w:rFonts w:hint="eastAsia" w:ascii="宋体" w:hAnsi="宋体" w:cs="宋体"/>
          <w:kern w:val="0"/>
        </w:rPr>
      </w:pPr>
      <w:r>
        <w:rPr>
          <w:rFonts w:ascii="宋体" w:hAnsi="宋体" w:cs="宋体"/>
          <w:kern w:val="0"/>
        </w:rPr>
        <w:t>测绘成果更新管理应能支持对数据的版本管理，对不同时期的变更数据建立相应的版本，记录变更过程的历史数据，保证数据的可追溯性。</w:t>
      </w:r>
    </w:p>
    <w:p>
      <w:pPr>
        <w:widowControl/>
        <w:numPr>
          <w:ilvl w:val="0"/>
          <w:numId w:val="111"/>
        </w:numPr>
        <w:adjustRightInd/>
        <w:spacing w:line="240" w:lineRule="auto"/>
        <w:rPr>
          <w:rFonts w:hint="eastAsia" w:ascii="宋体" w:hAnsi="宋体" w:cs="宋体"/>
          <w:kern w:val="0"/>
        </w:rPr>
      </w:pPr>
      <w:r>
        <w:rPr>
          <w:rFonts w:ascii="宋体" w:hAnsi="宋体" w:cs="宋体"/>
          <w:kern w:val="0"/>
        </w:rPr>
        <w:t>房产物理图形和属性数据管理应符合下列要求：</w:t>
      </w:r>
    </w:p>
    <w:p>
      <w:pPr>
        <w:widowControl/>
        <w:numPr>
          <w:ilvl w:val="1"/>
          <w:numId w:val="111"/>
        </w:numPr>
        <w:adjustRightInd/>
        <w:spacing w:line="240" w:lineRule="auto"/>
        <w:rPr>
          <w:rFonts w:hint="eastAsia" w:ascii="宋体" w:hAnsi="宋体" w:cs="宋体"/>
          <w:kern w:val="0"/>
        </w:rPr>
      </w:pPr>
      <w:r>
        <w:rPr>
          <w:rFonts w:ascii="宋体" w:hAnsi="宋体" w:cs="宋体"/>
          <w:kern w:val="0"/>
        </w:rPr>
        <w:t>应具有地理信息系统(GIS)的基本功能，与基础测绘管理模块相应功能相同；</w:t>
      </w:r>
    </w:p>
    <w:p>
      <w:pPr>
        <w:widowControl/>
        <w:numPr>
          <w:ilvl w:val="1"/>
          <w:numId w:val="111"/>
        </w:numPr>
        <w:adjustRightInd/>
        <w:spacing w:line="240" w:lineRule="auto"/>
        <w:rPr>
          <w:rFonts w:hint="eastAsia" w:ascii="宋体" w:hAnsi="宋体" w:cs="宋体"/>
          <w:kern w:val="0"/>
        </w:rPr>
      </w:pPr>
      <w:r>
        <w:rPr>
          <w:rFonts w:ascii="宋体" w:hAnsi="宋体" w:cs="宋体"/>
          <w:kern w:val="0"/>
        </w:rPr>
        <w:t>通过图属互查、定位楼幢、显示楼盘表，查看分层分户图、房屋物理基本属性信息等。</w:t>
      </w:r>
    </w:p>
    <w:p>
      <w:pPr>
        <w:widowControl/>
        <w:numPr>
          <w:ilvl w:val="0"/>
          <w:numId w:val="111"/>
        </w:numPr>
        <w:adjustRightInd/>
        <w:spacing w:line="240" w:lineRule="auto"/>
        <w:rPr>
          <w:rFonts w:hint="eastAsia" w:ascii="宋体" w:hAnsi="宋体" w:cs="宋体"/>
          <w:kern w:val="0"/>
        </w:rPr>
      </w:pPr>
      <w:r>
        <w:rPr>
          <w:rFonts w:ascii="宋体" w:hAnsi="宋体" w:cs="宋体"/>
          <w:kern w:val="0"/>
        </w:rPr>
        <w:t>应根据相应的数据指标及空间位置分析，完成测绘成果数据的统计和输出；</w:t>
      </w:r>
    </w:p>
    <w:p>
      <w:pPr>
        <w:widowControl/>
        <w:numPr>
          <w:ilvl w:val="0"/>
          <w:numId w:val="111"/>
        </w:numPr>
        <w:adjustRightInd/>
        <w:spacing w:line="240" w:lineRule="auto"/>
        <w:rPr>
          <w:rFonts w:hint="eastAsia" w:ascii="宋体" w:hAnsi="宋体" w:cs="宋体"/>
          <w:kern w:val="0"/>
        </w:rPr>
      </w:pPr>
      <w:r>
        <w:rPr>
          <w:rFonts w:ascii="宋体" w:hAnsi="宋体" w:cs="宋体"/>
          <w:kern w:val="0"/>
        </w:rPr>
        <w:t>应提供房产业务管理系统对接接口。</w:t>
      </w:r>
    </w:p>
    <w:p>
      <w:pPr>
        <w:pStyle w:val="96"/>
        <w:spacing w:before="156" w:after="156"/>
      </w:pPr>
      <w:r>
        <w:t>数据要求</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测绘成果管理模块数据要求如下：</w:t>
      </w:r>
    </w:p>
    <w:p>
      <w:pPr>
        <w:widowControl/>
        <w:numPr>
          <w:ilvl w:val="0"/>
          <w:numId w:val="112"/>
        </w:numPr>
        <w:adjustRightInd/>
        <w:spacing w:line="240" w:lineRule="auto"/>
        <w:rPr>
          <w:rFonts w:hint="eastAsia" w:ascii="宋体" w:hAnsi="宋体" w:cs="宋体"/>
          <w:kern w:val="0"/>
        </w:rPr>
      </w:pPr>
      <w:r>
        <w:rPr>
          <w:rFonts w:ascii="宋体" w:hAnsi="宋体" w:cs="宋体"/>
          <w:kern w:val="0"/>
        </w:rPr>
        <w:t xml:space="preserve">房产物理图形数据包括房产分幅分丘平面图、房屋分层分户平面图；房产物理属性数据包括丘、幢和户的描述信息； </w:t>
      </w:r>
    </w:p>
    <w:p>
      <w:pPr>
        <w:widowControl/>
        <w:numPr>
          <w:ilvl w:val="0"/>
          <w:numId w:val="112"/>
        </w:numPr>
        <w:adjustRightInd/>
        <w:spacing w:line="240" w:lineRule="auto"/>
        <w:rPr>
          <w:rFonts w:hint="eastAsia" w:ascii="宋体" w:hAnsi="宋体" w:cs="宋体"/>
          <w:kern w:val="0"/>
        </w:rPr>
      </w:pPr>
      <w:r>
        <w:rPr>
          <w:rFonts w:ascii="宋体" w:hAnsi="宋体" w:cs="宋体"/>
          <w:kern w:val="0"/>
        </w:rPr>
        <w:t>房产分幅分丘平面图形数据应按要素分层存储；</w:t>
      </w:r>
    </w:p>
    <w:p>
      <w:pPr>
        <w:widowControl/>
        <w:numPr>
          <w:ilvl w:val="0"/>
          <w:numId w:val="112"/>
        </w:numPr>
        <w:adjustRightInd/>
        <w:spacing w:line="240" w:lineRule="auto"/>
        <w:rPr>
          <w:rFonts w:hint="eastAsia" w:ascii="宋体" w:hAnsi="宋体" w:cs="宋体"/>
          <w:kern w:val="0"/>
        </w:rPr>
      </w:pPr>
      <w:r>
        <w:rPr>
          <w:rFonts w:ascii="宋体" w:hAnsi="宋体" w:cs="宋体"/>
          <w:kern w:val="0"/>
        </w:rPr>
        <w:t>房屋层幢数据应以幢为单位管理；</w:t>
      </w:r>
    </w:p>
    <w:p>
      <w:pPr>
        <w:widowControl/>
        <w:numPr>
          <w:ilvl w:val="0"/>
          <w:numId w:val="112"/>
        </w:numPr>
        <w:adjustRightInd/>
        <w:spacing w:line="240" w:lineRule="auto"/>
        <w:rPr>
          <w:rFonts w:hint="eastAsia" w:ascii="宋体" w:hAnsi="宋体" w:cs="宋体"/>
          <w:kern w:val="0"/>
        </w:rPr>
      </w:pPr>
      <w:r>
        <w:rPr>
          <w:rFonts w:ascii="宋体" w:hAnsi="宋体" w:cs="宋体"/>
          <w:kern w:val="0"/>
        </w:rPr>
        <w:t>房屋分层平面图和层属性数据应符合下列要求：</w:t>
      </w:r>
    </w:p>
    <w:p>
      <w:pPr>
        <w:widowControl/>
        <w:numPr>
          <w:ilvl w:val="1"/>
          <w:numId w:val="112"/>
        </w:numPr>
        <w:adjustRightInd/>
        <w:spacing w:line="240" w:lineRule="auto"/>
        <w:rPr>
          <w:rFonts w:hint="eastAsia" w:ascii="宋体" w:hAnsi="宋体" w:cs="宋体"/>
          <w:kern w:val="0"/>
        </w:rPr>
      </w:pPr>
      <w:r>
        <w:rPr>
          <w:rFonts w:ascii="宋体" w:hAnsi="宋体" w:cs="宋体"/>
          <w:kern w:val="0"/>
        </w:rPr>
        <w:t>层属性数据应与房屋分层平面图关联；</w:t>
      </w:r>
    </w:p>
    <w:p>
      <w:pPr>
        <w:widowControl/>
        <w:numPr>
          <w:ilvl w:val="1"/>
          <w:numId w:val="112"/>
        </w:numPr>
        <w:adjustRightInd/>
        <w:spacing w:line="240" w:lineRule="auto"/>
        <w:rPr>
          <w:rFonts w:hint="eastAsia" w:ascii="宋体" w:hAnsi="宋体" w:cs="宋体"/>
          <w:kern w:val="0"/>
        </w:rPr>
      </w:pPr>
      <w:r>
        <w:rPr>
          <w:rFonts w:ascii="宋体" w:hAnsi="宋体" w:cs="宋体"/>
          <w:kern w:val="0"/>
        </w:rPr>
        <w:t>层应能通过与幢的关联关系确定其地理位置；</w:t>
      </w:r>
    </w:p>
    <w:p>
      <w:pPr>
        <w:widowControl/>
        <w:numPr>
          <w:ilvl w:val="1"/>
          <w:numId w:val="112"/>
        </w:numPr>
        <w:adjustRightInd/>
        <w:spacing w:line="240" w:lineRule="auto"/>
        <w:rPr>
          <w:rFonts w:hint="eastAsia" w:ascii="宋体" w:hAnsi="宋体" w:cs="宋体"/>
          <w:kern w:val="0"/>
        </w:rPr>
      </w:pPr>
      <w:r>
        <w:rPr>
          <w:rFonts w:ascii="宋体" w:hAnsi="宋体" w:cs="宋体"/>
          <w:kern w:val="0"/>
        </w:rPr>
        <w:t>实际层名应与层次的自然序号建立关联。</w:t>
      </w:r>
    </w:p>
    <w:p>
      <w:pPr>
        <w:widowControl/>
        <w:numPr>
          <w:ilvl w:val="0"/>
          <w:numId w:val="112"/>
        </w:numPr>
        <w:adjustRightInd/>
        <w:spacing w:line="240" w:lineRule="auto"/>
        <w:rPr>
          <w:rFonts w:hint="eastAsia" w:ascii="宋体" w:hAnsi="宋体" w:cs="宋体"/>
          <w:kern w:val="0"/>
        </w:rPr>
      </w:pPr>
      <w:r>
        <w:rPr>
          <w:rFonts w:ascii="宋体" w:hAnsi="宋体" w:cs="宋体"/>
          <w:kern w:val="0"/>
        </w:rPr>
        <w:t>房屋分户平面图和户属性数据应符合下列要求：</w:t>
      </w:r>
    </w:p>
    <w:p>
      <w:pPr>
        <w:widowControl/>
        <w:numPr>
          <w:ilvl w:val="1"/>
          <w:numId w:val="112"/>
        </w:numPr>
        <w:adjustRightInd/>
        <w:spacing w:line="240" w:lineRule="auto"/>
        <w:rPr>
          <w:rFonts w:hint="eastAsia" w:ascii="宋体" w:hAnsi="宋体" w:cs="宋体"/>
          <w:kern w:val="0"/>
        </w:rPr>
      </w:pPr>
      <w:r>
        <w:rPr>
          <w:rFonts w:ascii="宋体" w:hAnsi="宋体" w:cs="宋体"/>
          <w:kern w:val="0"/>
        </w:rPr>
        <w:t>户属性数据应与房屋分户平面图关联；</w:t>
      </w:r>
    </w:p>
    <w:p>
      <w:pPr>
        <w:widowControl/>
        <w:numPr>
          <w:ilvl w:val="1"/>
          <w:numId w:val="112"/>
        </w:numPr>
        <w:adjustRightInd/>
        <w:spacing w:line="240" w:lineRule="auto"/>
        <w:rPr>
          <w:rFonts w:hint="eastAsia" w:ascii="宋体" w:hAnsi="宋体" w:cs="宋体"/>
          <w:kern w:val="0"/>
        </w:rPr>
      </w:pPr>
      <w:r>
        <w:rPr>
          <w:rFonts w:ascii="宋体" w:hAnsi="宋体" w:cs="宋体"/>
          <w:kern w:val="0"/>
        </w:rPr>
        <w:t>户的编号应在本系统的管理范围内具有唯一值；</w:t>
      </w:r>
    </w:p>
    <w:p>
      <w:pPr>
        <w:widowControl/>
        <w:numPr>
          <w:ilvl w:val="1"/>
          <w:numId w:val="112"/>
        </w:numPr>
        <w:adjustRightInd/>
        <w:spacing w:line="240" w:lineRule="auto"/>
        <w:rPr>
          <w:rFonts w:hint="eastAsia" w:ascii="宋体" w:hAnsi="宋体" w:cs="宋体"/>
          <w:kern w:val="0"/>
        </w:rPr>
      </w:pPr>
      <w:r>
        <w:rPr>
          <w:rFonts w:ascii="宋体" w:hAnsi="宋体" w:cs="宋体"/>
          <w:kern w:val="0"/>
        </w:rPr>
        <w:t>户应能通过与幢的关联关系确定其地理位置。</w:t>
      </w:r>
    </w:p>
    <w:p>
      <w:pPr>
        <w:widowControl/>
        <w:numPr>
          <w:ilvl w:val="0"/>
          <w:numId w:val="112"/>
        </w:numPr>
        <w:adjustRightInd/>
        <w:spacing w:line="240" w:lineRule="auto"/>
        <w:rPr>
          <w:rFonts w:hint="eastAsia" w:ascii="宋体" w:hAnsi="宋体" w:cs="宋体"/>
          <w:kern w:val="0"/>
        </w:rPr>
      </w:pPr>
      <w:r>
        <w:rPr>
          <w:rFonts w:ascii="宋体" w:hAnsi="宋体" w:cs="宋体"/>
          <w:kern w:val="0"/>
        </w:rPr>
        <w:t>测绘成果管理模块宜增加地形数据，地形数据一般应采用数字线划图(DLG)，也可以采用数字正射影像图(DOM)或数字栅格图(DRG)；地形数据应和房产图数据采用统一的坐标系。</w:t>
      </w:r>
    </w:p>
    <w:p>
      <w:pPr>
        <w:pStyle w:val="67"/>
        <w:spacing w:before="156" w:after="156"/>
      </w:pPr>
      <w:bookmarkStart w:id="503" w:name="_Toc404004917"/>
      <w:bookmarkEnd w:id="503"/>
      <w:bookmarkStart w:id="504" w:name="_Toc404085633"/>
      <w:r>
        <w:t>测绘成果信息发布利用模块功能要求</w:t>
      </w:r>
      <w:bookmarkEnd w:id="504"/>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测绘成果信息发布利用模块功能要求如下：</w:t>
      </w:r>
    </w:p>
    <w:p>
      <w:pPr>
        <w:widowControl/>
        <w:numPr>
          <w:ilvl w:val="0"/>
          <w:numId w:val="113"/>
        </w:numPr>
        <w:adjustRightInd/>
        <w:spacing w:line="240" w:lineRule="auto"/>
        <w:rPr>
          <w:rFonts w:hint="eastAsia" w:ascii="宋体" w:hAnsi="宋体" w:cs="宋体"/>
          <w:kern w:val="0"/>
        </w:rPr>
      </w:pPr>
      <w:r>
        <w:rPr>
          <w:rFonts w:ascii="宋体" w:hAnsi="宋体" w:cs="宋体"/>
          <w:kern w:val="0"/>
        </w:rPr>
        <w:t>可通过互联网地理信息系统 (WebGIS)技术实现房屋的空间数据、属性数据发布，同时预留为其他房产业务系统服务的数据接口；</w:t>
      </w:r>
    </w:p>
    <w:p>
      <w:pPr>
        <w:widowControl/>
        <w:numPr>
          <w:ilvl w:val="0"/>
          <w:numId w:val="113"/>
        </w:numPr>
        <w:adjustRightInd/>
        <w:spacing w:line="240" w:lineRule="auto"/>
        <w:rPr>
          <w:rFonts w:hint="eastAsia" w:ascii="宋体" w:hAnsi="宋体" w:cs="宋体"/>
          <w:kern w:val="0"/>
        </w:rPr>
      </w:pPr>
      <w:r>
        <w:rPr>
          <w:rFonts w:ascii="宋体" w:hAnsi="宋体" w:cs="宋体"/>
          <w:kern w:val="0"/>
        </w:rPr>
        <w:t>可建立网上收件工作模式，与内网业务办公系统自动对接，进行业务受理；</w:t>
      </w:r>
    </w:p>
    <w:p>
      <w:pPr>
        <w:widowControl/>
        <w:numPr>
          <w:ilvl w:val="0"/>
          <w:numId w:val="113"/>
        </w:numPr>
        <w:adjustRightInd/>
        <w:spacing w:line="240" w:lineRule="auto"/>
        <w:rPr>
          <w:rFonts w:hint="eastAsia" w:ascii="宋体" w:hAnsi="宋体" w:cs="宋体"/>
          <w:kern w:val="0"/>
        </w:rPr>
      </w:pPr>
      <w:r>
        <w:rPr>
          <w:rFonts w:ascii="宋体" w:hAnsi="宋体" w:cs="宋体"/>
          <w:kern w:val="0"/>
        </w:rPr>
        <w:t>可实时发布房产测绘业务案件办理进度信息，委托单位可通过授权登录方式浏览测绘成果信息。</w:t>
      </w:r>
    </w:p>
    <w:p>
      <w:pPr>
        <w:pStyle w:val="106"/>
        <w:spacing w:before="312" w:after="312"/>
      </w:pPr>
      <w:bookmarkStart w:id="505" w:name="_Toc237015203"/>
      <w:bookmarkStart w:id="506" w:name="_Toc237470935"/>
      <w:r>
        <w:t>标准实施与评价</w:t>
      </w:r>
      <w:bookmarkEnd w:id="505"/>
      <w:bookmarkEnd w:id="506"/>
    </w:p>
    <w:p>
      <w:pPr>
        <w:widowControl/>
        <w:numPr>
          <w:ilvl w:val="2"/>
          <w:numId w:val="114"/>
        </w:numPr>
        <w:adjustRightInd/>
        <w:spacing w:before="156" w:beforeLines="50" w:after="156" w:afterLines="50" w:line="240" w:lineRule="auto"/>
        <w:outlineLvl w:val="1"/>
        <w:rPr>
          <w:rFonts w:ascii="黑体" w:hAnsi="Times New Roman" w:eastAsia="黑体"/>
          <w:kern w:val="0"/>
          <w:szCs w:val="20"/>
        </w:rPr>
      </w:pPr>
      <w:bookmarkStart w:id="507" w:name="_Toc237015204"/>
      <w:r>
        <w:rPr>
          <w:rFonts w:ascii="黑体" w:hAnsi="Times New Roman" w:eastAsia="黑体"/>
          <w:kern w:val="0"/>
          <w:szCs w:val="20"/>
        </w:rPr>
        <w:t>标准实施准备</w:t>
      </w:r>
      <w:bookmarkEnd w:id="507"/>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本文件发布后，及时上报行业主管部门、行业协会、标准化技术委员会等，并在其指导下结合实际开展标准实施准备工作。实施准备应覆盖方案制定、组织协调、知识储备、技术路径及物资条件等方面，确保标准具备落地基础。</w:t>
      </w:r>
    </w:p>
    <w:p>
      <w:pPr>
        <w:pStyle w:val="107"/>
        <w:spacing w:before="156" w:after="156"/>
      </w:pPr>
      <w:bookmarkStart w:id="508" w:name="_Toc237470936"/>
      <w:bookmarkStart w:id="509" w:name="_Toc237015205"/>
      <w:r>
        <w:t>制定标准实施方案</w:t>
      </w:r>
      <w:bookmarkEnd w:id="508"/>
      <w:bookmarkEnd w:id="509"/>
    </w:p>
    <w:p>
      <w:pPr>
        <w:spacing w:line="240" w:lineRule="auto"/>
        <w:ind w:firstLine="420" w:firstLineChars="200"/>
        <w:rPr>
          <w:rFonts w:ascii="宋体" w:hAnsi="Times New Roman"/>
          <w:kern w:val="0"/>
          <w:szCs w:val="20"/>
        </w:rPr>
      </w:pPr>
      <w:r>
        <w:rPr>
          <w:rFonts w:ascii="宋体" w:hAnsi="Times New Roman"/>
          <w:kern w:val="0"/>
          <w:szCs w:val="20"/>
        </w:rPr>
        <w:t>组织制定标准实施方案，内容应包括但不限于：明确本规程适用对象及应用场景，落实实施所需的组织保障、制度机制、经费人员及技术设备条件，合理配置资源要素，明确关键流程节点和控制要求，提出实施过程中需关注的重点事项。</w:t>
      </w:r>
    </w:p>
    <w:p>
      <w:pPr>
        <w:pStyle w:val="107"/>
        <w:spacing w:before="156" w:after="156"/>
      </w:pPr>
      <w:bookmarkStart w:id="510" w:name="_Toc237015206"/>
      <w:bookmarkStart w:id="511" w:name="_Toc237470937"/>
      <w:r>
        <w:t>标准实施</w:t>
      </w:r>
      <w:bookmarkEnd w:id="510"/>
      <w:bookmarkEnd w:id="511"/>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面向全省与房产面积测绘工作相关的实施单位、应用单位、管理单位等落实标准实施，重点针对房产面积测绘的工作要求和技术要求，进行标准宣贯和培训。</w:t>
      </w:r>
    </w:p>
    <w:p>
      <w:pPr>
        <w:pStyle w:val="107"/>
        <w:spacing w:before="156" w:after="156"/>
      </w:pPr>
      <w:bookmarkStart w:id="512" w:name="_Toc237015207"/>
      <w:bookmarkStart w:id="513" w:name="_Toc237470938"/>
      <w:r>
        <w:t>实施跟踪与反馈</w:t>
      </w:r>
      <w:bookmarkEnd w:id="512"/>
      <w:bookmarkEnd w:id="513"/>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标准实施跟踪主要是检查标准实施方案的落实情况，应逐条检查标准实施内容的落实，并记录未实施内容的理由或原因。做好标准实施验证记录，畅通标准实施信息采集的方式方法和反馈渠道，定期整理并处理收集到的意见建议。组织相关实施单位将标准实施意见信息填写在标准实施信息及意见反馈表中，标准实施信息及意见反馈表见附录G。</w:t>
      </w:r>
    </w:p>
    <w:p>
      <w:pPr>
        <w:pStyle w:val="107"/>
        <w:spacing w:before="156" w:after="156"/>
      </w:pPr>
      <w:bookmarkStart w:id="514" w:name="_Toc237015208"/>
      <w:bookmarkStart w:id="515" w:name="_Toc237470939"/>
      <w:r>
        <w:t>效果评估与总结</w:t>
      </w:r>
      <w:bookmarkEnd w:id="514"/>
      <w:bookmarkEnd w:id="515"/>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在标准实施一定时间后，对照标准实施方案，开展标准实施效果</w:t>
      </w:r>
      <w:r>
        <w:rPr>
          <w:rFonts w:hint="eastAsia" w:ascii="宋体" w:hAnsi="Times New Roman"/>
          <w:kern w:val="0"/>
          <w:szCs w:val="20"/>
        </w:rPr>
        <w:t>评价</w:t>
      </w:r>
      <w:r>
        <w:rPr>
          <w:rFonts w:ascii="宋体" w:hAnsi="Times New Roman"/>
          <w:kern w:val="0"/>
          <w:szCs w:val="20"/>
        </w:rPr>
        <w:t>分析，总结实施经验成效，梳理存在的薄弱环节。标准实施的评价主要是评价标准实施的结果，从技术进步、质量水平提高、规范秩序、效率提高、节约费用、节省时间等方面进行有益性评价，同时还要评价标准实施带来的问题，以便为未来改进提供参考。</w:t>
      </w:r>
    </w:p>
    <w:p>
      <w:pPr>
        <w:pStyle w:val="107"/>
        <w:spacing w:before="156" w:after="156"/>
      </w:pPr>
      <w:bookmarkStart w:id="516" w:name="_Toc237015209"/>
      <w:bookmarkStart w:id="517" w:name="_Toc237470940"/>
      <w:r>
        <w:t>反馈与持续优化</w:t>
      </w:r>
      <w:bookmarkEnd w:id="516"/>
      <w:bookmarkEnd w:id="517"/>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根据实施过程中掌握的情况，适时向行业主管部门反馈实施进展，提出标准推广、修订、补充或废止等方面的建议。</w:t>
      </w:r>
    </w:p>
    <w:p>
      <w:pPr>
        <w:pStyle w:val="58"/>
        <w:ind w:firstLine="420"/>
      </w:pPr>
    </w:p>
    <w:p>
      <w:pPr>
        <w:pStyle w:val="58"/>
        <w:ind w:firstLine="420"/>
      </w:pPr>
    </w:p>
    <w:p>
      <w:pPr>
        <w:pStyle w:val="58"/>
        <w:ind w:firstLine="420"/>
      </w:pPr>
    </w:p>
    <w:p>
      <w:pPr>
        <w:pStyle w:val="58"/>
        <w:ind w:firstLine="420"/>
      </w:pPr>
    </w:p>
    <w:p>
      <w:pPr>
        <w:pStyle w:val="58"/>
        <w:ind w:firstLine="420"/>
      </w:pPr>
    </w:p>
    <w:p>
      <w:pPr>
        <w:pStyle w:val="58"/>
        <w:ind w:firstLine="420"/>
      </w:pPr>
    </w:p>
    <w:p>
      <w:pPr>
        <w:pStyle w:val="58"/>
        <w:ind w:firstLine="420"/>
        <w:sectPr>
          <w:headerReference r:id="rId19" w:type="default"/>
          <w:footerReference r:id="rId21" w:type="default"/>
          <w:headerReference r:id="rId20" w:type="even"/>
          <w:footerReference r:id="rId22" w:type="even"/>
          <w:pgSz w:w="11906" w:h="16838"/>
          <w:pgMar w:top="1928" w:right="1134" w:bottom="1134" w:left="1134" w:header="1418" w:footer="1134" w:gutter="284"/>
          <w:pgNumType w:start="1"/>
          <w:cols w:space="425" w:num="1"/>
          <w:formProt w:val="0"/>
          <w:docGrid w:type="lines" w:linePitch="312" w:charSpace="0"/>
        </w:sectPr>
      </w:pPr>
    </w:p>
    <w:bookmarkEnd w:id="23"/>
    <w:p>
      <w:pPr>
        <w:pStyle w:val="200"/>
        <w:rPr>
          <w:rFonts w:hint="eastAsia"/>
          <w:vanish w:val="0"/>
        </w:rPr>
      </w:pPr>
      <w:bookmarkStart w:id="518" w:name="BookMark5"/>
    </w:p>
    <w:p>
      <w:pPr>
        <w:pStyle w:val="201"/>
        <w:rPr>
          <w:vanish w:val="0"/>
        </w:rPr>
      </w:pPr>
    </w:p>
    <w:p>
      <w:pPr>
        <w:pStyle w:val="78"/>
        <w:spacing w:after="156"/>
      </w:pPr>
      <w:r>
        <w:br w:type="textWrapping"/>
      </w:r>
      <w:bookmarkStart w:id="519" w:name="_Toc237470941"/>
      <w:r>
        <w:rPr>
          <w:rFonts w:hint="eastAsia"/>
        </w:rPr>
        <w:t>（资料性）</w:t>
      </w:r>
      <w:r>
        <w:br w:type="textWrapping"/>
      </w:r>
      <w:r>
        <w:rPr>
          <w:rFonts w:hint="eastAsia"/>
        </w:rPr>
        <w:t>房产测绘草图图框和房产调查表表样</w:t>
      </w:r>
      <w:bookmarkEnd w:id="519"/>
    </w:p>
    <w:p>
      <w:pPr>
        <w:pStyle w:val="80"/>
        <w:spacing w:before="156" w:after="156"/>
      </w:pPr>
      <w:bookmarkStart w:id="520" w:name="_Toc237470357"/>
      <w:bookmarkStart w:id="521" w:name="_Toc8821"/>
      <w:bookmarkStart w:id="522" w:name="_Toc237470797"/>
      <w:bookmarkStart w:id="523" w:name="_Toc237015211"/>
      <w:bookmarkStart w:id="524" w:name="_Toc237470942"/>
      <w:bookmarkStart w:id="525" w:name="_Toc202456271"/>
      <w:r>
        <w:t>房产草图绘制</w:t>
      </w:r>
      <w:bookmarkEnd w:id="520"/>
      <w:bookmarkEnd w:id="521"/>
      <w:bookmarkEnd w:id="522"/>
      <w:bookmarkEnd w:id="523"/>
      <w:bookmarkEnd w:id="524"/>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以层为基本单元，以房屋定着物权属单元（幢、层、套、间）为单位绘制房产草图。房产草图上的内容包括幢号、幢名称、总层数、所在层数、权属界线、房屋边长、共有部分的界线及名称等。</w:t>
      </w:r>
    </w:p>
    <w:p>
      <w:pPr>
        <w:pStyle w:val="80"/>
        <w:spacing w:before="156" w:after="156"/>
      </w:pPr>
      <w:bookmarkStart w:id="526" w:name="_Toc237015212"/>
      <w:bookmarkStart w:id="527" w:name="_Toc237470943"/>
      <w:bookmarkStart w:id="528" w:name="_Toc237470358"/>
      <w:bookmarkStart w:id="529" w:name="_Toc29896"/>
      <w:bookmarkStart w:id="530" w:name="_Toc237470798"/>
      <w:r>
        <w:t>房产测绘草图图框和房产调查表表样</w:t>
      </w:r>
      <w:bookmarkEnd w:id="526"/>
      <w:bookmarkEnd w:id="527"/>
      <w:bookmarkEnd w:id="528"/>
      <w:bookmarkEnd w:id="529"/>
      <w:bookmarkEnd w:id="530"/>
    </w:p>
    <w:p>
      <w:pPr>
        <w:pStyle w:val="81"/>
        <w:spacing w:before="156" w:after="156"/>
      </w:pPr>
      <w:r>
        <w:t>房产测绘草图图框</w:t>
      </w:r>
      <w:bookmarkEnd w:id="525"/>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图A.1给出了房产测绘草图图框图样。</w:t>
      </w:r>
    </w:p>
    <w:p>
      <w:pPr>
        <w:adjustRightInd/>
        <w:spacing w:line="240" w:lineRule="auto"/>
        <w:jc w:val="center"/>
        <w:rPr>
          <w:rFonts w:ascii="Times New Roman" w:hAnsi="Times New Roman"/>
        </w:rPr>
      </w:pPr>
      <w:r>
        <w:rPr>
          <w:rFonts w:ascii="Times New Roman" w:hAnsi="Times New Roman"/>
        </w:rPr>
        <w:drawing>
          <wp:inline distT="0" distB="0" distL="0" distR="0">
            <wp:extent cx="3777615" cy="5292725"/>
            <wp:effectExtent l="0" t="0" r="0" b="3175"/>
            <wp:docPr id="83" name="图片 83" descr="C:\Users\jn\AppData\Local\Temp\ksohtml4520\wps48.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3" name="图片 83" descr="C:\Users\jn\AppData\Local\Temp\ksohtml4520\wps48.jpg"/>
                    <pic:cNvPicPr>
                      <a:picLocks noChangeAspect="true" noChangeArrowheads="true"/>
                    </pic:cNvPicPr>
                  </pic:nvPicPr>
                  <pic:blipFill>
                    <a:blip r:embed="rId111">
                      <a:extLst>
                        <a:ext uri="{28A0092B-C50C-407E-A947-70E740481C1C}">
                          <a14:useLocalDpi xmlns:a14="http://schemas.microsoft.com/office/drawing/2010/main" val="false"/>
                        </a:ext>
                      </a:extLst>
                    </a:blip>
                    <a:srcRect/>
                    <a:stretch>
                      <a:fillRect/>
                    </a:stretch>
                  </pic:blipFill>
                  <pic:spPr>
                    <a:xfrm>
                      <a:off x="0" y="0"/>
                      <a:ext cx="3814222" cy="5344143"/>
                    </a:xfrm>
                    <a:prstGeom prst="rect">
                      <a:avLst/>
                    </a:prstGeom>
                    <a:noFill/>
                    <a:ln>
                      <a:noFill/>
                    </a:ln>
                  </pic:spPr>
                </pic:pic>
              </a:graphicData>
            </a:graphic>
          </wp:inline>
        </w:drawing>
      </w:r>
    </w:p>
    <w:p>
      <w:pPr>
        <w:widowControl/>
        <w:numPr>
          <w:ilvl w:val="1"/>
          <w:numId w:val="115"/>
        </w:numPr>
        <w:snapToGrid w:val="0"/>
        <w:spacing w:before="156" w:beforeLines="50" w:after="156" w:afterLines="50" w:line="240" w:lineRule="auto"/>
        <w:jc w:val="center"/>
        <w:rPr>
          <w:rFonts w:ascii="黑体" w:hAnsi="Times New Roman" w:eastAsia="黑体"/>
          <w:kern w:val="0"/>
          <w:szCs w:val="20"/>
        </w:rPr>
      </w:pPr>
      <w:r>
        <w:rPr>
          <w:rFonts w:ascii="黑体" w:hAnsi="Times New Roman" w:eastAsia="黑体"/>
          <w:kern w:val="0"/>
          <w:szCs w:val="20"/>
        </w:rPr>
        <w:t>房产测绘草图图框</w:t>
      </w:r>
    </w:p>
    <w:p>
      <w:pPr>
        <w:widowControl/>
        <w:autoSpaceDE w:val="0"/>
        <w:autoSpaceDN w:val="0"/>
        <w:adjustRightInd/>
        <w:spacing w:line="240" w:lineRule="auto"/>
        <w:ind w:firstLine="420" w:firstLineChars="200"/>
        <w:jc w:val="right"/>
        <w:rPr>
          <w:rFonts w:ascii="宋体" w:hAnsi="Times New Roman"/>
          <w:kern w:val="0"/>
          <w:szCs w:val="20"/>
        </w:rPr>
      </w:pPr>
    </w:p>
    <w:p>
      <w:pPr>
        <w:rPr>
          <w:rFonts w:ascii="宋体" w:hAnsi="Times New Roman"/>
          <w:kern w:val="0"/>
          <w:szCs w:val="20"/>
        </w:rPr>
      </w:pPr>
    </w:p>
    <w:p>
      <w:pPr>
        <w:rPr>
          <w:rFonts w:ascii="宋体" w:hAnsi="Times New Roman"/>
          <w:szCs w:val="20"/>
        </w:rPr>
        <w:sectPr>
          <w:headerReference r:id="rId23" w:type="default"/>
          <w:footerReference r:id="rId25" w:type="default"/>
          <w:headerReference r:id="rId24" w:type="even"/>
          <w:footerReference r:id="rId26" w:type="even"/>
          <w:pgSz w:w="11906" w:h="16838"/>
          <w:pgMar w:top="1928" w:right="1134" w:bottom="1134" w:left="1134" w:header="1418" w:footer="1134" w:gutter="284"/>
          <w:cols w:space="425" w:num="1"/>
          <w:formProt w:val="0"/>
          <w:docGrid w:type="lines" w:linePitch="312" w:charSpace="0"/>
        </w:sectPr>
      </w:pPr>
    </w:p>
    <w:p>
      <w:pPr>
        <w:pStyle w:val="81"/>
        <w:spacing w:before="156" w:after="156"/>
      </w:pPr>
      <w:bookmarkStart w:id="531" w:name="_Toc202456272"/>
      <w:r>
        <w:t>房产调查表表样</w:t>
      </w:r>
      <w:bookmarkEnd w:id="531"/>
    </w:p>
    <w:p>
      <w:pPr>
        <w:ind w:firstLine="420" w:firstLineChars="200"/>
      </w:pPr>
      <w:r>
        <w:t>图A.2给出了房产调查表表样。</w:t>
      </w:r>
    </w:p>
    <w:p>
      <w:pPr>
        <w:widowControl/>
        <w:tabs>
          <w:tab w:val="center" w:pos="4201"/>
          <w:tab w:val="right" w:leader="dot" w:pos="9298"/>
        </w:tabs>
        <w:autoSpaceDE w:val="0"/>
        <w:autoSpaceDN w:val="0"/>
        <w:adjustRightInd/>
        <w:spacing w:line="240" w:lineRule="auto"/>
        <w:jc w:val="center"/>
        <w:rPr>
          <w:rFonts w:hint="eastAsia" w:ascii="宋体" w:hAnsi="宋体" w:cs="宋体"/>
          <w:kern w:val="0"/>
        </w:rPr>
      </w:pPr>
      <w:r>
        <w:rPr>
          <w:rFonts w:ascii="宋体" w:hAnsi="宋体" w:cs="宋体"/>
          <w:kern w:val="0"/>
        </w:rPr>
        <w:drawing>
          <wp:inline distT="0" distB="0" distL="114300" distR="114300">
            <wp:extent cx="5934710" cy="6346190"/>
            <wp:effectExtent l="0" t="0" r="8890" b="0"/>
            <wp:docPr id="44"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4" name="图片 9"/>
                    <pic:cNvPicPr>
                      <a:picLocks noChangeAspect="true"/>
                    </pic:cNvPicPr>
                  </pic:nvPicPr>
                  <pic:blipFill>
                    <a:blip r:embed="rId112"/>
                    <a:stretch>
                      <a:fillRect/>
                    </a:stretch>
                  </pic:blipFill>
                  <pic:spPr>
                    <a:xfrm>
                      <a:off x="0" y="0"/>
                      <a:ext cx="5934710" cy="6346190"/>
                    </a:xfrm>
                    <a:prstGeom prst="rect">
                      <a:avLst/>
                    </a:prstGeom>
                  </pic:spPr>
                </pic:pic>
              </a:graphicData>
            </a:graphic>
          </wp:inline>
        </w:drawing>
      </w:r>
    </w:p>
    <w:p>
      <w:pPr>
        <w:widowControl/>
        <w:numPr>
          <w:ilvl w:val="1"/>
          <w:numId w:val="115"/>
        </w:numPr>
        <w:snapToGrid w:val="0"/>
        <w:spacing w:before="156" w:beforeLines="50" w:after="156" w:afterLines="50" w:line="240" w:lineRule="auto"/>
        <w:jc w:val="center"/>
        <w:rPr>
          <w:rFonts w:ascii="黑体" w:hAnsi="Times New Roman" w:eastAsia="黑体"/>
          <w:kern w:val="0"/>
        </w:rPr>
      </w:pPr>
      <w:r>
        <w:rPr>
          <w:rFonts w:ascii="黑体" w:hAnsi="Times New Roman" w:eastAsia="黑体"/>
          <w:kern w:val="0"/>
          <w:szCs w:val="20"/>
        </w:rPr>
        <w:t>房产调查表表样</w:t>
      </w:r>
    </w:p>
    <w:p>
      <w:pPr>
        <w:widowControl/>
        <w:autoSpaceDE w:val="0"/>
        <w:autoSpaceDN w:val="0"/>
        <w:adjustRightInd/>
        <w:spacing w:line="240" w:lineRule="auto"/>
        <w:ind w:firstLine="420" w:firstLineChars="200"/>
        <w:rPr>
          <w:rFonts w:ascii="宋体" w:hAnsi="Times New Roman"/>
          <w:kern w:val="0"/>
          <w:szCs w:val="20"/>
        </w:rPr>
        <w:sectPr>
          <w:headerReference r:id="rId27" w:type="default"/>
          <w:footerReference r:id="rId29" w:type="default"/>
          <w:headerReference r:id="rId28" w:type="even"/>
          <w:footerReference r:id="rId30" w:type="even"/>
          <w:pgSz w:w="11906" w:h="16838"/>
          <w:pgMar w:top="1928" w:right="1134" w:bottom="1134" w:left="1134" w:header="1418" w:footer="1134" w:gutter="284"/>
          <w:cols w:space="425" w:num="1"/>
          <w:formProt w:val="0"/>
          <w:docGrid w:type="lines" w:linePitch="312" w:charSpace="0"/>
        </w:sectPr>
      </w:pPr>
    </w:p>
    <w:p>
      <w:pPr>
        <w:pStyle w:val="81"/>
        <w:spacing w:before="156" w:after="156"/>
      </w:pPr>
      <w:r>
        <w:t>建筑物区分所有权业主共有部分调查表</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图A.3给出了建筑物区分所有权业主共有部分调查表表样。</w:t>
      </w:r>
    </w:p>
    <w:p>
      <w:pPr>
        <w:widowControl/>
        <w:autoSpaceDE w:val="0"/>
        <w:autoSpaceDN w:val="0"/>
        <w:adjustRightInd/>
        <w:spacing w:line="240" w:lineRule="auto"/>
        <w:rPr>
          <w:rFonts w:ascii="宋体" w:hAnsi="Times New Roman"/>
          <w:kern w:val="0"/>
          <w:szCs w:val="20"/>
        </w:rPr>
      </w:pPr>
      <w:r>
        <w:rPr>
          <w:rFonts w:ascii="宋体" w:hAnsi="Times New Roman"/>
          <w:kern w:val="0"/>
          <w:szCs w:val="20"/>
        </w:rPr>
        <w:drawing>
          <wp:inline distT="0" distB="0" distL="114300" distR="114300">
            <wp:extent cx="5917565" cy="7364095"/>
            <wp:effectExtent l="0" t="0" r="6985" b="8255"/>
            <wp:docPr id="45" name="图片 45" descr="地籍调查规程-20241127171722134 (1)_10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5" name="图片 45" descr="地籍调查规程-20241127171722134 (1)_103(1)"/>
                    <pic:cNvPicPr>
                      <a:picLocks noChangeAspect="true"/>
                    </pic:cNvPicPr>
                  </pic:nvPicPr>
                  <pic:blipFill>
                    <a:blip r:embed="rId113"/>
                    <a:stretch>
                      <a:fillRect/>
                    </a:stretch>
                  </pic:blipFill>
                  <pic:spPr>
                    <a:xfrm>
                      <a:off x="0" y="0"/>
                      <a:ext cx="5917565" cy="7364095"/>
                    </a:xfrm>
                    <a:prstGeom prst="rect">
                      <a:avLst/>
                    </a:prstGeom>
                  </pic:spPr>
                </pic:pic>
              </a:graphicData>
            </a:graphic>
          </wp:inline>
        </w:drawing>
      </w:r>
    </w:p>
    <w:p>
      <w:pPr>
        <w:pStyle w:val="85"/>
        <w:spacing w:before="156" w:after="156"/>
      </w:pPr>
      <w:r>
        <w:t>房产调查表表样</w:t>
      </w:r>
    </w:p>
    <w:p>
      <w:pPr>
        <w:pStyle w:val="58"/>
        <w:ind w:firstLine="420"/>
      </w:pPr>
    </w:p>
    <w:p>
      <w:pPr>
        <w:pStyle w:val="58"/>
        <w:ind w:firstLine="420"/>
      </w:pPr>
    </w:p>
    <w:p>
      <w:pPr>
        <w:pStyle w:val="58"/>
        <w:ind w:firstLine="420"/>
      </w:pPr>
    </w:p>
    <w:p>
      <w:pPr>
        <w:pStyle w:val="58"/>
        <w:ind w:firstLine="420"/>
        <w:sectPr>
          <w:headerReference r:id="rId31" w:type="default"/>
          <w:footerReference r:id="rId33" w:type="default"/>
          <w:headerReference r:id="rId32" w:type="even"/>
          <w:footerReference r:id="rId34" w:type="even"/>
          <w:pgSz w:w="11906" w:h="16838"/>
          <w:pgMar w:top="1928" w:right="1134" w:bottom="1134" w:left="1134" w:header="1418" w:footer="1134" w:gutter="284"/>
          <w:cols w:space="425" w:num="1"/>
          <w:formProt w:val="0"/>
          <w:docGrid w:type="lines" w:linePitch="312" w:charSpace="0"/>
        </w:sectPr>
      </w:pPr>
    </w:p>
    <w:p>
      <w:pPr>
        <w:pStyle w:val="200"/>
        <w:rPr>
          <w:rFonts w:hint="eastAsia"/>
          <w:vanish w:val="0"/>
        </w:rPr>
      </w:pPr>
    </w:p>
    <w:p>
      <w:pPr>
        <w:pStyle w:val="201"/>
        <w:rPr>
          <w:vanish w:val="0"/>
        </w:rPr>
      </w:pPr>
    </w:p>
    <w:p>
      <w:pPr>
        <w:pStyle w:val="78"/>
        <w:spacing w:after="156"/>
      </w:pPr>
      <w:r>
        <w:br w:type="textWrapping"/>
      </w:r>
      <w:bookmarkStart w:id="532" w:name="_Toc237470944"/>
      <w:r>
        <w:rPr>
          <w:rFonts w:hint="eastAsia"/>
        </w:rPr>
        <w:t>（资料性）</w:t>
      </w:r>
      <w:r>
        <w:br w:type="textWrapping"/>
      </w:r>
      <w:r>
        <w:rPr>
          <w:rFonts w:hint="eastAsia"/>
        </w:rPr>
        <w:t>分幅图图廓的整饰样式与示例</w:t>
      </w:r>
      <w:bookmarkEnd w:id="532"/>
    </w:p>
    <w:p>
      <w:pPr>
        <w:pStyle w:val="80"/>
        <w:spacing w:before="156" w:after="156"/>
      </w:pPr>
      <w:bookmarkStart w:id="533" w:name="_Toc202456274"/>
      <w:bookmarkStart w:id="534" w:name="_Toc11095"/>
      <w:bookmarkStart w:id="535" w:name="_Toc237015214"/>
      <w:bookmarkStart w:id="536" w:name="_Toc237470360"/>
      <w:bookmarkStart w:id="537" w:name="_Toc237470800"/>
      <w:bookmarkStart w:id="538" w:name="_Toc237470945"/>
      <w:r>
        <w:t>房产分幅图图廓的整饰样式</w:t>
      </w:r>
      <w:bookmarkEnd w:id="533"/>
      <w:r>
        <w:t>与示例</w:t>
      </w:r>
      <w:bookmarkEnd w:id="534"/>
      <w:bookmarkEnd w:id="535"/>
      <w:bookmarkEnd w:id="536"/>
      <w:bookmarkEnd w:id="537"/>
      <w:bookmarkEnd w:id="538"/>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图B.1给出了房产分幅图图廓的整饰样式。</w:t>
      </w:r>
    </w:p>
    <w:p>
      <w:pPr>
        <w:adjustRightInd/>
        <w:spacing w:line="240" w:lineRule="auto"/>
        <w:jc w:val="center"/>
        <w:rPr>
          <w:rFonts w:ascii="Times New Roman" w:hAnsi="Times New Roman"/>
        </w:rPr>
      </w:pPr>
      <w:r>
        <w:rPr>
          <w:rFonts w:ascii="Times New Roman" w:hAnsi="Times New Roman"/>
        </w:rPr>
        <w:drawing>
          <wp:inline distT="0" distB="0" distL="0" distR="0">
            <wp:extent cx="4765675" cy="6356985"/>
            <wp:effectExtent l="0" t="0" r="0" b="5715"/>
            <wp:docPr id="86" name="图片 86" descr="C:\Users\jn\AppData\Local\Temp\ksohtml4520\wps50.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6" name="图片 86" descr="C:\Users\jn\AppData\Local\Temp\ksohtml4520\wps50.jpg"/>
                    <pic:cNvPicPr>
                      <a:picLocks noChangeAspect="true" noChangeArrowheads="true"/>
                    </pic:cNvPicPr>
                  </pic:nvPicPr>
                  <pic:blipFill>
                    <a:blip r:embed="rId114">
                      <a:extLst>
                        <a:ext uri="{28A0092B-C50C-407E-A947-70E740481C1C}">
                          <a14:useLocalDpi xmlns:a14="http://schemas.microsoft.com/office/drawing/2010/main" val="false"/>
                        </a:ext>
                      </a:extLst>
                    </a:blip>
                    <a:srcRect/>
                    <a:stretch>
                      <a:fillRect/>
                    </a:stretch>
                  </pic:blipFill>
                  <pic:spPr>
                    <a:xfrm>
                      <a:off x="0" y="0"/>
                      <a:ext cx="4765675" cy="6356985"/>
                    </a:xfrm>
                    <a:prstGeom prst="rect">
                      <a:avLst/>
                    </a:prstGeom>
                    <a:noFill/>
                    <a:ln>
                      <a:noFill/>
                    </a:ln>
                  </pic:spPr>
                </pic:pic>
              </a:graphicData>
            </a:graphic>
          </wp:inline>
        </w:drawing>
      </w:r>
    </w:p>
    <w:p>
      <w:pPr>
        <w:pStyle w:val="85"/>
        <w:spacing w:before="156" w:after="156"/>
      </w:pPr>
      <w:r>
        <w:t>房产分幅图图廓整饰样式</w:t>
      </w:r>
    </w:p>
    <w:p>
      <w:pPr>
        <w:pStyle w:val="80"/>
        <w:spacing w:before="156" w:after="156"/>
      </w:pPr>
      <w:bookmarkStart w:id="539" w:name="_Toc237470801"/>
      <w:bookmarkStart w:id="540" w:name="_Toc30850"/>
      <w:bookmarkStart w:id="541" w:name="_Toc202456275"/>
      <w:bookmarkStart w:id="542" w:name="_Toc237470946"/>
      <w:bookmarkStart w:id="543" w:name="_Toc237470361"/>
      <w:bookmarkStart w:id="544" w:name="_Toc237015215"/>
      <w:r>
        <w:t>房产分幅图局部图示例</w:t>
      </w:r>
      <w:bookmarkEnd w:id="539"/>
      <w:bookmarkEnd w:id="540"/>
      <w:bookmarkEnd w:id="541"/>
      <w:bookmarkEnd w:id="542"/>
      <w:bookmarkEnd w:id="543"/>
      <w:bookmarkEnd w:id="544"/>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图B.2给出了房产分幅图局部图示例。</w:t>
      </w:r>
    </w:p>
    <w:p>
      <w:pPr>
        <w:adjustRightInd/>
        <w:spacing w:line="240" w:lineRule="auto"/>
        <w:jc w:val="center"/>
        <w:rPr>
          <w:rFonts w:ascii="Times New Roman" w:hAnsi="Times New Roman"/>
        </w:rPr>
      </w:pPr>
      <w:r>
        <w:rPr>
          <w:rFonts w:ascii="Times New Roman" w:hAnsi="Times New Roman"/>
        </w:rPr>
        <w:drawing>
          <wp:inline distT="0" distB="0" distL="0" distR="0">
            <wp:extent cx="4809490" cy="7227570"/>
            <wp:effectExtent l="0" t="0" r="0" b="0"/>
            <wp:docPr id="87" name="图片 87" descr="C:\Users\jn\AppData\Local\Temp\ksohtml4520\wps51.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7" name="图片 87" descr="C:\Users\jn\AppData\Local\Temp\ksohtml4520\wps51.jpg"/>
                    <pic:cNvPicPr>
                      <a:picLocks noChangeAspect="true" noChangeArrowheads="true"/>
                    </pic:cNvPicPr>
                  </pic:nvPicPr>
                  <pic:blipFill>
                    <a:blip r:embed="rId115">
                      <a:extLst>
                        <a:ext uri="{28A0092B-C50C-407E-A947-70E740481C1C}">
                          <a14:useLocalDpi xmlns:a14="http://schemas.microsoft.com/office/drawing/2010/main" val="false"/>
                        </a:ext>
                      </a:extLst>
                    </a:blip>
                    <a:srcRect/>
                    <a:stretch>
                      <a:fillRect/>
                    </a:stretch>
                  </pic:blipFill>
                  <pic:spPr>
                    <a:xfrm>
                      <a:off x="0" y="0"/>
                      <a:ext cx="4809490" cy="7227570"/>
                    </a:xfrm>
                    <a:prstGeom prst="rect">
                      <a:avLst/>
                    </a:prstGeom>
                    <a:noFill/>
                    <a:ln>
                      <a:noFill/>
                    </a:ln>
                  </pic:spPr>
                </pic:pic>
              </a:graphicData>
            </a:graphic>
          </wp:inline>
        </w:drawing>
      </w:r>
    </w:p>
    <w:p>
      <w:pPr>
        <w:pStyle w:val="85"/>
        <w:spacing w:before="156" w:after="156"/>
        <w:sectPr>
          <w:headerReference r:id="rId35" w:type="default"/>
          <w:footerReference r:id="rId37" w:type="default"/>
          <w:headerReference r:id="rId36" w:type="even"/>
          <w:footerReference r:id="rId38" w:type="even"/>
          <w:pgSz w:w="11906" w:h="16838"/>
          <w:pgMar w:top="1928" w:right="1134" w:bottom="1134" w:left="1134" w:header="1418" w:footer="1134" w:gutter="284"/>
          <w:cols w:space="425" w:num="1"/>
          <w:formProt w:val="0"/>
          <w:docGrid w:type="lines" w:linePitch="312" w:charSpace="0"/>
        </w:sectPr>
      </w:pPr>
      <w:r>
        <w:t>房产分幅图局部图示例</w:t>
      </w:r>
    </w:p>
    <w:p>
      <w:pPr>
        <w:pStyle w:val="58"/>
        <w:ind w:firstLine="420"/>
      </w:pPr>
    </w:p>
    <w:p>
      <w:pPr>
        <w:pStyle w:val="58"/>
        <w:ind w:firstLine="420"/>
      </w:pPr>
    </w:p>
    <w:p>
      <w:pPr>
        <w:pStyle w:val="58"/>
        <w:ind w:firstLine="420"/>
      </w:pPr>
    </w:p>
    <w:p>
      <w:pPr>
        <w:pStyle w:val="58"/>
        <w:ind w:firstLine="420"/>
      </w:pPr>
    </w:p>
    <w:p>
      <w:pPr>
        <w:pStyle w:val="58"/>
        <w:ind w:firstLine="420"/>
        <w:sectPr>
          <w:headerReference r:id="rId39" w:type="default"/>
          <w:footerReference r:id="rId41" w:type="default"/>
          <w:headerReference r:id="rId40" w:type="even"/>
          <w:footerReference r:id="rId42" w:type="even"/>
          <w:pgSz w:w="11906" w:h="16838"/>
          <w:pgMar w:top="1928" w:right="1134" w:bottom="1134" w:left="1134" w:header="1418" w:footer="1134" w:gutter="284"/>
          <w:cols w:space="425" w:num="1"/>
          <w:formProt w:val="0"/>
          <w:docGrid w:type="lines" w:linePitch="312" w:charSpace="0"/>
        </w:sectPr>
      </w:pPr>
    </w:p>
    <w:p>
      <w:pPr>
        <w:pStyle w:val="200"/>
        <w:rPr>
          <w:rFonts w:hint="eastAsia"/>
          <w:vanish w:val="0"/>
        </w:rPr>
      </w:pPr>
    </w:p>
    <w:p>
      <w:pPr>
        <w:pStyle w:val="201"/>
        <w:rPr>
          <w:vanish w:val="0"/>
        </w:rPr>
      </w:pPr>
    </w:p>
    <w:p>
      <w:pPr>
        <w:pStyle w:val="78"/>
        <w:spacing w:after="156"/>
      </w:pPr>
      <w:r>
        <w:br w:type="textWrapping"/>
      </w:r>
      <w:bookmarkStart w:id="545" w:name="_Toc237470947"/>
      <w:r>
        <w:rPr>
          <w:rFonts w:hint="eastAsia"/>
        </w:rPr>
        <w:t>（资料性）</w:t>
      </w:r>
      <w:r>
        <w:br w:type="textWrapping"/>
      </w:r>
      <w:r>
        <w:rPr>
          <w:rFonts w:hint="eastAsia"/>
        </w:rPr>
        <w:t>分丘图图廓整饰样式与示例</w:t>
      </w:r>
      <w:bookmarkEnd w:id="545"/>
    </w:p>
    <w:p>
      <w:pPr>
        <w:pStyle w:val="80"/>
        <w:spacing w:before="156" w:after="156"/>
      </w:pPr>
      <w:bookmarkStart w:id="546" w:name="_Toc202456277"/>
      <w:bookmarkStart w:id="547" w:name="_Toc237470363"/>
      <w:bookmarkStart w:id="548" w:name="_Toc237015217"/>
      <w:bookmarkStart w:id="549" w:name="_Toc237470803"/>
      <w:bookmarkStart w:id="550" w:name="_Toc22048"/>
      <w:bookmarkStart w:id="551" w:name="_Toc237470948"/>
      <w:r>
        <w:t>房产分丘图图廓整饰样式</w:t>
      </w:r>
      <w:bookmarkEnd w:id="546"/>
      <w:r>
        <w:t>与示例</w:t>
      </w:r>
      <w:bookmarkEnd w:id="547"/>
      <w:bookmarkEnd w:id="548"/>
      <w:bookmarkEnd w:id="549"/>
      <w:bookmarkEnd w:id="550"/>
      <w:bookmarkEnd w:id="551"/>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图C.1给出了房产分丘图图廓整饰样式与示例。</w:t>
      </w:r>
    </w:p>
    <w:p>
      <w:pPr>
        <w:adjustRightInd/>
        <w:spacing w:line="240" w:lineRule="auto"/>
        <w:jc w:val="center"/>
        <w:rPr>
          <w:rFonts w:ascii="Times New Roman" w:hAnsi="Times New Roman"/>
        </w:rPr>
      </w:pPr>
      <w:r>
        <w:drawing>
          <wp:inline distT="0" distB="0" distL="114300" distR="114300">
            <wp:extent cx="5926455" cy="6572885"/>
            <wp:effectExtent l="0" t="0" r="17145" b="18415"/>
            <wp:docPr id="9"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true"/>
                    </pic:cNvPicPr>
                  </pic:nvPicPr>
                  <pic:blipFill>
                    <a:blip r:embed="rId116"/>
                    <a:srcRect t="10542" b="11012"/>
                    <a:stretch>
                      <a:fillRect/>
                    </a:stretch>
                  </pic:blipFill>
                  <pic:spPr>
                    <a:xfrm rot="10800000">
                      <a:off x="0" y="0"/>
                      <a:ext cx="5926455" cy="6572885"/>
                    </a:xfrm>
                    <a:prstGeom prst="rect">
                      <a:avLst/>
                    </a:prstGeom>
                    <a:noFill/>
                    <a:ln>
                      <a:noFill/>
                    </a:ln>
                  </pic:spPr>
                </pic:pic>
              </a:graphicData>
            </a:graphic>
          </wp:inline>
        </w:drawing>
      </w:r>
    </w:p>
    <w:p>
      <w:pPr>
        <w:pStyle w:val="85"/>
        <w:spacing w:before="156" w:after="156"/>
      </w:pPr>
      <w:r>
        <w:t>房产分丘图图廓整饰样式</w:t>
      </w:r>
    </w:p>
    <w:p>
      <w:pPr>
        <w:pStyle w:val="58"/>
        <w:ind w:firstLine="420"/>
      </w:pPr>
    </w:p>
    <w:p>
      <w:pPr>
        <w:pStyle w:val="58"/>
        <w:ind w:firstLine="420"/>
      </w:pPr>
    </w:p>
    <w:p>
      <w:pPr>
        <w:pStyle w:val="58"/>
        <w:ind w:firstLine="420"/>
      </w:pPr>
    </w:p>
    <w:p>
      <w:pPr>
        <w:pStyle w:val="58"/>
        <w:ind w:firstLine="420"/>
      </w:pPr>
    </w:p>
    <w:p>
      <w:pPr>
        <w:pStyle w:val="58"/>
        <w:ind w:firstLine="420"/>
        <w:sectPr>
          <w:headerReference r:id="rId43" w:type="default"/>
          <w:footerReference r:id="rId45" w:type="default"/>
          <w:headerReference r:id="rId44" w:type="even"/>
          <w:footerReference r:id="rId46" w:type="even"/>
          <w:pgSz w:w="11906" w:h="16838"/>
          <w:pgMar w:top="1928" w:right="1134" w:bottom="1134" w:left="1134" w:header="1418" w:footer="1134" w:gutter="284"/>
          <w:cols w:space="425" w:num="1"/>
          <w:formProt w:val="0"/>
          <w:docGrid w:type="lines" w:linePitch="312" w:charSpace="0"/>
        </w:sectPr>
      </w:pPr>
    </w:p>
    <w:p>
      <w:pPr>
        <w:pStyle w:val="200"/>
        <w:rPr>
          <w:rFonts w:hint="eastAsia"/>
          <w:vanish w:val="0"/>
        </w:rPr>
      </w:pPr>
    </w:p>
    <w:p>
      <w:pPr>
        <w:pStyle w:val="201"/>
        <w:rPr>
          <w:vanish w:val="0"/>
        </w:rPr>
      </w:pPr>
    </w:p>
    <w:p>
      <w:pPr>
        <w:pStyle w:val="78"/>
        <w:spacing w:after="156"/>
      </w:pPr>
      <w:r>
        <w:br w:type="textWrapping"/>
      </w:r>
      <w:bookmarkStart w:id="552" w:name="_Toc237470949"/>
      <w:r>
        <w:rPr>
          <w:rFonts w:hint="eastAsia"/>
        </w:rPr>
        <w:t>（资料性）</w:t>
      </w:r>
      <w:r>
        <w:br w:type="textWrapping"/>
      </w:r>
      <w:r>
        <w:rPr>
          <w:rFonts w:hint="eastAsia"/>
        </w:rPr>
        <w:t>房产分层图、分户图图廊与示例</w:t>
      </w:r>
      <w:bookmarkEnd w:id="552"/>
    </w:p>
    <w:p>
      <w:pPr>
        <w:pStyle w:val="80"/>
        <w:spacing w:before="156" w:after="156"/>
      </w:pPr>
      <w:bookmarkStart w:id="553" w:name="_Toc237015219"/>
      <w:bookmarkStart w:id="554" w:name="_Toc202456280"/>
      <w:bookmarkStart w:id="555" w:name="_Toc237470805"/>
      <w:bookmarkStart w:id="556" w:name="_Toc237470950"/>
      <w:bookmarkStart w:id="557" w:name="_Toc25227"/>
      <w:bookmarkStart w:id="558" w:name="_Toc237470365"/>
      <w:r>
        <w:t>一般要求</w:t>
      </w:r>
      <w:bookmarkEnd w:id="553"/>
      <w:bookmarkEnd w:id="554"/>
      <w:bookmarkEnd w:id="555"/>
      <w:bookmarkEnd w:id="556"/>
      <w:bookmarkEnd w:id="557"/>
      <w:bookmarkEnd w:id="558"/>
    </w:p>
    <w:p>
      <w:pPr>
        <w:widowControl/>
        <w:adjustRightInd/>
        <w:spacing w:line="240" w:lineRule="auto"/>
        <w:ind w:firstLine="420"/>
        <w:rPr>
          <w:rFonts w:hint="eastAsia" w:ascii="宋体" w:hAnsi="宋体" w:cs="宋体"/>
          <w:kern w:val="0"/>
        </w:rPr>
      </w:pPr>
      <w:r>
        <w:rPr>
          <w:rFonts w:ascii="宋体" w:hAnsi="宋体" w:cs="宋体"/>
          <w:kern w:val="0"/>
        </w:rPr>
        <w:t>房屋整个生命周期中因各阶段管理要求不同，需绘制相对应的分层图、分户图，包括房产面积实测、预测和变更修测三个阶段的分层图、分户图。</w:t>
      </w:r>
    </w:p>
    <w:p>
      <w:pPr>
        <w:pStyle w:val="80"/>
        <w:spacing w:before="156" w:after="156"/>
      </w:pPr>
      <w:bookmarkStart w:id="559" w:name="_Toc237470366"/>
      <w:bookmarkStart w:id="560" w:name="_Toc237015220"/>
      <w:bookmarkStart w:id="561" w:name="_Toc237470806"/>
      <w:bookmarkStart w:id="562" w:name="_Toc22907"/>
      <w:bookmarkStart w:id="563" w:name="_Toc202456281"/>
      <w:bookmarkStart w:id="564" w:name="_Toc237470951"/>
      <w:r>
        <w:t>房产分层平面图</w:t>
      </w:r>
      <w:bookmarkEnd w:id="559"/>
      <w:bookmarkEnd w:id="560"/>
      <w:bookmarkEnd w:id="561"/>
      <w:bookmarkEnd w:id="562"/>
      <w:bookmarkEnd w:id="563"/>
      <w:bookmarkEnd w:id="564"/>
    </w:p>
    <w:p>
      <w:pPr>
        <w:pStyle w:val="58"/>
        <w:ind w:firstLine="420"/>
      </w:pPr>
      <w:r>
        <w:rPr>
          <w:rFonts w:hint="eastAsia"/>
        </w:rPr>
        <w:t>房产分层平面图的绘制要求如下：</w:t>
      </w:r>
    </w:p>
    <w:p>
      <w:pPr>
        <w:widowControl/>
        <w:numPr>
          <w:ilvl w:val="0"/>
          <w:numId w:val="116"/>
        </w:numPr>
        <w:adjustRightInd/>
        <w:spacing w:line="240" w:lineRule="auto"/>
        <w:ind w:left="840" w:hanging="420"/>
        <w:rPr>
          <w:rFonts w:hint="eastAsia" w:ascii="宋体" w:hAnsi="宋体" w:cs="宋体"/>
          <w:kern w:val="0"/>
        </w:rPr>
      </w:pPr>
      <w:r>
        <w:rPr>
          <w:rFonts w:ascii="宋体" w:hAnsi="宋体" w:cs="宋体"/>
          <w:kern w:val="0"/>
        </w:rPr>
        <w:t>房产分层平面图简称分层图，以各楼层外围水平投影绘制</w:t>
      </w:r>
      <w:r>
        <w:rPr>
          <w:rFonts w:hint="eastAsia" w:ascii="宋体" w:hAnsi="宋体" w:cs="宋体"/>
          <w:kern w:val="0"/>
        </w:rPr>
        <w:t>；</w:t>
      </w:r>
    </w:p>
    <w:p>
      <w:pPr>
        <w:widowControl/>
        <w:numPr>
          <w:ilvl w:val="0"/>
          <w:numId w:val="116"/>
        </w:numPr>
        <w:adjustRightInd/>
        <w:spacing w:line="240" w:lineRule="auto"/>
        <w:ind w:left="840" w:hanging="420"/>
        <w:rPr>
          <w:rFonts w:hint="eastAsia" w:ascii="宋体" w:hAnsi="宋体" w:cs="宋体"/>
          <w:kern w:val="0"/>
        </w:rPr>
      </w:pPr>
      <w:r>
        <w:rPr>
          <w:rFonts w:ascii="宋体" w:hAnsi="宋体" w:cs="宋体"/>
          <w:kern w:val="0"/>
        </w:rPr>
        <w:t>分层图以幢为单位绘制，一个层次绘制一个图面。幢入口方向朝下或朝右，从底层至顶层依次绘制并标注层次；若多个楼层完全相同，可以用一个层次表示，但图形正上方应标注为“X层（X-X层同）；房屋边长线型要一致且每层应绘制指北方向</w:t>
      </w:r>
      <w:r>
        <w:rPr>
          <w:rFonts w:hint="eastAsia" w:ascii="宋体" w:hAnsi="宋体" w:cs="宋体"/>
          <w:kern w:val="0"/>
        </w:rPr>
        <w:t>；</w:t>
      </w:r>
    </w:p>
    <w:p>
      <w:pPr>
        <w:widowControl/>
        <w:numPr>
          <w:ilvl w:val="0"/>
          <w:numId w:val="116"/>
        </w:numPr>
        <w:adjustRightInd/>
        <w:spacing w:line="240" w:lineRule="auto"/>
        <w:ind w:left="840" w:hanging="420"/>
        <w:rPr>
          <w:rFonts w:hint="eastAsia" w:ascii="宋体" w:hAnsi="宋体" w:cs="宋体"/>
          <w:kern w:val="0"/>
        </w:rPr>
      </w:pPr>
      <w:r>
        <w:rPr>
          <w:rFonts w:ascii="宋体" w:hAnsi="宋体" w:cs="宋体"/>
          <w:kern w:val="0"/>
        </w:rPr>
        <w:t>分层图幅面一般选用A4或A3，特殊情况也可选用其它适用幅面的图纸，比例尺一般在1:100—1:500之间选择；不计算建筑面积的部位（如露台、临街走廊、层高小于2.20m等）在房屋相应的位置也需要表示并标注使用性质；右下角面积表格中填写层建面和栋建面。</w:t>
      </w:r>
    </w:p>
    <w:p>
      <w:pPr>
        <w:pStyle w:val="80"/>
        <w:spacing w:before="156" w:after="156"/>
      </w:pPr>
      <w:bookmarkStart w:id="565" w:name="_Toc237470807"/>
      <w:bookmarkStart w:id="566" w:name="_Toc237470367"/>
      <w:bookmarkStart w:id="567" w:name="_Toc237015221"/>
      <w:bookmarkStart w:id="568" w:name="_Toc202456282"/>
      <w:bookmarkStart w:id="569" w:name="_Toc237470952"/>
      <w:bookmarkStart w:id="570" w:name="_Toc7087"/>
      <w:r>
        <w:t>房产分户平面图</w:t>
      </w:r>
      <w:bookmarkEnd w:id="565"/>
      <w:bookmarkEnd w:id="566"/>
      <w:bookmarkEnd w:id="567"/>
      <w:bookmarkEnd w:id="568"/>
      <w:bookmarkEnd w:id="569"/>
      <w:bookmarkEnd w:id="570"/>
    </w:p>
    <w:p>
      <w:pPr>
        <w:pStyle w:val="58"/>
        <w:ind w:firstLine="420"/>
      </w:pPr>
      <w:r>
        <w:rPr>
          <w:rFonts w:hint="eastAsia"/>
        </w:rPr>
        <w:t>房产分户平面图绘制要求如下：</w:t>
      </w:r>
    </w:p>
    <w:p>
      <w:pPr>
        <w:widowControl/>
        <w:numPr>
          <w:ilvl w:val="0"/>
          <w:numId w:val="117"/>
        </w:numPr>
        <w:adjustRightInd/>
        <w:spacing w:line="240" w:lineRule="auto"/>
        <w:ind w:left="840" w:hanging="420"/>
        <w:rPr>
          <w:rFonts w:hint="eastAsia" w:ascii="宋体" w:hAnsi="宋体" w:cs="宋体"/>
          <w:kern w:val="0"/>
        </w:rPr>
      </w:pPr>
      <w:r>
        <w:rPr>
          <w:rFonts w:ascii="宋体" w:hAnsi="宋体" w:cs="宋体"/>
          <w:kern w:val="0"/>
        </w:rPr>
        <w:t>房产分户平面图简称分户图，以各楼层各基本单元权界线的水平投影绘制</w:t>
      </w:r>
      <w:r>
        <w:rPr>
          <w:rFonts w:hint="eastAsia" w:ascii="宋体" w:hAnsi="宋体" w:cs="宋体"/>
          <w:kern w:val="0"/>
        </w:rPr>
        <w:t>；</w:t>
      </w:r>
    </w:p>
    <w:p>
      <w:pPr>
        <w:widowControl/>
        <w:numPr>
          <w:ilvl w:val="0"/>
          <w:numId w:val="117"/>
        </w:numPr>
        <w:adjustRightInd/>
        <w:spacing w:line="240" w:lineRule="auto"/>
        <w:ind w:left="840" w:hanging="420"/>
        <w:rPr>
          <w:rFonts w:hint="eastAsia" w:ascii="宋体" w:hAnsi="宋体" w:cs="宋体"/>
          <w:kern w:val="0"/>
        </w:rPr>
      </w:pPr>
      <w:r>
        <w:rPr>
          <w:rFonts w:ascii="宋体" w:hAnsi="宋体" w:cs="宋体"/>
          <w:kern w:val="0"/>
        </w:rPr>
        <w:t>分户图应与分层图绘制的方向一致。标准楼层，可以用一个层次表示，但图形正上方应标注为：“X层（X层—X层同）”；复式（跃式）房屋分户图应在同一幅面上绘制；层高低于2.20m的部分用虚线表示并标注边长，在其范围内注记“H&lt;2.20m”，用文字标注产权归属</w:t>
      </w:r>
      <w:r>
        <w:rPr>
          <w:rFonts w:hint="eastAsia" w:ascii="宋体" w:hAnsi="宋体" w:cs="宋体"/>
          <w:kern w:val="0"/>
        </w:rPr>
        <w:t>；</w:t>
      </w:r>
    </w:p>
    <w:p>
      <w:pPr>
        <w:widowControl/>
        <w:numPr>
          <w:ilvl w:val="0"/>
          <w:numId w:val="117"/>
        </w:numPr>
        <w:adjustRightInd/>
        <w:spacing w:line="240" w:lineRule="auto"/>
        <w:ind w:left="840" w:hanging="420"/>
        <w:rPr>
          <w:rFonts w:hint="eastAsia" w:ascii="宋体" w:hAnsi="宋体" w:cs="宋体"/>
          <w:kern w:val="0"/>
        </w:rPr>
      </w:pPr>
      <w:r>
        <w:rPr>
          <w:rFonts w:ascii="宋体" w:hAnsi="宋体" w:cs="宋体"/>
          <w:kern w:val="0"/>
        </w:rPr>
        <w:t>分户图幅面一般与分层图一致。</w:t>
      </w:r>
    </w:p>
    <w:p>
      <w:pPr>
        <w:pStyle w:val="80"/>
        <w:spacing w:before="156" w:after="156"/>
      </w:pPr>
      <w:bookmarkStart w:id="571" w:name="_Toc202456283"/>
      <w:bookmarkStart w:id="572" w:name="_Toc237470953"/>
      <w:bookmarkStart w:id="573" w:name="_Toc22649"/>
      <w:bookmarkStart w:id="574" w:name="_Toc237015222"/>
      <w:bookmarkStart w:id="575" w:name="_Toc237470808"/>
      <w:bookmarkStart w:id="576" w:name="_Toc237470368"/>
      <w:r>
        <w:t>分层图、分户图图框及图样</w:t>
      </w:r>
      <w:bookmarkEnd w:id="571"/>
      <w:bookmarkEnd w:id="572"/>
      <w:bookmarkEnd w:id="573"/>
      <w:bookmarkEnd w:id="574"/>
      <w:bookmarkEnd w:id="575"/>
      <w:bookmarkEnd w:id="576"/>
    </w:p>
    <w:p>
      <w:pPr>
        <w:pStyle w:val="81"/>
        <w:spacing w:before="156" w:after="156"/>
      </w:pPr>
      <w:r>
        <w:t>房产建筑面积实测分层平面图图框与样例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图D.1给出了房产建筑面积实测分层平面图图框与样例。</w:t>
      </w:r>
    </w:p>
    <w:p>
      <w:pPr>
        <w:adjustRightInd/>
        <w:spacing w:line="240" w:lineRule="auto"/>
        <w:rPr>
          <w:rFonts w:ascii="Times New Roman" w:hAnsi="Times New Roman"/>
        </w:rPr>
      </w:pPr>
      <w:r>
        <w:drawing>
          <wp:inline distT="0" distB="0" distL="114300" distR="114300">
            <wp:extent cx="5417820" cy="8001000"/>
            <wp:effectExtent l="0" t="0" r="0" b="0"/>
            <wp:docPr id="41"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8"/>
                    <pic:cNvPicPr>
                      <a:picLocks noChangeAspect="true"/>
                    </pic:cNvPicPr>
                  </pic:nvPicPr>
                  <pic:blipFill>
                    <a:blip r:embed="rId117"/>
                    <a:srcRect l="5755" t="6285" r="4557" b="5227"/>
                    <a:stretch>
                      <a:fillRect/>
                    </a:stretch>
                  </pic:blipFill>
                  <pic:spPr>
                    <a:xfrm>
                      <a:off x="0" y="0"/>
                      <a:ext cx="5421535" cy="8006486"/>
                    </a:xfrm>
                    <a:prstGeom prst="rect">
                      <a:avLst/>
                    </a:prstGeom>
                    <a:noFill/>
                    <a:ln>
                      <a:noFill/>
                    </a:ln>
                  </pic:spPr>
                </pic:pic>
              </a:graphicData>
            </a:graphic>
          </wp:inline>
        </w:drawing>
      </w:r>
    </w:p>
    <w:p>
      <w:pPr>
        <w:pStyle w:val="85"/>
        <w:spacing w:before="156" w:after="156"/>
      </w:pPr>
      <w:r>
        <w:t>房产建筑面积实测分层平面图图框与样例</w:t>
      </w:r>
    </w:p>
    <w:p>
      <w:pPr>
        <w:pStyle w:val="81"/>
        <w:spacing w:before="156" w:after="156"/>
      </w:pPr>
      <w:r>
        <w:t>房产建筑面积实测分户平面图图框与样例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图D.2给出了房产建筑面积实测分层平面图图框与样例。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drawing>
          <wp:inline distT="0" distB="0" distL="114300" distR="114300">
            <wp:extent cx="5355590" cy="7560310"/>
            <wp:effectExtent l="0" t="0" r="16510" b="2540"/>
            <wp:docPr id="42"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9"/>
                    <pic:cNvPicPr>
                      <a:picLocks noChangeAspect="true"/>
                    </pic:cNvPicPr>
                  </pic:nvPicPr>
                  <pic:blipFill>
                    <a:blip r:embed="rId118"/>
                    <a:srcRect l="5338" t="7420" r="5884" b="3971"/>
                    <a:stretch>
                      <a:fillRect/>
                    </a:stretch>
                  </pic:blipFill>
                  <pic:spPr>
                    <a:xfrm>
                      <a:off x="0" y="0"/>
                      <a:ext cx="5355590" cy="7560310"/>
                    </a:xfrm>
                    <a:prstGeom prst="rect">
                      <a:avLst/>
                    </a:prstGeom>
                    <a:noFill/>
                    <a:ln>
                      <a:noFill/>
                    </a:ln>
                  </pic:spPr>
                </pic:pic>
              </a:graphicData>
            </a:graphic>
          </wp:inline>
        </w:drawing>
      </w:r>
    </w:p>
    <w:p>
      <w:pPr>
        <w:pStyle w:val="85"/>
        <w:spacing w:before="156" w:after="156"/>
      </w:pPr>
      <w:r>
        <w:t>房产建筑面积实测分层平面图图框与样例</w:t>
      </w:r>
    </w:p>
    <w:p>
      <w:pPr>
        <w:pStyle w:val="81"/>
        <w:spacing w:before="156" w:after="156"/>
      </w:pPr>
      <w:r>
        <w:t>房产建筑面积预测分层平面图图框与样例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图D.3给出了房产建筑面积预测分层平面图图框与样例。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drawing>
          <wp:inline distT="0" distB="0" distL="114300" distR="114300">
            <wp:extent cx="5355590" cy="7560310"/>
            <wp:effectExtent l="0" t="0" r="16510" b="2540"/>
            <wp:docPr id="16"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true"/>
                    </pic:cNvPicPr>
                  </pic:nvPicPr>
                  <pic:blipFill>
                    <a:blip r:embed="rId119"/>
                    <a:srcRect l="7809" t="5416" r="3412" b="5975"/>
                    <a:stretch>
                      <a:fillRect/>
                    </a:stretch>
                  </pic:blipFill>
                  <pic:spPr>
                    <a:xfrm>
                      <a:off x="0" y="0"/>
                      <a:ext cx="5355590" cy="7560310"/>
                    </a:xfrm>
                    <a:prstGeom prst="rect">
                      <a:avLst/>
                    </a:prstGeom>
                    <a:noFill/>
                    <a:ln>
                      <a:noFill/>
                    </a:ln>
                  </pic:spPr>
                </pic:pic>
              </a:graphicData>
            </a:graphic>
          </wp:inline>
        </w:drawing>
      </w:r>
    </w:p>
    <w:p>
      <w:pPr>
        <w:pStyle w:val="85"/>
        <w:spacing w:before="156" w:after="156"/>
        <w:rPr>
          <w:rFonts w:ascii="Times New Roman"/>
        </w:rPr>
      </w:pPr>
      <w:r>
        <w:t>房产建筑面积预测分层平面图图框与样例</w:t>
      </w:r>
    </w:p>
    <w:p>
      <w:pPr>
        <w:pStyle w:val="81"/>
        <w:spacing w:before="156" w:after="156"/>
      </w:pPr>
      <w:r>
        <w:t>房产建筑面积预测分户平面图图框与样例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图D.4给出了房产建筑面积预测分户平面图图框与样例。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drawing>
          <wp:inline distT="0" distB="0" distL="114300" distR="114300">
            <wp:extent cx="5361305" cy="7560310"/>
            <wp:effectExtent l="0" t="0" r="10795" b="2540"/>
            <wp:docPr id="17"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true"/>
                    </pic:cNvPicPr>
                  </pic:nvPicPr>
                  <pic:blipFill>
                    <a:blip r:embed="rId120"/>
                    <a:srcRect l="4964" t="7337" r="5884" b="3774"/>
                    <a:stretch>
                      <a:fillRect/>
                    </a:stretch>
                  </pic:blipFill>
                  <pic:spPr>
                    <a:xfrm>
                      <a:off x="0" y="0"/>
                      <a:ext cx="5361305" cy="7560310"/>
                    </a:xfrm>
                    <a:prstGeom prst="rect">
                      <a:avLst/>
                    </a:prstGeom>
                    <a:noFill/>
                    <a:ln>
                      <a:noFill/>
                    </a:ln>
                  </pic:spPr>
                </pic:pic>
              </a:graphicData>
            </a:graphic>
          </wp:inline>
        </w:drawing>
      </w:r>
    </w:p>
    <w:p>
      <w:pPr>
        <w:pStyle w:val="85"/>
        <w:spacing w:before="156" w:after="156"/>
      </w:pPr>
      <w:r>
        <w:t>房产建筑面积预测分户平面图图框与样例</w:t>
      </w:r>
    </w:p>
    <w:p>
      <w:pPr>
        <w:pStyle w:val="81"/>
        <w:spacing w:before="156" w:after="156"/>
      </w:pPr>
      <w:r>
        <w:t>房产建筑面积修测分层平面图图框与样例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图D.5给出了房产建筑面积修测分层平面图图框与样例。</w:t>
      </w:r>
    </w:p>
    <w:p>
      <w:pPr>
        <w:adjustRightInd/>
        <w:spacing w:line="240" w:lineRule="auto"/>
        <w:rPr>
          <w:rFonts w:ascii="Times New Roman" w:hAnsi="Times New Roman"/>
        </w:rPr>
      </w:pPr>
      <w:r>
        <w:drawing>
          <wp:inline distT="0" distB="0" distL="114300" distR="114300">
            <wp:extent cx="5534660" cy="7560310"/>
            <wp:effectExtent l="0" t="0" r="8890" b="2540"/>
            <wp:docPr id="46"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6" name="图片 10"/>
                    <pic:cNvPicPr>
                      <a:picLocks noChangeAspect="true"/>
                    </pic:cNvPicPr>
                  </pic:nvPicPr>
                  <pic:blipFill>
                    <a:blip r:embed="rId121"/>
                    <a:srcRect l="5755" t="6603" r="2706" b="4984"/>
                    <a:stretch>
                      <a:fillRect/>
                    </a:stretch>
                  </pic:blipFill>
                  <pic:spPr>
                    <a:xfrm>
                      <a:off x="0" y="0"/>
                      <a:ext cx="5534660" cy="7560310"/>
                    </a:xfrm>
                    <a:prstGeom prst="rect">
                      <a:avLst/>
                    </a:prstGeom>
                    <a:noFill/>
                    <a:ln>
                      <a:noFill/>
                    </a:ln>
                  </pic:spPr>
                </pic:pic>
              </a:graphicData>
            </a:graphic>
          </wp:inline>
        </w:drawing>
      </w:r>
    </w:p>
    <w:p>
      <w:pPr>
        <w:pStyle w:val="85"/>
        <w:spacing w:before="156" w:after="156"/>
      </w:pPr>
      <w:r>
        <w:t>房产建筑面积修测分层平面图图框与样例</w:t>
      </w:r>
    </w:p>
    <w:p>
      <w:pPr>
        <w:pStyle w:val="81"/>
        <w:spacing w:before="156" w:after="156"/>
      </w:pPr>
      <w:r>
        <w:t>房产建筑面积修测分户平面图图框与样例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图D.6给出了房产建筑面积修测分户平面图图框与样例。</w:t>
      </w:r>
    </w:p>
    <w:p>
      <w:pPr>
        <w:adjustRightInd/>
        <w:spacing w:line="240" w:lineRule="auto"/>
      </w:pPr>
      <w:r>
        <w:drawing>
          <wp:inline distT="0" distB="0" distL="114300" distR="114300">
            <wp:extent cx="5508625" cy="7560310"/>
            <wp:effectExtent l="0" t="0" r="15875" b="2540"/>
            <wp:docPr id="47"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11"/>
                    <pic:cNvPicPr>
                      <a:picLocks noChangeAspect="true"/>
                    </pic:cNvPicPr>
                  </pic:nvPicPr>
                  <pic:blipFill>
                    <a:blip r:embed="rId122"/>
                    <a:srcRect l="4889" t="7594" r="4065" b="4054"/>
                    <a:stretch>
                      <a:fillRect/>
                    </a:stretch>
                  </pic:blipFill>
                  <pic:spPr>
                    <a:xfrm>
                      <a:off x="0" y="0"/>
                      <a:ext cx="5508625" cy="7560310"/>
                    </a:xfrm>
                    <a:prstGeom prst="rect">
                      <a:avLst/>
                    </a:prstGeom>
                    <a:noFill/>
                    <a:ln>
                      <a:noFill/>
                    </a:ln>
                  </pic:spPr>
                </pic:pic>
              </a:graphicData>
            </a:graphic>
          </wp:inline>
        </w:drawing>
      </w:r>
    </w:p>
    <w:p>
      <w:pPr>
        <w:pStyle w:val="85"/>
        <w:spacing w:before="156" w:after="156"/>
        <w:rPr>
          <w:rFonts w:ascii="Times New Roman"/>
        </w:rPr>
      </w:pPr>
      <w:r>
        <w:t>房产建筑面积修测分户平面图图框与样例</w:t>
      </w:r>
    </w:p>
    <w:p>
      <w:pPr>
        <w:pStyle w:val="81"/>
        <w:spacing w:before="156" w:after="156"/>
      </w:pPr>
      <w:r>
        <w:t>房产建筑面积实测复式分户平面图样例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图D.7给出了房产建筑面积实测复式分户平面图样例。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drawing>
          <wp:inline distT="0" distB="0" distL="114300" distR="114300">
            <wp:extent cx="5374005" cy="7560310"/>
            <wp:effectExtent l="0" t="0" r="17145" b="2540"/>
            <wp:docPr id="50"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0" name="图片 14"/>
                    <pic:cNvPicPr>
                      <a:picLocks noChangeAspect="true"/>
                    </pic:cNvPicPr>
                  </pic:nvPicPr>
                  <pic:blipFill>
                    <a:blip r:embed="rId123"/>
                    <a:srcRect l="5089" t="7651" r="6052" b="3954"/>
                    <a:stretch>
                      <a:fillRect/>
                    </a:stretch>
                  </pic:blipFill>
                  <pic:spPr>
                    <a:xfrm>
                      <a:off x="0" y="0"/>
                      <a:ext cx="5374005" cy="7560310"/>
                    </a:xfrm>
                    <a:prstGeom prst="rect">
                      <a:avLst/>
                    </a:prstGeom>
                    <a:noFill/>
                    <a:ln>
                      <a:noFill/>
                    </a:ln>
                  </pic:spPr>
                </pic:pic>
              </a:graphicData>
            </a:graphic>
          </wp:inline>
        </w:drawing>
      </w:r>
    </w:p>
    <w:p>
      <w:pPr>
        <w:pStyle w:val="85"/>
        <w:spacing w:before="156" w:after="156"/>
      </w:pPr>
      <w:r>
        <w:t>房产建筑面积实测复式分户平面图样例</w:t>
      </w:r>
    </w:p>
    <w:p>
      <w:pPr>
        <w:pStyle w:val="81"/>
        <w:spacing w:before="156" w:after="156"/>
      </w:pPr>
      <w:r>
        <w:t>房产建筑面积实测毗邻房产垂直分割分户图样例</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图D.8给出了房产建筑面积实测毗邻房产垂直分割分户图样例。</w:t>
      </w:r>
    </w:p>
    <w:p>
      <w:pPr>
        <w:adjustRightInd/>
        <w:spacing w:line="240" w:lineRule="auto"/>
        <w:rPr>
          <w:rFonts w:ascii="Times New Roman" w:hAnsi="Times New Roman"/>
        </w:rPr>
      </w:pPr>
      <w:r>
        <w:drawing>
          <wp:inline distT="0" distB="0" distL="114300" distR="114300">
            <wp:extent cx="5393690" cy="7560310"/>
            <wp:effectExtent l="0" t="0" r="16510" b="2540"/>
            <wp:docPr id="49"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9" name="图片 13"/>
                    <pic:cNvPicPr>
                      <a:picLocks noChangeAspect="true"/>
                    </pic:cNvPicPr>
                  </pic:nvPicPr>
                  <pic:blipFill>
                    <a:blip r:embed="rId124"/>
                    <a:srcRect l="5143" t="7764" r="5709" b="3878"/>
                    <a:stretch>
                      <a:fillRect/>
                    </a:stretch>
                  </pic:blipFill>
                  <pic:spPr>
                    <a:xfrm>
                      <a:off x="0" y="0"/>
                      <a:ext cx="5393690" cy="7560310"/>
                    </a:xfrm>
                    <a:prstGeom prst="rect">
                      <a:avLst/>
                    </a:prstGeom>
                    <a:noFill/>
                    <a:ln>
                      <a:noFill/>
                    </a:ln>
                  </pic:spPr>
                </pic:pic>
              </a:graphicData>
            </a:graphic>
          </wp:inline>
        </w:drawing>
      </w:r>
    </w:p>
    <w:p>
      <w:pPr>
        <w:pStyle w:val="85"/>
        <w:spacing w:before="156" w:after="156"/>
      </w:pPr>
      <w:r>
        <w:t>房产建筑面积实测毗邻房产垂直分割分户图样例</w:t>
      </w:r>
    </w:p>
    <w:p>
      <w:pPr>
        <w:pStyle w:val="58"/>
        <w:ind w:firstLine="420"/>
      </w:pPr>
    </w:p>
    <w:p>
      <w:pPr>
        <w:pStyle w:val="58"/>
        <w:ind w:firstLine="420"/>
      </w:pPr>
    </w:p>
    <w:p>
      <w:pPr>
        <w:pStyle w:val="58"/>
        <w:ind w:firstLine="420"/>
      </w:pPr>
    </w:p>
    <w:p>
      <w:pPr>
        <w:pStyle w:val="58"/>
        <w:ind w:firstLine="420"/>
      </w:pPr>
    </w:p>
    <w:p>
      <w:pPr>
        <w:pStyle w:val="58"/>
        <w:ind w:firstLine="420"/>
        <w:sectPr>
          <w:headerReference r:id="rId47" w:type="default"/>
          <w:footerReference r:id="rId49" w:type="default"/>
          <w:headerReference r:id="rId48" w:type="even"/>
          <w:footerReference r:id="rId50" w:type="even"/>
          <w:pgSz w:w="11906" w:h="16838"/>
          <w:pgMar w:top="1928" w:right="1134" w:bottom="1134" w:left="1134" w:header="1418" w:footer="1134" w:gutter="284"/>
          <w:cols w:space="425" w:num="1"/>
          <w:formProt w:val="0"/>
          <w:docGrid w:type="lines" w:linePitch="312" w:charSpace="0"/>
        </w:sectPr>
      </w:pPr>
    </w:p>
    <w:p>
      <w:pPr>
        <w:pStyle w:val="200"/>
        <w:rPr>
          <w:rFonts w:hint="eastAsia"/>
          <w:vanish w:val="0"/>
        </w:rPr>
      </w:pPr>
    </w:p>
    <w:p>
      <w:pPr>
        <w:pStyle w:val="201"/>
        <w:rPr>
          <w:vanish w:val="0"/>
        </w:rPr>
      </w:pPr>
    </w:p>
    <w:p>
      <w:pPr>
        <w:pStyle w:val="78"/>
        <w:spacing w:after="156"/>
      </w:pPr>
      <w:r>
        <w:br w:type="textWrapping"/>
      </w:r>
      <w:bookmarkStart w:id="577" w:name="_Toc237470954"/>
      <w:r>
        <w:rPr>
          <w:rFonts w:hint="eastAsia"/>
        </w:rPr>
        <w:t>（资料性）</w:t>
      </w:r>
      <w:r>
        <w:br w:type="textWrapping"/>
      </w:r>
      <w:r>
        <w:rPr>
          <w:rFonts w:hint="eastAsia"/>
        </w:rPr>
        <w:t>权证附图</w:t>
      </w:r>
      <w:bookmarkEnd w:id="577"/>
    </w:p>
    <w:p>
      <w:pPr>
        <w:pStyle w:val="80"/>
        <w:spacing w:before="156" w:after="156"/>
      </w:pPr>
      <w:bookmarkStart w:id="578" w:name="_Toc687"/>
      <w:bookmarkStart w:id="579" w:name="_Toc237470370"/>
      <w:bookmarkStart w:id="580" w:name="_Toc237470810"/>
      <w:bookmarkStart w:id="581" w:name="_Toc237470955"/>
      <w:bookmarkStart w:id="582" w:name="_Toc237015224"/>
      <w:bookmarkStart w:id="583" w:name="_Toc202456285"/>
      <w:r>
        <w:t>权证附图按房屋基本单元绘制</w:t>
      </w:r>
      <w:bookmarkEnd w:id="578"/>
      <w:bookmarkEnd w:id="579"/>
      <w:bookmarkEnd w:id="580"/>
      <w:bookmarkEnd w:id="581"/>
      <w:bookmarkEnd w:id="582"/>
      <w:bookmarkEnd w:id="583"/>
    </w:p>
    <w:p>
      <w:pPr>
        <w:widowControl/>
        <w:adjustRightInd/>
        <w:spacing w:line="240" w:lineRule="auto"/>
        <w:ind w:firstLine="420"/>
        <w:rPr>
          <w:rFonts w:hint="eastAsia" w:ascii="宋体" w:hAnsi="宋体" w:cs="宋体"/>
          <w:kern w:val="0"/>
        </w:rPr>
      </w:pPr>
      <w:r>
        <w:rPr>
          <w:rFonts w:ascii="宋体" w:hAnsi="宋体" w:cs="宋体"/>
          <w:kern w:val="0"/>
        </w:rPr>
        <w:t>根据不同的条件，分别要求如下：</w:t>
      </w:r>
    </w:p>
    <w:p>
      <w:pPr>
        <w:pStyle w:val="176"/>
        <w:numPr>
          <w:ilvl w:val="0"/>
          <w:numId w:val="118"/>
        </w:numPr>
      </w:pPr>
      <w:r>
        <w:t>整幢房屋分割为多个基本单元的，以其所在层的分户图为基础，分别绘制各基本单元的权证附图。将其范围线加粗表示，并标注边长和套内面积等；本层其它基本单元的权界线用细线表示，不标注边长、套内面积</w:t>
      </w:r>
      <w:r>
        <w:rPr>
          <w:rFonts w:hint="eastAsia"/>
        </w:rPr>
        <w:t>；</w:t>
      </w:r>
    </w:p>
    <w:p>
      <w:pPr>
        <w:pStyle w:val="176"/>
      </w:pPr>
      <w:r>
        <w:t>以幢为单元的权证附图，如果各层不一样，则按层分别绘制，不同层的空间投影范围一样，可只绘制一层的平面图，并注记“XX层相同”，一张图纸上可绘制多层平面图</w:t>
      </w:r>
      <w:r>
        <w:rPr>
          <w:rFonts w:hint="eastAsia"/>
        </w:rPr>
        <w:t>；</w:t>
      </w:r>
    </w:p>
    <w:p>
      <w:pPr>
        <w:pStyle w:val="176"/>
      </w:pPr>
      <w:r>
        <w:t>权证附图幅面一般选用A4或A3图纸，比例尺选用与图幅幅面相适宜</w:t>
      </w:r>
      <w:r>
        <w:rPr>
          <w:rFonts w:hint="eastAsia"/>
        </w:rPr>
        <w:t>；</w:t>
      </w:r>
    </w:p>
    <w:p>
      <w:pPr>
        <w:pStyle w:val="176"/>
      </w:pPr>
      <w:r>
        <w:t>多幢房屋只属于一个产权单元的，以分丘图为基础绘制房产平面图。</w:t>
      </w:r>
    </w:p>
    <w:p>
      <w:pPr>
        <w:pStyle w:val="80"/>
        <w:spacing w:before="156" w:after="156"/>
      </w:pPr>
      <w:bookmarkStart w:id="584" w:name="_Toc20284"/>
      <w:bookmarkStart w:id="585" w:name="_Toc237470956"/>
      <w:bookmarkStart w:id="586" w:name="_Toc237470811"/>
      <w:bookmarkStart w:id="587" w:name="_Toc237015225"/>
      <w:bookmarkStart w:id="588" w:name="_Toc202456286"/>
      <w:bookmarkStart w:id="589" w:name="_Toc237470371"/>
      <w:r>
        <w:t>权证附图样式</w:t>
      </w:r>
      <w:bookmarkEnd w:id="584"/>
      <w:bookmarkEnd w:id="585"/>
      <w:bookmarkEnd w:id="586"/>
      <w:bookmarkEnd w:id="587"/>
      <w:bookmarkEnd w:id="588"/>
      <w:bookmarkEnd w:id="589"/>
    </w:p>
    <w:p>
      <w:pPr>
        <w:pStyle w:val="81"/>
        <w:spacing w:before="156" w:after="156"/>
      </w:pPr>
      <w:r>
        <w:t>权证附图样式</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图E.1给出了权证附图样式。</w:t>
      </w:r>
    </w:p>
    <w:p>
      <w:pPr>
        <w:adjustRightInd/>
        <w:spacing w:line="240" w:lineRule="auto"/>
        <w:rPr>
          <w:rFonts w:ascii="Times New Roman" w:hAnsi="Times New Roman"/>
        </w:rPr>
      </w:pPr>
      <w:r>
        <w:drawing>
          <wp:inline distT="0" distB="0" distL="114300" distR="114300">
            <wp:extent cx="5406390" cy="7560310"/>
            <wp:effectExtent l="0" t="0" r="3810" b="2540"/>
            <wp:docPr id="53"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3" name="图片 16"/>
                    <pic:cNvPicPr>
                      <a:picLocks noChangeAspect="true"/>
                    </pic:cNvPicPr>
                  </pic:nvPicPr>
                  <pic:blipFill>
                    <a:blip r:embed="rId125"/>
                    <a:srcRect l="5752" t="5995" r="2758" b="3538"/>
                    <a:stretch>
                      <a:fillRect/>
                    </a:stretch>
                  </pic:blipFill>
                  <pic:spPr>
                    <a:xfrm>
                      <a:off x="0" y="0"/>
                      <a:ext cx="5406390" cy="7560310"/>
                    </a:xfrm>
                    <a:prstGeom prst="rect">
                      <a:avLst/>
                    </a:prstGeom>
                    <a:noFill/>
                    <a:ln>
                      <a:noFill/>
                    </a:ln>
                  </pic:spPr>
                </pic:pic>
              </a:graphicData>
            </a:graphic>
          </wp:inline>
        </w:drawing>
      </w:r>
    </w:p>
    <w:p>
      <w:pPr>
        <w:pStyle w:val="85"/>
        <w:spacing w:before="156" w:after="156"/>
      </w:pPr>
      <w:r>
        <w:t>权证附图样式</w:t>
      </w:r>
    </w:p>
    <w:p>
      <w:pPr>
        <w:pStyle w:val="81"/>
        <w:spacing w:before="156" w:after="156"/>
      </w:pPr>
      <w:r>
        <w:t>复式房屋权证附图样式</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图E.2给出了复式房屋权证附图样式。</w:t>
      </w:r>
    </w:p>
    <w:p>
      <w:pPr>
        <w:adjustRightInd/>
        <w:spacing w:line="240" w:lineRule="auto"/>
        <w:rPr>
          <w:rFonts w:ascii="Times New Roman" w:hAnsi="Times New Roman"/>
        </w:rPr>
      </w:pPr>
      <w:r>
        <w:drawing>
          <wp:inline distT="0" distB="0" distL="114300" distR="114300">
            <wp:extent cx="5386070" cy="7560310"/>
            <wp:effectExtent l="0" t="0" r="5080" b="2540"/>
            <wp:docPr id="54"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4" name="图片 17"/>
                    <pic:cNvPicPr>
                      <a:picLocks noChangeAspect="true"/>
                    </pic:cNvPicPr>
                  </pic:nvPicPr>
                  <pic:blipFill>
                    <a:blip r:embed="rId126"/>
                    <a:srcRect l="6493" t="6376" r="2460" b="3260"/>
                    <a:stretch>
                      <a:fillRect/>
                    </a:stretch>
                  </pic:blipFill>
                  <pic:spPr>
                    <a:xfrm>
                      <a:off x="0" y="0"/>
                      <a:ext cx="5386070" cy="7560310"/>
                    </a:xfrm>
                    <a:prstGeom prst="rect">
                      <a:avLst/>
                    </a:prstGeom>
                    <a:noFill/>
                    <a:ln>
                      <a:noFill/>
                    </a:ln>
                  </pic:spPr>
                </pic:pic>
              </a:graphicData>
            </a:graphic>
          </wp:inline>
        </w:drawing>
      </w:r>
    </w:p>
    <w:p>
      <w:pPr>
        <w:pStyle w:val="85"/>
        <w:spacing w:before="156" w:after="156"/>
      </w:pPr>
      <w:r>
        <w:t>复式房屋权证附图样式</w:t>
      </w:r>
    </w:p>
    <w:p>
      <w:pPr>
        <w:pStyle w:val="81"/>
        <w:spacing w:before="156" w:after="156"/>
      </w:pPr>
      <w:r>
        <w:t>权属范围内局部层高低于2.20米的房屋权证附图样式</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图E.3给出了权属范围内局部层高低于2.20米的房屋权证附图样式。</w:t>
      </w:r>
    </w:p>
    <w:p>
      <w:pPr>
        <w:adjustRightInd/>
        <w:spacing w:line="240" w:lineRule="auto"/>
        <w:rPr>
          <w:rFonts w:ascii="Times New Roman" w:hAnsi="Times New Roman"/>
        </w:rPr>
      </w:pPr>
      <w:r>
        <w:drawing>
          <wp:inline distT="0" distB="0" distL="114300" distR="114300">
            <wp:extent cx="5384165" cy="7560310"/>
            <wp:effectExtent l="0" t="0" r="6985" b="2540"/>
            <wp:docPr id="55"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5" name="图片 18"/>
                    <pic:cNvPicPr>
                      <a:picLocks noChangeAspect="true"/>
                    </pic:cNvPicPr>
                  </pic:nvPicPr>
                  <pic:blipFill>
                    <a:blip r:embed="rId127"/>
                    <a:srcRect l="6247" t="6285" r="2578" b="3192"/>
                    <a:stretch>
                      <a:fillRect/>
                    </a:stretch>
                  </pic:blipFill>
                  <pic:spPr>
                    <a:xfrm>
                      <a:off x="0" y="0"/>
                      <a:ext cx="5384165" cy="7560310"/>
                    </a:xfrm>
                    <a:prstGeom prst="rect">
                      <a:avLst/>
                    </a:prstGeom>
                    <a:noFill/>
                    <a:ln>
                      <a:noFill/>
                    </a:ln>
                  </pic:spPr>
                </pic:pic>
              </a:graphicData>
            </a:graphic>
          </wp:inline>
        </w:drawing>
      </w:r>
    </w:p>
    <w:p>
      <w:pPr>
        <w:pStyle w:val="85"/>
        <w:spacing w:before="156" w:after="156"/>
      </w:pPr>
      <w:r>
        <w:t>权属范围内局部层高低于2.20米的房屋权证附图样式</w:t>
      </w:r>
    </w:p>
    <w:p>
      <w:pPr>
        <w:pStyle w:val="81"/>
        <w:spacing w:before="156" w:after="156"/>
      </w:pPr>
      <w:r>
        <w:t>整幢为一个基本单元的房屋权证附图样式</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图E.4给出了整幢为一个基本单元的房屋权证附图样式。</w:t>
      </w:r>
    </w:p>
    <w:p>
      <w:pPr>
        <w:adjustRightInd/>
        <w:spacing w:line="240" w:lineRule="auto"/>
        <w:rPr>
          <w:rFonts w:ascii="Times New Roman" w:hAnsi="Times New Roman"/>
        </w:rPr>
      </w:pPr>
      <w:r>
        <w:drawing>
          <wp:inline distT="0" distB="0" distL="114300" distR="114300">
            <wp:extent cx="5385435" cy="7560310"/>
            <wp:effectExtent l="0" t="0" r="5715" b="2540"/>
            <wp:docPr id="56"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19"/>
                    <pic:cNvPicPr>
                      <a:picLocks noChangeAspect="true"/>
                    </pic:cNvPicPr>
                  </pic:nvPicPr>
                  <pic:blipFill>
                    <a:blip r:embed="rId128"/>
                    <a:srcRect l="6376" t="6550" r="2824" b="3320"/>
                    <a:stretch>
                      <a:fillRect/>
                    </a:stretch>
                  </pic:blipFill>
                  <pic:spPr>
                    <a:xfrm>
                      <a:off x="0" y="0"/>
                      <a:ext cx="5385435" cy="7560310"/>
                    </a:xfrm>
                    <a:prstGeom prst="rect">
                      <a:avLst/>
                    </a:prstGeom>
                    <a:noFill/>
                    <a:ln>
                      <a:noFill/>
                    </a:ln>
                  </pic:spPr>
                </pic:pic>
              </a:graphicData>
            </a:graphic>
          </wp:inline>
        </w:drawing>
      </w:r>
    </w:p>
    <w:p>
      <w:pPr>
        <w:pStyle w:val="85"/>
        <w:spacing w:before="156" w:after="156"/>
      </w:pPr>
      <w:r>
        <w:t>整幢为一个基本单元的房屋权证附图样式</w:t>
      </w:r>
    </w:p>
    <w:p>
      <w:pPr>
        <w:pStyle w:val="81"/>
        <w:spacing w:before="156" w:after="156"/>
      </w:pPr>
      <w:r>
        <w:t>多幢房屋只属于一个产权单元时房屋权证附图样式</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图E.5给出了多幢房屋只属于一个产权单元时房屋权证附图样式。</w:t>
      </w:r>
    </w:p>
    <w:p>
      <w:pPr>
        <w:widowControl/>
        <w:autoSpaceDE w:val="0"/>
        <w:autoSpaceDN w:val="0"/>
        <w:adjustRightInd/>
        <w:spacing w:line="240" w:lineRule="auto"/>
        <w:ind w:firstLine="420" w:firstLineChars="200"/>
        <w:rPr>
          <w:rFonts w:hint="eastAsia" w:ascii="宋体" w:hAnsi="宋体" w:cs="宋体"/>
          <w:kern w:val="0"/>
          <w:sz w:val="28"/>
          <w:szCs w:val="28"/>
        </w:rPr>
      </w:pPr>
      <w:r>
        <w:rPr>
          <w:rFonts w:ascii="宋体" w:hAnsi="Times New Roman"/>
          <w:kern w:val="0"/>
          <w:szCs w:val="20"/>
        </w:rPr>
        <w:drawing>
          <wp:inline distT="0" distB="0" distL="114300" distR="114300">
            <wp:extent cx="5858510" cy="7560310"/>
            <wp:effectExtent l="0" t="0" r="8890" b="2540"/>
            <wp:docPr id="57"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7" name="图片 20"/>
                    <pic:cNvPicPr>
                      <a:picLocks noChangeAspect="true"/>
                    </pic:cNvPicPr>
                  </pic:nvPicPr>
                  <pic:blipFill>
                    <a:blip r:embed="rId129"/>
                    <a:srcRect l="3603" t="7855" r="2983" b="6903"/>
                    <a:stretch>
                      <a:fillRect/>
                    </a:stretch>
                  </pic:blipFill>
                  <pic:spPr>
                    <a:xfrm>
                      <a:off x="0" y="0"/>
                      <a:ext cx="5858510" cy="7560310"/>
                    </a:xfrm>
                    <a:prstGeom prst="rect">
                      <a:avLst/>
                    </a:prstGeom>
                    <a:noFill/>
                    <a:ln>
                      <a:noFill/>
                    </a:ln>
                  </pic:spPr>
                </pic:pic>
              </a:graphicData>
            </a:graphic>
          </wp:inline>
        </w:drawing>
      </w:r>
    </w:p>
    <w:p>
      <w:pPr>
        <w:pStyle w:val="85"/>
        <w:spacing w:before="156" w:after="156"/>
      </w:pPr>
      <w:r>
        <w:t>多幢房屋只属于一个产权单元时房屋权证附图样式</w:t>
      </w:r>
    </w:p>
    <w:p>
      <w:pPr>
        <w:pStyle w:val="58"/>
        <w:ind w:firstLine="420"/>
      </w:pPr>
    </w:p>
    <w:p>
      <w:pPr>
        <w:pStyle w:val="58"/>
        <w:ind w:firstLine="420"/>
      </w:pPr>
    </w:p>
    <w:p>
      <w:pPr>
        <w:pStyle w:val="58"/>
        <w:ind w:firstLine="420"/>
      </w:pPr>
    </w:p>
    <w:p>
      <w:pPr>
        <w:pStyle w:val="58"/>
        <w:ind w:firstLine="420"/>
      </w:pPr>
    </w:p>
    <w:p>
      <w:pPr>
        <w:pStyle w:val="58"/>
        <w:ind w:firstLine="420"/>
        <w:sectPr>
          <w:headerReference r:id="rId51" w:type="default"/>
          <w:footerReference r:id="rId53" w:type="default"/>
          <w:headerReference r:id="rId52" w:type="even"/>
          <w:footerReference r:id="rId54" w:type="even"/>
          <w:pgSz w:w="11906" w:h="16838"/>
          <w:pgMar w:top="1928" w:right="1134" w:bottom="1134" w:left="1134" w:header="1418" w:footer="1134" w:gutter="284"/>
          <w:cols w:space="425" w:num="1"/>
          <w:formProt w:val="0"/>
          <w:docGrid w:type="lines" w:linePitch="312" w:charSpace="0"/>
        </w:sectPr>
      </w:pPr>
    </w:p>
    <w:p>
      <w:pPr>
        <w:pStyle w:val="200"/>
        <w:rPr>
          <w:rFonts w:hint="eastAsia"/>
          <w:vanish w:val="0"/>
        </w:rPr>
      </w:pPr>
    </w:p>
    <w:p>
      <w:pPr>
        <w:pStyle w:val="201"/>
        <w:rPr>
          <w:vanish w:val="0"/>
        </w:rPr>
      </w:pPr>
    </w:p>
    <w:p>
      <w:pPr>
        <w:pStyle w:val="78"/>
        <w:spacing w:after="156"/>
      </w:pPr>
      <w:r>
        <w:br w:type="textWrapping"/>
      </w:r>
      <w:bookmarkStart w:id="590" w:name="_Toc237470957"/>
      <w:r>
        <w:rPr>
          <w:rFonts w:hint="eastAsia"/>
        </w:rPr>
        <w:t>（资料性）</w:t>
      </w:r>
      <w:r>
        <w:br w:type="textWrapping"/>
      </w:r>
      <w:r>
        <w:rPr>
          <w:rFonts w:hint="eastAsia"/>
        </w:rPr>
        <w:t>房产面积测量技术报告书的编制</w:t>
      </w:r>
      <w:bookmarkEnd w:id="590"/>
    </w:p>
    <w:p>
      <w:pPr>
        <w:pStyle w:val="80"/>
        <w:spacing w:before="156" w:after="156"/>
      </w:pPr>
      <w:bookmarkStart w:id="591" w:name="_Toc828"/>
      <w:bookmarkStart w:id="592" w:name="_Toc202456288"/>
      <w:bookmarkStart w:id="593" w:name="_Toc237470373"/>
      <w:bookmarkStart w:id="594" w:name="_Toc237470958"/>
      <w:bookmarkStart w:id="595" w:name="_Toc237470813"/>
      <w:bookmarkStart w:id="596" w:name="_Toc237015227"/>
      <w:r>
        <w:t>一般要求</w:t>
      </w:r>
      <w:bookmarkEnd w:id="591"/>
      <w:bookmarkEnd w:id="592"/>
      <w:bookmarkEnd w:id="593"/>
      <w:bookmarkEnd w:id="594"/>
      <w:bookmarkEnd w:id="595"/>
      <w:bookmarkEnd w:id="596"/>
    </w:p>
    <w:p>
      <w:pPr>
        <w:spacing w:line="240" w:lineRule="auto"/>
        <w:ind w:firstLine="420" w:firstLineChars="200"/>
      </w:pPr>
      <w:r>
        <w:t>测绘技术报告书是在测绘任务完成后，对技术标准执行情况、技术方案、作业方法、新技术的应用、成果质量和主要问题的处理等进行分析研究，并作出客观的评价与说明的技术总结。以利于用户（或下工序）的合理使用和生产技术、理论水平的提高，为制、修订技术标准和有关规定积累资料。房产测绘技术报告书是与房产测绘成果有直接关系的技术性文件，是长期保存的重要技术档案。</w:t>
      </w:r>
    </w:p>
    <w:p>
      <w:pPr>
        <w:spacing w:line="240" w:lineRule="auto"/>
        <w:ind w:firstLine="420" w:firstLineChars="200"/>
      </w:pPr>
      <w:r>
        <w:rPr>
          <w:rFonts w:hint="eastAsia"/>
        </w:rPr>
        <w:t>测绘技术报告书编写应满足以下一般要求：</w:t>
      </w:r>
    </w:p>
    <w:p>
      <w:pPr>
        <w:pStyle w:val="176"/>
        <w:numPr>
          <w:ilvl w:val="0"/>
          <w:numId w:val="119"/>
        </w:numPr>
      </w:pPr>
      <w:r>
        <w:t>技术报告书由承担生产任务的项目负责人编写。单位的技术负责人或法人代表对技术报告书的客观性、完整性等进行审核并签字，并对编写质量负责；</w:t>
      </w:r>
    </w:p>
    <w:p>
      <w:pPr>
        <w:pStyle w:val="176"/>
      </w:pPr>
      <w:r>
        <w:t>内容要真实、完整。对技术方案、工作方法和成果质量应作出客观的分析和评价。对应用的新技术、新方法、新材料和生产的新品种要认真细致地加以总结；</w:t>
      </w:r>
    </w:p>
    <w:p>
      <w:pPr>
        <w:pStyle w:val="176"/>
      </w:pPr>
      <w:r>
        <w:t>文字要简明扼要，公式、数据和图表应准确，名词、术语、符号、代号和计量单位等应与有关法规、标准一致；</w:t>
      </w:r>
    </w:p>
    <w:p>
      <w:pPr>
        <w:pStyle w:val="176"/>
      </w:pPr>
      <w:r>
        <w:t>项目名称应与相应的技术设计书及检查、验收报告一致；</w:t>
      </w:r>
    </w:p>
    <w:p>
      <w:pPr>
        <w:pStyle w:val="176"/>
      </w:pPr>
      <w:r>
        <w:t>技术报告书由正封面、副封面、目录、正文内容、附件组成。</w:t>
      </w:r>
    </w:p>
    <w:p>
      <w:pPr>
        <w:pStyle w:val="80"/>
        <w:spacing w:before="156" w:after="156"/>
      </w:pPr>
      <w:bookmarkStart w:id="597" w:name="_Toc237470814"/>
      <w:bookmarkStart w:id="598" w:name="_Toc237470374"/>
      <w:bookmarkStart w:id="599" w:name="_Toc202456289"/>
      <w:bookmarkStart w:id="600" w:name="_Toc237015228"/>
      <w:bookmarkStart w:id="601" w:name="_Toc28708"/>
      <w:bookmarkStart w:id="602" w:name="_Toc237470959"/>
      <w:r>
        <w:t>技术报告书正文的主要内容</w:t>
      </w:r>
      <w:bookmarkEnd w:id="597"/>
      <w:bookmarkEnd w:id="598"/>
      <w:bookmarkEnd w:id="599"/>
      <w:bookmarkEnd w:id="600"/>
      <w:bookmarkEnd w:id="601"/>
      <w:bookmarkEnd w:id="602"/>
    </w:p>
    <w:p>
      <w:pPr>
        <w:pStyle w:val="81"/>
        <w:spacing w:before="156" w:after="156"/>
      </w:pPr>
      <w:r>
        <w:rPr>
          <w:rFonts w:hint="eastAsia"/>
        </w:rPr>
        <w:t>技术报告书内容</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技术报告书正文应包含概述、技术设计执行的情况、测绘成果质量情况、上交测绘成果和资料清单等内容。</w:t>
      </w:r>
    </w:p>
    <w:p>
      <w:pPr>
        <w:pStyle w:val="81"/>
        <w:spacing w:before="156" w:after="156"/>
      </w:pPr>
      <w:r>
        <w:t>概述</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概述主要包括以下内容：</w:t>
      </w:r>
    </w:p>
    <w:p>
      <w:pPr>
        <w:pStyle w:val="176"/>
        <w:numPr>
          <w:ilvl w:val="0"/>
          <w:numId w:val="120"/>
        </w:numPr>
      </w:pPr>
      <w:r>
        <w:t>测绘项目名称、任务来源、测绘任务的内容、任务量和目标、成果交付与接收情况等；</w:t>
      </w:r>
    </w:p>
    <w:p>
      <w:pPr>
        <w:pStyle w:val="176"/>
      </w:pPr>
      <w:r>
        <w:t>实际作业人员的组成、实际完成的情况；</w:t>
      </w:r>
    </w:p>
    <w:p>
      <w:pPr>
        <w:pStyle w:val="176"/>
      </w:pPr>
      <w:r>
        <w:t>作业区、房屋概况和已有资料的利用情况。</w:t>
      </w:r>
    </w:p>
    <w:p>
      <w:pPr>
        <w:pStyle w:val="81"/>
        <w:spacing w:before="156" w:after="156"/>
      </w:pPr>
      <w:r>
        <w:t>技术设计执行的情况</w:t>
      </w:r>
    </w:p>
    <w:p>
      <w:pPr>
        <w:pStyle w:val="58"/>
        <w:ind w:firstLine="420"/>
      </w:pPr>
      <w:r>
        <w:rPr>
          <w:rFonts w:hint="eastAsia"/>
        </w:rPr>
        <w:t>技术设计执行的情况包括以下内容：</w:t>
      </w:r>
    </w:p>
    <w:p>
      <w:pPr>
        <w:pStyle w:val="176"/>
        <w:numPr>
          <w:ilvl w:val="0"/>
          <w:numId w:val="121"/>
        </w:numPr>
      </w:pPr>
      <w:r>
        <w:t>作业依据：有关的技术性标准和规范、技术设计文件、技术设计更改文件；</w:t>
      </w:r>
    </w:p>
    <w:p>
      <w:pPr>
        <w:pStyle w:val="176"/>
      </w:pPr>
      <w:r>
        <w:t>测绘生产过程中执行技术性文件的情况，按测绘作业内容及方法分别表述；</w:t>
      </w:r>
    </w:p>
    <w:p>
      <w:pPr>
        <w:pStyle w:val="176"/>
      </w:pPr>
      <w:r>
        <w:t>测绘生产过程中出现的主要技术问题和处理方法、特殊情况的处理及达到的效果等；</w:t>
      </w:r>
    </w:p>
    <w:p>
      <w:pPr>
        <w:pStyle w:val="176"/>
      </w:pPr>
      <w:r>
        <w:t>测绘生产过程中采用新技术、新方法、新工艺时，详细描述和总结其应用情况；</w:t>
      </w:r>
    </w:p>
    <w:p>
      <w:pPr>
        <w:pStyle w:val="176"/>
      </w:pPr>
      <w:r>
        <w:t>生产过程中的经验、教训（包括重大缺陷和失败）和遗留问题，并对今后生产提出改进意见和建议。</w:t>
      </w:r>
    </w:p>
    <w:p>
      <w:pPr>
        <w:pStyle w:val="81"/>
        <w:spacing w:before="156" w:after="156"/>
      </w:pPr>
      <w:r>
        <w:t>测绘成果质量情况</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说明和评价测绘成果的质量情况以及达到的技术指标，并说明测绘成果的质量检查报告的名称和编号。</w:t>
      </w:r>
    </w:p>
    <w:p>
      <w:pPr>
        <w:pStyle w:val="81"/>
        <w:spacing w:before="156" w:after="156"/>
      </w:pPr>
      <w:r>
        <w:t>上交测绘成果和资料清单</w:t>
      </w:r>
    </w:p>
    <w:p>
      <w:pPr>
        <w:widowControl/>
        <w:autoSpaceDE w:val="0"/>
        <w:autoSpaceDN w:val="0"/>
        <w:adjustRightInd/>
        <w:spacing w:line="240" w:lineRule="auto"/>
        <w:ind w:firstLine="420" w:firstLineChars="200"/>
        <w:rPr>
          <w:rFonts w:ascii="宋体" w:hAnsi="Times New Roman"/>
          <w:kern w:val="0"/>
          <w:szCs w:val="20"/>
        </w:rPr>
      </w:pPr>
      <w:r>
        <w:rPr>
          <w:rFonts w:ascii="宋体" w:hAnsi="Times New Roman"/>
          <w:kern w:val="0"/>
          <w:szCs w:val="20"/>
        </w:rPr>
        <w:t>上交测绘成果和资料的主要内容依据本规程第11.11条执行，其形式作为附件资料一一列出。</w:t>
      </w:r>
    </w:p>
    <w:p>
      <w:pPr>
        <w:pStyle w:val="80"/>
        <w:spacing w:before="156" w:after="156"/>
      </w:pPr>
      <w:bookmarkStart w:id="603" w:name="_Toc237470375"/>
      <w:bookmarkStart w:id="604" w:name="_Toc237470815"/>
      <w:bookmarkStart w:id="605" w:name="_Toc237470960"/>
      <w:r>
        <w:t>房产测绘技术报告要求</w:t>
      </w:r>
      <w:bookmarkEnd w:id="603"/>
      <w:bookmarkEnd w:id="604"/>
      <w:bookmarkEnd w:id="605"/>
    </w:p>
    <w:p>
      <w:pPr>
        <w:pStyle w:val="214"/>
      </w:pPr>
      <w:r>
        <w:t>房产测绘技术报告书正、副封面格式和字体、字号依据CH/T</w:t>
      </w:r>
      <w:r>
        <w:rPr>
          <w:rFonts w:hint="eastAsia"/>
        </w:rPr>
        <w:t xml:space="preserve"> </w:t>
      </w:r>
      <w:r>
        <w:t>1001-2005</w:t>
      </w:r>
      <w:r>
        <w:rPr>
          <w:rFonts w:hint="eastAsia"/>
        </w:rPr>
        <w:t>中</w:t>
      </w:r>
      <w:r>
        <w:t>附录A的要求执行。《房产测绘技术报告书》格式参照图F.1，《房产测绘技术报告书》示例参照图F.2。</w:t>
      </w:r>
    </w:p>
    <w:p>
      <w:pPr>
        <w:widowControl/>
        <w:autoSpaceDE w:val="0"/>
        <w:autoSpaceDN w:val="0"/>
        <w:adjustRightInd/>
        <w:spacing w:line="240" w:lineRule="auto"/>
        <w:ind w:firstLine="420" w:firstLineChars="200"/>
        <w:jc w:val="center"/>
        <w:rPr>
          <w:rFonts w:ascii="宋体" w:hAnsi="Times New Roman"/>
          <w:kern w:val="0"/>
          <w:szCs w:val="20"/>
        </w:rPr>
      </w:pPr>
      <w:r>
        <w:rPr>
          <w:rFonts w:ascii="宋体" w:hAnsi="Times New Roman"/>
          <w:kern w:val="0"/>
          <w:szCs w:val="20"/>
        </w:rPr>
        <w:drawing>
          <wp:inline distT="0" distB="0" distL="0" distR="0">
            <wp:extent cx="3985260" cy="5918835"/>
            <wp:effectExtent l="19050" t="19050" r="15240" b="24765"/>
            <wp:docPr id="119" name="图片 1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true"/>
                    </pic:cNvPicPr>
                  </pic:nvPicPr>
                  <pic:blipFill>
                    <a:blip r:embed="rId130"/>
                    <a:stretch>
                      <a:fillRect/>
                    </a:stretch>
                  </pic:blipFill>
                  <pic:spPr>
                    <a:xfrm>
                      <a:off x="0" y="0"/>
                      <a:ext cx="4005066" cy="5948524"/>
                    </a:xfrm>
                    <a:prstGeom prst="rect">
                      <a:avLst/>
                    </a:prstGeom>
                    <a:ln w="3175">
                      <a:solidFill>
                        <a:sysClr val="windowText" lastClr="000000">
                          <a:lumMod val="95000"/>
                          <a:lumOff val="5000"/>
                        </a:sysClr>
                      </a:solidFill>
                    </a:ln>
                  </pic:spPr>
                </pic:pic>
              </a:graphicData>
            </a:graphic>
          </wp:inline>
        </w:drawing>
      </w:r>
    </w:p>
    <w:p>
      <w:pPr>
        <w:pStyle w:val="85"/>
        <w:spacing w:before="156" w:after="156"/>
      </w:pPr>
      <w:r>
        <w:t>《房产测绘技术报告书》格式（正封面）</w:t>
      </w:r>
    </w:p>
    <w:p>
      <w:pPr>
        <w:widowControl/>
        <w:autoSpaceDE w:val="0"/>
        <w:autoSpaceDN w:val="0"/>
        <w:adjustRightInd/>
        <w:spacing w:line="240" w:lineRule="auto"/>
        <w:ind w:firstLine="420" w:firstLineChars="200"/>
        <w:jc w:val="center"/>
        <w:rPr>
          <w:rFonts w:ascii="宋体" w:hAnsi="Times New Roman"/>
          <w:kern w:val="0"/>
          <w:szCs w:val="20"/>
        </w:rPr>
      </w:pPr>
      <w:r>
        <w:rPr>
          <w:rFonts w:ascii="宋体" w:hAnsi="Times New Roman"/>
          <w:kern w:val="0"/>
          <w:szCs w:val="20"/>
        </w:rPr>
        <w:drawing>
          <wp:inline distT="0" distB="0" distL="0" distR="0">
            <wp:extent cx="4104640" cy="4794885"/>
            <wp:effectExtent l="19050" t="19050" r="10160" b="24765"/>
            <wp:docPr id="120" name="图片 1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true"/>
                    </pic:cNvPicPr>
                  </pic:nvPicPr>
                  <pic:blipFill>
                    <a:blip r:embed="rId131"/>
                    <a:stretch>
                      <a:fillRect/>
                    </a:stretch>
                  </pic:blipFill>
                  <pic:spPr>
                    <a:xfrm>
                      <a:off x="0" y="0"/>
                      <a:ext cx="4117276" cy="4809435"/>
                    </a:xfrm>
                    <a:prstGeom prst="rect">
                      <a:avLst/>
                    </a:prstGeom>
                    <a:ln w="3175">
                      <a:solidFill>
                        <a:sysClr val="windowText" lastClr="000000">
                          <a:lumMod val="95000"/>
                          <a:lumOff val="5000"/>
                        </a:sysClr>
                      </a:solidFill>
                    </a:ln>
                  </pic:spPr>
                </pic:pic>
              </a:graphicData>
            </a:graphic>
          </wp:inline>
        </w:drawing>
      </w:r>
    </w:p>
    <w:p>
      <w:pPr>
        <w:widowControl/>
        <w:snapToGrid w:val="0"/>
        <w:spacing w:before="156" w:beforeLines="50" w:after="156" w:afterLines="50" w:line="240" w:lineRule="auto"/>
        <w:jc w:val="center"/>
        <w:rPr>
          <w:rFonts w:hint="eastAsia" w:ascii="宋体" w:hAnsi="宋体"/>
          <w:kern w:val="0"/>
          <w:szCs w:val="20"/>
        </w:rPr>
      </w:pPr>
      <w:r>
        <w:rPr>
          <w:rFonts w:ascii="黑体" w:hAnsi="Times New Roman" w:eastAsia="黑体"/>
          <w:kern w:val="0"/>
          <w:szCs w:val="20"/>
        </w:rPr>
        <w:t>图F.1《房产测绘技术报告书》格式（副封面）</w:t>
      </w:r>
      <w:r>
        <w:rPr>
          <w:rFonts w:ascii="宋体" w:hAnsi="宋体"/>
          <w:kern w:val="0"/>
          <w:szCs w:val="20"/>
        </w:rPr>
        <w:t>(续)</w:t>
      </w:r>
    </w:p>
    <w:p>
      <w:pPr>
        <w:pStyle w:val="58"/>
        <w:ind w:firstLine="420"/>
      </w:pPr>
    </w:p>
    <w:p>
      <w:pPr>
        <w:pStyle w:val="58"/>
        <w:ind w:firstLine="420"/>
      </w:pPr>
    </w:p>
    <w:p>
      <w:pPr>
        <w:pStyle w:val="58"/>
        <w:ind w:firstLine="420"/>
      </w:pPr>
    </w:p>
    <w:p>
      <w:pPr>
        <w:pStyle w:val="58"/>
        <w:ind w:firstLine="420"/>
      </w:pPr>
    </w:p>
    <w:p>
      <w:pPr>
        <w:pStyle w:val="58"/>
        <w:ind w:firstLine="420"/>
        <w:sectPr>
          <w:headerReference r:id="rId55" w:type="default"/>
          <w:footerReference r:id="rId57" w:type="default"/>
          <w:headerReference r:id="rId56" w:type="even"/>
          <w:footerReference r:id="rId58" w:type="even"/>
          <w:pgSz w:w="11906" w:h="16838"/>
          <w:pgMar w:top="1928" w:right="1134" w:bottom="1134" w:left="1134" w:header="1418" w:footer="1134" w:gutter="284"/>
          <w:cols w:space="425" w:num="1"/>
          <w:formProt w:val="0"/>
          <w:docGrid w:type="lines" w:linePitch="312" w:charSpace="0"/>
        </w:sectPr>
      </w:pPr>
    </w:p>
    <w:p>
      <w:pPr>
        <w:pStyle w:val="200"/>
        <w:rPr>
          <w:rFonts w:hint="eastAsia"/>
          <w:vanish w:val="0"/>
        </w:rPr>
      </w:pPr>
    </w:p>
    <w:p>
      <w:pPr>
        <w:pStyle w:val="201"/>
        <w:rPr>
          <w:vanish w:val="0"/>
        </w:rPr>
      </w:pPr>
    </w:p>
    <w:p>
      <w:pPr>
        <w:pStyle w:val="78"/>
        <w:spacing w:after="156"/>
      </w:pPr>
      <w:r>
        <w:br w:type="textWrapping"/>
      </w:r>
      <w:bookmarkStart w:id="606" w:name="_Toc237470376"/>
      <w:bookmarkStart w:id="607" w:name="_Toc237470961"/>
      <w:r>
        <w:rPr>
          <w:rFonts w:hint="eastAsia"/>
        </w:rPr>
        <w:t>（资料性）</w:t>
      </w:r>
      <w:r>
        <w:br w:type="textWrapping"/>
      </w:r>
      <w:r>
        <w:rPr>
          <w:rFonts w:hint="eastAsia"/>
        </w:rPr>
        <w:t>湖北省地方标准实施信息及意见反馈表</w:t>
      </w:r>
      <w:bookmarkEnd w:id="606"/>
      <w:bookmarkEnd w:id="607"/>
    </w:p>
    <w:p>
      <w:pPr>
        <w:pStyle w:val="58"/>
        <w:ind w:firstLine="420"/>
        <w:rPr>
          <w:szCs w:val="21"/>
        </w:rPr>
      </w:pPr>
      <w:r>
        <w:rPr>
          <w:rFonts w:hint="eastAsia" w:hAnsi="宋体"/>
        </w:rPr>
        <w:t>湖北省地方标准实施信息及意见反馈表如表</w:t>
      </w:r>
      <w:r>
        <w:t>G</w:t>
      </w:r>
      <w:r>
        <w:rPr>
          <w:rFonts w:hint="eastAsia" w:hAnsi="宋体"/>
        </w:rPr>
        <w:t>.1所示。</w:t>
      </w:r>
    </w:p>
    <w:p>
      <w:pPr>
        <w:pStyle w:val="79"/>
        <w:spacing w:before="156" w:after="156"/>
      </w:pPr>
      <w:r>
        <w:rPr>
          <w:rFonts w:hint="eastAsia"/>
        </w:rPr>
        <w:t>湖北省地方标准实施信息及意见反馈表</w:t>
      </w:r>
    </w:p>
    <w:tbl>
      <w:tblPr>
        <w:tblStyle w:val="232"/>
        <w:tblW w:w="90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823"/>
        <w:gridCol w:w="338"/>
        <w:gridCol w:w="2193"/>
        <w:gridCol w:w="3110"/>
        <w:gridCol w:w="13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2035" w:type="dxa"/>
            <w:gridSpan w:val="2"/>
            <w:tcBorders>
              <w:top w:val="single" w:color="auto" w:sz="12" w:space="0"/>
              <w:left w:val="single" w:color="auto" w:sz="12" w:space="0"/>
              <w:bottom w:val="single" w:color="000000" w:sz="2" w:space="0"/>
              <w:right w:val="single" w:color="auto" w:sz="4" w:space="0"/>
            </w:tcBorders>
            <w:vAlign w:val="center"/>
          </w:tcPr>
          <w:p>
            <w:pPr>
              <w:ind w:firstLine="360" w:firstLineChars="200"/>
              <w:rPr>
                <w:rFonts w:ascii="宋体" w:hAnsi="宋体" w:eastAsia="Times New Roman"/>
                <w:sz w:val="18"/>
                <w:szCs w:val="18"/>
              </w:rPr>
            </w:pPr>
            <w:r>
              <w:rPr>
                <w:rFonts w:ascii="Times New Roman" w:hAnsi="Times New Roman" w:eastAsia="Times New Roman"/>
                <w:sz w:val="18"/>
                <w:szCs w:val="18"/>
              </w:rPr>
              <w:t>标准名称及编号</w:t>
            </w:r>
          </w:p>
        </w:tc>
        <w:tc>
          <w:tcPr>
            <w:tcW w:w="7025" w:type="dxa"/>
            <w:gridSpan w:val="4"/>
            <w:tcBorders>
              <w:top w:val="single" w:color="auto" w:sz="12" w:space="0"/>
              <w:left w:val="nil"/>
              <w:bottom w:val="single" w:color="000000" w:sz="2" w:space="0"/>
              <w:right w:val="single" w:color="auto" w:sz="12" w:space="0"/>
            </w:tcBorders>
            <w:vAlign w:val="center"/>
          </w:tcPr>
          <w:p>
            <w:pPr>
              <w:ind w:firstLine="360" w:firstLineChars="200"/>
              <w:rPr>
                <w:rFonts w:ascii="宋体" w:hAnsi="宋体" w:eastAsia="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jc w:val="center"/>
        </w:trPr>
        <w:tc>
          <w:tcPr>
            <w:tcW w:w="1212" w:type="dxa"/>
            <w:vMerge w:val="restart"/>
            <w:tcBorders>
              <w:top w:val="single" w:color="auto" w:sz="12" w:space="0"/>
              <w:left w:val="single" w:color="auto" w:sz="12" w:space="0"/>
              <w:bottom w:val="single" w:color="auto" w:sz="4" w:space="0"/>
              <w:right w:val="single" w:color="auto" w:sz="4" w:space="0"/>
            </w:tcBorders>
            <w:vAlign w:val="center"/>
          </w:tcPr>
          <w:p>
            <w:pPr>
              <w:ind w:firstLine="360" w:firstLineChars="200"/>
              <w:rPr>
                <w:rFonts w:ascii="宋体" w:hAnsi="宋体" w:eastAsia="Times New Roman"/>
                <w:sz w:val="18"/>
                <w:szCs w:val="18"/>
              </w:rPr>
            </w:pPr>
            <w:r>
              <w:rPr>
                <w:rFonts w:hint="eastAsia" w:ascii="宋体" w:hAnsi="宋体" w:eastAsia="Times New Roman" w:cs="宋体"/>
                <w:sz w:val="18"/>
                <w:szCs w:val="18"/>
              </w:rPr>
              <w:t>总体评价</w:t>
            </w:r>
          </w:p>
        </w:tc>
        <w:tc>
          <w:tcPr>
            <w:tcW w:w="1161" w:type="dxa"/>
            <w:gridSpan w:val="2"/>
            <w:tcBorders>
              <w:top w:val="single" w:color="auto" w:sz="12" w:space="0"/>
              <w:left w:val="nil"/>
              <w:bottom w:val="single" w:color="auto" w:sz="4" w:space="0"/>
              <w:right w:val="single" w:color="auto" w:sz="4" w:space="0"/>
            </w:tcBorders>
            <w:vAlign w:val="center"/>
          </w:tcPr>
          <w:p>
            <w:pPr>
              <w:jc w:val="center"/>
              <w:rPr>
                <w:rFonts w:ascii="宋体" w:hAnsi="宋体" w:eastAsia="Times New Roman"/>
                <w:sz w:val="18"/>
                <w:szCs w:val="18"/>
              </w:rPr>
            </w:pPr>
            <w:r>
              <w:rPr>
                <w:rFonts w:hint="eastAsia" w:ascii="宋体" w:hAnsi="宋体" w:eastAsia="Times New Roman" w:cs="宋体"/>
                <w:sz w:val="18"/>
                <w:szCs w:val="18"/>
              </w:rPr>
              <w:t>适用性</w:t>
            </w:r>
          </w:p>
        </w:tc>
        <w:tc>
          <w:tcPr>
            <w:tcW w:w="5303" w:type="dxa"/>
            <w:gridSpan w:val="2"/>
            <w:tcBorders>
              <w:top w:val="single" w:color="auto" w:sz="12" w:space="0"/>
              <w:left w:val="nil"/>
              <w:bottom w:val="single" w:color="auto" w:sz="4" w:space="0"/>
              <w:right w:val="single" w:color="auto" w:sz="4" w:space="0"/>
            </w:tcBorders>
            <w:vAlign w:val="center"/>
          </w:tcPr>
          <w:p>
            <w:pPr>
              <w:rPr>
                <w:rFonts w:ascii="宋体" w:hAnsi="宋体" w:eastAsia="Times New Roman"/>
                <w:sz w:val="18"/>
                <w:szCs w:val="18"/>
              </w:rPr>
            </w:pPr>
            <w:r>
              <w:rPr>
                <w:rFonts w:hint="eastAsia" w:ascii="宋体" w:hAnsi="宋体" w:eastAsia="Times New Roman" w:cs="宋体"/>
                <w:sz w:val="18"/>
                <w:szCs w:val="18"/>
              </w:rPr>
              <w:t>该标准与当前所在地的产业或社会发展水平是否相匹配？</w:t>
            </w:r>
          </w:p>
        </w:tc>
        <w:tc>
          <w:tcPr>
            <w:tcW w:w="1384" w:type="dxa"/>
            <w:tcBorders>
              <w:top w:val="single" w:color="auto" w:sz="12" w:space="0"/>
              <w:left w:val="nil"/>
              <w:bottom w:val="single" w:color="auto" w:sz="4" w:space="0"/>
              <w:right w:val="single" w:color="auto" w:sz="12" w:space="0"/>
            </w:tcBorders>
            <w:vAlign w:val="center"/>
          </w:tcPr>
          <w:p>
            <w:pPr>
              <w:rPr>
                <w:rFonts w:ascii="宋体" w:hAnsi="宋体" w:eastAsia="Times New Roman"/>
                <w:sz w:val="18"/>
                <w:szCs w:val="18"/>
              </w:rPr>
            </w:pPr>
            <w:r>
              <w:rPr>
                <w:rFonts w:ascii="Times New Roman" w:hAnsi="Times New Roman" w:eastAsia="Times New Roman"/>
                <w:spacing w:val="11"/>
                <w:sz w:val="18"/>
                <w:szCs w:val="18"/>
              </w:rPr>
              <w:t>□</w:t>
            </w:r>
            <w:r>
              <w:rPr>
                <w:rFonts w:hint="eastAsia" w:ascii="宋体" w:hAnsi="宋体" w:eastAsia="Times New Roman" w:cs="宋体"/>
                <w:sz w:val="18"/>
                <w:szCs w:val="18"/>
              </w:rPr>
              <w:t>是</w:t>
            </w:r>
            <w:r>
              <w:rPr>
                <w:rFonts w:ascii="宋体" w:hAnsi="宋体" w:eastAsia="Times New Roman"/>
                <w:sz w:val="18"/>
                <w:szCs w:val="18"/>
              </w:rPr>
              <w:t xml:space="preserve"> </w:t>
            </w:r>
            <w:r>
              <w:rPr>
                <w:rFonts w:hint="eastAsia" w:ascii="宋体" w:hAnsi="宋体" w:eastAsia="Times New Roman"/>
                <w:sz w:val="18"/>
                <w:szCs w:val="18"/>
              </w:rPr>
              <w:t xml:space="preserve"> </w:t>
            </w:r>
            <w:r>
              <w:rPr>
                <w:rFonts w:ascii="Times New Roman" w:hAnsi="Times New Roman" w:eastAsia="Times New Roman"/>
                <w:spacing w:val="11"/>
                <w:sz w:val="18"/>
                <w:szCs w:val="18"/>
              </w:rPr>
              <w:t>□</w:t>
            </w:r>
            <w:r>
              <w:rPr>
                <w:rFonts w:hint="eastAsia" w:ascii="宋体" w:hAnsi="宋体" w:eastAsia="Times New Roman"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jc w:val="center"/>
        </w:trPr>
        <w:tc>
          <w:tcPr>
            <w:tcW w:w="300" w:type="dxa"/>
            <w:vMerge w:val="continue"/>
            <w:tcBorders>
              <w:top w:val="single" w:color="auto" w:sz="12" w:space="0"/>
              <w:left w:val="single" w:color="auto" w:sz="12" w:space="0"/>
              <w:bottom w:val="single" w:color="auto" w:sz="4" w:space="0"/>
              <w:right w:val="single" w:color="auto" w:sz="4" w:space="0"/>
            </w:tcBorders>
            <w:vAlign w:val="center"/>
          </w:tcPr>
          <w:p>
            <w:pPr>
              <w:widowControl/>
              <w:adjustRightInd/>
              <w:spacing w:line="240" w:lineRule="auto"/>
              <w:jc w:val="left"/>
              <w:rPr>
                <w:rFonts w:ascii="宋体" w:hAnsi="宋体" w:eastAsia="Times New Roman"/>
                <w:sz w:val="18"/>
                <w:szCs w:val="18"/>
              </w:rPr>
            </w:pPr>
          </w:p>
        </w:tc>
        <w:tc>
          <w:tcPr>
            <w:tcW w:w="1161"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Times New Roman"/>
                <w:sz w:val="18"/>
                <w:szCs w:val="18"/>
              </w:rPr>
            </w:pPr>
            <w:r>
              <w:rPr>
                <w:rFonts w:hint="eastAsia" w:ascii="宋体" w:hAnsi="宋体" w:eastAsia="Times New Roman" w:cs="宋体"/>
                <w:sz w:val="18"/>
                <w:szCs w:val="18"/>
              </w:rPr>
              <w:t>协调性</w:t>
            </w:r>
          </w:p>
        </w:tc>
        <w:tc>
          <w:tcPr>
            <w:tcW w:w="5303" w:type="dxa"/>
            <w:gridSpan w:val="2"/>
            <w:tcBorders>
              <w:top w:val="single" w:color="auto" w:sz="4" w:space="0"/>
              <w:left w:val="nil"/>
              <w:bottom w:val="single" w:color="auto" w:sz="4" w:space="0"/>
              <w:right w:val="single" w:color="auto" w:sz="4" w:space="0"/>
            </w:tcBorders>
            <w:vAlign w:val="center"/>
          </w:tcPr>
          <w:p>
            <w:pPr>
              <w:rPr>
                <w:rFonts w:ascii="宋体" w:hAnsi="宋体" w:eastAsia="Times New Roman"/>
                <w:sz w:val="18"/>
                <w:szCs w:val="18"/>
              </w:rPr>
            </w:pPr>
            <w:r>
              <w:rPr>
                <w:rFonts w:hint="eastAsia" w:ascii="宋体" w:hAnsi="宋体" w:eastAsia="Times New Roman" w:cs="宋体"/>
                <w:sz w:val="18"/>
                <w:szCs w:val="18"/>
              </w:rPr>
              <w:t>该标准的特色要求与其他强制性标准的主要技术指标、相关法律法规、部门规章或产业政策是否</w:t>
            </w:r>
            <w:r>
              <w:rPr>
                <w:rFonts w:hint="eastAsia" w:ascii="宋体" w:hAnsi="宋体" w:eastAsia="Times New Roman" w:cs="宋体"/>
                <w:spacing w:val="2"/>
                <w:sz w:val="18"/>
                <w:szCs w:val="18"/>
              </w:rPr>
              <w:t>协调？</w:t>
            </w:r>
          </w:p>
        </w:tc>
        <w:tc>
          <w:tcPr>
            <w:tcW w:w="1384" w:type="dxa"/>
            <w:tcBorders>
              <w:top w:val="single" w:color="auto" w:sz="4" w:space="0"/>
              <w:left w:val="nil"/>
              <w:bottom w:val="single" w:color="auto" w:sz="4" w:space="0"/>
              <w:right w:val="single" w:color="auto" w:sz="12" w:space="0"/>
            </w:tcBorders>
            <w:vAlign w:val="center"/>
          </w:tcPr>
          <w:p>
            <w:pPr>
              <w:rPr>
                <w:rFonts w:ascii="宋体" w:hAnsi="宋体" w:eastAsia="Times New Roman"/>
                <w:sz w:val="18"/>
                <w:szCs w:val="18"/>
              </w:rPr>
            </w:pPr>
            <w:r>
              <w:rPr>
                <w:rFonts w:ascii="Times New Roman" w:hAnsi="Times New Roman" w:eastAsia="Times New Roman"/>
                <w:spacing w:val="11"/>
                <w:sz w:val="18"/>
                <w:szCs w:val="18"/>
              </w:rPr>
              <w:t>□</w:t>
            </w:r>
            <w:r>
              <w:rPr>
                <w:rFonts w:hint="eastAsia" w:ascii="宋体" w:hAnsi="宋体" w:eastAsia="Times New Roman" w:cs="宋体"/>
                <w:sz w:val="18"/>
                <w:szCs w:val="18"/>
              </w:rPr>
              <w:t>是</w:t>
            </w:r>
            <w:r>
              <w:rPr>
                <w:rFonts w:ascii="宋体" w:hAnsi="宋体" w:eastAsia="Times New Roman"/>
                <w:sz w:val="18"/>
                <w:szCs w:val="18"/>
              </w:rPr>
              <w:t xml:space="preserve"> </w:t>
            </w:r>
            <w:r>
              <w:rPr>
                <w:rFonts w:hint="eastAsia" w:ascii="宋体" w:hAnsi="宋体" w:eastAsia="Times New Roman"/>
                <w:sz w:val="18"/>
                <w:szCs w:val="18"/>
              </w:rPr>
              <w:t xml:space="preserve"> </w:t>
            </w:r>
            <w:r>
              <w:rPr>
                <w:rFonts w:ascii="Times New Roman" w:hAnsi="Times New Roman" w:eastAsia="Times New Roman"/>
                <w:spacing w:val="11"/>
                <w:sz w:val="18"/>
                <w:szCs w:val="18"/>
              </w:rPr>
              <w:t>□</w:t>
            </w:r>
            <w:r>
              <w:rPr>
                <w:rFonts w:hint="eastAsia" w:ascii="宋体" w:hAnsi="宋体" w:eastAsia="Times New Roman"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jc w:val="center"/>
        </w:trPr>
        <w:tc>
          <w:tcPr>
            <w:tcW w:w="300" w:type="dxa"/>
            <w:vMerge w:val="continue"/>
            <w:tcBorders>
              <w:top w:val="single" w:color="auto" w:sz="12" w:space="0"/>
              <w:left w:val="single" w:color="auto" w:sz="12" w:space="0"/>
              <w:bottom w:val="single" w:color="auto" w:sz="4" w:space="0"/>
              <w:right w:val="single" w:color="auto" w:sz="4" w:space="0"/>
            </w:tcBorders>
            <w:vAlign w:val="center"/>
          </w:tcPr>
          <w:p>
            <w:pPr>
              <w:widowControl/>
              <w:adjustRightInd/>
              <w:spacing w:line="240" w:lineRule="auto"/>
              <w:jc w:val="left"/>
              <w:rPr>
                <w:rFonts w:ascii="宋体" w:hAnsi="宋体" w:eastAsia="Times New Roman"/>
                <w:sz w:val="18"/>
                <w:szCs w:val="18"/>
              </w:rPr>
            </w:pPr>
          </w:p>
        </w:tc>
        <w:tc>
          <w:tcPr>
            <w:tcW w:w="1161" w:type="dxa"/>
            <w:gridSpan w:val="2"/>
            <w:tcBorders>
              <w:top w:val="single" w:color="auto" w:sz="4" w:space="0"/>
              <w:left w:val="nil"/>
              <w:bottom w:val="single" w:color="auto" w:sz="4" w:space="0"/>
              <w:right w:val="single" w:color="auto" w:sz="4" w:space="0"/>
            </w:tcBorders>
            <w:vAlign w:val="center"/>
          </w:tcPr>
          <w:p>
            <w:pPr>
              <w:jc w:val="center"/>
              <w:rPr>
                <w:rFonts w:ascii="宋体" w:hAnsi="宋体" w:eastAsia="Times New Roman"/>
                <w:sz w:val="18"/>
                <w:szCs w:val="18"/>
              </w:rPr>
            </w:pPr>
            <w:r>
              <w:rPr>
                <w:rFonts w:hint="eastAsia" w:ascii="宋体" w:hAnsi="宋体" w:eastAsia="Times New Roman" w:cs="宋体"/>
                <w:sz w:val="18"/>
                <w:szCs w:val="18"/>
              </w:rPr>
              <w:t>执行情况</w:t>
            </w:r>
          </w:p>
        </w:tc>
        <w:tc>
          <w:tcPr>
            <w:tcW w:w="5303" w:type="dxa"/>
            <w:gridSpan w:val="2"/>
            <w:tcBorders>
              <w:top w:val="single" w:color="auto" w:sz="4" w:space="0"/>
              <w:left w:val="nil"/>
              <w:bottom w:val="single" w:color="auto" w:sz="4" w:space="0"/>
              <w:right w:val="single" w:color="auto" w:sz="4" w:space="0"/>
            </w:tcBorders>
            <w:vAlign w:val="center"/>
          </w:tcPr>
          <w:p>
            <w:pPr>
              <w:rPr>
                <w:rFonts w:ascii="宋体" w:hAnsi="宋体" w:eastAsia="Times New Roman"/>
                <w:sz w:val="18"/>
                <w:szCs w:val="18"/>
              </w:rPr>
            </w:pPr>
            <w:r>
              <w:rPr>
                <w:rFonts w:hint="eastAsia" w:ascii="宋体" w:hAnsi="宋体" w:eastAsia="Times New Roman" w:cs="宋体"/>
                <w:sz w:val="18"/>
                <w:szCs w:val="18"/>
              </w:rPr>
              <w:t>标准执行单位或人员是否按照标准要求组织开展相关工作？</w:t>
            </w:r>
          </w:p>
        </w:tc>
        <w:tc>
          <w:tcPr>
            <w:tcW w:w="1384" w:type="dxa"/>
            <w:tcBorders>
              <w:top w:val="single" w:color="auto" w:sz="4" w:space="0"/>
              <w:left w:val="nil"/>
              <w:bottom w:val="single" w:color="auto" w:sz="4" w:space="0"/>
              <w:right w:val="single" w:color="auto" w:sz="12" w:space="0"/>
            </w:tcBorders>
            <w:vAlign w:val="center"/>
          </w:tcPr>
          <w:p>
            <w:pPr>
              <w:rPr>
                <w:rFonts w:ascii="宋体" w:hAnsi="宋体" w:eastAsia="Times New Roman"/>
                <w:sz w:val="18"/>
                <w:szCs w:val="18"/>
              </w:rPr>
            </w:pPr>
            <w:r>
              <w:rPr>
                <w:rFonts w:ascii="Times New Roman" w:hAnsi="Times New Roman" w:eastAsia="Times New Roman"/>
                <w:spacing w:val="11"/>
                <w:sz w:val="18"/>
                <w:szCs w:val="18"/>
              </w:rPr>
              <w:t>□</w:t>
            </w:r>
            <w:r>
              <w:rPr>
                <w:rFonts w:hint="eastAsia" w:ascii="宋体" w:hAnsi="宋体" w:eastAsia="Times New Roman" w:cs="宋体"/>
                <w:sz w:val="18"/>
                <w:szCs w:val="18"/>
              </w:rPr>
              <w:t>是</w:t>
            </w:r>
            <w:r>
              <w:rPr>
                <w:rFonts w:ascii="宋体" w:hAnsi="宋体" w:eastAsia="Times New Roman"/>
                <w:sz w:val="18"/>
                <w:szCs w:val="18"/>
              </w:rPr>
              <w:t xml:space="preserve"> </w:t>
            </w:r>
            <w:r>
              <w:rPr>
                <w:rFonts w:hint="eastAsia" w:ascii="宋体" w:hAnsi="宋体" w:eastAsia="Times New Roman"/>
                <w:sz w:val="18"/>
                <w:szCs w:val="18"/>
              </w:rPr>
              <w:t xml:space="preserve"> </w:t>
            </w:r>
            <w:r>
              <w:rPr>
                <w:rFonts w:ascii="Times New Roman" w:hAnsi="Times New Roman" w:eastAsia="Times New Roman"/>
                <w:spacing w:val="11"/>
                <w:sz w:val="18"/>
                <w:szCs w:val="18"/>
              </w:rPr>
              <w:t>□</w:t>
            </w:r>
            <w:r>
              <w:rPr>
                <w:rFonts w:hint="eastAsia" w:ascii="宋体" w:hAnsi="宋体" w:eastAsia="Times New Roman"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1212" w:type="dxa"/>
            <w:vMerge w:val="restart"/>
            <w:tcBorders>
              <w:top w:val="nil"/>
              <w:left w:val="single" w:color="auto" w:sz="12" w:space="0"/>
              <w:bottom w:val="single" w:color="auto" w:sz="4" w:space="0"/>
              <w:right w:val="single" w:color="auto" w:sz="4" w:space="0"/>
            </w:tcBorders>
            <w:vAlign w:val="center"/>
          </w:tcPr>
          <w:p>
            <w:pPr>
              <w:ind w:firstLine="360" w:firstLineChars="200"/>
              <w:rPr>
                <w:rFonts w:ascii="宋体" w:hAnsi="宋体" w:eastAsia="Times New Roman"/>
                <w:sz w:val="18"/>
                <w:szCs w:val="18"/>
              </w:rPr>
            </w:pPr>
            <w:r>
              <w:rPr>
                <w:rFonts w:hint="eastAsia" w:ascii="宋体" w:hAnsi="宋体" w:eastAsia="Times New Roman" w:cs="宋体"/>
                <w:sz w:val="18"/>
                <w:szCs w:val="18"/>
              </w:rPr>
              <w:t>实施信息</w:t>
            </w:r>
          </w:p>
        </w:tc>
        <w:tc>
          <w:tcPr>
            <w:tcW w:w="6464" w:type="dxa"/>
            <w:gridSpan w:val="4"/>
            <w:tcBorders>
              <w:top w:val="single" w:color="auto" w:sz="4" w:space="0"/>
              <w:left w:val="nil"/>
              <w:bottom w:val="single" w:color="auto" w:sz="4" w:space="0"/>
              <w:right w:val="single" w:color="auto" w:sz="4" w:space="0"/>
            </w:tcBorders>
            <w:vAlign w:val="center"/>
          </w:tcPr>
          <w:p>
            <w:pPr>
              <w:rPr>
                <w:rFonts w:ascii="宋体" w:hAnsi="宋体" w:eastAsia="Times New Roman"/>
                <w:sz w:val="18"/>
                <w:szCs w:val="18"/>
              </w:rPr>
            </w:pPr>
            <w:r>
              <w:rPr>
                <w:rFonts w:hint="eastAsia" w:ascii="宋体" w:hAnsi="宋体" w:eastAsia="Times New Roman" w:cs="宋体"/>
                <w:sz w:val="18"/>
                <w:szCs w:val="18"/>
              </w:rPr>
              <w:t>标准实施过程中是否存在阻力和障碍？</w:t>
            </w:r>
          </w:p>
        </w:tc>
        <w:tc>
          <w:tcPr>
            <w:tcW w:w="1384" w:type="dxa"/>
            <w:tcBorders>
              <w:top w:val="single" w:color="auto" w:sz="4" w:space="0"/>
              <w:left w:val="nil"/>
              <w:bottom w:val="single" w:color="auto" w:sz="4" w:space="0"/>
              <w:right w:val="single" w:color="auto" w:sz="12" w:space="0"/>
            </w:tcBorders>
            <w:vAlign w:val="center"/>
          </w:tcPr>
          <w:p>
            <w:pPr>
              <w:rPr>
                <w:rFonts w:ascii="宋体" w:hAnsi="宋体" w:eastAsia="Times New Roman"/>
                <w:sz w:val="18"/>
                <w:szCs w:val="18"/>
              </w:rPr>
            </w:pPr>
            <w:r>
              <w:rPr>
                <w:rFonts w:ascii="Times New Roman" w:hAnsi="Times New Roman" w:eastAsia="Times New Roman"/>
                <w:spacing w:val="11"/>
                <w:sz w:val="18"/>
                <w:szCs w:val="18"/>
              </w:rPr>
              <w:t>□</w:t>
            </w:r>
            <w:r>
              <w:rPr>
                <w:rFonts w:hint="eastAsia" w:ascii="宋体" w:hAnsi="宋体" w:eastAsia="Times New Roman" w:cs="宋体"/>
                <w:sz w:val="18"/>
                <w:szCs w:val="18"/>
              </w:rPr>
              <w:t>是</w:t>
            </w:r>
            <w:r>
              <w:rPr>
                <w:rFonts w:ascii="宋体" w:hAnsi="宋体" w:eastAsia="Times New Roman"/>
                <w:sz w:val="18"/>
                <w:szCs w:val="18"/>
              </w:rPr>
              <w:t xml:space="preserve"> </w:t>
            </w:r>
            <w:r>
              <w:rPr>
                <w:rFonts w:hint="eastAsia" w:ascii="宋体" w:hAnsi="宋体" w:eastAsia="Times New Roman"/>
                <w:sz w:val="18"/>
                <w:szCs w:val="18"/>
              </w:rPr>
              <w:t xml:space="preserve"> </w:t>
            </w:r>
            <w:r>
              <w:rPr>
                <w:rFonts w:ascii="Times New Roman" w:hAnsi="Times New Roman" w:eastAsia="Times New Roman"/>
                <w:spacing w:val="11"/>
                <w:sz w:val="18"/>
                <w:szCs w:val="18"/>
              </w:rPr>
              <w:t>□</w:t>
            </w:r>
            <w:r>
              <w:rPr>
                <w:rFonts w:hint="eastAsia" w:ascii="宋体" w:hAnsi="宋体" w:eastAsia="Times New Roman"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300" w:type="dxa"/>
            <w:vMerge w:val="continue"/>
            <w:tcBorders>
              <w:top w:val="nil"/>
              <w:left w:val="single" w:color="auto" w:sz="12" w:space="0"/>
              <w:bottom w:val="single" w:color="auto" w:sz="4" w:space="0"/>
              <w:right w:val="single" w:color="auto" w:sz="4" w:space="0"/>
            </w:tcBorders>
            <w:vAlign w:val="center"/>
          </w:tcPr>
          <w:p>
            <w:pPr>
              <w:widowControl/>
              <w:adjustRightInd/>
              <w:spacing w:line="240" w:lineRule="auto"/>
              <w:jc w:val="left"/>
              <w:rPr>
                <w:rFonts w:ascii="宋体" w:hAnsi="宋体" w:eastAsia="Times New Roman"/>
                <w:sz w:val="18"/>
                <w:szCs w:val="18"/>
              </w:rPr>
            </w:pPr>
          </w:p>
        </w:tc>
        <w:tc>
          <w:tcPr>
            <w:tcW w:w="3354" w:type="dxa"/>
            <w:gridSpan w:val="3"/>
            <w:tcBorders>
              <w:top w:val="single" w:color="auto" w:sz="4" w:space="0"/>
              <w:left w:val="nil"/>
              <w:bottom w:val="single" w:color="auto" w:sz="4" w:space="0"/>
              <w:right w:val="single" w:color="auto" w:sz="4" w:space="0"/>
            </w:tcBorders>
            <w:vAlign w:val="center"/>
          </w:tcPr>
          <w:p>
            <w:pPr>
              <w:rPr>
                <w:rFonts w:ascii="宋体" w:hAnsi="宋体" w:eastAsia="Times New Roman"/>
                <w:sz w:val="18"/>
                <w:szCs w:val="18"/>
              </w:rPr>
            </w:pPr>
            <w:r>
              <w:rPr>
                <w:rFonts w:hint="eastAsia" w:ascii="宋体" w:hAnsi="宋体" w:eastAsia="Times New Roman" w:cs="宋体"/>
                <w:sz w:val="18"/>
                <w:szCs w:val="18"/>
              </w:rPr>
              <w:t>实施过程中存在的主要问题</w:t>
            </w:r>
          </w:p>
        </w:tc>
        <w:tc>
          <w:tcPr>
            <w:tcW w:w="4494" w:type="dxa"/>
            <w:gridSpan w:val="2"/>
            <w:tcBorders>
              <w:top w:val="single" w:color="auto" w:sz="4" w:space="0"/>
              <w:left w:val="nil"/>
              <w:bottom w:val="single" w:color="auto" w:sz="4" w:space="0"/>
              <w:right w:val="single" w:color="auto" w:sz="12" w:space="0"/>
            </w:tcBorders>
            <w:vAlign w:val="center"/>
          </w:tcPr>
          <w:p>
            <w:pPr>
              <w:rPr>
                <w:rFonts w:ascii="宋体" w:hAnsi="宋体" w:eastAsia="Times New Roman"/>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jc w:val="center"/>
        </w:trPr>
        <w:tc>
          <w:tcPr>
            <w:tcW w:w="1212" w:type="dxa"/>
            <w:vMerge w:val="restart"/>
            <w:tcBorders>
              <w:top w:val="nil"/>
              <w:left w:val="single" w:color="auto" w:sz="12" w:space="0"/>
              <w:bottom w:val="single" w:color="auto" w:sz="4" w:space="0"/>
              <w:right w:val="single" w:color="auto" w:sz="4" w:space="0"/>
            </w:tcBorders>
            <w:vAlign w:val="center"/>
          </w:tcPr>
          <w:p>
            <w:pPr>
              <w:ind w:firstLine="360" w:firstLineChars="200"/>
              <w:rPr>
                <w:rFonts w:ascii="宋体" w:hAnsi="宋体" w:eastAsia="Times New Roman"/>
                <w:sz w:val="18"/>
                <w:szCs w:val="18"/>
              </w:rPr>
            </w:pPr>
            <w:r>
              <w:rPr>
                <w:rFonts w:hint="eastAsia" w:ascii="宋体" w:hAnsi="宋体" w:eastAsia="Times New Roman" w:cs="宋体"/>
                <w:sz w:val="18"/>
                <w:szCs w:val="18"/>
              </w:rPr>
              <w:t>修改意见</w:t>
            </w:r>
          </w:p>
        </w:tc>
        <w:tc>
          <w:tcPr>
            <w:tcW w:w="1161" w:type="dxa"/>
            <w:gridSpan w:val="2"/>
            <w:tcBorders>
              <w:top w:val="single" w:color="auto" w:sz="4" w:space="0"/>
              <w:left w:val="nil"/>
              <w:bottom w:val="single" w:color="auto" w:sz="4" w:space="0"/>
              <w:right w:val="single" w:color="auto" w:sz="4" w:space="0"/>
            </w:tcBorders>
            <w:vAlign w:val="center"/>
          </w:tcPr>
          <w:p>
            <w:pPr>
              <w:ind w:firstLine="90" w:firstLineChars="50"/>
              <w:rPr>
                <w:rFonts w:ascii="宋体" w:hAnsi="宋体" w:eastAsia="Times New Roman"/>
                <w:sz w:val="18"/>
                <w:szCs w:val="18"/>
              </w:rPr>
            </w:pPr>
            <w:r>
              <w:rPr>
                <w:rFonts w:hint="eastAsia" w:ascii="宋体" w:hAnsi="宋体" w:eastAsia="Times New Roman" w:cs="宋体"/>
                <w:sz w:val="18"/>
                <w:szCs w:val="18"/>
              </w:rPr>
              <w:t>总体意见</w:t>
            </w:r>
          </w:p>
        </w:tc>
        <w:tc>
          <w:tcPr>
            <w:tcW w:w="6687" w:type="dxa"/>
            <w:gridSpan w:val="3"/>
            <w:tcBorders>
              <w:top w:val="single" w:color="auto" w:sz="4" w:space="0"/>
              <w:left w:val="nil"/>
              <w:bottom w:val="single" w:color="auto" w:sz="4" w:space="0"/>
              <w:right w:val="single" w:color="auto" w:sz="12" w:space="0"/>
            </w:tcBorders>
            <w:vAlign w:val="center"/>
          </w:tcPr>
          <w:p>
            <w:pPr>
              <w:ind w:firstLine="404" w:firstLineChars="200"/>
              <w:rPr>
                <w:rFonts w:ascii="宋体" w:hAnsi="宋体" w:eastAsia="Times New Roman"/>
                <w:sz w:val="18"/>
                <w:szCs w:val="18"/>
              </w:rPr>
            </w:pPr>
            <w:r>
              <w:rPr>
                <w:rFonts w:ascii="Times New Roman" w:hAnsi="Times New Roman" w:eastAsia="Times New Roman"/>
                <w:spacing w:val="11"/>
                <w:sz w:val="18"/>
                <w:szCs w:val="18"/>
              </w:rPr>
              <w:t>□</w:t>
            </w:r>
            <w:r>
              <w:rPr>
                <w:rFonts w:hint="eastAsia" w:ascii="宋体" w:hAnsi="宋体" w:eastAsia="Times New Roman" w:cs="宋体"/>
                <w:sz w:val="18"/>
                <w:szCs w:val="18"/>
              </w:rPr>
              <w:t>适用</w:t>
            </w:r>
            <w:r>
              <w:rPr>
                <w:rFonts w:ascii="宋体" w:hAnsi="宋体" w:eastAsia="Times New Roman"/>
                <w:sz w:val="18"/>
                <w:szCs w:val="18"/>
              </w:rPr>
              <w:t xml:space="preserve"> </w:t>
            </w:r>
            <w:r>
              <w:rPr>
                <w:rFonts w:hint="eastAsia" w:ascii="宋体" w:hAnsi="宋体" w:eastAsia="Times New Roman"/>
                <w:sz w:val="18"/>
                <w:szCs w:val="18"/>
              </w:rPr>
              <w:t xml:space="preserve">   </w:t>
            </w:r>
            <w:r>
              <w:rPr>
                <w:rFonts w:ascii="Times New Roman" w:hAnsi="Times New Roman" w:eastAsia="Times New Roman"/>
                <w:spacing w:val="11"/>
                <w:sz w:val="18"/>
                <w:szCs w:val="18"/>
              </w:rPr>
              <w:t>□</w:t>
            </w:r>
            <w:r>
              <w:rPr>
                <w:rFonts w:hint="eastAsia" w:ascii="宋体" w:hAnsi="宋体" w:eastAsia="Times New Roman" w:cs="宋体"/>
                <w:sz w:val="18"/>
                <w:szCs w:val="18"/>
              </w:rPr>
              <w:t>修改</w:t>
            </w:r>
            <w:r>
              <w:rPr>
                <w:rFonts w:ascii="宋体" w:hAnsi="宋体" w:eastAsia="Times New Roman"/>
                <w:sz w:val="18"/>
                <w:szCs w:val="18"/>
              </w:rPr>
              <w:t xml:space="preserve"> </w:t>
            </w:r>
            <w:r>
              <w:rPr>
                <w:rFonts w:hint="eastAsia" w:ascii="宋体" w:hAnsi="宋体" w:eastAsia="Times New Roman"/>
                <w:sz w:val="18"/>
                <w:szCs w:val="18"/>
              </w:rPr>
              <w:t xml:space="preserve">   </w:t>
            </w:r>
            <w:r>
              <w:rPr>
                <w:rFonts w:ascii="Times New Roman" w:hAnsi="Times New Roman" w:eastAsia="Times New Roman"/>
                <w:spacing w:val="11"/>
                <w:sz w:val="18"/>
                <w:szCs w:val="18"/>
              </w:rPr>
              <w:t>□</w:t>
            </w:r>
            <w:r>
              <w:rPr>
                <w:rFonts w:hint="eastAsia" w:ascii="宋体" w:hAnsi="宋体" w:eastAsia="Times New Roman" w:cs="宋体"/>
                <w:sz w:val="18"/>
                <w:szCs w:val="18"/>
              </w:rPr>
              <w:t>废止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jc w:val="center"/>
        </w:trPr>
        <w:tc>
          <w:tcPr>
            <w:tcW w:w="300" w:type="dxa"/>
            <w:vMerge w:val="continue"/>
            <w:tcBorders>
              <w:top w:val="nil"/>
              <w:left w:val="single" w:color="auto" w:sz="12" w:space="0"/>
              <w:bottom w:val="single" w:color="auto" w:sz="4" w:space="0"/>
              <w:right w:val="single" w:color="auto" w:sz="4" w:space="0"/>
            </w:tcBorders>
            <w:vAlign w:val="center"/>
          </w:tcPr>
          <w:p>
            <w:pPr>
              <w:widowControl/>
              <w:adjustRightInd/>
              <w:spacing w:line="240" w:lineRule="auto"/>
              <w:jc w:val="left"/>
              <w:rPr>
                <w:rFonts w:ascii="宋体" w:hAnsi="宋体" w:eastAsia="Times New Roman"/>
                <w:sz w:val="18"/>
                <w:szCs w:val="18"/>
              </w:rPr>
            </w:pPr>
          </w:p>
        </w:tc>
        <w:tc>
          <w:tcPr>
            <w:tcW w:w="1161" w:type="dxa"/>
            <w:gridSpan w:val="2"/>
            <w:tcBorders>
              <w:top w:val="single" w:color="auto" w:sz="4" w:space="0"/>
              <w:left w:val="nil"/>
              <w:bottom w:val="single" w:color="000000" w:sz="2" w:space="0"/>
              <w:right w:val="single" w:color="auto" w:sz="4" w:space="0"/>
            </w:tcBorders>
            <w:vAlign w:val="center"/>
          </w:tcPr>
          <w:p>
            <w:pPr>
              <w:rPr>
                <w:rFonts w:ascii="宋体" w:hAnsi="宋体" w:eastAsia="Times New Roman"/>
                <w:sz w:val="18"/>
                <w:szCs w:val="18"/>
              </w:rPr>
            </w:pPr>
            <w:r>
              <w:rPr>
                <w:rFonts w:hint="eastAsia" w:ascii="宋体" w:hAnsi="宋体" w:eastAsia="Times New Roman" w:cs="宋体"/>
                <w:sz w:val="18"/>
                <w:szCs w:val="18"/>
              </w:rPr>
              <w:t>具体修改意见</w:t>
            </w:r>
          </w:p>
        </w:tc>
        <w:tc>
          <w:tcPr>
            <w:tcW w:w="6687" w:type="dxa"/>
            <w:gridSpan w:val="3"/>
            <w:tcBorders>
              <w:top w:val="single" w:color="auto" w:sz="4" w:space="0"/>
              <w:left w:val="nil"/>
              <w:bottom w:val="single" w:color="000000" w:sz="2" w:space="0"/>
              <w:right w:val="single" w:color="auto" w:sz="12" w:space="0"/>
            </w:tcBorders>
            <w:vAlign w:val="center"/>
          </w:tcPr>
          <w:p>
            <w:pPr>
              <w:ind w:firstLine="360" w:firstLineChars="200"/>
              <w:rPr>
                <w:rFonts w:ascii="宋体" w:hAnsi="宋体" w:eastAsia="Times New Roman"/>
                <w:sz w:val="18"/>
                <w:szCs w:val="18"/>
              </w:rPr>
            </w:pPr>
            <w:r>
              <w:rPr>
                <w:rFonts w:hint="eastAsia" w:ascii="宋体" w:hAnsi="宋体" w:eastAsia="Times New Roman" w:cs="宋体"/>
                <w:sz w:val="18"/>
                <w:szCs w:val="18"/>
              </w:rPr>
              <w:t>需修改章节：</w:t>
            </w:r>
          </w:p>
          <w:p>
            <w:pPr>
              <w:ind w:firstLine="360" w:firstLineChars="200"/>
              <w:rPr>
                <w:rFonts w:ascii="宋体" w:hAnsi="宋体" w:eastAsia="Times New Roman"/>
                <w:sz w:val="18"/>
                <w:szCs w:val="18"/>
              </w:rPr>
            </w:pPr>
            <w:r>
              <w:rPr>
                <w:rFonts w:hint="eastAsia" w:ascii="宋体" w:hAnsi="宋体" w:eastAsia="Times New Roman" w:cs="宋体"/>
                <w:sz w:val="18"/>
                <w:szCs w:val="18"/>
              </w:rPr>
              <w:t>具体修改意见：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1" w:hRule="atLeast"/>
          <w:jc w:val="center"/>
        </w:trPr>
        <w:tc>
          <w:tcPr>
            <w:tcW w:w="1212" w:type="dxa"/>
            <w:tcBorders>
              <w:top w:val="single" w:color="auto" w:sz="4" w:space="0"/>
              <w:left w:val="single" w:color="auto" w:sz="12" w:space="0"/>
              <w:bottom w:val="single" w:color="auto" w:sz="4" w:space="0"/>
              <w:right w:val="single" w:color="auto" w:sz="4" w:space="0"/>
            </w:tcBorders>
            <w:vAlign w:val="center"/>
          </w:tcPr>
          <w:p>
            <w:pPr>
              <w:ind w:firstLine="360" w:firstLineChars="200"/>
              <w:rPr>
                <w:rFonts w:ascii="宋体" w:hAnsi="宋体" w:eastAsia="Times New Roman"/>
                <w:sz w:val="18"/>
                <w:szCs w:val="18"/>
              </w:rPr>
            </w:pPr>
            <w:r>
              <w:rPr>
                <w:rFonts w:hint="eastAsia" w:ascii="宋体" w:hAnsi="宋体" w:eastAsia="Times New Roman" w:cs="宋体"/>
                <w:sz w:val="18"/>
                <w:szCs w:val="18"/>
              </w:rPr>
              <w:t>反馈渠道</w:t>
            </w:r>
          </w:p>
        </w:tc>
        <w:tc>
          <w:tcPr>
            <w:tcW w:w="7848" w:type="dxa"/>
            <w:gridSpan w:val="5"/>
            <w:tcBorders>
              <w:top w:val="single" w:color="000000" w:sz="2" w:space="0"/>
              <w:left w:val="nil"/>
              <w:bottom w:val="single" w:color="000000" w:sz="2" w:space="0"/>
              <w:right w:val="single" w:color="auto" w:sz="4" w:space="0"/>
            </w:tcBorders>
            <w:vAlign w:val="center"/>
          </w:tcPr>
          <w:p>
            <w:pPr>
              <w:ind w:firstLine="404" w:firstLineChars="200"/>
              <w:rPr>
                <w:rFonts w:ascii="宋体" w:hAnsi="宋体" w:eastAsia="Times New Roman"/>
                <w:sz w:val="18"/>
                <w:szCs w:val="18"/>
              </w:rPr>
            </w:pPr>
            <w:r>
              <w:rPr>
                <w:rFonts w:ascii="Times New Roman" w:hAnsi="Times New Roman" w:eastAsia="Times New Roman"/>
                <w:spacing w:val="11"/>
                <w:sz w:val="18"/>
                <w:szCs w:val="18"/>
              </w:rPr>
              <w:t>□</w:t>
            </w:r>
            <w:r>
              <w:rPr>
                <w:rFonts w:hint="eastAsia" w:ascii="宋体" w:hAnsi="宋体" w:eastAsia="Times New Roman" w:cs="宋体"/>
                <w:sz w:val="18"/>
                <w:szCs w:val="18"/>
              </w:rPr>
              <w:t>标准化行政主管部门</w:t>
            </w:r>
          </w:p>
          <w:p>
            <w:pPr>
              <w:ind w:firstLine="404" w:firstLineChars="200"/>
              <w:rPr>
                <w:rFonts w:ascii="宋体" w:hAnsi="宋体" w:eastAsia="Times New Roman"/>
                <w:sz w:val="18"/>
                <w:szCs w:val="18"/>
              </w:rPr>
            </w:pPr>
            <w:r>
              <w:rPr>
                <w:rFonts w:ascii="Times New Roman" w:hAnsi="Times New Roman" w:eastAsia="Times New Roman"/>
                <w:spacing w:val="11"/>
                <w:sz w:val="18"/>
                <w:szCs w:val="18"/>
              </w:rPr>
              <w:t>□</w:t>
            </w:r>
            <w:r>
              <w:rPr>
                <w:rFonts w:hint="eastAsia" w:ascii="宋体" w:hAnsi="宋体" w:eastAsia="Times New Roman" w:cs="宋体"/>
                <w:sz w:val="18"/>
                <w:szCs w:val="18"/>
              </w:rPr>
              <w:t>省直行业主管部门</w:t>
            </w:r>
          </w:p>
          <w:p>
            <w:pPr>
              <w:ind w:firstLine="404" w:firstLineChars="200"/>
              <w:rPr>
                <w:rFonts w:ascii="宋体" w:hAnsi="宋体" w:eastAsia="Times New Roman"/>
                <w:sz w:val="18"/>
                <w:szCs w:val="18"/>
              </w:rPr>
            </w:pPr>
            <w:r>
              <w:rPr>
                <w:rFonts w:ascii="Times New Roman" w:hAnsi="Times New Roman" w:eastAsia="Times New Roman"/>
                <w:spacing w:val="11"/>
                <w:sz w:val="18"/>
                <w:szCs w:val="18"/>
              </w:rPr>
              <w:t>□</w:t>
            </w:r>
            <w:r>
              <w:rPr>
                <w:rFonts w:hint="eastAsia" w:ascii="宋体" w:hAnsi="宋体" w:eastAsia="Times New Roman" w:cs="宋体"/>
                <w:sz w:val="18"/>
                <w:szCs w:val="18"/>
              </w:rPr>
              <w:t>专业标准化技术委员会（工作组）</w:t>
            </w:r>
          </w:p>
          <w:p>
            <w:pPr>
              <w:ind w:firstLine="360" w:firstLineChars="200"/>
              <w:rPr>
                <w:rFonts w:ascii="宋体" w:hAnsi="宋体" w:eastAsia="Times New Roman"/>
                <w:sz w:val="18"/>
                <w:szCs w:val="18"/>
              </w:rPr>
            </w:pPr>
            <w:r>
              <w:rPr>
                <w:rFonts w:ascii="Times New Roman" w:hAnsi="Times New Roman" w:eastAsia="Times New Roman"/>
                <w:sz w:val="18"/>
                <w:szCs w:val="18"/>
              </w:rPr>
              <w:t>□</w:t>
            </w:r>
            <w:r>
              <w:rPr>
                <w:rFonts w:hint="eastAsia" w:ascii="宋体" w:hAnsi="宋体" w:eastAsia="Times New Roman" w:cs="宋体"/>
                <w:sz w:val="18"/>
                <w:szCs w:val="18"/>
              </w:rPr>
              <w:t>标准起草组（牵头起草单位）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jc w:val="center"/>
        </w:trPr>
        <w:tc>
          <w:tcPr>
            <w:tcW w:w="1212" w:type="dxa"/>
            <w:tcBorders>
              <w:top w:val="single" w:color="auto" w:sz="4" w:space="0"/>
              <w:left w:val="single" w:color="auto" w:sz="12" w:space="0"/>
              <w:bottom w:val="single" w:color="auto" w:sz="8" w:space="0"/>
              <w:right w:val="single" w:color="auto" w:sz="4" w:space="0"/>
            </w:tcBorders>
            <w:vAlign w:val="center"/>
          </w:tcPr>
          <w:p>
            <w:pPr>
              <w:ind w:firstLine="360" w:firstLineChars="200"/>
              <w:rPr>
                <w:rFonts w:ascii="宋体" w:hAnsi="宋体" w:eastAsia="Times New Roman"/>
                <w:sz w:val="18"/>
                <w:szCs w:val="18"/>
              </w:rPr>
            </w:pPr>
            <w:r>
              <w:rPr>
                <w:rFonts w:hint="eastAsia" w:ascii="宋体" w:hAnsi="宋体" w:eastAsia="Times New Roman" w:cs="宋体"/>
                <w:sz w:val="18"/>
                <w:szCs w:val="18"/>
              </w:rPr>
              <w:t>反馈人</w:t>
            </w:r>
          </w:p>
        </w:tc>
        <w:tc>
          <w:tcPr>
            <w:tcW w:w="7848" w:type="dxa"/>
            <w:gridSpan w:val="5"/>
            <w:tcBorders>
              <w:top w:val="single" w:color="000000" w:sz="2" w:space="0"/>
              <w:left w:val="nil"/>
              <w:bottom w:val="single" w:color="auto" w:sz="8" w:space="0"/>
              <w:right w:val="single" w:color="auto" w:sz="12" w:space="0"/>
            </w:tcBorders>
            <w:vAlign w:val="center"/>
          </w:tcPr>
          <w:p>
            <w:pPr>
              <w:ind w:firstLine="368" w:firstLineChars="200"/>
              <w:rPr>
                <w:rFonts w:ascii="宋体" w:hAnsi="宋体" w:eastAsia="Times New Roman"/>
                <w:sz w:val="18"/>
                <w:szCs w:val="18"/>
              </w:rPr>
            </w:pPr>
            <w:r>
              <w:rPr>
                <w:rFonts w:hint="eastAsia" w:ascii="宋体" w:hAnsi="宋体" w:eastAsia="Times New Roman" w:cs="宋体"/>
                <w:spacing w:val="2"/>
                <w:sz w:val="18"/>
                <w:szCs w:val="18"/>
              </w:rPr>
              <w:t>姓名：</w:t>
            </w:r>
            <w:r>
              <w:rPr>
                <w:rFonts w:hint="eastAsia" w:ascii="宋体" w:hAnsi="宋体" w:eastAsia="Times New Roman"/>
                <w:spacing w:val="8"/>
                <w:sz w:val="18"/>
                <w:szCs w:val="18"/>
              </w:rPr>
              <w:t xml:space="preserve">           </w:t>
            </w:r>
            <w:r>
              <w:rPr>
                <w:rFonts w:hint="eastAsia" w:ascii="宋体" w:hAnsi="宋体" w:eastAsia="Times New Roman" w:cs="宋体"/>
                <w:spacing w:val="2"/>
                <w:sz w:val="18"/>
                <w:szCs w:val="18"/>
              </w:rPr>
              <w:t>单位：</w:t>
            </w:r>
            <w:r>
              <w:rPr>
                <w:rFonts w:hint="eastAsia" w:ascii="宋体" w:hAnsi="宋体" w:eastAsia="Times New Roman"/>
                <w:sz w:val="18"/>
                <w:szCs w:val="18"/>
              </w:rPr>
              <w:t xml:space="preserve">                        </w:t>
            </w:r>
            <w:r>
              <w:rPr>
                <w:rFonts w:hint="eastAsia" w:ascii="宋体" w:hAnsi="宋体" w:eastAsia="Times New Roman" w:cs="宋体"/>
                <w:spacing w:val="2"/>
                <w:sz w:val="18"/>
                <w:szCs w:val="18"/>
              </w:rPr>
              <w:t>联系方式：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4" w:hRule="atLeast"/>
          <w:jc w:val="center"/>
        </w:trPr>
        <w:tc>
          <w:tcPr>
            <w:tcW w:w="9060" w:type="dxa"/>
            <w:gridSpan w:val="6"/>
            <w:tcBorders>
              <w:top w:val="single" w:color="auto" w:sz="8" w:space="0"/>
              <w:left w:val="single" w:color="auto" w:sz="12" w:space="0"/>
              <w:bottom w:val="single" w:color="auto" w:sz="8" w:space="0"/>
              <w:right w:val="single" w:color="auto" w:sz="12" w:space="0"/>
            </w:tcBorders>
            <w:vAlign w:val="center"/>
          </w:tcPr>
          <w:p>
            <w:pPr>
              <w:autoSpaceDE w:val="0"/>
              <w:autoSpaceDN w:val="0"/>
              <w:ind w:left="737" w:hanging="374"/>
              <w:rPr>
                <w:rFonts w:ascii="宋体" w:hAnsi="Times New Roman" w:eastAsia="Times New Roman"/>
                <w:kern w:val="0"/>
                <w:sz w:val="18"/>
                <w:szCs w:val="18"/>
              </w:rPr>
            </w:pPr>
            <w:r>
              <w:rPr>
                <w:rFonts w:ascii="Times New Roman" w:hAnsi="Times New Roman" w:eastAsia="Times New Roman"/>
                <w:kern w:val="0"/>
                <w:sz w:val="18"/>
                <w:szCs w:val="18"/>
              </w:rPr>
              <w:t>填表说明：为及时掌握标准实施情况，了解地方标准实施过程中存在的问题，并为标准复审提供科学依据，特制定《湖北省地方标准实施信息及意见反馈表》。可根据实际情况在表格中对应方框打勾，有需要文字说明的反馈意见可在相应位置进行文字描述，也可另附页。</w:t>
            </w:r>
          </w:p>
        </w:tc>
      </w:tr>
    </w:tbl>
    <w:p>
      <w:pPr>
        <w:pStyle w:val="58"/>
        <w:ind w:firstLine="420"/>
        <w:sectPr>
          <w:headerReference r:id="rId59" w:type="default"/>
          <w:footerReference r:id="rId61" w:type="default"/>
          <w:headerReference r:id="rId60" w:type="even"/>
          <w:footerReference r:id="rId62" w:type="even"/>
          <w:pgSz w:w="11906" w:h="16838"/>
          <w:pgMar w:top="1928" w:right="1134" w:bottom="1134" w:left="1134" w:header="1418" w:footer="1134" w:gutter="284"/>
          <w:cols w:space="425" w:num="1"/>
          <w:formProt w:val="0"/>
          <w:docGrid w:type="lines" w:linePitch="312" w:charSpace="0"/>
        </w:sectPr>
      </w:pPr>
    </w:p>
    <w:p>
      <w:pPr>
        <w:widowControl/>
        <w:shd w:val="clear" w:color="FFFFFF" w:fill="FFFFFF"/>
        <w:tabs>
          <w:tab w:val="left" w:pos="6406"/>
        </w:tabs>
        <w:adjustRightInd/>
        <w:spacing w:before="560" w:after="156" w:afterLines="50" w:line="240" w:lineRule="auto"/>
        <w:jc w:val="center"/>
        <w:outlineLvl w:val="0"/>
        <w:rPr>
          <w:rStyle w:val="31"/>
        </w:rPr>
      </w:pPr>
      <w:bookmarkStart w:id="608" w:name="_Toc237015230"/>
      <w:r>
        <w:rPr>
          <w:rFonts w:ascii="黑体" w:hAnsi="Times New Roman" w:eastAsia="黑体"/>
          <w:kern w:val="0"/>
          <w:szCs w:val="20"/>
        </w:rPr>
        <w:t>本</w:t>
      </w:r>
      <w:r>
        <w:rPr>
          <w:rFonts w:hint="eastAsia" w:ascii="黑体" w:hAnsi="Times New Roman" w:eastAsia="黑体"/>
          <w:kern w:val="0"/>
          <w:szCs w:val="20"/>
        </w:rPr>
        <w:t>文件</w:t>
      </w:r>
      <w:r>
        <w:rPr>
          <w:rFonts w:ascii="黑体" w:hAnsi="Times New Roman" w:eastAsia="黑体"/>
          <w:kern w:val="0"/>
          <w:szCs w:val="20"/>
        </w:rPr>
        <w:t>用词说明</w:t>
      </w:r>
      <w:bookmarkEnd w:id="608"/>
    </w:p>
    <w:p>
      <w:pPr>
        <w:pStyle w:val="213"/>
        <w:numPr>
          <w:ilvl w:val="0"/>
          <w:numId w:val="0"/>
        </w:numPr>
      </w:pPr>
      <w:r>
        <w:t>1.</w:t>
      </w:r>
      <w:r>
        <w:rPr>
          <w:rFonts w:hint="eastAsia"/>
        </w:rPr>
        <w:t xml:space="preserve"> </w:t>
      </w:r>
      <w:r>
        <w:t>为便于在执行本规程条文时区别对待，对要求严格程度不同的用词说明如下：</w:t>
      </w:r>
    </w:p>
    <w:p>
      <w:pPr>
        <w:pStyle w:val="176"/>
        <w:numPr>
          <w:ilvl w:val="0"/>
          <w:numId w:val="122"/>
        </w:numPr>
      </w:pPr>
      <w:r>
        <w:t>表示很严格，给这样做不可的用词：正面词采用“必须”，反面词采用“严禁”；</w:t>
      </w:r>
    </w:p>
    <w:p>
      <w:pPr>
        <w:pStyle w:val="176"/>
        <w:numPr>
          <w:ilvl w:val="0"/>
          <w:numId w:val="122"/>
        </w:numPr>
      </w:pPr>
      <w:r>
        <w:t>表示严格，在正常情况下均应这样做的用词：正面词采用“应”，反面词采用“不应”或“不得”；</w:t>
      </w:r>
    </w:p>
    <w:p>
      <w:pPr>
        <w:pStyle w:val="176"/>
        <w:numPr>
          <w:ilvl w:val="0"/>
          <w:numId w:val="122"/>
        </w:numPr>
      </w:pPr>
      <w:r>
        <w:t>表示允许稍有选择，在条件允许时，首先应这样做的用词：正面词采用“宜”，反面词采用“不宜”</w:t>
      </w:r>
      <w:r>
        <w:rPr>
          <w:rFonts w:hint="eastAsia"/>
        </w:rPr>
        <w:t>；</w:t>
      </w:r>
    </w:p>
    <w:p>
      <w:pPr>
        <w:pStyle w:val="176"/>
        <w:numPr>
          <w:ilvl w:val="0"/>
          <w:numId w:val="122"/>
        </w:numPr>
      </w:pPr>
      <w:r>
        <w:t>表示有选择，在一定条件下可以这样做的，采用“可”。</w:t>
      </w:r>
    </w:p>
    <w:p>
      <w:pPr>
        <w:pStyle w:val="213"/>
        <w:numPr>
          <w:ilvl w:val="0"/>
          <w:numId w:val="0"/>
        </w:numPr>
      </w:pPr>
      <w:r>
        <w:t>2.</w:t>
      </w:r>
      <w:r>
        <w:rPr>
          <w:rFonts w:hint="eastAsia"/>
        </w:rPr>
        <w:t xml:space="preserve"> </w:t>
      </w:r>
      <w:r>
        <w:t>条文中必须按指定的标准、规范或其它有关规定执行的写法为“应按……执行”或“应符合……规定”。</w:t>
      </w:r>
    </w:p>
    <w:p>
      <w:pPr>
        <w:pStyle w:val="213"/>
        <w:numPr>
          <w:ilvl w:val="0"/>
          <w:numId w:val="0"/>
        </w:numPr>
      </w:pPr>
      <w:r>
        <w:t>3.</w:t>
      </w:r>
      <w:r>
        <w:rPr>
          <w:rFonts w:hint="eastAsia"/>
        </w:rPr>
        <w:t xml:space="preserve"> </w:t>
      </w:r>
      <w:r>
        <w:t>本</w:t>
      </w:r>
      <w:r>
        <w:rPr>
          <w:rFonts w:hint="eastAsia"/>
        </w:rPr>
        <w:t>文件</w:t>
      </w:r>
      <w:r>
        <w:t>中“以上”、“不超过”、“不大于”，包括本数；“以下”、“超过”、“不小于”，不包括本数。</w:t>
      </w:r>
    </w:p>
    <w:p>
      <w:pPr>
        <w:pStyle w:val="58"/>
        <w:ind w:firstLine="420"/>
      </w:pPr>
    </w:p>
    <w:p>
      <w:pPr>
        <w:pStyle w:val="58"/>
        <w:ind w:firstLine="420"/>
      </w:pPr>
    </w:p>
    <w:p>
      <w:pPr>
        <w:pStyle w:val="58"/>
        <w:ind w:firstLine="420"/>
      </w:pPr>
    </w:p>
    <w:p>
      <w:pPr>
        <w:pStyle w:val="58"/>
        <w:ind w:firstLine="420"/>
      </w:pPr>
    </w:p>
    <w:bookmarkEnd w:id="518"/>
    <w:p>
      <w:pPr>
        <w:pStyle w:val="58"/>
        <w:ind w:firstLine="420"/>
        <w:sectPr>
          <w:headerReference r:id="rId63" w:type="default"/>
          <w:footerReference r:id="rId65" w:type="default"/>
          <w:headerReference r:id="rId64" w:type="even"/>
          <w:footerReference r:id="rId66" w:type="even"/>
          <w:pgSz w:w="11906" w:h="16838"/>
          <w:pgMar w:top="1928" w:right="1134" w:bottom="1134" w:left="1134" w:header="1418" w:footer="1134" w:gutter="284"/>
          <w:cols w:space="425" w:num="1"/>
          <w:formProt w:val="0"/>
          <w:docGrid w:type="lines" w:linePitch="312" w:charSpace="0"/>
        </w:sectPr>
      </w:pPr>
      <w:bookmarkStart w:id="609" w:name="BookMark6"/>
    </w:p>
    <w:p>
      <w:pPr>
        <w:pStyle w:val="65"/>
        <w:spacing w:after="156"/>
      </w:pPr>
      <w:bookmarkStart w:id="610" w:name="_Toc237470377"/>
      <w:bookmarkStart w:id="611" w:name="_Toc237470962"/>
      <w:r>
        <w:rPr>
          <w:rFonts w:hint="eastAsia"/>
          <w:spacing w:val="105"/>
        </w:rPr>
        <w:t>参考文</w:t>
      </w:r>
      <w:r>
        <w:rPr>
          <w:rFonts w:hint="eastAsia"/>
        </w:rPr>
        <w:t>献</w:t>
      </w:r>
      <w:bookmarkEnd w:id="610"/>
      <w:bookmarkEnd w:id="611"/>
    </w:p>
    <w:p>
      <w:pPr>
        <w:widowControl/>
        <w:adjustRightInd/>
        <w:spacing w:line="240" w:lineRule="auto"/>
        <w:ind w:firstLine="420"/>
        <w:jc w:val="left"/>
        <w:rPr>
          <w:rFonts w:ascii="宋体" w:hAnsi="宋体" w:cs="宋体"/>
          <w:kern w:val="0"/>
        </w:rPr>
      </w:pPr>
      <w:r>
        <w:rPr>
          <w:rFonts w:ascii="宋体" w:hAnsi="宋体" w:cs="宋体"/>
          <w:kern w:val="0"/>
        </w:rPr>
        <w:t>[1]  GB/T 17278-2009  数字地形图产品基本要求</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[2]  GB/T 18316-2008  数字测绘成果质量检查与验收</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[3]  GB/T 42547-2023  地籍调查规程</w:t>
      </w:r>
    </w:p>
    <w:p>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[4]  GB 50096-2011  住宅设计规范</w:t>
      </w:r>
    </w:p>
    <w:p>
      <w:pPr>
        <w:widowControl/>
        <w:adjustRightInd/>
        <w:spacing w:line="240" w:lineRule="auto"/>
        <w:ind w:firstLine="420"/>
        <w:jc w:val="left"/>
        <w:rPr>
          <w:rFonts w:ascii="宋体" w:hAnsi="宋体" w:cs="宋体"/>
          <w:kern w:val="0"/>
        </w:rPr>
      </w:pPr>
      <w:r>
        <w:rPr>
          <w:rFonts w:hint="eastAsia" w:ascii="宋体" w:hAnsi="宋体" w:cs="宋体"/>
          <w:kern w:val="0"/>
        </w:rPr>
        <w:t xml:space="preserve">[5]  </w:t>
      </w:r>
      <w:r>
        <w:rPr>
          <w:rFonts w:ascii="宋体" w:hAnsi="宋体" w:cs="宋体"/>
          <w:kern w:val="0"/>
        </w:rPr>
        <w:t>GB 55031-2022  民用建筑通用规范</w:t>
      </w:r>
    </w:p>
    <w:p>
      <w:pPr>
        <w:widowControl/>
        <w:adjustRightInd/>
        <w:spacing w:line="240" w:lineRule="auto"/>
        <w:ind w:firstLine="420"/>
        <w:jc w:val="left"/>
        <w:rPr>
          <w:rFonts w:ascii="宋体" w:hAnsi="宋体" w:cs="宋体"/>
          <w:kern w:val="0"/>
        </w:rPr>
      </w:pPr>
      <w:r>
        <w:rPr>
          <w:rFonts w:hint="eastAsia" w:ascii="宋体" w:hAnsi="宋体" w:cs="宋体"/>
          <w:kern w:val="0"/>
        </w:rPr>
        <w:t xml:space="preserve">[6]  </w:t>
      </w:r>
      <w:r>
        <w:rPr>
          <w:rFonts w:ascii="宋体" w:hAnsi="宋体" w:cs="宋体"/>
          <w:kern w:val="0"/>
        </w:rPr>
        <w:t>CH/T 3005-2021  低空数字航空摄影规范</w:t>
      </w:r>
    </w:p>
    <w:p>
      <w:pPr>
        <w:widowControl/>
        <w:adjustRightInd/>
        <w:spacing w:line="240" w:lineRule="auto"/>
        <w:ind w:firstLine="420"/>
        <w:jc w:val="left"/>
        <w:rPr>
          <w:rFonts w:hint="eastAsia" w:ascii="宋体" w:hAnsi="宋体" w:cs="宋体"/>
          <w:kern w:val="0"/>
        </w:rPr>
      </w:pPr>
      <w:r>
        <w:rPr>
          <w:rFonts w:hint="eastAsia" w:ascii="宋体" w:hAnsi="宋体" w:cs="宋体"/>
          <w:kern w:val="0"/>
        </w:rPr>
        <w:t xml:space="preserve">[7]  </w:t>
      </w:r>
      <w:r>
        <w:rPr>
          <w:rFonts w:ascii="宋体" w:hAnsi="宋体" w:cs="宋体"/>
          <w:kern w:val="0"/>
        </w:rPr>
        <w:t>TD/T 1095-2024  不动产登记规程</w:t>
      </w:r>
    </w:p>
    <w:p>
      <w:pPr>
        <w:widowControl/>
        <w:adjustRightInd/>
        <w:spacing w:line="240" w:lineRule="auto"/>
        <w:ind w:firstLine="420"/>
        <w:jc w:val="left"/>
        <w:rPr>
          <w:rFonts w:hint="eastAsia" w:ascii="宋体" w:hAnsi="宋体" w:cs="宋体"/>
          <w:kern w:val="0"/>
        </w:rPr>
      </w:pPr>
      <w:r>
        <w:rPr>
          <w:rFonts w:ascii="宋体" w:hAnsi="宋体" w:cs="宋体"/>
          <w:kern w:val="0"/>
        </w:rPr>
        <w:t>[</w:t>
      </w:r>
      <w:r>
        <w:rPr>
          <w:rFonts w:hint="eastAsia" w:ascii="宋体" w:hAnsi="宋体" w:cs="宋体"/>
          <w:kern w:val="0"/>
        </w:rPr>
        <w:t xml:space="preserve">8]  </w:t>
      </w:r>
      <w:r>
        <w:rPr>
          <w:rFonts w:ascii="宋体" w:hAnsi="宋体" w:cs="宋体"/>
          <w:kern w:val="0"/>
        </w:rPr>
        <w:t>南京市住房保障和房产局.《关于印发&lt;南京市房产面积测算规程&gt;的通知》（宁房字〔2017〕189号）.</w:t>
      </w:r>
    </w:p>
    <w:p>
      <w:pPr>
        <w:widowControl/>
        <w:adjustRightInd/>
        <w:spacing w:line="240" w:lineRule="auto"/>
        <w:ind w:firstLine="420"/>
        <w:jc w:val="left"/>
        <w:rPr>
          <w:rFonts w:hint="eastAsia" w:ascii="宋体" w:hAnsi="宋体" w:cs="宋体"/>
          <w:kern w:val="0"/>
        </w:rPr>
      </w:pPr>
      <w:r>
        <w:rPr>
          <w:rFonts w:ascii="宋体" w:hAnsi="宋体" w:cs="宋体"/>
          <w:kern w:val="0"/>
        </w:rPr>
        <w:t>[</w:t>
      </w:r>
      <w:r>
        <w:rPr>
          <w:rFonts w:hint="eastAsia" w:ascii="宋体" w:hAnsi="宋体" w:cs="宋体"/>
          <w:kern w:val="0"/>
        </w:rPr>
        <w:t xml:space="preserve">9]  </w:t>
      </w:r>
      <w:r>
        <w:rPr>
          <w:rFonts w:ascii="宋体" w:hAnsi="宋体" w:cs="宋体"/>
          <w:kern w:val="0"/>
        </w:rPr>
        <w:t>自然资源部.《不动产登记暂行条例实施细则》.2024年5月9日.</w:t>
      </w:r>
    </w:p>
    <w:p>
      <w:pPr>
        <w:widowControl/>
        <w:adjustRightInd/>
        <w:spacing w:line="240" w:lineRule="auto"/>
        <w:ind w:firstLine="420"/>
        <w:jc w:val="left"/>
        <w:rPr>
          <w:rFonts w:hint="eastAsia" w:ascii="宋体" w:hAnsi="宋体" w:cs="宋体"/>
          <w:kern w:val="0"/>
        </w:rPr>
      </w:pPr>
      <w:r>
        <w:rPr>
          <w:rFonts w:ascii="宋体" w:hAnsi="宋体" w:cs="宋体"/>
          <w:kern w:val="0"/>
        </w:rPr>
        <w:t>[</w:t>
      </w:r>
      <w:r>
        <w:rPr>
          <w:rFonts w:hint="eastAsia" w:ascii="宋体" w:hAnsi="宋体" w:cs="宋体"/>
          <w:kern w:val="0"/>
        </w:rPr>
        <w:t xml:space="preserve">10]  </w:t>
      </w:r>
      <w:r>
        <w:rPr>
          <w:rFonts w:ascii="宋体" w:hAnsi="宋体" w:cs="宋体"/>
          <w:kern w:val="0"/>
        </w:rPr>
        <w:t>自然资源部.《自然资源部关于停止提供1954年北京坐标系和1980西安坐标系基础测绘成果的公告》（2018年第55号）.</w:t>
      </w:r>
    </w:p>
    <w:bookmarkEnd w:id="609"/>
    <w:p>
      <w:pPr>
        <w:pStyle w:val="58"/>
        <w:ind w:firstLine="0" w:firstLineChars="0"/>
        <w:jc w:val="center"/>
      </w:pPr>
      <w:bookmarkStart w:id="612" w:name="BookMark8"/>
      <w:r>
        <w:drawing>
          <wp:inline distT="0" distB="0" distL="0" distR="0">
            <wp:extent cx="1485900" cy="317500"/>
            <wp:effectExtent l="0" t="0" r="0" b="6350"/>
            <wp:docPr id="2111501349" name="图片 3"/>
            <wp:cNvGraphicFramePr/>
            <a:graphic xmlns:a="http://schemas.openxmlformats.org/drawingml/2006/main">
              <a:graphicData uri="http://schemas.openxmlformats.org/drawingml/2006/picture">
                <pic:pic xmlns:pic="http://schemas.openxmlformats.org/drawingml/2006/picture">
                  <pic:nvPicPr>
                    <pic:cNvPr id="2111501349" name="图片 3"/>
                    <pic:cNvPicPr/>
                  </pic:nvPicPr>
                  <pic:blipFill>
                    <a:blip r:embed="rId132">
                      <a:extLst>
                        <a:ext uri="{28A0092B-C50C-407E-A947-70E740481C1C}">
                          <a14:useLocalDpi xmlns:a14="http://schemas.microsoft.com/office/drawing/2010/main" val="false"/>
                        </a:ext>
                      </a:extLst>
                    </a:blip>
                    <a:stretch>
                      <a:fillRect/>
                    </a:stretch>
                  </pic:blipFill>
                  <pic:spPr>
                    <a:xfrm>
                      <a:off x="0" y="0"/>
                      <a:ext cx="1485900" cy="317500"/>
                    </a:xfrm>
                    <a:prstGeom prst="rect">
                      <a:avLst/>
                    </a:prstGeom>
                  </pic:spPr>
                </pic:pic>
              </a:graphicData>
            </a:graphic>
          </wp:inline>
        </w:drawing>
      </w:r>
      <w:bookmarkEnd w:id="612"/>
    </w:p>
    <w:sectPr>
      <w:headerReference r:id="rId67" w:type="default"/>
      <w:footerReference r:id="rId69" w:type="default"/>
      <w:headerReference r:id="rId68" w:type="even"/>
      <w:footerReference r:id="rId70" w:type="even"/>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等线">
    <w:altName w:val="汉仪中宋简"/>
    <w:panose1 w:val="02010600030101010101"/>
    <w:charset w:val="86"/>
    <w:family w:val="auto"/>
    <w:pitch w:val="default"/>
    <w:sig w:usb0="00000000" w:usb1="00000000" w:usb2="00000016" w:usb3="00000000" w:csb0="0004000F" w:csb1="00000000"/>
  </w:font>
  <w:font w:name="等线 Light">
    <w:altName w:val="汉仪中宋简"/>
    <w:panose1 w:val="02010600030101010101"/>
    <w:charset w:val="86"/>
    <w:family w:val="auto"/>
    <w:pitch w:val="default"/>
    <w:sig w:usb0="00000000" w:usb1="00000000" w:usb2="00000016" w:usb3="00000000" w:csb0="0004000F" w:csb1="00000000"/>
  </w:font>
  <w:font w:name="Cambria Math">
    <w:altName w:val="DejaVu Math TeX Gyre"/>
    <w:panose1 w:val="02040503050406030204"/>
    <w:charset w:val="00"/>
    <w:family w:val="roman"/>
    <w:pitch w:val="default"/>
    <w:sig w:usb0="00000000" w:usb1="00000000" w:usb2="02000000" w:usb3="00000000" w:csb0="0000019F"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75</w:t>
    </w:r>
    <w: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81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III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fldChar w:fldCharType="begin"/>
    </w:r>
    <w:r>
      <w:instrText xml:space="preserve"> PAGE   \* MERGEFORMAT \* MERGEFORMAT </w:instrText>
    </w:r>
    <w:r>
      <w:fldChar w:fldCharType="separate"/>
    </w:r>
    <w: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DB42/T XXXX—XXXX</w:t>
    </w:r>
    <w:r>
      <w:rPr>
        <w:rFonts w:hint="eastAsia"/>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w:instrText>
    </w:r>
    <w:r>
      <w:instrText xml:space="preserve">STYLEREF  标准文件_文件编号 \* MERGEFORMAT</w:instrText>
    </w:r>
    <w:r>
      <w:rPr>
        <w:rFonts w:hint="eastAsia"/>
      </w:rPr>
      <w:instrText xml:space="preserve"> </w:instrText>
    </w:r>
    <w:r>
      <w:rPr>
        <w:rFonts w:hint="eastAsia"/>
      </w:rPr>
      <w:fldChar w:fldCharType="separate"/>
    </w:r>
    <w:r>
      <w:rPr>
        <w:rFonts w:hint="eastAsia"/>
      </w:rPr>
      <w:t>DB42/T XXXX—XXXX</w:t>
    </w:r>
    <w:r>
      <w:rPr>
        <w:rFonts w:hint="eastAsi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w:instrText>
    </w:r>
    <w:r>
      <w:instrText xml:space="preserve">STYLEREF  标准文件_文件编号 \* MERGEFORMAT</w:instrText>
    </w:r>
    <w:r>
      <w:rPr>
        <w:rFonts w:hint="eastAsia"/>
      </w:rPr>
      <w:instrText xml:space="preserve"> </w:instrText>
    </w:r>
    <w:r>
      <w:rPr>
        <w:rFonts w:hint="eastAsia"/>
      </w:rPr>
      <w:fldChar w:fldCharType="separate"/>
    </w:r>
    <w:r>
      <w:rPr>
        <w:rFonts w:hint="eastAsia"/>
      </w:rPr>
      <w:t>DB42/T XXXX—XXXX</w:t>
    </w:r>
    <w:r>
      <w:rPr>
        <w:rFonts w:hint="eastAsi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Fonts w:hint="eastAsia"/>
      </w:rPr>
    </w:pPr>
    <w:r>
      <w:fldChar w:fldCharType="begin"/>
    </w:r>
    <w:r>
      <w:instrText xml:space="preserve"> STYLEREF  标准文件_文件编号  \* MERGEFORMAT </w:instrText>
    </w:r>
    <w:r>
      <w:fldChar w:fldCharType="separate"/>
    </w:r>
    <w:r>
      <w:rPr>
        <w:rFonts w:hint="eastAsia"/>
      </w:rPr>
      <w:t>DB42/T 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fldChar w:fldCharType="begin"/>
    </w:r>
    <w:r>
      <w:rPr>
        <w:rFonts w:hint="eastAsia"/>
      </w:rPr>
      <w:instrText xml:space="preserve"> </w:instrText>
    </w:r>
    <w:r>
      <w:instrText xml:space="preserve">STYLEREF  标准文件_文件编号 \* MERGEFORMAT</w:instrText>
    </w:r>
    <w:r>
      <w:rPr>
        <w:rFonts w:hint="eastAsia"/>
      </w:rPr>
      <w:instrText xml:space="preserve"> </w:instrText>
    </w:r>
    <w:r>
      <w:rPr>
        <w:rFonts w:hint="eastAsia"/>
      </w:rPr>
      <w:fldChar w:fldCharType="separate"/>
    </w:r>
    <w:r>
      <w:rPr>
        <w:rFonts w:hint="eastAsia"/>
      </w:rPr>
      <w:t>DB42/T XXXX—XXXX</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B9607"/>
    <w:multiLevelType w:val="multilevel"/>
    <w:tmpl w:val="866B9607"/>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1">
    <w:nsid w:val="AC807A45"/>
    <w:multiLevelType w:val="multilevel"/>
    <w:tmpl w:val="AC807A45"/>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2">
    <w:nsid w:val="BD6E88AE"/>
    <w:multiLevelType w:val="multilevel"/>
    <w:tmpl w:val="BD6E88AE"/>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3">
    <w:nsid w:val="C27777B5"/>
    <w:multiLevelType w:val="multilevel"/>
    <w:tmpl w:val="C27777B5"/>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4">
    <w:nsid w:val="C411A476"/>
    <w:multiLevelType w:val="multilevel"/>
    <w:tmpl w:val="C411A476"/>
    <w:lvl w:ilvl="0" w:tentative="0">
      <w:start w:val="1"/>
      <w:numFmt w:val="lowerLetter"/>
      <w:lvlText w:val="%1)"/>
      <w:lvlJc w:val="left"/>
      <w:pPr>
        <w:tabs>
          <w:tab w:val="left" w:pos="851"/>
        </w:tabs>
        <w:ind w:left="851" w:hanging="426"/>
      </w:pPr>
      <w:rPr>
        <w:rFonts w:hint="default"/>
        <w:color w:val="auto"/>
        <w:sz w:val="21"/>
      </w:rPr>
    </w:lvl>
    <w:lvl w:ilvl="1" w:tentative="0">
      <w:start w:val="1"/>
      <w:numFmt w:val="decimal"/>
      <w:lvlText w:val="%2)"/>
      <w:lvlJc w:val="left"/>
      <w:pPr>
        <w:tabs>
          <w:tab w:val="left" w:pos="851"/>
        </w:tabs>
        <w:ind w:left="1265"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6">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7">
    <w:nsid w:val="048B0B29"/>
    <w:multiLevelType w:val="multilevel"/>
    <w:tmpl w:val="048B0B29"/>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8">
    <w:nsid w:val="07823135"/>
    <w:multiLevelType w:val="multilevel"/>
    <w:tmpl w:val="07823135"/>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9">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0">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2">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4">
    <w:nsid w:val="0F1D76C3"/>
    <w:multiLevelType w:val="multilevel"/>
    <w:tmpl w:val="0F1D76C3"/>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15">
    <w:nsid w:val="0F833E69"/>
    <w:multiLevelType w:val="multilevel"/>
    <w:tmpl w:val="0F833E69"/>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16">
    <w:nsid w:val="11DB324D"/>
    <w:multiLevelType w:val="multilevel"/>
    <w:tmpl w:val="11DB324D"/>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17">
    <w:nsid w:val="13240328"/>
    <w:multiLevelType w:val="multilevel"/>
    <w:tmpl w:val="13240328"/>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18">
    <w:nsid w:val="16D816F6"/>
    <w:multiLevelType w:val="multilevel"/>
    <w:tmpl w:val="16D816F6"/>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19">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1">
    <w:nsid w:val="1C8E21FA"/>
    <w:multiLevelType w:val="multilevel"/>
    <w:tmpl w:val="1C8E21FA"/>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22">
    <w:nsid w:val="1DC71C91"/>
    <w:multiLevelType w:val="multilevel"/>
    <w:tmpl w:val="1DC71C91"/>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23">
    <w:nsid w:val="1DFA4124"/>
    <w:multiLevelType w:val="multilevel"/>
    <w:tmpl w:val="1DFA4124"/>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24">
    <w:nsid w:val="1E9E45FC"/>
    <w:multiLevelType w:val="multilevel"/>
    <w:tmpl w:val="1E9E45FC"/>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25">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26">
    <w:nsid w:val="258C21D7"/>
    <w:multiLevelType w:val="multilevel"/>
    <w:tmpl w:val="258C21D7"/>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27">
    <w:nsid w:val="25EA2C35"/>
    <w:multiLevelType w:val="multilevel"/>
    <w:tmpl w:val="25EA2C35"/>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28">
    <w:nsid w:val="27F2239E"/>
    <w:multiLevelType w:val="multilevel"/>
    <w:tmpl w:val="27F2239E"/>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29">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30">
    <w:nsid w:val="30A9EAD3"/>
    <w:multiLevelType w:val="multilevel"/>
    <w:tmpl w:val="30A9EAD3"/>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31">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2">
    <w:nsid w:val="33B865C0"/>
    <w:multiLevelType w:val="multilevel"/>
    <w:tmpl w:val="33B865C0"/>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33">
    <w:nsid w:val="353886D9"/>
    <w:multiLevelType w:val="multilevel"/>
    <w:tmpl w:val="353886D9"/>
    <w:lvl w:ilvl="0" w:tentative="0">
      <w:start w:val="1"/>
      <w:numFmt w:val="lowerLetter"/>
      <w:lvlText w:val="%1)"/>
      <w:lvlJc w:val="left"/>
      <w:pPr>
        <w:tabs>
          <w:tab w:val="left" w:pos="851"/>
        </w:tabs>
        <w:ind w:left="851" w:hanging="426"/>
      </w:pPr>
      <w:rPr>
        <w:rFonts w:hint="default"/>
        <w:color w:val="auto"/>
        <w:sz w:val="21"/>
      </w:rPr>
    </w:lvl>
    <w:lvl w:ilvl="1" w:tentative="0">
      <w:start w:val="1"/>
      <w:numFmt w:val="decimal"/>
      <w:lvlText w:val="%2)"/>
      <w:lvlJc w:val="left"/>
      <w:pPr>
        <w:tabs>
          <w:tab w:val="left" w:pos="851"/>
        </w:tabs>
        <w:ind w:left="1265"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4">
    <w:nsid w:val="35DF98B8"/>
    <w:multiLevelType w:val="multilevel"/>
    <w:tmpl w:val="35DF98B8"/>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35">
    <w:nsid w:val="3B2F299F"/>
    <w:multiLevelType w:val="multilevel"/>
    <w:tmpl w:val="3B2F299F"/>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36">
    <w:nsid w:val="410C247B"/>
    <w:multiLevelType w:val="multilevel"/>
    <w:tmpl w:val="410C247B"/>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37">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8">
    <w:nsid w:val="4526054A"/>
    <w:multiLevelType w:val="multilevel"/>
    <w:tmpl w:val="4526054A"/>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39">
    <w:nsid w:val="47BC35E4"/>
    <w:multiLevelType w:val="multilevel"/>
    <w:tmpl w:val="47BC35E4"/>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40">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1">
    <w:nsid w:val="48A51B5B"/>
    <w:multiLevelType w:val="multilevel"/>
    <w:tmpl w:val="48A51B5B"/>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42">
    <w:nsid w:val="4A6E2788"/>
    <w:multiLevelType w:val="multilevel"/>
    <w:tmpl w:val="4A6E2788"/>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43">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4">
    <w:nsid w:val="4C8E17A2"/>
    <w:multiLevelType w:val="multilevel"/>
    <w:tmpl w:val="4C8E17A2"/>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45">
    <w:nsid w:val="4D447779"/>
    <w:multiLevelType w:val="multilevel"/>
    <w:tmpl w:val="4D447779"/>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46">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47">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48">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49">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0">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1">
    <w:nsid w:val="58476E52"/>
    <w:multiLevelType w:val="multilevel"/>
    <w:tmpl w:val="58476E52"/>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52">
    <w:nsid w:val="5DCE779E"/>
    <w:multiLevelType w:val="multilevel"/>
    <w:tmpl w:val="5DCE779E"/>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53">
    <w:nsid w:val="5DE61AE8"/>
    <w:multiLevelType w:val="multilevel"/>
    <w:tmpl w:val="5DE61AE8"/>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54">
    <w:nsid w:val="61F250A7"/>
    <w:multiLevelType w:val="multilevel"/>
    <w:tmpl w:val="61F250A7"/>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55">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56">
    <w:nsid w:val="646260FA"/>
    <w:multiLevelType w:val="multilevel"/>
    <w:tmpl w:val="646260FA"/>
    <w:lvl w:ilvl="0" w:tentative="0">
      <w:start w:val="1"/>
      <w:numFmt w:val="decimal"/>
      <w:pStyle w:val="114"/>
      <w:suff w:val="nothing"/>
      <w:lvlText w:val="表%1　"/>
      <w:lvlJc w:val="left"/>
      <w:pPr>
        <w:ind w:left="0" w:firstLine="0"/>
      </w:pPr>
      <w:rPr>
        <w:sz w:val="21"/>
        <w:szCs w:val="21"/>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7">
    <w:nsid w:val="64862A55"/>
    <w:multiLevelType w:val="multilevel"/>
    <w:tmpl w:val="64862A55"/>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58">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59">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0">
    <w:nsid w:val="66F76672"/>
    <w:multiLevelType w:val="multilevel"/>
    <w:tmpl w:val="66F76672"/>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61">
    <w:nsid w:val="67D689ED"/>
    <w:multiLevelType w:val="multilevel"/>
    <w:tmpl w:val="67D689ED"/>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62">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63">
    <w:nsid w:val="699A17C4"/>
    <w:multiLevelType w:val="multilevel"/>
    <w:tmpl w:val="699A17C4"/>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64">
    <w:nsid w:val="6AAC1F08"/>
    <w:multiLevelType w:val="multilevel"/>
    <w:tmpl w:val="6AAC1F08"/>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65">
    <w:nsid w:val="6C8B5383"/>
    <w:multiLevelType w:val="multilevel"/>
    <w:tmpl w:val="6C8B5383"/>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66">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7">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7"/>
      <w:suff w:val="nothing"/>
      <w:lvlText w:val="%1%2.%3.%4　"/>
      <w:lvlJc w:val="left"/>
      <w:pPr>
        <w:ind w:left="0" w:firstLine="0"/>
      </w:pPr>
      <w:rPr>
        <w:rFonts w:hint="eastAsia" w:ascii="黑体" w:eastAsia="黑体"/>
        <w:b w:val="0"/>
        <w:i w:val="0"/>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9">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70">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71">
    <w:nsid w:val="744C5DB5"/>
    <w:multiLevelType w:val="multilevel"/>
    <w:tmpl w:val="744C5DB5"/>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72">
    <w:nsid w:val="75DE0830"/>
    <w:multiLevelType w:val="multilevel"/>
    <w:tmpl w:val="75DE0830"/>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73">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4">
    <w:nsid w:val="76CD7277"/>
    <w:multiLevelType w:val="multilevel"/>
    <w:tmpl w:val="76CD7277"/>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75">
    <w:nsid w:val="79DF246A"/>
    <w:multiLevelType w:val="multilevel"/>
    <w:tmpl w:val="79DF246A"/>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76">
    <w:nsid w:val="7E152D15"/>
    <w:multiLevelType w:val="multilevel"/>
    <w:tmpl w:val="7E152D15"/>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abstractNum w:abstractNumId="77">
    <w:nsid w:val="7E182E01"/>
    <w:multiLevelType w:val="multilevel"/>
    <w:tmpl w:val="7E182E01"/>
    <w:lvl w:ilvl="0" w:tentative="0">
      <w:start w:val="1"/>
      <w:numFmt w:val="lowerLetter"/>
      <w:lvlText w:val="%1)"/>
      <w:lvlJc w:val="left"/>
      <w:pPr>
        <w:tabs>
          <w:tab w:val="left" w:pos="839"/>
        </w:tabs>
        <w:ind w:left="839" w:hanging="419"/>
      </w:pPr>
      <w:rPr>
        <w:rFonts w:hint="eastAsia" w:ascii="宋体" w:hAnsi="宋体" w:eastAsia="宋体"/>
        <w:b w:val="0"/>
        <w:bCs w:val="0"/>
        <w:i w:val="0"/>
        <w:iCs w:val="0"/>
        <w:sz w:val="20"/>
        <w:szCs w:val="20"/>
      </w:rPr>
    </w:lvl>
    <w:lvl w:ilvl="1" w:tentative="0">
      <w:start w:val="1"/>
      <w:numFmt w:val="decimal"/>
      <w:lvlText w:val="%2)"/>
      <w:lvlJc w:val="left"/>
      <w:pPr>
        <w:tabs>
          <w:tab w:val="left" w:pos="1259"/>
        </w:tabs>
        <w:ind w:left="1259" w:hanging="420"/>
      </w:pPr>
      <w:rPr>
        <w:rFonts w:hint="eastAsia" w:ascii="宋体" w:hAnsi="宋体" w:eastAsia="宋体"/>
        <w:b w:val="0"/>
        <w:bCs w:val="0"/>
        <w:i w:val="0"/>
        <w:iCs w:val="0"/>
        <w:sz w:val="20"/>
        <w:szCs w:val="20"/>
      </w:rPr>
    </w:lvl>
    <w:lvl w:ilvl="2" w:tentative="0">
      <w:start w:val="1"/>
      <w:numFmt w:val="decimal"/>
      <w:lvlText w:val="(%3)"/>
      <w:lvlJc w:val="left"/>
      <w:pPr>
        <w:tabs>
          <w:tab w:val="left" w:pos="0"/>
        </w:tabs>
        <w:ind w:left="1678" w:hanging="419"/>
      </w:pPr>
      <w:rPr>
        <w:rFonts w:hint="eastAsia" w:ascii="宋体" w:hAnsi="宋体" w:eastAsia="宋体"/>
        <w:b w:val="0"/>
        <w:bCs w:val="0"/>
        <w:i w:val="0"/>
        <w:iCs w:val="0"/>
        <w:sz w:val="20"/>
        <w:szCs w:val="20"/>
      </w:rPr>
    </w:lvl>
    <w:lvl w:ilvl="3" w:tentative="0">
      <w:start w:val="1"/>
      <w:numFmt w:val="decimal"/>
      <w:lvlText w:val="%4."/>
      <w:lvlJc w:val="left"/>
      <w:pPr>
        <w:tabs>
          <w:tab w:val="left" w:pos="2098"/>
        </w:tabs>
        <w:ind w:left="2098" w:hanging="420"/>
      </w:pPr>
      <w:rPr>
        <w:rFonts w:hint="eastAsia" w:ascii="宋体" w:hAnsi="宋体" w:eastAsia="宋体"/>
      </w:rPr>
    </w:lvl>
    <w:lvl w:ilvl="4" w:tentative="0">
      <w:start w:val="1"/>
      <w:numFmt w:val="lowerLetter"/>
      <w:lvlText w:val="%5)"/>
      <w:lvlJc w:val="left"/>
      <w:pPr>
        <w:tabs>
          <w:tab w:val="left" w:pos="2517"/>
        </w:tabs>
        <w:ind w:left="2517" w:hanging="419"/>
      </w:pPr>
      <w:rPr>
        <w:rFonts w:hint="eastAsia" w:ascii="宋体" w:hAnsi="宋体" w:eastAsia="宋体"/>
      </w:rPr>
    </w:lvl>
    <w:lvl w:ilvl="5" w:tentative="0">
      <w:start w:val="1"/>
      <w:numFmt w:val="lowerRoman"/>
      <w:lvlText w:val="%6."/>
      <w:lvlJc w:val="right"/>
      <w:pPr>
        <w:tabs>
          <w:tab w:val="left" w:pos="2942"/>
        </w:tabs>
        <w:ind w:left="2937" w:hanging="420"/>
      </w:pPr>
      <w:rPr>
        <w:rFonts w:hint="eastAsia" w:ascii="宋体" w:hAnsi="宋体" w:eastAsia="宋体"/>
      </w:rPr>
    </w:lvl>
    <w:lvl w:ilvl="6" w:tentative="0">
      <w:start w:val="1"/>
      <w:numFmt w:val="decimal"/>
      <w:lvlText w:val="%7."/>
      <w:lvlJc w:val="left"/>
      <w:pPr>
        <w:tabs>
          <w:tab w:val="left" w:pos="3362"/>
        </w:tabs>
        <w:ind w:left="3356" w:hanging="414"/>
      </w:pPr>
      <w:rPr>
        <w:rFonts w:hint="eastAsia" w:ascii="宋体" w:hAnsi="宋体" w:eastAsia="宋体"/>
      </w:rPr>
    </w:lvl>
    <w:lvl w:ilvl="7" w:tentative="0">
      <w:start w:val="1"/>
      <w:numFmt w:val="lowerLetter"/>
      <w:lvlText w:val="%8)"/>
      <w:lvlJc w:val="left"/>
      <w:pPr>
        <w:tabs>
          <w:tab w:val="left" w:pos="3781"/>
        </w:tabs>
        <w:ind w:left="3776" w:hanging="414"/>
      </w:pPr>
      <w:rPr>
        <w:rFonts w:hint="eastAsia" w:ascii="宋体" w:hAnsi="宋体" w:eastAsia="宋体"/>
      </w:rPr>
    </w:lvl>
    <w:lvl w:ilvl="8" w:tentative="0">
      <w:start w:val="1"/>
      <w:numFmt w:val="lowerRoman"/>
      <w:lvlText w:val="%9."/>
      <w:lvlJc w:val="right"/>
      <w:pPr>
        <w:tabs>
          <w:tab w:val="left" w:pos="4201"/>
        </w:tabs>
        <w:ind w:left="4201" w:hanging="420"/>
      </w:pPr>
      <w:rPr>
        <w:rFonts w:hint="eastAsia" w:ascii="宋体" w:hAnsi="宋体" w:eastAsia="宋体"/>
      </w:rPr>
    </w:lvl>
  </w:abstractNum>
  <w:num w:numId="1">
    <w:abstractNumId w:val="5"/>
  </w:num>
  <w:num w:numId="2">
    <w:abstractNumId w:val="68"/>
  </w:num>
  <w:num w:numId="3">
    <w:abstractNumId w:val="12"/>
  </w:num>
  <w:num w:numId="4">
    <w:abstractNumId w:val="59"/>
  </w:num>
  <w:num w:numId="5">
    <w:abstractNumId w:val="49"/>
  </w:num>
  <w:num w:numId="6">
    <w:abstractNumId w:val="40"/>
  </w:num>
  <w:num w:numId="7">
    <w:abstractNumId w:val="20"/>
  </w:num>
  <w:num w:numId="8">
    <w:abstractNumId w:val="10"/>
  </w:num>
  <w:num w:numId="9">
    <w:abstractNumId w:val="25"/>
  </w:num>
  <w:num w:numId="10">
    <w:abstractNumId w:val="47"/>
  </w:num>
  <w:num w:numId="11">
    <w:abstractNumId w:val="66"/>
  </w:num>
  <w:num w:numId="12">
    <w:abstractNumId w:val="31"/>
  </w:num>
  <w:num w:numId="13">
    <w:abstractNumId w:val="37"/>
  </w:num>
  <w:num w:numId="14">
    <w:abstractNumId w:val="19"/>
  </w:num>
  <w:num w:numId="15">
    <w:abstractNumId w:val="50"/>
  </w:num>
  <w:num w:numId="16">
    <w:abstractNumId w:val="56"/>
  </w:num>
  <w:num w:numId="17">
    <w:abstractNumId w:val="48"/>
  </w:num>
  <w:num w:numId="18">
    <w:abstractNumId w:val="70"/>
  </w:num>
  <w:num w:numId="19">
    <w:abstractNumId w:val="46"/>
  </w:num>
  <w:num w:numId="20">
    <w:abstractNumId w:val="6"/>
  </w:num>
  <w:num w:numId="21">
    <w:abstractNumId w:val="29"/>
  </w:num>
  <w:num w:numId="22">
    <w:abstractNumId w:val="73"/>
  </w:num>
  <w:num w:numId="23">
    <w:abstractNumId w:val="55"/>
  </w:num>
  <w:num w:numId="24">
    <w:abstractNumId w:val="13"/>
  </w:num>
  <w:num w:numId="25">
    <w:abstractNumId w:val="67"/>
  </w:num>
  <w:num w:numId="26">
    <w:abstractNumId w:val="69"/>
  </w:num>
  <w:num w:numId="27">
    <w:abstractNumId w:val="9"/>
  </w:num>
  <w:num w:numId="28">
    <w:abstractNumId w:val="11"/>
  </w:num>
  <w:num w:numId="29">
    <w:abstractNumId w:val="43"/>
  </w:num>
  <w:num w:numId="30">
    <w:abstractNumId w:val="62"/>
  </w:num>
  <w:num w:numId="31">
    <w:abstractNumId w:val="58"/>
  </w:num>
  <w:num w:numId="32">
    <w:abstractNumId w:val="33"/>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
  </w:num>
  <w:num w:numId="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0"/>
  </w:num>
  <w:num w:numId="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7"/>
  </w:num>
  <w:num w:numId="8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
  </w:num>
  <w:num w:numId="10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num>
  <w:num w:numId="1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0"/>
  </w:num>
  <w:num w:numId="107">
    <w:abstractNumId w:val="34"/>
  </w:num>
  <w:num w:numId="108">
    <w:abstractNumId w:val="61"/>
  </w:num>
  <w:num w:numId="10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attachedTemplate r:id="rId1"/>
  <w:documentProtection w:edit="forms" w:enforcement="0"/>
  <w:defaultTabStop w:val="420"/>
  <w:evenAndOddHeaders w:val="true"/>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342"/>
    <w:rsid w:val="0000040A"/>
    <w:rsid w:val="0000071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0B17"/>
    <w:rsid w:val="000331D3"/>
    <w:rsid w:val="000346A5"/>
    <w:rsid w:val="000359C3"/>
    <w:rsid w:val="00035A7D"/>
    <w:rsid w:val="000365ED"/>
    <w:rsid w:val="0004249A"/>
    <w:rsid w:val="00043282"/>
    <w:rsid w:val="00044286"/>
    <w:rsid w:val="00046F72"/>
    <w:rsid w:val="00047F28"/>
    <w:rsid w:val="000503AA"/>
    <w:rsid w:val="000506A1"/>
    <w:rsid w:val="000515DD"/>
    <w:rsid w:val="0005265A"/>
    <w:rsid w:val="000539DD"/>
    <w:rsid w:val="00053BD3"/>
    <w:rsid w:val="000556ED"/>
    <w:rsid w:val="00055FE2"/>
    <w:rsid w:val="0005616F"/>
    <w:rsid w:val="000577CE"/>
    <w:rsid w:val="00060C2E"/>
    <w:rsid w:val="00061033"/>
    <w:rsid w:val="000619E9"/>
    <w:rsid w:val="000622D4"/>
    <w:rsid w:val="0006357D"/>
    <w:rsid w:val="00066AB3"/>
    <w:rsid w:val="00067C9F"/>
    <w:rsid w:val="00067F1E"/>
    <w:rsid w:val="00070F92"/>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44DA"/>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6F6D"/>
    <w:rsid w:val="000D753B"/>
    <w:rsid w:val="000E22B3"/>
    <w:rsid w:val="000E4C9E"/>
    <w:rsid w:val="000E6FD7"/>
    <w:rsid w:val="000F06E1"/>
    <w:rsid w:val="000F0E3C"/>
    <w:rsid w:val="000F19D5"/>
    <w:rsid w:val="000F393F"/>
    <w:rsid w:val="000F4AEA"/>
    <w:rsid w:val="000F633F"/>
    <w:rsid w:val="000F67E9"/>
    <w:rsid w:val="001000C7"/>
    <w:rsid w:val="00104926"/>
    <w:rsid w:val="001053CF"/>
    <w:rsid w:val="00113B1E"/>
    <w:rsid w:val="0011711C"/>
    <w:rsid w:val="0012059C"/>
    <w:rsid w:val="001213D6"/>
    <w:rsid w:val="00124E4F"/>
    <w:rsid w:val="001260B7"/>
    <w:rsid w:val="001265CB"/>
    <w:rsid w:val="001321C6"/>
    <w:rsid w:val="001325C4"/>
    <w:rsid w:val="00133010"/>
    <w:rsid w:val="001338EE"/>
    <w:rsid w:val="00133AAE"/>
    <w:rsid w:val="00135323"/>
    <w:rsid w:val="001356C4"/>
    <w:rsid w:val="00137337"/>
    <w:rsid w:val="00141114"/>
    <w:rsid w:val="00142969"/>
    <w:rsid w:val="001446C2"/>
    <w:rsid w:val="001457E7"/>
    <w:rsid w:val="00145D9D"/>
    <w:rsid w:val="00146388"/>
    <w:rsid w:val="00151161"/>
    <w:rsid w:val="0015225F"/>
    <w:rsid w:val="001529E5"/>
    <w:rsid w:val="00153C7E"/>
    <w:rsid w:val="00156B25"/>
    <w:rsid w:val="00156E1A"/>
    <w:rsid w:val="00157894"/>
    <w:rsid w:val="00157B55"/>
    <w:rsid w:val="001600A4"/>
    <w:rsid w:val="001642FA"/>
    <w:rsid w:val="001649EB"/>
    <w:rsid w:val="00164BAF"/>
    <w:rsid w:val="00164FA8"/>
    <w:rsid w:val="00165065"/>
    <w:rsid w:val="00165434"/>
    <w:rsid w:val="0016580B"/>
    <w:rsid w:val="00165F49"/>
    <w:rsid w:val="00166B88"/>
    <w:rsid w:val="00166CA3"/>
    <w:rsid w:val="001672D2"/>
    <w:rsid w:val="0016770A"/>
    <w:rsid w:val="00170804"/>
    <w:rsid w:val="001708E9"/>
    <w:rsid w:val="0017340B"/>
    <w:rsid w:val="00173FB1"/>
    <w:rsid w:val="00176DFD"/>
    <w:rsid w:val="0018206A"/>
    <w:rsid w:val="001823EE"/>
    <w:rsid w:val="00182B3A"/>
    <w:rsid w:val="00184727"/>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8C9"/>
    <w:rsid w:val="001C2C03"/>
    <w:rsid w:val="001C42F7"/>
    <w:rsid w:val="001C49E5"/>
    <w:rsid w:val="001C639F"/>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2E5"/>
    <w:rsid w:val="001F69B4"/>
    <w:rsid w:val="001F73C0"/>
    <w:rsid w:val="001F77C7"/>
    <w:rsid w:val="00200183"/>
    <w:rsid w:val="00200333"/>
    <w:rsid w:val="0020107D"/>
    <w:rsid w:val="00202AA4"/>
    <w:rsid w:val="002031F7"/>
    <w:rsid w:val="002040E6"/>
    <w:rsid w:val="0020527B"/>
    <w:rsid w:val="00205F2C"/>
    <w:rsid w:val="00206B07"/>
    <w:rsid w:val="00210B15"/>
    <w:rsid w:val="002121C0"/>
    <w:rsid w:val="002142EA"/>
    <w:rsid w:val="002204BB"/>
    <w:rsid w:val="00221B79"/>
    <w:rsid w:val="00221C6B"/>
    <w:rsid w:val="002253A1"/>
    <w:rsid w:val="00225CF8"/>
    <w:rsid w:val="002261DE"/>
    <w:rsid w:val="002273EC"/>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4EEF"/>
    <w:rsid w:val="00266EEB"/>
    <w:rsid w:val="00267EF4"/>
    <w:rsid w:val="00270CB8"/>
    <w:rsid w:val="00272B08"/>
    <w:rsid w:val="002771AC"/>
    <w:rsid w:val="00281BB8"/>
    <w:rsid w:val="00281E9E"/>
    <w:rsid w:val="00282405"/>
    <w:rsid w:val="00282A46"/>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6844"/>
    <w:rsid w:val="002A757F"/>
    <w:rsid w:val="002A7CCE"/>
    <w:rsid w:val="002A7F44"/>
    <w:rsid w:val="002B0C40"/>
    <w:rsid w:val="002B12E8"/>
    <w:rsid w:val="002B1966"/>
    <w:rsid w:val="002B4508"/>
    <w:rsid w:val="002B5779"/>
    <w:rsid w:val="002B7332"/>
    <w:rsid w:val="002B7F51"/>
    <w:rsid w:val="002C09E7"/>
    <w:rsid w:val="002C1E06"/>
    <w:rsid w:val="002C1E1C"/>
    <w:rsid w:val="002C3F07"/>
    <w:rsid w:val="002C5278"/>
    <w:rsid w:val="002C6E0D"/>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260F"/>
    <w:rsid w:val="00313B85"/>
    <w:rsid w:val="00317988"/>
    <w:rsid w:val="003221B4"/>
    <w:rsid w:val="0032258D"/>
    <w:rsid w:val="00322E62"/>
    <w:rsid w:val="00324D13"/>
    <w:rsid w:val="00324D2A"/>
    <w:rsid w:val="00324EDD"/>
    <w:rsid w:val="003331E4"/>
    <w:rsid w:val="00336C64"/>
    <w:rsid w:val="00337162"/>
    <w:rsid w:val="00340584"/>
    <w:rsid w:val="0034194F"/>
    <w:rsid w:val="00344024"/>
    <w:rsid w:val="00344605"/>
    <w:rsid w:val="003474AA"/>
    <w:rsid w:val="00350D1D"/>
    <w:rsid w:val="00352C83"/>
    <w:rsid w:val="00353F2F"/>
    <w:rsid w:val="003615D2"/>
    <w:rsid w:val="0036429C"/>
    <w:rsid w:val="00364A53"/>
    <w:rsid w:val="003654CB"/>
    <w:rsid w:val="00365AA9"/>
    <w:rsid w:val="00365F86"/>
    <w:rsid w:val="00365F87"/>
    <w:rsid w:val="00366E89"/>
    <w:rsid w:val="003705F4"/>
    <w:rsid w:val="00370D58"/>
    <w:rsid w:val="00371316"/>
    <w:rsid w:val="0037612D"/>
    <w:rsid w:val="00376713"/>
    <w:rsid w:val="00377192"/>
    <w:rsid w:val="00377E2E"/>
    <w:rsid w:val="003803A6"/>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652"/>
    <w:rsid w:val="003D0FF6"/>
    <w:rsid w:val="003D262C"/>
    <w:rsid w:val="003D6D61"/>
    <w:rsid w:val="003D79C6"/>
    <w:rsid w:val="003E091D"/>
    <w:rsid w:val="003E1C53"/>
    <w:rsid w:val="003E2A69"/>
    <w:rsid w:val="003E2D49"/>
    <w:rsid w:val="003E2FD4"/>
    <w:rsid w:val="003E49F6"/>
    <w:rsid w:val="003E660F"/>
    <w:rsid w:val="003F0841"/>
    <w:rsid w:val="003F0E0E"/>
    <w:rsid w:val="003F23D3"/>
    <w:rsid w:val="003F3F08"/>
    <w:rsid w:val="003F49F1"/>
    <w:rsid w:val="003F6272"/>
    <w:rsid w:val="00400D5B"/>
    <w:rsid w:val="00400E72"/>
    <w:rsid w:val="00401400"/>
    <w:rsid w:val="00404869"/>
    <w:rsid w:val="00405884"/>
    <w:rsid w:val="00407D39"/>
    <w:rsid w:val="00411322"/>
    <w:rsid w:val="00411477"/>
    <w:rsid w:val="00412D96"/>
    <w:rsid w:val="0041477A"/>
    <w:rsid w:val="004167A3"/>
    <w:rsid w:val="004205E7"/>
    <w:rsid w:val="0043008A"/>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106"/>
    <w:rsid w:val="0047583F"/>
    <w:rsid w:val="00475DE8"/>
    <w:rsid w:val="004760DB"/>
    <w:rsid w:val="00481C44"/>
    <w:rsid w:val="00484936"/>
    <w:rsid w:val="00485C89"/>
    <w:rsid w:val="00486BE3"/>
    <w:rsid w:val="004905E4"/>
    <w:rsid w:val="00490A89"/>
    <w:rsid w:val="00490AB4"/>
    <w:rsid w:val="00492F02"/>
    <w:rsid w:val="004939AE"/>
    <w:rsid w:val="004A12DF"/>
    <w:rsid w:val="004A17E6"/>
    <w:rsid w:val="004A1BA8"/>
    <w:rsid w:val="004A4B57"/>
    <w:rsid w:val="004A4E90"/>
    <w:rsid w:val="004A63FA"/>
    <w:rsid w:val="004B0272"/>
    <w:rsid w:val="004B2701"/>
    <w:rsid w:val="004B2E1B"/>
    <w:rsid w:val="004B3AA8"/>
    <w:rsid w:val="004B3E93"/>
    <w:rsid w:val="004B6234"/>
    <w:rsid w:val="004C0B4E"/>
    <w:rsid w:val="004C0CD7"/>
    <w:rsid w:val="004C1FBC"/>
    <w:rsid w:val="004C3F1D"/>
    <w:rsid w:val="004C458D"/>
    <w:rsid w:val="004C7556"/>
    <w:rsid w:val="004C7E8B"/>
    <w:rsid w:val="004C7E9D"/>
    <w:rsid w:val="004C7F67"/>
    <w:rsid w:val="004D076D"/>
    <w:rsid w:val="004D0EF1"/>
    <w:rsid w:val="004D2253"/>
    <w:rsid w:val="004D4406"/>
    <w:rsid w:val="004D59C2"/>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17328"/>
    <w:rsid w:val="00520E1F"/>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5072"/>
    <w:rsid w:val="00596160"/>
    <w:rsid w:val="005966E2"/>
    <w:rsid w:val="00597007"/>
    <w:rsid w:val="005A0966"/>
    <w:rsid w:val="005A11B7"/>
    <w:rsid w:val="005A22EF"/>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1A"/>
    <w:rsid w:val="005D6A95"/>
    <w:rsid w:val="005D6B2C"/>
    <w:rsid w:val="005D6D9C"/>
    <w:rsid w:val="005E2335"/>
    <w:rsid w:val="005E34CA"/>
    <w:rsid w:val="005E3C18"/>
    <w:rsid w:val="005E6812"/>
    <w:rsid w:val="005E7881"/>
    <w:rsid w:val="005E78E0"/>
    <w:rsid w:val="005F0D9C"/>
    <w:rsid w:val="005F284E"/>
    <w:rsid w:val="005F4712"/>
    <w:rsid w:val="006015CE"/>
    <w:rsid w:val="00601E7F"/>
    <w:rsid w:val="00604784"/>
    <w:rsid w:val="00606419"/>
    <w:rsid w:val="00607D29"/>
    <w:rsid w:val="00610078"/>
    <w:rsid w:val="00612340"/>
    <w:rsid w:val="00612952"/>
    <w:rsid w:val="00613669"/>
    <w:rsid w:val="00614CC1"/>
    <w:rsid w:val="00615A9D"/>
    <w:rsid w:val="00617387"/>
    <w:rsid w:val="006205D6"/>
    <w:rsid w:val="0062396B"/>
    <w:rsid w:val="00623F0F"/>
    <w:rsid w:val="006252D8"/>
    <w:rsid w:val="006259BC"/>
    <w:rsid w:val="0062636B"/>
    <w:rsid w:val="00627150"/>
    <w:rsid w:val="00632182"/>
    <w:rsid w:val="00632AE0"/>
    <w:rsid w:val="00633C17"/>
    <w:rsid w:val="00634D9E"/>
    <w:rsid w:val="00636E3E"/>
    <w:rsid w:val="006379F7"/>
    <w:rsid w:val="00637E4D"/>
    <w:rsid w:val="00640620"/>
    <w:rsid w:val="00641A1F"/>
    <w:rsid w:val="00645904"/>
    <w:rsid w:val="006474E1"/>
    <w:rsid w:val="00651ACB"/>
    <w:rsid w:val="00651C47"/>
    <w:rsid w:val="00652AB2"/>
    <w:rsid w:val="00653FED"/>
    <w:rsid w:val="00654EC0"/>
    <w:rsid w:val="0065525B"/>
    <w:rsid w:val="00655D4F"/>
    <w:rsid w:val="00656D29"/>
    <w:rsid w:val="006640E5"/>
    <w:rsid w:val="006646F1"/>
    <w:rsid w:val="00664929"/>
    <w:rsid w:val="00664F62"/>
    <w:rsid w:val="006651AF"/>
    <w:rsid w:val="006655E1"/>
    <w:rsid w:val="00672060"/>
    <w:rsid w:val="00672BFD"/>
    <w:rsid w:val="006770F4"/>
    <w:rsid w:val="00677A84"/>
    <w:rsid w:val="0068026D"/>
    <w:rsid w:val="00680A27"/>
    <w:rsid w:val="006816A4"/>
    <w:rsid w:val="006819B8"/>
    <w:rsid w:val="006840A6"/>
    <w:rsid w:val="0068442A"/>
    <w:rsid w:val="006850CD"/>
    <w:rsid w:val="00685AAB"/>
    <w:rsid w:val="00695D22"/>
    <w:rsid w:val="006A07AA"/>
    <w:rsid w:val="006A25E5"/>
    <w:rsid w:val="006A2B46"/>
    <w:rsid w:val="006A336D"/>
    <w:rsid w:val="006A37B9"/>
    <w:rsid w:val="006B2672"/>
    <w:rsid w:val="006B35C3"/>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6F7F51"/>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303"/>
    <w:rsid w:val="00756B26"/>
    <w:rsid w:val="00756EDF"/>
    <w:rsid w:val="007600E3"/>
    <w:rsid w:val="00765C43"/>
    <w:rsid w:val="00765EFB"/>
    <w:rsid w:val="007671CA"/>
    <w:rsid w:val="00767C61"/>
    <w:rsid w:val="0077008A"/>
    <w:rsid w:val="00773C1F"/>
    <w:rsid w:val="00774DA4"/>
    <w:rsid w:val="00776599"/>
    <w:rsid w:val="00776D77"/>
    <w:rsid w:val="0078114B"/>
    <w:rsid w:val="00781DD2"/>
    <w:rsid w:val="00783ECF"/>
    <w:rsid w:val="0078413A"/>
    <w:rsid w:val="007959E8"/>
    <w:rsid w:val="00795E9C"/>
    <w:rsid w:val="007A0521"/>
    <w:rsid w:val="007A2E12"/>
    <w:rsid w:val="007A3475"/>
    <w:rsid w:val="007A3918"/>
    <w:rsid w:val="007A41C8"/>
    <w:rsid w:val="007A54CE"/>
    <w:rsid w:val="007A6FD9"/>
    <w:rsid w:val="007A7FFA"/>
    <w:rsid w:val="007B0357"/>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C27"/>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779"/>
    <w:rsid w:val="008209E6"/>
    <w:rsid w:val="00823303"/>
    <w:rsid w:val="008233B2"/>
    <w:rsid w:val="00823A9F"/>
    <w:rsid w:val="00823C85"/>
    <w:rsid w:val="00825138"/>
    <w:rsid w:val="008269DD"/>
    <w:rsid w:val="00830621"/>
    <w:rsid w:val="0083348C"/>
    <w:rsid w:val="00834973"/>
    <w:rsid w:val="008373D3"/>
    <w:rsid w:val="00840617"/>
    <w:rsid w:val="00840F84"/>
    <w:rsid w:val="00842A47"/>
    <w:rsid w:val="00843C13"/>
    <w:rsid w:val="008451AD"/>
    <w:rsid w:val="008454F8"/>
    <w:rsid w:val="0085173A"/>
    <w:rsid w:val="00853A21"/>
    <w:rsid w:val="00856316"/>
    <w:rsid w:val="008603CE"/>
    <w:rsid w:val="008612D6"/>
    <w:rsid w:val="008620FC"/>
    <w:rsid w:val="008627A5"/>
    <w:rsid w:val="00863E05"/>
    <w:rsid w:val="00865ACA"/>
    <w:rsid w:val="00865D28"/>
    <w:rsid w:val="00865F85"/>
    <w:rsid w:val="00867C10"/>
    <w:rsid w:val="00870439"/>
    <w:rsid w:val="00870DA1"/>
    <w:rsid w:val="00882416"/>
    <w:rsid w:val="00883F93"/>
    <w:rsid w:val="00884DB3"/>
    <w:rsid w:val="00885A9D"/>
    <w:rsid w:val="008864F6"/>
    <w:rsid w:val="00887095"/>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6D68"/>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5157"/>
    <w:rsid w:val="008F70BD"/>
    <w:rsid w:val="008F788F"/>
    <w:rsid w:val="008F7EA2"/>
    <w:rsid w:val="00902722"/>
    <w:rsid w:val="009027BC"/>
    <w:rsid w:val="00905E9E"/>
    <w:rsid w:val="009062E6"/>
    <w:rsid w:val="00911BE5"/>
    <w:rsid w:val="00913CA9"/>
    <w:rsid w:val="009145AE"/>
    <w:rsid w:val="009146CE"/>
    <w:rsid w:val="00914CA7"/>
    <w:rsid w:val="00915C3E"/>
    <w:rsid w:val="009161A8"/>
    <w:rsid w:val="009245F5"/>
    <w:rsid w:val="009249EC"/>
    <w:rsid w:val="009273B3"/>
    <w:rsid w:val="009305B5"/>
    <w:rsid w:val="00937D9F"/>
    <w:rsid w:val="009417A6"/>
    <w:rsid w:val="009429D5"/>
    <w:rsid w:val="00942BF1"/>
    <w:rsid w:val="00945180"/>
    <w:rsid w:val="00945428"/>
    <w:rsid w:val="0094583E"/>
    <w:rsid w:val="0094607B"/>
    <w:rsid w:val="00953604"/>
    <w:rsid w:val="0095496B"/>
    <w:rsid w:val="009610DC"/>
    <w:rsid w:val="00961490"/>
    <w:rsid w:val="009619E9"/>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6B3"/>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4E0C"/>
    <w:rsid w:val="009D50D2"/>
    <w:rsid w:val="009D6BCA"/>
    <w:rsid w:val="009E0F62"/>
    <w:rsid w:val="009E4A58"/>
    <w:rsid w:val="009E5A2D"/>
    <w:rsid w:val="009E5AB2"/>
    <w:rsid w:val="009E6219"/>
    <w:rsid w:val="009F03B3"/>
    <w:rsid w:val="009F1EA8"/>
    <w:rsid w:val="009F45EC"/>
    <w:rsid w:val="00A0096C"/>
    <w:rsid w:val="00A01757"/>
    <w:rsid w:val="00A028C0"/>
    <w:rsid w:val="00A02BAE"/>
    <w:rsid w:val="00A03B61"/>
    <w:rsid w:val="00A04508"/>
    <w:rsid w:val="00A06A6B"/>
    <w:rsid w:val="00A07E47"/>
    <w:rsid w:val="00A129D0"/>
    <w:rsid w:val="00A12C33"/>
    <w:rsid w:val="00A138BA"/>
    <w:rsid w:val="00A14982"/>
    <w:rsid w:val="00A14C8E"/>
    <w:rsid w:val="00A153D9"/>
    <w:rsid w:val="00A15F09"/>
    <w:rsid w:val="00A169B6"/>
    <w:rsid w:val="00A2214F"/>
    <w:rsid w:val="00A2271D"/>
    <w:rsid w:val="00A237D5"/>
    <w:rsid w:val="00A274A6"/>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0EE9"/>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A7EA5"/>
    <w:rsid w:val="00AB41D5"/>
    <w:rsid w:val="00AB6309"/>
    <w:rsid w:val="00AB6C5F"/>
    <w:rsid w:val="00AB7129"/>
    <w:rsid w:val="00AC27A6"/>
    <w:rsid w:val="00AC30F7"/>
    <w:rsid w:val="00AC3A5A"/>
    <w:rsid w:val="00AC4D95"/>
    <w:rsid w:val="00AC5DF4"/>
    <w:rsid w:val="00AD0AEF"/>
    <w:rsid w:val="00AD11B7"/>
    <w:rsid w:val="00AD1342"/>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268D4"/>
    <w:rsid w:val="00B31FB1"/>
    <w:rsid w:val="00B33952"/>
    <w:rsid w:val="00B33C5E"/>
    <w:rsid w:val="00B3427A"/>
    <w:rsid w:val="00B342F4"/>
    <w:rsid w:val="00B34369"/>
    <w:rsid w:val="00B34DC2"/>
    <w:rsid w:val="00B378E5"/>
    <w:rsid w:val="00B4346D"/>
    <w:rsid w:val="00B440F4"/>
    <w:rsid w:val="00B447A5"/>
    <w:rsid w:val="00B4654C"/>
    <w:rsid w:val="00B46AF0"/>
    <w:rsid w:val="00B47293"/>
    <w:rsid w:val="00B501E5"/>
    <w:rsid w:val="00B50E50"/>
    <w:rsid w:val="00B52120"/>
    <w:rsid w:val="00B53D9A"/>
    <w:rsid w:val="00B54ABC"/>
    <w:rsid w:val="00B54DDE"/>
    <w:rsid w:val="00B56FBE"/>
    <w:rsid w:val="00B57C33"/>
    <w:rsid w:val="00B60ACF"/>
    <w:rsid w:val="00B62B58"/>
    <w:rsid w:val="00B65149"/>
    <w:rsid w:val="00B66567"/>
    <w:rsid w:val="00B66F52"/>
    <w:rsid w:val="00B66FE5"/>
    <w:rsid w:val="00B72880"/>
    <w:rsid w:val="00B746BC"/>
    <w:rsid w:val="00B74E37"/>
    <w:rsid w:val="00B758BF"/>
    <w:rsid w:val="00B77EC8"/>
    <w:rsid w:val="00B827A6"/>
    <w:rsid w:val="00B831CE"/>
    <w:rsid w:val="00B86677"/>
    <w:rsid w:val="00B87131"/>
    <w:rsid w:val="00B939B1"/>
    <w:rsid w:val="00B96D40"/>
    <w:rsid w:val="00B97386"/>
    <w:rsid w:val="00BA263B"/>
    <w:rsid w:val="00BA42B2"/>
    <w:rsid w:val="00BA4878"/>
    <w:rsid w:val="00BA58D4"/>
    <w:rsid w:val="00BA5B9E"/>
    <w:rsid w:val="00BA7C9A"/>
    <w:rsid w:val="00BB203B"/>
    <w:rsid w:val="00BB5F8F"/>
    <w:rsid w:val="00BB657A"/>
    <w:rsid w:val="00BC1A4E"/>
    <w:rsid w:val="00BC4790"/>
    <w:rsid w:val="00BC5DC7"/>
    <w:rsid w:val="00BC6B8B"/>
    <w:rsid w:val="00BC73D8"/>
    <w:rsid w:val="00BD268D"/>
    <w:rsid w:val="00BD52D7"/>
    <w:rsid w:val="00BD5AD2"/>
    <w:rsid w:val="00BE22F3"/>
    <w:rsid w:val="00BE5B52"/>
    <w:rsid w:val="00BE7B8D"/>
    <w:rsid w:val="00BF0407"/>
    <w:rsid w:val="00BF0993"/>
    <w:rsid w:val="00BF10A9"/>
    <w:rsid w:val="00BF1703"/>
    <w:rsid w:val="00BF231C"/>
    <w:rsid w:val="00BF51E5"/>
    <w:rsid w:val="00BF5ABD"/>
    <w:rsid w:val="00BF74A6"/>
    <w:rsid w:val="00BF7C5F"/>
    <w:rsid w:val="00C013AD"/>
    <w:rsid w:val="00C04904"/>
    <w:rsid w:val="00C056B3"/>
    <w:rsid w:val="00C103E5"/>
    <w:rsid w:val="00C13319"/>
    <w:rsid w:val="00C13EE9"/>
    <w:rsid w:val="00C159A8"/>
    <w:rsid w:val="00C21540"/>
    <w:rsid w:val="00C21906"/>
    <w:rsid w:val="00C21BFA"/>
    <w:rsid w:val="00C22148"/>
    <w:rsid w:val="00C24C8D"/>
    <w:rsid w:val="00C25FE2"/>
    <w:rsid w:val="00C26B53"/>
    <w:rsid w:val="00C279B2"/>
    <w:rsid w:val="00C33E50"/>
    <w:rsid w:val="00C34C20"/>
    <w:rsid w:val="00C35A3E"/>
    <w:rsid w:val="00C37DFC"/>
    <w:rsid w:val="00C42130"/>
    <w:rsid w:val="00C423A4"/>
    <w:rsid w:val="00C44BF5"/>
    <w:rsid w:val="00C50CF7"/>
    <w:rsid w:val="00C517ED"/>
    <w:rsid w:val="00C521D6"/>
    <w:rsid w:val="00C55232"/>
    <w:rsid w:val="00C553A4"/>
    <w:rsid w:val="00C55A06"/>
    <w:rsid w:val="00C55D03"/>
    <w:rsid w:val="00C601BC"/>
    <w:rsid w:val="00C60641"/>
    <w:rsid w:val="00C6329F"/>
    <w:rsid w:val="00C63340"/>
    <w:rsid w:val="00C643F9"/>
    <w:rsid w:val="00C64E95"/>
    <w:rsid w:val="00C701AF"/>
    <w:rsid w:val="00C71372"/>
    <w:rsid w:val="00C72410"/>
    <w:rsid w:val="00C7287F"/>
    <w:rsid w:val="00C76062"/>
    <w:rsid w:val="00C80982"/>
    <w:rsid w:val="00C80CB8"/>
    <w:rsid w:val="00C819F8"/>
    <w:rsid w:val="00C8237A"/>
    <w:rsid w:val="00C8248C"/>
    <w:rsid w:val="00C84E33"/>
    <w:rsid w:val="00C86D6F"/>
    <w:rsid w:val="00C905FC"/>
    <w:rsid w:val="00C92D03"/>
    <w:rsid w:val="00C9319C"/>
    <w:rsid w:val="00C9435D"/>
    <w:rsid w:val="00C94DF2"/>
    <w:rsid w:val="00C96741"/>
    <w:rsid w:val="00CA2D1B"/>
    <w:rsid w:val="00CA341B"/>
    <w:rsid w:val="00CA375D"/>
    <w:rsid w:val="00CA662A"/>
    <w:rsid w:val="00CA7AFD"/>
    <w:rsid w:val="00CA7C3C"/>
    <w:rsid w:val="00CB0189"/>
    <w:rsid w:val="00CB0BA2"/>
    <w:rsid w:val="00CB1A42"/>
    <w:rsid w:val="00CB1B0C"/>
    <w:rsid w:val="00CB2C0B"/>
    <w:rsid w:val="00CB517D"/>
    <w:rsid w:val="00CC038D"/>
    <w:rsid w:val="00CC08DB"/>
    <w:rsid w:val="00CC1A7F"/>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6886"/>
    <w:rsid w:val="00D20737"/>
    <w:rsid w:val="00D21E81"/>
    <w:rsid w:val="00D223DE"/>
    <w:rsid w:val="00D258B0"/>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55E27"/>
    <w:rsid w:val="00D66846"/>
    <w:rsid w:val="00D675FB"/>
    <w:rsid w:val="00D71F25"/>
    <w:rsid w:val="00D72A9C"/>
    <w:rsid w:val="00D77031"/>
    <w:rsid w:val="00D84941"/>
    <w:rsid w:val="00D84FA1"/>
    <w:rsid w:val="00D851F0"/>
    <w:rsid w:val="00D8607A"/>
    <w:rsid w:val="00D86DB7"/>
    <w:rsid w:val="00D926D0"/>
    <w:rsid w:val="00D93030"/>
    <w:rsid w:val="00D950E1"/>
    <w:rsid w:val="00D952A6"/>
    <w:rsid w:val="00D97F99"/>
    <w:rsid w:val="00DA016E"/>
    <w:rsid w:val="00DA1E08"/>
    <w:rsid w:val="00DA24F8"/>
    <w:rsid w:val="00DA28E8"/>
    <w:rsid w:val="00DA38D3"/>
    <w:rsid w:val="00DA3932"/>
    <w:rsid w:val="00DA3AFC"/>
    <w:rsid w:val="00DA5191"/>
    <w:rsid w:val="00DA64F8"/>
    <w:rsid w:val="00DA6C15"/>
    <w:rsid w:val="00DB0258"/>
    <w:rsid w:val="00DB38EE"/>
    <w:rsid w:val="00DB498B"/>
    <w:rsid w:val="00DB66BB"/>
    <w:rsid w:val="00DB66CA"/>
    <w:rsid w:val="00DB6BCA"/>
    <w:rsid w:val="00DB73F7"/>
    <w:rsid w:val="00DC02EC"/>
    <w:rsid w:val="00DC0321"/>
    <w:rsid w:val="00DC3067"/>
    <w:rsid w:val="00DC370B"/>
    <w:rsid w:val="00DC5B90"/>
    <w:rsid w:val="00DD00FF"/>
    <w:rsid w:val="00DD0619"/>
    <w:rsid w:val="00DD07FB"/>
    <w:rsid w:val="00DD25C6"/>
    <w:rsid w:val="00DD4FE5"/>
    <w:rsid w:val="00DD5102"/>
    <w:rsid w:val="00DD54B0"/>
    <w:rsid w:val="00DD57EE"/>
    <w:rsid w:val="00DD6BCC"/>
    <w:rsid w:val="00DE0A4B"/>
    <w:rsid w:val="00DE2410"/>
    <w:rsid w:val="00DE2939"/>
    <w:rsid w:val="00DE6E81"/>
    <w:rsid w:val="00DE703F"/>
    <w:rsid w:val="00DE7595"/>
    <w:rsid w:val="00DF1961"/>
    <w:rsid w:val="00DF1BB3"/>
    <w:rsid w:val="00DF44DE"/>
    <w:rsid w:val="00DF522A"/>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5721F"/>
    <w:rsid w:val="00E60C63"/>
    <w:rsid w:val="00E60EE3"/>
    <w:rsid w:val="00E62FF9"/>
    <w:rsid w:val="00E635D6"/>
    <w:rsid w:val="00E639BC"/>
    <w:rsid w:val="00E6410A"/>
    <w:rsid w:val="00E6649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0AC3"/>
    <w:rsid w:val="00E92CFC"/>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135B"/>
    <w:rsid w:val="00EC5359"/>
    <w:rsid w:val="00EC562A"/>
    <w:rsid w:val="00ED067A"/>
    <w:rsid w:val="00ED2B50"/>
    <w:rsid w:val="00ED4858"/>
    <w:rsid w:val="00EE0350"/>
    <w:rsid w:val="00EE0719"/>
    <w:rsid w:val="00EE0E80"/>
    <w:rsid w:val="00EE54A6"/>
    <w:rsid w:val="00EE613F"/>
    <w:rsid w:val="00EE664E"/>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601"/>
    <w:rsid w:val="00F25BB6"/>
    <w:rsid w:val="00F26B7E"/>
    <w:rsid w:val="00F27A3B"/>
    <w:rsid w:val="00F33817"/>
    <w:rsid w:val="00F35710"/>
    <w:rsid w:val="00F35E9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67AA5"/>
    <w:rsid w:val="00F71891"/>
    <w:rsid w:val="00F71E22"/>
    <w:rsid w:val="00F72142"/>
    <w:rsid w:val="00F723A0"/>
    <w:rsid w:val="00F72AE7"/>
    <w:rsid w:val="00F764B6"/>
    <w:rsid w:val="00F809C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239F"/>
    <w:rsid w:val="00FA4DAC"/>
    <w:rsid w:val="00FA662D"/>
    <w:rsid w:val="00FA73B1"/>
    <w:rsid w:val="00FB0CB9"/>
    <w:rsid w:val="00FB231D"/>
    <w:rsid w:val="00FB45F1"/>
    <w:rsid w:val="00FB4A72"/>
    <w:rsid w:val="00FB54E8"/>
    <w:rsid w:val="00FB7054"/>
    <w:rsid w:val="00FC17B7"/>
    <w:rsid w:val="00FC2CB7"/>
    <w:rsid w:val="00FC34D2"/>
    <w:rsid w:val="00FC39F2"/>
    <w:rsid w:val="00FC4090"/>
    <w:rsid w:val="00FC4698"/>
    <w:rsid w:val="00FC55B4"/>
    <w:rsid w:val="00FD00E6"/>
    <w:rsid w:val="00FD09A1"/>
    <w:rsid w:val="00FD2A7C"/>
    <w:rsid w:val="00FD59EB"/>
    <w:rsid w:val="00FD7299"/>
    <w:rsid w:val="00FE1FBE"/>
    <w:rsid w:val="00FE3901"/>
    <w:rsid w:val="00FE39D3"/>
    <w:rsid w:val="00FE4BCE"/>
    <w:rsid w:val="00FE54AE"/>
    <w:rsid w:val="00FE576A"/>
    <w:rsid w:val="00FE7E79"/>
    <w:rsid w:val="00FF2E45"/>
    <w:rsid w:val="00FF3E7D"/>
    <w:rsid w:val="00FF5B99"/>
    <w:rsid w:val="00FF730C"/>
    <w:rsid w:val="00FF73F4"/>
    <w:rsid w:val="00FF7CE4"/>
    <w:rsid w:val="00FF7E39"/>
    <w:rsid w:val="41B79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8"/>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toc 8"/>
    <w:basedOn w:val="1"/>
    <w:next w:val="1"/>
    <w:unhideWhenUsed/>
    <w:qFormat/>
    <w:uiPriority w:val="39"/>
    <w:pPr>
      <w:adjustRightInd/>
      <w:spacing w:after="160" w:line="278" w:lineRule="auto"/>
      <w:ind w:left="2940" w:leftChars="1400"/>
      <w:jc w:val="left"/>
    </w:pPr>
    <w:rPr>
      <w:rFonts w:asciiTheme="minorHAnsi" w:hAnsiTheme="minorHAnsi" w:eastAsiaTheme="minorEastAsia" w:cstheme="minorBidi"/>
      <w:sz w:val="22"/>
      <w:szCs w:val="24"/>
      <w14:ligatures w14:val="standardContextual"/>
    </w:rPr>
  </w:style>
  <w:style w:type="paragraph" w:styleId="17">
    <w:name w:val="Balloon Text"/>
    <w:basedOn w:val="1"/>
    <w:link w:val="47"/>
    <w:semiHidden/>
    <w:unhideWhenUsed/>
    <w:qFormat/>
    <w:uiPriority w:val="99"/>
    <w:rPr>
      <w:sz w:val="18"/>
      <w:szCs w:val="18"/>
    </w:rPr>
  </w:style>
  <w:style w:type="paragraph" w:styleId="18">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5"/>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oc 9"/>
    <w:basedOn w:val="1"/>
    <w:next w:val="1"/>
    <w:unhideWhenUsed/>
    <w:qFormat/>
    <w:uiPriority w:val="39"/>
    <w:pPr>
      <w:adjustRightInd/>
      <w:spacing w:after="160" w:line="278" w:lineRule="auto"/>
      <w:ind w:left="3360" w:leftChars="1600"/>
      <w:jc w:val="left"/>
    </w:pPr>
    <w:rPr>
      <w:rFonts w:asciiTheme="minorHAnsi" w:hAnsiTheme="minorHAnsi" w:eastAsiaTheme="minorEastAsia" w:cstheme="minorBidi"/>
      <w:sz w:val="22"/>
      <w:szCs w:val="24"/>
      <w14:ligatures w14:val="standardContextual"/>
    </w:rPr>
  </w:style>
  <w:style w:type="paragraph" w:styleId="27">
    <w:name w:val="Title"/>
    <w:basedOn w:val="1"/>
    <w:link w:val="50"/>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2"/>
    <w:qFormat/>
    <w:uiPriority w:val="0"/>
    <w:rPr>
      <w:b/>
      <w:bCs/>
      <w:kern w:val="44"/>
      <w:sz w:val="44"/>
      <w:szCs w:val="44"/>
    </w:r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标题 3 字符"/>
    <w:link w:val="4"/>
    <w:qFormat/>
    <w:uiPriority w:val="0"/>
    <w:rPr>
      <w:b/>
      <w:bCs/>
      <w:kern w:val="2"/>
      <w:sz w:val="32"/>
      <w:szCs w:val="32"/>
    </w:rPr>
  </w:style>
  <w:style w:type="character" w:customStyle="1" w:styleId="39">
    <w:name w:val="标题 4 字符"/>
    <w:link w:val="5"/>
    <w:qFormat/>
    <w:uiPriority w:val="0"/>
    <w:rPr>
      <w:rFonts w:ascii="Arial" w:hAnsi="Arial" w:eastAsia="黑体"/>
      <w:b/>
      <w:bCs/>
      <w:kern w:val="2"/>
      <w:sz w:val="28"/>
      <w:szCs w:val="28"/>
    </w:rPr>
  </w:style>
  <w:style w:type="character" w:customStyle="1" w:styleId="40">
    <w:name w:val="标题 5 字符"/>
    <w:link w:val="6"/>
    <w:qFormat/>
    <w:uiPriority w:val="0"/>
    <w:rPr>
      <w:b/>
      <w:bCs/>
      <w:kern w:val="2"/>
      <w:sz w:val="28"/>
      <w:szCs w:val="28"/>
    </w:rPr>
  </w:style>
  <w:style w:type="character" w:customStyle="1" w:styleId="41">
    <w:name w:val="标题 6 字符"/>
    <w:link w:val="7"/>
    <w:qFormat/>
    <w:uiPriority w:val="0"/>
    <w:rPr>
      <w:rFonts w:ascii="Arial" w:hAnsi="Arial" w:eastAsia="黑体"/>
      <w:b/>
      <w:bCs/>
      <w:kern w:val="2"/>
      <w:sz w:val="24"/>
      <w:szCs w:val="24"/>
    </w:rPr>
  </w:style>
  <w:style w:type="character" w:customStyle="1" w:styleId="42">
    <w:name w:val="标题 7 字符"/>
    <w:link w:val="8"/>
    <w:qFormat/>
    <w:uiPriority w:val="0"/>
    <w:rPr>
      <w:b/>
      <w:bCs/>
      <w:kern w:val="2"/>
      <w:sz w:val="24"/>
      <w:szCs w:val="24"/>
    </w:rPr>
  </w:style>
  <w:style w:type="character" w:customStyle="1" w:styleId="43">
    <w:name w:val="标题 8 字符"/>
    <w:link w:val="9"/>
    <w:qFormat/>
    <w:uiPriority w:val="0"/>
    <w:rPr>
      <w:rFonts w:ascii="Arial" w:hAnsi="Arial" w:eastAsia="黑体"/>
      <w:kern w:val="2"/>
      <w:sz w:val="24"/>
      <w:szCs w:val="24"/>
    </w:rPr>
  </w:style>
  <w:style w:type="character" w:customStyle="1" w:styleId="44">
    <w:name w:val="标题 9 字符"/>
    <w:link w:val="10"/>
    <w:qFormat/>
    <w:uiPriority w:val="0"/>
    <w:rPr>
      <w:rFonts w:ascii="Arial" w:hAnsi="Arial" w:eastAsia="黑体"/>
      <w:kern w:val="2"/>
      <w:sz w:val="21"/>
      <w:szCs w:val="21"/>
    </w:rPr>
  </w:style>
  <w:style w:type="character" w:customStyle="1" w:styleId="45">
    <w:name w:val="页眉 字符"/>
    <w:link w:val="19"/>
    <w:qFormat/>
    <w:uiPriority w:val="99"/>
    <w:rPr>
      <w:kern w:val="2"/>
      <w:sz w:val="18"/>
      <w:szCs w:val="18"/>
    </w:rPr>
  </w:style>
  <w:style w:type="character" w:customStyle="1" w:styleId="46">
    <w:name w:val="页脚 字符"/>
    <w:link w:val="18"/>
    <w:qFormat/>
    <w:uiPriority w:val="99"/>
    <w:rPr>
      <w:rFonts w:ascii="宋体"/>
      <w:kern w:val="2"/>
      <w:sz w:val="18"/>
      <w:szCs w:val="18"/>
    </w:rPr>
  </w:style>
  <w:style w:type="character" w:customStyle="1" w:styleId="47">
    <w:name w:val="批注框文本 字符"/>
    <w:link w:val="17"/>
    <w:semiHidden/>
    <w:qFormat/>
    <w:uiPriority w:val="99"/>
    <w:rPr>
      <w:kern w:val="2"/>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kern w:val="2"/>
      <w:sz w:val="21"/>
      <w:szCs w:val="21"/>
    </w:rPr>
  </w:style>
  <w:style w:type="character" w:customStyle="1" w:styleId="50">
    <w:name w:val="标题 字符"/>
    <w:link w:val="27"/>
    <w:qFormat/>
    <w:uiPriority w:val="0"/>
    <w:rPr>
      <w:rFonts w:ascii="Arial" w:hAnsi="Arial" w:cs="Arial"/>
      <w:b/>
      <w:bCs/>
      <w:kern w:val="2"/>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3"/>
    <w:qFormat/>
    <w:uiPriority w:val="0"/>
    <w:rPr>
      <w:kern w:val="2"/>
      <w:sz w:val="21"/>
      <w:szCs w:val="21"/>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ind w:left="0" w:firstLine="0"/>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pPr>
  </w:style>
  <w:style w:type="paragraph" w:customStyle="1" w:styleId="96">
    <w:name w:val="标准文件_三级条标题"/>
    <w:basedOn w:val="67"/>
    <w:next w:val="58"/>
    <w:qFormat/>
    <w:uiPriority w:val="0"/>
    <w:pPr>
      <w:widowControl/>
      <w:numPr>
        <w:ilvl w:val="4"/>
      </w:numPr>
      <w:outlineLvl w:val="3"/>
    </w:pPr>
  </w:style>
  <w:style w:type="character" w:customStyle="1" w:styleId="97">
    <w:name w:val="Subtle Reference"/>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2"/>
    <w:semiHidden/>
    <w:qFormat/>
    <w:uiPriority w:val="0"/>
    <w:rPr>
      <w:rFonts w:ascii="宋体"/>
      <w:kern w:val="2"/>
      <w:sz w:val="18"/>
      <w:szCs w:val="18"/>
    </w:rPr>
  </w:style>
  <w:style w:type="paragraph" w:customStyle="1" w:styleId="102">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semiHidden/>
    <w:qFormat/>
    <w:uiPriority w:val="0"/>
    <w:pPr>
      <w:adjustRightInd/>
      <w:spacing w:line="240" w:lineRule="auto"/>
      <w:jc w:val="left"/>
    </w:pPr>
    <w:rPr>
      <w:bCs/>
      <w:iCs/>
    </w:rPr>
  </w:style>
  <w:style w:type="paragraph" w:customStyle="1" w:styleId="145">
    <w:name w:val="目录 31"/>
    <w:basedOn w:val="1"/>
    <w:next w:val="1"/>
    <w:semiHidden/>
    <w:qFormat/>
    <w:uiPriority w:val="0"/>
    <w:pPr>
      <w:spacing w:line="240" w:lineRule="auto"/>
    </w:pPr>
    <w:rPr>
      <w:rFonts w:ascii="宋体" w:hAnsi="宋体"/>
      <w:iCs/>
    </w:rPr>
  </w:style>
  <w:style w:type="paragraph" w:customStyle="1" w:styleId="146">
    <w:name w:val="目录 41"/>
    <w:basedOn w:val="1"/>
    <w:next w:val="1"/>
    <w:semiHidden/>
    <w:qFormat/>
    <w:uiPriority w:val="0"/>
    <w:pPr>
      <w:adjustRightInd/>
      <w:spacing w:line="240" w:lineRule="auto"/>
      <w:jc w:val="left"/>
    </w:p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目录 61"/>
    <w:basedOn w:val="1"/>
    <w:next w:val="1"/>
    <w:semiHidden/>
    <w:qFormat/>
    <w:uiPriority w:val="0"/>
    <w:pPr>
      <w:adjustRightInd/>
      <w:spacing w:line="240" w:lineRule="auto"/>
      <w:jc w:val="left"/>
    </w:pPr>
  </w:style>
  <w:style w:type="paragraph" w:customStyle="1" w:styleId="149">
    <w:name w:val="目录 71"/>
    <w:basedOn w:val="148"/>
    <w:semiHidden/>
    <w:qFormat/>
    <w:uiPriority w:val="0"/>
    <w:pPr>
      <w:ind w:left="1260"/>
    </w:pPr>
  </w:style>
  <w:style w:type="paragraph" w:customStyle="1" w:styleId="150">
    <w:name w:val="目录 81"/>
    <w:basedOn w:val="149"/>
    <w:semiHidden/>
    <w:qFormat/>
    <w:uiPriority w:val="0"/>
    <w:pPr>
      <w:ind w:left="1470"/>
    </w:pPr>
  </w:style>
  <w:style w:type="paragraph" w:customStyle="1" w:styleId="151">
    <w:name w:val="目录 91"/>
    <w:basedOn w:val="150"/>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Times New Roman"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30"/>
    <w:semiHidden/>
    <w:qFormat/>
    <w:uiPriority w:val="99"/>
    <w:rPr>
      <w:color w:val="808080"/>
    </w:rPr>
  </w:style>
  <w:style w:type="paragraph" w:customStyle="1" w:styleId="189">
    <w:name w:val="标准文件_二级项2"/>
    <w:basedOn w:val="58"/>
    <w:qFormat/>
    <w:uiPriority w:val="0"/>
    <w:pPr>
      <w:numPr>
        <w:ilvl w:val="1"/>
        <w:numId w:val="21"/>
      </w:numPr>
      <w:ind w:firstLine="0" w:firstLineChars="0"/>
    </w:pPr>
  </w:style>
  <w:style w:type="paragraph" w:customStyle="1" w:styleId="190">
    <w:name w:val="标准文件_三级项2"/>
    <w:basedOn w:val="58"/>
    <w:qFormat/>
    <w:uiPriority w:val="0"/>
    <w:pPr>
      <w:numPr>
        <w:ilvl w:val="0"/>
        <w:numId w:val="30"/>
      </w:numPr>
      <w:spacing w:line="300" w:lineRule="exact"/>
      <w:ind w:firstLineChars="0"/>
    </w:pPr>
  </w:style>
  <w:style w:type="paragraph" w:customStyle="1" w:styleId="191">
    <w:name w:val="标准文件_一级项2"/>
    <w:basedOn w:val="58"/>
    <w:qFormat/>
    <w:uiPriority w:val="0"/>
    <w:pPr>
      <w:numPr>
        <w:ilvl w:val="0"/>
        <w:numId w:val="31"/>
      </w:numPr>
      <w:spacing w:line="300" w:lineRule="exact"/>
      <w:ind w:firstLineChars="0"/>
    </w:p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30"/>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vAnchor="page" w:hAnchor="page" w:x="1419" w:y="14097"/>
    </w:pPr>
  </w:style>
  <w:style w:type="paragraph" w:customStyle="1" w:styleId="196">
    <w:name w:val="其他实施日期"/>
    <w:basedOn w:val="156"/>
    <w:qFormat/>
    <w:uiPriority w:val="0"/>
    <w:pPr>
      <w:framePr w:w="3997" w:h="471" w:hRule="exact" w:vSpace="181"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frame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30"/>
    <w:qFormat/>
    <w:uiPriority w:val="0"/>
    <w:rPr>
      <w:rFonts w:ascii="黑体" w:eastAsia="黑体"/>
      <w:spacing w:val="85"/>
      <w:w w:val="100"/>
      <w:position w:val="3"/>
      <w:sz w:val="28"/>
      <w:szCs w:val="28"/>
    </w:rPr>
  </w:style>
  <w:style w:type="table" w:customStyle="1" w:styleId="232">
    <w:name w:val="Table Normal11"/>
    <w:basedOn w:val="28"/>
    <w:qFormat/>
    <w:uiPriority w:val="0"/>
    <w:rPr>
      <w:rFonts w:ascii="Times New Roman" w:hAnsi="Times New Roman" w:eastAsia="Times New Roman"/>
    </w:rPr>
    <w:tblPr>
      <w:tblCellMar>
        <w:left w:w="0" w:type="dxa"/>
        <w:right w:w="0" w:type="dxa"/>
      </w:tblCellMar>
    </w:tblPr>
  </w:style>
  <w:style w:type="paragraph" w:styleId="233">
    <w:name w:val="List Paragraph"/>
    <w:basedOn w:val="1"/>
    <w:qFormat/>
    <w:uiPriority w:val="34"/>
    <w:pPr>
      <w:ind w:firstLine="420" w:firstLineChars="200"/>
    </w:pPr>
  </w:style>
  <w:style w:type="character" w:customStyle="1" w:styleId="234">
    <w:name w:val="Unresolved Mention"/>
    <w:basedOn w:val="3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9" Type="http://schemas.openxmlformats.org/officeDocument/2006/relationships/image" Target="media/image22.png"/><Relationship Id="rId98" Type="http://schemas.openxmlformats.org/officeDocument/2006/relationships/image" Target="file:///C:\Users\fcch\AppData\Local\Temp\ksohtml\wpsB4A9.tmp.png" TargetMode="External"/><Relationship Id="rId97" Type="http://schemas.openxmlformats.org/officeDocument/2006/relationships/image" Target="media/image21.png"/><Relationship Id="rId96" Type="http://schemas.openxmlformats.org/officeDocument/2006/relationships/image" Target="media/image20.jpeg"/><Relationship Id="rId95" Type="http://schemas.openxmlformats.org/officeDocument/2006/relationships/image" Target="file:///C:\Users\fcch\AppData\Local\Temp\ksohtml\wpsB498.tmp.png" TargetMode="External"/><Relationship Id="rId94" Type="http://schemas.openxmlformats.org/officeDocument/2006/relationships/image" Target="media/image19.png"/><Relationship Id="rId93" Type="http://schemas.openxmlformats.org/officeDocument/2006/relationships/image" Target="file:///C:\Users\fcch\AppData\Local\Temp\ksohtml\wpsB497.tmp.png" TargetMode="External"/><Relationship Id="rId92" Type="http://schemas.openxmlformats.org/officeDocument/2006/relationships/image" Target="media/image18.png"/><Relationship Id="rId91" Type="http://schemas.openxmlformats.org/officeDocument/2006/relationships/image" Target="file:///C:\Users\fcch\AppData\Local\Temp\ksohtml\wpsB496.tmp.png" TargetMode="External"/><Relationship Id="rId90" Type="http://schemas.openxmlformats.org/officeDocument/2006/relationships/image" Target="media/image17.png"/><Relationship Id="rId9" Type="http://schemas.openxmlformats.org/officeDocument/2006/relationships/footer" Target="footer2.xml"/><Relationship Id="rId89" Type="http://schemas.openxmlformats.org/officeDocument/2006/relationships/image" Target="media/image16.jpeg"/><Relationship Id="rId88" Type="http://schemas.openxmlformats.org/officeDocument/2006/relationships/image" Target="media/image15.jpeg"/><Relationship Id="rId87" Type="http://schemas.openxmlformats.org/officeDocument/2006/relationships/image" Target="media/image14.jpeg"/><Relationship Id="rId86" Type="http://schemas.openxmlformats.org/officeDocument/2006/relationships/image" Target="media/image13.wmf"/><Relationship Id="rId85" Type="http://schemas.openxmlformats.org/officeDocument/2006/relationships/oleObject" Target="embeddings/oleObject1.bin"/><Relationship Id="rId84" Type="http://schemas.openxmlformats.org/officeDocument/2006/relationships/image" Target="media/image12.jpeg"/><Relationship Id="rId83" Type="http://schemas.openxmlformats.org/officeDocument/2006/relationships/image" Target="media/image11.jpeg"/><Relationship Id="rId82" Type="http://schemas.openxmlformats.org/officeDocument/2006/relationships/image" Target="file:///C:\Users\fcch\Documents\Users\fcch\AppData\Roaming\Tencent\Users\719741171\QQ\WinTemp\RichOle\(_TBRTZG@%252525252525252525252525252525252525252525252525252525252525252525252525252525252525252525Q7_HF3KFZBR1I.png" TargetMode="External"/><Relationship Id="rId81" Type="http://schemas.openxmlformats.org/officeDocument/2006/relationships/image" Target="media/image10.png"/><Relationship Id="rId80" Type="http://schemas.openxmlformats.org/officeDocument/2006/relationships/image" Target="media/image9.jpeg"/><Relationship Id="rId8" Type="http://schemas.openxmlformats.org/officeDocument/2006/relationships/footer" Target="footer1.xml"/><Relationship Id="rId79" Type="http://schemas.openxmlformats.org/officeDocument/2006/relationships/image" Target="media/image8.jpeg"/><Relationship Id="rId78" Type="http://schemas.openxmlformats.org/officeDocument/2006/relationships/image" Target="media/image7.jpeg"/><Relationship Id="rId77" Type="http://schemas.openxmlformats.org/officeDocument/2006/relationships/image" Target="media/image6.jpeg"/><Relationship Id="rId76" Type="http://schemas.openxmlformats.org/officeDocument/2006/relationships/image" Target="media/image5.jpeg"/><Relationship Id="rId75" Type="http://schemas.openxmlformats.org/officeDocument/2006/relationships/image" Target="media/image4.jpeg"/><Relationship Id="rId74" Type="http://schemas.openxmlformats.org/officeDocument/2006/relationships/image" Target="media/image3.png"/><Relationship Id="rId73" Type="http://schemas.openxmlformats.org/officeDocument/2006/relationships/image" Target="media/image2.png"/><Relationship Id="rId72" Type="http://schemas.openxmlformats.org/officeDocument/2006/relationships/image" Target="media/image1.png"/><Relationship Id="rId71" Type="http://schemas.openxmlformats.org/officeDocument/2006/relationships/theme" Target="theme/theme1.xml"/><Relationship Id="rId70" Type="http://schemas.openxmlformats.org/officeDocument/2006/relationships/footer" Target="footer33.xml"/><Relationship Id="rId7" Type="http://schemas.openxmlformats.org/officeDocument/2006/relationships/header" Target="header3.xml"/><Relationship Id="rId69" Type="http://schemas.openxmlformats.org/officeDocument/2006/relationships/footer" Target="footer32.xml"/><Relationship Id="rId68" Type="http://schemas.openxmlformats.org/officeDocument/2006/relationships/header" Target="header33.xml"/><Relationship Id="rId67" Type="http://schemas.openxmlformats.org/officeDocument/2006/relationships/header" Target="header32.xml"/><Relationship Id="rId66" Type="http://schemas.openxmlformats.org/officeDocument/2006/relationships/footer" Target="footer31.xml"/><Relationship Id="rId65" Type="http://schemas.openxmlformats.org/officeDocument/2006/relationships/footer" Target="footer30.xml"/><Relationship Id="rId64" Type="http://schemas.openxmlformats.org/officeDocument/2006/relationships/header" Target="header31.xml"/><Relationship Id="rId63" Type="http://schemas.openxmlformats.org/officeDocument/2006/relationships/header" Target="header30.xml"/><Relationship Id="rId62" Type="http://schemas.openxmlformats.org/officeDocument/2006/relationships/footer" Target="footer29.xml"/><Relationship Id="rId61" Type="http://schemas.openxmlformats.org/officeDocument/2006/relationships/footer" Target="footer28.xml"/><Relationship Id="rId60" Type="http://schemas.openxmlformats.org/officeDocument/2006/relationships/header" Target="header29.xml"/><Relationship Id="rId6" Type="http://schemas.openxmlformats.org/officeDocument/2006/relationships/header" Target="header2.xml"/><Relationship Id="rId59" Type="http://schemas.openxmlformats.org/officeDocument/2006/relationships/header" Target="header28.xml"/><Relationship Id="rId58" Type="http://schemas.openxmlformats.org/officeDocument/2006/relationships/footer" Target="footer27.xml"/><Relationship Id="rId57" Type="http://schemas.openxmlformats.org/officeDocument/2006/relationships/footer" Target="footer26.xml"/><Relationship Id="rId56" Type="http://schemas.openxmlformats.org/officeDocument/2006/relationships/header" Target="header27.xml"/><Relationship Id="rId55" Type="http://schemas.openxmlformats.org/officeDocument/2006/relationships/header" Target="header26.xml"/><Relationship Id="rId54" Type="http://schemas.openxmlformats.org/officeDocument/2006/relationships/footer" Target="footer25.xml"/><Relationship Id="rId53" Type="http://schemas.openxmlformats.org/officeDocument/2006/relationships/footer" Target="footer24.xml"/><Relationship Id="rId52" Type="http://schemas.openxmlformats.org/officeDocument/2006/relationships/header" Target="header25.xml"/><Relationship Id="rId51" Type="http://schemas.openxmlformats.org/officeDocument/2006/relationships/header" Target="header24.xml"/><Relationship Id="rId50" Type="http://schemas.openxmlformats.org/officeDocument/2006/relationships/footer" Target="footer23.xml"/><Relationship Id="rId5" Type="http://schemas.openxmlformats.org/officeDocument/2006/relationships/header" Target="header1.xml"/><Relationship Id="rId49" Type="http://schemas.openxmlformats.org/officeDocument/2006/relationships/footer" Target="footer22.xml"/><Relationship Id="rId48" Type="http://schemas.openxmlformats.org/officeDocument/2006/relationships/header" Target="header23.xml"/><Relationship Id="rId47" Type="http://schemas.openxmlformats.org/officeDocument/2006/relationships/header" Target="header22.xml"/><Relationship Id="rId46" Type="http://schemas.openxmlformats.org/officeDocument/2006/relationships/footer" Target="footer21.xml"/><Relationship Id="rId45" Type="http://schemas.openxmlformats.org/officeDocument/2006/relationships/footer" Target="footer20.xml"/><Relationship Id="rId44" Type="http://schemas.openxmlformats.org/officeDocument/2006/relationships/header" Target="header21.xml"/><Relationship Id="rId43" Type="http://schemas.openxmlformats.org/officeDocument/2006/relationships/header" Target="header20.xml"/><Relationship Id="rId42" Type="http://schemas.openxmlformats.org/officeDocument/2006/relationships/footer" Target="footer19.xml"/><Relationship Id="rId41" Type="http://schemas.openxmlformats.org/officeDocument/2006/relationships/footer" Target="footer18.xml"/><Relationship Id="rId40" Type="http://schemas.openxmlformats.org/officeDocument/2006/relationships/header" Target="header19.xml"/><Relationship Id="rId4" Type="http://schemas.openxmlformats.org/officeDocument/2006/relationships/endnotes" Target="endnotes.xml"/><Relationship Id="rId39" Type="http://schemas.openxmlformats.org/officeDocument/2006/relationships/header" Target="header18.xml"/><Relationship Id="rId38" Type="http://schemas.openxmlformats.org/officeDocument/2006/relationships/footer" Target="footer17.xml"/><Relationship Id="rId37" Type="http://schemas.openxmlformats.org/officeDocument/2006/relationships/footer" Target="footer16.xml"/><Relationship Id="rId36" Type="http://schemas.openxmlformats.org/officeDocument/2006/relationships/header" Target="header17.xml"/><Relationship Id="rId35" Type="http://schemas.openxmlformats.org/officeDocument/2006/relationships/header" Target="header16.xml"/><Relationship Id="rId34" Type="http://schemas.openxmlformats.org/officeDocument/2006/relationships/footer" Target="footer15.xml"/><Relationship Id="rId33" Type="http://schemas.openxmlformats.org/officeDocument/2006/relationships/footer" Target="footer14.xml"/><Relationship Id="rId32" Type="http://schemas.openxmlformats.org/officeDocument/2006/relationships/header" Target="header15.xml"/><Relationship Id="rId31" Type="http://schemas.openxmlformats.org/officeDocument/2006/relationships/header" Target="header14.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footer" Target="footer12.xml"/><Relationship Id="rId28" Type="http://schemas.openxmlformats.org/officeDocument/2006/relationships/header" Target="header13.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footer" Target="footer10.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6" Type="http://schemas.openxmlformats.org/officeDocument/2006/relationships/glossaryDocument" Target="glossary/document.xml"/><Relationship Id="rId135" Type="http://schemas.openxmlformats.org/officeDocument/2006/relationships/fontTable" Target="fontTable.xml"/><Relationship Id="rId134" Type="http://schemas.openxmlformats.org/officeDocument/2006/relationships/numbering" Target="numbering.xml"/><Relationship Id="rId133" Type="http://schemas.openxmlformats.org/officeDocument/2006/relationships/customXml" Target="../customXml/item1.xml"/><Relationship Id="rId132" Type="http://schemas.openxmlformats.org/officeDocument/2006/relationships/image" Target="media/image53.jpeg"/><Relationship Id="rId131" Type="http://schemas.openxmlformats.org/officeDocument/2006/relationships/image" Target="media/image52.png"/><Relationship Id="rId130" Type="http://schemas.openxmlformats.org/officeDocument/2006/relationships/image" Target="media/image51.png"/><Relationship Id="rId13" Type="http://schemas.openxmlformats.org/officeDocument/2006/relationships/footer" Target="footer4.xml"/><Relationship Id="rId129" Type="http://schemas.openxmlformats.org/officeDocument/2006/relationships/image" Target="media/image50.png"/><Relationship Id="rId128" Type="http://schemas.openxmlformats.org/officeDocument/2006/relationships/image" Target="media/image49.png"/><Relationship Id="rId127" Type="http://schemas.openxmlformats.org/officeDocument/2006/relationships/image" Target="media/image48.png"/><Relationship Id="rId126" Type="http://schemas.openxmlformats.org/officeDocument/2006/relationships/image" Target="media/image47.png"/><Relationship Id="rId125" Type="http://schemas.openxmlformats.org/officeDocument/2006/relationships/image" Target="media/image46.png"/><Relationship Id="rId124" Type="http://schemas.openxmlformats.org/officeDocument/2006/relationships/image" Target="media/image45.png"/><Relationship Id="rId123" Type="http://schemas.openxmlformats.org/officeDocument/2006/relationships/image" Target="media/image44.png"/><Relationship Id="rId122" Type="http://schemas.openxmlformats.org/officeDocument/2006/relationships/image" Target="media/image43.png"/><Relationship Id="rId121" Type="http://schemas.openxmlformats.org/officeDocument/2006/relationships/image" Target="media/image42.png"/><Relationship Id="rId120" Type="http://schemas.openxmlformats.org/officeDocument/2006/relationships/image" Target="media/image41.png"/><Relationship Id="rId12" Type="http://schemas.openxmlformats.org/officeDocument/2006/relationships/header" Target="header5.xml"/><Relationship Id="rId119" Type="http://schemas.openxmlformats.org/officeDocument/2006/relationships/image" Target="media/image40.png"/><Relationship Id="rId118" Type="http://schemas.openxmlformats.org/officeDocument/2006/relationships/image" Target="media/image39.png"/><Relationship Id="rId117" Type="http://schemas.openxmlformats.org/officeDocument/2006/relationships/image" Target="media/image38.png"/><Relationship Id="rId116" Type="http://schemas.openxmlformats.org/officeDocument/2006/relationships/image" Target="media/image37.png"/><Relationship Id="rId115" Type="http://schemas.openxmlformats.org/officeDocument/2006/relationships/image" Target="media/image36.jpeg"/><Relationship Id="rId114" Type="http://schemas.openxmlformats.org/officeDocument/2006/relationships/image" Target="media/image35.jpeg"/><Relationship Id="rId113" Type="http://schemas.openxmlformats.org/officeDocument/2006/relationships/image" Target="media/image34.jpeg"/><Relationship Id="rId112" Type="http://schemas.openxmlformats.org/officeDocument/2006/relationships/image" Target="media/image33.png"/><Relationship Id="rId111" Type="http://schemas.openxmlformats.org/officeDocument/2006/relationships/image" Target="media/image32.jpeg"/><Relationship Id="rId110" Type="http://schemas.openxmlformats.org/officeDocument/2006/relationships/image" Target="media/image31.jpeg"/><Relationship Id="rId11" Type="http://schemas.openxmlformats.org/officeDocument/2006/relationships/header" Target="header4.xml"/><Relationship Id="rId109" Type="http://schemas.openxmlformats.org/officeDocument/2006/relationships/image" Target="media/image30.jpeg"/><Relationship Id="rId108" Type="http://schemas.openxmlformats.org/officeDocument/2006/relationships/image" Target="media/image29.jpeg"/><Relationship Id="rId107" Type="http://schemas.openxmlformats.org/officeDocument/2006/relationships/image" Target="media/image28.jpeg"/><Relationship Id="rId106" Type="http://schemas.openxmlformats.org/officeDocument/2006/relationships/image" Target="media/image27.jpeg"/><Relationship Id="rId105" Type="http://schemas.openxmlformats.org/officeDocument/2006/relationships/image" Target="media/image26.jpeg"/><Relationship Id="rId104" Type="http://schemas.openxmlformats.org/officeDocument/2006/relationships/image" Target="file:///C:\Users\fcch\AppData\Local\Temp\ksohtml\wpsB4CD.tmp.png" TargetMode="External"/><Relationship Id="rId103" Type="http://schemas.openxmlformats.org/officeDocument/2006/relationships/image" Target="media/image25.png"/><Relationship Id="rId102" Type="http://schemas.openxmlformats.org/officeDocument/2006/relationships/image" Target="media/image24.jpeg"/><Relationship Id="rId101" Type="http://schemas.openxmlformats.org/officeDocument/2006/relationships/image" Target="media/image23.jpeg"/><Relationship Id="rId100" Type="http://schemas.openxmlformats.org/officeDocument/2006/relationships/image" Target="file:///C:\Users\fcch\AppData\Local\Temp\ksohtml\wpsB4AA.tmp.png" TargetMode="Externa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Program%20Files\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71952DD4DBD48A1B2B2C5D4FEA55BA1"/>
        <w:style w:val=""/>
        <w:category>
          <w:name w:val="常规"/>
          <w:gallery w:val="placeholder"/>
        </w:category>
        <w:types>
          <w:type w:val="bbPlcHdr"/>
        </w:types>
        <w:behaviors>
          <w:behavior w:val="content"/>
        </w:behaviors>
        <w:description w:val=""/>
        <w:guid w:val="{475B50BA-D910-4E67-949C-52AE2CD98CB1}"/>
      </w:docPartPr>
      <w:docPartBody>
        <w:p>
          <w:pPr>
            <w:pStyle w:val="5"/>
            <w:rPr>
              <w:rFonts w:hint="eastAsia"/>
            </w:rPr>
          </w:pPr>
          <w:r>
            <w:rPr>
              <w:rStyle w:val="4"/>
              <w:rFonts w:hint="eastAsia"/>
            </w:rPr>
            <w:t>单击或点击此处输入文字。</w:t>
          </w:r>
        </w:p>
      </w:docPartBody>
    </w:docPart>
    <w:docPart>
      <w:docPartPr>
        <w:name w:val="5C730D42F06C44D0B470F77A66C34A3D"/>
        <w:style w:val=""/>
        <w:category>
          <w:name w:val="常规"/>
          <w:gallery w:val="placeholder"/>
        </w:category>
        <w:types>
          <w:type w:val="bbPlcHdr"/>
        </w:types>
        <w:behaviors>
          <w:behavior w:val="content"/>
        </w:behaviors>
        <w:description w:val=""/>
        <w:guid w:val="{F2A0126D-3EB4-4672-94ED-76E5B2F53DE2}"/>
      </w:docPartPr>
      <w:docPartBody>
        <w:p>
          <w:pPr>
            <w:pStyle w:val="6"/>
            <w:rPr>
              <w:rFonts w:hint="eastAsia"/>
            </w:rPr>
          </w:pPr>
          <w:r>
            <w:rPr>
              <w:rStyle w:val="4"/>
              <w:rFonts w:hint="eastAsia"/>
            </w:rPr>
            <w:t>选择一项。</w:t>
          </w:r>
        </w:p>
      </w:docPartBody>
    </w:docPart>
    <w:docPart>
      <w:docPartPr>
        <w:name w:val="AF31CF3D47E4460CB079FDC4E876051E"/>
        <w:style w:val=""/>
        <w:category>
          <w:name w:val="常规"/>
          <w:gallery w:val="placeholder"/>
        </w:category>
        <w:types>
          <w:type w:val="bbPlcHdr"/>
        </w:types>
        <w:behaviors>
          <w:behavior w:val="content"/>
        </w:behaviors>
        <w:description w:val=""/>
        <w:guid w:val="{44DC2F95-5380-4536-8997-CE07098572B7}"/>
      </w:docPartPr>
      <w:docPartBody>
        <w:p>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C7F"/>
    <w:rsid w:val="000462F8"/>
    <w:rsid w:val="002261DE"/>
    <w:rsid w:val="002273EC"/>
    <w:rsid w:val="002C0990"/>
    <w:rsid w:val="003570B1"/>
    <w:rsid w:val="00467357"/>
    <w:rsid w:val="006C43BD"/>
    <w:rsid w:val="00B57C33"/>
    <w:rsid w:val="00BA4878"/>
    <w:rsid w:val="00C8237A"/>
    <w:rsid w:val="00CE5333"/>
    <w:rsid w:val="00DE6E5A"/>
    <w:rsid w:val="00FC0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71952DD4DBD48A1B2B2C5D4FEA55BA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C730D42F06C44D0B470F77A66C34A3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AF31CF3D47E4460CB079FDC4E876051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Pages>87</Pages>
  <Words>23567</Words>
  <Characters>26160</Characters>
  <Lines>1189</Lines>
  <Paragraphs>1553</Paragraphs>
  <TotalTime>490</TotalTime>
  <ScaleCrop>false</ScaleCrop>
  <LinksUpToDate>false</LinksUpToDate>
  <CharactersWithSpaces>48174</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2026-08-10T17:21:00Z</dcterms:created>
  <dc:creator>姜楠</dc:creator>
  <cp:lastModifiedBy>user</cp:lastModifiedBy>
  <cp:lastPrinted>2026-08-13T00:42:00Z</cp:lastPrinted>
  <dcterms:modified xsi:type="dcterms:W3CDTF">2026-08-17T16:51:32Z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GB</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2052-11.8.2.10489</vt:lpwstr>
  </property>
</Properties>
</file>